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6E5" w:rsidRDefault="001736E5" w:rsidP="0087061C">
      <w:pPr>
        <w:jc w:val="center"/>
        <w:rPr>
          <w:rFonts w:cs="Arial"/>
          <w:b/>
          <w:sz w:val="32"/>
          <w:szCs w:val="32"/>
        </w:rPr>
      </w:pPr>
    </w:p>
    <w:p w:rsidR="001736E5" w:rsidRDefault="001736E5" w:rsidP="0087061C">
      <w:pPr>
        <w:jc w:val="center"/>
        <w:rPr>
          <w:rFonts w:cs="Arial"/>
          <w:b/>
          <w:sz w:val="32"/>
          <w:szCs w:val="32"/>
        </w:rPr>
      </w:pPr>
    </w:p>
    <w:p w:rsidR="008A2AF7" w:rsidRPr="007E6C95" w:rsidRDefault="00D83F89" w:rsidP="0087061C">
      <w:pPr>
        <w:jc w:val="center"/>
        <w:rPr>
          <w:rFonts w:cs="Arial"/>
          <w:b/>
          <w:color w:val="1F497D" w:themeColor="text2"/>
          <w:sz w:val="36"/>
          <w:szCs w:val="36"/>
        </w:rPr>
      </w:pPr>
      <w:r w:rsidRPr="007E6C95">
        <w:rPr>
          <w:rFonts w:cs="Arial"/>
          <w:b/>
          <w:color w:val="1F497D" w:themeColor="text2"/>
          <w:sz w:val="36"/>
          <w:szCs w:val="36"/>
        </w:rPr>
        <w:t xml:space="preserve">Factsheet: </w:t>
      </w:r>
      <w:r w:rsidR="0087061C" w:rsidRPr="007E6C95">
        <w:rPr>
          <w:rFonts w:cs="Arial"/>
          <w:b/>
          <w:color w:val="1F497D" w:themeColor="text2"/>
          <w:sz w:val="36"/>
          <w:szCs w:val="36"/>
        </w:rPr>
        <w:t>People from culturally and linguistically diverse backgrounds</w:t>
      </w:r>
    </w:p>
    <w:p w:rsidR="0087061C" w:rsidRPr="007E6C95" w:rsidRDefault="0087061C" w:rsidP="0087061C">
      <w:pPr>
        <w:rPr>
          <w:rFonts w:cs="Arial"/>
          <w:b/>
          <w:color w:val="1F497D" w:themeColor="text2"/>
          <w:sz w:val="28"/>
          <w:szCs w:val="28"/>
        </w:rPr>
      </w:pPr>
      <w:r w:rsidRPr="007E6C95">
        <w:rPr>
          <w:rFonts w:cs="Arial"/>
          <w:b/>
          <w:color w:val="1F497D" w:themeColor="text2"/>
          <w:sz w:val="28"/>
          <w:szCs w:val="28"/>
        </w:rPr>
        <w:t>Background Information</w:t>
      </w:r>
    </w:p>
    <w:p w:rsidR="004B76CC" w:rsidRPr="003626B9" w:rsidRDefault="004B76CC" w:rsidP="004B76CC">
      <w:pPr>
        <w:autoSpaceDE w:val="0"/>
        <w:autoSpaceDN w:val="0"/>
        <w:adjustRightInd w:val="0"/>
        <w:spacing w:before="0" w:after="0"/>
        <w:rPr>
          <w:rFonts w:cs="Arial"/>
        </w:rPr>
      </w:pPr>
      <w:r w:rsidRPr="003626B9">
        <w:rPr>
          <w:rFonts w:cs="Arial"/>
        </w:rPr>
        <w:t>Australia is a culturally and linguistically diverse nation.</w:t>
      </w:r>
      <w:r w:rsidR="004B1EFF">
        <w:rPr>
          <w:rFonts w:cs="Arial"/>
        </w:rPr>
        <w:t xml:space="preserve"> </w:t>
      </w:r>
      <w:r w:rsidRPr="003626B9">
        <w:rPr>
          <w:rFonts w:cs="Arial"/>
        </w:rPr>
        <w:t>Some 4</w:t>
      </w:r>
      <w:r w:rsidR="00FC039C">
        <w:rPr>
          <w:rFonts w:cs="Arial"/>
        </w:rPr>
        <w:t>6</w:t>
      </w:r>
      <w:r w:rsidRPr="003626B9">
        <w:rPr>
          <w:rFonts w:cs="Arial"/>
        </w:rPr>
        <w:t xml:space="preserve">% of </w:t>
      </w:r>
      <w:r w:rsidR="004B1EFF">
        <w:rPr>
          <w:rFonts w:cs="Arial"/>
        </w:rPr>
        <w:t>Australian’s</w:t>
      </w:r>
      <w:r w:rsidRPr="003626B9">
        <w:rPr>
          <w:rFonts w:cs="Arial"/>
        </w:rPr>
        <w:t xml:space="preserve"> were born overseas or have a parent who was.  Over 260 languages are spoken, in addition to Indigenous languages. </w:t>
      </w:r>
      <w:r w:rsidR="004B1EFF">
        <w:rPr>
          <w:rFonts w:cs="Arial"/>
        </w:rPr>
        <w:t>Australian’s i</w:t>
      </w:r>
      <w:r w:rsidRPr="003626B9">
        <w:rPr>
          <w:rFonts w:cs="Arial"/>
        </w:rPr>
        <w:t>dentify with more than 300 ancestries.</w:t>
      </w:r>
      <w:r w:rsidR="00D44E01">
        <w:rPr>
          <w:rStyle w:val="EndnoteReference"/>
          <w:rFonts w:cs="Arial"/>
        </w:rPr>
        <w:endnoteReference w:id="1"/>
      </w:r>
      <w:r w:rsidRPr="003626B9">
        <w:rPr>
          <w:rFonts w:cs="Arial"/>
        </w:rPr>
        <w:t xml:space="preserve"> </w:t>
      </w:r>
    </w:p>
    <w:p w:rsidR="004B76CC" w:rsidRPr="003626B9" w:rsidRDefault="004B76CC" w:rsidP="00AF0822">
      <w:pPr>
        <w:autoSpaceDE w:val="0"/>
        <w:autoSpaceDN w:val="0"/>
        <w:adjustRightInd w:val="0"/>
        <w:spacing w:before="0" w:after="0"/>
        <w:rPr>
          <w:rFonts w:cs="Arial"/>
        </w:rPr>
      </w:pPr>
    </w:p>
    <w:p w:rsidR="00AF704C" w:rsidRDefault="00080B43" w:rsidP="00AF704C">
      <w:pPr>
        <w:autoSpaceDE w:val="0"/>
        <w:autoSpaceDN w:val="0"/>
        <w:adjustRightInd w:val="0"/>
        <w:spacing w:before="0" w:after="0"/>
        <w:rPr>
          <w:rFonts w:cs="Arial"/>
        </w:rPr>
      </w:pPr>
      <w:r>
        <w:rPr>
          <w:rFonts w:cs="Arial"/>
        </w:rPr>
        <w:t>As announced at Australia’s first UPR</w:t>
      </w:r>
      <w:r w:rsidR="004B76CC" w:rsidRPr="003626B9">
        <w:rPr>
          <w:rFonts w:cs="Arial"/>
        </w:rPr>
        <w:t xml:space="preserve">, </w:t>
      </w:r>
      <w:r w:rsidRPr="003626B9">
        <w:rPr>
          <w:rFonts w:cs="Arial"/>
        </w:rPr>
        <w:t>the</w:t>
      </w:r>
      <w:r>
        <w:rPr>
          <w:rFonts w:cs="Arial"/>
        </w:rPr>
        <w:t xml:space="preserve"> Government appointed a full time Race Discrimination Commission</w:t>
      </w:r>
      <w:r w:rsidR="00F56B5D">
        <w:rPr>
          <w:rFonts w:cs="Arial"/>
        </w:rPr>
        <w:t>er</w:t>
      </w:r>
      <w:r>
        <w:rPr>
          <w:rFonts w:cs="Arial"/>
        </w:rPr>
        <w:t xml:space="preserve"> to the</w:t>
      </w:r>
      <w:r w:rsidRPr="003626B9">
        <w:rPr>
          <w:rFonts w:cs="Arial"/>
        </w:rPr>
        <w:t xml:space="preserve"> Australian Human Rights Commission</w:t>
      </w:r>
      <w:r w:rsidR="00D44E01">
        <w:rPr>
          <w:rStyle w:val="EndnoteReference"/>
          <w:rFonts w:cs="Arial"/>
        </w:rPr>
        <w:endnoteReference w:id="2"/>
      </w:r>
      <w:r w:rsidR="00D44E01" w:rsidRPr="003626B9">
        <w:rPr>
          <w:rFonts w:cs="Arial"/>
        </w:rPr>
        <w:t xml:space="preserve"> </w:t>
      </w:r>
      <w:r>
        <w:rPr>
          <w:rFonts w:cs="Arial"/>
        </w:rPr>
        <w:t xml:space="preserve">and has funded </w:t>
      </w:r>
      <w:r w:rsidR="00D44E01" w:rsidRPr="003626B9">
        <w:rPr>
          <w:rFonts w:cs="Arial"/>
        </w:rPr>
        <w:t>the National Anti-Racism Strategy</w:t>
      </w:r>
      <w:r>
        <w:rPr>
          <w:rFonts w:cs="Arial"/>
        </w:rPr>
        <w:t>.</w:t>
      </w:r>
      <w:r w:rsidR="00D44E01">
        <w:rPr>
          <w:rStyle w:val="EndnoteReference"/>
          <w:rFonts w:cs="Arial"/>
        </w:rPr>
        <w:endnoteReference w:id="3"/>
      </w:r>
      <w:r w:rsidR="00D44E01" w:rsidRPr="003626B9">
        <w:rPr>
          <w:rFonts w:cs="Arial"/>
        </w:rPr>
        <w:t xml:space="preserve"> </w:t>
      </w:r>
      <w:r w:rsidR="00F56B5D">
        <w:rPr>
          <w:rFonts w:cs="Arial"/>
        </w:rPr>
        <w:t>The</w:t>
      </w:r>
      <w:r w:rsidR="00D44E01" w:rsidRPr="003626B9">
        <w:rPr>
          <w:rFonts w:cs="Arial"/>
        </w:rPr>
        <w:t xml:space="preserve"> </w:t>
      </w:r>
      <w:r>
        <w:rPr>
          <w:rFonts w:cs="Arial"/>
        </w:rPr>
        <w:t xml:space="preserve">national </w:t>
      </w:r>
      <w:r w:rsidR="00D44E01" w:rsidRPr="003626B9">
        <w:rPr>
          <w:rFonts w:cs="Arial"/>
        </w:rPr>
        <w:t xml:space="preserve">multicultural policy has been </w:t>
      </w:r>
      <w:r>
        <w:rPr>
          <w:rFonts w:cs="Arial"/>
        </w:rPr>
        <w:t>revised</w:t>
      </w:r>
      <w:r w:rsidR="00D44E01" w:rsidRPr="003626B9">
        <w:rPr>
          <w:rFonts w:cs="Arial"/>
        </w:rPr>
        <w:t>,</w:t>
      </w:r>
      <w:r w:rsidR="00D44E01">
        <w:rPr>
          <w:rStyle w:val="EndnoteReference"/>
          <w:rFonts w:cs="Arial"/>
        </w:rPr>
        <w:endnoteReference w:id="4"/>
      </w:r>
      <w:r w:rsidR="00D44E01" w:rsidRPr="003626B9">
        <w:rPr>
          <w:rFonts w:cs="Arial"/>
        </w:rPr>
        <w:t xml:space="preserve"> and two inquiries, the </w:t>
      </w:r>
      <w:r w:rsidR="00D44E01" w:rsidRPr="003626B9">
        <w:rPr>
          <w:rFonts w:cs="Arial"/>
          <w:i/>
        </w:rPr>
        <w:t>Migration and Multiculturalism Inquiry</w:t>
      </w:r>
      <w:r w:rsidR="00F56B5D">
        <w:rPr>
          <w:rFonts w:cs="Arial"/>
        </w:rPr>
        <w:t>,</w:t>
      </w:r>
      <w:r w:rsidR="00D44E01" w:rsidRPr="00F56B5D">
        <w:rPr>
          <w:rStyle w:val="EndnoteReference"/>
          <w:rFonts w:cs="Arial"/>
          <w:i/>
        </w:rPr>
        <w:endnoteReference w:id="5"/>
      </w:r>
      <w:r w:rsidR="00D44E01" w:rsidRPr="003626B9">
        <w:rPr>
          <w:rFonts w:cs="Arial"/>
          <w:i/>
        </w:rPr>
        <w:t xml:space="preserve"> </w:t>
      </w:r>
      <w:r w:rsidR="00D44E01" w:rsidRPr="003626B9">
        <w:rPr>
          <w:rFonts w:cs="Arial"/>
        </w:rPr>
        <w:t xml:space="preserve">and the </w:t>
      </w:r>
      <w:r w:rsidR="00D44E01" w:rsidRPr="003626B9">
        <w:rPr>
          <w:rFonts w:cs="Arial"/>
          <w:i/>
        </w:rPr>
        <w:t xml:space="preserve">Access and Equity </w:t>
      </w:r>
      <w:r w:rsidR="00D44E01" w:rsidRPr="00F56B5D">
        <w:rPr>
          <w:rFonts w:cs="Arial"/>
        </w:rPr>
        <w:t>Inquiry</w:t>
      </w:r>
      <w:r w:rsidR="00F56B5D">
        <w:rPr>
          <w:rFonts w:cs="Arial"/>
        </w:rPr>
        <w:t>,</w:t>
      </w:r>
      <w:r w:rsidR="00D44E01" w:rsidRPr="00F56B5D">
        <w:rPr>
          <w:rStyle w:val="EndnoteReference"/>
          <w:rFonts w:cs="Arial"/>
        </w:rPr>
        <w:endnoteReference w:id="6"/>
      </w:r>
      <w:r w:rsidR="00D44E01" w:rsidRPr="003626B9">
        <w:rPr>
          <w:rFonts w:cs="Arial"/>
        </w:rPr>
        <w:t xml:space="preserve"> </w:t>
      </w:r>
      <w:r w:rsidR="002144AA" w:rsidRPr="003626B9">
        <w:rPr>
          <w:rFonts w:cs="Arial"/>
        </w:rPr>
        <w:t xml:space="preserve">have been conducted and finalised. </w:t>
      </w:r>
      <w:r w:rsidR="00AF704C" w:rsidRPr="00AF704C">
        <w:rPr>
          <w:rFonts w:cs="Arial"/>
        </w:rPr>
        <w:t xml:space="preserve">Despite efforts to date, the expression of racial hatred and vilification continues to occur in Australia. </w:t>
      </w:r>
    </w:p>
    <w:p w:rsidR="00D44E01" w:rsidRDefault="00D44E01" w:rsidP="00AF704C">
      <w:pPr>
        <w:autoSpaceDE w:val="0"/>
        <w:autoSpaceDN w:val="0"/>
        <w:adjustRightInd w:val="0"/>
        <w:spacing w:before="0" w:after="0"/>
        <w:rPr>
          <w:rFonts w:cs="Arial"/>
        </w:rPr>
      </w:pPr>
    </w:p>
    <w:p w:rsidR="00D44E01" w:rsidRPr="00AF704C" w:rsidRDefault="00D44E01" w:rsidP="00446225">
      <w:pPr>
        <w:autoSpaceDE w:val="0"/>
        <w:autoSpaceDN w:val="0"/>
        <w:adjustRightInd w:val="0"/>
        <w:spacing w:before="0" w:after="0"/>
        <w:rPr>
          <w:rFonts w:cs="Arial"/>
        </w:rPr>
      </w:pPr>
      <w:r>
        <w:rPr>
          <w:rFonts w:cs="Arial"/>
        </w:rPr>
        <w:t>The Commission commends the Australian government for its ongoing commitment to combatting racism through the continuation of the National Anti-Racism Strategy Partnership.</w:t>
      </w:r>
      <w:r w:rsidR="00446225" w:rsidRPr="00446225">
        <w:rPr>
          <w:rFonts w:ascii="ArialMT" w:hAnsi="ArialMT" w:cs="ArialMT"/>
          <w:color w:val="000000"/>
        </w:rPr>
        <w:t xml:space="preserve"> </w:t>
      </w:r>
      <w:r w:rsidR="00446225" w:rsidRPr="00446225">
        <w:rPr>
          <w:rFonts w:cs="Arial"/>
        </w:rPr>
        <w:t>The national anti-racism</w:t>
      </w:r>
      <w:r w:rsidR="00446225">
        <w:rPr>
          <w:rFonts w:cs="Arial"/>
        </w:rPr>
        <w:t xml:space="preserve"> </w:t>
      </w:r>
      <w:r w:rsidR="007F07EC">
        <w:rPr>
          <w:rFonts w:cs="Arial"/>
        </w:rPr>
        <w:t>campaign central to the S</w:t>
      </w:r>
      <w:r w:rsidR="00446225" w:rsidRPr="00446225">
        <w:rPr>
          <w:rFonts w:cs="Arial"/>
        </w:rPr>
        <w:t xml:space="preserve">trategy, </w:t>
      </w:r>
      <w:r w:rsidR="00446225" w:rsidRPr="00446225">
        <w:rPr>
          <w:rFonts w:cs="Arial"/>
          <w:i/>
          <w:iCs/>
        </w:rPr>
        <w:t xml:space="preserve">Racism. It Stops with </w:t>
      </w:r>
      <w:proofErr w:type="gramStart"/>
      <w:r w:rsidR="00446225" w:rsidRPr="00446225">
        <w:rPr>
          <w:rFonts w:cs="Arial"/>
          <w:i/>
          <w:iCs/>
        </w:rPr>
        <w:t>Me</w:t>
      </w:r>
      <w:proofErr w:type="gramEnd"/>
      <w:r w:rsidR="007F07EC">
        <w:rPr>
          <w:rFonts w:cs="Arial"/>
          <w:iCs/>
        </w:rPr>
        <w:t>,</w:t>
      </w:r>
      <w:r w:rsidR="00446225" w:rsidRPr="00446225">
        <w:rPr>
          <w:rFonts w:cs="Arial"/>
          <w:i/>
          <w:iCs/>
        </w:rPr>
        <w:t xml:space="preserve"> </w:t>
      </w:r>
      <w:r w:rsidR="00446225" w:rsidRPr="00446225">
        <w:rPr>
          <w:rFonts w:cs="Arial"/>
        </w:rPr>
        <w:t>now has more</w:t>
      </w:r>
      <w:r w:rsidR="00446225">
        <w:rPr>
          <w:rFonts w:cs="Arial"/>
        </w:rPr>
        <w:t xml:space="preserve"> </w:t>
      </w:r>
      <w:r w:rsidR="00446225" w:rsidRPr="00446225">
        <w:rPr>
          <w:rFonts w:cs="Arial"/>
        </w:rPr>
        <w:t>than 320 organisational supporters.</w:t>
      </w:r>
      <w:r w:rsidR="00446225">
        <w:rPr>
          <w:rStyle w:val="EndnoteReference"/>
          <w:rFonts w:cs="Arial"/>
        </w:rPr>
        <w:endnoteReference w:id="7"/>
      </w:r>
    </w:p>
    <w:p w:rsidR="002144AA" w:rsidRPr="003626B9" w:rsidRDefault="002144AA" w:rsidP="00AF0822">
      <w:pPr>
        <w:autoSpaceDE w:val="0"/>
        <w:autoSpaceDN w:val="0"/>
        <w:adjustRightInd w:val="0"/>
        <w:spacing w:before="0" w:after="0"/>
        <w:rPr>
          <w:rFonts w:cs="Arial"/>
        </w:rPr>
      </w:pPr>
    </w:p>
    <w:p w:rsidR="003626B9" w:rsidRPr="003626B9" w:rsidRDefault="003626B9" w:rsidP="003626B9">
      <w:pPr>
        <w:autoSpaceDE w:val="0"/>
        <w:autoSpaceDN w:val="0"/>
        <w:adjustRightInd w:val="0"/>
        <w:spacing w:before="0" w:after="0"/>
        <w:rPr>
          <w:rFonts w:cs="Arial"/>
          <w:b/>
          <w:sz w:val="28"/>
          <w:szCs w:val="28"/>
        </w:rPr>
      </w:pPr>
      <w:r w:rsidRPr="007E6C95">
        <w:rPr>
          <w:rFonts w:cs="Arial"/>
          <w:b/>
          <w:color w:val="1F497D" w:themeColor="text2"/>
          <w:sz w:val="28"/>
          <w:szCs w:val="28"/>
        </w:rPr>
        <w:t>Key Issue</w:t>
      </w:r>
      <w:r w:rsidR="007F07EC" w:rsidRPr="007E6C95">
        <w:rPr>
          <w:rFonts w:cs="Arial"/>
          <w:b/>
          <w:color w:val="1F497D" w:themeColor="text2"/>
          <w:sz w:val="28"/>
          <w:szCs w:val="28"/>
        </w:rPr>
        <w:t xml:space="preserve"> – Implementation of inquiry recommendations</w:t>
      </w:r>
    </w:p>
    <w:p w:rsidR="00BD7B86" w:rsidRDefault="00BD7B86" w:rsidP="008F71B9">
      <w:pPr>
        <w:autoSpaceDE w:val="0"/>
        <w:autoSpaceDN w:val="0"/>
        <w:adjustRightInd w:val="0"/>
        <w:spacing w:before="0" w:after="0"/>
        <w:rPr>
          <w:rFonts w:cs="Arial"/>
        </w:rPr>
      </w:pPr>
    </w:p>
    <w:p w:rsidR="008F71B9" w:rsidRDefault="008F71B9" w:rsidP="008F71B9">
      <w:pPr>
        <w:autoSpaceDE w:val="0"/>
        <w:autoSpaceDN w:val="0"/>
        <w:adjustRightInd w:val="0"/>
        <w:spacing w:before="0" w:after="0"/>
        <w:rPr>
          <w:rFonts w:cs="Arial"/>
        </w:rPr>
      </w:pPr>
      <w:r w:rsidRPr="008F71B9">
        <w:rPr>
          <w:rFonts w:cs="Arial"/>
        </w:rPr>
        <w:t>In 2012, an independent inquiry was conducted into the responsiveness of Australian Government services to the needs of Australians from culturally and linguistically diverse backgrounds.</w:t>
      </w:r>
      <w:r w:rsidR="00061606">
        <w:rPr>
          <w:rFonts w:cs="Arial"/>
        </w:rPr>
        <w:t xml:space="preserve"> </w:t>
      </w:r>
      <w:r w:rsidR="00BD7B86">
        <w:rPr>
          <w:rFonts w:cs="Arial"/>
        </w:rPr>
        <w:t>T</w:t>
      </w:r>
      <w:r w:rsidR="00BD7B86" w:rsidRPr="00BD7B86">
        <w:rPr>
          <w:rFonts w:cs="Arial"/>
        </w:rPr>
        <w:t xml:space="preserve">he </w:t>
      </w:r>
      <w:r w:rsidR="00BD7B86" w:rsidRPr="00BD7B86">
        <w:rPr>
          <w:rFonts w:cs="Arial"/>
          <w:i/>
        </w:rPr>
        <w:t>Access and Equity for a multicultural Australia</w:t>
      </w:r>
      <w:r w:rsidR="00BD7B86">
        <w:rPr>
          <w:rFonts w:cs="Arial"/>
        </w:rPr>
        <w:t xml:space="preserve"> Report made 20 recommendations </w:t>
      </w:r>
      <w:r w:rsidR="00833B6F">
        <w:rPr>
          <w:rFonts w:cs="Arial"/>
        </w:rPr>
        <w:t>directed at building on Australia’s strong multicultural foundation.</w:t>
      </w:r>
      <w:r w:rsidR="007F07EC">
        <w:rPr>
          <w:rStyle w:val="EndnoteReference"/>
          <w:rFonts w:cs="Arial"/>
        </w:rPr>
        <w:endnoteReference w:id="8"/>
      </w:r>
      <w:r w:rsidR="00833B6F">
        <w:rPr>
          <w:rFonts w:cs="Arial"/>
        </w:rPr>
        <w:t xml:space="preserve"> </w:t>
      </w:r>
      <w:r w:rsidRPr="008F71B9">
        <w:rPr>
          <w:rFonts w:cs="Arial"/>
        </w:rPr>
        <w:t>In March 2013, the Australian Government expressed support for all of the inquiry’s recommendations aimed at improving the response of government services to the needs of people from culturally and linguistically diverse backgrounds</w:t>
      </w:r>
      <w:r w:rsidR="00833B6F">
        <w:rPr>
          <w:rFonts w:cs="Arial"/>
        </w:rPr>
        <w:t>.</w:t>
      </w:r>
    </w:p>
    <w:p w:rsidR="007E7A26" w:rsidRDefault="007E7A26" w:rsidP="008F71B9">
      <w:pPr>
        <w:autoSpaceDE w:val="0"/>
        <w:autoSpaceDN w:val="0"/>
        <w:adjustRightInd w:val="0"/>
        <w:spacing w:before="0" w:after="0"/>
        <w:rPr>
          <w:rFonts w:cs="Arial"/>
        </w:rPr>
      </w:pPr>
    </w:p>
    <w:p w:rsidR="003626B9" w:rsidRPr="003626B9" w:rsidRDefault="007F07EC" w:rsidP="003626B9">
      <w:pPr>
        <w:autoSpaceDE w:val="0"/>
        <w:autoSpaceDN w:val="0"/>
        <w:adjustRightInd w:val="0"/>
        <w:spacing w:before="0" w:after="0"/>
        <w:rPr>
          <w:rFonts w:cs="Arial"/>
        </w:rPr>
      </w:pPr>
      <w:r>
        <w:rPr>
          <w:rFonts w:cs="Arial"/>
        </w:rPr>
        <w:t xml:space="preserve">In March 2013, the Commission welcomed </w:t>
      </w:r>
      <w:r w:rsidR="007E7A26" w:rsidRPr="007E7A26">
        <w:rPr>
          <w:rFonts w:cs="Arial"/>
        </w:rPr>
        <w:t>the release of the federal Joint Standing Committee on</w:t>
      </w:r>
      <w:r>
        <w:rPr>
          <w:rFonts w:cs="Arial"/>
        </w:rPr>
        <w:t xml:space="preserve"> </w:t>
      </w:r>
      <w:r w:rsidR="007E7A26" w:rsidRPr="007E7A26">
        <w:rPr>
          <w:rFonts w:cs="Arial"/>
        </w:rPr>
        <w:t>Migration report on the inquiry into multiculturalism in Australia</w:t>
      </w:r>
      <w:r>
        <w:rPr>
          <w:rFonts w:cs="Arial"/>
        </w:rPr>
        <w:t>.</w:t>
      </w:r>
      <w:r w:rsidR="00F10A67">
        <w:rPr>
          <w:rStyle w:val="EndnoteReference"/>
          <w:rFonts w:cs="Arial"/>
        </w:rPr>
        <w:endnoteReference w:id="9"/>
      </w:r>
      <w:r>
        <w:rPr>
          <w:rFonts w:cs="Arial"/>
        </w:rPr>
        <w:t xml:space="preserve"> </w:t>
      </w:r>
      <w:r w:rsidR="007E7A26" w:rsidRPr="007E7A26">
        <w:rPr>
          <w:rFonts w:cs="Arial"/>
        </w:rPr>
        <w:t>The report affirm</w:t>
      </w:r>
      <w:r>
        <w:rPr>
          <w:rFonts w:cs="Arial"/>
        </w:rPr>
        <w:t>ed</w:t>
      </w:r>
      <w:r w:rsidR="007E7A26" w:rsidRPr="007E7A26">
        <w:rPr>
          <w:rFonts w:cs="Arial"/>
        </w:rPr>
        <w:t xml:space="preserve"> that multiculturalism is a success story, and stands</w:t>
      </w:r>
      <w:r>
        <w:rPr>
          <w:rFonts w:cs="Arial"/>
        </w:rPr>
        <w:t xml:space="preserve"> </w:t>
      </w:r>
      <w:r w:rsidR="007E7A26" w:rsidRPr="007E7A26">
        <w:rPr>
          <w:rFonts w:cs="Arial"/>
        </w:rPr>
        <w:t>as a good example to the world on how to build a cohesive society.</w:t>
      </w:r>
      <w:r>
        <w:rPr>
          <w:rFonts w:cs="Arial"/>
        </w:rPr>
        <w:t xml:space="preserve"> The Commission </w:t>
      </w:r>
      <w:r w:rsidR="007E7A26" w:rsidRPr="007E7A26">
        <w:rPr>
          <w:rFonts w:cs="Arial"/>
        </w:rPr>
        <w:t>encourages the Government to implement the Committee’s</w:t>
      </w:r>
      <w:r>
        <w:rPr>
          <w:rFonts w:cs="Arial"/>
        </w:rPr>
        <w:t xml:space="preserve"> </w:t>
      </w:r>
      <w:r w:rsidR="00F10A67">
        <w:rPr>
          <w:rFonts w:cs="Arial"/>
        </w:rPr>
        <w:t xml:space="preserve">32 </w:t>
      </w:r>
      <w:r w:rsidR="007E7A26" w:rsidRPr="007E7A26">
        <w:rPr>
          <w:rFonts w:cs="Arial"/>
        </w:rPr>
        <w:t>recommendations.</w:t>
      </w:r>
    </w:p>
    <w:p w:rsidR="003626B9" w:rsidRPr="003626B9" w:rsidRDefault="003626B9" w:rsidP="003626B9">
      <w:pPr>
        <w:autoSpaceDE w:val="0"/>
        <w:autoSpaceDN w:val="0"/>
        <w:adjustRightInd w:val="0"/>
        <w:spacing w:before="0" w:after="0"/>
        <w:rPr>
          <w:rFonts w:cs="Arial"/>
        </w:rPr>
      </w:pPr>
    </w:p>
    <w:p w:rsidR="003626B9" w:rsidRPr="007E6C95" w:rsidRDefault="009B3A53" w:rsidP="003626B9">
      <w:pPr>
        <w:autoSpaceDE w:val="0"/>
        <w:autoSpaceDN w:val="0"/>
        <w:adjustRightInd w:val="0"/>
        <w:spacing w:before="0" w:after="0"/>
        <w:rPr>
          <w:rFonts w:cs="Arial"/>
          <w:b/>
          <w:color w:val="1F497D" w:themeColor="text2"/>
          <w:sz w:val="28"/>
          <w:szCs w:val="28"/>
        </w:rPr>
      </w:pPr>
      <w:r w:rsidRPr="007E6C95">
        <w:rPr>
          <w:rFonts w:cs="Arial"/>
          <w:b/>
          <w:color w:val="1F497D" w:themeColor="text2"/>
          <w:sz w:val="28"/>
          <w:szCs w:val="28"/>
        </w:rPr>
        <w:t>Recommendation</w:t>
      </w:r>
    </w:p>
    <w:p w:rsidR="00EE1358" w:rsidRDefault="00EE1358" w:rsidP="003626B9">
      <w:pPr>
        <w:autoSpaceDE w:val="0"/>
        <w:autoSpaceDN w:val="0"/>
        <w:adjustRightInd w:val="0"/>
        <w:spacing w:before="0" w:after="0"/>
        <w:rPr>
          <w:rFonts w:cs="Arial"/>
          <w:b/>
          <w:i/>
        </w:rPr>
      </w:pPr>
    </w:p>
    <w:p w:rsidR="000418D8" w:rsidRDefault="003626B9" w:rsidP="003626B9">
      <w:pPr>
        <w:autoSpaceDE w:val="0"/>
        <w:autoSpaceDN w:val="0"/>
        <w:adjustRightInd w:val="0"/>
        <w:spacing w:before="0" w:after="0"/>
        <w:rPr>
          <w:rFonts w:cs="Arial"/>
          <w:b/>
          <w:i/>
        </w:rPr>
        <w:sectPr w:rsidR="000418D8" w:rsidSect="00CE7182">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418" w:bottom="1134" w:left="1418" w:header="709" w:footer="709" w:gutter="0"/>
          <w:cols w:space="708"/>
          <w:docGrid w:linePitch="360"/>
        </w:sectPr>
      </w:pPr>
      <w:r w:rsidRPr="003626B9">
        <w:rPr>
          <w:rFonts w:cs="Arial"/>
          <w:b/>
          <w:i/>
        </w:rPr>
        <w:t>The Commission recommends that Government implement recommendations of the</w:t>
      </w:r>
      <w:r w:rsidR="009B3A53">
        <w:rPr>
          <w:rFonts w:cs="Arial"/>
          <w:b/>
          <w:i/>
        </w:rPr>
        <w:t xml:space="preserve"> </w:t>
      </w:r>
      <w:r w:rsidRPr="003626B9">
        <w:rPr>
          <w:rFonts w:cs="Arial"/>
          <w:b/>
          <w:i/>
        </w:rPr>
        <w:t>Migration and Multiculturalism and Access and Equity inquiries.</w:t>
      </w:r>
    </w:p>
    <w:p w:rsidR="00AF0822" w:rsidRPr="003626B9" w:rsidRDefault="00AF0822" w:rsidP="000418D8">
      <w:pPr>
        <w:autoSpaceDE w:val="0"/>
        <w:autoSpaceDN w:val="0"/>
        <w:adjustRightInd w:val="0"/>
        <w:spacing w:before="0" w:after="0"/>
        <w:rPr>
          <w:rFonts w:cs="Arial"/>
          <w:color w:val="000000"/>
        </w:rPr>
      </w:pPr>
    </w:p>
    <w:sectPr w:rsidR="00AF0822" w:rsidRPr="003626B9" w:rsidSect="00CE7182">
      <w:headerReference w:type="default" r:id="rId14"/>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F41" w:rsidRDefault="00883F41" w:rsidP="00F14C6D">
      <w:r>
        <w:separator/>
      </w:r>
    </w:p>
  </w:endnote>
  <w:endnote w:type="continuationSeparator" w:id="0">
    <w:p w:rsidR="00883F41" w:rsidRDefault="00883F41" w:rsidP="00F14C6D">
      <w:r>
        <w:continuationSeparator/>
      </w:r>
    </w:p>
  </w:endnote>
  <w:endnote w:id="1">
    <w:p w:rsidR="00D44E01" w:rsidRPr="00D44E01" w:rsidRDefault="00D44E01">
      <w:pPr>
        <w:pStyle w:val="EndnoteText"/>
      </w:pPr>
      <w:r>
        <w:rPr>
          <w:rStyle w:val="EndnoteReference"/>
        </w:rPr>
        <w:endnoteRef/>
      </w:r>
      <w:r>
        <w:t xml:space="preserve"> Australian Bureau of Statistics, </w:t>
      </w:r>
      <w:r w:rsidRPr="00D44E01">
        <w:rPr>
          <w:i/>
        </w:rPr>
        <w:t>Reflecting a Nation: Stories from the 2011 Census, 2012–2013</w:t>
      </w:r>
      <w:r>
        <w:t xml:space="preserve">, Cat. No. 2071.0. At </w:t>
      </w:r>
      <w:hyperlink r:id="rId1" w:history="1">
        <w:r w:rsidRPr="00C852C3">
          <w:rPr>
            <w:rStyle w:val="Hyperlink"/>
          </w:rPr>
          <w:t>http://www.abs.gov.au/ausstats/abs@.nsf/Lookup/2071.0main+features902012-2013</w:t>
        </w:r>
      </w:hyperlink>
      <w:r>
        <w:t xml:space="preserve"> (viewed 15 June 2015).</w:t>
      </w:r>
    </w:p>
  </w:endnote>
  <w:endnote w:id="2">
    <w:p w:rsidR="00D44E01" w:rsidRDefault="00D44E01">
      <w:pPr>
        <w:pStyle w:val="EndnoteText"/>
      </w:pPr>
      <w:r>
        <w:rPr>
          <w:rStyle w:val="EndnoteReference"/>
        </w:rPr>
        <w:endnoteRef/>
      </w:r>
      <w:r>
        <w:t xml:space="preserve"> Australian Human Rights Commission, ‘Race Discrimination Commissioner Appointed</w:t>
      </w:r>
      <w:r w:rsidRPr="008B3AA1">
        <w:t xml:space="preserve">’ (Media Release, </w:t>
      </w:r>
      <w:r>
        <w:t>3 August 2011</w:t>
      </w:r>
      <w:r w:rsidRPr="008B3AA1">
        <w:t>).</w:t>
      </w:r>
      <w:r>
        <w:t xml:space="preserve"> At </w:t>
      </w:r>
      <w:hyperlink r:id="rId2" w:history="1">
        <w:r w:rsidRPr="00C852C3">
          <w:rPr>
            <w:rStyle w:val="Hyperlink"/>
          </w:rPr>
          <w:t>https://www.humanrights.gov.au/news/stories/2011-news-race-discrimination-commissioner-appointed</w:t>
        </w:r>
      </w:hyperlink>
      <w:r>
        <w:t xml:space="preserve"> (viewed 15 June 2015).</w:t>
      </w:r>
    </w:p>
  </w:endnote>
  <w:endnote w:id="3">
    <w:p w:rsidR="00D44E01" w:rsidRDefault="00D44E01">
      <w:pPr>
        <w:pStyle w:val="EndnoteText"/>
      </w:pPr>
      <w:r>
        <w:rPr>
          <w:rStyle w:val="EndnoteReference"/>
        </w:rPr>
        <w:endnoteRef/>
      </w:r>
      <w:r>
        <w:t xml:space="preserve"> </w:t>
      </w:r>
      <w:r w:rsidRPr="00BD7B86">
        <w:t xml:space="preserve">Australian Human Rights Commission, </w:t>
      </w:r>
      <w:r w:rsidRPr="00BD7B86">
        <w:rPr>
          <w:i/>
        </w:rPr>
        <w:t xml:space="preserve">National Anti-Racism Strategy and Racism, It Stops with </w:t>
      </w:r>
      <w:r w:rsidRPr="00BD7B86">
        <w:t xml:space="preserve">Me. At </w:t>
      </w:r>
      <w:hyperlink r:id="rId3" w:history="1">
        <w:r w:rsidRPr="00BD7B86">
          <w:rPr>
            <w:rStyle w:val="Hyperlink"/>
          </w:rPr>
          <w:t>https://www.humanrights.gov.au/our-work/race-discrimination/projects/national-anti-racism-strategy-and-racism-it-stops-me-campaign</w:t>
        </w:r>
      </w:hyperlink>
      <w:r w:rsidRPr="00BD7B86">
        <w:t xml:space="preserve"> (viewed 15 June 2015).</w:t>
      </w:r>
    </w:p>
  </w:endnote>
  <w:endnote w:id="4">
    <w:p w:rsidR="00D44E01" w:rsidRDefault="00D44E01">
      <w:pPr>
        <w:pStyle w:val="EndnoteText"/>
      </w:pPr>
      <w:r>
        <w:rPr>
          <w:rStyle w:val="EndnoteReference"/>
        </w:rPr>
        <w:endnoteRef/>
      </w:r>
      <w:r>
        <w:t xml:space="preserve"> Department of Social Services, </w:t>
      </w:r>
      <w:proofErr w:type="gramStart"/>
      <w:r w:rsidRPr="00061606">
        <w:rPr>
          <w:i/>
        </w:rPr>
        <w:t>The</w:t>
      </w:r>
      <w:proofErr w:type="gramEnd"/>
      <w:r w:rsidRPr="00061606">
        <w:rPr>
          <w:i/>
        </w:rPr>
        <w:t xml:space="preserve"> People of Australia – Australia's Multicultural Policy</w:t>
      </w:r>
      <w:r>
        <w:t xml:space="preserve">. At </w:t>
      </w:r>
      <w:hyperlink r:id="rId4" w:history="1">
        <w:r w:rsidRPr="00C852C3">
          <w:rPr>
            <w:rStyle w:val="Hyperlink"/>
          </w:rPr>
          <w:t>https://www.dss.gov.au/our-responsibilities/settlement-and-multicultural-affairs/publications/the-people-of-australia-australias-multicultural-policy</w:t>
        </w:r>
      </w:hyperlink>
      <w:r>
        <w:t xml:space="preserve"> (viewed 15 June 2015).</w:t>
      </w:r>
    </w:p>
  </w:endnote>
  <w:endnote w:id="5">
    <w:p w:rsidR="00D44E01" w:rsidRDefault="00D44E01">
      <w:pPr>
        <w:pStyle w:val="EndnoteText"/>
      </w:pPr>
      <w:r>
        <w:rPr>
          <w:rStyle w:val="EndnoteReference"/>
        </w:rPr>
        <w:endnoteRef/>
      </w:r>
      <w:r>
        <w:t xml:space="preserve"> House of Representatives Joint Standing Committee on Migration, </w:t>
      </w:r>
      <w:r w:rsidRPr="009B3A53">
        <w:t xml:space="preserve">Parliament of Australia, </w:t>
      </w:r>
      <w:r>
        <w:rPr>
          <w:i/>
        </w:rPr>
        <w:t xml:space="preserve">Inquiry into Multiculturalism in Australia </w:t>
      </w:r>
      <w:r w:rsidRPr="009B3A53">
        <w:t>(20</w:t>
      </w:r>
      <w:r>
        <w:t>13</w:t>
      </w:r>
      <w:r w:rsidRPr="009B3A53">
        <w:t>)</w:t>
      </w:r>
      <w:r>
        <w:t xml:space="preserve">. At </w:t>
      </w:r>
      <w:hyperlink r:id="rId5" w:history="1">
        <w:r w:rsidRPr="00C852C3">
          <w:rPr>
            <w:rStyle w:val="Hyperlink"/>
          </w:rPr>
          <w:t>http://www.aph.gov.au/Parliamentary_Business/Committees/House_of_Representatives_committees?url=mig/multiculturalism/report.htm</w:t>
        </w:r>
      </w:hyperlink>
      <w:r>
        <w:t xml:space="preserve"> (viewed 15 June 2015).</w:t>
      </w:r>
    </w:p>
  </w:endnote>
  <w:endnote w:id="6">
    <w:p w:rsidR="00D44E01" w:rsidRDefault="00D44E01">
      <w:pPr>
        <w:pStyle w:val="EndnoteText"/>
      </w:pPr>
      <w:r w:rsidRPr="00BD7B86">
        <w:rPr>
          <w:rStyle w:val="EndnoteReference"/>
        </w:rPr>
        <w:endnoteRef/>
      </w:r>
      <w:r w:rsidRPr="00BD7B86">
        <w:t xml:space="preserve"> </w:t>
      </w:r>
      <w:r>
        <w:t xml:space="preserve">Access and Equity Inquiry Panel, </w:t>
      </w:r>
      <w:r>
        <w:rPr>
          <w:i/>
        </w:rPr>
        <w:t>Access and Equity for a multicultural Australia. Inquiry into the responsiveness of Australian Government services to Australia’s culturally and linguistically diverse population</w:t>
      </w:r>
      <w:r>
        <w:t xml:space="preserve">, </w:t>
      </w:r>
      <w:r w:rsidRPr="00BD7B86">
        <w:t xml:space="preserve">Department of </w:t>
      </w:r>
      <w:r>
        <w:t>Immigration and Citizenship (</w:t>
      </w:r>
      <w:r w:rsidRPr="00BD7B86">
        <w:t>20</w:t>
      </w:r>
      <w:r>
        <w:t>12</w:t>
      </w:r>
      <w:r w:rsidRPr="00BD7B86">
        <w:t>)</w:t>
      </w:r>
      <w:r>
        <w:t xml:space="preserve">. At </w:t>
      </w:r>
      <w:hyperlink r:id="rId6" w:history="1">
        <w:r w:rsidRPr="00C852C3">
          <w:rPr>
            <w:rStyle w:val="Hyperlink"/>
          </w:rPr>
          <w:t>https://www.dss.gov.au/our-responsibilities/settlement-and-multicultural-affairs/programs-policy/multicultural-access-and-equity/access-and-equity-for-a-multicultural-australia</w:t>
        </w:r>
      </w:hyperlink>
      <w:r>
        <w:t xml:space="preserve"> (viewed 15 June 2015).</w:t>
      </w:r>
    </w:p>
  </w:endnote>
  <w:endnote w:id="7">
    <w:p w:rsidR="00446225" w:rsidRDefault="00446225">
      <w:pPr>
        <w:pStyle w:val="EndnoteText"/>
      </w:pPr>
      <w:r>
        <w:rPr>
          <w:rStyle w:val="EndnoteReference"/>
        </w:rPr>
        <w:endnoteRef/>
      </w:r>
      <w:r>
        <w:t xml:space="preserve"> </w:t>
      </w:r>
      <w:r w:rsidRPr="00446225">
        <w:t xml:space="preserve">Australian Human Rights Commission, </w:t>
      </w:r>
      <w:r w:rsidRPr="00446225">
        <w:rPr>
          <w:i/>
        </w:rPr>
        <w:t>Racism, It Stops with Me</w:t>
      </w:r>
      <w:r>
        <w:rPr>
          <w:i/>
        </w:rPr>
        <w:t xml:space="preserve"> </w:t>
      </w:r>
      <w:r>
        <w:t>Campaign</w:t>
      </w:r>
      <w:r w:rsidRPr="00446225">
        <w:t xml:space="preserve">. At </w:t>
      </w:r>
      <w:hyperlink r:id="rId7" w:history="1">
        <w:r w:rsidRPr="00C852C3">
          <w:rPr>
            <w:rStyle w:val="Hyperlink"/>
          </w:rPr>
          <w:t>https://itstopswithme.humanrights.gov.au/</w:t>
        </w:r>
      </w:hyperlink>
      <w:r>
        <w:t xml:space="preserve"> </w:t>
      </w:r>
      <w:r w:rsidRPr="00446225">
        <w:t xml:space="preserve"> (viewed 15 June 2015).</w:t>
      </w:r>
    </w:p>
  </w:endnote>
  <w:endnote w:id="8">
    <w:p w:rsidR="007F07EC" w:rsidRDefault="007F07EC">
      <w:pPr>
        <w:pStyle w:val="EndnoteText"/>
      </w:pPr>
      <w:r>
        <w:rPr>
          <w:rStyle w:val="EndnoteReference"/>
        </w:rPr>
        <w:endnoteRef/>
      </w:r>
      <w:r>
        <w:t xml:space="preserve"> </w:t>
      </w:r>
      <w:r w:rsidRPr="007F07EC">
        <w:t xml:space="preserve">Access and Equity Inquiry Panel, </w:t>
      </w:r>
      <w:r w:rsidRPr="007F07EC">
        <w:rPr>
          <w:i/>
        </w:rPr>
        <w:t>Access and Equity for a multicultural Australia. Inquiry into the responsiveness of Australian Government services to Australia’s culturally and linguistically diverse population</w:t>
      </w:r>
      <w:r w:rsidRPr="007F07EC">
        <w:t>, Department of Immigration and Citizenship (2012)</w:t>
      </w:r>
      <w:r>
        <w:t>, p 11-12</w:t>
      </w:r>
      <w:r w:rsidRPr="007F07EC">
        <w:t xml:space="preserve">. At </w:t>
      </w:r>
      <w:hyperlink r:id="rId8" w:history="1">
        <w:r w:rsidRPr="007F07EC">
          <w:rPr>
            <w:rStyle w:val="Hyperlink"/>
          </w:rPr>
          <w:t>https://www.dss.gov.au/our-responsibilities/settlement-and-multicultural-affairs/programs-policy/multicultural-access-and-equity/access-and-equity-for-a-multicultural-australia</w:t>
        </w:r>
      </w:hyperlink>
      <w:r w:rsidRPr="007F07EC">
        <w:t xml:space="preserve"> (viewed 15 June 2015).</w:t>
      </w:r>
    </w:p>
  </w:endnote>
  <w:endnote w:id="9">
    <w:p w:rsidR="00F10A67" w:rsidRDefault="00F10A67">
      <w:pPr>
        <w:pStyle w:val="EndnoteText"/>
      </w:pPr>
      <w:r>
        <w:rPr>
          <w:rStyle w:val="EndnoteReference"/>
        </w:rPr>
        <w:endnoteRef/>
      </w:r>
      <w:r>
        <w:t xml:space="preserve"> </w:t>
      </w:r>
      <w:r w:rsidRPr="00F10A67">
        <w:t xml:space="preserve">House of Representatives Joint Standing Committee on Migration, Parliament of Australia, </w:t>
      </w:r>
      <w:r w:rsidRPr="00F10A67">
        <w:rPr>
          <w:i/>
        </w:rPr>
        <w:t xml:space="preserve">Inquiry into Multiculturalism in Australia </w:t>
      </w:r>
      <w:r w:rsidRPr="00F10A67">
        <w:t xml:space="preserve">(2013). At </w:t>
      </w:r>
      <w:hyperlink r:id="rId9" w:history="1">
        <w:r w:rsidRPr="00F10A67">
          <w:rPr>
            <w:rStyle w:val="Hyperlink"/>
          </w:rPr>
          <w:t>http://www.aph.gov.au/Parliamentary_Business/Committees/House_of_Representatives_committees?url=mig/multiculturalism/report.htm</w:t>
        </w:r>
      </w:hyperlink>
      <w:r w:rsidRPr="00F10A67">
        <w:t xml:space="preserve"> (viewed 15 June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70B" w:rsidRDefault="000C37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00C" w:rsidRPr="000C370B" w:rsidRDefault="0024300C" w:rsidP="000C370B">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70B" w:rsidRDefault="000C37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F41" w:rsidRDefault="00883F41" w:rsidP="00F14C6D">
      <w:r>
        <w:separator/>
      </w:r>
    </w:p>
  </w:footnote>
  <w:footnote w:type="continuationSeparator" w:id="0">
    <w:p w:rsidR="00883F41" w:rsidRDefault="00883F41"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70B" w:rsidRDefault="000C37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C95" w:rsidRDefault="00713669">
    <w:pPr>
      <w:pStyle w:val="Header"/>
    </w:pPr>
    <w:r>
      <w:ptab w:relativeTo="margin" w:alignment="center" w:leader="none"/>
    </w:r>
    <w:r>
      <w:ptab w:relativeTo="margin" w:alignment="right" w:leader="none"/>
    </w:r>
  </w:p>
  <w:p w:rsidR="002F215C" w:rsidRDefault="002F215C">
    <w:pPr>
      <w:pStyle w:val="Header"/>
      <w:rPr>
        <w:sz w:val="20"/>
        <w:szCs w:val="20"/>
      </w:rPr>
    </w:pPr>
  </w:p>
  <w:p w:rsidR="00713669" w:rsidRPr="00713669" w:rsidRDefault="002F215C">
    <w:pPr>
      <w:pStyle w:val="Header"/>
      <w:rPr>
        <w:b/>
        <w:sz w:val="20"/>
        <w:szCs w:val="20"/>
      </w:rPr>
    </w:pPr>
    <w:r>
      <w:rPr>
        <w:rFonts w:cs="ArialMT"/>
        <w:b/>
        <w:noProof/>
        <w:color w:val="000000"/>
        <w:spacing w:val="-20"/>
        <w:sz w:val="32"/>
      </w:rPr>
      <w:drawing>
        <wp:anchor distT="0" distB="0" distL="114300" distR="114300" simplePos="0" relativeHeight="251658240" behindDoc="0" locked="0" layoutInCell="1" allowOverlap="1" wp14:anchorId="72F23192" wp14:editId="5064A207">
          <wp:simplePos x="0" y="0"/>
          <wp:positionH relativeFrom="margin">
            <wp:align>left</wp:align>
          </wp:positionH>
          <wp:positionV relativeFrom="page">
            <wp:posOffset>769172</wp:posOffset>
          </wp:positionV>
          <wp:extent cx="2362200" cy="809625"/>
          <wp:effectExtent l="0" t="0" r="0" b="9525"/>
          <wp:wrapSquare wrapText="bothSides"/>
          <wp:docPr id="3" name="Picture 3"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anchor>
      </w:drawing>
    </w:r>
    <w:r w:rsidR="00713669" w:rsidRPr="00713669">
      <w:rPr>
        <w:sz w:val="20"/>
        <w:szCs w:val="20"/>
      </w:rPr>
      <w:t>Universal Periodic Review</w:t>
    </w:r>
  </w:p>
  <w:p w:rsidR="00713669" w:rsidRPr="00713669" w:rsidRDefault="00713669">
    <w:pPr>
      <w:pStyle w:val="Head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70B" w:rsidRDefault="000C370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8D8" w:rsidRPr="000418D8" w:rsidRDefault="000418D8" w:rsidP="000418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3"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1"/>
  </w:num>
  <w:num w:numId="12">
    <w:abstractNumId w:val="17"/>
  </w:num>
  <w:num w:numId="13">
    <w:abstractNumId w:val="13"/>
  </w:num>
  <w:num w:numId="14">
    <w:abstractNumId w:val="20"/>
  </w:num>
  <w:num w:numId="15">
    <w:abstractNumId w:val="14"/>
  </w:num>
  <w:num w:numId="16">
    <w:abstractNumId w:val="10"/>
  </w:num>
  <w:num w:numId="17">
    <w:abstractNumId w:val="2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9"/>
  </w:num>
  <w:num w:numId="21">
    <w:abstractNumId w:val="18"/>
  </w:num>
  <w:num w:numId="22">
    <w:abstractNumId w:val="1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41"/>
    <w:rsid w:val="0001254B"/>
    <w:rsid w:val="00013272"/>
    <w:rsid w:val="00021134"/>
    <w:rsid w:val="000418D8"/>
    <w:rsid w:val="000540A0"/>
    <w:rsid w:val="000579B1"/>
    <w:rsid w:val="00061606"/>
    <w:rsid w:val="00074750"/>
    <w:rsid w:val="00074CD6"/>
    <w:rsid w:val="00080B43"/>
    <w:rsid w:val="000B0A5D"/>
    <w:rsid w:val="000C370B"/>
    <w:rsid w:val="001011C8"/>
    <w:rsid w:val="00132462"/>
    <w:rsid w:val="00140077"/>
    <w:rsid w:val="001523D8"/>
    <w:rsid w:val="001566D4"/>
    <w:rsid w:val="00162A8D"/>
    <w:rsid w:val="001736E5"/>
    <w:rsid w:val="00184098"/>
    <w:rsid w:val="001867A2"/>
    <w:rsid w:val="001A5D46"/>
    <w:rsid w:val="001B0353"/>
    <w:rsid w:val="001C139C"/>
    <w:rsid w:val="001C451B"/>
    <w:rsid w:val="001F2BBB"/>
    <w:rsid w:val="0020759E"/>
    <w:rsid w:val="002144AA"/>
    <w:rsid w:val="00231ED1"/>
    <w:rsid w:val="0023303F"/>
    <w:rsid w:val="0024300C"/>
    <w:rsid w:val="0024557E"/>
    <w:rsid w:val="002702D9"/>
    <w:rsid w:val="002F215C"/>
    <w:rsid w:val="003040CA"/>
    <w:rsid w:val="00310ED4"/>
    <w:rsid w:val="0031492A"/>
    <w:rsid w:val="00316504"/>
    <w:rsid w:val="00316C1A"/>
    <w:rsid w:val="00321AF0"/>
    <w:rsid w:val="00361E04"/>
    <w:rsid w:val="003626B9"/>
    <w:rsid w:val="00377C8F"/>
    <w:rsid w:val="003931C7"/>
    <w:rsid w:val="003955AE"/>
    <w:rsid w:val="00395B25"/>
    <w:rsid w:val="003A1349"/>
    <w:rsid w:val="003A533F"/>
    <w:rsid w:val="003B18A7"/>
    <w:rsid w:val="003F0CEE"/>
    <w:rsid w:val="004215B3"/>
    <w:rsid w:val="00444303"/>
    <w:rsid w:val="00446225"/>
    <w:rsid w:val="004561BE"/>
    <w:rsid w:val="00462D4C"/>
    <w:rsid w:val="00473DB9"/>
    <w:rsid w:val="00474063"/>
    <w:rsid w:val="00476EEA"/>
    <w:rsid w:val="00494D4B"/>
    <w:rsid w:val="004A722D"/>
    <w:rsid w:val="004B1EFF"/>
    <w:rsid w:val="004B76CC"/>
    <w:rsid w:val="004F53EF"/>
    <w:rsid w:val="00503E04"/>
    <w:rsid w:val="00504B28"/>
    <w:rsid w:val="00513540"/>
    <w:rsid w:val="00522CED"/>
    <w:rsid w:val="00554C04"/>
    <w:rsid w:val="0057120C"/>
    <w:rsid w:val="00593672"/>
    <w:rsid w:val="005B7515"/>
    <w:rsid w:val="005C1654"/>
    <w:rsid w:val="005D04F4"/>
    <w:rsid w:val="005D1F34"/>
    <w:rsid w:val="005F5F45"/>
    <w:rsid w:val="00610B52"/>
    <w:rsid w:val="00690313"/>
    <w:rsid w:val="00696390"/>
    <w:rsid w:val="006A6BB3"/>
    <w:rsid w:val="006B3680"/>
    <w:rsid w:val="006D5EE5"/>
    <w:rsid w:val="006E06ED"/>
    <w:rsid w:val="006E06F5"/>
    <w:rsid w:val="007039FC"/>
    <w:rsid w:val="00706FAB"/>
    <w:rsid w:val="00707793"/>
    <w:rsid w:val="00713669"/>
    <w:rsid w:val="007169BB"/>
    <w:rsid w:val="00725D5E"/>
    <w:rsid w:val="007330A6"/>
    <w:rsid w:val="007548CA"/>
    <w:rsid w:val="00770DCB"/>
    <w:rsid w:val="00775485"/>
    <w:rsid w:val="007841E1"/>
    <w:rsid w:val="007C506A"/>
    <w:rsid w:val="007D40BD"/>
    <w:rsid w:val="007E1866"/>
    <w:rsid w:val="007E6434"/>
    <w:rsid w:val="007E6C95"/>
    <w:rsid w:val="007E7A26"/>
    <w:rsid w:val="007F07EC"/>
    <w:rsid w:val="007F5F1C"/>
    <w:rsid w:val="00810ABF"/>
    <w:rsid w:val="008125EE"/>
    <w:rsid w:val="0083209A"/>
    <w:rsid w:val="00833B6F"/>
    <w:rsid w:val="00851B64"/>
    <w:rsid w:val="0087061C"/>
    <w:rsid w:val="008724DE"/>
    <w:rsid w:val="00883F41"/>
    <w:rsid w:val="008A2AF7"/>
    <w:rsid w:val="008A3D57"/>
    <w:rsid w:val="008B3AA1"/>
    <w:rsid w:val="008E3D60"/>
    <w:rsid w:val="008F71B9"/>
    <w:rsid w:val="0090165F"/>
    <w:rsid w:val="0091504C"/>
    <w:rsid w:val="00921CB7"/>
    <w:rsid w:val="00923C4F"/>
    <w:rsid w:val="009472C4"/>
    <w:rsid w:val="00950E88"/>
    <w:rsid w:val="00966C2F"/>
    <w:rsid w:val="009802F3"/>
    <w:rsid w:val="009A5753"/>
    <w:rsid w:val="009B3A53"/>
    <w:rsid w:val="009C5719"/>
    <w:rsid w:val="009C5FB8"/>
    <w:rsid w:val="009E7FC4"/>
    <w:rsid w:val="009F51D9"/>
    <w:rsid w:val="009F7AAC"/>
    <w:rsid w:val="00A02F56"/>
    <w:rsid w:val="00A0406E"/>
    <w:rsid w:val="00A22735"/>
    <w:rsid w:val="00A41355"/>
    <w:rsid w:val="00A43B92"/>
    <w:rsid w:val="00A44720"/>
    <w:rsid w:val="00A6179E"/>
    <w:rsid w:val="00A66F67"/>
    <w:rsid w:val="00AC27AB"/>
    <w:rsid w:val="00AC6A34"/>
    <w:rsid w:val="00AE76EB"/>
    <w:rsid w:val="00AF0822"/>
    <w:rsid w:val="00AF704C"/>
    <w:rsid w:val="00B10E45"/>
    <w:rsid w:val="00B22697"/>
    <w:rsid w:val="00B277E0"/>
    <w:rsid w:val="00B52E2D"/>
    <w:rsid w:val="00B76653"/>
    <w:rsid w:val="00B93099"/>
    <w:rsid w:val="00BA262D"/>
    <w:rsid w:val="00BC79EB"/>
    <w:rsid w:val="00BD7B86"/>
    <w:rsid w:val="00C076F2"/>
    <w:rsid w:val="00C13805"/>
    <w:rsid w:val="00C247EB"/>
    <w:rsid w:val="00C25BDA"/>
    <w:rsid w:val="00C53971"/>
    <w:rsid w:val="00C54FB1"/>
    <w:rsid w:val="00C70EDA"/>
    <w:rsid w:val="00C747FC"/>
    <w:rsid w:val="00C80F9F"/>
    <w:rsid w:val="00CA0D78"/>
    <w:rsid w:val="00CB0DC5"/>
    <w:rsid w:val="00CB27A8"/>
    <w:rsid w:val="00CE00C0"/>
    <w:rsid w:val="00CE7182"/>
    <w:rsid w:val="00D36D90"/>
    <w:rsid w:val="00D44E01"/>
    <w:rsid w:val="00D65C76"/>
    <w:rsid w:val="00D8027B"/>
    <w:rsid w:val="00D83F89"/>
    <w:rsid w:val="00DA2F73"/>
    <w:rsid w:val="00DA42E8"/>
    <w:rsid w:val="00DC193F"/>
    <w:rsid w:val="00DC3C4F"/>
    <w:rsid w:val="00DC462F"/>
    <w:rsid w:val="00E034DF"/>
    <w:rsid w:val="00E14CE1"/>
    <w:rsid w:val="00E24FA3"/>
    <w:rsid w:val="00E328CD"/>
    <w:rsid w:val="00E45954"/>
    <w:rsid w:val="00E75D90"/>
    <w:rsid w:val="00E835AF"/>
    <w:rsid w:val="00E97EF8"/>
    <w:rsid w:val="00EE1358"/>
    <w:rsid w:val="00EE44D7"/>
    <w:rsid w:val="00F10A67"/>
    <w:rsid w:val="00F14C6D"/>
    <w:rsid w:val="00F3100E"/>
    <w:rsid w:val="00F56B5D"/>
    <w:rsid w:val="00F71A6E"/>
    <w:rsid w:val="00F9078E"/>
    <w:rsid w:val="00F95982"/>
    <w:rsid w:val="00FC039C"/>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8EC36BCA-95B3-4CC0-AF99-6A4CEA5CB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character" w:customStyle="1" w:styleId="apple-converted-space">
    <w:name w:val="apple-converted-space"/>
    <w:basedOn w:val="DefaultParagraphFont"/>
    <w:rsid w:val="00C747FC"/>
  </w:style>
  <w:style w:type="character" w:styleId="CommentReference">
    <w:name w:val="annotation reference"/>
    <w:basedOn w:val="DefaultParagraphFont"/>
    <w:semiHidden/>
    <w:unhideWhenUsed/>
    <w:locked/>
    <w:rsid w:val="0057120C"/>
    <w:rPr>
      <w:sz w:val="16"/>
      <w:szCs w:val="16"/>
    </w:rPr>
  </w:style>
  <w:style w:type="paragraph" w:styleId="CommentText">
    <w:name w:val="annotation text"/>
    <w:basedOn w:val="Normal"/>
    <w:link w:val="CommentTextChar"/>
    <w:semiHidden/>
    <w:unhideWhenUsed/>
    <w:locked/>
    <w:rsid w:val="0057120C"/>
    <w:rPr>
      <w:sz w:val="20"/>
      <w:szCs w:val="20"/>
    </w:rPr>
  </w:style>
  <w:style w:type="character" w:customStyle="1" w:styleId="CommentTextChar">
    <w:name w:val="Comment Text Char"/>
    <w:basedOn w:val="DefaultParagraphFont"/>
    <w:link w:val="CommentText"/>
    <w:semiHidden/>
    <w:rsid w:val="0057120C"/>
    <w:rPr>
      <w:rFonts w:ascii="Arial" w:hAnsi="Arial"/>
    </w:rPr>
  </w:style>
  <w:style w:type="paragraph" w:styleId="CommentSubject">
    <w:name w:val="annotation subject"/>
    <w:basedOn w:val="CommentText"/>
    <w:next w:val="CommentText"/>
    <w:link w:val="CommentSubjectChar"/>
    <w:semiHidden/>
    <w:unhideWhenUsed/>
    <w:locked/>
    <w:rsid w:val="0057120C"/>
    <w:rPr>
      <w:b/>
      <w:bCs/>
    </w:rPr>
  </w:style>
  <w:style w:type="character" w:customStyle="1" w:styleId="CommentSubjectChar">
    <w:name w:val="Comment Subject Char"/>
    <w:basedOn w:val="CommentTextChar"/>
    <w:link w:val="CommentSubject"/>
    <w:semiHidden/>
    <w:rsid w:val="0057120C"/>
    <w:rPr>
      <w:rFonts w:ascii="Arial" w:hAnsi="Arial"/>
      <w:b/>
      <w:bCs/>
    </w:rPr>
  </w:style>
  <w:style w:type="paragraph" w:styleId="BalloonText">
    <w:name w:val="Balloon Text"/>
    <w:basedOn w:val="Normal"/>
    <w:link w:val="BalloonTextChar"/>
    <w:semiHidden/>
    <w:unhideWhenUsed/>
    <w:locked/>
    <w:rsid w:val="0057120C"/>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5712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endnotes.xml.rels><?xml version="1.0" encoding="UTF-8" standalone="yes"?>
<Relationships xmlns="http://schemas.openxmlformats.org/package/2006/relationships"><Relationship Id="rId8" Type="http://schemas.openxmlformats.org/officeDocument/2006/relationships/hyperlink" Target="https://www.dss.gov.au/our-responsibilities/settlement-and-multicultural-affairs/programs-policy/multicultural-access-and-equity/access-and-equity-for-a-multicultural-australia" TargetMode="External"/><Relationship Id="rId3" Type="http://schemas.openxmlformats.org/officeDocument/2006/relationships/hyperlink" Target="https://www.humanrights.gov.au/our-work/race-discrimination/projects/national-anti-racism-strategy-and-racism-it-stops-me-campaign" TargetMode="External"/><Relationship Id="rId7" Type="http://schemas.openxmlformats.org/officeDocument/2006/relationships/hyperlink" Target="https://itstopswithme.humanrights.gov.au/" TargetMode="External"/><Relationship Id="rId2" Type="http://schemas.openxmlformats.org/officeDocument/2006/relationships/hyperlink" Target="https://www.humanrights.gov.au/news/stories/2011-news-race-discrimination-commissioner-appointed" TargetMode="External"/><Relationship Id="rId1" Type="http://schemas.openxmlformats.org/officeDocument/2006/relationships/hyperlink" Target="http://www.abs.gov.au/ausstats/abs@.nsf/Lookup/2071.0main+features902012-2013" TargetMode="External"/><Relationship Id="rId6" Type="http://schemas.openxmlformats.org/officeDocument/2006/relationships/hyperlink" Target="https://www.dss.gov.au/our-responsibilities/settlement-and-multicultural-affairs/programs-policy/multicultural-access-and-equity/access-and-equity-for-a-multicultural-australia" TargetMode="External"/><Relationship Id="rId5" Type="http://schemas.openxmlformats.org/officeDocument/2006/relationships/hyperlink" Target="http://www.aph.gov.au/Parliamentary_Business/Committees/House_of_Representatives_committees?url=mig/multiculturalism/report.htm" TargetMode="External"/><Relationship Id="rId4" Type="http://schemas.openxmlformats.org/officeDocument/2006/relationships/hyperlink" Target="https://www.dss.gov.au/our-responsibilities/settlement-and-multicultural-affairs/publications/the-people-of-australia-australias-multicultural-policy" TargetMode="External"/><Relationship Id="rId9" Type="http://schemas.openxmlformats.org/officeDocument/2006/relationships/hyperlink" Target="http://www.aph.gov.au/Parliamentary_Business/Committees/House_of_Representatives_committees?url=mig/multiculturalism/report.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6C4A5-0E99-4013-9375-76AD6F2DF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322</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Helen Potts</dc:creator>
  <cp:lastModifiedBy>Mala Wadhera</cp:lastModifiedBy>
  <cp:revision>11</cp:revision>
  <dcterms:created xsi:type="dcterms:W3CDTF">2015-06-17T22:34:00Z</dcterms:created>
  <dcterms:modified xsi:type="dcterms:W3CDTF">2015-06-30T04:55:00Z</dcterms:modified>
</cp:coreProperties>
</file>