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83" w:rsidRDefault="00046D83" w:rsidP="00633CF6">
      <w:pPr>
        <w:pStyle w:val="Title"/>
      </w:pPr>
    </w:p>
    <w:p w:rsidR="00046D83" w:rsidRDefault="00046D83" w:rsidP="00633CF6">
      <w:pPr>
        <w:pStyle w:val="Title"/>
      </w:pPr>
    </w:p>
    <w:p w:rsidR="00633CF6" w:rsidRPr="007A2AF4" w:rsidRDefault="00633CF6" w:rsidP="00633CF6">
      <w:pPr>
        <w:pStyle w:val="Title"/>
        <w:rPr>
          <w:color w:val="1F497D" w:themeColor="text2"/>
          <w:sz w:val="36"/>
          <w:szCs w:val="36"/>
        </w:rPr>
      </w:pPr>
      <w:r w:rsidRPr="007A2AF4">
        <w:rPr>
          <w:color w:val="1F497D" w:themeColor="text2"/>
          <w:sz w:val="36"/>
          <w:szCs w:val="36"/>
        </w:rPr>
        <w:t>Extradition</w:t>
      </w:r>
      <w:r w:rsidR="007D76B2" w:rsidRPr="007A2AF4">
        <w:rPr>
          <w:color w:val="1F497D" w:themeColor="text2"/>
          <w:sz w:val="36"/>
          <w:szCs w:val="36"/>
        </w:rPr>
        <w:t xml:space="preserve"> and</w:t>
      </w:r>
      <w:r w:rsidRPr="007A2AF4">
        <w:rPr>
          <w:color w:val="1F497D" w:themeColor="text2"/>
          <w:sz w:val="36"/>
          <w:szCs w:val="36"/>
        </w:rPr>
        <w:t xml:space="preserve"> mutual assistance</w:t>
      </w:r>
      <w:r w:rsidR="007D76B2" w:rsidRPr="007A2AF4">
        <w:rPr>
          <w:color w:val="1F497D" w:themeColor="text2"/>
          <w:sz w:val="36"/>
          <w:szCs w:val="36"/>
        </w:rPr>
        <w:t>;</w:t>
      </w:r>
      <w:r w:rsidRPr="007A2AF4">
        <w:rPr>
          <w:color w:val="1F497D" w:themeColor="text2"/>
          <w:sz w:val="36"/>
          <w:szCs w:val="36"/>
        </w:rPr>
        <w:t xml:space="preserve"> </w:t>
      </w:r>
      <w:r w:rsidR="007D76B2" w:rsidRPr="007A2AF4">
        <w:rPr>
          <w:color w:val="1F497D" w:themeColor="text2"/>
          <w:sz w:val="36"/>
          <w:szCs w:val="36"/>
        </w:rPr>
        <w:t xml:space="preserve">human </w:t>
      </w:r>
      <w:r w:rsidRPr="007A2AF4">
        <w:rPr>
          <w:color w:val="1F497D" w:themeColor="text2"/>
          <w:sz w:val="36"/>
          <w:szCs w:val="36"/>
        </w:rPr>
        <w:t>trafficking</w:t>
      </w:r>
      <w:r w:rsidR="007D76B2" w:rsidRPr="007A2AF4">
        <w:rPr>
          <w:color w:val="1F497D" w:themeColor="text2"/>
          <w:sz w:val="36"/>
          <w:szCs w:val="36"/>
        </w:rPr>
        <w:t xml:space="preserve"> and slavery</w:t>
      </w:r>
    </w:p>
    <w:p w:rsidR="00633CF6" w:rsidRPr="007A2AF4" w:rsidRDefault="00633CF6" w:rsidP="00633CF6">
      <w:pPr>
        <w:rPr>
          <w:b/>
          <w:color w:val="1F497D" w:themeColor="text2"/>
          <w:sz w:val="28"/>
        </w:rPr>
      </w:pPr>
      <w:r w:rsidRPr="007A2AF4">
        <w:rPr>
          <w:b/>
          <w:color w:val="1F497D" w:themeColor="text2"/>
          <w:sz w:val="28"/>
        </w:rPr>
        <w:t>Background Information</w:t>
      </w:r>
      <w:r w:rsidR="007A2AF4">
        <w:rPr>
          <w:b/>
          <w:color w:val="1F497D" w:themeColor="text2"/>
          <w:sz w:val="28"/>
        </w:rPr>
        <w:t xml:space="preserve"> - </w:t>
      </w:r>
      <w:r w:rsidR="006B7182">
        <w:rPr>
          <w:b/>
          <w:color w:val="1F497D" w:themeColor="text2"/>
          <w:sz w:val="28"/>
        </w:rPr>
        <w:t>Extradition and m</w:t>
      </w:r>
      <w:r w:rsidR="007A2AF4" w:rsidRPr="007A2AF4">
        <w:rPr>
          <w:b/>
          <w:color w:val="1F497D" w:themeColor="text2"/>
          <w:sz w:val="28"/>
        </w:rPr>
        <w:t xml:space="preserve">utual </w:t>
      </w:r>
      <w:r w:rsidR="006B7182">
        <w:rPr>
          <w:b/>
          <w:color w:val="1F497D" w:themeColor="text2"/>
          <w:sz w:val="28"/>
        </w:rPr>
        <w:t>a</w:t>
      </w:r>
      <w:r w:rsidR="007A2AF4" w:rsidRPr="007A2AF4">
        <w:rPr>
          <w:b/>
          <w:color w:val="1F497D" w:themeColor="text2"/>
          <w:sz w:val="28"/>
        </w:rPr>
        <w:t>ssistance</w:t>
      </w:r>
    </w:p>
    <w:p w:rsidR="00633CF6" w:rsidRDefault="00633CF6" w:rsidP="00633CF6">
      <w:r>
        <w:t xml:space="preserve">Extradition policy and practice in Australia contains safeguards to protect human rights. In 2012, the government reviewed and reformed extradition laws to bring the </w:t>
      </w:r>
      <w:r>
        <w:rPr>
          <w:i/>
        </w:rPr>
        <w:t>Extradition Act</w:t>
      </w:r>
      <w:r>
        <w:t xml:space="preserve"> (Cth) 1988 further into line with Australia’s non-refoulement obligations under CAT. </w:t>
      </w:r>
    </w:p>
    <w:p w:rsidR="007D76B2" w:rsidRPr="007A2AF4" w:rsidRDefault="007A2AF4" w:rsidP="00633CF6">
      <w:pPr>
        <w:rPr>
          <w:rFonts w:eastAsia="MS Mincho"/>
          <w:bCs/>
          <w:i/>
        </w:rPr>
      </w:pPr>
      <w:r w:rsidRPr="007A2AF4">
        <w:rPr>
          <w:b/>
          <w:color w:val="1F497D" w:themeColor="text2"/>
          <w:sz w:val="28"/>
        </w:rPr>
        <w:t>Background Information</w:t>
      </w:r>
      <w:r>
        <w:rPr>
          <w:b/>
          <w:color w:val="1F497D" w:themeColor="text2"/>
          <w:sz w:val="28"/>
        </w:rPr>
        <w:t xml:space="preserve"> – Human </w:t>
      </w:r>
      <w:r w:rsidR="006B7182">
        <w:rPr>
          <w:b/>
          <w:color w:val="1F497D" w:themeColor="text2"/>
          <w:sz w:val="28"/>
        </w:rPr>
        <w:t>trafficking and s</w:t>
      </w:r>
      <w:bookmarkStart w:id="0" w:name="_GoBack"/>
      <w:bookmarkEnd w:id="0"/>
      <w:r>
        <w:rPr>
          <w:b/>
          <w:color w:val="1F497D" w:themeColor="text2"/>
          <w:sz w:val="28"/>
        </w:rPr>
        <w:t>lavery</w:t>
      </w:r>
    </w:p>
    <w:p w:rsidR="00633CF6" w:rsidRDefault="00633CF6" w:rsidP="00633CF6">
      <w:pPr>
        <w:rPr>
          <w:rFonts w:eastAsia="MS Mincho"/>
          <w:bCs/>
        </w:rPr>
      </w:pPr>
      <w:r>
        <w:rPr>
          <w:rFonts w:eastAsia="MS Mincho"/>
          <w:bCs/>
        </w:rPr>
        <w:t xml:space="preserve">Australia’s approach to combating human trafficking and slavery includes the criminalisation of human trafficking, slavery and </w:t>
      </w:r>
      <w:r w:rsidR="00DB6953">
        <w:rPr>
          <w:rFonts w:eastAsia="MS Mincho"/>
          <w:bCs/>
        </w:rPr>
        <w:t>slavery-</w:t>
      </w:r>
      <w:r>
        <w:rPr>
          <w:rFonts w:eastAsia="MS Mincho"/>
          <w:bCs/>
        </w:rPr>
        <w:t>like practices</w:t>
      </w:r>
      <w:r w:rsidR="00B6767A">
        <w:rPr>
          <w:rFonts w:eastAsia="MS Mincho"/>
          <w:bCs/>
        </w:rPr>
        <w:t>;</w:t>
      </w:r>
      <w:r>
        <w:rPr>
          <w:rFonts w:eastAsia="MS Mincho"/>
          <w:bCs/>
        </w:rPr>
        <w:t xml:space="preserve"> the provision of support to victims such as counselling, accommodation, and legal advice; and a visa framework </w:t>
      </w:r>
      <w:r w:rsidR="007D76B2">
        <w:rPr>
          <w:rFonts w:eastAsia="MS Mincho"/>
          <w:bCs/>
        </w:rPr>
        <w:t xml:space="preserve">for </w:t>
      </w:r>
      <w:r w:rsidRPr="0072427E">
        <w:rPr>
          <w:rFonts w:eastAsia="MS Mincho"/>
          <w:bCs/>
        </w:rPr>
        <w:t>victims and witnesses of human trafficking and slavery</w:t>
      </w:r>
      <w:r>
        <w:rPr>
          <w:rFonts w:eastAsia="MS Mincho"/>
          <w:bCs/>
        </w:rPr>
        <w:t>.</w:t>
      </w:r>
    </w:p>
    <w:p w:rsidR="00242812" w:rsidRDefault="00633CF6" w:rsidP="00633CF6">
      <w:pPr>
        <w:rPr>
          <w:rFonts w:cs="Arial"/>
        </w:rPr>
      </w:pPr>
      <w:r>
        <w:rPr>
          <w:rFonts w:eastAsia="MS Mincho"/>
          <w:bCs/>
        </w:rPr>
        <w:t xml:space="preserve">In the period since the last UPR the government has reformed laws to </w:t>
      </w:r>
      <w:r w:rsidR="00B36FB5">
        <w:t xml:space="preserve">fortify the prohibition of </w:t>
      </w:r>
      <w:r w:rsidR="00DB6953">
        <w:t xml:space="preserve">human </w:t>
      </w:r>
      <w:r w:rsidR="00B36FB5">
        <w:t>trafficking and slavery and establish</w:t>
      </w:r>
      <w:r w:rsidR="00B6767A">
        <w:t>ed</w:t>
      </w:r>
      <w:r w:rsidR="00B36FB5">
        <w:t xml:space="preserve"> new offences</w:t>
      </w:r>
      <w:r>
        <w:rPr>
          <w:rFonts w:eastAsia="MS Mincho"/>
          <w:bCs/>
        </w:rPr>
        <w:t xml:space="preserve"> including </w:t>
      </w:r>
      <w:r>
        <w:t>forced labour, forced marriage, organ trafficking, and harbouring a victim.</w:t>
      </w:r>
      <w:r w:rsidR="00242812">
        <w:rPr>
          <w:rStyle w:val="EndnoteReference"/>
          <w:rFonts w:eastAsia="MS Mincho"/>
          <w:bCs/>
        </w:rPr>
        <w:endnoteReference w:id="1"/>
      </w:r>
      <w:r w:rsidR="00242812">
        <w:t xml:space="preserve">  Further reforms have extended</w:t>
      </w:r>
      <w:r w:rsidR="00242812">
        <w:rPr>
          <w:rFonts w:eastAsia="MS Mincho"/>
          <w:bCs/>
        </w:rPr>
        <w:t xml:space="preserve"> vulnerable witness protections to</w:t>
      </w:r>
      <w:r w:rsidR="00242812" w:rsidRPr="004859B7">
        <w:rPr>
          <w:rFonts w:cs="Arial"/>
        </w:rPr>
        <w:t xml:space="preserve"> adult victims of human trafficking</w:t>
      </w:r>
      <w:r w:rsidR="00242812">
        <w:rPr>
          <w:rFonts w:cs="Arial"/>
        </w:rPr>
        <w:t xml:space="preserve"> and</w:t>
      </w:r>
      <w:r w:rsidR="00242812" w:rsidRPr="004859B7">
        <w:rPr>
          <w:rFonts w:cs="Arial"/>
        </w:rPr>
        <w:t xml:space="preserve"> slavery</w:t>
      </w:r>
      <w:r w:rsidR="00242812">
        <w:rPr>
          <w:rFonts w:cs="Arial"/>
        </w:rPr>
        <w:t xml:space="preserve"> </w:t>
      </w:r>
      <w:r w:rsidR="00242812" w:rsidRPr="004859B7">
        <w:rPr>
          <w:rFonts w:cs="Arial"/>
        </w:rPr>
        <w:t>offences</w:t>
      </w:r>
      <w:r w:rsidR="00242812">
        <w:rPr>
          <w:rFonts w:cs="Arial"/>
        </w:rPr>
        <w:t>.</w:t>
      </w:r>
      <w:r w:rsidR="00242812">
        <w:rPr>
          <w:rStyle w:val="EndnoteReference"/>
          <w:rFonts w:cs="Arial"/>
        </w:rPr>
        <w:endnoteReference w:id="2"/>
      </w:r>
    </w:p>
    <w:p w:rsidR="00242812" w:rsidRPr="009C4EBF" w:rsidRDefault="00242812" w:rsidP="00633CF6">
      <w:pPr>
        <w:rPr>
          <w:rFonts w:ascii="Bell MT" w:hAnsi="Bell MT"/>
          <w:lang w:val="en-US" w:eastAsia="en-US"/>
        </w:rPr>
      </w:pPr>
      <w:r>
        <w:rPr>
          <w:color w:val="000000"/>
        </w:rPr>
        <w:t xml:space="preserve">In 2015 the Australian Government released </w:t>
      </w:r>
      <w:r w:rsidRPr="001E3EA7">
        <w:rPr>
          <w:rFonts w:eastAsia="MS Mincho"/>
          <w:bCs/>
        </w:rPr>
        <w:t xml:space="preserve">a </w:t>
      </w:r>
      <w:r w:rsidRPr="00242812">
        <w:rPr>
          <w:rFonts w:eastAsia="MS Mincho"/>
          <w:bCs/>
          <w:i/>
        </w:rPr>
        <w:t>National Action Plan to Combat Human Trafficking and Slavery 2015-2019</w:t>
      </w:r>
      <w:r w:rsidR="002D6352">
        <w:rPr>
          <w:rFonts w:eastAsia="MS Mincho"/>
          <w:bCs/>
        </w:rPr>
        <w:t>.</w:t>
      </w:r>
      <w:r w:rsidR="00B17571" w:rsidRPr="00DC5BEF">
        <w:rPr>
          <w:rStyle w:val="EndnoteReference"/>
          <w:rFonts w:eastAsia="MS Mincho"/>
          <w:bCs/>
        </w:rPr>
        <w:endnoteReference w:id="3"/>
      </w:r>
      <w:r>
        <w:rPr>
          <w:lang w:val="en-US" w:eastAsia="en-US"/>
        </w:rPr>
        <w:t xml:space="preserve"> </w:t>
      </w:r>
    </w:p>
    <w:p w:rsidR="00242812" w:rsidRPr="007A2AF4" w:rsidRDefault="00242812" w:rsidP="00633CF6">
      <w:pPr>
        <w:rPr>
          <w:b/>
          <w:color w:val="1F497D" w:themeColor="text2"/>
          <w:sz w:val="28"/>
        </w:rPr>
      </w:pPr>
      <w:r w:rsidRPr="007A2AF4">
        <w:rPr>
          <w:b/>
          <w:color w:val="1F497D" w:themeColor="text2"/>
          <w:sz w:val="28"/>
        </w:rPr>
        <w:t>Key Issue</w:t>
      </w:r>
    </w:p>
    <w:p w:rsidR="00242812" w:rsidRPr="004F7945" w:rsidRDefault="00242812" w:rsidP="00633CF6">
      <w:pPr>
        <w:rPr>
          <w:rFonts w:eastAsia="MS Mincho"/>
          <w:bCs/>
        </w:rPr>
      </w:pPr>
      <w:r>
        <w:rPr>
          <w:lang w:val="en-NZ"/>
        </w:rPr>
        <w:t xml:space="preserve">The </w:t>
      </w:r>
      <w:r w:rsidRPr="00242812">
        <w:rPr>
          <w:rFonts w:eastAsia="MS Mincho"/>
          <w:bCs/>
          <w:i/>
        </w:rPr>
        <w:t>National Action Plan to Combat Human Trafficking and Slavery 2015-2019</w:t>
      </w:r>
      <w:r>
        <w:rPr>
          <w:rFonts w:eastAsia="MS Mincho"/>
          <w:bCs/>
        </w:rPr>
        <w:t xml:space="preserve"> adopts a human rights-based approach and contains several new initiatives, including measures to standardise data collection on human trafficking and slavery, and raise community awareness among vulnerable groups. The Commission commends the government’s commitment to prevent and combat human trafficking and slavery. It is imperative that the government fully fund and implement all of the actions contained within the plan. The Commission also </w:t>
      </w:r>
      <w:r>
        <w:t>notes the need to introduce a federal victims’ compensation scheme for victims of human trafficking and slavery and improve support services for victims.</w:t>
      </w:r>
      <w:r>
        <w:rPr>
          <w:rStyle w:val="EndnoteReference"/>
        </w:rPr>
        <w:endnoteReference w:id="4"/>
      </w:r>
    </w:p>
    <w:p w:rsidR="00633CF6" w:rsidRPr="007A2AF4" w:rsidRDefault="00633CF6" w:rsidP="00633CF6">
      <w:pPr>
        <w:rPr>
          <w:b/>
          <w:color w:val="1F497D" w:themeColor="text2"/>
          <w:sz w:val="28"/>
        </w:rPr>
      </w:pPr>
      <w:r w:rsidRPr="007A2AF4">
        <w:rPr>
          <w:b/>
          <w:color w:val="1F497D" w:themeColor="text2"/>
          <w:sz w:val="28"/>
        </w:rPr>
        <w:t xml:space="preserve">Recommendation </w:t>
      </w:r>
    </w:p>
    <w:p w:rsidR="00633CF6" w:rsidRPr="001E3EA7" w:rsidRDefault="00633CF6" w:rsidP="00633CF6">
      <w:pPr>
        <w:rPr>
          <w:b/>
          <w:i/>
        </w:rPr>
      </w:pPr>
      <w:r w:rsidRPr="001E3EA7">
        <w:rPr>
          <w:b/>
          <w:i/>
        </w:rPr>
        <w:t xml:space="preserve">Government fully </w:t>
      </w:r>
      <w:r w:rsidRPr="00B36FB5">
        <w:rPr>
          <w:b/>
          <w:i/>
        </w:rPr>
        <w:t>implement the National Action Plan to Combat Human Trafficking and Slavery 2015-2019</w:t>
      </w:r>
      <w:r w:rsidR="00B36FB5" w:rsidRPr="00B36FB5">
        <w:rPr>
          <w:b/>
          <w:i/>
        </w:rPr>
        <w:t xml:space="preserve"> and </w:t>
      </w:r>
      <w:r w:rsidR="00B36FB5" w:rsidRPr="00242812">
        <w:rPr>
          <w:b/>
          <w:i/>
        </w:rPr>
        <w:t xml:space="preserve">introduce a federal victims’ compensation scheme for victims of </w:t>
      </w:r>
      <w:r w:rsidR="00DB6953">
        <w:rPr>
          <w:b/>
          <w:i/>
        </w:rPr>
        <w:t>human trafficking and slavery</w:t>
      </w:r>
      <w:r w:rsidR="00B36FB5" w:rsidRPr="00242812">
        <w:rPr>
          <w:b/>
          <w:i/>
        </w:rPr>
        <w:t>.</w:t>
      </w:r>
    </w:p>
    <w:p w:rsidR="008A2AF7" w:rsidRPr="00633CF6" w:rsidRDefault="008A2AF7" w:rsidP="00633CF6"/>
    <w:sectPr w:rsidR="008A2AF7" w:rsidRPr="00633CF6" w:rsidSect="00046D83">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8C" w:rsidRDefault="00912F8C" w:rsidP="00F14C6D">
      <w:r>
        <w:separator/>
      </w:r>
    </w:p>
  </w:endnote>
  <w:endnote w:type="continuationSeparator" w:id="0">
    <w:p w:rsidR="00912F8C" w:rsidRDefault="00912F8C" w:rsidP="00F14C6D">
      <w:r>
        <w:continuationSeparator/>
      </w:r>
    </w:p>
  </w:endnote>
  <w:endnote w:id="1">
    <w:p w:rsidR="00242812" w:rsidRDefault="00242812" w:rsidP="00633CF6">
      <w:pPr>
        <w:pStyle w:val="EndnoteText"/>
      </w:pPr>
      <w:r>
        <w:rPr>
          <w:rStyle w:val="EndnoteReference"/>
        </w:rPr>
        <w:endnoteRef/>
      </w:r>
      <w:r>
        <w:t xml:space="preserve"> </w:t>
      </w:r>
      <w:r>
        <w:rPr>
          <w:i/>
        </w:rPr>
        <w:t xml:space="preserve">Crimes Legislation Amendment (Slavery, Slavery-like Conditions and People Trafficking) Act 2013 </w:t>
      </w:r>
      <w:r>
        <w:t>(Cth).</w:t>
      </w:r>
    </w:p>
  </w:endnote>
  <w:endnote w:id="2">
    <w:p w:rsidR="00242812" w:rsidRDefault="00242812">
      <w:pPr>
        <w:pStyle w:val="EndnoteText"/>
      </w:pPr>
      <w:r>
        <w:rPr>
          <w:rStyle w:val="EndnoteReference"/>
        </w:rPr>
        <w:endnoteRef/>
      </w:r>
      <w:r>
        <w:t xml:space="preserve"> </w:t>
      </w:r>
      <w:r w:rsidRPr="00242812">
        <w:rPr>
          <w:i/>
        </w:rPr>
        <w:t>Crimes Legislation Amendment (Law Enforcement Integrity, Vulnerable Witness Protection and Other Measures) Act 2013</w:t>
      </w:r>
      <w:r>
        <w:t xml:space="preserve"> (Cth).</w:t>
      </w:r>
    </w:p>
  </w:endnote>
  <w:endnote w:id="3">
    <w:p w:rsidR="00B17571" w:rsidRPr="00B17571" w:rsidRDefault="00B17571">
      <w:pPr>
        <w:pStyle w:val="EndnoteText"/>
      </w:pPr>
      <w:r>
        <w:rPr>
          <w:rStyle w:val="EndnoteReference"/>
        </w:rPr>
        <w:endnoteRef/>
      </w:r>
      <w:r>
        <w:t xml:space="preserve"> A</w:t>
      </w:r>
      <w:r w:rsidR="00DC5BEF">
        <w:t>ustralian Government</w:t>
      </w:r>
      <w:r>
        <w:t xml:space="preserve">, </w:t>
      </w:r>
      <w:r w:rsidRPr="00242812">
        <w:rPr>
          <w:rFonts w:eastAsia="MS Mincho"/>
          <w:bCs/>
          <w:i/>
        </w:rPr>
        <w:t>National Action Plan to Combat Human Trafficking and Slavery 2015-2019</w:t>
      </w:r>
      <w:r>
        <w:rPr>
          <w:rFonts w:eastAsia="MS Mincho"/>
          <w:bCs/>
        </w:rPr>
        <w:t xml:space="preserve"> (</w:t>
      </w:r>
      <w:r w:rsidR="00DC5BEF">
        <w:rPr>
          <w:rFonts w:eastAsia="MS Mincho"/>
          <w:bCs/>
        </w:rPr>
        <w:t>A</w:t>
      </w:r>
      <w:r w:rsidR="00DC5BEF" w:rsidRPr="00DC5BEF">
        <w:rPr>
          <w:rFonts w:eastAsia="MS Mincho"/>
          <w:bCs/>
        </w:rPr>
        <w:t>ttorney-General’s Department</w:t>
      </w:r>
      <w:r>
        <w:rPr>
          <w:rFonts w:eastAsia="MS Mincho"/>
          <w:bCs/>
        </w:rPr>
        <w:t>, 2015)</w:t>
      </w:r>
      <w:r>
        <w:rPr>
          <w:i/>
        </w:rPr>
        <w:t xml:space="preserve">. </w:t>
      </w:r>
      <w:r>
        <w:t xml:space="preserve">At </w:t>
      </w:r>
      <w:hyperlink r:id="rId1" w:history="1">
        <w:r w:rsidRPr="00D6611F">
          <w:rPr>
            <w:rStyle w:val="Hyperlink"/>
          </w:rPr>
          <w:t>https://www.ag.gov.au/CrimeAndCorruption/HumanTrafficking/Pages/Australiasresponsetohumantrafficking.aspx</w:t>
        </w:r>
      </w:hyperlink>
      <w:r>
        <w:t xml:space="preserve"> (viewed 26 June 2015).</w:t>
      </w:r>
    </w:p>
  </w:endnote>
  <w:endnote w:id="4">
    <w:p w:rsidR="00242812" w:rsidRDefault="00242812">
      <w:pPr>
        <w:pStyle w:val="EndnoteText"/>
      </w:pPr>
      <w:r>
        <w:rPr>
          <w:rStyle w:val="EndnoteReference"/>
        </w:rPr>
        <w:endnoteRef/>
      </w:r>
      <w:r>
        <w:t xml:space="preserve"> Australian Human Rights Commission </w:t>
      </w:r>
      <w:r>
        <w:rPr>
          <w:i/>
        </w:rPr>
        <w:t>Submission to the Attorney General’s Department on the Exposure Draft Bill Crimes Legislation Amendment (Slavery, Slavery-like Conditions and People Trafficking) Bill 2012</w:t>
      </w:r>
      <w:r>
        <w:t xml:space="preserve"> (20 January 2012), para 2. At: </w:t>
      </w:r>
      <w:hyperlink r:id="rId2" w:anchor="Heading154" w:history="1">
        <w:r w:rsidRPr="00271A4E">
          <w:rPr>
            <w:rStyle w:val="Hyperlink"/>
          </w:rPr>
          <w:t>http://www.humanrights.gov.au/exposure-draft-bill-crimes-legislation-amendment-slavery-slavery-conditions-and-people-trafficking#Heading154</w:t>
        </w:r>
      </w:hyperlink>
      <w:r>
        <w:t xml:space="preserve"> (viewed 26 June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7A2AF4">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8C" w:rsidRDefault="00912F8C" w:rsidP="00F14C6D">
      <w:r>
        <w:separator/>
      </w:r>
    </w:p>
  </w:footnote>
  <w:footnote w:type="continuationSeparator" w:id="0">
    <w:p w:rsidR="00912F8C" w:rsidRDefault="00912F8C"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83" w:rsidRDefault="00046D83">
    <w:pPr>
      <w:pStyle w:val="Header"/>
    </w:pPr>
  </w:p>
  <w:p w:rsidR="00912F8C" w:rsidRDefault="0091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83" w:rsidRPr="00046D83" w:rsidRDefault="00046D83" w:rsidP="00046D83">
    <w:pPr>
      <w:pStyle w:val="Header"/>
      <w:rPr>
        <w:sz w:val="20"/>
        <w:szCs w:val="20"/>
      </w:rPr>
    </w:pPr>
    <w:r>
      <w:rPr>
        <w:rFonts w:cs="ArialMT"/>
        <w:b/>
        <w:noProof/>
        <w:color w:val="000000"/>
        <w:spacing w:val="-20"/>
        <w:sz w:val="32"/>
      </w:rPr>
      <w:drawing>
        <wp:anchor distT="0" distB="0" distL="114300" distR="114300" simplePos="0" relativeHeight="251658240" behindDoc="0" locked="0" layoutInCell="1" allowOverlap="1">
          <wp:simplePos x="0" y="0"/>
          <wp:positionH relativeFrom="margin">
            <wp:align>left</wp:align>
          </wp:positionH>
          <wp:positionV relativeFrom="page">
            <wp:posOffset>466725</wp:posOffset>
          </wp:positionV>
          <wp:extent cx="2362200" cy="809625"/>
          <wp:effectExtent l="0" t="0" r="0" b="9525"/>
          <wp:wrapSquare wrapText="bothSides"/>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r>
      <w:rPr>
        <w:sz w:val="20"/>
        <w:szCs w:val="20"/>
      </w:rPr>
      <w:t>Universal Periodic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CB237C"/>
    <w:multiLevelType w:val="hybridMultilevel"/>
    <w:tmpl w:val="3064C496"/>
    <w:lvl w:ilvl="0" w:tplc="377AA548">
      <w:start w:val="1"/>
      <w:numFmt w:val="decimal"/>
      <w:pStyle w:val="SubmissionNormal"/>
      <w:lvlText w:val="%1."/>
      <w:lvlJc w:val="left"/>
      <w:pPr>
        <w:tabs>
          <w:tab w:val="num" w:pos="294"/>
        </w:tabs>
        <w:ind w:left="294" w:hanging="360"/>
      </w:pPr>
      <w:rPr>
        <w:rFonts w:hint="default"/>
        <w:b w:val="0"/>
        <w:bCs w:val="0"/>
        <w:i w:val="0"/>
        <w:color w:val="auto"/>
        <w:sz w:val="23"/>
        <w:szCs w:val="23"/>
      </w:rPr>
    </w:lvl>
    <w:lvl w:ilvl="1" w:tplc="0C090019">
      <w:start w:val="1"/>
      <w:numFmt w:val="lowerLetter"/>
      <w:lvlText w:val="%2."/>
      <w:lvlJc w:val="left"/>
      <w:pPr>
        <w:tabs>
          <w:tab w:val="num" w:pos="523"/>
        </w:tabs>
        <w:ind w:left="523" w:hanging="360"/>
      </w:pPr>
    </w:lvl>
    <w:lvl w:ilvl="2" w:tplc="0C09001B" w:tentative="1">
      <w:start w:val="1"/>
      <w:numFmt w:val="lowerRoman"/>
      <w:lvlText w:val="%3."/>
      <w:lvlJc w:val="right"/>
      <w:pPr>
        <w:tabs>
          <w:tab w:val="num" w:pos="1243"/>
        </w:tabs>
        <w:ind w:left="1243" w:hanging="180"/>
      </w:pPr>
    </w:lvl>
    <w:lvl w:ilvl="3" w:tplc="0C09000F" w:tentative="1">
      <w:start w:val="1"/>
      <w:numFmt w:val="decimal"/>
      <w:lvlText w:val="%4."/>
      <w:lvlJc w:val="left"/>
      <w:pPr>
        <w:tabs>
          <w:tab w:val="num" w:pos="1963"/>
        </w:tabs>
        <w:ind w:left="1963" w:hanging="360"/>
      </w:pPr>
    </w:lvl>
    <w:lvl w:ilvl="4" w:tplc="0C090019" w:tentative="1">
      <w:start w:val="1"/>
      <w:numFmt w:val="lowerLetter"/>
      <w:lvlText w:val="%5."/>
      <w:lvlJc w:val="left"/>
      <w:pPr>
        <w:tabs>
          <w:tab w:val="num" w:pos="2683"/>
        </w:tabs>
        <w:ind w:left="2683" w:hanging="360"/>
      </w:pPr>
    </w:lvl>
    <w:lvl w:ilvl="5" w:tplc="0C09001B" w:tentative="1">
      <w:start w:val="1"/>
      <w:numFmt w:val="lowerRoman"/>
      <w:lvlText w:val="%6."/>
      <w:lvlJc w:val="right"/>
      <w:pPr>
        <w:tabs>
          <w:tab w:val="num" w:pos="3403"/>
        </w:tabs>
        <w:ind w:left="3403" w:hanging="180"/>
      </w:pPr>
    </w:lvl>
    <w:lvl w:ilvl="6" w:tplc="0C09000F" w:tentative="1">
      <w:start w:val="1"/>
      <w:numFmt w:val="decimal"/>
      <w:lvlText w:val="%7."/>
      <w:lvlJc w:val="left"/>
      <w:pPr>
        <w:tabs>
          <w:tab w:val="num" w:pos="4123"/>
        </w:tabs>
        <w:ind w:left="4123" w:hanging="360"/>
      </w:pPr>
    </w:lvl>
    <w:lvl w:ilvl="7" w:tplc="0C090019" w:tentative="1">
      <w:start w:val="1"/>
      <w:numFmt w:val="lowerLetter"/>
      <w:lvlText w:val="%8."/>
      <w:lvlJc w:val="left"/>
      <w:pPr>
        <w:tabs>
          <w:tab w:val="num" w:pos="4843"/>
        </w:tabs>
        <w:ind w:left="4843" w:hanging="360"/>
      </w:pPr>
    </w:lvl>
    <w:lvl w:ilvl="8" w:tplc="0C09001B" w:tentative="1">
      <w:start w:val="1"/>
      <w:numFmt w:val="lowerRoman"/>
      <w:lvlText w:val="%9."/>
      <w:lvlJc w:val="right"/>
      <w:pPr>
        <w:tabs>
          <w:tab w:val="num" w:pos="5563"/>
        </w:tabs>
        <w:ind w:left="5563"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BB1439A"/>
    <w:multiLevelType w:val="hybridMultilevel"/>
    <w:tmpl w:val="8C46C5CA"/>
    <w:lvl w:ilvl="0" w:tplc="AF62BC98">
      <w:start w:val="27"/>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52E96B14"/>
    <w:multiLevelType w:val="hybridMultilevel"/>
    <w:tmpl w:val="0B062A8C"/>
    <w:lvl w:ilvl="0" w:tplc="9CFAA75C">
      <w:start w:val="2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FAF4ECB"/>
    <w:multiLevelType w:val="hybridMultilevel"/>
    <w:tmpl w:val="A7BA01B0"/>
    <w:lvl w:ilvl="0" w:tplc="0C090001">
      <w:start w:val="1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F46F4"/>
    <w:multiLevelType w:val="hybridMultilevel"/>
    <w:tmpl w:val="8ED6352C"/>
    <w:lvl w:ilvl="0" w:tplc="01A2F3DC">
      <w:start w:val="220"/>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8163A5"/>
    <w:multiLevelType w:val="hybridMultilevel"/>
    <w:tmpl w:val="2F785E48"/>
    <w:lvl w:ilvl="0" w:tplc="69C8973A">
      <w:start w:val="27"/>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F633DD0"/>
    <w:multiLevelType w:val="hybridMultilevel"/>
    <w:tmpl w:val="70BAF5E6"/>
    <w:lvl w:ilvl="0" w:tplc="E1204730">
      <w:start w:val="27"/>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9"/>
  </w:num>
  <w:num w:numId="13">
    <w:abstractNumId w:val="14"/>
  </w:num>
  <w:num w:numId="14">
    <w:abstractNumId w:val="22"/>
  </w:num>
  <w:num w:numId="15">
    <w:abstractNumId w:val="15"/>
  </w:num>
  <w:num w:numId="16">
    <w:abstractNumId w:val="10"/>
  </w:num>
  <w:num w:numId="17">
    <w:abstractNumId w:val="3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13"/>
  </w:num>
  <w:num w:numId="29">
    <w:abstractNumId w:val="27"/>
  </w:num>
  <w:num w:numId="30">
    <w:abstractNumId w:val="28"/>
  </w:num>
  <w:num w:numId="31">
    <w:abstractNumId w:val="29"/>
  </w:num>
  <w:num w:numId="32">
    <w:abstractNumId w:val="18"/>
  </w:num>
  <w:num w:numId="33">
    <w:abstractNumId w:val="31"/>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8C"/>
    <w:rsid w:val="0001254B"/>
    <w:rsid w:val="00013272"/>
    <w:rsid w:val="00021134"/>
    <w:rsid w:val="00046D83"/>
    <w:rsid w:val="000540A0"/>
    <w:rsid w:val="000579B1"/>
    <w:rsid w:val="000707BD"/>
    <w:rsid w:val="00074750"/>
    <w:rsid w:val="00074CD6"/>
    <w:rsid w:val="000B0A5D"/>
    <w:rsid w:val="001011C8"/>
    <w:rsid w:val="00132462"/>
    <w:rsid w:val="0013265C"/>
    <w:rsid w:val="0013453D"/>
    <w:rsid w:val="00140077"/>
    <w:rsid w:val="00147993"/>
    <w:rsid w:val="001523D8"/>
    <w:rsid w:val="001566D4"/>
    <w:rsid w:val="00161C2F"/>
    <w:rsid w:val="00162A8D"/>
    <w:rsid w:val="00184098"/>
    <w:rsid w:val="001867A2"/>
    <w:rsid w:val="001A5D46"/>
    <w:rsid w:val="001B0353"/>
    <w:rsid w:val="001C139C"/>
    <w:rsid w:val="001C451B"/>
    <w:rsid w:val="001E3EA7"/>
    <w:rsid w:val="001F2BBB"/>
    <w:rsid w:val="0020759E"/>
    <w:rsid w:val="00231ED1"/>
    <w:rsid w:val="0023303F"/>
    <w:rsid w:val="00242812"/>
    <w:rsid w:val="0024300C"/>
    <w:rsid w:val="0024557E"/>
    <w:rsid w:val="002702D9"/>
    <w:rsid w:val="0027492E"/>
    <w:rsid w:val="002841B7"/>
    <w:rsid w:val="002A1EDC"/>
    <w:rsid w:val="002D6352"/>
    <w:rsid w:val="002F5084"/>
    <w:rsid w:val="003040CA"/>
    <w:rsid w:val="00310ED4"/>
    <w:rsid w:val="0031492A"/>
    <w:rsid w:val="00316504"/>
    <w:rsid w:val="00316C1A"/>
    <w:rsid w:val="00321AF0"/>
    <w:rsid w:val="00377C8F"/>
    <w:rsid w:val="00391E92"/>
    <w:rsid w:val="003931C7"/>
    <w:rsid w:val="003955AE"/>
    <w:rsid w:val="00395B25"/>
    <w:rsid w:val="003A533F"/>
    <w:rsid w:val="003B18A7"/>
    <w:rsid w:val="003F0CEE"/>
    <w:rsid w:val="003F3BEB"/>
    <w:rsid w:val="00411DD3"/>
    <w:rsid w:val="004215B3"/>
    <w:rsid w:val="004361FE"/>
    <w:rsid w:val="00444303"/>
    <w:rsid w:val="00447245"/>
    <w:rsid w:val="004561BE"/>
    <w:rsid w:val="00462D4C"/>
    <w:rsid w:val="00470BBB"/>
    <w:rsid w:val="00473DB9"/>
    <w:rsid w:val="00474063"/>
    <w:rsid w:val="00476EEA"/>
    <w:rsid w:val="00480A21"/>
    <w:rsid w:val="00494D4B"/>
    <w:rsid w:val="004A722D"/>
    <w:rsid w:val="004F53EF"/>
    <w:rsid w:val="004F7945"/>
    <w:rsid w:val="00503E04"/>
    <w:rsid w:val="00504B28"/>
    <w:rsid w:val="00513540"/>
    <w:rsid w:val="00516453"/>
    <w:rsid w:val="00522CED"/>
    <w:rsid w:val="00526C33"/>
    <w:rsid w:val="00554C04"/>
    <w:rsid w:val="00573E2A"/>
    <w:rsid w:val="005B7515"/>
    <w:rsid w:val="005C1654"/>
    <w:rsid w:val="005D04F4"/>
    <w:rsid w:val="005D1F34"/>
    <w:rsid w:val="005F5F45"/>
    <w:rsid w:val="00633CF6"/>
    <w:rsid w:val="00666EBC"/>
    <w:rsid w:val="00690313"/>
    <w:rsid w:val="00696390"/>
    <w:rsid w:val="006A6BB3"/>
    <w:rsid w:val="006B3680"/>
    <w:rsid w:val="006B7182"/>
    <w:rsid w:val="006D5EE5"/>
    <w:rsid w:val="006E06ED"/>
    <w:rsid w:val="006E06F5"/>
    <w:rsid w:val="006E5380"/>
    <w:rsid w:val="006F2497"/>
    <w:rsid w:val="007039FC"/>
    <w:rsid w:val="00704214"/>
    <w:rsid w:val="00706FAB"/>
    <w:rsid w:val="00707793"/>
    <w:rsid w:val="007169BB"/>
    <w:rsid w:val="0072427E"/>
    <w:rsid w:val="00725D5E"/>
    <w:rsid w:val="0073292E"/>
    <w:rsid w:val="007548CA"/>
    <w:rsid w:val="00770DCB"/>
    <w:rsid w:val="00775485"/>
    <w:rsid w:val="007841E1"/>
    <w:rsid w:val="007A2AF4"/>
    <w:rsid w:val="007D40BD"/>
    <w:rsid w:val="007D76B2"/>
    <w:rsid w:val="007E1866"/>
    <w:rsid w:val="007E6434"/>
    <w:rsid w:val="007F0992"/>
    <w:rsid w:val="00810ABF"/>
    <w:rsid w:val="008125EE"/>
    <w:rsid w:val="008241AE"/>
    <w:rsid w:val="0083209A"/>
    <w:rsid w:val="00854F47"/>
    <w:rsid w:val="008724DE"/>
    <w:rsid w:val="008A2AF7"/>
    <w:rsid w:val="008A3D57"/>
    <w:rsid w:val="008E3D60"/>
    <w:rsid w:val="0090165F"/>
    <w:rsid w:val="00912F8C"/>
    <w:rsid w:val="00921CB7"/>
    <w:rsid w:val="00923C4F"/>
    <w:rsid w:val="009472C4"/>
    <w:rsid w:val="00950E88"/>
    <w:rsid w:val="00966C2F"/>
    <w:rsid w:val="0097123E"/>
    <w:rsid w:val="009802F3"/>
    <w:rsid w:val="009A5753"/>
    <w:rsid w:val="009C4EBF"/>
    <w:rsid w:val="009C5FB8"/>
    <w:rsid w:val="009E7FC4"/>
    <w:rsid w:val="009F51D9"/>
    <w:rsid w:val="009F6AC2"/>
    <w:rsid w:val="009F7AAC"/>
    <w:rsid w:val="00A02F56"/>
    <w:rsid w:val="00A0406E"/>
    <w:rsid w:val="00A41355"/>
    <w:rsid w:val="00A43B92"/>
    <w:rsid w:val="00A44720"/>
    <w:rsid w:val="00A6179E"/>
    <w:rsid w:val="00A66F67"/>
    <w:rsid w:val="00A85448"/>
    <w:rsid w:val="00AC27AB"/>
    <w:rsid w:val="00AC6A34"/>
    <w:rsid w:val="00AE0F0F"/>
    <w:rsid w:val="00AE76EB"/>
    <w:rsid w:val="00B17571"/>
    <w:rsid w:val="00B22697"/>
    <w:rsid w:val="00B277E0"/>
    <w:rsid w:val="00B30063"/>
    <w:rsid w:val="00B36FB5"/>
    <w:rsid w:val="00B52E2D"/>
    <w:rsid w:val="00B6767A"/>
    <w:rsid w:val="00B76653"/>
    <w:rsid w:val="00BA0D7A"/>
    <w:rsid w:val="00BA262D"/>
    <w:rsid w:val="00BC79EB"/>
    <w:rsid w:val="00C076F2"/>
    <w:rsid w:val="00C247EB"/>
    <w:rsid w:val="00C25572"/>
    <w:rsid w:val="00C25BDA"/>
    <w:rsid w:val="00C30CE1"/>
    <w:rsid w:val="00C53971"/>
    <w:rsid w:val="00C54FB1"/>
    <w:rsid w:val="00C80F9F"/>
    <w:rsid w:val="00C95A98"/>
    <w:rsid w:val="00CA0D78"/>
    <w:rsid w:val="00CB27A8"/>
    <w:rsid w:val="00CE54E4"/>
    <w:rsid w:val="00CE7182"/>
    <w:rsid w:val="00CF3B3D"/>
    <w:rsid w:val="00D01122"/>
    <w:rsid w:val="00D36D90"/>
    <w:rsid w:val="00D65C76"/>
    <w:rsid w:val="00D97EEA"/>
    <w:rsid w:val="00DA2F73"/>
    <w:rsid w:val="00DA42E8"/>
    <w:rsid w:val="00DB6953"/>
    <w:rsid w:val="00DC193F"/>
    <w:rsid w:val="00DC3C4F"/>
    <w:rsid w:val="00DC462F"/>
    <w:rsid w:val="00DC5BEF"/>
    <w:rsid w:val="00DD39F1"/>
    <w:rsid w:val="00DE1C0D"/>
    <w:rsid w:val="00E046AE"/>
    <w:rsid w:val="00E24FA3"/>
    <w:rsid w:val="00E328CD"/>
    <w:rsid w:val="00E4142D"/>
    <w:rsid w:val="00E45954"/>
    <w:rsid w:val="00E75D90"/>
    <w:rsid w:val="00E835AF"/>
    <w:rsid w:val="00E977C3"/>
    <w:rsid w:val="00E97EF8"/>
    <w:rsid w:val="00EA71B4"/>
    <w:rsid w:val="00EE44D7"/>
    <w:rsid w:val="00F00C8F"/>
    <w:rsid w:val="00F13DB7"/>
    <w:rsid w:val="00F14C6D"/>
    <w:rsid w:val="00F23BF9"/>
    <w:rsid w:val="00F3100E"/>
    <w:rsid w:val="00F511E0"/>
    <w:rsid w:val="00F71A6E"/>
    <w:rsid w:val="00F9078E"/>
    <w:rsid w:val="00F95982"/>
    <w:rsid w:val="00FA36E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4591172-8463-4A38-96AC-1F794A6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CF6"/>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SubmissionNormal">
    <w:name w:val="Submission Normal"/>
    <w:basedOn w:val="Normal"/>
    <w:link w:val="SubmissionNormalChar"/>
    <w:qFormat/>
    <w:rsid w:val="001E3EA7"/>
    <w:pPr>
      <w:numPr>
        <w:numId w:val="28"/>
      </w:numPr>
      <w:tabs>
        <w:tab w:val="clear" w:pos="294"/>
        <w:tab w:val="left" w:pos="851"/>
      </w:tabs>
      <w:ind w:left="851" w:hanging="851"/>
    </w:pPr>
    <w:rPr>
      <w:sz w:val="23"/>
    </w:rPr>
  </w:style>
  <w:style w:type="character" w:customStyle="1" w:styleId="SubmissionNormalChar">
    <w:name w:val="Submission Normal Char"/>
    <w:link w:val="SubmissionNormal"/>
    <w:rsid w:val="001E3EA7"/>
    <w:rPr>
      <w:rFonts w:ascii="Arial" w:hAnsi="Arial"/>
      <w:sz w:val="23"/>
      <w:szCs w:val="24"/>
    </w:rPr>
  </w:style>
  <w:style w:type="paragraph" w:customStyle="1" w:styleId="Default">
    <w:name w:val="Default"/>
    <w:rsid w:val="0027492E"/>
    <w:pPr>
      <w:autoSpaceDE w:val="0"/>
      <w:autoSpaceDN w:val="0"/>
      <w:adjustRightInd w:val="0"/>
    </w:pPr>
    <w:rPr>
      <w:color w:val="000000"/>
      <w:sz w:val="24"/>
      <w:szCs w:val="24"/>
    </w:rPr>
  </w:style>
  <w:style w:type="paragraph" w:styleId="BalloonText">
    <w:name w:val="Balloon Text"/>
    <w:basedOn w:val="Normal"/>
    <w:link w:val="BalloonTextChar"/>
    <w:locked/>
    <w:rsid w:val="0027492E"/>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492E"/>
    <w:rPr>
      <w:rFonts w:ascii="Tahoma" w:hAnsi="Tahoma" w:cs="Tahoma"/>
      <w:sz w:val="16"/>
      <w:szCs w:val="16"/>
    </w:rPr>
  </w:style>
  <w:style w:type="paragraph" w:styleId="ListParagraph">
    <w:name w:val="List Paragraph"/>
    <w:basedOn w:val="Normal"/>
    <w:uiPriority w:val="34"/>
    <w:qFormat/>
    <w:rsid w:val="0027492E"/>
    <w:pPr>
      <w:ind w:left="720"/>
      <w:contextualSpacing/>
    </w:pPr>
  </w:style>
  <w:style w:type="character" w:customStyle="1" w:styleId="EndnoteTextChar1">
    <w:name w:val="Endnote Text Char1"/>
    <w:rsid w:val="00B36FB5"/>
    <w:rPr>
      <w:rFonts w:ascii="Arial" w:eastAsia="MS Mincho"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humanrights.gov.au/exposure-draft-bill-crimes-legislation-amendment-slavery-slavery-conditions-and-people-trafficking" TargetMode="External"/><Relationship Id="rId1" Type="http://schemas.openxmlformats.org/officeDocument/2006/relationships/hyperlink" Target="https://www.ag.gov.au/CrimeAndCorruption/HumanTrafficking/Pages/Australiasresponsetohumantrafficking.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7F7B-825F-436A-B961-6F0A871C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Mala Wadhera</cp:lastModifiedBy>
  <cp:revision>7</cp:revision>
  <cp:lastPrinted>2015-04-27T01:01:00Z</cp:lastPrinted>
  <dcterms:created xsi:type="dcterms:W3CDTF">2015-06-26T00:01:00Z</dcterms:created>
  <dcterms:modified xsi:type="dcterms:W3CDTF">2015-06-30T05:08:00Z</dcterms:modified>
</cp:coreProperties>
</file>