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29" w:rsidRDefault="00BD256D" w:rsidP="00BD256D">
      <w:pPr>
        <w:pStyle w:val="MainTitle"/>
        <w:spacing w:before="360" w:after="240" w:line="240" w:lineRule="auto"/>
        <w:jc w:val="left"/>
        <w:rPr>
          <w:rFonts w:cs="Arial"/>
          <w:b/>
          <w:color w:val="7030A0"/>
          <w:sz w:val="28"/>
          <w:szCs w:val="28"/>
        </w:rPr>
      </w:pPr>
      <w:r>
        <w:rPr>
          <w:rFonts w:cs="Arial"/>
          <w:b/>
          <w:noProof/>
          <w:color w:val="7030A0"/>
          <w:sz w:val="28"/>
          <w:szCs w:val="28"/>
        </w:rPr>
        <w:drawing>
          <wp:inline distT="0" distB="0" distL="0" distR="0">
            <wp:extent cx="5010150" cy="16588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01 SOGII RIGHTS LOGO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15160" cy="1660477"/>
                    </a:xfrm>
                    <a:prstGeom prst="rect">
                      <a:avLst/>
                    </a:prstGeom>
                  </pic:spPr>
                </pic:pic>
              </a:graphicData>
            </a:graphic>
          </wp:inline>
        </w:drawing>
      </w:r>
    </w:p>
    <w:p w:rsidR="00D71729" w:rsidRDefault="00D71729" w:rsidP="00D71729">
      <w:pPr>
        <w:pStyle w:val="MainTitle"/>
        <w:spacing w:before="360" w:after="240" w:line="240" w:lineRule="auto"/>
        <w:rPr>
          <w:rFonts w:cs="Arial"/>
          <w:b/>
          <w:color w:val="7030A0"/>
          <w:sz w:val="28"/>
          <w:szCs w:val="28"/>
        </w:rPr>
      </w:pPr>
    </w:p>
    <w:p w:rsidR="00D71729" w:rsidRDefault="00D71729" w:rsidP="00D71729">
      <w:pPr>
        <w:pStyle w:val="MainTitle"/>
        <w:spacing w:before="360" w:after="240" w:line="240" w:lineRule="auto"/>
        <w:jc w:val="left"/>
        <w:rPr>
          <w:rFonts w:cs="Arial"/>
          <w:b/>
          <w:color w:val="7030A0"/>
          <w:sz w:val="28"/>
          <w:szCs w:val="28"/>
        </w:rPr>
      </w:pPr>
    </w:p>
    <w:p w:rsidR="00D71729" w:rsidRDefault="00D71729" w:rsidP="00D71729">
      <w:pPr>
        <w:pStyle w:val="MainTitle"/>
        <w:spacing w:before="360" w:after="240" w:line="240" w:lineRule="auto"/>
        <w:rPr>
          <w:rFonts w:cs="Arial"/>
          <w:b/>
          <w:color w:val="7030A0"/>
          <w:sz w:val="28"/>
          <w:szCs w:val="28"/>
        </w:rPr>
      </w:pPr>
    </w:p>
    <w:p w:rsidR="00D71729" w:rsidRPr="007F4409" w:rsidRDefault="00D71729" w:rsidP="00D71729">
      <w:pPr>
        <w:pStyle w:val="MainTitle"/>
        <w:spacing w:before="360" w:after="240" w:line="240" w:lineRule="auto"/>
        <w:rPr>
          <w:rFonts w:cs="Arial"/>
          <w:b/>
          <w:color w:val="7030A0"/>
          <w:sz w:val="28"/>
          <w:szCs w:val="28"/>
        </w:rPr>
      </w:pPr>
      <w:r w:rsidRPr="007F4409">
        <w:rPr>
          <w:rFonts w:cs="Arial"/>
          <w:b/>
          <w:color w:val="7030A0"/>
          <w:sz w:val="28"/>
          <w:szCs w:val="28"/>
        </w:rPr>
        <w:t xml:space="preserve">Sexual Orientation, Gender Identity &amp; Intersex Rights </w:t>
      </w:r>
    </w:p>
    <w:p w:rsidR="00D71729" w:rsidRPr="007F4409" w:rsidRDefault="00D71729" w:rsidP="00D71729">
      <w:pPr>
        <w:pStyle w:val="MainTitle"/>
        <w:spacing w:before="360" w:after="240" w:line="240" w:lineRule="auto"/>
        <w:rPr>
          <w:rFonts w:cs="Arial"/>
          <w:b/>
          <w:color w:val="7030A0"/>
          <w:sz w:val="28"/>
          <w:szCs w:val="28"/>
        </w:rPr>
      </w:pPr>
      <w:r w:rsidRPr="007F4409">
        <w:rPr>
          <w:rFonts w:cs="Arial"/>
          <w:b/>
          <w:color w:val="7030A0"/>
          <w:sz w:val="28"/>
          <w:szCs w:val="28"/>
        </w:rPr>
        <w:t>Snapshot Report</w:t>
      </w:r>
    </w:p>
    <w:p w:rsidR="00D71729" w:rsidRPr="007F4409" w:rsidRDefault="007A4032" w:rsidP="00D71729">
      <w:pPr>
        <w:spacing w:before="360"/>
        <w:jc w:val="right"/>
        <w:rPr>
          <w:rFonts w:cs="Arial"/>
          <w:b/>
          <w:color w:val="7030A0"/>
          <w:sz w:val="28"/>
          <w:szCs w:val="28"/>
        </w:rPr>
      </w:pPr>
      <w:r>
        <w:rPr>
          <w:rFonts w:cs="Arial"/>
          <w:b/>
          <w:color w:val="7030A0"/>
          <w:sz w:val="28"/>
          <w:szCs w:val="28"/>
        </w:rPr>
        <w:t xml:space="preserve">Background Paper </w:t>
      </w:r>
      <w:r>
        <w:rPr>
          <w:rFonts w:ascii="Sakkal Majalla" w:hAnsi="Sakkal Majalla" w:cs="Sakkal Majalla"/>
          <w:b/>
          <w:color w:val="7030A0"/>
          <w:sz w:val="28"/>
          <w:szCs w:val="28"/>
        </w:rPr>
        <w:t>·</w:t>
      </w:r>
      <w:r>
        <w:rPr>
          <w:rFonts w:cs="Arial"/>
          <w:b/>
          <w:color w:val="7030A0"/>
          <w:sz w:val="28"/>
          <w:szCs w:val="28"/>
        </w:rPr>
        <w:t xml:space="preserve"> 2014</w:t>
      </w:r>
    </w:p>
    <w:p w:rsidR="00D71729" w:rsidRPr="002B43D6" w:rsidRDefault="00D71729" w:rsidP="00D71729">
      <w:pPr>
        <w:pStyle w:val="MainTitle"/>
        <w:spacing w:before="360" w:after="240" w:line="240" w:lineRule="auto"/>
        <w:jc w:val="left"/>
        <w:rPr>
          <w:rFonts w:cs="Arial"/>
          <w:b/>
          <w:color w:val="auto"/>
          <w:sz w:val="28"/>
          <w:szCs w:val="28"/>
        </w:rPr>
      </w:pPr>
    </w:p>
    <w:p w:rsidR="00D71729" w:rsidRDefault="00D71729" w:rsidP="00D71729">
      <w:pPr>
        <w:pStyle w:val="MainTitle"/>
        <w:spacing w:before="100" w:beforeAutospacing="1" w:after="100" w:afterAutospacing="1" w:line="240" w:lineRule="auto"/>
        <w:jc w:val="left"/>
        <w:rPr>
          <w:rFonts w:cs="Arial"/>
          <w:color w:val="auto"/>
          <w:sz w:val="24"/>
          <w:szCs w:val="24"/>
        </w:rPr>
      </w:pPr>
    </w:p>
    <w:p w:rsidR="00D71729" w:rsidRDefault="00D71729" w:rsidP="00D71729">
      <w:pPr>
        <w:pStyle w:val="MainTitle"/>
        <w:spacing w:before="100" w:beforeAutospacing="1" w:after="100" w:afterAutospacing="1" w:line="240" w:lineRule="auto"/>
        <w:jc w:val="left"/>
        <w:rPr>
          <w:rFonts w:cs="Arial"/>
          <w:color w:val="auto"/>
          <w:sz w:val="24"/>
          <w:szCs w:val="24"/>
        </w:rPr>
      </w:pPr>
      <w:r w:rsidRPr="004657EF">
        <w:rPr>
          <w:rFonts w:cs="Arial"/>
          <w:color w:val="auto"/>
          <w:sz w:val="24"/>
          <w:szCs w:val="24"/>
        </w:rPr>
        <w:t xml:space="preserve">Australia’s Human Rights Commissioner, Tim Wilson </w:t>
      </w:r>
      <w:r w:rsidR="007A4032">
        <w:rPr>
          <w:rFonts w:cs="Arial"/>
          <w:color w:val="auto"/>
          <w:sz w:val="24"/>
          <w:szCs w:val="24"/>
        </w:rPr>
        <w:t>is</w:t>
      </w:r>
      <w:r w:rsidRPr="004657EF">
        <w:rPr>
          <w:rFonts w:cs="Arial"/>
          <w:color w:val="auto"/>
          <w:sz w:val="24"/>
          <w:szCs w:val="24"/>
        </w:rPr>
        <w:t xml:space="preserve"> be holding consultations to explore key rights issues affecting </w:t>
      </w:r>
      <w:r>
        <w:rPr>
          <w:rFonts w:cs="Arial"/>
          <w:color w:val="auto"/>
          <w:sz w:val="24"/>
          <w:szCs w:val="24"/>
        </w:rPr>
        <w:t>lesbian, gay, bisexual, transgender and intersex</w:t>
      </w:r>
      <w:r w:rsidRPr="004657EF">
        <w:rPr>
          <w:rFonts w:cs="Arial"/>
          <w:color w:val="auto"/>
          <w:sz w:val="24"/>
          <w:szCs w:val="24"/>
        </w:rPr>
        <w:t xml:space="preserve"> </w:t>
      </w:r>
      <w:r>
        <w:rPr>
          <w:rFonts w:cs="Arial"/>
          <w:color w:val="auto"/>
          <w:sz w:val="24"/>
          <w:szCs w:val="24"/>
        </w:rPr>
        <w:t xml:space="preserve">(LGBTI) </w:t>
      </w:r>
      <w:r w:rsidRPr="004657EF">
        <w:rPr>
          <w:rFonts w:cs="Arial"/>
          <w:color w:val="auto"/>
          <w:sz w:val="24"/>
          <w:szCs w:val="24"/>
        </w:rPr>
        <w:t xml:space="preserve">people in Australia. </w:t>
      </w:r>
    </w:p>
    <w:p w:rsidR="00D71729" w:rsidRDefault="00D71729" w:rsidP="00D71729">
      <w:pPr>
        <w:pStyle w:val="MainTitle"/>
        <w:spacing w:before="100" w:beforeAutospacing="1" w:after="100" w:afterAutospacing="1" w:line="240" w:lineRule="auto"/>
        <w:jc w:val="left"/>
        <w:rPr>
          <w:rFonts w:cs="Arial"/>
          <w:color w:val="auto"/>
          <w:sz w:val="24"/>
          <w:szCs w:val="24"/>
        </w:rPr>
      </w:pPr>
    </w:p>
    <w:p w:rsidR="00D71729" w:rsidRPr="004657EF" w:rsidRDefault="00D71729" w:rsidP="00D71729">
      <w:pPr>
        <w:pStyle w:val="MainTitle"/>
        <w:spacing w:before="100" w:beforeAutospacing="1" w:after="100" w:afterAutospacing="1" w:line="240" w:lineRule="auto"/>
        <w:jc w:val="left"/>
        <w:rPr>
          <w:rFonts w:cs="Arial"/>
          <w:color w:val="auto"/>
          <w:sz w:val="24"/>
          <w:szCs w:val="24"/>
        </w:rPr>
      </w:pPr>
      <w:r w:rsidRPr="004657EF">
        <w:rPr>
          <w:rFonts w:cs="Arial"/>
          <w:color w:val="auto"/>
          <w:sz w:val="24"/>
          <w:szCs w:val="24"/>
        </w:rPr>
        <w:t>The</w:t>
      </w:r>
      <w:r>
        <w:rPr>
          <w:rFonts w:cs="Arial"/>
          <w:color w:val="auto"/>
          <w:sz w:val="24"/>
          <w:szCs w:val="24"/>
        </w:rPr>
        <w:t>se</w:t>
      </w:r>
      <w:r w:rsidRPr="004657EF">
        <w:rPr>
          <w:rFonts w:cs="Arial"/>
          <w:color w:val="auto"/>
          <w:sz w:val="24"/>
          <w:szCs w:val="24"/>
        </w:rPr>
        <w:t xml:space="preserve"> consultation</w:t>
      </w:r>
      <w:r>
        <w:rPr>
          <w:rFonts w:cs="Arial"/>
          <w:color w:val="auto"/>
          <w:sz w:val="24"/>
          <w:szCs w:val="24"/>
        </w:rPr>
        <w:t>s</w:t>
      </w:r>
      <w:r w:rsidRPr="004657EF">
        <w:rPr>
          <w:rFonts w:cs="Arial"/>
          <w:color w:val="auto"/>
          <w:sz w:val="24"/>
          <w:szCs w:val="24"/>
        </w:rPr>
        <w:t xml:space="preserve"> </w:t>
      </w:r>
      <w:r w:rsidR="007A4032">
        <w:rPr>
          <w:rFonts w:cs="Arial"/>
          <w:color w:val="auto"/>
          <w:sz w:val="24"/>
          <w:szCs w:val="24"/>
        </w:rPr>
        <w:t>are</w:t>
      </w:r>
      <w:r w:rsidRPr="004657EF">
        <w:rPr>
          <w:rFonts w:cs="Arial"/>
          <w:color w:val="auto"/>
          <w:sz w:val="24"/>
          <w:szCs w:val="24"/>
        </w:rPr>
        <w:t xml:space="preserve"> </w:t>
      </w:r>
      <w:r>
        <w:rPr>
          <w:rFonts w:cs="Arial"/>
          <w:color w:val="auto"/>
          <w:sz w:val="24"/>
          <w:szCs w:val="24"/>
        </w:rPr>
        <w:t>conducted through an</w:t>
      </w:r>
      <w:r w:rsidRPr="004657EF">
        <w:rPr>
          <w:rFonts w:cs="Arial"/>
          <w:color w:val="auto"/>
          <w:sz w:val="24"/>
          <w:szCs w:val="24"/>
        </w:rPr>
        <w:t xml:space="preserve"> online survey </w:t>
      </w:r>
      <w:r w:rsidR="007A4032">
        <w:rPr>
          <w:rFonts w:cs="Arial"/>
          <w:color w:val="auto"/>
          <w:sz w:val="24"/>
          <w:szCs w:val="24"/>
        </w:rPr>
        <w:t xml:space="preserve">and email submission process. </w:t>
      </w:r>
      <w:r>
        <w:rPr>
          <w:rFonts w:cs="Arial"/>
          <w:color w:val="auto"/>
          <w:sz w:val="24"/>
          <w:szCs w:val="24"/>
        </w:rPr>
        <w:t xml:space="preserve">The online consultation period will be supported by a number of </w:t>
      </w:r>
      <w:r w:rsidRPr="004657EF">
        <w:rPr>
          <w:rFonts w:cs="Arial"/>
          <w:color w:val="auto"/>
          <w:sz w:val="24"/>
          <w:szCs w:val="24"/>
        </w:rPr>
        <w:t>targeted meetings</w:t>
      </w:r>
      <w:r>
        <w:rPr>
          <w:rFonts w:cs="Arial"/>
          <w:color w:val="auto"/>
          <w:sz w:val="24"/>
          <w:szCs w:val="24"/>
        </w:rPr>
        <w:t xml:space="preserve"> and community forums</w:t>
      </w:r>
      <w:r w:rsidRPr="004657EF">
        <w:rPr>
          <w:rFonts w:cs="Arial"/>
          <w:color w:val="auto"/>
          <w:sz w:val="24"/>
          <w:szCs w:val="24"/>
        </w:rPr>
        <w:t xml:space="preserve"> with </w:t>
      </w:r>
      <w:r>
        <w:rPr>
          <w:rFonts w:cs="Arial"/>
          <w:color w:val="auto"/>
          <w:sz w:val="24"/>
          <w:szCs w:val="24"/>
        </w:rPr>
        <w:t xml:space="preserve">LGBTI groups, </w:t>
      </w:r>
      <w:r w:rsidRPr="004657EF">
        <w:rPr>
          <w:rFonts w:cs="Arial"/>
          <w:color w:val="auto"/>
          <w:sz w:val="24"/>
          <w:szCs w:val="24"/>
        </w:rPr>
        <w:t>organisations and individuals ac</w:t>
      </w:r>
      <w:r>
        <w:rPr>
          <w:rFonts w:cs="Arial"/>
          <w:color w:val="auto"/>
          <w:sz w:val="24"/>
          <w:szCs w:val="24"/>
        </w:rPr>
        <w:t>ross the country</w:t>
      </w:r>
      <w:r w:rsidRPr="004657EF">
        <w:rPr>
          <w:rFonts w:cs="Arial"/>
          <w:color w:val="auto"/>
          <w:sz w:val="24"/>
          <w:szCs w:val="24"/>
        </w:rPr>
        <w:t>.</w:t>
      </w:r>
      <w:r>
        <w:rPr>
          <w:rFonts w:cs="Arial"/>
          <w:color w:val="auto"/>
          <w:sz w:val="24"/>
          <w:szCs w:val="24"/>
        </w:rPr>
        <w:t xml:space="preserve"> The outcomes of this process will inform the work of </w:t>
      </w:r>
      <w:r w:rsidR="007A4032">
        <w:rPr>
          <w:rFonts w:cs="Arial"/>
          <w:color w:val="auto"/>
          <w:sz w:val="24"/>
          <w:szCs w:val="24"/>
        </w:rPr>
        <w:t xml:space="preserve">the </w:t>
      </w:r>
      <w:r>
        <w:rPr>
          <w:rFonts w:cs="Arial"/>
          <w:color w:val="auto"/>
          <w:sz w:val="24"/>
          <w:szCs w:val="24"/>
        </w:rPr>
        <w:t xml:space="preserve">Commissioner in the area of </w:t>
      </w:r>
      <w:r w:rsidR="00FC4745">
        <w:rPr>
          <w:rFonts w:cs="Arial"/>
          <w:color w:val="auto"/>
          <w:sz w:val="24"/>
          <w:szCs w:val="24"/>
        </w:rPr>
        <w:t xml:space="preserve">Sexual Orientation, Gender Identity and Intersex </w:t>
      </w:r>
      <w:r w:rsidR="005069C2">
        <w:rPr>
          <w:rFonts w:cs="Arial"/>
          <w:color w:val="auto"/>
          <w:sz w:val="24"/>
          <w:szCs w:val="24"/>
        </w:rPr>
        <w:t xml:space="preserve">(SOGII) </w:t>
      </w:r>
      <w:r w:rsidR="00FC4745">
        <w:rPr>
          <w:rFonts w:cs="Arial"/>
          <w:color w:val="auto"/>
          <w:sz w:val="24"/>
          <w:szCs w:val="24"/>
        </w:rPr>
        <w:t xml:space="preserve">Rights </w:t>
      </w:r>
      <w:r w:rsidR="002939C5">
        <w:rPr>
          <w:rFonts w:cs="Arial"/>
          <w:color w:val="auto"/>
          <w:sz w:val="24"/>
          <w:szCs w:val="24"/>
        </w:rPr>
        <w:t>over his tenure.</w:t>
      </w:r>
    </w:p>
    <w:p w:rsidR="00D71729" w:rsidRPr="004657EF" w:rsidRDefault="00D71729" w:rsidP="00D71729">
      <w:pPr>
        <w:pStyle w:val="MainTitle"/>
        <w:spacing w:before="100" w:beforeAutospacing="1" w:after="100" w:afterAutospacing="1" w:line="240" w:lineRule="auto"/>
        <w:jc w:val="left"/>
        <w:rPr>
          <w:rFonts w:cs="Arial"/>
          <w:color w:val="auto"/>
          <w:sz w:val="24"/>
          <w:szCs w:val="24"/>
        </w:rPr>
      </w:pPr>
    </w:p>
    <w:p w:rsidR="00D71729" w:rsidRDefault="00B903FF" w:rsidP="00D71729">
      <w:pPr>
        <w:pStyle w:val="MainTitle"/>
        <w:spacing w:before="100" w:beforeAutospacing="1" w:after="100" w:afterAutospacing="1" w:line="240" w:lineRule="auto"/>
        <w:jc w:val="left"/>
        <w:rPr>
          <w:rFonts w:cs="Arial"/>
          <w:color w:val="auto"/>
          <w:sz w:val="24"/>
          <w:szCs w:val="24"/>
        </w:rPr>
      </w:pPr>
      <w:bookmarkStart w:id="0" w:name="OLE_LINK1"/>
      <w:r>
        <w:rPr>
          <w:rFonts w:cs="Arial"/>
          <w:color w:val="auto"/>
          <w:sz w:val="24"/>
          <w:szCs w:val="24"/>
        </w:rPr>
        <w:t>This</w:t>
      </w:r>
      <w:r w:rsidR="00D71729">
        <w:rPr>
          <w:rFonts w:cs="Arial"/>
          <w:color w:val="auto"/>
          <w:sz w:val="24"/>
          <w:szCs w:val="24"/>
        </w:rPr>
        <w:t xml:space="preserve"> consultation </w:t>
      </w:r>
      <w:r w:rsidR="00D71729" w:rsidRPr="004657EF">
        <w:rPr>
          <w:rFonts w:cs="Arial"/>
          <w:color w:val="auto"/>
          <w:sz w:val="24"/>
          <w:szCs w:val="24"/>
        </w:rPr>
        <w:t xml:space="preserve">will </w:t>
      </w:r>
      <w:r w:rsidR="00D71729">
        <w:rPr>
          <w:rFonts w:cs="Arial"/>
          <w:color w:val="auto"/>
          <w:sz w:val="24"/>
          <w:szCs w:val="24"/>
        </w:rPr>
        <w:t xml:space="preserve">be </w:t>
      </w:r>
      <w:r>
        <w:rPr>
          <w:rFonts w:cs="Arial"/>
          <w:color w:val="auto"/>
          <w:sz w:val="24"/>
          <w:szCs w:val="24"/>
        </w:rPr>
        <w:t xml:space="preserve">held in parallel with </w:t>
      </w:r>
      <w:r w:rsidR="00D71729" w:rsidRPr="004657EF">
        <w:rPr>
          <w:rFonts w:cs="Arial"/>
          <w:i/>
          <w:color w:val="auto"/>
          <w:sz w:val="24"/>
          <w:szCs w:val="24"/>
        </w:rPr>
        <w:t>Rights &amp; Responsibilities 2014</w:t>
      </w:r>
      <w:r w:rsidR="00D71729" w:rsidRPr="004657EF">
        <w:rPr>
          <w:rFonts w:cs="Arial"/>
          <w:color w:val="auto"/>
          <w:sz w:val="24"/>
          <w:szCs w:val="24"/>
        </w:rPr>
        <w:t>, a national consultation</w:t>
      </w:r>
      <w:bookmarkEnd w:id="0"/>
      <w:r w:rsidR="00D71729" w:rsidRPr="004657EF">
        <w:rPr>
          <w:rFonts w:cs="Arial"/>
          <w:color w:val="auto"/>
          <w:sz w:val="24"/>
          <w:szCs w:val="24"/>
        </w:rPr>
        <w:t xml:space="preserve"> about how effectively we protect people’s human rights and freedoms in Australia. The </w:t>
      </w:r>
      <w:r w:rsidR="00D71729" w:rsidRPr="004657EF">
        <w:rPr>
          <w:rFonts w:cs="Arial"/>
          <w:i/>
          <w:color w:val="auto"/>
          <w:sz w:val="24"/>
          <w:szCs w:val="24"/>
        </w:rPr>
        <w:t xml:space="preserve">Rights &amp; Responsibilities 2014 </w:t>
      </w:r>
      <w:r w:rsidR="00D71729" w:rsidRPr="004657EF">
        <w:rPr>
          <w:rFonts w:cs="Arial"/>
          <w:color w:val="auto"/>
          <w:sz w:val="24"/>
          <w:szCs w:val="24"/>
        </w:rPr>
        <w:t xml:space="preserve">consultation </w:t>
      </w:r>
      <w:r w:rsidR="00F5542B">
        <w:rPr>
          <w:rFonts w:cs="Arial"/>
          <w:color w:val="auto"/>
          <w:sz w:val="24"/>
          <w:szCs w:val="24"/>
        </w:rPr>
        <w:t>is focused</w:t>
      </w:r>
      <w:r w:rsidR="00D71729" w:rsidRPr="004657EF">
        <w:rPr>
          <w:rFonts w:cs="Arial"/>
          <w:color w:val="auto"/>
          <w:sz w:val="24"/>
          <w:szCs w:val="24"/>
        </w:rPr>
        <w:t xml:space="preserve"> on building understanding and improved protection of our fundamental human rights, freedoms and responsibilities.</w:t>
      </w:r>
    </w:p>
    <w:p w:rsidR="00D71729" w:rsidRDefault="00D71729">
      <w:pPr>
        <w:spacing w:before="0" w:after="0"/>
        <w:rPr>
          <w:rFonts w:cs="Arial"/>
          <w:b/>
          <w:color w:val="7030A0"/>
          <w:sz w:val="28"/>
          <w:szCs w:val="28"/>
        </w:rPr>
      </w:pPr>
      <w:r>
        <w:rPr>
          <w:rFonts w:cs="Arial"/>
          <w:b/>
          <w:color w:val="7030A0"/>
          <w:sz w:val="28"/>
          <w:szCs w:val="28"/>
        </w:rPr>
        <w:br w:type="page"/>
      </w:r>
    </w:p>
    <w:p w:rsidR="00FC4745" w:rsidRPr="007F4409" w:rsidRDefault="00FC4745" w:rsidP="00FC4745">
      <w:pPr>
        <w:spacing w:before="360"/>
        <w:rPr>
          <w:rFonts w:cs="Arial"/>
          <w:b/>
          <w:color w:val="7030A0"/>
          <w:sz w:val="28"/>
          <w:szCs w:val="28"/>
        </w:rPr>
      </w:pPr>
      <w:r w:rsidRPr="007F4409">
        <w:rPr>
          <w:rFonts w:cs="Arial"/>
          <w:b/>
          <w:color w:val="7030A0"/>
          <w:sz w:val="28"/>
          <w:szCs w:val="28"/>
        </w:rPr>
        <w:lastRenderedPageBreak/>
        <w:t>A Note on Terminology</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Fonts w:ascii="Arial" w:hAnsi="Arial" w:cs="Arial"/>
          <w:lang w:val="en"/>
        </w:rPr>
        <w:t xml:space="preserve">The </w:t>
      </w:r>
      <w:r>
        <w:rPr>
          <w:rFonts w:ascii="Arial" w:hAnsi="Arial" w:cs="Arial"/>
          <w:lang w:val="en"/>
        </w:rPr>
        <w:t xml:space="preserve">Australian Human Rights </w:t>
      </w:r>
      <w:r w:rsidRPr="003A5082">
        <w:rPr>
          <w:rFonts w:ascii="Arial" w:hAnsi="Arial" w:cs="Arial"/>
          <w:lang w:val="en"/>
        </w:rPr>
        <w:t>Commission</w:t>
      </w:r>
      <w:r>
        <w:rPr>
          <w:rFonts w:ascii="Arial" w:hAnsi="Arial" w:cs="Arial"/>
          <w:lang w:val="en"/>
        </w:rPr>
        <w:t xml:space="preserve"> </w:t>
      </w:r>
      <w:r w:rsidRPr="003A5082">
        <w:rPr>
          <w:rFonts w:ascii="Arial" w:hAnsi="Arial" w:cs="Arial"/>
          <w:lang w:val="en"/>
        </w:rPr>
        <w:t xml:space="preserve">recognises that terminology can have a profound impact on a person’s identity, self-worth and inherent dignity. The use of inclusive and acceptable terminology empowers individuals and enables visibility of important issues. </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Fonts w:ascii="Arial" w:hAnsi="Arial" w:cs="Arial"/>
          <w:lang w:val="en"/>
        </w:rPr>
        <w:t>The Commission supports the right of people to identify their sexual orientation and sex and/or gender as they choose. The Commission also recognises that terminology is strongly contested, particularly terminology to descri</w:t>
      </w:r>
      <w:r>
        <w:rPr>
          <w:rFonts w:ascii="Arial" w:hAnsi="Arial" w:cs="Arial"/>
          <w:lang w:val="en"/>
        </w:rPr>
        <w:t>be sex and/or gender identity. Previous consultation work conducted by the Commission revealed</w:t>
      </w:r>
      <w:r w:rsidRPr="003A5082">
        <w:rPr>
          <w:rFonts w:ascii="Arial" w:hAnsi="Arial" w:cs="Arial"/>
          <w:lang w:val="en"/>
        </w:rPr>
        <w:t xml:space="preserve"> there is no clear consensus on what is appropriate terminology in this area.</w:t>
      </w:r>
      <w:r>
        <w:rPr>
          <w:rStyle w:val="EndnoteReference"/>
          <w:rFonts w:cs="Arial"/>
          <w:lang w:val="en"/>
        </w:rPr>
        <w:endnoteReference w:id="1"/>
      </w:r>
      <w:r w:rsidRPr="003A5082">
        <w:rPr>
          <w:rFonts w:ascii="Arial" w:hAnsi="Arial" w:cs="Arial"/>
          <w:lang w:val="en"/>
        </w:rPr>
        <w:t xml:space="preserve"> </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Fonts w:ascii="Arial" w:hAnsi="Arial" w:cs="Arial"/>
          <w:lang w:val="en"/>
        </w:rPr>
        <w:t>Som</w:t>
      </w:r>
      <w:r>
        <w:rPr>
          <w:rFonts w:ascii="Arial" w:hAnsi="Arial" w:cs="Arial"/>
          <w:lang w:val="en"/>
        </w:rPr>
        <w:t>e of the terminology used in our</w:t>
      </w:r>
      <w:r w:rsidRPr="003A5082">
        <w:rPr>
          <w:rFonts w:ascii="Arial" w:hAnsi="Arial" w:cs="Arial"/>
          <w:lang w:val="en"/>
        </w:rPr>
        <w:t xml:space="preserve"> work is explained below:</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Style w:val="Strong"/>
          <w:rFonts w:ascii="Arial" w:hAnsi="Arial" w:cs="Arial"/>
          <w:lang w:val="en"/>
        </w:rPr>
        <w:t>LGBTI:</w:t>
      </w:r>
      <w:r w:rsidRPr="003A5082">
        <w:rPr>
          <w:rFonts w:ascii="Arial" w:hAnsi="Arial" w:cs="Arial"/>
          <w:lang w:val="en"/>
        </w:rPr>
        <w:t xml:space="preserve"> An internationally recognised acronym which is used to describe lesbian, gay, bisexual, trans and intersex people collectively. Many sub-groups form part of the larger LGBTI movement. </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Fonts w:ascii="Arial" w:hAnsi="Arial" w:cs="Arial"/>
          <w:b/>
          <w:lang w:val="en"/>
        </w:rPr>
        <w:t>SOGII</w:t>
      </w:r>
      <w:r w:rsidRPr="003A5082">
        <w:rPr>
          <w:rFonts w:ascii="Arial" w:hAnsi="Arial" w:cs="Arial"/>
          <w:lang w:val="en"/>
        </w:rPr>
        <w:t>: An internationally recognised acronym which is used to describe sexual orientation, gender id</w:t>
      </w:r>
      <w:r w:rsidR="00CA6004">
        <w:rPr>
          <w:rFonts w:ascii="Arial" w:hAnsi="Arial" w:cs="Arial"/>
          <w:lang w:val="en"/>
        </w:rPr>
        <w:t>entit</w:t>
      </w:r>
      <w:r w:rsidRPr="003A5082">
        <w:rPr>
          <w:rFonts w:ascii="Arial" w:hAnsi="Arial" w:cs="Arial"/>
          <w:lang w:val="en"/>
        </w:rPr>
        <w:t xml:space="preserve">y, and intersex status collectively </w:t>
      </w:r>
      <w:r>
        <w:rPr>
          <w:rFonts w:ascii="Arial" w:hAnsi="Arial" w:cs="Arial"/>
          <w:lang w:val="en"/>
        </w:rPr>
        <w:t xml:space="preserve">primarily </w:t>
      </w:r>
      <w:r w:rsidRPr="003A5082">
        <w:rPr>
          <w:rFonts w:ascii="Arial" w:hAnsi="Arial" w:cs="Arial"/>
          <w:lang w:val="en"/>
        </w:rPr>
        <w:t>for the purposes of law and policy, most often in human rights and anti-discrimination law.</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Style w:val="Strong"/>
          <w:rFonts w:ascii="Arial" w:hAnsi="Arial" w:cs="Arial"/>
          <w:lang w:val="en"/>
        </w:rPr>
        <w:t>Sexual orientation:</w:t>
      </w:r>
      <w:r w:rsidRPr="003A5082">
        <w:rPr>
          <w:rFonts w:ascii="Arial" w:hAnsi="Arial" w:cs="Arial"/>
          <w:lang w:val="en"/>
        </w:rPr>
        <w:t xml:space="preserve"> The term ‘sexual orientation’ refers to a person’s emotional or sexual attraction to another person, including, amongst others, the following identities: heterosexual, gay, lesbian, </w:t>
      </w:r>
      <w:r>
        <w:rPr>
          <w:rFonts w:ascii="Arial" w:hAnsi="Arial" w:cs="Arial"/>
          <w:lang w:val="en"/>
        </w:rPr>
        <w:t xml:space="preserve">bisexual, pansexual, asexual or </w:t>
      </w:r>
      <w:r w:rsidRPr="003A5082">
        <w:rPr>
          <w:rFonts w:ascii="Arial" w:hAnsi="Arial" w:cs="Arial"/>
          <w:lang w:val="en"/>
        </w:rPr>
        <w:t xml:space="preserve">same-sex attracted. </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Style w:val="Strong"/>
          <w:rFonts w:ascii="Arial" w:hAnsi="Arial" w:cs="Arial"/>
          <w:lang w:val="en"/>
        </w:rPr>
        <w:t>Sex:</w:t>
      </w:r>
      <w:r w:rsidRPr="003A5082">
        <w:rPr>
          <w:rFonts w:ascii="Arial" w:hAnsi="Arial" w:cs="Arial"/>
          <w:lang w:val="en"/>
        </w:rPr>
        <w:t xml:space="preserve"> The term ‘sex’ refers to a person’s biological characteristics. A person’s sex is usually described as being male or female. Some people may not be exclusively male or female (the term ‘intersex’ is explained below). Some people identify as neither male nor female.</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Style w:val="Strong"/>
          <w:rFonts w:ascii="Arial" w:hAnsi="Arial" w:cs="Arial"/>
          <w:lang w:val="en"/>
        </w:rPr>
        <w:t>Gender:</w:t>
      </w:r>
      <w:r w:rsidRPr="003A5082">
        <w:rPr>
          <w:rFonts w:ascii="Arial" w:hAnsi="Arial" w:cs="Arial"/>
          <w:lang w:val="en"/>
        </w:rPr>
        <w:t xml:space="preserve"> The term ‘gender’ refers to the way in which a person identifies or expresses their masculine or feminine characteristics. Gender is generally understood as a social and cultural construction. A person’s gender identity or gender expression is not always exclusively male or female and may or may not correspond to their sex. </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Style w:val="Strong"/>
          <w:rFonts w:ascii="Arial" w:hAnsi="Arial" w:cs="Arial"/>
          <w:lang w:val="en"/>
        </w:rPr>
        <w:t>Gender identity:</w:t>
      </w:r>
      <w:r w:rsidRPr="003A5082">
        <w:rPr>
          <w:rFonts w:ascii="Arial" w:hAnsi="Arial" w:cs="Arial"/>
          <w:lang w:val="en"/>
        </w:rPr>
        <w:t xml:space="preserve"> The term ‘gender identity’ refers to a person’s deeply held internal and individual sense of gender. </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Style w:val="Strong"/>
          <w:rFonts w:ascii="Arial" w:hAnsi="Arial" w:cs="Arial"/>
          <w:lang w:val="en"/>
        </w:rPr>
        <w:t>Gender expression:</w:t>
      </w:r>
      <w:r w:rsidRPr="003A5082">
        <w:rPr>
          <w:rFonts w:ascii="Arial" w:hAnsi="Arial" w:cs="Arial"/>
          <w:lang w:val="en"/>
        </w:rPr>
        <w:t xml:space="preserve"> The term ‘gender expression’ refers to the way in which a person externally expresses their gender or how they are perceived by others. </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Style w:val="Strong"/>
          <w:rFonts w:ascii="Arial" w:hAnsi="Arial" w:cs="Arial"/>
          <w:lang w:val="en"/>
        </w:rPr>
        <w:t>Intersex:</w:t>
      </w:r>
      <w:r w:rsidRPr="003A5082">
        <w:rPr>
          <w:rFonts w:ascii="Arial" w:hAnsi="Arial" w:cs="Arial"/>
          <w:lang w:val="en"/>
        </w:rPr>
        <w:t xml:space="preserve"> The term ‘intersex’ refers to people who have genetic, hormonal or physical characteristics that are not exclusively ‘male’ or ‘female’. A person who is intersex may identify as male, female, intersex or as being of indeterminate sex.</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p>
    <w:p w:rsidR="00FC4745" w:rsidRDefault="00FC4745" w:rsidP="00FC4745">
      <w:pPr>
        <w:pStyle w:val="NormalWeb"/>
        <w:shd w:val="clear" w:color="auto" w:fill="FFFFFF"/>
        <w:spacing w:before="100" w:beforeAutospacing="1" w:after="100" w:afterAutospacing="1"/>
        <w:rPr>
          <w:rFonts w:ascii="Arial" w:hAnsi="Arial" w:cs="Arial"/>
          <w:lang w:val="en"/>
        </w:rPr>
      </w:pPr>
      <w:r w:rsidRPr="003A5082">
        <w:rPr>
          <w:rStyle w:val="Strong"/>
          <w:rFonts w:ascii="Arial" w:hAnsi="Arial" w:cs="Arial"/>
          <w:lang w:val="en"/>
        </w:rPr>
        <w:lastRenderedPageBreak/>
        <w:t xml:space="preserve">Trans: </w:t>
      </w:r>
      <w:r w:rsidRPr="003A5082">
        <w:rPr>
          <w:rFonts w:ascii="Arial" w:hAnsi="Arial" w:cs="Arial"/>
          <w:lang w:val="en"/>
        </w:rPr>
        <w:t>The term ‘trans’ is a general term for a person whose gender identity is different to their sex at birth. A trans person may take steps to live permanently in their nominated sex wit</w:t>
      </w:r>
      <w:r>
        <w:rPr>
          <w:rFonts w:ascii="Arial" w:hAnsi="Arial" w:cs="Arial"/>
          <w:lang w:val="en"/>
        </w:rPr>
        <w:t>h or without medical treatment.*</w:t>
      </w:r>
    </w:p>
    <w:p w:rsidR="00FC4745" w:rsidRPr="00B37742" w:rsidRDefault="00FC4745" w:rsidP="00FC4745">
      <w:pPr>
        <w:pStyle w:val="NormalWeb"/>
        <w:shd w:val="clear" w:color="auto" w:fill="FFFFFF"/>
        <w:spacing w:before="100" w:beforeAutospacing="1" w:after="100" w:afterAutospacing="1"/>
        <w:rPr>
          <w:rFonts w:ascii="Arial" w:hAnsi="Arial" w:cs="Arial"/>
          <w:i/>
          <w:lang w:val="en"/>
        </w:rPr>
      </w:pPr>
      <w:r>
        <w:rPr>
          <w:rFonts w:ascii="Arial" w:hAnsi="Arial" w:cs="Arial"/>
          <w:lang w:val="en"/>
        </w:rPr>
        <w:t>*</w:t>
      </w:r>
      <w:r w:rsidRPr="00B37742">
        <w:rPr>
          <w:rFonts w:ascii="Arial" w:hAnsi="Arial" w:cs="Arial"/>
          <w:lang w:val="en"/>
        </w:rPr>
        <w:t xml:space="preserve">Throughout different cultural contexts transgender identities have specific terms. For example in some Aboriginal and Torres Strait Islander communities some </w:t>
      </w:r>
      <w:r w:rsidRPr="00B37742">
        <w:rPr>
          <w:rFonts w:ascii="Arial" w:hAnsi="Arial" w:cs="Arial"/>
          <w:i/>
          <w:lang w:val="en"/>
        </w:rPr>
        <w:t xml:space="preserve">Sistergirls </w:t>
      </w:r>
      <w:r w:rsidRPr="00B37742">
        <w:rPr>
          <w:rFonts w:ascii="Arial" w:hAnsi="Arial" w:cs="Arial"/>
          <w:lang w:val="en"/>
        </w:rPr>
        <w:t>and</w:t>
      </w:r>
      <w:r w:rsidRPr="00B37742">
        <w:rPr>
          <w:rFonts w:ascii="Arial" w:hAnsi="Arial" w:cs="Arial"/>
          <w:i/>
          <w:lang w:val="en"/>
        </w:rPr>
        <w:t xml:space="preserve"> Brotherboys</w:t>
      </w:r>
      <w:r w:rsidRPr="00B37742">
        <w:rPr>
          <w:rFonts w:ascii="Arial" w:hAnsi="Arial" w:cs="Arial"/>
          <w:lang w:val="en"/>
        </w:rPr>
        <w:t xml:space="preserve"> are also trans people. </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Fonts w:ascii="Arial" w:hAnsi="Arial" w:cs="Arial"/>
          <w:lang w:val="en"/>
        </w:rPr>
        <w:t xml:space="preserve">The Commission acknowledges that some community members have expressed concern about the appropriateness of some of the terms outlined above, including LGBTI as an umbrella term and ‘gender identity’. </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Fonts w:ascii="Arial" w:hAnsi="Arial" w:cs="Arial"/>
          <w:lang w:val="en"/>
        </w:rPr>
        <w:t>At times, our work refers to the broader LGBTI movement to describe people affected by discrimination on the basis of sexual orientation or sex and/or gender identity, and at other times out work refers to the broader collection of SOGII rights to describe relevant areas of law and policy.</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Fonts w:ascii="Arial" w:hAnsi="Arial" w:cs="Arial"/>
          <w:lang w:val="en"/>
        </w:rPr>
        <w:t>Our work uses the phrase ‘gender identity’</w:t>
      </w:r>
      <w:r>
        <w:rPr>
          <w:rFonts w:ascii="Arial" w:hAnsi="Arial" w:cs="Arial"/>
          <w:lang w:val="en"/>
        </w:rPr>
        <w:t xml:space="preserve"> in the context of both international and domestic law. While i</w:t>
      </w:r>
      <w:r w:rsidRPr="003A5082">
        <w:rPr>
          <w:rFonts w:ascii="Arial" w:hAnsi="Arial" w:cs="Arial"/>
          <w:lang w:val="en"/>
        </w:rPr>
        <w:t xml:space="preserve">nternational human rights discourse often uses the phrase gender identity, many state and territory laws use a variation of this phrase. </w:t>
      </w:r>
      <w:r>
        <w:rPr>
          <w:rFonts w:ascii="Arial" w:hAnsi="Arial" w:cs="Arial"/>
          <w:lang w:val="en"/>
        </w:rPr>
        <w:t xml:space="preserve">For consistency the Commission uses the </w:t>
      </w:r>
      <w:r w:rsidRPr="003A5082">
        <w:rPr>
          <w:rFonts w:ascii="Arial" w:hAnsi="Arial" w:cs="Arial"/>
          <w:lang w:val="en"/>
        </w:rPr>
        <w:t xml:space="preserve">phrase ‘gender identity’ when referring to </w:t>
      </w:r>
      <w:r>
        <w:rPr>
          <w:rFonts w:ascii="Arial" w:hAnsi="Arial" w:cs="Arial"/>
          <w:lang w:val="en"/>
        </w:rPr>
        <w:t xml:space="preserve">either </w:t>
      </w:r>
      <w:r w:rsidRPr="003A5082">
        <w:rPr>
          <w:rFonts w:ascii="Arial" w:hAnsi="Arial" w:cs="Arial"/>
          <w:lang w:val="en"/>
        </w:rPr>
        <w:t xml:space="preserve">international </w:t>
      </w:r>
      <w:r>
        <w:rPr>
          <w:rFonts w:ascii="Arial" w:hAnsi="Arial" w:cs="Arial"/>
          <w:lang w:val="en"/>
        </w:rPr>
        <w:t>treaties</w:t>
      </w:r>
      <w:r w:rsidRPr="003A5082">
        <w:rPr>
          <w:rFonts w:ascii="Arial" w:hAnsi="Arial" w:cs="Arial"/>
          <w:lang w:val="en"/>
        </w:rPr>
        <w:t xml:space="preserve"> or state and territory laws. </w:t>
      </w:r>
    </w:p>
    <w:p w:rsidR="00FC4745" w:rsidRPr="003A5082" w:rsidRDefault="00FC4745" w:rsidP="00FC4745">
      <w:pPr>
        <w:pStyle w:val="NormalWeb"/>
        <w:shd w:val="clear" w:color="auto" w:fill="FFFFFF"/>
        <w:spacing w:before="100" w:beforeAutospacing="1" w:after="100" w:afterAutospacing="1"/>
        <w:rPr>
          <w:rFonts w:ascii="Arial" w:hAnsi="Arial" w:cs="Arial"/>
          <w:lang w:val="en"/>
        </w:rPr>
      </w:pPr>
      <w:r w:rsidRPr="003A5082">
        <w:rPr>
          <w:rFonts w:ascii="Arial" w:hAnsi="Arial" w:cs="Arial"/>
          <w:lang w:val="en"/>
        </w:rPr>
        <w:t>The Commission also frequently uses the phrase ‘sex and/or gender identity’ in our work. This term is used to refer to the whole spectrum of sex and/or gender in our community. It aims to include all people regardless of whether they identify within or outside of the binary gender framework.</w:t>
      </w:r>
      <w:r w:rsidRPr="003A5082">
        <w:rPr>
          <w:rStyle w:val="EndnoteReference"/>
          <w:rFonts w:cs="Arial"/>
          <w:sz w:val="24"/>
          <w:lang w:val="en"/>
        </w:rPr>
        <w:endnoteReference w:id="2"/>
      </w:r>
    </w:p>
    <w:p w:rsidR="00FC4745" w:rsidRPr="003A5082" w:rsidRDefault="00FC4745" w:rsidP="00FC4745">
      <w:pPr>
        <w:spacing w:before="100" w:beforeAutospacing="1" w:after="100" w:afterAutospacing="1"/>
        <w:rPr>
          <w:rFonts w:eastAsia="Times New Roman" w:cs="Arial"/>
          <w:bCs/>
          <w:kern w:val="32"/>
        </w:rPr>
      </w:pPr>
      <w:r w:rsidRPr="003A5082">
        <w:rPr>
          <w:rFonts w:cs="Arial"/>
        </w:rPr>
        <w:br w:type="page"/>
      </w:r>
    </w:p>
    <w:p w:rsidR="00D71729" w:rsidRPr="007F4409" w:rsidRDefault="00D71729" w:rsidP="00D71729">
      <w:pPr>
        <w:spacing w:before="360"/>
        <w:rPr>
          <w:rFonts w:cs="Arial"/>
          <w:b/>
          <w:color w:val="7030A0"/>
          <w:sz w:val="28"/>
          <w:szCs w:val="28"/>
        </w:rPr>
      </w:pPr>
      <w:r w:rsidRPr="007F4409">
        <w:rPr>
          <w:rFonts w:cs="Arial"/>
          <w:b/>
          <w:color w:val="7030A0"/>
          <w:sz w:val="28"/>
          <w:szCs w:val="28"/>
        </w:rPr>
        <w:lastRenderedPageBreak/>
        <w:t>Message from the Commissioner</w:t>
      </w:r>
    </w:p>
    <w:p w:rsidR="00D71729" w:rsidRPr="002B43D6" w:rsidRDefault="00D71729" w:rsidP="00D71729">
      <w:pPr>
        <w:spacing w:before="120" w:after="120"/>
        <w:jc w:val="right"/>
        <w:rPr>
          <w:rFonts w:cs="Arial"/>
          <w:b/>
        </w:rPr>
      </w:pPr>
      <w:r w:rsidRPr="002B43D6">
        <w:rPr>
          <w:rFonts w:cs="Arial"/>
          <w:b/>
        </w:rPr>
        <w:t>Tim Wilson</w:t>
      </w:r>
    </w:p>
    <w:p w:rsidR="00D71729" w:rsidRPr="002B43D6" w:rsidRDefault="00D71729" w:rsidP="00D71729">
      <w:pPr>
        <w:spacing w:before="120" w:after="120"/>
        <w:jc w:val="right"/>
        <w:rPr>
          <w:rFonts w:cs="Arial"/>
          <w:i/>
        </w:rPr>
      </w:pPr>
      <w:r w:rsidRPr="002B43D6">
        <w:rPr>
          <w:rFonts w:cs="Arial"/>
          <w:i/>
        </w:rPr>
        <w:t>Human Rights Commissioner</w:t>
      </w:r>
    </w:p>
    <w:p w:rsidR="00D71729" w:rsidRPr="002B43D6" w:rsidRDefault="00D71729" w:rsidP="00D71729">
      <w:pPr>
        <w:spacing w:before="120" w:after="120"/>
        <w:jc w:val="right"/>
        <w:rPr>
          <w:rFonts w:cs="Arial"/>
          <w:i/>
        </w:rPr>
      </w:pPr>
      <w:r w:rsidRPr="002B43D6">
        <w:rPr>
          <w:rFonts w:cs="Arial"/>
          <w:i/>
        </w:rPr>
        <w:t>Australian Human Rights Commission</w:t>
      </w:r>
    </w:p>
    <w:p w:rsidR="00D71729" w:rsidRPr="006F24D9" w:rsidRDefault="00D71729" w:rsidP="00D71729">
      <w:pPr>
        <w:spacing w:before="0" w:after="0"/>
        <w:rPr>
          <w:rFonts w:cs="Arial"/>
          <w:color w:val="1F497D" w:themeColor="text2"/>
          <w:szCs w:val="44"/>
        </w:rPr>
      </w:pPr>
      <w:r w:rsidRPr="002B43D6">
        <w:rPr>
          <w:rFonts w:cs="Arial"/>
          <w:noProof/>
          <w:color w:val="1F497D" w:themeColor="text2"/>
          <w:szCs w:val="44"/>
        </w:rPr>
        <w:drawing>
          <wp:anchor distT="0" distB="0" distL="114300" distR="114300" simplePos="0" relativeHeight="251662336" behindDoc="0" locked="0" layoutInCell="1" allowOverlap="1" wp14:anchorId="730B0269" wp14:editId="086867E4">
            <wp:simplePos x="0" y="0"/>
            <wp:positionH relativeFrom="column">
              <wp:align>right</wp:align>
            </wp:positionH>
            <wp:positionV relativeFrom="paragraph">
              <wp:align>top</wp:align>
            </wp:positionV>
            <wp:extent cx="1038225" cy="1557020"/>
            <wp:effectExtent l="0" t="0" r="9525" b="5080"/>
            <wp:wrapSquare wrapText="bothSides"/>
            <wp:docPr id="2" name="Picture 2" descr="A picture of Tim Wilson the Australian Human Rights Commissioner" title="Tim Wilson Human Rights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_Wilson_preferred_01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1557020"/>
                    </a:xfrm>
                    <a:prstGeom prst="rect">
                      <a:avLst/>
                    </a:prstGeom>
                  </pic:spPr>
                </pic:pic>
              </a:graphicData>
            </a:graphic>
          </wp:anchor>
        </w:drawing>
      </w:r>
      <w:r>
        <w:rPr>
          <w:rFonts w:cs="Arial"/>
          <w:color w:val="1F497D" w:themeColor="text2"/>
          <w:szCs w:val="44"/>
        </w:rPr>
        <w:br w:type="textWrapping" w:clear="all"/>
      </w:r>
    </w:p>
    <w:p w:rsidR="00D71729" w:rsidRPr="00A26319" w:rsidRDefault="00D71729" w:rsidP="00D71729">
      <w:pPr>
        <w:spacing w:before="0" w:after="0"/>
        <w:rPr>
          <w:rFonts w:cs="Arial"/>
        </w:rPr>
      </w:pPr>
      <w:r w:rsidRPr="00A26319">
        <w:rPr>
          <w:rFonts w:cs="Arial"/>
        </w:rPr>
        <w:t>In February 2014</w:t>
      </w:r>
      <w:r>
        <w:rPr>
          <w:rFonts w:cs="Arial"/>
        </w:rPr>
        <w:t>,</w:t>
      </w:r>
      <w:r w:rsidRPr="00A26319">
        <w:rPr>
          <w:rFonts w:cs="Arial"/>
        </w:rPr>
        <w:t xml:space="preserve"> I was appointed </w:t>
      </w:r>
      <w:r w:rsidR="00CA6004">
        <w:rPr>
          <w:rFonts w:cs="Arial"/>
        </w:rPr>
        <w:t xml:space="preserve">to </w:t>
      </w:r>
      <w:r>
        <w:rPr>
          <w:rFonts w:cs="Arial"/>
        </w:rPr>
        <w:t xml:space="preserve">the position </w:t>
      </w:r>
      <w:r w:rsidR="00CA6004">
        <w:rPr>
          <w:rFonts w:cs="Arial"/>
        </w:rPr>
        <w:t>of</w:t>
      </w:r>
      <w:r w:rsidRPr="00A26319">
        <w:rPr>
          <w:rFonts w:cs="Arial"/>
        </w:rPr>
        <w:t xml:space="preserve"> Austr</w:t>
      </w:r>
      <w:r>
        <w:rPr>
          <w:rFonts w:cs="Arial"/>
        </w:rPr>
        <w:t>alia’s Human Rights Commissioner</w:t>
      </w:r>
      <w:r w:rsidR="00CA6004">
        <w:rPr>
          <w:rFonts w:cs="Arial"/>
        </w:rPr>
        <w:t xml:space="preserve"> by t</w:t>
      </w:r>
      <w:r>
        <w:rPr>
          <w:rFonts w:cs="Arial"/>
        </w:rPr>
        <w:t>he Australian Government</w:t>
      </w:r>
      <w:r w:rsidRPr="00A26319">
        <w:rPr>
          <w:rFonts w:cs="Arial"/>
        </w:rPr>
        <w:t xml:space="preserve">. I was specifically appointed to take a classical liberal approach to human rights and focus on the rights of the individual. </w:t>
      </w:r>
    </w:p>
    <w:p w:rsidR="00D71729" w:rsidRPr="00A26319" w:rsidRDefault="00D71729" w:rsidP="00D71729">
      <w:pPr>
        <w:spacing w:before="0" w:after="0"/>
        <w:rPr>
          <w:rFonts w:cs="Arial"/>
        </w:rPr>
      </w:pPr>
    </w:p>
    <w:p w:rsidR="00D71729" w:rsidRDefault="00D71729" w:rsidP="00D71729">
      <w:pPr>
        <w:spacing w:before="0" w:after="0"/>
        <w:rPr>
          <w:rFonts w:cs="Arial"/>
        </w:rPr>
      </w:pPr>
      <w:r w:rsidRPr="00A26319">
        <w:rPr>
          <w:rFonts w:cs="Arial"/>
        </w:rPr>
        <w:t xml:space="preserve">At the Australian Human Rights Commission there are Commissioners responsible for age, disability, race and sex discrimination, as well as the Aboriginal and Torres Strait Islander Social Justice Commissioner and the Children’s Commissioner. There is no Commissioner responsible for </w:t>
      </w:r>
      <w:r>
        <w:rPr>
          <w:rFonts w:cs="Arial"/>
        </w:rPr>
        <w:t>SOGII</w:t>
      </w:r>
      <w:r w:rsidRPr="00A26319">
        <w:rPr>
          <w:rFonts w:cs="Arial"/>
        </w:rPr>
        <w:t xml:space="preserve"> rights. </w:t>
      </w:r>
    </w:p>
    <w:p w:rsidR="00D71729" w:rsidRDefault="00D71729" w:rsidP="00D71729">
      <w:pPr>
        <w:spacing w:before="0" w:after="0"/>
        <w:rPr>
          <w:rFonts w:cs="Arial"/>
        </w:rPr>
      </w:pPr>
    </w:p>
    <w:p w:rsidR="00D71729" w:rsidRPr="00A26319" w:rsidRDefault="00D71729" w:rsidP="00D71729">
      <w:pPr>
        <w:spacing w:before="0" w:after="0"/>
        <w:rPr>
          <w:rFonts w:cs="Arial"/>
        </w:rPr>
      </w:pPr>
      <w:r w:rsidRPr="00A26319">
        <w:rPr>
          <w:rFonts w:cs="Arial"/>
        </w:rPr>
        <w:t xml:space="preserve">As Human Rights Commissioner I have enthusiastically taken on this important portfolio that goes to the heart of the dignity of the individual, personal freedom and bodily autonomy. </w:t>
      </w:r>
    </w:p>
    <w:p w:rsidR="00D71729" w:rsidRPr="00A26319" w:rsidRDefault="00D71729" w:rsidP="00D71729">
      <w:pPr>
        <w:spacing w:before="0" w:after="0"/>
        <w:rPr>
          <w:rFonts w:cs="Arial"/>
        </w:rPr>
      </w:pPr>
    </w:p>
    <w:p w:rsidR="00D71729" w:rsidRPr="00A26319" w:rsidRDefault="00D71729" w:rsidP="00D71729">
      <w:pPr>
        <w:spacing w:before="0" w:after="0"/>
        <w:rPr>
          <w:rFonts w:cs="Arial"/>
        </w:rPr>
      </w:pPr>
      <w:r w:rsidRPr="00A26319">
        <w:rPr>
          <w:rFonts w:cs="Arial"/>
        </w:rPr>
        <w:t xml:space="preserve">We have organised this consultation </w:t>
      </w:r>
      <w:r>
        <w:rPr>
          <w:rFonts w:cs="Arial"/>
        </w:rPr>
        <w:t xml:space="preserve">to </w:t>
      </w:r>
      <w:r w:rsidRPr="00A26319">
        <w:rPr>
          <w:rFonts w:cs="Arial"/>
        </w:rPr>
        <w:t>establish what legal barriers remain, what services are being provided and what are not, and what needs to be done to improve the lives of LGBTI people. At the end of this consultation</w:t>
      </w:r>
      <w:r>
        <w:rPr>
          <w:rFonts w:cs="Arial"/>
        </w:rPr>
        <w:t xml:space="preserve"> process,</w:t>
      </w:r>
      <w:r w:rsidRPr="00A26319">
        <w:rPr>
          <w:rFonts w:cs="Arial"/>
        </w:rPr>
        <w:t xml:space="preserve"> we will be publishing a report that provides a map of the challenges ahead and </w:t>
      </w:r>
      <w:r>
        <w:rPr>
          <w:rFonts w:cs="Arial"/>
        </w:rPr>
        <w:t xml:space="preserve">recommendations for pathways to change. </w:t>
      </w:r>
    </w:p>
    <w:p w:rsidR="00D71729" w:rsidRPr="00A26319" w:rsidRDefault="00D71729" w:rsidP="00D71729">
      <w:pPr>
        <w:spacing w:before="0" w:after="0"/>
        <w:rPr>
          <w:rFonts w:cs="Arial"/>
        </w:rPr>
      </w:pPr>
    </w:p>
    <w:p w:rsidR="00D71729" w:rsidRPr="00A26319" w:rsidRDefault="00D71729" w:rsidP="00D71729">
      <w:pPr>
        <w:spacing w:before="0" w:after="0"/>
        <w:rPr>
          <w:rFonts w:cs="Arial"/>
        </w:rPr>
      </w:pPr>
      <w:r w:rsidRPr="00A26319">
        <w:rPr>
          <w:rFonts w:cs="Arial"/>
        </w:rPr>
        <w:t xml:space="preserve">To have a truly inclusive society we need to promote a lived culture of rights, responsibility and mutual respect toward and from LGBTI people. </w:t>
      </w:r>
    </w:p>
    <w:p w:rsidR="00D71729" w:rsidRDefault="00D71729" w:rsidP="00D71729">
      <w:pPr>
        <w:spacing w:before="0" w:after="0"/>
        <w:rPr>
          <w:rFonts w:cs="Arial"/>
        </w:rPr>
      </w:pPr>
    </w:p>
    <w:p w:rsidR="00D71729" w:rsidRPr="00A26319" w:rsidRDefault="00D71729" w:rsidP="00D71729">
      <w:pPr>
        <w:spacing w:before="0" w:after="0"/>
        <w:rPr>
          <w:rFonts w:cs="Arial"/>
        </w:rPr>
      </w:pPr>
      <w:r w:rsidRPr="00A26319">
        <w:rPr>
          <w:rFonts w:cs="Arial"/>
        </w:rPr>
        <w:t>Further progress requires active consideration of how administrative practices, law</w:t>
      </w:r>
      <w:r w:rsidR="00CA6004">
        <w:rPr>
          <w:rFonts w:cs="Arial"/>
        </w:rPr>
        <w:t>,</w:t>
      </w:r>
      <w:r w:rsidRPr="00A26319">
        <w:rPr>
          <w:rFonts w:cs="Arial"/>
        </w:rPr>
        <w:t xml:space="preserve"> </w:t>
      </w:r>
      <w:r w:rsidR="00CA6004">
        <w:rPr>
          <w:rFonts w:cs="Arial"/>
        </w:rPr>
        <w:t xml:space="preserve">and </w:t>
      </w:r>
      <w:r w:rsidRPr="00A26319">
        <w:rPr>
          <w:rFonts w:cs="Arial"/>
        </w:rPr>
        <w:t>religious and cultural attitudes impact LGBTI people</w:t>
      </w:r>
      <w:r w:rsidR="00CA6004">
        <w:rPr>
          <w:rFonts w:cs="Arial"/>
        </w:rPr>
        <w:t>,</w:t>
      </w:r>
      <w:r w:rsidRPr="00A26319">
        <w:rPr>
          <w:rFonts w:cs="Arial"/>
        </w:rPr>
        <w:t xml:space="preserve"> from changing paperwork to addressing gaps in health services</w:t>
      </w:r>
      <w:r>
        <w:rPr>
          <w:rFonts w:cs="Arial"/>
        </w:rPr>
        <w:t>, and navigating the tensions that exist in a pluralistic liberal democracy and secular state.</w:t>
      </w:r>
      <w:r w:rsidRPr="00A26319">
        <w:rPr>
          <w:rFonts w:cs="Arial"/>
        </w:rPr>
        <w:t xml:space="preserve"> </w:t>
      </w:r>
    </w:p>
    <w:p w:rsidR="00D71729" w:rsidRPr="00A26319" w:rsidRDefault="00D71729" w:rsidP="00D71729">
      <w:pPr>
        <w:spacing w:before="0" w:after="0"/>
        <w:rPr>
          <w:rFonts w:cs="Arial"/>
        </w:rPr>
      </w:pPr>
    </w:p>
    <w:p w:rsidR="00D71729" w:rsidRDefault="00D71729" w:rsidP="00D71729">
      <w:pPr>
        <w:spacing w:before="0" w:after="0"/>
        <w:rPr>
          <w:rFonts w:cs="Arial"/>
        </w:rPr>
      </w:pPr>
      <w:r w:rsidRPr="00A26319">
        <w:rPr>
          <w:rFonts w:cs="Arial"/>
        </w:rPr>
        <w:t>Many of these issues can only be resolved by engaging all</w:t>
      </w:r>
      <w:r>
        <w:rPr>
          <w:rFonts w:cs="Arial"/>
        </w:rPr>
        <w:t xml:space="preserve"> levels of government, as well as academia</w:t>
      </w:r>
      <w:r w:rsidRPr="00A26319">
        <w:rPr>
          <w:rFonts w:cs="Arial"/>
        </w:rPr>
        <w:t xml:space="preserve">, professional institutions and civil society. </w:t>
      </w:r>
    </w:p>
    <w:p w:rsidR="00D71729" w:rsidRDefault="00D71729" w:rsidP="00D71729">
      <w:pPr>
        <w:spacing w:before="0" w:after="0"/>
        <w:rPr>
          <w:rFonts w:cs="Arial"/>
        </w:rPr>
      </w:pPr>
    </w:p>
    <w:p w:rsidR="00D71729" w:rsidRDefault="00D71729" w:rsidP="00D71729">
      <w:pPr>
        <w:spacing w:before="0" w:after="0"/>
        <w:rPr>
          <w:rFonts w:cs="Arial"/>
        </w:rPr>
      </w:pPr>
      <w:r>
        <w:rPr>
          <w:rFonts w:cs="Arial"/>
        </w:rPr>
        <w:t>This</w:t>
      </w:r>
      <w:r w:rsidR="00CA6004">
        <w:rPr>
          <w:rFonts w:cs="Arial"/>
        </w:rPr>
        <w:t xml:space="preserve"> report will also canva</w:t>
      </w:r>
      <w:r w:rsidRPr="00A26319">
        <w:rPr>
          <w:rFonts w:cs="Arial"/>
        </w:rPr>
        <w:t>s</w:t>
      </w:r>
      <w:r w:rsidR="004A24F7">
        <w:rPr>
          <w:rFonts w:cs="Arial"/>
        </w:rPr>
        <w:t>s</w:t>
      </w:r>
      <w:r w:rsidRPr="00A26319">
        <w:rPr>
          <w:rFonts w:cs="Arial"/>
        </w:rPr>
        <w:t xml:space="preserve"> the human stories of individuals doing excellent work on the ground, and often in challenging environments.</w:t>
      </w:r>
    </w:p>
    <w:p w:rsidR="00D71729" w:rsidRDefault="00D71729" w:rsidP="00D71729">
      <w:pPr>
        <w:spacing w:before="0" w:after="0"/>
        <w:rPr>
          <w:rFonts w:cs="Arial"/>
        </w:rPr>
      </w:pPr>
    </w:p>
    <w:p w:rsidR="00D71729" w:rsidRPr="00A26319" w:rsidRDefault="00D71729" w:rsidP="00D71729">
      <w:pPr>
        <w:spacing w:before="0" w:after="0"/>
        <w:rPr>
          <w:rFonts w:cs="Arial"/>
        </w:rPr>
      </w:pPr>
      <w:r w:rsidRPr="00A26319">
        <w:rPr>
          <w:rFonts w:cs="Arial"/>
        </w:rPr>
        <w:t>In this work there is no room for despondency. Some of the best work is under-celebrated, but it is truly inspiring. We will be highlighting their leadership.</w:t>
      </w:r>
    </w:p>
    <w:p w:rsidR="00D71729" w:rsidRPr="00A26319" w:rsidRDefault="00D71729" w:rsidP="00D71729">
      <w:pPr>
        <w:spacing w:before="0" w:after="0"/>
        <w:rPr>
          <w:rFonts w:cs="Arial"/>
        </w:rPr>
      </w:pPr>
    </w:p>
    <w:p w:rsidR="00D71729" w:rsidRPr="00A26319" w:rsidRDefault="00D71729" w:rsidP="00D71729">
      <w:pPr>
        <w:spacing w:before="0" w:after="0"/>
        <w:rPr>
          <w:rFonts w:cs="Arial"/>
        </w:rPr>
      </w:pPr>
      <w:r w:rsidRPr="00A26319">
        <w:rPr>
          <w:rFonts w:cs="Arial"/>
        </w:rPr>
        <w:lastRenderedPageBreak/>
        <w:t xml:space="preserve">I look forward to your contribution to this consultation and subsequent reform. </w:t>
      </w:r>
    </w:p>
    <w:p w:rsidR="00D71729" w:rsidRPr="00A26319" w:rsidRDefault="00D71729" w:rsidP="00D71729">
      <w:pPr>
        <w:spacing w:before="0" w:after="0"/>
        <w:rPr>
          <w:rFonts w:cs="Arial"/>
        </w:rPr>
      </w:pPr>
    </w:p>
    <w:p w:rsidR="00D71729" w:rsidRDefault="00D71729" w:rsidP="00D71729">
      <w:pPr>
        <w:spacing w:before="0" w:after="0"/>
        <w:rPr>
          <w:rFonts w:cs="Arial"/>
          <w:b/>
          <w:lang w:val="en"/>
        </w:rPr>
      </w:pPr>
    </w:p>
    <w:p w:rsidR="00D71729" w:rsidRDefault="00D71729" w:rsidP="00D71729">
      <w:pPr>
        <w:spacing w:before="0" w:after="0"/>
        <w:rPr>
          <w:rFonts w:cs="Arial"/>
          <w:b/>
          <w:lang w:val="en"/>
        </w:rPr>
      </w:pPr>
      <w:r>
        <w:rPr>
          <w:rFonts w:cs="Arial"/>
          <w:b/>
          <w:noProof/>
        </w:rPr>
        <w:drawing>
          <wp:inline distT="0" distB="0" distL="0" distR="0" wp14:anchorId="1F86F45A" wp14:editId="1758D2C0">
            <wp:extent cx="1945169" cy="8825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 WILSON ESI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987" cy="885142"/>
                    </a:xfrm>
                    <a:prstGeom prst="rect">
                      <a:avLst/>
                    </a:prstGeom>
                  </pic:spPr>
                </pic:pic>
              </a:graphicData>
            </a:graphic>
          </wp:inline>
        </w:drawing>
      </w:r>
    </w:p>
    <w:p w:rsidR="00D71729" w:rsidRDefault="00D71729" w:rsidP="00D71729">
      <w:pPr>
        <w:spacing w:before="0" w:after="0"/>
        <w:rPr>
          <w:rFonts w:cs="Arial"/>
          <w:b/>
          <w:lang w:val="en"/>
        </w:rPr>
      </w:pPr>
    </w:p>
    <w:p w:rsidR="00D71729" w:rsidRPr="003436A8" w:rsidRDefault="00D71729" w:rsidP="00D71729">
      <w:pPr>
        <w:spacing w:before="0" w:after="0"/>
        <w:rPr>
          <w:rFonts w:cs="Arial"/>
          <w:b/>
          <w:lang w:val="en"/>
        </w:rPr>
      </w:pPr>
      <w:r w:rsidRPr="003436A8">
        <w:rPr>
          <w:rFonts w:cs="Arial"/>
          <w:b/>
          <w:lang w:val="en"/>
        </w:rPr>
        <w:t>Tim Wilson</w:t>
      </w:r>
    </w:p>
    <w:p w:rsidR="00D71729" w:rsidRPr="003436A8" w:rsidRDefault="00D71729" w:rsidP="00D71729">
      <w:pPr>
        <w:spacing w:before="0" w:after="0"/>
        <w:rPr>
          <w:rFonts w:cs="Arial"/>
          <w:b/>
          <w:lang w:val="en"/>
        </w:rPr>
      </w:pPr>
      <w:r w:rsidRPr="003436A8">
        <w:rPr>
          <w:rFonts w:cs="Arial"/>
          <w:b/>
          <w:lang w:val="en"/>
        </w:rPr>
        <w:t>Human Rights Commissioner</w:t>
      </w:r>
    </w:p>
    <w:p w:rsidR="00D71729" w:rsidRPr="003436A8" w:rsidRDefault="00D71729" w:rsidP="00D71729">
      <w:pPr>
        <w:spacing w:before="0" w:after="0"/>
        <w:rPr>
          <w:rFonts w:cs="Arial"/>
          <w:b/>
          <w:lang w:val="en"/>
        </w:rPr>
      </w:pPr>
    </w:p>
    <w:p w:rsidR="00D71729" w:rsidRPr="003436A8" w:rsidRDefault="00D71729" w:rsidP="00D71729">
      <w:pPr>
        <w:spacing w:before="0" w:after="0"/>
        <w:rPr>
          <w:rFonts w:cs="Arial"/>
          <w:b/>
          <w:lang w:val="en"/>
        </w:rPr>
      </w:pPr>
      <w:r w:rsidRPr="003436A8">
        <w:rPr>
          <w:rFonts w:cs="Arial"/>
          <w:b/>
          <w:lang w:val="en"/>
        </w:rPr>
        <w:t>T +61 2 9284 9836</w:t>
      </w:r>
    </w:p>
    <w:p w:rsidR="00D71729" w:rsidRPr="003436A8" w:rsidRDefault="00D71729" w:rsidP="00D71729">
      <w:pPr>
        <w:spacing w:before="0" w:after="0"/>
        <w:rPr>
          <w:rFonts w:cs="Arial"/>
          <w:b/>
          <w:lang w:val="en"/>
        </w:rPr>
      </w:pPr>
      <w:r w:rsidRPr="003436A8">
        <w:rPr>
          <w:rFonts w:cs="Arial"/>
          <w:b/>
          <w:lang w:val="en"/>
        </w:rPr>
        <w:t>F +61 2 9284 9794</w:t>
      </w:r>
    </w:p>
    <w:p w:rsidR="00D71729" w:rsidRDefault="00D71729" w:rsidP="00D71729">
      <w:pPr>
        <w:spacing w:before="0" w:after="0"/>
        <w:rPr>
          <w:rFonts w:cs="Arial"/>
          <w:b/>
          <w:lang w:val="en"/>
        </w:rPr>
      </w:pPr>
      <w:r w:rsidRPr="003436A8">
        <w:rPr>
          <w:rFonts w:cs="Arial"/>
          <w:b/>
          <w:lang w:val="en"/>
        </w:rPr>
        <w:t xml:space="preserve">E </w:t>
      </w:r>
      <w:hyperlink r:id="rId12" w:history="1">
        <w:r w:rsidRPr="006D32C4">
          <w:rPr>
            <w:rStyle w:val="Hyperlink"/>
            <w:rFonts w:cs="Arial"/>
            <w:b/>
            <w:lang w:val="en"/>
          </w:rPr>
          <w:t>tim.wilson@humanrights.gov.au</w:t>
        </w:r>
      </w:hyperlink>
    </w:p>
    <w:p w:rsidR="00D71729" w:rsidRPr="003436A8" w:rsidRDefault="00D71729" w:rsidP="00D71729">
      <w:pPr>
        <w:spacing w:before="0" w:after="0"/>
        <w:rPr>
          <w:rFonts w:cs="Arial"/>
          <w:b/>
          <w:lang w:val="en"/>
        </w:rPr>
      </w:pPr>
    </w:p>
    <w:p w:rsidR="00D71729" w:rsidRDefault="00D71729" w:rsidP="00D71729">
      <w:pPr>
        <w:spacing w:before="0" w:after="0"/>
        <w:rPr>
          <w:rFonts w:cs="Arial"/>
          <w:color w:val="1F497D" w:themeColor="text2"/>
          <w:sz w:val="44"/>
          <w:szCs w:val="44"/>
        </w:rPr>
      </w:pPr>
      <w:r w:rsidRPr="00A26319">
        <w:rPr>
          <w:rFonts w:cs="Arial"/>
          <w:b/>
          <w:lang w:val="en"/>
        </w:rPr>
        <w:br/>
      </w:r>
      <w:r>
        <w:rPr>
          <w:rFonts w:asciiTheme="minorHAnsi" w:hAnsiTheme="minorHAnsi" w:cstheme="minorHAnsi"/>
          <w:b/>
          <w:lang w:val="en"/>
        </w:rPr>
        <w:br/>
      </w:r>
    </w:p>
    <w:p w:rsidR="00D71729" w:rsidRDefault="00D71729" w:rsidP="00D71729">
      <w:pPr>
        <w:spacing w:before="0" w:after="0"/>
        <w:rPr>
          <w:rFonts w:cs="Arial"/>
          <w:color w:val="1F497D" w:themeColor="text2"/>
          <w:sz w:val="44"/>
          <w:szCs w:val="44"/>
        </w:rPr>
      </w:pPr>
      <w:r>
        <w:rPr>
          <w:rFonts w:cs="Arial"/>
          <w:color w:val="1F497D" w:themeColor="text2"/>
          <w:sz w:val="44"/>
          <w:szCs w:val="44"/>
        </w:rPr>
        <w:br w:type="page"/>
      </w:r>
    </w:p>
    <w:p w:rsidR="00D71729" w:rsidRPr="007F4409" w:rsidRDefault="00D71729" w:rsidP="00D71729">
      <w:pPr>
        <w:spacing w:before="360"/>
        <w:rPr>
          <w:rFonts w:cs="Arial"/>
          <w:b/>
          <w:color w:val="7030A0"/>
          <w:sz w:val="28"/>
          <w:szCs w:val="28"/>
        </w:rPr>
      </w:pPr>
      <w:r w:rsidRPr="007F4409">
        <w:rPr>
          <w:rFonts w:cs="Arial"/>
          <w:b/>
          <w:color w:val="7030A0"/>
          <w:sz w:val="28"/>
          <w:szCs w:val="28"/>
        </w:rPr>
        <w:lastRenderedPageBreak/>
        <w:t>What is the consultation about?</w:t>
      </w:r>
    </w:p>
    <w:p w:rsidR="00D71729" w:rsidRPr="003A5082" w:rsidRDefault="00D71729" w:rsidP="00D71729">
      <w:pPr>
        <w:pStyle w:val="Pa21"/>
        <w:spacing w:before="100" w:beforeAutospacing="1" w:after="100" w:afterAutospacing="1" w:line="240" w:lineRule="auto"/>
        <w:contextualSpacing/>
        <w:rPr>
          <w:rFonts w:ascii="Arial" w:hAnsi="Arial" w:cs="Arial"/>
        </w:rPr>
      </w:pPr>
      <w:r w:rsidRPr="003A5082">
        <w:rPr>
          <w:rFonts w:ascii="Arial" w:hAnsi="Arial" w:cs="Arial"/>
        </w:rPr>
        <w:t xml:space="preserve">This project aims to </w:t>
      </w:r>
      <w:r>
        <w:rPr>
          <w:rFonts w:ascii="Arial" w:hAnsi="Arial" w:cs="Arial"/>
        </w:rPr>
        <w:t xml:space="preserve">build and </w:t>
      </w:r>
      <w:r w:rsidRPr="003A5082">
        <w:rPr>
          <w:rFonts w:ascii="Arial" w:hAnsi="Arial" w:cs="Arial"/>
        </w:rPr>
        <w:t xml:space="preserve">expand on previous work </w:t>
      </w:r>
      <w:r>
        <w:rPr>
          <w:rFonts w:ascii="Arial" w:hAnsi="Arial" w:cs="Arial"/>
        </w:rPr>
        <w:t>on SOGII</w:t>
      </w:r>
      <w:r w:rsidRPr="003A5082">
        <w:rPr>
          <w:rFonts w:ascii="Arial" w:hAnsi="Arial" w:cs="Arial"/>
        </w:rPr>
        <w:t xml:space="preserve"> rights at the Commission</w:t>
      </w:r>
      <w:r>
        <w:rPr>
          <w:rFonts w:ascii="Arial" w:hAnsi="Arial" w:cs="Arial"/>
        </w:rPr>
        <w:t>. The project will include:</w:t>
      </w:r>
      <w:r w:rsidRPr="003A5082">
        <w:rPr>
          <w:rFonts w:ascii="Arial" w:hAnsi="Arial" w:cs="Arial"/>
        </w:rPr>
        <w:t xml:space="preserve"> </w:t>
      </w:r>
    </w:p>
    <w:p w:rsidR="00D71729" w:rsidRPr="007D24F1" w:rsidRDefault="00AB76D0" w:rsidP="00A04DDD">
      <w:pPr>
        <w:pStyle w:val="ListParagraph"/>
        <w:numPr>
          <w:ilvl w:val="0"/>
          <w:numId w:val="33"/>
        </w:numPr>
        <w:spacing w:after="120"/>
        <w:ind w:left="357" w:firstLine="0"/>
        <w:rPr>
          <w:rFonts w:cs="Arial"/>
        </w:rPr>
      </w:pPr>
      <w:r>
        <w:rPr>
          <w:rFonts w:cs="Arial"/>
        </w:rPr>
        <w:t>a</w:t>
      </w:r>
      <w:r w:rsidR="00D71729">
        <w:rPr>
          <w:rFonts w:cs="Arial"/>
        </w:rPr>
        <w:t xml:space="preserve"> foundation of </w:t>
      </w:r>
      <w:r w:rsidR="00D71729" w:rsidRPr="007D24F1">
        <w:rPr>
          <w:rFonts w:cs="Arial"/>
        </w:rPr>
        <w:t>inclu</w:t>
      </w:r>
      <w:r w:rsidR="00D71729">
        <w:rPr>
          <w:rFonts w:cs="Arial"/>
        </w:rPr>
        <w:t>sive and empowering terminology</w:t>
      </w:r>
      <w:r w:rsidR="00592F9F">
        <w:rPr>
          <w:rStyle w:val="EndnoteReference"/>
          <w:rFonts w:cs="Arial"/>
        </w:rPr>
        <w:endnoteReference w:id="3"/>
      </w:r>
    </w:p>
    <w:p w:rsidR="00D71729" w:rsidRDefault="00AB76D0" w:rsidP="00A04DDD">
      <w:pPr>
        <w:pStyle w:val="Pa21"/>
        <w:numPr>
          <w:ilvl w:val="0"/>
          <w:numId w:val="33"/>
        </w:numPr>
        <w:spacing w:before="240" w:after="120" w:line="240" w:lineRule="auto"/>
        <w:contextualSpacing/>
        <w:rPr>
          <w:rFonts w:ascii="Arial" w:hAnsi="Arial" w:cs="Arial"/>
        </w:rPr>
      </w:pPr>
      <w:r>
        <w:rPr>
          <w:rFonts w:ascii="Arial" w:hAnsi="Arial" w:cs="Arial"/>
        </w:rPr>
        <w:t>a</w:t>
      </w:r>
      <w:r w:rsidR="00D71729">
        <w:rPr>
          <w:rFonts w:ascii="Arial" w:hAnsi="Arial" w:cs="Arial"/>
        </w:rPr>
        <w:t xml:space="preserve"> stocktake of </w:t>
      </w:r>
      <w:r w:rsidR="00D71729" w:rsidRPr="00724DF9">
        <w:rPr>
          <w:rFonts w:ascii="Arial" w:hAnsi="Arial" w:cs="Arial"/>
        </w:rPr>
        <w:t>State and Federal laws that impact detrimentally on LGBTI people, i</w:t>
      </w:r>
      <w:r w:rsidR="00D71729">
        <w:rPr>
          <w:rFonts w:ascii="Arial" w:hAnsi="Arial" w:cs="Arial"/>
        </w:rPr>
        <w:t xml:space="preserve">ncluding the identification of </w:t>
      </w:r>
      <w:r w:rsidR="00D71729" w:rsidRPr="00724DF9">
        <w:rPr>
          <w:rFonts w:ascii="Arial" w:hAnsi="Arial" w:cs="Arial"/>
        </w:rPr>
        <w:t>gaps and inconsistencies between laws at different levels of governments</w:t>
      </w:r>
    </w:p>
    <w:p w:rsidR="00D71729" w:rsidRPr="00FF2854" w:rsidRDefault="00AB76D0" w:rsidP="00A04DDD">
      <w:pPr>
        <w:pStyle w:val="ListParagraph"/>
        <w:numPr>
          <w:ilvl w:val="0"/>
          <w:numId w:val="33"/>
        </w:numPr>
        <w:spacing w:after="120"/>
        <w:ind w:left="714" w:hanging="357"/>
        <w:rPr>
          <w:rFonts w:cs="Arial"/>
        </w:rPr>
      </w:pPr>
      <w:r>
        <w:rPr>
          <w:rFonts w:cs="Arial"/>
        </w:rPr>
        <w:t>a</w:t>
      </w:r>
      <w:r w:rsidR="00D71729" w:rsidRPr="007D24F1">
        <w:rPr>
          <w:rFonts w:cs="Arial"/>
        </w:rPr>
        <w:t xml:space="preserve"> stocktake of programs and serv</w:t>
      </w:r>
      <w:r w:rsidR="00D71729">
        <w:rPr>
          <w:rFonts w:cs="Arial"/>
        </w:rPr>
        <w:t xml:space="preserve">ices that benefit LGBTI people </w:t>
      </w:r>
      <w:r>
        <w:rPr>
          <w:rFonts w:cs="Arial"/>
        </w:rPr>
        <w:t>across Australia</w:t>
      </w:r>
    </w:p>
    <w:p w:rsidR="00D71729" w:rsidRDefault="00AB76D0" w:rsidP="00A04DDD">
      <w:pPr>
        <w:pStyle w:val="ListParagraph"/>
        <w:numPr>
          <w:ilvl w:val="0"/>
          <w:numId w:val="33"/>
        </w:numPr>
        <w:spacing w:after="120"/>
        <w:ind w:left="714" w:hanging="357"/>
        <w:rPr>
          <w:rFonts w:cs="Arial"/>
        </w:rPr>
      </w:pPr>
      <w:r>
        <w:rPr>
          <w:rFonts w:cs="Arial"/>
        </w:rPr>
        <w:t>g</w:t>
      </w:r>
      <w:r w:rsidR="00D71729">
        <w:rPr>
          <w:rFonts w:cs="Arial"/>
        </w:rPr>
        <w:t>uidance on future</w:t>
      </w:r>
      <w:r w:rsidR="00D71729" w:rsidRPr="007D24F1">
        <w:rPr>
          <w:rFonts w:cs="Arial"/>
        </w:rPr>
        <w:t xml:space="preserve"> government action in areas such as marriage equality and reform of the requirements for changing a person’s legal sex</w:t>
      </w:r>
    </w:p>
    <w:p w:rsidR="00D71729" w:rsidRDefault="00AB76D0" w:rsidP="00A04DDD">
      <w:pPr>
        <w:pStyle w:val="ListParagraph"/>
        <w:numPr>
          <w:ilvl w:val="0"/>
          <w:numId w:val="33"/>
        </w:numPr>
        <w:spacing w:after="120"/>
        <w:ind w:left="714" w:hanging="357"/>
        <w:rPr>
          <w:rFonts w:cs="Arial"/>
        </w:rPr>
      </w:pPr>
      <w:r>
        <w:rPr>
          <w:rFonts w:cs="Arial"/>
        </w:rPr>
        <w:t>g</w:t>
      </w:r>
      <w:r w:rsidR="00D71729" w:rsidRPr="008E043D">
        <w:rPr>
          <w:rFonts w:cs="Arial"/>
        </w:rPr>
        <w:t>uidance on improving access to appropriate programs and services for LGBTI people, for example in areas such as health care and education</w:t>
      </w:r>
    </w:p>
    <w:p w:rsidR="00D71729" w:rsidRPr="008E043D" w:rsidRDefault="00AB76D0" w:rsidP="00A04DDD">
      <w:pPr>
        <w:pStyle w:val="ListParagraph"/>
        <w:numPr>
          <w:ilvl w:val="0"/>
          <w:numId w:val="33"/>
        </w:numPr>
        <w:spacing w:after="120"/>
        <w:ind w:left="714" w:hanging="357"/>
        <w:rPr>
          <w:rFonts w:cs="Arial"/>
        </w:rPr>
      </w:pPr>
      <w:r>
        <w:rPr>
          <w:rFonts w:cs="Arial"/>
        </w:rPr>
        <w:t>g</w:t>
      </w:r>
      <w:r w:rsidR="00D71729" w:rsidRPr="008E043D">
        <w:rPr>
          <w:rFonts w:cs="Arial"/>
        </w:rPr>
        <w:t>uidance on building a culture of respect for SOGII rights in Australia</w:t>
      </w:r>
    </w:p>
    <w:p w:rsidR="00D71729" w:rsidRPr="00B43283" w:rsidRDefault="00D71729" w:rsidP="00D71729">
      <w:pPr>
        <w:spacing w:before="100" w:beforeAutospacing="1" w:after="100" w:afterAutospacing="1"/>
        <w:rPr>
          <w:rFonts w:cs="Arial"/>
        </w:rPr>
      </w:pPr>
      <w:r w:rsidRPr="003A5082">
        <w:rPr>
          <w:rFonts w:cs="Arial"/>
        </w:rPr>
        <w:t>The consultation will seek views from interested LGBTI individuals and or</w:t>
      </w:r>
      <w:r>
        <w:rPr>
          <w:rFonts w:cs="Arial"/>
        </w:rPr>
        <w:t>ganisations on three</w:t>
      </w:r>
      <w:r w:rsidRPr="003A5082">
        <w:rPr>
          <w:rFonts w:cs="Arial"/>
        </w:rPr>
        <w:t xml:space="preserve"> </w:t>
      </w:r>
      <w:r w:rsidRPr="00B43283">
        <w:rPr>
          <w:rFonts w:cs="Arial"/>
        </w:rPr>
        <w:t>key areas</w:t>
      </w:r>
      <w:r>
        <w:rPr>
          <w:rFonts w:cs="Arial"/>
        </w:rPr>
        <w:t>:</w:t>
      </w:r>
    </w:p>
    <w:p w:rsidR="00D71729" w:rsidRPr="008859A2" w:rsidRDefault="00D71729" w:rsidP="00D71729">
      <w:pPr>
        <w:pStyle w:val="ListParagraph"/>
        <w:numPr>
          <w:ilvl w:val="0"/>
          <w:numId w:val="32"/>
        </w:numPr>
        <w:spacing w:after="120"/>
        <w:ind w:left="714" w:hanging="357"/>
        <w:rPr>
          <w:rFonts w:cs="Arial"/>
          <w:lang w:val="en-US"/>
        </w:rPr>
      </w:pPr>
      <w:r>
        <w:rPr>
          <w:rFonts w:cs="Arial"/>
          <w:lang w:val="en-US"/>
        </w:rPr>
        <w:t xml:space="preserve">How well SOGII </w:t>
      </w:r>
      <w:r w:rsidRPr="008859A2">
        <w:rPr>
          <w:rFonts w:cs="Arial"/>
          <w:lang w:val="en-US"/>
        </w:rPr>
        <w:t xml:space="preserve">rights are </w:t>
      </w:r>
      <w:r>
        <w:rPr>
          <w:rFonts w:cs="Arial"/>
          <w:lang w:val="en-US"/>
        </w:rPr>
        <w:t xml:space="preserve">respected and </w:t>
      </w:r>
      <w:r w:rsidRPr="008859A2">
        <w:rPr>
          <w:rFonts w:cs="Arial"/>
          <w:lang w:val="en-US"/>
        </w:rPr>
        <w:t>protected in Australia</w:t>
      </w:r>
      <w:r w:rsidR="00AB76D0">
        <w:rPr>
          <w:rFonts w:cs="Arial"/>
          <w:lang w:val="en-US"/>
        </w:rPr>
        <w:t>.</w:t>
      </w:r>
    </w:p>
    <w:p w:rsidR="00D71729" w:rsidRPr="008859A2" w:rsidRDefault="00D71729" w:rsidP="00D71729">
      <w:pPr>
        <w:pStyle w:val="ListParagraph"/>
        <w:numPr>
          <w:ilvl w:val="0"/>
          <w:numId w:val="32"/>
        </w:numPr>
        <w:spacing w:after="120"/>
        <w:ind w:left="714" w:hanging="357"/>
        <w:rPr>
          <w:rFonts w:cs="Arial"/>
          <w:lang w:val="en-US"/>
        </w:rPr>
      </w:pPr>
      <w:r w:rsidRPr="008859A2">
        <w:rPr>
          <w:rFonts w:cs="Arial"/>
          <w:lang w:val="en-US"/>
        </w:rPr>
        <w:t>Examples of legislation, policies and practices by government th</w:t>
      </w:r>
      <w:r w:rsidR="00AB76D0">
        <w:rPr>
          <w:rFonts w:cs="Arial"/>
          <w:lang w:val="en-US"/>
        </w:rPr>
        <w:t>at unduly restrict SOGII rights.</w:t>
      </w:r>
    </w:p>
    <w:p w:rsidR="00D71729" w:rsidRPr="008859A2" w:rsidRDefault="00D71729" w:rsidP="00D71729">
      <w:pPr>
        <w:pStyle w:val="ListParagraph"/>
        <w:numPr>
          <w:ilvl w:val="0"/>
          <w:numId w:val="32"/>
        </w:numPr>
        <w:spacing w:after="120"/>
        <w:ind w:left="714" w:hanging="357"/>
        <w:rPr>
          <w:rFonts w:cs="Arial"/>
          <w:lang w:val="en-US"/>
        </w:rPr>
      </w:pPr>
      <w:r w:rsidRPr="008859A2">
        <w:rPr>
          <w:rFonts w:cs="Arial"/>
          <w:lang w:val="en-US"/>
        </w:rPr>
        <w:t xml:space="preserve">What is being done, and what more should be done, to promote a culture of respect for SOGII rights. </w:t>
      </w:r>
    </w:p>
    <w:p w:rsidR="00D71729" w:rsidRDefault="00D71729" w:rsidP="00D71729">
      <w:pPr>
        <w:pStyle w:val="MainTitle"/>
        <w:spacing w:before="100" w:beforeAutospacing="1" w:after="100" w:afterAutospacing="1" w:line="240" w:lineRule="auto"/>
        <w:jc w:val="left"/>
        <w:rPr>
          <w:rFonts w:cs="Arial"/>
          <w:color w:val="auto"/>
          <w:sz w:val="24"/>
          <w:szCs w:val="24"/>
          <w:lang w:val="en-US"/>
        </w:rPr>
      </w:pPr>
      <w:r w:rsidRPr="008859A2">
        <w:rPr>
          <w:rFonts w:cs="Arial"/>
          <w:color w:val="auto"/>
          <w:sz w:val="24"/>
          <w:szCs w:val="24"/>
          <w:lang w:val="en-US"/>
        </w:rPr>
        <w:t>A particular focus of the consultation will be on building a cul</w:t>
      </w:r>
      <w:r>
        <w:rPr>
          <w:rFonts w:cs="Arial"/>
          <w:color w:val="auto"/>
          <w:sz w:val="24"/>
          <w:szCs w:val="24"/>
          <w:lang w:val="en-US"/>
        </w:rPr>
        <w:t xml:space="preserve">ture of respect for SOGII </w:t>
      </w:r>
      <w:r w:rsidRPr="008859A2">
        <w:rPr>
          <w:rFonts w:cs="Arial"/>
          <w:color w:val="auto"/>
          <w:sz w:val="24"/>
          <w:szCs w:val="24"/>
          <w:lang w:val="en-US"/>
        </w:rPr>
        <w:t>rights among the Australian community. The consultation is interested in learning about initiatives at a community</w:t>
      </w:r>
      <w:r>
        <w:rPr>
          <w:rFonts w:cs="Arial"/>
          <w:color w:val="auto"/>
          <w:sz w:val="24"/>
          <w:szCs w:val="24"/>
          <w:lang w:val="en-US"/>
        </w:rPr>
        <w:t xml:space="preserve"> level that advance SOGII </w:t>
      </w:r>
      <w:r w:rsidRPr="008859A2">
        <w:rPr>
          <w:rFonts w:cs="Arial"/>
          <w:color w:val="auto"/>
          <w:sz w:val="24"/>
          <w:szCs w:val="24"/>
          <w:lang w:val="en-US"/>
        </w:rPr>
        <w:t>rights and promote cultural change.</w:t>
      </w:r>
      <w:r>
        <w:rPr>
          <w:rFonts w:cs="Arial"/>
          <w:color w:val="auto"/>
          <w:sz w:val="24"/>
          <w:szCs w:val="24"/>
          <w:lang w:val="en-US"/>
        </w:rPr>
        <w:t xml:space="preserve"> Examples of this work could include </w:t>
      </w:r>
      <w:r w:rsidRPr="008859A2">
        <w:rPr>
          <w:rFonts w:cs="Arial"/>
          <w:color w:val="auto"/>
          <w:sz w:val="24"/>
          <w:szCs w:val="24"/>
          <w:lang w:val="en-US"/>
        </w:rPr>
        <w:t>developing voluntary codes of conduct and practice, art and cultural activities, service provision, sporting events or other community based education activities.</w:t>
      </w:r>
    </w:p>
    <w:p w:rsidR="00D71729" w:rsidRPr="00B14ED8" w:rsidRDefault="00BD256D" w:rsidP="00D71729">
      <w:pPr>
        <w:spacing w:before="0" w:after="0"/>
        <w:rPr>
          <w:rFonts w:eastAsia="Times New Roman" w:cs="Arial"/>
          <w:bCs/>
          <w:kern w:val="32"/>
          <w:lang w:val="en-US"/>
        </w:rPr>
      </w:pPr>
      <w:r>
        <w:rPr>
          <w:rFonts w:cs="Arial"/>
          <w:lang w:val="en-US"/>
        </w:rPr>
        <w:br w:type="page"/>
      </w:r>
      <w:r w:rsidR="00D71729" w:rsidRPr="007F4409">
        <w:rPr>
          <w:rFonts w:cs="Arial"/>
          <w:b/>
          <w:color w:val="7030A0"/>
          <w:sz w:val="28"/>
          <w:szCs w:val="28"/>
        </w:rPr>
        <w:lastRenderedPageBreak/>
        <w:t>What are Human Rights?</w:t>
      </w:r>
    </w:p>
    <w:p w:rsidR="00D71729" w:rsidRPr="00CA4C56" w:rsidRDefault="00D71729" w:rsidP="00D71729">
      <w:pPr>
        <w:pStyle w:val="Heading1"/>
        <w:numPr>
          <w:ilvl w:val="0"/>
          <w:numId w:val="0"/>
        </w:numPr>
        <w:rPr>
          <w:rFonts w:cs="Arial"/>
          <w:b w:val="0"/>
          <w:color w:val="7030A0"/>
          <w:sz w:val="24"/>
          <w:szCs w:val="24"/>
        </w:rPr>
      </w:pPr>
      <w:r w:rsidRPr="00CA4C56">
        <w:rPr>
          <w:rFonts w:cs="Arial"/>
          <w:b w:val="0"/>
          <w:color w:val="7030A0"/>
          <w:sz w:val="24"/>
          <w:szCs w:val="24"/>
        </w:rPr>
        <w:t>What are human rights and freedoms?</w:t>
      </w:r>
    </w:p>
    <w:p w:rsidR="00D71729" w:rsidRPr="006D7572" w:rsidRDefault="00D71729" w:rsidP="00D71729">
      <w:pPr>
        <w:rPr>
          <w:rFonts w:cs="Arial"/>
          <w:lang w:val="en"/>
        </w:rPr>
      </w:pPr>
      <w:r w:rsidRPr="006D7572">
        <w:rPr>
          <w:rFonts w:cs="Arial"/>
          <w:lang w:val="en"/>
        </w:rPr>
        <w:t xml:space="preserve">Human </w:t>
      </w:r>
      <w:r w:rsidRPr="006D7572">
        <w:rPr>
          <w:rFonts w:cs="Arial"/>
        </w:rPr>
        <w:t>rights</w:t>
      </w:r>
      <w:r>
        <w:rPr>
          <w:rFonts w:cs="Arial"/>
        </w:rPr>
        <w:t xml:space="preserve"> and freedoms</w:t>
      </w:r>
      <w:r w:rsidRPr="006D7572">
        <w:rPr>
          <w:rFonts w:cs="Arial"/>
          <w:lang w:val="en"/>
        </w:rPr>
        <w:t xml:space="preserve"> </w:t>
      </w:r>
      <w:r>
        <w:rPr>
          <w:rFonts w:cs="Arial"/>
          <w:lang w:val="en"/>
        </w:rPr>
        <w:t xml:space="preserve">are basic standards of treatment that everyone enjoys. They are universal. Everyone has them. </w:t>
      </w:r>
      <w:r>
        <w:rPr>
          <w:rFonts w:cs="Arial"/>
        </w:rPr>
        <w:t xml:space="preserve">Human rights </w:t>
      </w:r>
      <w:r w:rsidRPr="006D7572">
        <w:rPr>
          <w:rFonts w:cs="Arial"/>
        </w:rPr>
        <w:t>recognise</w:t>
      </w:r>
      <w:r w:rsidRPr="006D7572">
        <w:rPr>
          <w:rFonts w:cs="Arial"/>
          <w:lang w:val="en"/>
        </w:rPr>
        <w:t xml:space="preserve"> the inherent value of each person, regardless of their background,</w:t>
      </w:r>
      <w:r>
        <w:rPr>
          <w:rFonts w:cs="Arial"/>
          <w:lang w:val="en"/>
        </w:rPr>
        <w:t xml:space="preserve"> sex, gender</w:t>
      </w:r>
      <w:r w:rsidR="00AB76D0">
        <w:rPr>
          <w:rFonts w:cs="Arial"/>
          <w:lang w:val="en"/>
        </w:rPr>
        <w:t>,</w:t>
      </w:r>
      <w:r w:rsidRPr="006D7572">
        <w:rPr>
          <w:rFonts w:cs="Arial"/>
          <w:lang w:val="en"/>
        </w:rPr>
        <w:t xml:space="preserve"> where they live, what they look like, what they think or what they believe. </w:t>
      </w:r>
      <w:r>
        <w:rPr>
          <w:rFonts w:cs="Arial"/>
          <w:lang w:val="en"/>
        </w:rPr>
        <w:t>They</w:t>
      </w:r>
      <w:r w:rsidRPr="006D7572">
        <w:rPr>
          <w:rFonts w:cs="Arial"/>
          <w:lang w:val="en"/>
        </w:rPr>
        <w:t xml:space="preserve"> affect ‘everyone, everywhere, everyday’.</w:t>
      </w:r>
    </w:p>
    <w:p w:rsidR="00D71729" w:rsidRDefault="00D71729" w:rsidP="00D71729">
      <w:pPr>
        <w:rPr>
          <w:rStyle w:val="oneclick-link"/>
        </w:rPr>
      </w:pPr>
      <w:r>
        <w:rPr>
          <w:rStyle w:val="oneclick-link"/>
        </w:rPr>
        <w:t>Freedoms are focused on liberty and the ability to express your rights without</w:t>
      </w:r>
      <w:r>
        <w:t xml:space="preserve"> </w:t>
      </w:r>
      <w:r>
        <w:rPr>
          <w:rStyle w:val="oneclick-link"/>
        </w:rPr>
        <w:t>external</w:t>
      </w:r>
      <w:r>
        <w:t xml:space="preserve"> </w:t>
      </w:r>
      <w:r>
        <w:rPr>
          <w:rStyle w:val="oneclick-link"/>
        </w:rPr>
        <w:t>control or</w:t>
      </w:r>
      <w:r>
        <w:t xml:space="preserve"> </w:t>
      </w:r>
      <w:r>
        <w:rPr>
          <w:rStyle w:val="oneclick-link"/>
        </w:rPr>
        <w:t xml:space="preserve">interference. The most commonly identified freedoms are: </w:t>
      </w:r>
    </w:p>
    <w:p w:rsidR="00D71729" w:rsidRPr="00113276" w:rsidRDefault="00D71729" w:rsidP="00D71729">
      <w:pPr>
        <w:pStyle w:val="ListParagraph"/>
        <w:numPr>
          <w:ilvl w:val="0"/>
          <w:numId w:val="38"/>
        </w:numPr>
        <w:spacing w:after="120"/>
        <w:ind w:left="714" w:hanging="357"/>
        <w:rPr>
          <w:rStyle w:val="oneclick-link"/>
        </w:rPr>
      </w:pPr>
      <w:r w:rsidRPr="00113276">
        <w:rPr>
          <w:rStyle w:val="oneclick-link"/>
        </w:rPr>
        <w:t xml:space="preserve">freedom of opinion or expression </w:t>
      </w:r>
    </w:p>
    <w:p w:rsidR="00D71729" w:rsidRPr="00113276" w:rsidRDefault="00D71729" w:rsidP="00D71729">
      <w:pPr>
        <w:pStyle w:val="ListParagraph"/>
        <w:numPr>
          <w:ilvl w:val="0"/>
          <w:numId w:val="38"/>
        </w:numPr>
        <w:spacing w:after="120"/>
        <w:ind w:left="714" w:hanging="357"/>
        <w:rPr>
          <w:rStyle w:val="oneclick-link"/>
        </w:rPr>
      </w:pPr>
      <w:r w:rsidRPr="00113276">
        <w:rPr>
          <w:rStyle w:val="oneclick-link"/>
        </w:rPr>
        <w:t>freedom of thought, conscience or religious worship</w:t>
      </w:r>
    </w:p>
    <w:p w:rsidR="00D71729" w:rsidRPr="00113276" w:rsidRDefault="00D71729" w:rsidP="00D71729">
      <w:pPr>
        <w:pStyle w:val="ListParagraph"/>
        <w:numPr>
          <w:ilvl w:val="0"/>
          <w:numId w:val="38"/>
        </w:numPr>
        <w:spacing w:after="120"/>
        <w:ind w:left="714" w:hanging="357"/>
        <w:rPr>
          <w:rStyle w:val="oneclick-link"/>
        </w:rPr>
      </w:pPr>
      <w:r w:rsidRPr="00113276">
        <w:rPr>
          <w:rStyle w:val="oneclick-link"/>
        </w:rPr>
        <w:t>freedom of association or peaceful assembly</w:t>
      </w:r>
    </w:p>
    <w:p w:rsidR="00D71729" w:rsidRPr="00113276" w:rsidRDefault="00D71729" w:rsidP="00D71729">
      <w:pPr>
        <w:pStyle w:val="ListParagraph"/>
        <w:numPr>
          <w:ilvl w:val="0"/>
          <w:numId w:val="38"/>
        </w:numPr>
        <w:spacing w:after="120"/>
        <w:ind w:left="714" w:hanging="357"/>
      </w:pPr>
      <w:r w:rsidRPr="00113276">
        <w:rPr>
          <w:rStyle w:val="oneclick-link"/>
        </w:rPr>
        <w:t>f</w:t>
      </w:r>
      <w:r w:rsidR="003E49A9">
        <w:rPr>
          <w:rStyle w:val="oneclick-link"/>
        </w:rPr>
        <w:t>reedom from arbitrary detention</w:t>
      </w:r>
    </w:p>
    <w:p w:rsidR="00D71729" w:rsidRPr="006D7572" w:rsidRDefault="00D71729" w:rsidP="00D71729">
      <w:pPr>
        <w:rPr>
          <w:rFonts w:cs="Arial"/>
          <w:lang w:val="en"/>
        </w:rPr>
      </w:pPr>
      <w:r w:rsidRPr="006D7572">
        <w:rPr>
          <w:rFonts w:cs="Arial"/>
          <w:lang w:val="en"/>
        </w:rPr>
        <w:t xml:space="preserve">Rights and freedoms are </w:t>
      </w:r>
      <w:r w:rsidRPr="006D7572">
        <w:rPr>
          <w:rFonts w:cs="Arial"/>
        </w:rPr>
        <w:t>based</w:t>
      </w:r>
      <w:r w:rsidRPr="006D7572">
        <w:rPr>
          <w:rFonts w:cs="Arial"/>
          <w:lang w:val="en"/>
        </w:rPr>
        <w:t xml:space="preserve"> on principles of dignity, equality</w:t>
      </w:r>
      <w:r>
        <w:rPr>
          <w:rFonts w:cs="Arial"/>
          <w:lang w:val="en"/>
        </w:rPr>
        <w:t xml:space="preserve"> before the law</w:t>
      </w:r>
      <w:r w:rsidRPr="006D7572">
        <w:rPr>
          <w:rFonts w:cs="Arial"/>
          <w:lang w:val="en"/>
        </w:rPr>
        <w:t xml:space="preserve"> and mutual respect, which are shared across cultur</w:t>
      </w:r>
      <w:r w:rsidR="00A241A3">
        <w:rPr>
          <w:rFonts w:cs="Arial"/>
          <w:lang w:val="en"/>
        </w:rPr>
        <w:t xml:space="preserve">es, religions and philosophies. </w:t>
      </w:r>
      <w:r w:rsidRPr="006D7572">
        <w:rPr>
          <w:rFonts w:cs="Arial"/>
          <w:lang w:val="en"/>
        </w:rPr>
        <w:t>They are about being treated fairly, treating others fairly and having the ability to make genuine choices in our daily lives.</w:t>
      </w:r>
      <w:r>
        <w:rPr>
          <w:rFonts w:cs="Arial"/>
          <w:lang w:val="en"/>
        </w:rPr>
        <w:t xml:space="preserve"> </w:t>
      </w:r>
      <w:r w:rsidRPr="006D7572">
        <w:rPr>
          <w:rFonts w:cs="Arial"/>
          <w:lang w:val="en"/>
        </w:rPr>
        <w:t>Respect for human rights</w:t>
      </w:r>
      <w:r>
        <w:rPr>
          <w:rFonts w:cs="Arial"/>
          <w:lang w:val="en"/>
        </w:rPr>
        <w:t xml:space="preserve"> underpins the democratic processes of our society and is the cornerstone of a society that respects individuals and voluntary community collaboration.</w:t>
      </w:r>
    </w:p>
    <w:p w:rsidR="00D71729" w:rsidRDefault="00D71729" w:rsidP="00D71729">
      <w:pPr>
        <w:rPr>
          <w:rFonts w:cs="Arial"/>
          <w:lang w:val="en"/>
        </w:rPr>
      </w:pPr>
      <w:r>
        <w:rPr>
          <w:rFonts w:cs="Arial"/>
          <w:lang w:val="en"/>
        </w:rPr>
        <w:t>Human rights and freedoms have evolved from political, social and cultural mov</w:t>
      </w:r>
      <w:r w:rsidR="00A241A3">
        <w:rPr>
          <w:rFonts w:cs="Arial"/>
          <w:lang w:val="en"/>
        </w:rPr>
        <w:t xml:space="preserve">ements over thousands of years. </w:t>
      </w:r>
      <w:r>
        <w:rPr>
          <w:rFonts w:cs="Arial"/>
          <w:lang w:val="en"/>
        </w:rPr>
        <w:t>The idea of rights existed in ancient societies, but the modern understanding of human rights evolves from documents such as:</w:t>
      </w:r>
    </w:p>
    <w:p w:rsidR="00D71729" w:rsidRDefault="00D71729" w:rsidP="00D71729">
      <w:pPr>
        <w:pStyle w:val="ListParagraph"/>
        <w:numPr>
          <w:ilvl w:val="0"/>
          <w:numId w:val="38"/>
        </w:numPr>
        <w:spacing w:after="120"/>
        <w:ind w:left="714" w:hanging="357"/>
        <w:rPr>
          <w:rFonts w:cs="Arial"/>
          <w:lang w:val="en"/>
        </w:rPr>
      </w:pPr>
      <w:r>
        <w:rPr>
          <w:rFonts w:cs="Arial"/>
          <w:lang w:val="en"/>
        </w:rPr>
        <w:t>T</w:t>
      </w:r>
      <w:r w:rsidRPr="0052009C">
        <w:rPr>
          <w:rFonts w:cs="Arial"/>
          <w:lang w:val="en"/>
        </w:rPr>
        <w:t xml:space="preserve">he </w:t>
      </w:r>
      <w:r w:rsidRPr="005C722B">
        <w:rPr>
          <w:rFonts w:cs="Arial"/>
          <w:i/>
          <w:lang w:val="en"/>
        </w:rPr>
        <w:t>Magna Carta</w:t>
      </w:r>
      <w:r w:rsidRPr="0052009C">
        <w:rPr>
          <w:rFonts w:cs="Arial"/>
          <w:lang w:val="en"/>
        </w:rPr>
        <w:t xml:space="preserve"> (the Great Charter) </w:t>
      </w:r>
      <w:r>
        <w:rPr>
          <w:rFonts w:cs="Arial"/>
          <w:lang w:val="en"/>
        </w:rPr>
        <w:t xml:space="preserve">of 1215, </w:t>
      </w:r>
      <w:r w:rsidRPr="0052009C">
        <w:rPr>
          <w:rFonts w:cs="Arial"/>
          <w:lang w:val="en"/>
        </w:rPr>
        <w:t xml:space="preserve">which </w:t>
      </w:r>
      <w:r>
        <w:rPr>
          <w:rFonts w:cs="Arial"/>
          <w:lang w:val="en"/>
        </w:rPr>
        <w:t>subjected King John to the rule of law.</w:t>
      </w:r>
    </w:p>
    <w:p w:rsidR="00D71729" w:rsidRDefault="00D71729" w:rsidP="00D71729">
      <w:pPr>
        <w:pStyle w:val="ListParagraph"/>
        <w:numPr>
          <w:ilvl w:val="0"/>
          <w:numId w:val="37"/>
        </w:numPr>
        <w:spacing w:after="120"/>
        <w:ind w:left="714" w:hanging="357"/>
        <w:rPr>
          <w:rFonts w:cs="Arial"/>
          <w:lang w:val="en"/>
        </w:rPr>
      </w:pPr>
      <w:r w:rsidRPr="0052009C">
        <w:rPr>
          <w:rFonts w:cs="Arial"/>
          <w:lang w:val="en"/>
        </w:rPr>
        <w:t xml:space="preserve">The 1688 </w:t>
      </w:r>
      <w:r w:rsidRPr="005C722B">
        <w:rPr>
          <w:rFonts w:cs="Arial"/>
          <w:i/>
          <w:lang w:val="en"/>
        </w:rPr>
        <w:t>English Bill of Rights</w:t>
      </w:r>
      <w:r w:rsidRPr="0052009C">
        <w:rPr>
          <w:rFonts w:cs="Arial"/>
          <w:lang w:val="en"/>
        </w:rPr>
        <w:t xml:space="preserve"> that </w:t>
      </w:r>
      <w:r w:rsidRPr="00DC661D">
        <w:rPr>
          <w:rFonts w:cs="Arial"/>
        </w:rPr>
        <w:t>universalised</w:t>
      </w:r>
      <w:r w:rsidRPr="0052009C">
        <w:rPr>
          <w:rFonts w:cs="Arial"/>
          <w:lang w:val="en"/>
        </w:rPr>
        <w:t xml:space="preserve"> many of the principles of </w:t>
      </w:r>
      <w:r>
        <w:rPr>
          <w:rFonts w:cs="Arial"/>
          <w:lang w:val="en"/>
        </w:rPr>
        <w:t xml:space="preserve">the </w:t>
      </w:r>
      <w:r w:rsidRPr="00A241A3">
        <w:rPr>
          <w:rFonts w:cs="Arial"/>
          <w:i/>
          <w:lang w:val="en"/>
        </w:rPr>
        <w:t>Magna Carta</w:t>
      </w:r>
      <w:r w:rsidRPr="0052009C">
        <w:rPr>
          <w:rFonts w:cs="Arial"/>
          <w:lang w:val="en"/>
        </w:rPr>
        <w:t xml:space="preserve"> so they applied to all individuals.</w:t>
      </w:r>
    </w:p>
    <w:p w:rsidR="00D71729" w:rsidRDefault="00D71729" w:rsidP="00D71729">
      <w:pPr>
        <w:pStyle w:val="ListParagraph"/>
        <w:numPr>
          <w:ilvl w:val="0"/>
          <w:numId w:val="37"/>
        </w:numPr>
        <w:spacing w:after="120"/>
        <w:ind w:left="714" w:hanging="357"/>
        <w:rPr>
          <w:rFonts w:cs="Arial"/>
          <w:lang w:val="en"/>
        </w:rPr>
      </w:pPr>
      <w:r w:rsidRPr="0052009C">
        <w:rPr>
          <w:rFonts w:cs="Arial"/>
          <w:lang w:val="en"/>
        </w:rPr>
        <w:t>The United States of America</w:t>
      </w:r>
      <w:r w:rsidRPr="00104907">
        <w:rPr>
          <w:rFonts w:cs="Arial"/>
          <w:lang w:val="en"/>
        </w:rPr>
        <w:t>’</w:t>
      </w:r>
      <w:r>
        <w:rPr>
          <w:rFonts w:cs="Arial"/>
          <w:lang w:val="en"/>
        </w:rPr>
        <w:t>s</w:t>
      </w:r>
      <w:r w:rsidRPr="00FD0A47">
        <w:rPr>
          <w:rFonts w:cs="Arial"/>
          <w:lang w:val="en"/>
        </w:rPr>
        <w:t xml:space="preserve"> </w:t>
      </w:r>
      <w:r w:rsidRPr="005C722B">
        <w:rPr>
          <w:rFonts w:cs="Arial"/>
          <w:i/>
          <w:lang w:val="en"/>
        </w:rPr>
        <w:t>Declaration of Independence</w:t>
      </w:r>
      <w:r w:rsidRPr="00FD0A47">
        <w:rPr>
          <w:rFonts w:cs="Arial"/>
          <w:lang w:val="en"/>
        </w:rPr>
        <w:t xml:space="preserve"> </w:t>
      </w:r>
      <w:r>
        <w:rPr>
          <w:rFonts w:cs="Arial"/>
          <w:lang w:val="en"/>
        </w:rPr>
        <w:t xml:space="preserve">in </w:t>
      </w:r>
      <w:r w:rsidRPr="00FD0A47">
        <w:rPr>
          <w:rFonts w:cs="Arial"/>
          <w:lang w:val="en"/>
        </w:rPr>
        <w:t>1776</w:t>
      </w:r>
      <w:r>
        <w:rPr>
          <w:rFonts w:cs="Arial"/>
          <w:lang w:val="en"/>
        </w:rPr>
        <w:t xml:space="preserve"> </w:t>
      </w:r>
      <w:r w:rsidRPr="002C4516">
        <w:rPr>
          <w:rFonts w:cs="Arial"/>
          <w:lang w:val="en"/>
        </w:rPr>
        <w:t>that asserted that all people are created equ</w:t>
      </w:r>
      <w:r w:rsidRPr="006E06D6">
        <w:rPr>
          <w:rFonts w:cs="Arial"/>
          <w:lang w:val="en"/>
        </w:rPr>
        <w:t xml:space="preserve">al and </w:t>
      </w:r>
      <w:r>
        <w:rPr>
          <w:rFonts w:cs="Arial"/>
          <w:lang w:val="en"/>
        </w:rPr>
        <w:t>have rights to ‘</w:t>
      </w:r>
      <w:r w:rsidRPr="0052009C">
        <w:rPr>
          <w:rFonts w:cs="Arial"/>
          <w:lang w:val="en"/>
        </w:rPr>
        <w:t>life, liber</w:t>
      </w:r>
      <w:r>
        <w:rPr>
          <w:rFonts w:cs="Arial"/>
          <w:lang w:val="en"/>
        </w:rPr>
        <w:t>ty and the pursuit of happiness’,</w:t>
      </w:r>
      <w:r w:rsidR="0048504B">
        <w:rPr>
          <w:rStyle w:val="EndnoteReference"/>
          <w:rFonts w:cs="Arial"/>
          <w:lang w:val="en"/>
        </w:rPr>
        <w:endnoteReference w:id="4"/>
      </w:r>
      <w:r>
        <w:rPr>
          <w:rFonts w:cs="Arial"/>
          <w:lang w:val="en"/>
        </w:rPr>
        <w:t xml:space="preserve"> and the subsequent </w:t>
      </w:r>
      <w:r>
        <w:rPr>
          <w:rFonts w:cs="Arial"/>
          <w:i/>
          <w:lang w:val="en"/>
        </w:rPr>
        <w:t>Constitution of the United States</w:t>
      </w:r>
      <w:r>
        <w:rPr>
          <w:rFonts w:cs="Arial"/>
          <w:lang w:val="en"/>
        </w:rPr>
        <w:t xml:space="preserve"> (1787) and </w:t>
      </w:r>
      <w:r w:rsidRPr="00410370">
        <w:rPr>
          <w:rFonts w:cs="Arial"/>
          <w:i/>
          <w:lang w:val="en"/>
        </w:rPr>
        <w:t>Bill of Rights</w:t>
      </w:r>
      <w:r>
        <w:rPr>
          <w:rFonts w:cs="Arial"/>
          <w:lang w:val="en"/>
        </w:rPr>
        <w:t xml:space="preserve"> (1791).</w:t>
      </w:r>
    </w:p>
    <w:p w:rsidR="00D71729" w:rsidRDefault="00D71729" w:rsidP="00D71729">
      <w:pPr>
        <w:pStyle w:val="ListParagraph"/>
        <w:numPr>
          <w:ilvl w:val="0"/>
          <w:numId w:val="37"/>
        </w:numPr>
        <w:spacing w:after="120"/>
        <w:ind w:left="714" w:hanging="357"/>
        <w:rPr>
          <w:rFonts w:cs="Arial"/>
          <w:lang w:val="en"/>
        </w:rPr>
      </w:pPr>
      <w:r>
        <w:rPr>
          <w:rFonts w:cs="Arial"/>
          <w:lang w:val="en"/>
        </w:rPr>
        <w:t>The</w:t>
      </w:r>
      <w:r w:rsidR="00302214">
        <w:rPr>
          <w:rFonts w:cs="Arial"/>
          <w:lang w:val="en"/>
        </w:rPr>
        <w:t xml:space="preserve"> 1789</w:t>
      </w:r>
      <w:r>
        <w:rPr>
          <w:rFonts w:cs="Arial"/>
          <w:lang w:val="en"/>
        </w:rPr>
        <w:t xml:space="preserve"> </w:t>
      </w:r>
      <w:r>
        <w:rPr>
          <w:rFonts w:cs="Arial"/>
          <w:i/>
          <w:lang w:val="en"/>
        </w:rPr>
        <w:t>Declaration of the Rights of Man and of the Citizen</w:t>
      </w:r>
      <w:r>
        <w:rPr>
          <w:rFonts w:cs="Arial"/>
          <w:lang w:val="en"/>
        </w:rPr>
        <w:t xml:space="preserve"> in France, which proclaimed that all citizens are to be guaranteed the rights to liberty, property, security and resistance to oppression.</w:t>
      </w:r>
      <w:r w:rsidR="00302214">
        <w:rPr>
          <w:rStyle w:val="EndnoteReference"/>
          <w:rFonts w:cs="Arial"/>
          <w:lang w:val="en"/>
        </w:rPr>
        <w:endnoteReference w:id="5"/>
      </w:r>
    </w:p>
    <w:p w:rsidR="00D71729" w:rsidRPr="000635B6" w:rsidRDefault="00D71729" w:rsidP="00D71729">
      <w:pPr>
        <w:rPr>
          <w:rFonts w:cs="Arial"/>
        </w:rPr>
      </w:pPr>
      <w:r>
        <w:rPr>
          <w:rFonts w:cs="Arial"/>
        </w:rPr>
        <w:t>The concept of human rights and freedoms also evolved through philosophical movements, such as the Enlightenment of the 17</w:t>
      </w:r>
      <w:r w:rsidRPr="002D313B">
        <w:rPr>
          <w:rFonts w:cs="Arial"/>
          <w:vertAlign w:val="superscript"/>
        </w:rPr>
        <w:t>th</w:t>
      </w:r>
      <w:r>
        <w:rPr>
          <w:rFonts w:cs="Arial"/>
        </w:rPr>
        <w:t xml:space="preserve"> and 18</w:t>
      </w:r>
      <w:r w:rsidRPr="002D313B">
        <w:rPr>
          <w:rFonts w:cs="Arial"/>
          <w:vertAlign w:val="superscript"/>
        </w:rPr>
        <w:t>th</w:t>
      </w:r>
      <w:r>
        <w:rPr>
          <w:rFonts w:cs="Arial"/>
        </w:rPr>
        <w:t xml:space="preserve"> centuries. </w:t>
      </w:r>
      <w:r>
        <w:rPr>
          <w:rFonts w:cs="Arial"/>
          <w:lang w:val="en"/>
        </w:rPr>
        <w:t>This emphasised that p</w:t>
      </w:r>
      <w:r w:rsidRPr="00096158">
        <w:rPr>
          <w:rFonts w:cs="Arial"/>
          <w:lang w:val="en"/>
        </w:rPr>
        <w:t>eople</w:t>
      </w:r>
      <w:r w:rsidRPr="00096158">
        <w:rPr>
          <w:rFonts w:cs="Arial"/>
        </w:rPr>
        <w:t xml:space="preserve"> </w:t>
      </w:r>
      <w:r>
        <w:rPr>
          <w:rFonts w:cs="Arial"/>
        </w:rPr>
        <w:t xml:space="preserve">should </w:t>
      </w:r>
      <w:r w:rsidRPr="00096158">
        <w:rPr>
          <w:rFonts w:cs="Arial"/>
        </w:rPr>
        <w:t xml:space="preserve">be able to pursue their own </w:t>
      </w:r>
      <w:r>
        <w:rPr>
          <w:rFonts w:cs="Arial"/>
        </w:rPr>
        <w:t xml:space="preserve">opportunities, </w:t>
      </w:r>
      <w:r w:rsidRPr="00096158">
        <w:rPr>
          <w:rFonts w:cs="Arial"/>
        </w:rPr>
        <w:t>activities</w:t>
      </w:r>
      <w:r>
        <w:rPr>
          <w:rFonts w:cs="Arial"/>
        </w:rPr>
        <w:t xml:space="preserve"> and enterprise free from unnecessary interference and free from </w:t>
      </w:r>
      <w:r w:rsidRPr="00096158">
        <w:rPr>
          <w:rFonts w:cs="Arial"/>
        </w:rPr>
        <w:t xml:space="preserve">the potential abuse of power by </w:t>
      </w:r>
      <w:r>
        <w:rPr>
          <w:rFonts w:cs="Arial"/>
        </w:rPr>
        <w:t xml:space="preserve">the monarchy or </w:t>
      </w:r>
      <w:r w:rsidRPr="00096158">
        <w:rPr>
          <w:rFonts w:cs="Arial"/>
        </w:rPr>
        <w:t>government.</w:t>
      </w:r>
      <w:r>
        <w:rPr>
          <w:rFonts w:cs="Arial"/>
        </w:rPr>
        <w:t xml:space="preserve"> </w:t>
      </w:r>
    </w:p>
    <w:p w:rsidR="00D71729" w:rsidRPr="006D7572" w:rsidRDefault="00D71729" w:rsidP="00D71729">
      <w:pPr>
        <w:rPr>
          <w:rFonts w:cs="Arial"/>
        </w:rPr>
      </w:pPr>
      <w:r w:rsidRPr="00232E63">
        <w:rPr>
          <w:rFonts w:cs="Arial"/>
          <w:lang w:val="en"/>
        </w:rPr>
        <w:t xml:space="preserve">The 1948 </w:t>
      </w:r>
      <w:r w:rsidRPr="00232E63">
        <w:rPr>
          <w:rFonts w:cs="Arial"/>
          <w:i/>
          <w:lang w:val="en"/>
        </w:rPr>
        <w:t>Universal Declaration of Human Rights</w:t>
      </w:r>
      <w:r w:rsidRPr="00232E63">
        <w:rPr>
          <w:rFonts w:cs="Arial"/>
          <w:lang w:val="en"/>
        </w:rPr>
        <w:t xml:space="preserve"> </w:t>
      </w:r>
      <w:r w:rsidRPr="00232E63">
        <w:rPr>
          <w:rFonts w:cs="Arial"/>
        </w:rPr>
        <w:t>internationalised</w:t>
      </w:r>
      <w:r w:rsidRPr="00232E63">
        <w:rPr>
          <w:rFonts w:cs="Arial"/>
          <w:lang w:val="en"/>
        </w:rPr>
        <w:t xml:space="preserve"> the idea of human rights to all people in the world, particularly after the atrocities of the Nazi and fascist regimes and World War II. </w:t>
      </w:r>
      <w:r>
        <w:rPr>
          <w:rFonts w:cs="Arial"/>
        </w:rPr>
        <w:t>It</w:t>
      </w:r>
      <w:r w:rsidRPr="006D7572">
        <w:rPr>
          <w:rFonts w:cs="Arial"/>
        </w:rPr>
        <w:t xml:space="preserve"> </w:t>
      </w:r>
      <w:r>
        <w:rPr>
          <w:rFonts w:cs="Arial"/>
        </w:rPr>
        <w:t>provides that</w:t>
      </w:r>
      <w:r w:rsidRPr="006D7572">
        <w:rPr>
          <w:rFonts w:cs="Arial"/>
        </w:rPr>
        <w:t xml:space="preserve"> all people are born </w:t>
      </w:r>
      <w:r>
        <w:rPr>
          <w:rFonts w:cs="Arial"/>
        </w:rPr>
        <w:t>free and equal. R</w:t>
      </w:r>
      <w:r w:rsidRPr="006D7572">
        <w:rPr>
          <w:rFonts w:cs="Arial"/>
        </w:rPr>
        <w:t>ights</w:t>
      </w:r>
      <w:r>
        <w:rPr>
          <w:rFonts w:cs="Arial"/>
        </w:rPr>
        <w:t xml:space="preserve"> and freedoms</w:t>
      </w:r>
      <w:r w:rsidRPr="006D7572">
        <w:rPr>
          <w:rFonts w:cs="Arial"/>
        </w:rPr>
        <w:t xml:space="preserve"> are universal (held by everyone) and inalienable (exist whether they are recognised by governments or not).</w:t>
      </w:r>
    </w:p>
    <w:p w:rsidR="00D71729" w:rsidRPr="00F3353B" w:rsidRDefault="00D71729" w:rsidP="00D71729">
      <w:pPr>
        <w:rPr>
          <w:rFonts w:cs="Arial"/>
          <w:lang w:val="en"/>
        </w:rPr>
      </w:pPr>
      <w:r>
        <w:rPr>
          <w:rFonts w:cs="Arial"/>
          <w:lang w:val="en"/>
        </w:rPr>
        <w:lastRenderedPageBreak/>
        <w:t xml:space="preserve">Since 1948, </w:t>
      </w:r>
      <w:r w:rsidRPr="00F3353B">
        <w:rPr>
          <w:rFonts w:cs="Arial"/>
          <w:lang w:val="en"/>
        </w:rPr>
        <w:t xml:space="preserve">human rights </w:t>
      </w:r>
      <w:r>
        <w:rPr>
          <w:rFonts w:cs="Arial"/>
          <w:lang w:val="en"/>
        </w:rPr>
        <w:t>have also been</w:t>
      </w:r>
      <w:r w:rsidRPr="00F3353B">
        <w:rPr>
          <w:rFonts w:cs="Arial"/>
          <w:lang w:val="en"/>
        </w:rPr>
        <w:t xml:space="preserve"> </w:t>
      </w:r>
      <w:r>
        <w:rPr>
          <w:rFonts w:cs="Arial"/>
          <w:lang w:val="en"/>
        </w:rPr>
        <w:t>expressed in the form</w:t>
      </w:r>
      <w:r w:rsidRPr="00F3353B">
        <w:rPr>
          <w:rFonts w:cs="Arial"/>
          <w:lang w:val="en"/>
        </w:rPr>
        <w:t xml:space="preserve"> of </w:t>
      </w:r>
      <w:r>
        <w:rPr>
          <w:rFonts w:cs="Arial"/>
          <w:lang w:val="en"/>
        </w:rPr>
        <w:t xml:space="preserve">international </w:t>
      </w:r>
      <w:r w:rsidRPr="00F3353B">
        <w:rPr>
          <w:rFonts w:cs="Arial"/>
          <w:lang w:val="en"/>
        </w:rPr>
        <w:t xml:space="preserve">treaties, customary international law, general principles and other sources of international law. International human </w:t>
      </w:r>
      <w:r>
        <w:rPr>
          <w:rFonts w:cs="Arial"/>
          <w:lang w:val="en"/>
        </w:rPr>
        <w:t>rights treaties outline obligations of g</w:t>
      </w:r>
      <w:r w:rsidRPr="00F3353B">
        <w:rPr>
          <w:rFonts w:cs="Arial"/>
          <w:lang w:val="en"/>
        </w:rPr>
        <w:t>overnments to act in certain ways or to refrain from certain acts, in order to promote and protect human rights and fundamental freedoms of individuals or groups.</w:t>
      </w:r>
    </w:p>
    <w:p w:rsidR="00D71729" w:rsidRPr="006D7572" w:rsidRDefault="00D71729" w:rsidP="00D71729">
      <w:pPr>
        <w:rPr>
          <w:lang w:val="en"/>
        </w:rPr>
      </w:pPr>
      <w:r w:rsidRPr="006D7572">
        <w:rPr>
          <w:lang w:val="en"/>
        </w:rPr>
        <w:t>Australia has agreed to uphold and respect the</w:t>
      </w:r>
      <w:r>
        <w:rPr>
          <w:lang w:val="en"/>
        </w:rPr>
        <w:t xml:space="preserve"> seven main</w:t>
      </w:r>
      <w:r w:rsidRPr="006D7572">
        <w:rPr>
          <w:lang w:val="en"/>
        </w:rPr>
        <w:t xml:space="preserve"> </w:t>
      </w:r>
      <w:r>
        <w:rPr>
          <w:lang w:val="en"/>
        </w:rPr>
        <w:t xml:space="preserve">international </w:t>
      </w:r>
      <w:r w:rsidRPr="006D7572">
        <w:rPr>
          <w:lang w:val="en"/>
        </w:rPr>
        <w:t>human rights treaties</w:t>
      </w:r>
      <w:r>
        <w:rPr>
          <w:lang w:val="en"/>
        </w:rPr>
        <w:t>, namely the</w:t>
      </w:r>
      <w:r w:rsidRPr="006D7572">
        <w:rPr>
          <w:lang w:val="en"/>
        </w:rPr>
        <w:t>:</w:t>
      </w:r>
    </w:p>
    <w:p w:rsidR="00D71729" w:rsidRPr="006D7572" w:rsidRDefault="007E7D7A" w:rsidP="00D71729">
      <w:pPr>
        <w:pStyle w:val="ListParagraph"/>
        <w:numPr>
          <w:ilvl w:val="0"/>
          <w:numId w:val="37"/>
        </w:numPr>
        <w:spacing w:after="120"/>
        <w:ind w:left="714" w:hanging="357"/>
        <w:rPr>
          <w:rFonts w:cs="Arial"/>
          <w:i/>
          <w:lang w:val="en"/>
        </w:rPr>
      </w:pPr>
      <w:hyperlink r:id="rId13" w:history="1">
        <w:r w:rsidR="00D71729" w:rsidRPr="006D7572">
          <w:rPr>
            <w:rFonts w:cs="Arial"/>
            <w:i/>
            <w:lang w:val="en"/>
          </w:rPr>
          <w:t>International Covenant on Civil and Political Rights</w:t>
        </w:r>
      </w:hyperlink>
    </w:p>
    <w:p w:rsidR="00D71729" w:rsidRPr="006D7572" w:rsidRDefault="007E7D7A" w:rsidP="00D71729">
      <w:pPr>
        <w:pStyle w:val="ListParagraph"/>
        <w:numPr>
          <w:ilvl w:val="0"/>
          <w:numId w:val="37"/>
        </w:numPr>
        <w:spacing w:after="120"/>
        <w:ind w:left="714" w:hanging="357"/>
        <w:rPr>
          <w:rFonts w:cs="Arial"/>
          <w:i/>
          <w:lang w:val="en"/>
        </w:rPr>
      </w:pPr>
      <w:hyperlink r:id="rId14" w:history="1">
        <w:r w:rsidR="00D71729" w:rsidRPr="006D7572">
          <w:rPr>
            <w:rFonts w:cs="Arial"/>
            <w:i/>
            <w:lang w:val="en"/>
          </w:rPr>
          <w:t>International Covenant on Economic, Social and Cultural Rights</w:t>
        </w:r>
      </w:hyperlink>
    </w:p>
    <w:p w:rsidR="00D71729" w:rsidRPr="006D7572" w:rsidRDefault="007E7D7A" w:rsidP="00D71729">
      <w:pPr>
        <w:pStyle w:val="ListParagraph"/>
        <w:numPr>
          <w:ilvl w:val="0"/>
          <w:numId w:val="37"/>
        </w:numPr>
        <w:spacing w:after="120"/>
        <w:ind w:left="714" w:hanging="357"/>
        <w:rPr>
          <w:rFonts w:cs="Arial"/>
          <w:i/>
          <w:lang w:val="en"/>
        </w:rPr>
      </w:pPr>
      <w:hyperlink r:id="rId15" w:history="1">
        <w:r w:rsidR="00D71729" w:rsidRPr="006D7572">
          <w:rPr>
            <w:rFonts w:cs="Arial"/>
            <w:i/>
            <w:lang w:val="en"/>
          </w:rPr>
          <w:t xml:space="preserve">Convention on the Elimination of </w:t>
        </w:r>
        <w:bookmarkStart w:id="2" w:name="_GoBack"/>
        <w:bookmarkEnd w:id="2"/>
        <w:r w:rsidR="00D71729" w:rsidRPr="006D7572">
          <w:rPr>
            <w:rFonts w:cs="Arial"/>
            <w:i/>
            <w:lang w:val="en"/>
          </w:rPr>
          <w:t>All Forms of Racial Discrimination</w:t>
        </w:r>
      </w:hyperlink>
    </w:p>
    <w:p w:rsidR="00D71729" w:rsidRPr="006D7572" w:rsidRDefault="007E7D7A" w:rsidP="00D71729">
      <w:pPr>
        <w:pStyle w:val="ListParagraph"/>
        <w:numPr>
          <w:ilvl w:val="0"/>
          <w:numId w:val="37"/>
        </w:numPr>
        <w:spacing w:after="120"/>
        <w:ind w:left="714" w:hanging="357"/>
        <w:rPr>
          <w:rFonts w:cs="Arial"/>
          <w:i/>
          <w:lang w:val="en"/>
        </w:rPr>
      </w:pPr>
      <w:hyperlink r:id="rId16" w:history="1">
        <w:r w:rsidR="00D71729" w:rsidRPr="006D7572">
          <w:rPr>
            <w:rFonts w:cs="Arial"/>
            <w:i/>
            <w:lang w:val="en"/>
          </w:rPr>
          <w:t>Convention on the Elimination of All Forms of Discrimination against Women</w:t>
        </w:r>
      </w:hyperlink>
    </w:p>
    <w:p w:rsidR="00D71729" w:rsidRPr="006D7572" w:rsidRDefault="007E7D7A" w:rsidP="00D71729">
      <w:pPr>
        <w:pStyle w:val="ListParagraph"/>
        <w:numPr>
          <w:ilvl w:val="0"/>
          <w:numId w:val="37"/>
        </w:numPr>
        <w:spacing w:after="120"/>
        <w:ind w:left="714" w:hanging="357"/>
        <w:rPr>
          <w:rFonts w:cs="Arial"/>
          <w:i/>
          <w:lang w:val="en"/>
        </w:rPr>
      </w:pPr>
      <w:hyperlink r:id="rId17" w:history="1">
        <w:r w:rsidR="00D71729" w:rsidRPr="006D7572">
          <w:rPr>
            <w:rFonts w:cs="Arial"/>
            <w:i/>
            <w:lang w:val="en"/>
          </w:rPr>
          <w:t>Convention Against Torture and Other Cruel, Inhuman or Degrading Treatment or Punishment</w:t>
        </w:r>
      </w:hyperlink>
      <w:r w:rsidR="00D71729" w:rsidRPr="006D7572">
        <w:rPr>
          <w:rFonts w:cs="Arial"/>
          <w:lang w:val="en"/>
        </w:rPr>
        <w:t xml:space="preserve"> </w:t>
      </w:r>
    </w:p>
    <w:p w:rsidR="00D71729" w:rsidRPr="006D7572" w:rsidRDefault="007E7D7A" w:rsidP="00D71729">
      <w:pPr>
        <w:pStyle w:val="ListParagraph"/>
        <w:numPr>
          <w:ilvl w:val="0"/>
          <w:numId w:val="37"/>
        </w:numPr>
        <w:spacing w:after="120"/>
        <w:ind w:left="714" w:hanging="357"/>
        <w:rPr>
          <w:rFonts w:cs="Arial"/>
          <w:i/>
          <w:lang w:val="en"/>
        </w:rPr>
      </w:pPr>
      <w:hyperlink r:id="rId18" w:history="1">
        <w:r w:rsidR="00D71729" w:rsidRPr="006D7572">
          <w:rPr>
            <w:rFonts w:cs="Arial"/>
            <w:i/>
            <w:lang w:val="en"/>
          </w:rPr>
          <w:t>Convention on the Rights of the Child</w:t>
        </w:r>
      </w:hyperlink>
    </w:p>
    <w:p w:rsidR="00D71729" w:rsidRPr="00D57BE5" w:rsidRDefault="007E7D7A" w:rsidP="00D71729">
      <w:pPr>
        <w:pStyle w:val="ListParagraph"/>
        <w:numPr>
          <w:ilvl w:val="0"/>
          <w:numId w:val="37"/>
        </w:numPr>
        <w:spacing w:after="120"/>
        <w:ind w:left="714" w:hanging="357"/>
        <w:rPr>
          <w:rFonts w:cs="Arial"/>
          <w:i/>
          <w:lang w:val="en"/>
        </w:rPr>
      </w:pPr>
      <w:hyperlink r:id="rId19" w:history="1">
        <w:r w:rsidR="00D71729" w:rsidRPr="006D7572">
          <w:rPr>
            <w:rFonts w:cs="Arial"/>
            <w:i/>
            <w:lang w:val="en"/>
          </w:rPr>
          <w:t>Convention on the Rights of Persons with Disabilities</w:t>
        </w:r>
      </w:hyperlink>
    </w:p>
    <w:p w:rsidR="00D71729" w:rsidRDefault="00D71729" w:rsidP="00D71729">
      <w:pPr>
        <w:shd w:val="clear" w:color="auto" w:fill="FFFFFF"/>
        <w:spacing w:before="100" w:beforeAutospacing="1" w:after="100" w:afterAutospacing="1"/>
        <w:rPr>
          <w:rFonts w:eastAsia="Times New Roman" w:cs="Arial"/>
          <w:lang w:val="en"/>
        </w:rPr>
      </w:pPr>
      <w:r>
        <w:rPr>
          <w:rFonts w:eastAsia="Times New Roman" w:cs="Arial"/>
          <w:lang w:val="en"/>
        </w:rPr>
        <w:t xml:space="preserve">There is no dedicated international treaty that deals with the human rights concerns of LGBTI people. However, all human rights issues should concern LGBTI people. The human rights principle of equality before the law equally applies to LGBTI people and the requirement for equal treatment by government. </w:t>
      </w:r>
    </w:p>
    <w:p w:rsidR="00D71729" w:rsidRPr="003A5082" w:rsidRDefault="00D71729" w:rsidP="00D71729">
      <w:pPr>
        <w:shd w:val="clear" w:color="auto" w:fill="FFFFFF"/>
        <w:spacing w:before="100" w:beforeAutospacing="1" w:after="100" w:afterAutospacing="1"/>
        <w:rPr>
          <w:rFonts w:eastAsia="Times New Roman" w:cs="Arial"/>
          <w:lang w:val="en"/>
        </w:rPr>
      </w:pPr>
    </w:p>
    <w:p w:rsidR="00D71729" w:rsidRPr="003A5082" w:rsidRDefault="00D71729" w:rsidP="00D71729">
      <w:pPr>
        <w:spacing w:before="0" w:after="0"/>
        <w:rPr>
          <w:rFonts w:cs="Arial"/>
          <w:color w:val="1F497D" w:themeColor="text2"/>
          <w:sz w:val="44"/>
          <w:szCs w:val="44"/>
        </w:rPr>
      </w:pPr>
      <w:r w:rsidRPr="003A5082">
        <w:rPr>
          <w:rFonts w:cs="Arial"/>
          <w:color w:val="1F497D" w:themeColor="text2"/>
          <w:sz w:val="44"/>
          <w:szCs w:val="44"/>
        </w:rPr>
        <w:br w:type="page"/>
      </w:r>
    </w:p>
    <w:p w:rsidR="00D71729" w:rsidRPr="007F4409" w:rsidRDefault="00D71729" w:rsidP="00D71729">
      <w:pPr>
        <w:spacing w:before="360"/>
        <w:rPr>
          <w:rFonts w:eastAsia="Times New Roman" w:cs="Arial"/>
          <w:b/>
          <w:color w:val="7030A0"/>
          <w:sz w:val="28"/>
          <w:szCs w:val="28"/>
          <w:lang w:val="en"/>
        </w:rPr>
      </w:pPr>
      <w:r w:rsidRPr="007F4409">
        <w:rPr>
          <w:rFonts w:cs="Arial"/>
          <w:b/>
          <w:color w:val="7030A0"/>
          <w:sz w:val="28"/>
          <w:szCs w:val="28"/>
        </w:rPr>
        <w:lastRenderedPageBreak/>
        <w:t>What are SOGII Rights?</w:t>
      </w:r>
    </w:p>
    <w:p w:rsidR="00D71729" w:rsidRDefault="00D71729" w:rsidP="00D71729">
      <w:pPr>
        <w:autoSpaceDE w:val="0"/>
        <w:autoSpaceDN w:val="0"/>
        <w:adjustRightInd w:val="0"/>
        <w:spacing w:before="100" w:beforeAutospacing="1" w:after="100" w:afterAutospacing="1"/>
        <w:rPr>
          <w:rFonts w:cs="Arial"/>
          <w:lang w:val="en"/>
        </w:rPr>
      </w:pPr>
      <w:r>
        <w:rPr>
          <w:rFonts w:cs="Arial"/>
          <w:lang w:val="en"/>
        </w:rPr>
        <w:t xml:space="preserve">At the heart of all human rights is the dignity of the individual to be free to pursue their lives, opportunities and enterprise without prejudice or discrimination by government. No person should be treated differently by government on the basis of their sexual orientation or gender identity. </w:t>
      </w:r>
    </w:p>
    <w:p w:rsidR="00D71729" w:rsidRPr="003A5082" w:rsidRDefault="00D71729" w:rsidP="00D71729">
      <w:pPr>
        <w:autoSpaceDE w:val="0"/>
        <w:autoSpaceDN w:val="0"/>
        <w:adjustRightInd w:val="0"/>
        <w:spacing w:before="100" w:beforeAutospacing="1" w:after="100" w:afterAutospacing="1"/>
        <w:rPr>
          <w:rFonts w:cs="Arial"/>
          <w:lang w:val="en"/>
        </w:rPr>
      </w:pPr>
      <w:r w:rsidRPr="003A5082">
        <w:rPr>
          <w:rFonts w:cs="Arial"/>
          <w:i/>
          <w:noProof/>
        </w:rPr>
        <mc:AlternateContent>
          <mc:Choice Requires="wps">
            <w:drawing>
              <wp:anchor distT="0" distB="0" distL="114300" distR="114300" simplePos="0" relativeHeight="251659264" behindDoc="0" locked="0" layoutInCell="1" allowOverlap="1" wp14:anchorId="46D70C15" wp14:editId="42F74CA2">
                <wp:simplePos x="0" y="0"/>
                <wp:positionH relativeFrom="column">
                  <wp:align>center</wp:align>
                </wp:positionH>
                <wp:positionV relativeFrom="paragraph">
                  <wp:posOffset>0</wp:posOffset>
                </wp:positionV>
                <wp:extent cx="5638490" cy="1222745"/>
                <wp:effectExtent l="0" t="0" r="1968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22274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5069C2" w:rsidRPr="002B43D6" w:rsidRDefault="005069C2" w:rsidP="00D71729">
                            <w:pPr>
                              <w:jc w:val="center"/>
                              <w:rPr>
                                <w:rFonts w:cs="Arial"/>
                                <w:i/>
                                <w:sz w:val="22"/>
                                <w:szCs w:val="22"/>
                                <w:lang w:val="en"/>
                              </w:rPr>
                            </w:pPr>
                            <w:r w:rsidRPr="002B43D6">
                              <w:rPr>
                                <w:rFonts w:cs="Arial"/>
                                <w:i/>
                                <w:sz w:val="22"/>
                                <w:szCs w:val="22"/>
                                <w:lang w:val="en"/>
                              </w:rPr>
                              <w:t>We all have a sexual orientation and a gender identity, and this shared fact means that discrimination against members of the Lesbian, Gay, Bisexual and Transgender community, based on sexual orientation and/or gender identity, is an issue that transcends that community and affects all of us.</w:t>
                            </w:r>
                          </w:p>
                          <w:p w:rsidR="005069C2" w:rsidRPr="002B43D6" w:rsidRDefault="005069C2" w:rsidP="00D71729">
                            <w:pPr>
                              <w:jc w:val="center"/>
                              <w:rPr>
                                <w:rFonts w:cs="Arial"/>
                                <w:i/>
                                <w:sz w:val="22"/>
                                <w:szCs w:val="22"/>
                                <w:lang w:val="en"/>
                              </w:rPr>
                            </w:pPr>
                            <w:r w:rsidRPr="002B43D6">
                              <w:rPr>
                                <w:rFonts w:cs="Arial"/>
                                <w:i/>
                                <w:sz w:val="22"/>
                                <w:szCs w:val="22"/>
                                <w:lang w:val="en"/>
                              </w:rPr>
                              <w:t xml:space="preserve">Amnesty International </w:t>
                            </w:r>
                          </w:p>
                          <w:p w:rsidR="005069C2" w:rsidRPr="00B623E3" w:rsidRDefault="005069C2" w:rsidP="00D71729">
                            <w:pPr>
                              <w:jc w:val="center"/>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44pt;height:96.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" fillcolor="white [3201]" strokecolor="#8064a2 [3207]" strokeweight="2pt">
                <v:textbox>
                  <w:txbxContent>
                    <w:p w:rsidR="00222C99" w:rsidRPr="002B43D6" w:rsidRDefault="00222C99" w:rsidP="00D71729">
                      <w:pPr>
                        <w:jc w:val="center"/>
                        <w:rPr>
                          <w:rFonts w:cs="Arial"/>
                          <w:i/>
                          <w:sz w:val="22"/>
                          <w:szCs w:val="22"/>
                          <w:lang w:val="en"/>
                        </w:rPr>
                      </w:pPr>
                      <w:r w:rsidRPr="002B43D6">
                        <w:rPr>
                          <w:rFonts w:cs="Arial"/>
                          <w:i/>
                          <w:sz w:val="22"/>
                          <w:szCs w:val="22"/>
                          <w:lang w:val="en"/>
                        </w:rPr>
                        <w:t>We all have a sexual orientation and a gender identity, and this shared fact means that discrimination against members of the Lesbian, Gay, Bisexual and Transgender community, based on sexual orientation and/or gender identity, is an issue that transcends that community and affects all of us.</w:t>
                      </w:r>
                    </w:p>
                    <w:p w:rsidR="00222C99" w:rsidRPr="002B43D6" w:rsidRDefault="00222C99" w:rsidP="00D71729">
                      <w:pPr>
                        <w:jc w:val="center"/>
                        <w:rPr>
                          <w:rFonts w:cs="Arial"/>
                          <w:i/>
                          <w:sz w:val="22"/>
                          <w:szCs w:val="22"/>
                          <w:lang w:val="en"/>
                        </w:rPr>
                      </w:pPr>
                      <w:r w:rsidRPr="002B43D6">
                        <w:rPr>
                          <w:rFonts w:cs="Arial"/>
                          <w:i/>
                          <w:sz w:val="22"/>
                          <w:szCs w:val="22"/>
                          <w:lang w:val="en"/>
                        </w:rPr>
                        <w:t xml:space="preserve">Amnesty International </w:t>
                      </w:r>
                    </w:p>
                    <w:p w:rsidR="00222C99" w:rsidRPr="00B623E3" w:rsidRDefault="00222C99" w:rsidP="00D71729">
                      <w:pPr>
                        <w:jc w:val="center"/>
                        <w:rPr>
                          <w:b/>
                          <w:sz w:val="22"/>
                          <w:szCs w:val="22"/>
                        </w:rPr>
                      </w:pPr>
                    </w:p>
                  </w:txbxContent>
                </v:textbox>
              </v:shape>
            </w:pict>
          </mc:Fallback>
        </mc:AlternateContent>
      </w:r>
    </w:p>
    <w:p w:rsidR="00D71729" w:rsidRPr="003A5082" w:rsidRDefault="00D71729" w:rsidP="00D71729">
      <w:pPr>
        <w:autoSpaceDE w:val="0"/>
        <w:autoSpaceDN w:val="0"/>
        <w:adjustRightInd w:val="0"/>
        <w:spacing w:before="100" w:beforeAutospacing="1" w:after="100" w:afterAutospacing="1"/>
        <w:jc w:val="center"/>
        <w:rPr>
          <w:rFonts w:cs="Arial"/>
          <w:i/>
          <w:lang w:val="en"/>
        </w:rPr>
      </w:pPr>
    </w:p>
    <w:p w:rsidR="00D71729" w:rsidRPr="003A5082" w:rsidRDefault="00D71729" w:rsidP="00D71729">
      <w:pPr>
        <w:autoSpaceDE w:val="0"/>
        <w:autoSpaceDN w:val="0"/>
        <w:adjustRightInd w:val="0"/>
        <w:spacing w:before="100" w:beforeAutospacing="1" w:after="100" w:afterAutospacing="1"/>
        <w:rPr>
          <w:rFonts w:cs="Arial"/>
          <w:lang w:val="en"/>
        </w:rPr>
      </w:pPr>
    </w:p>
    <w:p w:rsidR="00D71729" w:rsidRPr="003A5082" w:rsidRDefault="00D71729" w:rsidP="00D71729">
      <w:pPr>
        <w:spacing w:before="100" w:beforeAutospacing="1" w:after="100" w:afterAutospacing="1"/>
        <w:rPr>
          <w:rFonts w:cs="Arial"/>
        </w:rPr>
      </w:pPr>
    </w:p>
    <w:p w:rsidR="00D71729" w:rsidRPr="003A5082" w:rsidRDefault="00D71729" w:rsidP="00D71729">
      <w:pPr>
        <w:spacing w:before="100" w:beforeAutospacing="1" w:after="100" w:afterAutospacing="1"/>
        <w:rPr>
          <w:rFonts w:cs="Arial"/>
        </w:rPr>
      </w:pPr>
      <w:r w:rsidRPr="003A5082">
        <w:rPr>
          <w:rFonts w:cs="Arial"/>
        </w:rPr>
        <w:t xml:space="preserve">Article 2 of the </w:t>
      </w:r>
      <w:r w:rsidRPr="00402216">
        <w:rPr>
          <w:rFonts w:cs="Arial"/>
          <w:i/>
        </w:rPr>
        <w:t>Universal Declaration</w:t>
      </w:r>
      <w:r w:rsidRPr="003A5082">
        <w:rPr>
          <w:rFonts w:cs="Arial"/>
        </w:rPr>
        <w:t xml:space="preserve"> </w:t>
      </w:r>
      <w:r w:rsidRPr="00402216">
        <w:rPr>
          <w:rFonts w:cs="Arial"/>
          <w:i/>
        </w:rPr>
        <w:t>on Human Rights</w:t>
      </w:r>
      <w:r>
        <w:rPr>
          <w:rFonts w:cs="Arial"/>
        </w:rPr>
        <w:t xml:space="preserve"> makes it clear that human rights apply to all people in the world. It</w:t>
      </w:r>
      <w:r w:rsidRPr="003A5082">
        <w:rPr>
          <w:rFonts w:cs="Arial"/>
        </w:rPr>
        <w:t xml:space="preserve"> states:</w:t>
      </w:r>
    </w:p>
    <w:p w:rsidR="00D71729" w:rsidRPr="00BB0F9D" w:rsidRDefault="00D71729" w:rsidP="00BB0F9D">
      <w:pPr>
        <w:spacing w:before="100" w:beforeAutospacing="1" w:after="100" w:afterAutospacing="1"/>
        <w:ind w:left="720"/>
        <w:rPr>
          <w:rFonts w:cs="Arial"/>
          <w:sz w:val="22"/>
          <w:szCs w:val="22"/>
        </w:rPr>
      </w:pPr>
      <w:r w:rsidRPr="00BB0F9D">
        <w:rPr>
          <w:rFonts w:cs="Arial"/>
          <w:sz w:val="22"/>
          <w:szCs w:val="22"/>
        </w:rPr>
        <w:t>Everyone is entitled to all the rights and freedoms set forth in this Declaration, without distinction of any kind, such as race, colour, sex, language, religion, political or other opinion, national or social origin, property, birth or other status.</w:t>
      </w:r>
    </w:p>
    <w:p w:rsidR="00D71729" w:rsidRDefault="00D71729" w:rsidP="00D71729">
      <w:pPr>
        <w:spacing w:before="100" w:beforeAutospacing="1" w:after="100" w:afterAutospacing="1"/>
        <w:rPr>
          <w:rFonts w:eastAsia="Times New Roman" w:cs="Arial"/>
        </w:rPr>
      </w:pPr>
      <w:r w:rsidRPr="003A5082">
        <w:rPr>
          <w:rFonts w:cs="Arial"/>
        </w:rPr>
        <w:t>SOGII rights are ultimately about the equal application of existing human rights to everyone.</w:t>
      </w:r>
      <w:r>
        <w:rPr>
          <w:rFonts w:cs="Arial"/>
        </w:rPr>
        <w:t xml:space="preserve"> Specifically, </w:t>
      </w:r>
      <w:r w:rsidRPr="003A5082">
        <w:rPr>
          <w:rFonts w:eastAsia="Times New Roman" w:cs="Arial"/>
        </w:rPr>
        <w:t xml:space="preserve">the equality and non-discrimination </w:t>
      </w:r>
      <w:r>
        <w:rPr>
          <w:rFonts w:eastAsia="Times New Roman" w:cs="Arial"/>
        </w:rPr>
        <w:t>requirements</w:t>
      </w:r>
      <w:r w:rsidRPr="003A5082">
        <w:rPr>
          <w:rFonts w:eastAsia="Times New Roman" w:cs="Arial"/>
        </w:rPr>
        <w:t xml:space="preserve"> provided by international </w:t>
      </w:r>
      <w:r>
        <w:rPr>
          <w:rFonts w:eastAsia="Times New Roman" w:cs="Arial"/>
        </w:rPr>
        <w:t>treaties</w:t>
      </w:r>
      <w:r w:rsidRPr="003A5082">
        <w:rPr>
          <w:rFonts w:eastAsia="Times New Roman" w:cs="Arial"/>
        </w:rPr>
        <w:t xml:space="preserve"> appl</w:t>
      </w:r>
      <w:r>
        <w:rPr>
          <w:rFonts w:eastAsia="Times New Roman" w:cs="Arial"/>
        </w:rPr>
        <w:t>y</w:t>
      </w:r>
      <w:r w:rsidRPr="003A5082">
        <w:rPr>
          <w:rFonts w:eastAsia="Times New Roman" w:cs="Arial"/>
        </w:rPr>
        <w:t xml:space="preserve"> to all people, regardless of sex, sexual orie</w:t>
      </w:r>
      <w:r>
        <w:rPr>
          <w:rFonts w:eastAsia="Times New Roman" w:cs="Arial"/>
        </w:rPr>
        <w:t xml:space="preserve">ntation and gender identity or ‘other status’. </w:t>
      </w:r>
    </w:p>
    <w:p w:rsidR="00C42AE8" w:rsidRDefault="00C42AE8" w:rsidP="00D71729">
      <w:pPr>
        <w:spacing w:before="100" w:beforeAutospacing="1" w:after="100" w:afterAutospacing="1"/>
        <w:rPr>
          <w:rFonts w:cs="Arial"/>
          <w:color w:val="7030A0"/>
        </w:rPr>
      </w:pPr>
      <w:r w:rsidRPr="003A5082">
        <w:rPr>
          <w:rFonts w:eastAsia="Times New Roman" w:cs="Arial"/>
          <w:noProof/>
        </w:rPr>
        <mc:AlternateContent>
          <mc:Choice Requires="wps">
            <w:drawing>
              <wp:anchor distT="0" distB="0" distL="114300" distR="114300" simplePos="0" relativeHeight="251661312" behindDoc="0" locked="0" layoutInCell="1" allowOverlap="1" wp14:anchorId="4832219E" wp14:editId="464077CD">
                <wp:simplePos x="0" y="0"/>
                <wp:positionH relativeFrom="column">
                  <wp:posOffset>27305</wp:posOffset>
                </wp:positionH>
                <wp:positionV relativeFrom="paragraph">
                  <wp:posOffset>29210</wp:posOffset>
                </wp:positionV>
                <wp:extent cx="5659755" cy="1211580"/>
                <wp:effectExtent l="0" t="0" r="17145" b="26670"/>
                <wp:wrapNone/>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121158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5069C2" w:rsidRPr="002B43D6" w:rsidRDefault="005069C2" w:rsidP="00D71729">
                            <w:pPr>
                              <w:jc w:val="center"/>
                              <w:rPr>
                                <w:rFonts w:eastAsia="Times New Roman" w:cs="Arial"/>
                                <w:i/>
                                <w:sz w:val="22"/>
                                <w:szCs w:val="22"/>
                              </w:rPr>
                            </w:pPr>
                            <w:r w:rsidRPr="002B43D6">
                              <w:rPr>
                                <w:rFonts w:eastAsia="Times New Roman" w:cs="Arial"/>
                                <w:i/>
                                <w:sz w:val="22"/>
                                <w:szCs w:val="22"/>
                              </w:rPr>
                              <w:t>There is no fine print, no hidden exemption clause, in any of the human rights treaties that might allow a State to guarantee full rights to some but withhold them from others purely on the basis of sexual orientation, gender identity or intersex status.</w:t>
                            </w:r>
                          </w:p>
                          <w:p w:rsidR="005069C2" w:rsidRPr="002B43D6" w:rsidRDefault="005069C2" w:rsidP="00D71729">
                            <w:pPr>
                              <w:jc w:val="center"/>
                              <w:rPr>
                                <w:rFonts w:eastAsia="Times New Roman" w:cs="Arial"/>
                                <w:i/>
                                <w:sz w:val="22"/>
                                <w:szCs w:val="22"/>
                              </w:rPr>
                            </w:pPr>
                            <w:r w:rsidRPr="002B43D6">
                              <w:rPr>
                                <w:rFonts w:eastAsia="Times New Roman" w:cs="Arial"/>
                                <w:i/>
                                <w:sz w:val="22"/>
                                <w:szCs w:val="22"/>
                              </w:rPr>
                              <w:t xml:space="preserve">United Nations Office for the High Commissioner on Human Rights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5pt;margin-top:2.3pt;width:445.65pt;height:9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" fillcolor="white [3201]" strokecolor="#8064a2 [3207]" strokeweight="2pt">
                <v:textbox>
                  <w:txbxContent>
                    <w:p w:rsidR="00222C99" w:rsidRPr="002B43D6" w:rsidRDefault="00222C99" w:rsidP="00D71729">
                      <w:pPr>
                        <w:jc w:val="center"/>
                        <w:rPr>
                          <w:rFonts w:eastAsia="Times New Roman" w:cs="Arial"/>
                          <w:i/>
                          <w:sz w:val="22"/>
                          <w:szCs w:val="22"/>
                        </w:rPr>
                      </w:pPr>
                      <w:r w:rsidRPr="002B43D6">
                        <w:rPr>
                          <w:rFonts w:eastAsia="Times New Roman" w:cs="Arial"/>
                          <w:i/>
                          <w:sz w:val="22"/>
                          <w:szCs w:val="22"/>
                        </w:rPr>
                        <w:t>There is no fine print, no hidden exemption clause, in any of the human rights treaties that might allow a State to guarantee full rights to some but withhold them from others purely on the basis of sexual orientation, gender identity or intersex status.</w:t>
                      </w:r>
                    </w:p>
                    <w:p w:rsidR="00222C99" w:rsidRPr="002B43D6" w:rsidRDefault="00222C99" w:rsidP="00D71729">
                      <w:pPr>
                        <w:jc w:val="center"/>
                        <w:rPr>
                          <w:rFonts w:eastAsia="Times New Roman" w:cs="Arial"/>
                          <w:i/>
                          <w:sz w:val="22"/>
                          <w:szCs w:val="22"/>
                        </w:rPr>
                      </w:pPr>
                      <w:r w:rsidRPr="002B43D6">
                        <w:rPr>
                          <w:rFonts w:eastAsia="Times New Roman" w:cs="Arial"/>
                          <w:i/>
                          <w:sz w:val="22"/>
                          <w:szCs w:val="22"/>
                        </w:rPr>
                        <w:t xml:space="preserve">United Nations Office for the High Commissioner on Human Rights </w:t>
                      </w:r>
                    </w:p>
                  </w:txbxContent>
                </v:textbox>
              </v:shape>
            </w:pict>
          </mc:Fallback>
        </mc:AlternateContent>
      </w:r>
    </w:p>
    <w:p w:rsidR="00C42AE8" w:rsidRDefault="00C42AE8" w:rsidP="00D71729">
      <w:pPr>
        <w:spacing w:before="100" w:beforeAutospacing="1" w:after="100" w:afterAutospacing="1"/>
        <w:rPr>
          <w:rFonts w:cs="Arial"/>
          <w:color w:val="7030A0"/>
        </w:rPr>
      </w:pPr>
    </w:p>
    <w:p w:rsidR="00C42AE8" w:rsidRDefault="00C42AE8" w:rsidP="00D71729">
      <w:pPr>
        <w:spacing w:before="100" w:beforeAutospacing="1" w:after="100" w:afterAutospacing="1"/>
        <w:rPr>
          <w:rFonts w:cs="Arial"/>
          <w:color w:val="7030A0"/>
        </w:rPr>
      </w:pPr>
    </w:p>
    <w:p w:rsidR="00C42AE8" w:rsidRDefault="00C42AE8" w:rsidP="00D71729">
      <w:pPr>
        <w:spacing w:before="100" w:beforeAutospacing="1" w:after="100" w:afterAutospacing="1"/>
        <w:rPr>
          <w:rFonts w:cs="Arial"/>
          <w:color w:val="7030A0"/>
        </w:rPr>
      </w:pPr>
    </w:p>
    <w:p w:rsidR="00D71729" w:rsidRPr="00D322CA" w:rsidRDefault="00C9284B" w:rsidP="00D71729">
      <w:pPr>
        <w:spacing w:before="100" w:beforeAutospacing="1" w:after="100" w:afterAutospacing="1"/>
        <w:rPr>
          <w:rFonts w:cs="Arial"/>
        </w:rPr>
      </w:pPr>
      <w:r w:rsidRPr="00D322CA">
        <w:rPr>
          <w:rFonts w:cs="Arial"/>
        </w:rPr>
        <w:t>Appendix A</w:t>
      </w:r>
      <w:r w:rsidR="00D71729" w:rsidRPr="00D322CA">
        <w:rPr>
          <w:rFonts w:cs="Arial"/>
        </w:rPr>
        <w:t xml:space="preserve"> provides an overview of the key international treaties and how SOGII rights apply to them. </w:t>
      </w:r>
    </w:p>
    <w:p w:rsidR="00D71729" w:rsidRDefault="00D71729" w:rsidP="00D71729">
      <w:pPr>
        <w:pStyle w:val="NormalWeb"/>
        <w:shd w:val="clear" w:color="auto" w:fill="FFFFFF"/>
        <w:rPr>
          <w:rFonts w:ascii="Arial" w:eastAsia="Times New Roman" w:hAnsi="Arial" w:cs="Arial"/>
          <w:lang w:val="en"/>
        </w:rPr>
      </w:pPr>
      <w:r w:rsidRPr="003D354F">
        <w:rPr>
          <w:rFonts w:ascii="Arial" w:eastAsia="Times New Roman" w:hAnsi="Arial" w:cs="Arial"/>
        </w:rPr>
        <w:t xml:space="preserve">Over the last decade an increasing amount of work </w:t>
      </w:r>
      <w:r>
        <w:rPr>
          <w:rFonts w:ascii="Arial" w:eastAsia="Times New Roman" w:hAnsi="Arial" w:cs="Arial"/>
        </w:rPr>
        <w:t>on SOGII</w:t>
      </w:r>
      <w:r w:rsidRPr="003D354F">
        <w:rPr>
          <w:rFonts w:ascii="Arial" w:eastAsia="Times New Roman" w:hAnsi="Arial" w:cs="Arial"/>
        </w:rPr>
        <w:t xml:space="preserve"> rights has occurred within the United Nations system. In 2012</w:t>
      </w:r>
      <w:r w:rsidRPr="003D354F">
        <w:rPr>
          <w:rFonts w:ascii="Arial" w:eastAsia="Times New Roman" w:hAnsi="Arial" w:cs="Arial"/>
          <w:lang w:val="en"/>
        </w:rPr>
        <w:t xml:space="preserve"> the United Nations Secretary-General Ban Ki-Moon addressed the Human Rights Council on SOGII </w:t>
      </w:r>
      <w:r>
        <w:rPr>
          <w:rFonts w:ascii="Arial" w:eastAsia="Times New Roman" w:hAnsi="Arial" w:cs="Arial"/>
          <w:lang w:val="en"/>
        </w:rPr>
        <w:t xml:space="preserve">rights </w:t>
      </w:r>
      <w:r w:rsidRPr="003D354F">
        <w:rPr>
          <w:rFonts w:ascii="Arial" w:eastAsia="Times New Roman" w:hAnsi="Arial" w:cs="Arial"/>
          <w:lang w:val="en"/>
        </w:rPr>
        <w:t>for the first time</w:t>
      </w:r>
      <w:r>
        <w:rPr>
          <w:rFonts w:ascii="Arial" w:eastAsia="Times New Roman" w:hAnsi="Arial" w:cs="Arial"/>
          <w:lang w:val="en"/>
        </w:rPr>
        <w:t>:</w:t>
      </w:r>
    </w:p>
    <w:p w:rsidR="00D71729" w:rsidRDefault="00D322CA" w:rsidP="00D71729">
      <w:pPr>
        <w:pStyle w:val="NormalWeb"/>
        <w:shd w:val="clear" w:color="auto" w:fill="FFFFFF"/>
        <w:rPr>
          <w:rFonts w:ascii="Arial" w:eastAsia="Times New Roman" w:hAnsi="Arial" w:cs="Arial"/>
          <w:lang w:val="en"/>
        </w:rPr>
      </w:pPr>
      <w:r w:rsidRPr="003D354F">
        <w:rPr>
          <w:rFonts w:ascii="Arial" w:eastAsia="Times New Roman" w:hAnsi="Arial" w:cs="Arial"/>
          <w:noProof/>
        </w:rPr>
        <mc:AlternateContent>
          <mc:Choice Requires="wps">
            <w:drawing>
              <wp:anchor distT="0" distB="0" distL="114300" distR="114300" simplePos="0" relativeHeight="251660288" behindDoc="0" locked="0" layoutInCell="1" allowOverlap="1" wp14:anchorId="09D44CE9" wp14:editId="309748A8">
                <wp:simplePos x="0" y="0"/>
                <wp:positionH relativeFrom="column">
                  <wp:posOffset>-32385</wp:posOffset>
                </wp:positionH>
                <wp:positionV relativeFrom="paragraph">
                  <wp:posOffset>57150</wp:posOffset>
                </wp:positionV>
                <wp:extent cx="5715000" cy="1350010"/>
                <wp:effectExtent l="0" t="0" r="1905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5001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5069C2" w:rsidRPr="002B43D6" w:rsidRDefault="005069C2" w:rsidP="00D71729">
                            <w:pPr>
                              <w:jc w:val="center"/>
                              <w:rPr>
                                <w:rFonts w:eastAsia="Times New Roman" w:cs="Arial"/>
                                <w:i/>
                                <w:sz w:val="22"/>
                                <w:szCs w:val="22"/>
                                <w:lang w:val="en"/>
                              </w:rPr>
                            </w:pPr>
                            <w:r w:rsidRPr="002B43D6">
                              <w:rPr>
                                <w:rFonts w:eastAsia="Times New Roman" w:cs="Arial"/>
                                <w:i/>
                                <w:sz w:val="22"/>
                                <w:szCs w:val="22"/>
                                <w:lang w:val="en"/>
                              </w:rPr>
                              <w:t>Some say that sexual orientation and gender identity are sensitive issues. I understand. Like many of my generation, I did not grow up talking about these issues. But I learned to speak out because lives are at stake, and because it is our duty under the United Nations Charter and the Universal Declaration of Human Rights to protect the rights of everyone, everywhere.</w:t>
                            </w:r>
                          </w:p>
                          <w:p w:rsidR="005069C2" w:rsidRPr="002B43D6" w:rsidRDefault="005069C2" w:rsidP="00D71729">
                            <w:pPr>
                              <w:jc w:val="center"/>
                              <w:rPr>
                                <w:i/>
                                <w:sz w:val="22"/>
                                <w:szCs w:val="22"/>
                              </w:rPr>
                            </w:pPr>
                            <w:r w:rsidRPr="002B43D6">
                              <w:rPr>
                                <w:sz w:val="22"/>
                                <w:szCs w:val="22"/>
                                <w:lang w:val="en"/>
                              </w:rPr>
                              <w:t>UN Secretary-General Ban Ki-moon to the Human Rights Council, 7 March 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5pt;margin-top:4.5pt;width:450pt;height:10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" fillcolor="white [3201]" strokecolor="#8064a2 [3207]" strokeweight="2pt">
                <v:textbox>
                  <w:txbxContent>
                    <w:p w:rsidR="00222C99" w:rsidRPr="002B43D6" w:rsidRDefault="00222C99" w:rsidP="00D71729">
                      <w:pPr>
                        <w:jc w:val="center"/>
                        <w:rPr>
                          <w:rFonts w:eastAsia="Times New Roman" w:cs="Arial"/>
                          <w:i/>
                          <w:sz w:val="22"/>
                          <w:szCs w:val="22"/>
                          <w:lang w:val="en"/>
                        </w:rPr>
                      </w:pPr>
                      <w:r w:rsidRPr="002B43D6">
                        <w:rPr>
                          <w:rFonts w:eastAsia="Times New Roman" w:cs="Arial"/>
                          <w:i/>
                          <w:sz w:val="22"/>
                          <w:szCs w:val="22"/>
                          <w:lang w:val="en"/>
                        </w:rPr>
                        <w:t>Some say that sexual orientation and gender identity are sensitive issues. I understand. Like many of my generation, I did not grow up talking about these issues. But I learned to speak out because lives are at stake, and because it is our duty under the United Nations Charter and the Universal Declaration of Human Rights to protect the rights of everyone, everywhere.</w:t>
                      </w:r>
                    </w:p>
                    <w:p w:rsidR="00222C99" w:rsidRPr="002B43D6" w:rsidRDefault="00222C99" w:rsidP="00D71729">
                      <w:pPr>
                        <w:jc w:val="center"/>
                        <w:rPr>
                          <w:i/>
                          <w:sz w:val="22"/>
                          <w:szCs w:val="22"/>
                        </w:rPr>
                      </w:pPr>
                      <w:r w:rsidRPr="002B43D6">
                        <w:rPr>
                          <w:sz w:val="22"/>
                          <w:szCs w:val="22"/>
                          <w:lang w:val="en"/>
                        </w:rPr>
                        <w:t>UN Secretary-General Ban Ki-moon to the Human Rights Council, 7 March 2012</w:t>
                      </w:r>
                    </w:p>
                  </w:txbxContent>
                </v:textbox>
              </v:shape>
            </w:pict>
          </mc:Fallback>
        </mc:AlternateContent>
      </w:r>
    </w:p>
    <w:p w:rsidR="00D71729" w:rsidRDefault="00D71729" w:rsidP="00D71729">
      <w:pPr>
        <w:pStyle w:val="NormalWeb"/>
        <w:shd w:val="clear" w:color="auto" w:fill="FFFFFF"/>
        <w:rPr>
          <w:rFonts w:ascii="Arial" w:eastAsia="Times New Roman" w:hAnsi="Arial" w:cs="Arial"/>
          <w:lang w:val="en"/>
        </w:rPr>
      </w:pPr>
    </w:p>
    <w:p w:rsidR="006D5587" w:rsidRDefault="006D5587" w:rsidP="00D71729">
      <w:pPr>
        <w:spacing w:before="100" w:beforeAutospacing="1" w:after="100" w:afterAutospacing="1"/>
        <w:rPr>
          <w:rFonts w:eastAsia="Times New Roman" w:cs="Arial"/>
          <w:lang w:val="en"/>
        </w:rPr>
      </w:pPr>
    </w:p>
    <w:p w:rsidR="00D322CA" w:rsidRDefault="00D322CA" w:rsidP="00D71729">
      <w:pPr>
        <w:spacing w:before="100" w:beforeAutospacing="1" w:after="100" w:afterAutospacing="1"/>
        <w:rPr>
          <w:rFonts w:eastAsia="Times New Roman" w:cs="Arial"/>
        </w:rPr>
      </w:pPr>
    </w:p>
    <w:p w:rsidR="00D322CA" w:rsidRDefault="00D322CA" w:rsidP="00D71729">
      <w:pPr>
        <w:spacing w:before="100" w:beforeAutospacing="1" w:after="100" w:afterAutospacing="1"/>
        <w:rPr>
          <w:rFonts w:eastAsia="Times New Roman" w:cs="Arial"/>
        </w:rPr>
      </w:pPr>
    </w:p>
    <w:p w:rsidR="00D71729" w:rsidRPr="003D354F" w:rsidRDefault="00D71729" w:rsidP="00D71729">
      <w:pPr>
        <w:spacing w:before="100" w:beforeAutospacing="1" w:after="100" w:afterAutospacing="1"/>
        <w:rPr>
          <w:rFonts w:eastAsia="Times New Roman" w:cs="Arial"/>
        </w:rPr>
      </w:pPr>
      <w:r w:rsidRPr="003D354F">
        <w:rPr>
          <w:rFonts w:eastAsia="Times New Roman" w:cs="Arial"/>
        </w:rPr>
        <w:lastRenderedPageBreak/>
        <w:t xml:space="preserve">In 2012 the Human Rights Council </w:t>
      </w:r>
      <w:r>
        <w:rPr>
          <w:rFonts w:eastAsia="Times New Roman" w:cs="Arial"/>
        </w:rPr>
        <w:t xml:space="preserve">also </w:t>
      </w:r>
      <w:r w:rsidRPr="003D354F">
        <w:rPr>
          <w:rFonts w:eastAsia="Times New Roman" w:cs="Arial"/>
        </w:rPr>
        <w:t xml:space="preserve">released the first United Nations </w:t>
      </w:r>
      <w:r w:rsidRPr="003D354F">
        <w:rPr>
          <w:rFonts w:cs="Arial"/>
        </w:rPr>
        <w:t>global public education campaign for LGBTI equality</w:t>
      </w:r>
      <w:r w:rsidRPr="003D354F">
        <w:rPr>
          <w:rFonts w:eastAsia="Times New Roman" w:cs="Arial"/>
        </w:rPr>
        <w:t>.</w:t>
      </w:r>
      <w:r w:rsidRPr="003D354F">
        <w:rPr>
          <w:rStyle w:val="EndnoteReference"/>
          <w:rFonts w:eastAsia="Times New Roman" w:cs="Arial"/>
          <w:sz w:val="24"/>
        </w:rPr>
        <w:endnoteReference w:id="6"/>
      </w:r>
      <w:r w:rsidRPr="003D354F">
        <w:rPr>
          <w:rFonts w:eastAsia="Times New Roman" w:cs="Arial"/>
        </w:rPr>
        <w:t xml:space="preserve"> In addition</w:t>
      </w:r>
      <w:r w:rsidR="00AE5A98">
        <w:rPr>
          <w:rFonts w:eastAsia="Times New Roman" w:cs="Arial"/>
        </w:rPr>
        <w:t>,</w:t>
      </w:r>
      <w:r w:rsidRPr="003D354F">
        <w:rPr>
          <w:rFonts w:eastAsia="Times New Roman" w:cs="Arial"/>
        </w:rPr>
        <w:t xml:space="preserve"> since the 1992 decision of the Human Rights Committee in </w:t>
      </w:r>
      <w:r w:rsidRPr="003D354F">
        <w:rPr>
          <w:rFonts w:eastAsia="Times New Roman" w:cs="Arial"/>
          <w:i/>
        </w:rPr>
        <w:t>Toonen v Australia,</w:t>
      </w:r>
      <w:r w:rsidRPr="004E62E4">
        <w:rPr>
          <w:rStyle w:val="EndnoteReference"/>
          <w:rFonts w:eastAsia="Times New Roman" w:cs="Arial"/>
          <w:sz w:val="24"/>
        </w:rPr>
        <w:endnoteReference w:id="7"/>
      </w:r>
      <w:r w:rsidRPr="003D354F">
        <w:rPr>
          <w:rFonts w:eastAsia="Times New Roman" w:cs="Arial"/>
          <w:i/>
        </w:rPr>
        <w:t xml:space="preserve"> </w:t>
      </w:r>
      <w:r w:rsidRPr="003D354F">
        <w:rPr>
          <w:rFonts w:eastAsia="Times New Roman" w:cs="Arial"/>
        </w:rPr>
        <w:t>the United Nations human rights treaty bodies have confirmed that sexual orientation and gender identity are included among</w:t>
      </w:r>
      <w:r w:rsidR="00AE5A98">
        <w:rPr>
          <w:rFonts w:eastAsia="Times New Roman" w:cs="Arial"/>
        </w:rPr>
        <w:t>st</w:t>
      </w:r>
      <w:r w:rsidRPr="003D354F">
        <w:rPr>
          <w:rFonts w:eastAsia="Times New Roman" w:cs="Arial"/>
        </w:rPr>
        <w:t xml:space="preserve"> </w:t>
      </w:r>
      <w:r w:rsidR="00AE5A98">
        <w:rPr>
          <w:rFonts w:eastAsia="Times New Roman" w:cs="Arial"/>
        </w:rPr>
        <w:t xml:space="preserve">the </w:t>
      </w:r>
      <w:r w:rsidRPr="003D354F">
        <w:rPr>
          <w:rFonts w:eastAsia="Times New Roman" w:cs="Arial"/>
        </w:rPr>
        <w:t xml:space="preserve">prohibited grounds of discrimination in international </w:t>
      </w:r>
      <w:r>
        <w:rPr>
          <w:rFonts w:eastAsia="Times New Roman" w:cs="Arial"/>
        </w:rPr>
        <w:t>treaties</w:t>
      </w:r>
      <w:r w:rsidRPr="003D354F">
        <w:rPr>
          <w:rFonts w:eastAsia="Times New Roman" w:cs="Arial"/>
        </w:rPr>
        <w:t xml:space="preserve"> as defined under ‘other status’.</w:t>
      </w:r>
      <w:r w:rsidRPr="003D354F">
        <w:rPr>
          <w:rStyle w:val="EndnoteReference"/>
          <w:rFonts w:eastAsia="Times New Roman" w:cs="Arial"/>
          <w:sz w:val="24"/>
        </w:rPr>
        <w:endnoteReference w:id="8"/>
      </w:r>
      <w:r w:rsidRPr="003D354F">
        <w:rPr>
          <w:rFonts w:eastAsia="Times New Roman" w:cs="Arial"/>
        </w:rPr>
        <w:t xml:space="preserve"> </w:t>
      </w:r>
    </w:p>
    <w:p w:rsidR="00D71729" w:rsidRPr="003A5082" w:rsidRDefault="00D71729" w:rsidP="00D71729">
      <w:pPr>
        <w:spacing w:before="100" w:beforeAutospacing="1" w:after="100" w:afterAutospacing="1"/>
        <w:rPr>
          <w:rFonts w:eastAsia="Times New Roman" w:cs="Arial"/>
        </w:rPr>
      </w:pPr>
      <w:r w:rsidRPr="003A5082">
        <w:rPr>
          <w:rFonts w:eastAsia="Times New Roman" w:cs="Arial"/>
        </w:rPr>
        <w:t>While these developm</w:t>
      </w:r>
      <w:r>
        <w:rPr>
          <w:rFonts w:eastAsia="Times New Roman" w:cs="Arial"/>
        </w:rPr>
        <w:t xml:space="preserve">ents have been positive for </w:t>
      </w:r>
      <w:r w:rsidRPr="003A5082">
        <w:rPr>
          <w:rFonts w:eastAsia="Times New Roman" w:cs="Arial"/>
        </w:rPr>
        <w:t>SOGII rights</w:t>
      </w:r>
      <w:r>
        <w:rPr>
          <w:rFonts w:eastAsia="Times New Roman" w:cs="Arial"/>
        </w:rPr>
        <w:t xml:space="preserve"> as a whole</w:t>
      </w:r>
      <w:r w:rsidRPr="003A5082">
        <w:rPr>
          <w:rFonts w:eastAsia="Times New Roman" w:cs="Arial"/>
        </w:rPr>
        <w:t xml:space="preserve"> internationally, it is </w:t>
      </w:r>
      <w:r>
        <w:rPr>
          <w:rFonts w:eastAsia="Times New Roman" w:cs="Arial"/>
        </w:rPr>
        <w:t xml:space="preserve">important </w:t>
      </w:r>
      <w:r w:rsidRPr="003A5082">
        <w:rPr>
          <w:rFonts w:eastAsia="Times New Roman" w:cs="Arial"/>
        </w:rPr>
        <w:t xml:space="preserve">to acknowledge </w:t>
      </w:r>
      <w:r>
        <w:rPr>
          <w:rFonts w:eastAsia="Times New Roman" w:cs="Arial"/>
        </w:rPr>
        <w:t xml:space="preserve">that </w:t>
      </w:r>
      <w:r w:rsidRPr="003A5082">
        <w:rPr>
          <w:rFonts w:eastAsia="Times New Roman" w:cs="Arial"/>
        </w:rPr>
        <w:t>LGBTI people are a diverse group and in this context</w:t>
      </w:r>
      <w:r w:rsidR="00D732B7">
        <w:rPr>
          <w:rFonts w:eastAsia="Times New Roman" w:cs="Arial"/>
        </w:rPr>
        <w:t>,</w:t>
      </w:r>
      <w:r w:rsidRPr="003A5082">
        <w:rPr>
          <w:rFonts w:eastAsia="Times New Roman" w:cs="Arial"/>
        </w:rPr>
        <w:t xml:space="preserve"> not all SOGII rights will be relevant to all me</w:t>
      </w:r>
      <w:r w:rsidR="00945B16">
        <w:rPr>
          <w:rFonts w:eastAsia="Times New Roman" w:cs="Arial"/>
        </w:rPr>
        <w:t xml:space="preserve">mbers of the LGBTI communities. </w:t>
      </w:r>
      <w:r>
        <w:rPr>
          <w:rFonts w:eastAsia="Times New Roman" w:cs="Arial"/>
        </w:rPr>
        <w:t xml:space="preserve">The Commission holds an </w:t>
      </w:r>
      <w:r w:rsidRPr="003A5082">
        <w:rPr>
          <w:rFonts w:eastAsia="Times New Roman" w:cs="Arial"/>
        </w:rPr>
        <w:t>aware</w:t>
      </w:r>
      <w:r>
        <w:rPr>
          <w:rFonts w:eastAsia="Times New Roman" w:cs="Arial"/>
        </w:rPr>
        <w:t>ness of, and respect</w:t>
      </w:r>
      <w:r w:rsidRPr="003A5082">
        <w:rPr>
          <w:rFonts w:eastAsia="Times New Roman" w:cs="Arial"/>
        </w:rPr>
        <w:t xml:space="preserve"> </w:t>
      </w:r>
      <w:r>
        <w:rPr>
          <w:rFonts w:eastAsia="Times New Roman" w:cs="Arial"/>
        </w:rPr>
        <w:t>for</w:t>
      </w:r>
      <w:r w:rsidRPr="003A5082">
        <w:rPr>
          <w:rFonts w:eastAsia="Times New Roman" w:cs="Arial"/>
        </w:rPr>
        <w:t xml:space="preserve"> this diversity</w:t>
      </w:r>
      <w:r w:rsidR="00945B16">
        <w:rPr>
          <w:rFonts w:eastAsia="Times New Roman" w:cs="Arial"/>
        </w:rPr>
        <w:t>,</w:t>
      </w:r>
      <w:r w:rsidRPr="003A5082">
        <w:rPr>
          <w:rFonts w:eastAsia="Times New Roman" w:cs="Arial"/>
        </w:rPr>
        <w:t xml:space="preserve"> while working within the collective umbrella term where relevant. </w:t>
      </w:r>
    </w:p>
    <w:p w:rsidR="00D71729" w:rsidRPr="007F4409" w:rsidRDefault="00D71729" w:rsidP="00D71729">
      <w:pPr>
        <w:spacing w:before="360"/>
        <w:rPr>
          <w:rFonts w:cs="Arial"/>
          <w:b/>
          <w:color w:val="7030A0"/>
          <w:sz w:val="28"/>
          <w:szCs w:val="28"/>
        </w:rPr>
      </w:pPr>
      <w:r w:rsidRPr="007F4409">
        <w:rPr>
          <w:rFonts w:cs="Arial"/>
          <w:b/>
          <w:color w:val="7030A0"/>
          <w:sz w:val="28"/>
          <w:szCs w:val="28"/>
        </w:rPr>
        <w:t>The Australian Context</w:t>
      </w:r>
    </w:p>
    <w:p w:rsidR="00D71729" w:rsidRDefault="00D71729" w:rsidP="00D71729">
      <w:pPr>
        <w:spacing w:before="100" w:beforeAutospacing="1" w:after="100" w:afterAutospacing="1"/>
        <w:rPr>
          <w:rFonts w:cs="Arial"/>
        </w:rPr>
      </w:pPr>
      <w:r>
        <w:rPr>
          <w:rFonts w:cs="Arial"/>
        </w:rPr>
        <w:t>O</w:t>
      </w:r>
      <w:r w:rsidRPr="003A5082">
        <w:rPr>
          <w:rFonts w:cs="Arial"/>
        </w:rPr>
        <w:t xml:space="preserve">ver the past decade Australia has </w:t>
      </w:r>
      <w:r>
        <w:rPr>
          <w:rFonts w:cs="Arial"/>
        </w:rPr>
        <w:t>celebrated significant progress in the realisation of SOGII rights.</w:t>
      </w:r>
      <w:r w:rsidR="00C86FF6">
        <w:rPr>
          <w:rFonts w:cs="Arial"/>
        </w:rPr>
        <w:t xml:space="preserve"> </w:t>
      </w:r>
      <w:r>
        <w:rPr>
          <w:rFonts w:cs="Arial"/>
        </w:rPr>
        <w:t>Extensive reforms to same-sex relationship recognition, anti-discrimination</w:t>
      </w:r>
      <w:r w:rsidRPr="003A5082">
        <w:rPr>
          <w:rFonts w:cs="Arial"/>
        </w:rPr>
        <w:t xml:space="preserve"> </w:t>
      </w:r>
      <w:r>
        <w:rPr>
          <w:rFonts w:cs="Arial"/>
        </w:rPr>
        <w:t xml:space="preserve">law, and myriad policies affecting </w:t>
      </w:r>
      <w:r w:rsidRPr="003A5082">
        <w:rPr>
          <w:rFonts w:cs="Arial"/>
        </w:rPr>
        <w:t xml:space="preserve">LGBTI people </w:t>
      </w:r>
      <w:r>
        <w:rPr>
          <w:rFonts w:cs="Arial"/>
        </w:rPr>
        <w:t xml:space="preserve">have occurred at State, Territory and </w:t>
      </w:r>
      <w:r w:rsidRPr="003A5082">
        <w:rPr>
          <w:rFonts w:cs="Arial"/>
        </w:rPr>
        <w:t>Commonwealth level</w:t>
      </w:r>
      <w:r>
        <w:rPr>
          <w:rFonts w:cs="Arial"/>
        </w:rPr>
        <w:t>s</w:t>
      </w:r>
      <w:r w:rsidRPr="003A5082">
        <w:rPr>
          <w:rFonts w:cs="Arial"/>
        </w:rPr>
        <w:t xml:space="preserve">. </w:t>
      </w:r>
      <w:r>
        <w:rPr>
          <w:rFonts w:cs="Arial"/>
        </w:rPr>
        <w:t xml:space="preserve">Significant positive </w:t>
      </w:r>
      <w:r w:rsidRPr="003A5082">
        <w:rPr>
          <w:rFonts w:cs="Arial"/>
        </w:rPr>
        <w:t>shifts in social attitude</w:t>
      </w:r>
      <w:r>
        <w:rPr>
          <w:rFonts w:cs="Arial"/>
        </w:rPr>
        <w:t xml:space="preserve">s towards </w:t>
      </w:r>
      <w:r w:rsidRPr="003A5082">
        <w:rPr>
          <w:rFonts w:cs="Arial"/>
        </w:rPr>
        <w:t xml:space="preserve">SOGII have </w:t>
      </w:r>
      <w:r>
        <w:rPr>
          <w:rFonts w:cs="Arial"/>
        </w:rPr>
        <w:t xml:space="preserve">also </w:t>
      </w:r>
      <w:r w:rsidRPr="003A5082">
        <w:rPr>
          <w:rFonts w:cs="Arial"/>
        </w:rPr>
        <w:t>been recorded</w:t>
      </w:r>
      <w:r>
        <w:rPr>
          <w:rFonts w:cs="Arial"/>
        </w:rPr>
        <w:t xml:space="preserve"> in various public discourse including mainstream media and </w:t>
      </w:r>
      <w:r w:rsidR="00AB76D0">
        <w:rPr>
          <w:rFonts w:cs="Arial"/>
        </w:rPr>
        <w:t xml:space="preserve">a </w:t>
      </w:r>
      <w:r>
        <w:rPr>
          <w:rFonts w:cs="Arial"/>
        </w:rPr>
        <w:t>range of social research initiatives.</w:t>
      </w:r>
      <w:r w:rsidRPr="003A5082">
        <w:rPr>
          <w:rStyle w:val="EndnoteReference"/>
          <w:rFonts w:cs="Arial"/>
          <w:sz w:val="24"/>
        </w:rPr>
        <w:endnoteReference w:id="9"/>
      </w:r>
      <w:r w:rsidRPr="003A5082">
        <w:rPr>
          <w:rFonts w:cs="Arial"/>
        </w:rPr>
        <w:t xml:space="preserve"> </w:t>
      </w:r>
    </w:p>
    <w:p w:rsidR="00D71729" w:rsidRPr="003A5082" w:rsidRDefault="00D71729" w:rsidP="00D71729">
      <w:pPr>
        <w:spacing w:after="120"/>
        <w:rPr>
          <w:rFonts w:cs="Arial"/>
        </w:rPr>
      </w:pPr>
      <w:r>
        <w:rPr>
          <w:rFonts w:cs="Arial"/>
        </w:rPr>
        <w:t>S</w:t>
      </w:r>
      <w:r w:rsidRPr="003A5082">
        <w:rPr>
          <w:rFonts w:cs="Arial"/>
        </w:rPr>
        <w:t>ince the publication of the Commission’s</w:t>
      </w:r>
      <w:r>
        <w:rPr>
          <w:rFonts w:cs="Arial"/>
        </w:rPr>
        <w:t xml:space="preserve"> last report on SOGII rights in </w:t>
      </w:r>
      <w:r w:rsidRPr="00C11808">
        <w:rPr>
          <w:rFonts w:cs="Arial"/>
        </w:rPr>
        <w:t>2011 a</w:t>
      </w:r>
      <w:r>
        <w:rPr>
          <w:rFonts w:cs="Arial"/>
        </w:rPr>
        <w:t xml:space="preserve"> number of significant</w:t>
      </w:r>
      <w:r w:rsidRPr="003A5082">
        <w:rPr>
          <w:rFonts w:cs="Arial"/>
        </w:rPr>
        <w:t xml:space="preserve"> </w:t>
      </w:r>
      <w:r>
        <w:rPr>
          <w:rFonts w:cs="Arial"/>
        </w:rPr>
        <w:t xml:space="preserve">achievements </w:t>
      </w:r>
      <w:r w:rsidRPr="003A5082">
        <w:rPr>
          <w:rFonts w:cs="Arial"/>
        </w:rPr>
        <w:t xml:space="preserve">have </w:t>
      </w:r>
      <w:r>
        <w:rPr>
          <w:rFonts w:cs="Arial"/>
        </w:rPr>
        <w:t>occurred in Australian Government law and policy.</w:t>
      </w:r>
      <w:r>
        <w:rPr>
          <w:rStyle w:val="EndnoteReference"/>
          <w:rFonts w:cs="Arial"/>
          <w:i/>
        </w:rPr>
        <w:endnoteReference w:id="10"/>
      </w:r>
      <w:r>
        <w:rPr>
          <w:rFonts w:cs="Arial"/>
        </w:rPr>
        <w:t xml:space="preserve"> The Commission congratulates the Australian Government on its contribution to these achievements</w:t>
      </w:r>
      <w:r w:rsidR="00AB76D0">
        <w:rPr>
          <w:rFonts w:cs="Arial"/>
        </w:rPr>
        <w:t>,</w:t>
      </w:r>
      <w:r>
        <w:rPr>
          <w:rFonts w:cs="Arial"/>
        </w:rPr>
        <w:t xml:space="preserve"> including:</w:t>
      </w:r>
    </w:p>
    <w:p w:rsidR="00D71729" w:rsidRPr="003A5082" w:rsidRDefault="00D71729" w:rsidP="00D71729">
      <w:pPr>
        <w:pStyle w:val="ListParagraph"/>
        <w:numPr>
          <w:ilvl w:val="0"/>
          <w:numId w:val="31"/>
        </w:numPr>
        <w:spacing w:after="120"/>
        <w:ind w:left="714" w:hanging="357"/>
        <w:rPr>
          <w:rFonts w:cs="Arial"/>
        </w:rPr>
      </w:pPr>
      <w:r w:rsidRPr="003A5082">
        <w:rPr>
          <w:rFonts w:cs="Arial"/>
        </w:rPr>
        <w:t>The introduction of the</w:t>
      </w:r>
      <w:r>
        <w:rPr>
          <w:rFonts w:cs="Arial"/>
        </w:rPr>
        <w:t xml:space="preserve"> </w:t>
      </w:r>
      <w:r w:rsidRPr="00C528C1">
        <w:rPr>
          <w:rFonts w:cs="Arial"/>
          <w:bCs/>
          <w:i/>
          <w:color w:val="1F497D" w:themeColor="text2"/>
          <w:u w:val="single"/>
        </w:rPr>
        <w:t>Sex Discrimination</w:t>
      </w:r>
      <w:r w:rsidRPr="00C528C1">
        <w:rPr>
          <w:rFonts w:cs="Arial"/>
          <w:i/>
          <w:color w:val="1F497D" w:themeColor="text2"/>
          <w:u w:val="single"/>
        </w:rPr>
        <w:t xml:space="preserve"> Amendment (Sexual Orientation, Gender Identity and Intersex Status) Act </w:t>
      </w:r>
      <w:r w:rsidRPr="00C528C1">
        <w:rPr>
          <w:rFonts w:cs="Arial"/>
          <w:bCs/>
          <w:i/>
          <w:color w:val="1F497D" w:themeColor="text2"/>
          <w:u w:val="single"/>
        </w:rPr>
        <w:t>2013</w:t>
      </w:r>
      <w:r w:rsidRPr="00C528C1">
        <w:rPr>
          <w:rFonts w:cs="Arial"/>
          <w:i/>
          <w:color w:val="1F497D" w:themeColor="text2"/>
          <w:u w:val="single"/>
        </w:rPr>
        <w:t xml:space="preserve"> </w:t>
      </w:r>
      <w:r w:rsidRPr="00D322CA">
        <w:rPr>
          <w:rFonts w:cs="Arial"/>
          <w:color w:val="1F497D" w:themeColor="text2"/>
          <w:u w:val="single"/>
        </w:rPr>
        <w:t>(Cth)</w:t>
      </w:r>
      <w:r w:rsidRPr="003A5082">
        <w:rPr>
          <w:rFonts w:cs="Arial"/>
          <w:color w:val="1F497D" w:themeColor="text2"/>
          <w:u w:val="single"/>
        </w:rPr>
        <w:t xml:space="preserve"> </w:t>
      </w:r>
      <w:r w:rsidRPr="000317F3">
        <w:rPr>
          <w:rFonts w:cs="Arial"/>
        </w:rPr>
        <w:t>extending</w:t>
      </w:r>
      <w:r w:rsidRPr="003A5082">
        <w:rPr>
          <w:rFonts w:cs="Arial"/>
          <w:color w:val="1F497D" w:themeColor="text2"/>
        </w:rPr>
        <w:t xml:space="preserve"> </w:t>
      </w:r>
      <w:r w:rsidRPr="000317F3">
        <w:rPr>
          <w:rFonts w:cs="Arial"/>
        </w:rPr>
        <w:t xml:space="preserve">Federal anti-discrimination </w:t>
      </w:r>
      <w:r w:rsidR="00D322CA">
        <w:rPr>
          <w:rFonts w:cs="Arial"/>
        </w:rPr>
        <w:t>protection coverage to SOGII</w:t>
      </w:r>
      <w:r w:rsidR="00AB76D0">
        <w:rPr>
          <w:rFonts w:cs="Arial"/>
        </w:rPr>
        <w:t>.</w:t>
      </w:r>
      <w:r w:rsidRPr="003A5082">
        <w:rPr>
          <w:rStyle w:val="EndnoteReference"/>
          <w:rFonts w:cs="Arial"/>
          <w:sz w:val="24"/>
        </w:rPr>
        <w:endnoteReference w:id="11"/>
      </w:r>
    </w:p>
    <w:p w:rsidR="00D71729" w:rsidRPr="003A5082" w:rsidRDefault="00D71729" w:rsidP="00D71729">
      <w:pPr>
        <w:pStyle w:val="ListParagraph"/>
        <w:numPr>
          <w:ilvl w:val="0"/>
          <w:numId w:val="30"/>
        </w:numPr>
        <w:spacing w:after="120"/>
        <w:ind w:left="714" w:hanging="357"/>
        <w:rPr>
          <w:rFonts w:cs="Arial"/>
          <w:i/>
          <w:color w:val="1F497D" w:themeColor="text2"/>
          <w:u w:val="single"/>
        </w:rPr>
      </w:pPr>
      <w:r w:rsidRPr="003A5082">
        <w:rPr>
          <w:rFonts w:cs="Arial"/>
        </w:rPr>
        <w:t xml:space="preserve">The introduction of the </w:t>
      </w:r>
      <w:r w:rsidRPr="003A5082">
        <w:rPr>
          <w:rFonts w:cs="Arial"/>
          <w:i/>
          <w:color w:val="1F497D" w:themeColor="text2"/>
          <w:u w:val="single"/>
        </w:rPr>
        <w:t>Australian Government Guidelines on Sex and Gender Recognition</w:t>
      </w:r>
      <w:r>
        <w:rPr>
          <w:rFonts w:cs="Arial"/>
          <w:i/>
          <w:color w:val="1F497D" w:themeColor="text2"/>
          <w:u w:val="single"/>
        </w:rPr>
        <w:t xml:space="preserve"> (2013)</w:t>
      </w:r>
      <w:r w:rsidR="00AB76D0">
        <w:rPr>
          <w:rFonts w:cs="Arial"/>
          <w:i/>
          <w:color w:val="1F497D" w:themeColor="text2"/>
          <w:u w:val="single"/>
        </w:rPr>
        <w:t>.</w:t>
      </w:r>
      <w:r w:rsidRPr="00AA6137">
        <w:rPr>
          <w:rStyle w:val="EndnoteReference"/>
          <w:rFonts w:cs="Arial"/>
        </w:rPr>
        <w:endnoteReference w:id="12"/>
      </w:r>
    </w:p>
    <w:p w:rsidR="00D71729" w:rsidRPr="003A5082" w:rsidRDefault="00D71729" w:rsidP="00D71729">
      <w:pPr>
        <w:pStyle w:val="ListParagraph"/>
        <w:numPr>
          <w:ilvl w:val="0"/>
          <w:numId w:val="30"/>
        </w:numPr>
        <w:spacing w:after="120"/>
        <w:ind w:left="714" w:hanging="357"/>
        <w:rPr>
          <w:rFonts w:cs="Arial"/>
        </w:rPr>
      </w:pPr>
      <w:r w:rsidRPr="003A5082">
        <w:rPr>
          <w:rFonts w:cs="Arial"/>
        </w:rPr>
        <w:t xml:space="preserve">The </w:t>
      </w:r>
      <w:r>
        <w:rPr>
          <w:rFonts w:cs="Arial"/>
        </w:rPr>
        <w:t>e</w:t>
      </w:r>
      <w:r w:rsidRPr="003A5082">
        <w:rPr>
          <w:rFonts w:cs="Arial"/>
        </w:rPr>
        <w:t xml:space="preserve">stablishment of the </w:t>
      </w:r>
      <w:r w:rsidRPr="003A5082">
        <w:rPr>
          <w:rFonts w:cs="Arial"/>
          <w:i/>
          <w:color w:val="1F497D" w:themeColor="text2"/>
          <w:u w:val="single"/>
        </w:rPr>
        <w:t>Federal Safe Schools Coalition</w:t>
      </w:r>
      <w:r>
        <w:rPr>
          <w:rFonts w:cs="Arial"/>
          <w:i/>
          <w:color w:val="1F497D" w:themeColor="text2"/>
          <w:u w:val="single"/>
        </w:rPr>
        <w:t xml:space="preserve"> (2014)</w:t>
      </w:r>
      <w:r w:rsidR="00D322CA">
        <w:rPr>
          <w:rFonts w:cs="Arial"/>
        </w:rPr>
        <w:t>.</w:t>
      </w:r>
      <w:r w:rsidRPr="000317F3">
        <w:rPr>
          <w:rStyle w:val="EndnoteReference"/>
          <w:rFonts w:cs="Arial"/>
        </w:rPr>
        <w:endnoteReference w:id="13"/>
      </w:r>
    </w:p>
    <w:p w:rsidR="00D71729" w:rsidRPr="003A5082" w:rsidRDefault="00D71729" w:rsidP="00D71729">
      <w:pPr>
        <w:spacing w:after="120"/>
        <w:rPr>
          <w:rFonts w:cs="Arial"/>
        </w:rPr>
      </w:pPr>
      <w:r>
        <w:rPr>
          <w:rFonts w:cs="Arial"/>
        </w:rPr>
        <w:t>D</w:t>
      </w:r>
      <w:r w:rsidRPr="003A5082">
        <w:rPr>
          <w:rFonts w:cs="Arial"/>
        </w:rPr>
        <w:t xml:space="preserve">espite </w:t>
      </w:r>
      <w:r>
        <w:rPr>
          <w:rFonts w:cs="Arial"/>
        </w:rPr>
        <w:t xml:space="preserve">these gains, </w:t>
      </w:r>
      <w:r w:rsidRPr="003A5082">
        <w:rPr>
          <w:rFonts w:cs="Arial"/>
        </w:rPr>
        <w:t>people of diverse sexual orientations, sex and gender identities in Australia still experience discrimination in a number of areas of public life and infringements of their human rights</w:t>
      </w:r>
      <w:r w:rsidR="00AB76D0">
        <w:rPr>
          <w:rFonts w:cs="Arial"/>
        </w:rPr>
        <w:t>,</w:t>
      </w:r>
      <w:r w:rsidRPr="003A5082">
        <w:rPr>
          <w:rFonts w:cs="Arial"/>
        </w:rPr>
        <w:t xml:space="preserve"> including:</w:t>
      </w:r>
    </w:p>
    <w:p w:rsidR="00D71729" w:rsidRPr="003A5082" w:rsidRDefault="00AB76D0" w:rsidP="00D71729">
      <w:pPr>
        <w:pStyle w:val="ListParagraph"/>
        <w:numPr>
          <w:ilvl w:val="0"/>
          <w:numId w:val="28"/>
        </w:numPr>
        <w:spacing w:after="120"/>
        <w:ind w:left="709" w:hanging="357"/>
        <w:contextualSpacing w:val="0"/>
        <w:rPr>
          <w:rFonts w:cs="Arial"/>
          <w:b/>
        </w:rPr>
      </w:pPr>
      <w:r>
        <w:rPr>
          <w:rFonts w:cs="Arial"/>
        </w:rPr>
        <w:t>d</w:t>
      </w:r>
      <w:r w:rsidR="00D71729" w:rsidRPr="003A5082">
        <w:rPr>
          <w:rFonts w:cs="Arial"/>
        </w:rPr>
        <w:t>iscriminatory recognition of relationships before the law</w:t>
      </w:r>
    </w:p>
    <w:p w:rsidR="00D71729" w:rsidRPr="003A5082" w:rsidRDefault="00AB76D0" w:rsidP="00D71729">
      <w:pPr>
        <w:pStyle w:val="ListParagraph"/>
        <w:numPr>
          <w:ilvl w:val="0"/>
          <w:numId w:val="28"/>
        </w:numPr>
        <w:spacing w:after="120"/>
        <w:ind w:left="709" w:hanging="357"/>
        <w:contextualSpacing w:val="0"/>
        <w:rPr>
          <w:rFonts w:cs="Arial"/>
          <w:b/>
        </w:rPr>
      </w:pPr>
      <w:r>
        <w:rPr>
          <w:rFonts w:cs="Arial"/>
        </w:rPr>
        <w:t>d</w:t>
      </w:r>
      <w:r w:rsidR="00D71729" w:rsidRPr="003A5082">
        <w:rPr>
          <w:rFonts w:cs="Arial"/>
        </w:rPr>
        <w:t>iscrim</w:t>
      </w:r>
      <w:r w:rsidR="00D71729">
        <w:rPr>
          <w:rFonts w:cs="Arial"/>
        </w:rPr>
        <w:t xml:space="preserve">inatory access to surrogacy or </w:t>
      </w:r>
      <w:r w:rsidR="00D71729" w:rsidRPr="003A5082">
        <w:rPr>
          <w:rFonts w:cs="Arial"/>
        </w:rPr>
        <w:t>adoption arrangements</w:t>
      </w:r>
    </w:p>
    <w:p w:rsidR="00D71729" w:rsidRPr="000317F3" w:rsidRDefault="00AB76D0" w:rsidP="00D71729">
      <w:pPr>
        <w:pStyle w:val="ListParagraph"/>
        <w:numPr>
          <w:ilvl w:val="0"/>
          <w:numId w:val="28"/>
        </w:numPr>
        <w:spacing w:after="120"/>
        <w:ind w:left="709" w:hanging="357"/>
        <w:contextualSpacing w:val="0"/>
        <w:rPr>
          <w:rFonts w:cs="Arial"/>
          <w:b/>
        </w:rPr>
      </w:pPr>
      <w:r>
        <w:rPr>
          <w:rFonts w:cs="Arial"/>
        </w:rPr>
        <w:t>l</w:t>
      </w:r>
      <w:r w:rsidR="00D71729" w:rsidRPr="003A5082">
        <w:rPr>
          <w:rFonts w:cs="Arial"/>
        </w:rPr>
        <w:t xml:space="preserve">ack of consistency in legal recognition of </w:t>
      </w:r>
      <w:r w:rsidR="00D71729">
        <w:rPr>
          <w:rFonts w:cs="Arial"/>
        </w:rPr>
        <w:t xml:space="preserve">sex and/or </w:t>
      </w:r>
      <w:r w:rsidR="00D71729" w:rsidRPr="003A5082">
        <w:rPr>
          <w:rFonts w:cs="Arial"/>
        </w:rPr>
        <w:t>gender</w:t>
      </w:r>
    </w:p>
    <w:p w:rsidR="00D71729" w:rsidRPr="003A5082" w:rsidRDefault="00AB76D0" w:rsidP="00D71729">
      <w:pPr>
        <w:pStyle w:val="ListParagraph"/>
        <w:numPr>
          <w:ilvl w:val="0"/>
          <w:numId w:val="28"/>
        </w:numPr>
        <w:spacing w:after="120"/>
        <w:ind w:left="709" w:hanging="357"/>
        <w:contextualSpacing w:val="0"/>
        <w:rPr>
          <w:rFonts w:cs="Arial"/>
          <w:b/>
        </w:rPr>
      </w:pPr>
      <w:r>
        <w:rPr>
          <w:rFonts w:cs="Arial"/>
        </w:rPr>
        <w:t>i</w:t>
      </w:r>
      <w:r w:rsidR="00D71729">
        <w:rPr>
          <w:rFonts w:cs="Arial"/>
        </w:rPr>
        <w:t>nconsistent</w:t>
      </w:r>
      <w:r w:rsidR="00D71729" w:rsidRPr="003A5082">
        <w:rPr>
          <w:rFonts w:cs="Arial"/>
        </w:rPr>
        <w:t xml:space="preserve"> protection in some state </w:t>
      </w:r>
      <w:r w:rsidR="00D71729">
        <w:rPr>
          <w:rFonts w:cs="Arial"/>
        </w:rPr>
        <w:t xml:space="preserve">and territory </w:t>
      </w:r>
      <w:r w:rsidR="00D71729" w:rsidRPr="003A5082">
        <w:rPr>
          <w:rFonts w:cs="Arial"/>
        </w:rPr>
        <w:t>anti-discrimination laws on the basis of sexual orientation, sex and/or gender identity status</w:t>
      </w:r>
    </w:p>
    <w:p w:rsidR="00D71729" w:rsidRPr="003A5082" w:rsidRDefault="00AB76D0" w:rsidP="00D71729">
      <w:pPr>
        <w:pStyle w:val="ListParagraph"/>
        <w:numPr>
          <w:ilvl w:val="0"/>
          <w:numId w:val="28"/>
        </w:numPr>
        <w:spacing w:after="120"/>
        <w:ind w:left="709" w:hanging="357"/>
        <w:contextualSpacing w:val="0"/>
        <w:rPr>
          <w:rFonts w:cs="Arial"/>
          <w:b/>
        </w:rPr>
      </w:pPr>
      <w:r>
        <w:rPr>
          <w:rFonts w:cs="Arial"/>
        </w:rPr>
        <w:t>l</w:t>
      </w:r>
      <w:r w:rsidR="00D71729">
        <w:rPr>
          <w:rFonts w:cs="Arial"/>
        </w:rPr>
        <w:t>ower outcomes across a range of health and so</w:t>
      </w:r>
      <w:r>
        <w:rPr>
          <w:rFonts w:cs="Arial"/>
        </w:rPr>
        <w:t>cial determinant indicators</w:t>
      </w:r>
    </w:p>
    <w:p w:rsidR="00D71729" w:rsidRPr="003A5082" w:rsidRDefault="00AB76D0" w:rsidP="00D71729">
      <w:pPr>
        <w:pStyle w:val="ListParagraph"/>
        <w:numPr>
          <w:ilvl w:val="0"/>
          <w:numId w:val="28"/>
        </w:numPr>
        <w:spacing w:after="120"/>
        <w:ind w:left="709" w:hanging="357"/>
        <w:contextualSpacing w:val="0"/>
        <w:rPr>
          <w:rFonts w:cs="Arial"/>
          <w:b/>
        </w:rPr>
      </w:pPr>
      <w:r>
        <w:rPr>
          <w:rFonts w:cs="Arial"/>
        </w:rPr>
        <w:t>d</w:t>
      </w:r>
      <w:r w:rsidR="00D71729">
        <w:rPr>
          <w:rFonts w:cs="Arial"/>
        </w:rPr>
        <w:t>ocumented h</w:t>
      </w:r>
      <w:r w:rsidR="00D71729" w:rsidRPr="003A5082">
        <w:rPr>
          <w:rFonts w:cs="Arial"/>
        </w:rPr>
        <w:t>igher rates of vi</w:t>
      </w:r>
      <w:r w:rsidR="00A8531B">
        <w:rPr>
          <w:rFonts w:cs="Arial"/>
        </w:rPr>
        <w:t>olence, harassment and bullying</w:t>
      </w:r>
      <w:r w:rsidR="00D71729" w:rsidRPr="003A5082">
        <w:rPr>
          <w:rStyle w:val="EndnoteReference"/>
          <w:rFonts w:cs="Arial"/>
          <w:sz w:val="24"/>
        </w:rPr>
        <w:endnoteReference w:id="14"/>
      </w:r>
    </w:p>
    <w:p w:rsidR="0098376F" w:rsidRPr="00D322CA" w:rsidRDefault="0098376F" w:rsidP="00D71729">
      <w:pPr>
        <w:spacing w:before="360"/>
        <w:rPr>
          <w:rFonts w:eastAsia="Times New Roman" w:cs="Arial"/>
          <w:color w:val="000000"/>
        </w:rPr>
      </w:pPr>
      <w:r w:rsidRPr="0098376F">
        <w:rPr>
          <w:rFonts w:eastAsia="Times New Roman" w:cs="Arial"/>
          <w:color w:val="000000"/>
        </w:rPr>
        <w:lastRenderedPageBreak/>
        <w:t>The full realisation of SOGII rights in Australia will require a multi faceted strategy of reform to law and policy, as we</w:t>
      </w:r>
      <w:r w:rsidR="00D322CA">
        <w:rPr>
          <w:rFonts w:eastAsia="Times New Roman" w:cs="Arial"/>
          <w:color w:val="000000"/>
        </w:rPr>
        <w:t xml:space="preserve">ll as further cultural change. </w:t>
      </w:r>
    </w:p>
    <w:p w:rsidR="00D71729" w:rsidRPr="007F4409" w:rsidRDefault="00D71729" w:rsidP="00D71729">
      <w:pPr>
        <w:spacing w:before="360"/>
        <w:rPr>
          <w:rFonts w:cs="Arial"/>
          <w:b/>
          <w:color w:val="7030A0"/>
          <w:sz w:val="28"/>
          <w:szCs w:val="28"/>
        </w:rPr>
      </w:pPr>
      <w:r w:rsidRPr="007F4409">
        <w:rPr>
          <w:rFonts w:cs="Arial"/>
          <w:b/>
          <w:color w:val="7030A0"/>
          <w:sz w:val="28"/>
          <w:szCs w:val="28"/>
        </w:rPr>
        <w:t>SOGII Rights at the Australian Human Rights Commission</w:t>
      </w:r>
    </w:p>
    <w:p w:rsidR="00D71729" w:rsidRPr="003A5082" w:rsidRDefault="00D71729" w:rsidP="00D71729">
      <w:pPr>
        <w:pStyle w:val="NormalWeb"/>
        <w:shd w:val="clear" w:color="auto" w:fill="FFFFFF"/>
        <w:spacing w:before="100" w:beforeAutospacing="1" w:after="100" w:afterAutospacing="1"/>
        <w:rPr>
          <w:rFonts w:ascii="Arial" w:hAnsi="Arial" w:cs="Arial"/>
          <w:lang w:val="en"/>
        </w:rPr>
      </w:pPr>
      <w:r w:rsidRPr="003A5082">
        <w:rPr>
          <w:rFonts w:ascii="Arial" w:hAnsi="Arial" w:cs="Arial"/>
        </w:rPr>
        <w:t xml:space="preserve">The Australian Human Rights Commission </w:t>
      </w:r>
      <w:r>
        <w:rPr>
          <w:rFonts w:ascii="Arial" w:hAnsi="Arial" w:cs="Arial"/>
        </w:rPr>
        <w:t xml:space="preserve">has been working on SOGII </w:t>
      </w:r>
      <w:r w:rsidRPr="003A5082">
        <w:rPr>
          <w:rFonts w:ascii="Arial" w:hAnsi="Arial" w:cs="Arial"/>
        </w:rPr>
        <w:t>rights</w:t>
      </w:r>
      <w:r>
        <w:rPr>
          <w:rFonts w:ascii="Arial" w:hAnsi="Arial" w:cs="Arial"/>
        </w:rPr>
        <w:t xml:space="preserve"> for over a decade</w:t>
      </w:r>
      <w:r w:rsidRPr="003A5082">
        <w:rPr>
          <w:rFonts w:ascii="Arial" w:hAnsi="Arial" w:cs="Arial"/>
        </w:rPr>
        <w:t>.</w:t>
      </w:r>
      <w:r w:rsidRPr="003A5082">
        <w:rPr>
          <w:rFonts w:ascii="Arial" w:hAnsi="Arial" w:cs="Arial"/>
          <w:lang w:val="en"/>
        </w:rPr>
        <w:t xml:space="preserve"> Most recently, in 2011 the Commission undertook a national public consultation to canvas</w:t>
      </w:r>
      <w:r w:rsidR="001D09D0">
        <w:rPr>
          <w:rFonts w:ascii="Arial" w:hAnsi="Arial" w:cs="Arial"/>
          <w:lang w:val="en"/>
        </w:rPr>
        <w:t>s</w:t>
      </w:r>
      <w:r w:rsidRPr="003A5082">
        <w:rPr>
          <w:rFonts w:ascii="Arial" w:hAnsi="Arial" w:cs="Arial"/>
          <w:lang w:val="en"/>
        </w:rPr>
        <w:t xml:space="preserve"> the experiences and views of people who may have been discriminated against on the basis of their sexual orientation, gender identity or because they are intersex</w:t>
      </w:r>
      <w:bookmarkStart w:id="3" w:name="fnB7"/>
      <w:r w:rsidRPr="003A5082">
        <w:rPr>
          <w:rFonts w:ascii="Arial" w:hAnsi="Arial" w:cs="Arial"/>
          <w:lang w:val="en"/>
        </w:rPr>
        <w:t>.</w:t>
      </w:r>
      <w:r w:rsidRPr="009104EE">
        <w:rPr>
          <w:rStyle w:val="EndnoteReference"/>
          <w:rFonts w:cs="Arial"/>
          <w:szCs w:val="20"/>
          <w:lang w:val="en"/>
        </w:rPr>
        <w:endnoteReference w:id="15"/>
      </w:r>
      <w:bookmarkEnd w:id="3"/>
    </w:p>
    <w:p w:rsidR="00D71729" w:rsidRPr="003A5082" w:rsidRDefault="00D71729" w:rsidP="00D71729">
      <w:pPr>
        <w:pStyle w:val="NormalWeb"/>
        <w:shd w:val="clear" w:color="auto" w:fill="FFFFFF"/>
        <w:spacing w:before="100" w:beforeAutospacing="1" w:after="100" w:afterAutospacing="1"/>
        <w:rPr>
          <w:rFonts w:ascii="Arial" w:hAnsi="Arial" w:cs="Arial"/>
          <w:lang w:val="en"/>
        </w:rPr>
      </w:pPr>
      <w:r w:rsidRPr="003A5082">
        <w:rPr>
          <w:rFonts w:ascii="Arial" w:hAnsi="Arial" w:cs="Arial"/>
          <w:lang w:val="en"/>
        </w:rPr>
        <w:t xml:space="preserve">The results of this consultation, as with the </w:t>
      </w:r>
      <w:r w:rsidRPr="00592E2C">
        <w:rPr>
          <w:rFonts w:ascii="Arial" w:hAnsi="Arial" w:cs="Arial"/>
          <w:i/>
          <w:color w:val="1F497D" w:themeColor="text2"/>
          <w:u w:val="single"/>
          <w:lang w:val="en"/>
        </w:rPr>
        <w:t xml:space="preserve">Same Sex Same Entitlements </w:t>
      </w:r>
      <w:r>
        <w:rPr>
          <w:rFonts w:ascii="Arial" w:hAnsi="Arial" w:cs="Arial"/>
          <w:i/>
          <w:color w:val="1F497D" w:themeColor="text2"/>
          <w:u w:val="single"/>
          <w:lang w:val="en"/>
        </w:rPr>
        <w:t xml:space="preserve">Inquiry </w:t>
      </w:r>
      <w:r w:rsidRPr="00592E2C">
        <w:rPr>
          <w:rFonts w:ascii="Arial" w:hAnsi="Arial" w:cs="Arial"/>
          <w:i/>
          <w:color w:val="1F497D" w:themeColor="text2"/>
          <w:u w:val="single"/>
          <w:lang w:val="en"/>
        </w:rPr>
        <w:t xml:space="preserve">Report </w:t>
      </w:r>
      <w:r w:rsidR="009104EE">
        <w:rPr>
          <w:rFonts w:ascii="Arial" w:hAnsi="Arial" w:cs="Arial"/>
          <w:lang w:val="en"/>
        </w:rPr>
        <w:t>in 2007</w:t>
      </w:r>
      <w:r w:rsidRPr="009104EE">
        <w:rPr>
          <w:rStyle w:val="EndnoteReference"/>
          <w:rFonts w:cs="Arial"/>
          <w:szCs w:val="20"/>
          <w:lang w:val="en"/>
        </w:rPr>
        <w:endnoteReference w:id="16"/>
      </w:r>
      <w:r w:rsidRPr="003A5082">
        <w:rPr>
          <w:rFonts w:ascii="Arial" w:hAnsi="Arial" w:cs="Arial"/>
          <w:lang w:val="en"/>
        </w:rPr>
        <w:t xml:space="preserve"> and the </w:t>
      </w:r>
      <w:r w:rsidRPr="00D87A1F">
        <w:rPr>
          <w:rFonts w:ascii="Arial" w:hAnsi="Arial" w:cs="Arial"/>
          <w:i/>
          <w:color w:val="1F497D" w:themeColor="text2"/>
          <w:u w:val="single"/>
          <w:lang w:val="en"/>
        </w:rPr>
        <w:t>Sex Files Report</w:t>
      </w:r>
      <w:r w:rsidRPr="00D87A1F">
        <w:rPr>
          <w:rFonts w:ascii="Arial" w:hAnsi="Arial" w:cs="Arial"/>
          <w:color w:val="1F497D" w:themeColor="text2"/>
          <w:lang w:val="en"/>
        </w:rPr>
        <w:t xml:space="preserve"> </w:t>
      </w:r>
      <w:r w:rsidR="009104EE">
        <w:rPr>
          <w:rFonts w:ascii="Arial" w:hAnsi="Arial" w:cs="Arial"/>
          <w:lang w:val="en"/>
        </w:rPr>
        <w:t>in 2009</w:t>
      </w:r>
      <w:r w:rsidRPr="003A5082">
        <w:rPr>
          <w:rStyle w:val="EndnoteReference"/>
          <w:rFonts w:cs="Arial"/>
          <w:lang w:val="en"/>
        </w:rPr>
        <w:endnoteReference w:id="17"/>
      </w:r>
      <w:r w:rsidRPr="003A5082">
        <w:rPr>
          <w:rFonts w:ascii="Arial" w:hAnsi="Arial" w:cs="Arial"/>
          <w:lang w:val="en"/>
        </w:rPr>
        <w:t xml:space="preserve"> contributed to significant law reform in Australia spanning from relationship recognition to anti-discrimination protection.</w:t>
      </w:r>
      <w:r w:rsidRPr="009104EE">
        <w:rPr>
          <w:rStyle w:val="EndnoteReference"/>
          <w:rFonts w:cs="Arial"/>
          <w:szCs w:val="20"/>
          <w:lang w:val="en"/>
        </w:rPr>
        <w:endnoteReference w:id="18"/>
      </w:r>
    </w:p>
    <w:p w:rsidR="00D71729" w:rsidRDefault="00D71729" w:rsidP="00D71729">
      <w:pPr>
        <w:spacing w:before="100" w:beforeAutospacing="1" w:after="100" w:afterAutospacing="1"/>
        <w:rPr>
          <w:rFonts w:cs="Arial"/>
        </w:rPr>
      </w:pPr>
      <w:r w:rsidRPr="003A5082">
        <w:rPr>
          <w:rFonts w:cs="Arial"/>
        </w:rPr>
        <w:t xml:space="preserve">A key recommendation articulated in the 2011 </w:t>
      </w:r>
      <w:r w:rsidRPr="00D87A1F">
        <w:rPr>
          <w:rFonts w:cs="Arial"/>
          <w:i/>
          <w:color w:val="1F497D" w:themeColor="text2"/>
          <w:u w:val="single"/>
        </w:rPr>
        <w:t>Addressing Sexual Orientation and Sex and/or Gender Identity Discrimination Consultation Report</w:t>
      </w:r>
      <w:r w:rsidRPr="00D87A1F">
        <w:rPr>
          <w:rFonts w:cs="Arial"/>
          <w:color w:val="1F497D" w:themeColor="text2"/>
        </w:rPr>
        <w:t xml:space="preserve"> </w:t>
      </w:r>
      <w:r w:rsidRPr="003A5082">
        <w:rPr>
          <w:rFonts w:cs="Arial"/>
        </w:rPr>
        <w:t xml:space="preserve">was the </w:t>
      </w:r>
      <w:r>
        <w:rPr>
          <w:rFonts w:cs="Arial"/>
        </w:rPr>
        <w:t xml:space="preserve">appointment </w:t>
      </w:r>
      <w:r w:rsidRPr="003A5082">
        <w:rPr>
          <w:rFonts w:cs="Arial"/>
        </w:rPr>
        <w:t>of an LGBTI representative at the Australian Human Rights Commission.</w:t>
      </w:r>
      <w:r w:rsidRPr="003A5082">
        <w:rPr>
          <w:rStyle w:val="EndnoteReference"/>
          <w:rFonts w:cs="Arial"/>
          <w:sz w:val="24"/>
        </w:rPr>
        <w:endnoteReference w:id="19"/>
      </w:r>
      <w:r w:rsidRPr="003A5082">
        <w:rPr>
          <w:rFonts w:cs="Arial"/>
        </w:rPr>
        <w:t xml:space="preserve"> While no specific Commis</w:t>
      </w:r>
      <w:r>
        <w:rPr>
          <w:rFonts w:cs="Arial"/>
        </w:rPr>
        <w:t>sioner mandate for SOGII r</w:t>
      </w:r>
      <w:r w:rsidRPr="003A5082">
        <w:rPr>
          <w:rFonts w:cs="Arial"/>
        </w:rPr>
        <w:t>ights is currently articulated in Australian law, the Commission has maintained a formal SOGII spokesperson</w:t>
      </w:r>
      <w:r>
        <w:rPr>
          <w:rFonts w:cs="Arial"/>
        </w:rPr>
        <w:t xml:space="preserve"> since 2009</w:t>
      </w:r>
      <w:r w:rsidRPr="003A5082">
        <w:rPr>
          <w:rFonts w:cs="Arial"/>
        </w:rPr>
        <w:t>.</w:t>
      </w:r>
    </w:p>
    <w:p w:rsidR="00D71729" w:rsidRDefault="00D71729" w:rsidP="00D71729">
      <w:pPr>
        <w:spacing w:before="100" w:beforeAutospacing="1" w:after="100" w:afterAutospacing="1"/>
        <w:rPr>
          <w:rFonts w:cs="Arial"/>
        </w:rPr>
      </w:pPr>
      <w:r>
        <w:rPr>
          <w:rFonts w:cs="Arial"/>
        </w:rPr>
        <w:t>Since commencing his term in February 2014, the Human Rights Commissioner has performed the role of Commission spokesperson for SOGII issues in addition to his Human Rights Commissioner role. The appointment of a Commissioner with lived experience to this important portfolio goes some way to strengthening the Commission’s commitment to SOGII rights.</w:t>
      </w:r>
    </w:p>
    <w:p w:rsidR="00D71729" w:rsidRPr="007F4409" w:rsidRDefault="00D71729" w:rsidP="00D71729">
      <w:pPr>
        <w:spacing w:before="360"/>
        <w:rPr>
          <w:rFonts w:eastAsia="Times New Roman" w:cs="Arial"/>
          <w:b/>
          <w:bCs/>
          <w:color w:val="7030A0"/>
          <w:kern w:val="32"/>
          <w:sz w:val="28"/>
          <w:szCs w:val="28"/>
        </w:rPr>
      </w:pPr>
      <w:r w:rsidRPr="007F4409">
        <w:rPr>
          <w:rFonts w:cs="Arial"/>
          <w:b/>
          <w:color w:val="7030A0"/>
          <w:sz w:val="28"/>
          <w:szCs w:val="28"/>
        </w:rPr>
        <w:t>How can you participate in the consultation?</w:t>
      </w:r>
    </w:p>
    <w:p w:rsidR="00D71729" w:rsidRDefault="00D71729" w:rsidP="00D71729">
      <w:pPr>
        <w:pStyle w:val="MainTitle"/>
        <w:spacing w:before="100" w:beforeAutospacing="1" w:after="100" w:afterAutospacing="1" w:line="240" w:lineRule="auto"/>
        <w:jc w:val="left"/>
        <w:rPr>
          <w:rFonts w:cs="Arial"/>
          <w:color w:val="auto"/>
          <w:sz w:val="24"/>
          <w:szCs w:val="24"/>
        </w:rPr>
      </w:pPr>
      <w:r>
        <w:rPr>
          <w:rFonts w:cs="Arial"/>
          <w:color w:val="auto"/>
          <w:sz w:val="24"/>
          <w:szCs w:val="24"/>
        </w:rPr>
        <w:t>Throughout December 2014 the Commissioner will be conducting a range of targeted stakeholder engagement meetings with</w:t>
      </w:r>
      <w:r w:rsidRPr="003A5082">
        <w:rPr>
          <w:rFonts w:cs="Arial"/>
          <w:color w:val="auto"/>
          <w:sz w:val="24"/>
          <w:szCs w:val="24"/>
        </w:rPr>
        <w:t xml:space="preserve"> interested LGBTI groups, organisations and individuals in key locations across the </w:t>
      </w:r>
      <w:r>
        <w:rPr>
          <w:rFonts w:cs="Arial"/>
          <w:color w:val="auto"/>
          <w:sz w:val="24"/>
          <w:szCs w:val="24"/>
        </w:rPr>
        <w:t>country to open discussions on the area</w:t>
      </w:r>
      <w:r w:rsidRPr="003A5082">
        <w:rPr>
          <w:rFonts w:cs="Arial"/>
          <w:color w:val="auto"/>
          <w:sz w:val="24"/>
          <w:szCs w:val="24"/>
        </w:rPr>
        <w:t>s</w:t>
      </w:r>
      <w:r>
        <w:rPr>
          <w:rFonts w:cs="Arial"/>
          <w:color w:val="auto"/>
          <w:sz w:val="24"/>
          <w:szCs w:val="24"/>
        </w:rPr>
        <w:t xml:space="preserve"> of focus</w:t>
      </w:r>
      <w:r w:rsidRPr="003A5082">
        <w:rPr>
          <w:rFonts w:cs="Arial"/>
          <w:color w:val="auto"/>
          <w:sz w:val="24"/>
          <w:szCs w:val="24"/>
        </w:rPr>
        <w:t xml:space="preserve"> raised in this paper.</w:t>
      </w:r>
    </w:p>
    <w:p w:rsidR="00D71729" w:rsidRDefault="00D71729" w:rsidP="00D71729">
      <w:pPr>
        <w:pStyle w:val="MainTitle"/>
        <w:spacing w:before="100" w:beforeAutospacing="1" w:after="100" w:afterAutospacing="1" w:line="240" w:lineRule="auto"/>
        <w:jc w:val="left"/>
        <w:rPr>
          <w:rFonts w:cs="Arial"/>
          <w:color w:val="auto"/>
          <w:sz w:val="24"/>
          <w:szCs w:val="24"/>
        </w:rPr>
      </w:pPr>
    </w:p>
    <w:p w:rsidR="00D71729" w:rsidRDefault="00D71729" w:rsidP="00D71729">
      <w:pPr>
        <w:pStyle w:val="MainTitle"/>
        <w:spacing w:before="100" w:beforeAutospacing="1" w:after="100" w:afterAutospacing="1" w:line="240" w:lineRule="auto"/>
        <w:jc w:val="left"/>
        <w:rPr>
          <w:rFonts w:cs="Arial"/>
          <w:color w:val="auto"/>
          <w:sz w:val="24"/>
          <w:szCs w:val="24"/>
        </w:rPr>
      </w:pPr>
      <w:r>
        <w:rPr>
          <w:rFonts w:cs="Arial"/>
          <w:color w:val="auto"/>
          <w:sz w:val="24"/>
          <w:szCs w:val="24"/>
        </w:rPr>
        <w:t>Building on this foundational engagement, interested LGBTI</w:t>
      </w:r>
      <w:r w:rsidRPr="00AA650C">
        <w:rPr>
          <w:rFonts w:cs="Arial"/>
          <w:color w:val="auto"/>
          <w:sz w:val="24"/>
          <w:szCs w:val="24"/>
        </w:rPr>
        <w:t xml:space="preserve"> individual</w:t>
      </w:r>
      <w:r>
        <w:rPr>
          <w:rFonts w:cs="Arial"/>
          <w:color w:val="auto"/>
          <w:sz w:val="24"/>
          <w:szCs w:val="24"/>
        </w:rPr>
        <w:t xml:space="preserve">s, groups and organisations are now </w:t>
      </w:r>
      <w:r w:rsidRPr="00AA650C">
        <w:rPr>
          <w:rFonts w:cs="Arial"/>
          <w:color w:val="auto"/>
          <w:sz w:val="24"/>
          <w:szCs w:val="24"/>
        </w:rPr>
        <w:t xml:space="preserve">invited to participate in an online </w:t>
      </w:r>
      <w:r>
        <w:rPr>
          <w:rFonts w:cs="Arial"/>
          <w:color w:val="auto"/>
          <w:sz w:val="24"/>
          <w:szCs w:val="24"/>
        </w:rPr>
        <w:t>consultation process.</w:t>
      </w:r>
    </w:p>
    <w:p w:rsidR="00D71729" w:rsidRPr="00706C0C" w:rsidRDefault="00D71729" w:rsidP="00D71729">
      <w:pPr>
        <w:pStyle w:val="MainTitle"/>
        <w:spacing w:before="100" w:beforeAutospacing="1" w:after="100" w:afterAutospacing="1" w:line="240" w:lineRule="auto"/>
        <w:jc w:val="left"/>
        <w:rPr>
          <w:rStyle w:val="Hyperlink"/>
          <w:rFonts w:cs="Arial"/>
          <w:i/>
          <w:color w:val="auto"/>
          <w:sz w:val="24"/>
          <w:szCs w:val="24"/>
          <w:u w:val="none"/>
        </w:rPr>
      </w:pPr>
      <w:r>
        <w:rPr>
          <w:rFonts w:cs="Arial"/>
          <w:color w:val="auto"/>
          <w:sz w:val="24"/>
          <w:szCs w:val="24"/>
        </w:rPr>
        <w:t xml:space="preserve">The online </w:t>
      </w:r>
      <w:r w:rsidRPr="00AA650C">
        <w:rPr>
          <w:rFonts w:cs="Arial"/>
          <w:color w:val="auto"/>
          <w:sz w:val="24"/>
          <w:szCs w:val="24"/>
        </w:rPr>
        <w:t xml:space="preserve">survey </w:t>
      </w:r>
      <w:r>
        <w:rPr>
          <w:rFonts w:cs="Arial"/>
          <w:color w:val="auto"/>
          <w:sz w:val="24"/>
          <w:szCs w:val="24"/>
        </w:rPr>
        <w:t xml:space="preserve">is available </w:t>
      </w:r>
      <w:r w:rsidRPr="00AA650C">
        <w:rPr>
          <w:rFonts w:cs="Arial"/>
          <w:color w:val="auto"/>
          <w:sz w:val="24"/>
          <w:szCs w:val="24"/>
        </w:rPr>
        <w:t>at</w:t>
      </w:r>
      <w:r>
        <w:rPr>
          <w:rFonts w:cs="Arial"/>
          <w:color w:val="auto"/>
          <w:sz w:val="24"/>
          <w:szCs w:val="24"/>
        </w:rPr>
        <w:t>:</w:t>
      </w:r>
      <w:r w:rsidRPr="00AA650C">
        <w:rPr>
          <w:rFonts w:cs="Arial"/>
          <w:color w:val="auto"/>
          <w:sz w:val="24"/>
          <w:szCs w:val="24"/>
        </w:rPr>
        <w:t xml:space="preserve"> </w:t>
      </w:r>
      <w:hyperlink r:id="rId20" w:history="1">
        <w:r w:rsidR="00E00C15" w:rsidRPr="0096486E">
          <w:rPr>
            <w:rStyle w:val="Hyperlink"/>
            <w:rFonts w:cs="Arial"/>
            <w:sz w:val="24"/>
            <w:szCs w:val="24"/>
          </w:rPr>
          <w:t>www.humanrights.gov.au/sogiirights</w:t>
        </w:r>
      </w:hyperlink>
      <w:r w:rsidR="00E00C15">
        <w:rPr>
          <w:rFonts w:cs="Arial"/>
          <w:color w:val="auto"/>
          <w:sz w:val="24"/>
          <w:szCs w:val="24"/>
        </w:rPr>
        <w:t>.</w:t>
      </w:r>
      <w:r w:rsidRPr="002B43D6">
        <w:rPr>
          <w:rFonts w:cs="Arial"/>
          <w:color w:val="auto"/>
          <w:sz w:val="24"/>
          <w:szCs w:val="24"/>
        </w:rPr>
        <w:t xml:space="preserve"> Written </w:t>
      </w:r>
      <w:r>
        <w:rPr>
          <w:rFonts w:cs="Arial"/>
          <w:color w:val="auto"/>
          <w:sz w:val="24"/>
          <w:szCs w:val="24"/>
        </w:rPr>
        <w:t>contributions</w:t>
      </w:r>
      <w:r w:rsidRPr="002B43D6">
        <w:rPr>
          <w:rFonts w:cs="Arial"/>
          <w:color w:val="auto"/>
          <w:sz w:val="24"/>
          <w:szCs w:val="24"/>
        </w:rPr>
        <w:t xml:space="preserve"> can</w:t>
      </w:r>
      <w:r>
        <w:rPr>
          <w:rFonts w:cs="Arial"/>
          <w:color w:val="auto"/>
          <w:sz w:val="24"/>
          <w:szCs w:val="24"/>
        </w:rPr>
        <w:t xml:space="preserve"> be emailed </w:t>
      </w:r>
      <w:r w:rsidRPr="00AA650C">
        <w:rPr>
          <w:rStyle w:val="Hyperlink"/>
          <w:rFonts w:cs="Arial"/>
          <w:color w:val="auto"/>
          <w:sz w:val="24"/>
          <w:szCs w:val="24"/>
          <w:u w:val="none"/>
        </w:rPr>
        <w:t xml:space="preserve">to </w:t>
      </w:r>
      <w:r w:rsidRPr="002B43D6">
        <w:rPr>
          <w:rStyle w:val="Hyperlink"/>
          <w:rFonts w:cs="Arial"/>
          <w:color w:val="auto"/>
          <w:sz w:val="24"/>
          <w:szCs w:val="24"/>
          <w:u w:val="none"/>
        </w:rPr>
        <w:t>sogii</w:t>
      </w:r>
      <w:hyperlink r:id="rId21" w:history="1">
        <w:r w:rsidRPr="002B43D6">
          <w:rPr>
            <w:rStyle w:val="Hyperlink"/>
            <w:rFonts w:cs="Arial"/>
            <w:color w:val="auto"/>
            <w:sz w:val="24"/>
            <w:szCs w:val="24"/>
            <w:u w:val="none"/>
          </w:rPr>
          <w:t>@humanrights.gov.au</w:t>
        </w:r>
      </w:hyperlink>
      <w:r>
        <w:rPr>
          <w:rStyle w:val="Hyperlink"/>
          <w:rFonts w:cs="Arial"/>
          <w:i/>
          <w:color w:val="auto"/>
          <w:sz w:val="24"/>
          <w:szCs w:val="24"/>
          <w:u w:val="none"/>
        </w:rPr>
        <w:t xml:space="preserve">. </w:t>
      </w:r>
    </w:p>
    <w:p w:rsidR="00D71729" w:rsidRPr="009104EE" w:rsidRDefault="00D71729" w:rsidP="009104EE">
      <w:pPr>
        <w:spacing w:before="100" w:beforeAutospacing="1" w:after="100" w:afterAutospacing="1"/>
        <w:rPr>
          <w:rFonts w:cs="Arial"/>
        </w:rPr>
      </w:pPr>
      <w:r w:rsidRPr="00AA650C">
        <w:rPr>
          <w:rFonts w:cs="Arial"/>
          <w:lang w:val="en"/>
        </w:rPr>
        <w:t xml:space="preserve">Please note that when participating in </w:t>
      </w:r>
      <w:r>
        <w:rPr>
          <w:rFonts w:cs="Arial"/>
          <w:lang w:val="en"/>
        </w:rPr>
        <w:t>the online survey, face to face meetings or</w:t>
      </w:r>
      <w:r w:rsidRPr="00AA650C">
        <w:rPr>
          <w:rFonts w:cs="Arial"/>
          <w:lang w:val="en"/>
        </w:rPr>
        <w:t xml:space="preserve"> making a written contribution, you are indicating that you have read and understood the Commission’s Submission Policy which can be found at</w:t>
      </w:r>
      <w:r>
        <w:rPr>
          <w:rFonts w:cs="Arial"/>
          <w:lang w:val="en"/>
        </w:rPr>
        <w:t>:</w:t>
      </w:r>
      <w:r w:rsidRPr="00AA650C">
        <w:rPr>
          <w:rFonts w:cs="Arial"/>
          <w:lang w:val="en"/>
        </w:rPr>
        <w:t xml:space="preserve"> </w:t>
      </w:r>
      <w:hyperlink r:id="rId22" w:history="1">
        <w:r w:rsidRPr="002B43D6">
          <w:rPr>
            <w:rStyle w:val="Hyperlink"/>
            <w:rFonts w:cs="Arial"/>
          </w:rPr>
          <w:t>https://www.humanrights.gov.au/submission-policy</w:t>
        </w:r>
      </w:hyperlink>
    </w:p>
    <w:p w:rsidR="00D71729" w:rsidRPr="007F4409" w:rsidRDefault="00D71729" w:rsidP="00D71729">
      <w:pPr>
        <w:spacing w:before="360"/>
        <w:rPr>
          <w:rFonts w:eastAsia="Times New Roman" w:cs="Arial"/>
          <w:b/>
          <w:bCs/>
          <w:color w:val="7030A0"/>
          <w:kern w:val="32"/>
          <w:sz w:val="28"/>
          <w:szCs w:val="28"/>
        </w:rPr>
      </w:pPr>
      <w:r w:rsidRPr="007F4409">
        <w:rPr>
          <w:rFonts w:cs="Arial"/>
          <w:b/>
          <w:color w:val="7030A0"/>
          <w:sz w:val="28"/>
          <w:szCs w:val="28"/>
        </w:rPr>
        <w:t>What will be the outcome from the consultation?</w:t>
      </w:r>
    </w:p>
    <w:p w:rsidR="00D71729" w:rsidRPr="003A5082" w:rsidRDefault="00D71729" w:rsidP="00D71729">
      <w:pPr>
        <w:spacing w:before="100" w:beforeAutospacing="1" w:after="100" w:afterAutospacing="1"/>
        <w:rPr>
          <w:rFonts w:cs="Arial"/>
        </w:rPr>
      </w:pPr>
      <w:r w:rsidRPr="00B43283">
        <w:rPr>
          <w:rFonts w:cs="Arial"/>
        </w:rPr>
        <w:t xml:space="preserve">Information from the </w:t>
      </w:r>
      <w:r w:rsidRPr="00B43283">
        <w:rPr>
          <w:rFonts w:cs="Arial"/>
          <w:iCs/>
          <w:lang w:val="en"/>
        </w:rPr>
        <w:t>consultation process</w:t>
      </w:r>
      <w:r w:rsidRPr="00B43283">
        <w:rPr>
          <w:rFonts w:cs="Arial"/>
          <w:i/>
          <w:iCs/>
          <w:lang w:val="en"/>
        </w:rPr>
        <w:t xml:space="preserve"> </w:t>
      </w:r>
      <w:r>
        <w:rPr>
          <w:rFonts w:cs="Arial"/>
        </w:rPr>
        <w:t>will be used to prepare the</w:t>
      </w:r>
      <w:r w:rsidRPr="00B43283">
        <w:rPr>
          <w:rFonts w:cs="Arial"/>
        </w:rPr>
        <w:t xml:space="preserve"> </w:t>
      </w:r>
      <w:r w:rsidRPr="009113DF">
        <w:rPr>
          <w:rFonts w:cs="Arial"/>
          <w:i/>
        </w:rPr>
        <w:t xml:space="preserve">Sexual Orientation, Gender Identity and Intersex Human Rights: </w:t>
      </w:r>
      <w:r>
        <w:rPr>
          <w:rFonts w:cs="Arial"/>
          <w:i/>
        </w:rPr>
        <w:t xml:space="preserve">Snapshot </w:t>
      </w:r>
      <w:r w:rsidRPr="009113DF">
        <w:rPr>
          <w:rFonts w:cs="Arial"/>
          <w:i/>
        </w:rPr>
        <w:t>Report</w:t>
      </w:r>
      <w:r>
        <w:rPr>
          <w:rFonts w:cs="Arial"/>
          <w:i/>
        </w:rPr>
        <w:t>.</w:t>
      </w:r>
      <w:r w:rsidRPr="009113DF">
        <w:rPr>
          <w:rFonts w:cs="Arial"/>
          <w:i/>
        </w:rPr>
        <w:t xml:space="preserve"> </w:t>
      </w:r>
      <w:r>
        <w:rPr>
          <w:rFonts w:cs="Arial"/>
        </w:rPr>
        <w:t xml:space="preserve">The report </w:t>
      </w:r>
      <w:r w:rsidRPr="00B43283">
        <w:rPr>
          <w:rFonts w:cs="Arial"/>
        </w:rPr>
        <w:t xml:space="preserve">will outline key issues raised during the consultation process, identify best practice </w:t>
      </w:r>
      <w:r>
        <w:rPr>
          <w:rFonts w:cs="Arial"/>
        </w:rPr>
        <w:t>community based initiatives that</w:t>
      </w:r>
      <w:r w:rsidRPr="00B43283">
        <w:rPr>
          <w:rFonts w:cs="Arial"/>
        </w:rPr>
        <w:t xml:space="preserve"> promote </w:t>
      </w:r>
      <w:r>
        <w:rPr>
          <w:rFonts w:cs="Arial"/>
        </w:rPr>
        <w:t xml:space="preserve">SOGII rights, and set out </w:t>
      </w:r>
      <w:r w:rsidRPr="00B43283">
        <w:rPr>
          <w:rFonts w:cs="Arial"/>
        </w:rPr>
        <w:lastRenderedPageBreak/>
        <w:t>recommendations for further advancing the protecti</w:t>
      </w:r>
      <w:r>
        <w:rPr>
          <w:rFonts w:cs="Arial"/>
        </w:rPr>
        <w:t xml:space="preserve">on and promotion of SOGII </w:t>
      </w:r>
      <w:r w:rsidRPr="00B43283">
        <w:rPr>
          <w:rFonts w:cs="Arial"/>
        </w:rPr>
        <w:t>rights in Austr</w:t>
      </w:r>
      <w:r>
        <w:rPr>
          <w:rFonts w:cs="Arial"/>
        </w:rPr>
        <w:t>alia.</w:t>
      </w:r>
      <w:r w:rsidRPr="007A34F4">
        <w:rPr>
          <w:rFonts w:cs="Arial"/>
        </w:rPr>
        <w:t xml:space="preserve"> </w:t>
      </w:r>
      <w:r>
        <w:rPr>
          <w:rFonts w:cs="Arial"/>
        </w:rPr>
        <w:t xml:space="preserve">The report </w:t>
      </w:r>
      <w:r w:rsidRPr="003A5082">
        <w:rPr>
          <w:rFonts w:cs="Arial"/>
        </w:rPr>
        <w:t xml:space="preserve">will </w:t>
      </w:r>
      <w:r>
        <w:rPr>
          <w:rFonts w:cs="Arial"/>
        </w:rPr>
        <w:t xml:space="preserve">guide </w:t>
      </w:r>
      <w:r w:rsidRPr="003A5082">
        <w:rPr>
          <w:rFonts w:cs="Arial"/>
        </w:rPr>
        <w:t>the priorities of t</w:t>
      </w:r>
      <w:r>
        <w:rPr>
          <w:rFonts w:cs="Arial"/>
        </w:rPr>
        <w:t xml:space="preserve">he Human Rights Commissioner over </w:t>
      </w:r>
      <w:r w:rsidRPr="003A5082">
        <w:rPr>
          <w:rFonts w:cs="Arial"/>
        </w:rPr>
        <w:t xml:space="preserve">the coming </w:t>
      </w:r>
      <w:r>
        <w:rPr>
          <w:rFonts w:cs="Arial"/>
        </w:rPr>
        <w:t xml:space="preserve">four </w:t>
      </w:r>
      <w:r w:rsidRPr="003A5082">
        <w:rPr>
          <w:rFonts w:cs="Arial"/>
        </w:rPr>
        <w:t xml:space="preserve">years. </w:t>
      </w:r>
    </w:p>
    <w:p w:rsidR="00D71729" w:rsidRPr="003A5082" w:rsidRDefault="00D71729" w:rsidP="00D71729">
      <w:pPr>
        <w:spacing w:before="100" w:beforeAutospacing="1" w:after="100" w:afterAutospacing="1"/>
        <w:rPr>
          <w:rFonts w:cs="Arial"/>
        </w:rPr>
      </w:pPr>
      <w:r w:rsidRPr="003A5082">
        <w:rPr>
          <w:rFonts w:cs="Arial"/>
        </w:rPr>
        <w:t>The report will aim to</w:t>
      </w:r>
      <w:r>
        <w:rPr>
          <w:rFonts w:cs="Arial"/>
        </w:rPr>
        <w:t>:</w:t>
      </w:r>
    </w:p>
    <w:p w:rsidR="00D71729" w:rsidRPr="003A5082" w:rsidRDefault="00E00C15" w:rsidP="00D71729">
      <w:pPr>
        <w:pStyle w:val="ListParagraph"/>
        <w:numPr>
          <w:ilvl w:val="0"/>
          <w:numId w:val="29"/>
        </w:numPr>
        <w:spacing w:after="120"/>
        <w:ind w:left="714" w:hanging="357"/>
        <w:rPr>
          <w:rFonts w:cs="Arial"/>
        </w:rPr>
      </w:pPr>
      <w:r>
        <w:rPr>
          <w:rFonts w:cs="Arial"/>
        </w:rPr>
        <w:t>e</w:t>
      </w:r>
      <w:r w:rsidR="00D71729">
        <w:rPr>
          <w:rFonts w:cs="Arial"/>
        </w:rPr>
        <w:t>nhance</w:t>
      </w:r>
      <w:r w:rsidR="00D71729" w:rsidRPr="003A5082">
        <w:rPr>
          <w:rFonts w:cs="Arial"/>
        </w:rPr>
        <w:t xml:space="preserve"> awareness of the key </w:t>
      </w:r>
      <w:r w:rsidR="00D71729">
        <w:rPr>
          <w:rFonts w:cs="Arial"/>
        </w:rPr>
        <w:t xml:space="preserve">SOGII </w:t>
      </w:r>
      <w:r w:rsidR="00D71729" w:rsidRPr="003A5082">
        <w:rPr>
          <w:rFonts w:cs="Arial"/>
        </w:rPr>
        <w:t>rights issues for ci</w:t>
      </w:r>
      <w:r w:rsidR="00C106A0">
        <w:rPr>
          <w:rFonts w:cs="Arial"/>
        </w:rPr>
        <w:t>vil society with a focus on NGO</w:t>
      </w:r>
      <w:r w:rsidR="00D71729" w:rsidRPr="003A5082">
        <w:rPr>
          <w:rFonts w:cs="Arial"/>
        </w:rPr>
        <w:t>s, service providers and business</w:t>
      </w:r>
    </w:p>
    <w:p w:rsidR="00D71729" w:rsidRPr="003A5082" w:rsidRDefault="00E00C15" w:rsidP="00D71729">
      <w:pPr>
        <w:pStyle w:val="ListParagraph"/>
        <w:numPr>
          <w:ilvl w:val="0"/>
          <w:numId w:val="29"/>
        </w:numPr>
        <w:spacing w:after="120"/>
        <w:ind w:left="714" w:hanging="357"/>
        <w:rPr>
          <w:rFonts w:cs="Arial"/>
        </w:rPr>
      </w:pPr>
      <w:r>
        <w:rPr>
          <w:rFonts w:cs="Arial"/>
        </w:rPr>
        <w:t>e</w:t>
      </w:r>
      <w:r w:rsidR="00D71729" w:rsidRPr="003A5082">
        <w:rPr>
          <w:rFonts w:cs="Arial"/>
        </w:rPr>
        <w:t>nhance public awareness amongst go</w:t>
      </w:r>
      <w:r w:rsidR="00D71729">
        <w:rPr>
          <w:rFonts w:cs="Arial"/>
        </w:rPr>
        <w:t>vernment decision-makers of SOGI</w:t>
      </w:r>
      <w:r>
        <w:rPr>
          <w:rFonts w:cs="Arial"/>
        </w:rPr>
        <w:t>I rights and options for reform</w:t>
      </w:r>
    </w:p>
    <w:p w:rsidR="00D71729" w:rsidRPr="003A5082" w:rsidRDefault="00E00C15" w:rsidP="00D71729">
      <w:pPr>
        <w:pStyle w:val="ListParagraph"/>
        <w:numPr>
          <w:ilvl w:val="0"/>
          <w:numId w:val="29"/>
        </w:numPr>
        <w:spacing w:after="120"/>
        <w:ind w:left="714" w:hanging="357"/>
        <w:rPr>
          <w:rFonts w:cs="Arial"/>
        </w:rPr>
      </w:pPr>
      <w:r>
        <w:rPr>
          <w:rFonts w:cs="Arial"/>
        </w:rPr>
        <w:t>s</w:t>
      </w:r>
      <w:r w:rsidR="00D71729" w:rsidRPr="003A5082">
        <w:rPr>
          <w:rFonts w:cs="Arial"/>
        </w:rPr>
        <w:t xml:space="preserve">trengthen the capacity of stakeholders to effectively advocate for </w:t>
      </w:r>
      <w:r w:rsidR="00D71729">
        <w:rPr>
          <w:rFonts w:cs="Arial"/>
        </w:rPr>
        <w:t xml:space="preserve">SOGII </w:t>
      </w:r>
      <w:r>
        <w:rPr>
          <w:rFonts w:cs="Arial"/>
        </w:rPr>
        <w:t>rights in Australia</w:t>
      </w:r>
    </w:p>
    <w:p w:rsidR="00D71729" w:rsidRPr="00B14ED8" w:rsidRDefault="00D71729" w:rsidP="00D71729">
      <w:pPr>
        <w:spacing w:before="0" w:after="0"/>
        <w:rPr>
          <w:rFonts w:cs="Arial"/>
          <w:b/>
          <w:color w:val="FF9900"/>
          <w:sz w:val="28"/>
          <w:szCs w:val="28"/>
        </w:rPr>
      </w:pPr>
      <w:r>
        <w:rPr>
          <w:rFonts w:cs="Arial"/>
          <w:b/>
          <w:color w:val="FF9900"/>
          <w:sz w:val="28"/>
          <w:szCs w:val="28"/>
        </w:rPr>
        <w:br w:type="page"/>
      </w:r>
      <w:r w:rsidRPr="007F4409">
        <w:rPr>
          <w:rFonts w:cs="Arial"/>
          <w:b/>
          <w:color w:val="7030A0"/>
          <w:sz w:val="28"/>
          <w:szCs w:val="28"/>
        </w:rPr>
        <w:lastRenderedPageBreak/>
        <w:t>Who to contact if you have questions?</w:t>
      </w:r>
    </w:p>
    <w:p w:rsidR="00D71729" w:rsidRPr="003A5082" w:rsidRDefault="00D71729" w:rsidP="00D71729">
      <w:pPr>
        <w:pStyle w:val="MainTitle"/>
        <w:spacing w:before="100" w:beforeAutospacing="1" w:after="100" w:afterAutospacing="1" w:line="240" w:lineRule="auto"/>
        <w:jc w:val="left"/>
        <w:rPr>
          <w:rFonts w:cs="Arial"/>
          <w:color w:val="auto"/>
          <w:sz w:val="24"/>
          <w:szCs w:val="24"/>
        </w:rPr>
      </w:pPr>
      <w:r>
        <w:rPr>
          <w:rFonts w:cs="Arial"/>
          <w:color w:val="auto"/>
          <w:sz w:val="24"/>
          <w:szCs w:val="24"/>
          <w:lang w:val="en"/>
        </w:rPr>
        <w:t xml:space="preserve">If you have any questions about the </w:t>
      </w:r>
      <w:r w:rsidRPr="003A5082">
        <w:rPr>
          <w:rFonts w:cs="Arial"/>
          <w:i/>
          <w:color w:val="auto"/>
          <w:sz w:val="24"/>
          <w:szCs w:val="24"/>
        </w:rPr>
        <w:t xml:space="preserve">SOGII Rights </w:t>
      </w:r>
      <w:r w:rsidRPr="00AA3F81">
        <w:rPr>
          <w:rFonts w:cs="Arial"/>
          <w:color w:val="auto"/>
          <w:sz w:val="24"/>
          <w:szCs w:val="24"/>
        </w:rPr>
        <w:t>consultation</w:t>
      </w:r>
      <w:r w:rsidRPr="003A5082">
        <w:rPr>
          <w:rFonts w:cs="Arial"/>
          <w:color w:val="auto"/>
          <w:sz w:val="24"/>
          <w:szCs w:val="24"/>
        </w:rPr>
        <w:t xml:space="preserve"> </w:t>
      </w:r>
      <w:r w:rsidRPr="003A5082">
        <w:rPr>
          <w:rFonts w:cs="Arial"/>
          <w:color w:val="auto"/>
          <w:sz w:val="24"/>
          <w:szCs w:val="24"/>
          <w:lang w:val="en"/>
        </w:rPr>
        <w:t>you can:</w:t>
      </w:r>
    </w:p>
    <w:p w:rsidR="00D71729" w:rsidRPr="003A5082" w:rsidRDefault="00D71729" w:rsidP="00D71729">
      <w:pPr>
        <w:spacing w:after="120"/>
        <w:rPr>
          <w:rFonts w:cs="Arial"/>
        </w:rPr>
      </w:pPr>
      <w:r w:rsidRPr="003A5082">
        <w:rPr>
          <w:rFonts w:cs="Arial"/>
          <w:lang w:val="en"/>
        </w:rPr>
        <w:t>Email:</w:t>
      </w:r>
      <w:r w:rsidRPr="003A5082">
        <w:rPr>
          <w:rFonts w:cs="Arial"/>
          <w:lang w:val="en"/>
        </w:rPr>
        <w:tab/>
      </w:r>
      <w:r w:rsidRPr="003A5082">
        <w:rPr>
          <w:rFonts w:cs="Arial"/>
          <w:lang w:val="en"/>
        </w:rPr>
        <w:tab/>
      </w:r>
      <w:hyperlink r:id="rId23" w:history="1">
        <w:r w:rsidR="006B0EAE" w:rsidRPr="0096486E">
          <w:rPr>
            <w:rStyle w:val="Hyperlink"/>
            <w:rFonts w:cs="Arial"/>
            <w:lang w:val="en"/>
          </w:rPr>
          <w:t>sogii</w:t>
        </w:r>
        <w:r w:rsidR="006B0EAE" w:rsidRPr="0096486E">
          <w:rPr>
            <w:rStyle w:val="Hyperlink"/>
            <w:rFonts w:cs="Arial"/>
          </w:rPr>
          <w:t>@humanrights.gov.au</w:t>
        </w:r>
      </w:hyperlink>
      <w:r w:rsidR="006B0EAE">
        <w:rPr>
          <w:rFonts w:cs="Arial"/>
        </w:rPr>
        <w:t xml:space="preserve"> </w:t>
      </w:r>
      <w:r>
        <w:rPr>
          <w:rStyle w:val="Hyperlink"/>
          <w:rFonts w:cs="Arial"/>
          <w:color w:val="auto"/>
          <w:u w:val="none"/>
        </w:rPr>
        <w:t xml:space="preserve"> </w:t>
      </w:r>
    </w:p>
    <w:p w:rsidR="00D71729" w:rsidRDefault="00D71729" w:rsidP="00D71729">
      <w:pPr>
        <w:spacing w:after="120"/>
        <w:rPr>
          <w:rFonts w:cs="Arial"/>
        </w:rPr>
      </w:pPr>
      <w:r w:rsidRPr="003A5082">
        <w:rPr>
          <w:rFonts w:cs="Arial"/>
        </w:rPr>
        <w:t>Telephone:</w:t>
      </w:r>
      <w:r w:rsidRPr="003A5082">
        <w:rPr>
          <w:rFonts w:cs="Arial"/>
        </w:rPr>
        <w:tab/>
        <w:t>(02) 9284 9600</w:t>
      </w:r>
    </w:p>
    <w:p w:rsidR="00D71729" w:rsidRPr="003A5082" w:rsidRDefault="00D71729" w:rsidP="00D71729">
      <w:pPr>
        <w:spacing w:after="120"/>
        <w:rPr>
          <w:rFonts w:cs="Arial"/>
        </w:rPr>
      </w:pPr>
      <w:r w:rsidRPr="003A5082">
        <w:rPr>
          <w:rFonts w:cs="Arial"/>
        </w:rPr>
        <w:t>Fax:</w:t>
      </w:r>
      <w:r w:rsidRPr="003A5082">
        <w:rPr>
          <w:rFonts w:cs="Arial"/>
        </w:rPr>
        <w:tab/>
      </w:r>
      <w:r w:rsidRPr="003A5082">
        <w:rPr>
          <w:rFonts w:cs="Arial"/>
        </w:rPr>
        <w:tab/>
        <w:t>(02) 9284 9611</w:t>
      </w:r>
    </w:p>
    <w:p w:rsidR="00D71729" w:rsidRDefault="00D71729" w:rsidP="00D71729">
      <w:pPr>
        <w:spacing w:before="100" w:beforeAutospacing="1" w:after="100" w:afterAutospacing="1"/>
        <w:rPr>
          <w:rFonts w:cs="Arial"/>
        </w:rPr>
      </w:pPr>
      <w:r w:rsidRPr="003A5082">
        <w:rPr>
          <w:rFonts w:cs="Arial"/>
        </w:rPr>
        <w:t>For detailed and up to date information about the Australian Human Rights Commission, please visit the website at</w:t>
      </w:r>
      <w:r w:rsidR="00E45D4D">
        <w:rPr>
          <w:rFonts w:cs="Arial"/>
        </w:rPr>
        <w:t>:</w:t>
      </w:r>
      <w:r w:rsidRPr="003A5082">
        <w:rPr>
          <w:rFonts w:cs="Arial"/>
        </w:rPr>
        <w:t xml:space="preserve"> </w:t>
      </w:r>
      <w:hyperlink r:id="rId24" w:history="1">
        <w:r w:rsidR="00222C99" w:rsidRPr="0096486E">
          <w:rPr>
            <w:rStyle w:val="Hyperlink"/>
            <w:rFonts w:cs="Arial"/>
          </w:rPr>
          <w:t>www.humanrights.gov.au</w:t>
        </w:r>
      </w:hyperlink>
      <w:r w:rsidR="00222C99">
        <w:rPr>
          <w:rFonts w:cs="Arial"/>
        </w:rPr>
        <w:t xml:space="preserve">. </w:t>
      </w:r>
    </w:p>
    <w:p w:rsidR="00D71729" w:rsidRDefault="00D71729" w:rsidP="00D71729">
      <w:pPr>
        <w:pStyle w:val="MainTitle"/>
        <w:spacing w:before="100" w:beforeAutospacing="1" w:after="100" w:afterAutospacing="1" w:line="240" w:lineRule="auto"/>
        <w:jc w:val="left"/>
        <w:rPr>
          <w:rFonts w:cs="Arial"/>
          <w:color w:val="auto"/>
          <w:sz w:val="24"/>
          <w:szCs w:val="24"/>
          <w:lang w:val="en-US"/>
        </w:rPr>
      </w:pPr>
      <w:r>
        <w:rPr>
          <w:rFonts w:cs="Arial"/>
        </w:rPr>
        <w:br w:type="page"/>
      </w:r>
    </w:p>
    <w:p w:rsidR="00D71729" w:rsidRPr="00B14ED8" w:rsidRDefault="00D71729" w:rsidP="00D71729">
      <w:pPr>
        <w:spacing w:before="100" w:beforeAutospacing="1" w:after="100" w:afterAutospacing="1"/>
        <w:rPr>
          <w:rFonts w:cs="Arial"/>
          <w:lang w:val="en-US"/>
        </w:rPr>
      </w:pPr>
      <w:r w:rsidRPr="007F4409">
        <w:rPr>
          <w:rFonts w:cs="Arial"/>
          <w:b/>
          <w:color w:val="7030A0"/>
          <w:sz w:val="28"/>
          <w:szCs w:val="28"/>
        </w:rPr>
        <w:lastRenderedPageBreak/>
        <w:t>APPENDIX A.</w:t>
      </w:r>
    </w:p>
    <w:p w:rsidR="00D71729" w:rsidRPr="007F4409" w:rsidRDefault="00D71729" w:rsidP="00D71729">
      <w:pPr>
        <w:spacing w:before="360"/>
        <w:rPr>
          <w:rFonts w:cs="Arial"/>
          <w:b/>
          <w:color w:val="7030A0"/>
          <w:sz w:val="28"/>
          <w:szCs w:val="28"/>
        </w:rPr>
      </w:pPr>
      <w:r w:rsidRPr="007F4409">
        <w:rPr>
          <w:rFonts w:cs="Arial"/>
          <w:b/>
          <w:color w:val="7030A0"/>
          <w:sz w:val="28"/>
          <w:szCs w:val="28"/>
        </w:rPr>
        <w:t>Key International Treaties and SOGII Rights</w:t>
      </w:r>
    </w:p>
    <w:p w:rsidR="00D71729" w:rsidRPr="00297496" w:rsidRDefault="00D71729" w:rsidP="00D71729">
      <w:pPr>
        <w:shd w:val="clear" w:color="auto" w:fill="FFFFFF"/>
        <w:spacing w:before="100" w:beforeAutospacing="1" w:after="100" w:afterAutospacing="1"/>
        <w:rPr>
          <w:rFonts w:cs="Arial"/>
          <w:lang w:val="en"/>
        </w:rPr>
      </w:pPr>
      <w:r w:rsidRPr="00A163C3">
        <w:rPr>
          <w:rFonts w:cs="Arial"/>
        </w:rPr>
        <w:t xml:space="preserve">Below is an outline of how international </w:t>
      </w:r>
      <w:r>
        <w:rPr>
          <w:rFonts w:cs="Arial"/>
        </w:rPr>
        <w:t>treaties</w:t>
      </w:r>
      <w:r w:rsidRPr="00A163C3">
        <w:rPr>
          <w:rFonts w:cs="Arial"/>
        </w:rPr>
        <w:t xml:space="preserve"> have been interpreted to apply to people of all sexual orientations and sex and/or gender identities. </w:t>
      </w:r>
      <w:r w:rsidRPr="00A163C3">
        <w:rPr>
          <w:rFonts w:cs="Arial"/>
          <w:lang w:val="en"/>
        </w:rPr>
        <w:t>Australia has commi</w:t>
      </w:r>
      <w:r>
        <w:rPr>
          <w:rFonts w:cs="Arial"/>
          <w:lang w:val="en"/>
        </w:rPr>
        <w:t>tted to uphold these standards.</w:t>
      </w:r>
    </w:p>
    <w:p w:rsidR="00D71729" w:rsidRPr="002B43D6" w:rsidRDefault="00D71729" w:rsidP="00D71729">
      <w:pPr>
        <w:shd w:val="clear" w:color="auto" w:fill="FFFFFF"/>
        <w:spacing w:before="100" w:beforeAutospacing="1" w:after="100" w:afterAutospacing="1"/>
        <w:rPr>
          <w:rFonts w:cs="Arial"/>
          <w:b/>
          <w:i/>
          <w:lang w:val="en"/>
        </w:rPr>
      </w:pPr>
      <w:bookmarkStart w:id="5" w:name="_Toc288661774"/>
      <w:r w:rsidRPr="002B43D6">
        <w:rPr>
          <w:rFonts w:cs="Arial"/>
          <w:b/>
          <w:i/>
          <w:lang w:val="en"/>
        </w:rPr>
        <w:t>1.1</w:t>
      </w:r>
      <w:r w:rsidRPr="002B43D6">
        <w:rPr>
          <w:rFonts w:cs="Arial"/>
          <w:b/>
          <w:i/>
          <w:lang w:val="en"/>
        </w:rPr>
        <w:tab/>
        <w:t xml:space="preserve"> </w:t>
      </w:r>
      <w:r w:rsidRPr="002B43D6">
        <w:rPr>
          <w:rFonts w:cs="Arial"/>
          <w:b/>
          <w:bCs/>
          <w:i/>
          <w:iCs/>
          <w:lang w:val="en"/>
        </w:rPr>
        <w:t>International Covenant on Civil and Political Rights</w:t>
      </w:r>
    </w:p>
    <w:p w:rsidR="00D71729" w:rsidRPr="007B485C" w:rsidRDefault="00D71729" w:rsidP="00D71729">
      <w:pPr>
        <w:shd w:val="clear" w:color="auto" w:fill="FFFFFF"/>
        <w:spacing w:before="100" w:beforeAutospacing="1" w:after="100" w:afterAutospacing="1"/>
        <w:rPr>
          <w:rFonts w:cs="Arial"/>
          <w:lang w:val="en"/>
        </w:rPr>
      </w:pPr>
      <w:r w:rsidRPr="007B485C">
        <w:rPr>
          <w:rFonts w:cs="Arial"/>
          <w:lang w:val="en"/>
        </w:rPr>
        <w:t xml:space="preserve">The </w:t>
      </w:r>
      <w:r w:rsidRPr="0085277D">
        <w:rPr>
          <w:rFonts w:cs="Arial"/>
          <w:bCs/>
          <w:i/>
          <w:iCs/>
          <w:lang w:val="en"/>
        </w:rPr>
        <w:t>International Covenant on Civil and Political Rights</w:t>
      </w:r>
      <w:r w:rsidRPr="0085277D">
        <w:rPr>
          <w:rFonts w:cs="Arial"/>
          <w:i/>
          <w:lang w:val="en"/>
        </w:rPr>
        <w:t xml:space="preserve"> </w:t>
      </w:r>
      <w:r w:rsidRPr="007B485C">
        <w:rPr>
          <w:rFonts w:cs="Arial"/>
          <w:lang w:val="en"/>
        </w:rPr>
        <w:t>(ICCPR) enshrines the rights of all people to non-discrimination and equality before the law. Article 2(1) of the ICCPR sets out the principle of non-discrimination:</w:t>
      </w:r>
    </w:p>
    <w:p w:rsidR="00D71729" w:rsidRPr="002B43D6" w:rsidRDefault="00D71729" w:rsidP="00D71729">
      <w:pPr>
        <w:shd w:val="clear" w:color="auto" w:fill="FFFFFF"/>
        <w:spacing w:before="100" w:beforeAutospacing="1" w:after="100" w:afterAutospacing="1"/>
        <w:ind w:left="720"/>
        <w:rPr>
          <w:rFonts w:cs="Arial"/>
          <w:sz w:val="22"/>
          <w:szCs w:val="22"/>
          <w:lang w:val="en"/>
        </w:rPr>
      </w:pPr>
      <w:r w:rsidRPr="002B43D6">
        <w:rPr>
          <w:rFonts w:cs="Arial"/>
          <w:sz w:val="22"/>
          <w:szCs w:val="22"/>
          <w:lang w:val="en"/>
        </w:rPr>
        <w:t>Each State Party to the present Covenant undertakes to respect and to ensure all individuals within its territory and subject to its jurisdiction the rights recognised in the present Covenant, without distinction of any kind such as race, colour, sex, language, religion, political or other opinion, national or social origin, property, birth or other status.</w:t>
      </w:r>
    </w:p>
    <w:p w:rsidR="00D71729" w:rsidRPr="00A163C3" w:rsidRDefault="00D71729" w:rsidP="00D71729">
      <w:pPr>
        <w:shd w:val="clear" w:color="auto" w:fill="FFFFFF"/>
        <w:spacing w:before="100" w:beforeAutospacing="1" w:after="100" w:afterAutospacing="1"/>
        <w:rPr>
          <w:rFonts w:cs="Arial"/>
          <w:lang w:val="en"/>
        </w:rPr>
      </w:pPr>
      <w:r w:rsidRPr="00A163C3">
        <w:rPr>
          <w:rFonts w:cs="Arial"/>
          <w:lang w:val="en"/>
        </w:rPr>
        <w:t>Article 26 of the ICCPR sets out the principle of equality</w:t>
      </w:r>
      <w:r>
        <w:rPr>
          <w:rFonts w:cs="Arial"/>
          <w:lang w:val="en"/>
        </w:rPr>
        <w:t xml:space="preserve"> before the law</w:t>
      </w:r>
      <w:r w:rsidRPr="00A163C3">
        <w:rPr>
          <w:rFonts w:cs="Arial"/>
          <w:lang w:val="en"/>
        </w:rPr>
        <w:t xml:space="preserve">: </w:t>
      </w:r>
    </w:p>
    <w:p w:rsidR="00D71729" w:rsidRPr="002B43D6" w:rsidRDefault="00D71729" w:rsidP="00D71729">
      <w:pPr>
        <w:shd w:val="clear" w:color="auto" w:fill="FFFFFF"/>
        <w:spacing w:before="100" w:beforeAutospacing="1" w:after="100" w:afterAutospacing="1"/>
        <w:ind w:left="720"/>
        <w:rPr>
          <w:rFonts w:cs="Arial"/>
          <w:sz w:val="22"/>
          <w:szCs w:val="22"/>
          <w:lang w:val="en"/>
        </w:rPr>
      </w:pPr>
      <w:r w:rsidRPr="002B43D6">
        <w:rPr>
          <w:rFonts w:cs="Arial"/>
          <w:sz w:val="22"/>
          <w:szCs w:val="22"/>
          <w:lang w:val="en"/>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D71729" w:rsidRPr="00A163C3" w:rsidRDefault="00D71729" w:rsidP="00D71729">
      <w:pPr>
        <w:shd w:val="clear" w:color="auto" w:fill="FFFFFF"/>
        <w:spacing w:before="100" w:beforeAutospacing="1" w:after="100" w:afterAutospacing="1"/>
        <w:rPr>
          <w:rFonts w:cs="Arial"/>
          <w:lang w:val="en"/>
        </w:rPr>
      </w:pPr>
      <w:r w:rsidRPr="00A163C3">
        <w:rPr>
          <w:rFonts w:cs="Arial"/>
          <w:lang w:val="en"/>
        </w:rPr>
        <w:t xml:space="preserve">Other relevant rights set out in the ICCPR include the right to privacy (article 17) and the right to marry and found a family (article 23). </w:t>
      </w:r>
    </w:p>
    <w:p w:rsidR="00D71729" w:rsidRPr="00A163C3" w:rsidRDefault="00D71729" w:rsidP="00D71729">
      <w:pPr>
        <w:shd w:val="clear" w:color="auto" w:fill="FFFFFF"/>
        <w:spacing w:before="100" w:beforeAutospacing="1" w:after="100" w:afterAutospacing="1"/>
        <w:rPr>
          <w:rFonts w:cs="Arial"/>
          <w:lang w:val="en"/>
        </w:rPr>
      </w:pPr>
      <w:r w:rsidRPr="00A163C3">
        <w:rPr>
          <w:rFonts w:cs="Arial"/>
          <w:lang w:val="en"/>
        </w:rPr>
        <w:t>The ICCPR does not specifically refer to sexual orientation. However, the United Nations Human Rights Committee has f</w:t>
      </w:r>
      <w:r w:rsidR="00C106A0">
        <w:rPr>
          <w:rFonts w:cs="Arial"/>
          <w:lang w:val="en"/>
        </w:rPr>
        <w:t>ound that the treaty includes</w:t>
      </w:r>
      <w:r w:rsidRPr="00A163C3">
        <w:rPr>
          <w:rFonts w:cs="Arial"/>
          <w:lang w:val="en"/>
        </w:rPr>
        <w:t xml:space="preserve"> an obligation to prevent discrimination on the basis of sexual orientation. </w:t>
      </w:r>
    </w:p>
    <w:p w:rsidR="00D71729" w:rsidRPr="00BE755B" w:rsidRDefault="00D71729" w:rsidP="00D71729">
      <w:pPr>
        <w:shd w:val="clear" w:color="auto" w:fill="FFFFFF"/>
        <w:spacing w:before="100" w:beforeAutospacing="1" w:after="100" w:afterAutospacing="1"/>
        <w:rPr>
          <w:rFonts w:cs="Arial"/>
          <w:lang w:val="en"/>
        </w:rPr>
      </w:pPr>
      <w:r w:rsidRPr="00A163C3">
        <w:rPr>
          <w:rFonts w:cs="Arial"/>
          <w:lang w:val="en"/>
        </w:rPr>
        <w:t xml:space="preserve">In </w:t>
      </w:r>
      <w:r w:rsidRPr="00A163C3">
        <w:rPr>
          <w:rFonts w:cs="Arial"/>
          <w:i/>
          <w:iCs/>
          <w:lang w:val="en"/>
        </w:rPr>
        <w:t>Toonen v Australia</w:t>
      </w:r>
      <w:r w:rsidRPr="00A163C3">
        <w:rPr>
          <w:rFonts w:cs="Arial"/>
          <w:lang w:val="en"/>
        </w:rPr>
        <w:t>, the Human Rights Committee held that the reference to ‘sex’ (ICCPR article 2) and the right to privacy (ICCPR article</w:t>
      </w:r>
      <w:bookmarkStart w:id="6" w:name="fnB12"/>
      <w:r w:rsidRPr="00A163C3">
        <w:rPr>
          <w:rFonts w:cs="Arial"/>
          <w:lang w:val="en"/>
        </w:rPr>
        <w:t xml:space="preserve"> 17) include sexual orientation.</w:t>
      </w:r>
      <w:bookmarkEnd w:id="6"/>
      <w:r w:rsidRPr="00A163C3">
        <w:rPr>
          <w:rStyle w:val="EndnoteReference"/>
          <w:rFonts w:cs="Arial"/>
          <w:sz w:val="24"/>
          <w:lang w:val="en"/>
        </w:rPr>
        <w:endnoteReference w:id="20"/>
      </w:r>
      <w:r w:rsidR="00C106A0">
        <w:rPr>
          <w:rFonts w:cs="Arial"/>
          <w:lang w:val="en"/>
        </w:rPr>
        <w:t xml:space="preserve"> The Committee has also held </w:t>
      </w:r>
      <w:r w:rsidRPr="00A163C3">
        <w:rPr>
          <w:rFonts w:cs="Arial"/>
          <w:lang w:val="en"/>
        </w:rPr>
        <w:t xml:space="preserve">in </w:t>
      </w:r>
      <w:r w:rsidRPr="00A163C3">
        <w:rPr>
          <w:rFonts w:cs="Arial"/>
          <w:i/>
          <w:iCs/>
          <w:lang w:val="en"/>
        </w:rPr>
        <w:t>Young v Australia</w:t>
      </w:r>
      <w:r w:rsidRPr="00A163C3">
        <w:rPr>
          <w:rFonts w:cs="Arial"/>
          <w:lang w:val="en"/>
        </w:rPr>
        <w:t xml:space="preserve"> that distinctions made between same sex couples and opposite sex couples in relation to veterans </w:t>
      </w:r>
      <w:r w:rsidRPr="00BE755B">
        <w:rPr>
          <w:rFonts w:cs="Arial"/>
          <w:lang w:val="en"/>
        </w:rPr>
        <w:t>entitlements were discriminatory, in br</w:t>
      </w:r>
      <w:bookmarkStart w:id="7" w:name="fnB13"/>
      <w:r w:rsidRPr="00BE755B">
        <w:rPr>
          <w:rFonts w:cs="Arial"/>
          <w:lang w:val="en"/>
        </w:rPr>
        <w:t>each of article 26 of the ICCPR.</w:t>
      </w:r>
      <w:bookmarkEnd w:id="7"/>
      <w:r w:rsidRPr="00BE755B">
        <w:rPr>
          <w:rStyle w:val="EndnoteReference"/>
          <w:rFonts w:cs="Arial"/>
          <w:sz w:val="24"/>
          <w:lang w:val="en"/>
        </w:rPr>
        <w:endnoteReference w:id="21"/>
      </w:r>
    </w:p>
    <w:p w:rsidR="00D71729" w:rsidRPr="00BE755B" w:rsidRDefault="00D71729" w:rsidP="00D71729">
      <w:pPr>
        <w:shd w:val="clear" w:color="auto" w:fill="FFFFFF"/>
        <w:spacing w:before="100" w:beforeAutospacing="1" w:after="100" w:afterAutospacing="1"/>
        <w:rPr>
          <w:rFonts w:cs="Arial"/>
          <w:lang w:val="en"/>
        </w:rPr>
      </w:pPr>
      <w:r w:rsidRPr="00BE755B">
        <w:rPr>
          <w:rFonts w:cs="Arial"/>
          <w:lang w:val="en"/>
        </w:rPr>
        <w:t>Within previous consultation work at the Commission, the Law Council of Australia noted it is likely that the principles of the ICCPR would extend to gender identity under its ‘other status’ grounds.</w:t>
      </w:r>
      <w:r w:rsidRPr="00BE755B">
        <w:rPr>
          <w:rStyle w:val="EndnoteReference"/>
          <w:rFonts w:cs="Arial"/>
          <w:sz w:val="24"/>
          <w:lang w:val="en"/>
        </w:rPr>
        <w:endnoteReference w:id="22"/>
      </w:r>
      <w:r w:rsidRPr="00BE755B">
        <w:rPr>
          <w:rFonts w:cs="Arial"/>
          <w:lang w:val="en"/>
        </w:rPr>
        <w:t xml:space="preserve"> The Human Rights Committee has, for instance, placed emphasis on the need to protect trans communities from </w:t>
      </w:r>
      <w:bookmarkStart w:id="9" w:name="fnB15"/>
      <w:r w:rsidRPr="00BE755B">
        <w:rPr>
          <w:rFonts w:cs="Arial"/>
          <w:lang w:val="en"/>
        </w:rPr>
        <w:t>violence, torture and harassment</w:t>
      </w:r>
      <w:bookmarkEnd w:id="9"/>
      <w:r w:rsidRPr="00BE755B">
        <w:rPr>
          <w:rFonts w:cs="Arial"/>
          <w:lang w:val="en"/>
        </w:rPr>
        <w:t xml:space="preserve"> </w:t>
      </w:r>
      <w:r w:rsidRPr="00BE755B">
        <w:rPr>
          <w:rStyle w:val="EndnoteReference"/>
          <w:rFonts w:cs="Arial"/>
          <w:sz w:val="24"/>
          <w:lang w:val="en"/>
        </w:rPr>
        <w:endnoteReference w:id="23"/>
      </w:r>
      <w:r w:rsidRPr="00BE755B">
        <w:rPr>
          <w:rFonts w:cs="Arial"/>
          <w:lang w:val="en"/>
        </w:rPr>
        <w:t xml:space="preserve"> and to recognise the right of trans people to change their gender by permitting the is</w:t>
      </w:r>
      <w:bookmarkStart w:id="10" w:name="fnB16"/>
      <w:r w:rsidRPr="00BE755B">
        <w:rPr>
          <w:rFonts w:cs="Arial"/>
          <w:lang w:val="en"/>
        </w:rPr>
        <w:t>suing of new birth certificates.</w:t>
      </w:r>
      <w:bookmarkEnd w:id="10"/>
      <w:r w:rsidRPr="00BE755B">
        <w:rPr>
          <w:rStyle w:val="EndnoteReference"/>
          <w:rFonts w:cs="Arial"/>
          <w:sz w:val="24"/>
          <w:lang w:val="en"/>
        </w:rPr>
        <w:endnoteReference w:id="24"/>
      </w:r>
    </w:p>
    <w:p w:rsidR="00D71729" w:rsidRPr="00A163C3" w:rsidRDefault="00D71729" w:rsidP="00131179">
      <w:pPr>
        <w:spacing w:before="0" w:after="0"/>
        <w:rPr>
          <w:rFonts w:cs="Arial"/>
          <w:lang w:val="en"/>
        </w:rPr>
      </w:pPr>
      <w:r w:rsidRPr="00BE755B">
        <w:rPr>
          <w:rFonts w:cs="Arial"/>
          <w:lang w:val="en"/>
        </w:rPr>
        <w:br w:type="page"/>
      </w:r>
    </w:p>
    <w:p w:rsidR="00D71729" w:rsidRPr="002B43D6" w:rsidRDefault="00D71729" w:rsidP="00D71729">
      <w:pPr>
        <w:pStyle w:val="ListParagraph"/>
        <w:numPr>
          <w:ilvl w:val="1"/>
          <w:numId w:val="35"/>
        </w:numPr>
        <w:shd w:val="clear" w:color="auto" w:fill="FFFFFF"/>
        <w:spacing w:before="100" w:beforeAutospacing="1" w:after="100" w:afterAutospacing="1"/>
        <w:rPr>
          <w:rFonts w:cs="Arial"/>
          <w:i/>
          <w:lang w:val="en"/>
        </w:rPr>
      </w:pPr>
      <w:r w:rsidRPr="002B43D6">
        <w:rPr>
          <w:rFonts w:cs="Arial"/>
          <w:b/>
          <w:bCs/>
          <w:i/>
          <w:iCs/>
          <w:lang w:val="en"/>
        </w:rPr>
        <w:lastRenderedPageBreak/>
        <w:t>Other international treaties</w:t>
      </w:r>
    </w:p>
    <w:p w:rsidR="00D71729" w:rsidRPr="00A163C3" w:rsidRDefault="00D71729" w:rsidP="00D71729">
      <w:pPr>
        <w:shd w:val="clear" w:color="auto" w:fill="FFFFFF"/>
        <w:spacing w:before="100" w:beforeAutospacing="1" w:after="100" w:afterAutospacing="1"/>
        <w:rPr>
          <w:rFonts w:cs="Arial"/>
          <w:lang w:val="en"/>
        </w:rPr>
      </w:pPr>
      <w:r w:rsidRPr="00A163C3">
        <w:rPr>
          <w:rFonts w:cs="Arial"/>
          <w:lang w:val="en"/>
        </w:rPr>
        <w:t xml:space="preserve">United Nations Committees have recognised the right to non-discrimination on the basis of sexual orientation under the following international </w:t>
      </w:r>
      <w:r>
        <w:rPr>
          <w:rFonts w:cs="Arial"/>
          <w:lang w:val="en"/>
        </w:rPr>
        <w:t>treaties</w:t>
      </w:r>
      <w:r w:rsidRPr="00A163C3">
        <w:rPr>
          <w:rFonts w:cs="Arial"/>
          <w:lang w:val="en"/>
        </w:rPr>
        <w:t>:</w:t>
      </w:r>
    </w:p>
    <w:p w:rsidR="00D71729" w:rsidRPr="00A163C3" w:rsidRDefault="00D71729" w:rsidP="00D71729">
      <w:pPr>
        <w:pStyle w:val="MainTitle"/>
        <w:numPr>
          <w:ilvl w:val="0"/>
          <w:numId w:val="36"/>
        </w:numPr>
        <w:spacing w:before="240" w:after="120" w:line="240" w:lineRule="auto"/>
        <w:ind w:left="714" w:hanging="357"/>
        <w:jc w:val="left"/>
        <w:rPr>
          <w:rFonts w:cs="Arial"/>
          <w:color w:val="auto"/>
          <w:sz w:val="24"/>
          <w:szCs w:val="24"/>
        </w:rPr>
      </w:pPr>
      <w:r w:rsidRPr="00A163C3">
        <w:rPr>
          <w:rFonts w:cs="Arial"/>
          <w:i/>
          <w:iCs/>
          <w:color w:val="auto"/>
          <w:sz w:val="24"/>
          <w:szCs w:val="24"/>
          <w:lang w:val="en"/>
        </w:rPr>
        <w:t>International Covenant on Economic, Social and Cultural Rights</w:t>
      </w:r>
      <w:r w:rsidRPr="00A163C3">
        <w:rPr>
          <w:rStyle w:val="EndnoteReference"/>
          <w:rFonts w:cs="Arial"/>
          <w:iCs/>
          <w:color w:val="auto"/>
          <w:sz w:val="24"/>
          <w:szCs w:val="24"/>
          <w:lang w:val="en"/>
        </w:rPr>
        <w:endnoteReference w:id="25"/>
      </w:r>
    </w:p>
    <w:p w:rsidR="00D71729" w:rsidRPr="00A163C3" w:rsidRDefault="00D71729" w:rsidP="00D71729">
      <w:pPr>
        <w:pStyle w:val="MainTitle"/>
        <w:numPr>
          <w:ilvl w:val="0"/>
          <w:numId w:val="36"/>
        </w:numPr>
        <w:spacing w:before="240" w:after="120" w:line="240" w:lineRule="auto"/>
        <w:ind w:left="714" w:hanging="357"/>
        <w:jc w:val="left"/>
        <w:rPr>
          <w:rFonts w:cs="Arial"/>
          <w:color w:val="auto"/>
          <w:sz w:val="24"/>
          <w:szCs w:val="24"/>
        </w:rPr>
      </w:pPr>
      <w:r w:rsidRPr="00A163C3">
        <w:rPr>
          <w:rFonts w:cs="Arial"/>
          <w:i/>
          <w:iCs/>
          <w:color w:val="auto"/>
          <w:sz w:val="24"/>
          <w:szCs w:val="24"/>
          <w:lang w:val="en"/>
        </w:rPr>
        <w:t>Convention on the Rights of the Child</w:t>
      </w:r>
      <w:r w:rsidRPr="00A163C3">
        <w:rPr>
          <w:rStyle w:val="EndnoteReference"/>
          <w:rFonts w:cs="Arial"/>
          <w:iCs/>
          <w:color w:val="auto"/>
          <w:sz w:val="24"/>
          <w:szCs w:val="24"/>
          <w:lang w:val="en"/>
        </w:rPr>
        <w:endnoteReference w:id="26"/>
      </w:r>
    </w:p>
    <w:p w:rsidR="00D71729" w:rsidRPr="00A163C3" w:rsidRDefault="00D71729" w:rsidP="00D71729">
      <w:pPr>
        <w:pStyle w:val="MainTitle"/>
        <w:numPr>
          <w:ilvl w:val="0"/>
          <w:numId w:val="36"/>
        </w:numPr>
        <w:spacing w:before="240" w:after="120" w:line="240" w:lineRule="auto"/>
        <w:ind w:left="714" w:hanging="357"/>
        <w:jc w:val="left"/>
        <w:rPr>
          <w:rFonts w:cs="Arial"/>
          <w:color w:val="auto"/>
          <w:sz w:val="24"/>
          <w:szCs w:val="24"/>
        </w:rPr>
      </w:pPr>
      <w:r w:rsidRPr="00A163C3">
        <w:rPr>
          <w:rFonts w:cs="Arial"/>
          <w:i/>
          <w:iCs/>
          <w:color w:val="auto"/>
          <w:sz w:val="24"/>
          <w:szCs w:val="24"/>
          <w:lang w:val="en"/>
        </w:rPr>
        <w:t>Convention on the Elimination of All Forms of Discrimination against Women</w:t>
      </w:r>
      <w:r w:rsidRPr="00A163C3">
        <w:rPr>
          <w:rFonts w:cs="Arial"/>
          <w:color w:val="auto"/>
          <w:sz w:val="24"/>
          <w:szCs w:val="24"/>
          <w:lang w:val="en"/>
        </w:rPr>
        <w:t>.</w:t>
      </w:r>
      <w:r w:rsidRPr="00A163C3">
        <w:rPr>
          <w:rStyle w:val="EndnoteReference"/>
          <w:rFonts w:cs="Arial"/>
          <w:color w:val="auto"/>
          <w:sz w:val="24"/>
          <w:szCs w:val="24"/>
          <w:lang w:val="en"/>
        </w:rPr>
        <w:endnoteReference w:id="27"/>
      </w:r>
    </w:p>
    <w:p w:rsidR="00D71729" w:rsidRPr="00A163C3" w:rsidRDefault="00D71729" w:rsidP="00D71729">
      <w:pPr>
        <w:shd w:val="clear" w:color="auto" w:fill="FFFFFF"/>
        <w:spacing w:before="100" w:beforeAutospacing="1" w:after="100" w:afterAutospacing="1"/>
        <w:rPr>
          <w:rFonts w:cs="Arial"/>
          <w:lang w:val="en"/>
        </w:rPr>
      </w:pPr>
      <w:r w:rsidRPr="00A163C3">
        <w:rPr>
          <w:rFonts w:cs="Arial"/>
          <w:lang w:val="en"/>
        </w:rPr>
        <w:t>The Committee on Economic, Social and Cultural Rights has specifically stated that gender identity is recognised as a proh</w:t>
      </w:r>
      <w:bookmarkStart w:id="11" w:name="fnB20"/>
      <w:r w:rsidRPr="00A163C3">
        <w:rPr>
          <w:rFonts w:cs="Arial"/>
          <w:lang w:val="en"/>
        </w:rPr>
        <w:t>ibited ground of discrimination.</w:t>
      </w:r>
      <w:bookmarkEnd w:id="11"/>
      <w:r w:rsidRPr="00A163C3">
        <w:rPr>
          <w:rStyle w:val="EndnoteReference"/>
          <w:rFonts w:cs="Arial"/>
          <w:sz w:val="24"/>
          <w:lang w:val="en"/>
        </w:rPr>
        <w:endnoteReference w:id="28"/>
      </w:r>
    </w:p>
    <w:p w:rsidR="00D71729" w:rsidRPr="00A163C3" w:rsidRDefault="00D71729" w:rsidP="00D71729">
      <w:pPr>
        <w:shd w:val="clear" w:color="auto" w:fill="FFFFFF"/>
        <w:spacing w:before="100" w:beforeAutospacing="1" w:after="100" w:afterAutospacing="1"/>
        <w:rPr>
          <w:rFonts w:cs="Arial"/>
          <w:lang w:val="en"/>
        </w:rPr>
      </w:pPr>
      <w:r w:rsidRPr="00A163C3">
        <w:rPr>
          <w:rFonts w:cs="Arial"/>
          <w:lang w:val="en"/>
        </w:rPr>
        <w:t>The Committee on the Rights of the Child has commented on the rights of young people who are ‘transsexual’ and recommended that the United Kingdom government provide adequate information and support to homosexu</w:t>
      </w:r>
      <w:bookmarkStart w:id="12" w:name="fnB21"/>
      <w:r w:rsidRPr="00A163C3">
        <w:rPr>
          <w:rFonts w:cs="Arial"/>
          <w:lang w:val="en"/>
        </w:rPr>
        <w:t>al and transsexual young people.</w:t>
      </w:r>
      <w:bookmarkEnd w:id="12"/>
      <w:r w:rsidRPr="00A163C3">
        <w:rPr>
          <w:rStyle w:val="EndnoteReference"/>
          <w:rFonts w:cs="Arial"/>
          <w:sz w:val="24"/>
          <w:lang w:val="en"/>
        </w:rPr>
        <w:endnoteReference w:id="29"/>
      </w:r>
    </w:p>
    <w:p w:rsidR="00D71729" w:rsidRPr="00A163C3" w:rsidRDefault="00D71729" w:rsidP="00D71729">
      <w:pPr>
        <w:shd w:val="clear" w:color="auto" w:fill="FFFFFF"/>
        <w:spacing w:before="100" w:beforeAutospacing="1" w:after="100" w:afterAutospacing="1"/>
        <w:rPr>
          <w:rFonts w:cs="Arial"/>
          <w:lang w:val="en"/>
        </w:rPr>
      </w:pPr>
      <w:r w:rsidRPr="00A163C3">
        <w:rPr>
          <w:rFonts w:cs="Arial"/>
          <w:lang w:val="en"/>
        </w:rPr>
        <w:t>The Committee is concerned that homosexual and transsexual young people do not have access to the appropriate information, support, and necessary protection to enable them t</w:t>
      </w:r>
      <w:bookmarkStart w:id="13" w:name="fnB22"/>
      <w:r w:rsidRPr="00A163C3">
        <w:rPr>
          <w:rFonts w:cs="Arial"/>
          <w:lang w:val="en"/>
        </w:rPr>
        <w:t>o live their sexual orientation.</w:t>
      </w:r>
      <w:bookmarkEnd w:id="13"/>
      <w:r w:rsidRPr="00A163C3">
        <w:rPr>
          <w:rStyle w:val="EndnoteReference"/>
          <w:rFonts w:cs="Arial"/>
          <w:sz w:val="24"/>
          <w:lang w:val="en"/>
        </w:rPr>
        <w:endnoteReference w:id="30"/>
      </w:r>
    </w:p>
    <w:p w:rsidR="00D71729" w:rsidRPr="00A163C3" w:rsidRDefault="00D71729" w:rsidP="00D71729">
      <w:pPr>
        <w:shd w:val="clear" w:color="auto" w:fill="FFFFFF"/>
        <w:spacing w:before="100" w:beforeAutospacing="1" w:after="100" w:afterAutospacing="1"/>
        <w:rPr>
          <w:rFonts w:cs="Arial"/>
          <w:lang w:val="en"/>
        </w:rPr>
      </w:pPr>
      <w:r w:rsidRPr="00A163C3">
        <w:rPr>
          <w:rFonts w:cs="Arial"/>
          <w:lang w:val="en"/>
        </w:rPr>
        <w:t>The Committee on the Elimination of Discrimination against Women has recognised that discrimination experienced by women is connected to discrimination on the basis of sexual orientation and gender identity.</w:t>
      </w:r>
    </w:p>
    <w:p w:rsidR="00D71729" w:rsidRPr="00A163C3" w:rsidRDefault="00D71729" w:rsidP="00D71729">
      <w:pPr>
        <w:shd w:val="clear" w:color="auto" w:fill="FFFFFF"/>
        <w:spacing w:before="100" w:beforeAutospacing="1" w:after="100" w:afterAutospacing="1"/>
        <w:rPr>
          <w:rFonts w:cs="Arial"/>
          <w:lang w:val="en"/>
        </w:rPr>
      </w:pPr>
      <w:r w:rsidRPr="00A163C3">
        <w:rPr>
          <w:rFonts w:cs="Arial"/>
          <w:lang w:val="en"/>
        </w:rPr>
        <w:t xml:space="preserve">The discrimination of women based on sex and gender is inextricably linked with other factors that affect women, such as race, ethnicity, religion or belief, health status, age, class, caste, and sexual orientation </w:t>
      </w:r>
      <w:bookmarkStart w:id="14" w:name="fnB23"/>
      <w:r w:rsidRPr="00A163C3">
        <w:rPr>
          <w:rFonts w:cs="Arial"/>
          <w:lang w:val="en"/>
        </w:rPr>
        <w:t>and gender identity.</w:t>
      </w:r>
      <w:bookmarkEnd w:id="14"/>
      <w:r w:rsidRPr="00A163C3">
        <w:rPr>
          <w:rStyle w:val="EndnoteReference"/>
          <w:rFonts w:cs="Arial"/>
          <w:sz w:val="24"/>
          <w:lang w:val="en"/>
        </w:rPr>
        <w:endnoteReference w:id="31"/>
      </w:r>
    </w:p>
    <w:p w:rsidR="00D71729" w:rsidRPr="00A163C3" w:rsidRDefault="00D71729" w:rsidP="00D71729">
      <w:pPr>
        <w:shd w:val="clear" w:color="auto" w:fill="FFFFFF"/>
        <w:spacing w:before="100" w:beforeAutospacing="1" w:after="100" w:afterAutospacing="1"/>
        <w:rPr>
          <w:rFonts w:cs="Arial"/>
          <w:lang w:val="en"/>
        </w:rPr>
      </w:pPr>
      <w:r w:rsidRPr="00A163C3">
        <w:rPr>
          <w:rFonts w:cs="Arial"/>
          <w:lang w:val="en"/>
        </w:rPr>
        <w:t xml:space="preserve">Australia </w:t>
      </w:r>
      <w:r>
        <w:rPr>
          <w:rFonts w:cs="Arial"/>
          <w:lang w:val="en"/>
        </w:rPr>
        <w:t xml:space="preserve">is also a signatory to </w:t>
      </w:r>
      <w:r w:rsidRPr="00A163C3">
        <w:rPr>
          <w:rFonts w:cs="Arial"/>
          <w:lang w:val="en"/>
        </w:rPr>
        <w:t xml:space="preserve">the </w:t>
      </w:r>
      <w:r w:rsidRPr="00A163C3">
        <w:rPr>
          <w:rFonts w:cs="Arial"/>
          <w:i/>
          <w:iCs/>
          <w:lang w:val="en"/>
        </w:rPr>
        <w:t>International Labour Organization Convention No. 111</w:t>
      </w:r>
      <w:r w:rsidRPr="00A163C3">
        <w:rPr>
          <w:rFonts w:cs="Arial"/>
          <w:lang w:val="en"/>
        </w:rPr>
        <w:t xml:space="preserve"> (ILO 111). This international agreement prohibits discrimination in employment on the grounds of race, colour, sex, religion, political opinion, national extraction and social origin. Parties to this convention can include additional grounds for domestic purposes, and in 1989 Australia added several grounds including ‘sexual preference’.</w:t>
      </w:r>
      <w:r w:rsidRPr="00A163C3">
        <w:rPr>
          <w:rStyle w:val="EndnoteReference"/>
          <w:rFonts w:cs="Arial"/>
          <w:sz w:val="24"/>
          <w:lang w:val="en"/>
        </w:rPr>
        <w:endnoteReference w:id="32"/>
      </w:r>
    </w:p>
    <w:p w:rsidR="00D71729" w:rsidRPr="002B43D6" w:rsidRDefault="00D71729" w:rsidP="00D71729">
      <w:pPr>
        <w:shd w:val="clear" w:color="auto" w:fill="FFFFFF"/>
        <w:spacing w:before="100" w:beforeAutospacing="1" w:after="100" w:afterAutospacing="1"/>
        <w:rPr>
          <w:rFonts w:cs="Arial"/>
          <w:b/>
          <w:i/>
          <w:lang w:val="en"/>
        </w:rPr>
      </w:pPr>
      <w:r w:rsidRPr="002B43D6">
        <w:rPr>
          <w:rFonts w:cs="Arial"/>
          <w:b/>
          <w:i/>
          <w:lang w:val="en"/>
        </w:rPr>
        <w:t xml:space="preserve">1.3 </w:t>
      </w:r>
      <w:r w:rsidRPr="002B43D6">
        <w:rPr>
          <w:rFonts w:cs="Arial"/>
          <w:b/>
          <w:bCs/>
          <w:i/>
          <w:iCs/>
          <w:lang w:val="en"/>
        </w:rPr>
        <w:t>UN statements on sexual orientation and gender identity</w:t>
      </w:r>
    </w:p>
    <w:p w:rsidR="00D71729" w:rsidRPr="00A163C3" w:rsidRDefault="00D71729" w:rsidP="00D71729">
      <w:pPr>
        <w:shd w:val="clear" w:color="auto" w:fill="FFFFFF"/>
        <w:spacing w:before="100" w:beforeAutospacing="1" w:after="100" w:afterAutospacing="1"/>
        <w:rPr>
          <w:rFonts w:cs="Arial"/>
          <w:lang w:val="en"/>
        </w:rPr>
      </w:pPr>
      <w:r w:rsidRPr="00A163C3">
        <w:rPr>
          <w:rFonts w:cs="Arial"/>
          <w:lang w:val="en"/>
        </w:rPr>
        <w:t>Support for the view that international human rights standards apply to people of all sexual orientations and gender identities is found in several United Nations statements.</w:t>
      </w:r>
    </w:p>
    <w:p w:rsidR="00BD256D" w:rsidRDefault="00D71729" w:rsidP="00D71729">
      <w:pPr>
        <w:shd w:val="clear" w:color="auto" w:fill="FFFFFF"/>
        <w:spacing w:before="100" w:beforeAutospacing="1" w:after="100" w:afterAutospacing="1"/>
        <w:rPr>
          <w:rFonts w:cs="Arial"/>
          <w:lang w:val="en"/>
        </w:rPr>
      </w:pPr>
      <w:r w:rsidRPr="00A163C3">
        <w:rPr>
          <w:rFonts w:cs="Arial"/>
          <w:lang w:val="en"/>
        </w:rPr>
        <w:t>On 22 March 2011, the UN Human Rights Council issued a Joint Statement on Sexual Orientation and Gender Identity that was supported by 85 countries.</w:t>
      </w:r>
      <w:r w:rsidRPr="00A163C3">
        <w:rPr>
          <w:rStyle w:val="EndnoteReference"/>
          <w:rFonts w:cs="Arial"/>
          <w:sz w:val="24"/>
          <w:lang w:val="en"/>
        </w:rPr>
        <w:endnoteReference w:id="33"/>
      </w:r>
      <w:r w:rsidRPr="00A163C3">
        <w:rPr>
          <w:rFonts w:cs="Arial"/>
          <w:lang w:val="en"/>
        </w:rPr>
        <w:t xml:space="preserve"> This builds on earlier statements in 2006 (supported by 54 countries) and in 2007 (supported by 66 countries).</w:t>
      </w:r>
      <w:r w:rsidRPr="00A163C3">
        <w:rPr>
          <w:rStyle w:val="EndnoteReference"/>
          <w:rFonts w:cs="Arial"/>
          <w:sz w:val="24"/>
          <w:lang w:val="en"/>
        </w:rPr>
        <w:endnoteReference w:id="34"/>
      </w:r>
      <w:r w:rsidRPr="00A163C3">
        <w:rPr>
          <w:rFonts w:cs="Arial"/>
          <w:lang w:val="en"/>
        </w:rPr>
        <w:t xml:space="preserve"> These statements demonstrate the growing international support for and recognition of the rights of all people regardless of their sexual orientation or gender identity. </w:t>
      </w:r>
    </w:p>
    <w:p w:rsidR="00131179" w:rsidRDefault="00131179" w:rsidP="00D71729">
      <w:pPr>
        <w:shd w:val="clear" w:color="auto" w:fill="FFFFFF"/>
        <w:spacing w:before="100" w:beforeAutospacing="1" w:after="100" w:afterAutospacing="1"/>
        <w:rPr>
          <w:rFonts w:cs="Arial"/>
          <w:lang w:val="en"/>
        </w:rPr>
      </w:pPr>
    </w:p>
    <w:p w:rsidR="00131179" w:rsidRPr="00A163C3" w:rsidRDefault="00131179" w:rsidP="00D71729">
      <w:pPr>
        <w:shd w:val="clear" w:color="auto" w:fill="FFFFFF"/>
        <w:spacing w:before="100" w:beforeAutospacing="1" w:after="100" w:afterAutospacing="1"/>
        <w:rPr>
          <w:rFonts w:cs="Arial"/>
          <w:lang w:val="en"/>
        </w:rPr>
      </w:pPr>
    </w:p>
    <w:p w:rsidR="00D71729" w:rsidRPr="002B43D6" w:rsidRDefault="00D71729" w:rsidP="00D71729">
      <w:pPr>
        <w:shd w:val="clear" w:color="auto" w:fill="FFFFFF"/>
        <w:spacing w:before="100" w:beforeAutospacing="1" w:after="100" w:afterAutospacing="1"/>
        <w:outlineLvl w:val="3"/>
        <w:rPr>
          <w:rFonts w:cs="Arial"/>
          <w:b/>
          <w:bCs/>
          <w:i/>
          <w:lang w:val="en"/>
        </w:rPr>
      </w:pPr>
      <w:r w:rsidRPr="002B43D6">
        <w:rPr>
          <w:rFonts w:cs="Arial"/>
          <w:b/>
          <w:bCs/>
          <w:i/>
          <w:iCs/>
          <w:lang w:val="en"/>
        </w:rPr>
        <w:lastRenderedPageBreak/>
        <w:t>1.4 The Yogyakarta Principles</w:t>
      </w:r>
    </w:p>
    <w:p w:rsidR="00D71729" w:rsidRPr="00A163C3" w:rsidRDefault="00D71729" w:rsidP="00D71729">
      <w:pPr>
        <w:spacing w:before="100" w:beforeAutospacing="1" w:after="100" w:afterAutospacing="1"/>
        <w:rPr>
          <w:rFonts w:cs="Arial"/>
        </w:rPr>
      </w:pPr>
      <w:r w:rsidRPr="00A163C3">
        <w:rPr>
          <w:rFonts w:cs="Arial"/>
          <w:lang w:val="en"/>
        </w:rPr>
        <w:t xml:space="preserve">The </w:t>
      </w:r>
      <w:hyperlink r:id="rId25" w:tgtFrame="new" w:history="1">
        <w:r w:rsidRPr="00A163C3">
          <w:rPr>
            <w:rFonts w:cs="Arial"/>
            <w:i/>
            <w:iCs/>
            <w:lang w:val="en"/>
          </w:rPr>
          <w:t>Yogyakarta Principles</w:t>
        </w:r>
      </w:hyperlink>
      <w:r w:rsidRPr="00A163C3">
        <w:rPr>
          <w:rFonts w:cs="Arial"/>
          <w:i/>
          <w:iCs/>
          <w:lang w:val="en"/>
        </w:rPr>
        <w:t xml:space="preserve"> on the Application of International Human Rights Law in Relation to Sexual Orientation and Gender Identity</w:t>
      </w:r>
      <w:r w:rsidRPr="00A163C3">
        <w:rPr>
          <w:rFonts w:cs="Arial"/>
          <w:lang w:val="en"/>
        </w:rPr>
        <w:t xml:space="preserve"> were developed in 2006 by a group of international legal experts an</w:t>
      </w:r>
      <w:r>
        <w:rPr>
          <w:rFonts w:cs="Arial"/>
          <w:lang w:val="en"/>
        </w:rPr>
        <w:t>d</w:t>
      </w:r>
      <w:r w:rsidRPr="00A163C3">
        <w:rPr>
          <w:rFonts w:cs="Arial"/>
          <w:lang w:val="en"/>
        </w:rPr>
        <w:t xml:space="preserve"> adopted in March 2007 in Yogyakarta, Indonesia.</w:t>
      </w:r>
      <w:r w:rsidRPr="00A163C3">
        <w:rPr>
          <w:rStyle w:val="EndnoteReference"/>
          <w:rFonts w:cs="Arial"/>
          <w:sz w:val="24"/>
          <w:lang w:val="en"/>
        </w:rPr>
        <w:endnoteReference w:id="35"/>
      </w:r>
    </w:p>
    <w:p w:rsidR="00D71729" w:rsidRPr="00A163C3" w:rsidRDefault="00D71729" w:rsidP="00D71729">
      <w:pPr>
        <w:spacing w:before="100" w:beforeAutospacing="1" w:after="100" w:afterAutospacing="1"/>
        <w:rPr>
          <w:rFonts w:cs="Arial"/>
        </w:rPr>
      </w:pPr>
      <w:r w:rsidRPr="00A163C3">
        <w:rPr>
          <w:rFonts w:cs="Arial"/>
        </w:rPr>
        <w:t>The Yogyakarta Principles are not legally binding themselves, but are an interpretation of already binding agreements from t</w:t>
      </w:r>
      <w:r w:rsidR="00C106A0">
        <w:rPr>
          <w:rFonts w:cs="Arial"/>
        </w:rPr>
        <w:t>he view</w:t>
      </w:r>
      <w:r w:rsidRPr="00A163C3">
        <w:rPr>
          <w:rFonts w:cs="Arial"/>
        </w:rPr>
        <w:t xml:space="preserve">point of sexual orientation and gender identity. Therefore, the Yogyakarta Principles are persuasive in shaping our understanding of how existing binding human rights obligations apply and relate to people who are sex and gender diverse. </w:t>
      </w:r>
    </w:p>
    <w:p w:rsidR="00D71729" w:rsidRPr="00A163C3" w:rsidRDefault="00D71729" w:rsidP="00D71729">
      <w:pPr>
        <w:spacing w:before="100" w:beforeAutospacing="1" w:after="100" w:afterAutospacing="1"/>
        <w:rPr>
          <w:rFonts w:cs="Arial"/>
        </w:rPr>
      </w:pPr>
      <w:r w:rsidRPr="00A163C3">
        <w:rPr>
          <w:rFonts w:cs="Arial"/>
        </w:rPr>
        <w:t>In particular, Yogyakarta Principle 3 outlines the right to recognition before the law for all people regardless of gender identity: </w:t>
      </w:r>
    </w:p>
    <w:p w:rsidR="00D71729" w:rsidRPr="002B43D6" w:rsidRDefault="00D71729" w:rsidP="00D71729">
      <w:pPr>
        <w:spacing w:before="100" w:beforeAutospacing="1" w:after="100" w:afterAutospacing="1"/>
        <w:ind w:left="720"/>
        <w:rPr>
          <w:rFonts w:cs="Arial"/>
          <w:b/>
          <w:sz w:val="22"/>
          <w:szCs w:val="22"/>
        </w:rPr>
      </w:pPr>
      <w:r w:rsidRPr="002B43D6">
        <w:rPr>
          <w:rStyle w:val="Strong"/>
          <w:rFonts w:cs="Arial"/>
          <w:b w:val="0"/>
          <w:sz w:val="22"/>
          <w:szCs w:val="22"/>
        </w:rPr>
        <w:t>Everyone has the right to recognition everywhere as a person before the law. Persons of diverse sexual orientations and gender identities shall enjoy legal capacity in all aspects of life. Each person’s self-defined sexual orientation and gender identity is integral to their personality and is one of the most basic aspects of self-determination, dignity and freedom. No one shall be forced to undergo medical procedures, including sex reassignment surgery, sterilisation or hormonal therapy, as a requirement for legal recognition of their gender identity. No status, such as marriage or parenthood, may be invoked as such to prevent the legal recognition of a person’s gender identity. No one shall be subjected to pressure to conceal, suppress or deny their sexual orientation or gender identity. </w:t>
      </w:r>
    </w:p>
    <w:p w:rsidR="00D71729" w:rsidRPr="00A163C3" w:rsidRDefault="00D71729" w:rsidP="00D71729">
      <w:pPr>
        <w:spacing w:before="100" w:beforeAutospacing="1" w:after="100" w:afterAutospacing="1"/>
        <w:rPr>
          <w:rFonts w:cs="Arial"/>
        </w:rPr>
      </w:pPr>
      <w:r w:rsidRPr="00A163C3">
        <w:rPr>
          <w:rFonts w:cs="Arial"/>
        </w:rPr>
        <w:t>In addition, Yogyakarta Principle 3 details actions that countries such as Australia should undertake to ensure they are not in breach of their human rights obligations, including:</w:t>
      </w:r>
    </w:p>
    <w:p w:rsidR="00D71729" w:rsidRPr="00A163C3" w:rsidRDefault="00D71729" w:rsidP="00D71729">
      <w:pPr>
        <w:numPr>
          <w:ilvl w:val="0"/>
          <w:numId w:val="34"/>
        </w:numPr>
        <w:spacing w:after="120"/>
        <w:ind w:left="714" w:hanging="357"/>
        <w:rPr>
          <w:rFonts w:cs="Arial"/>
        </w:rPr>
      </w:pPr>
      <w:r w:rsidRPr="00A163C3">
        <w:rPr>
          <w:rFonts w:cs="Arial"/>
        </w:rPr>
        <w:t>embodying the principles of equality and non-discrimination on the basis of sexual orientation and gender identity into national constitutions or other appropriate legislation</w:t>
      </w:r>
    </w:p>
    <w:p w:rsidR="00D71729" w:rsidRPr="00A163C3" w:rsidRDefault="00D71729" w:rsidP="00D71729">
      <w:pPr>
        <w:numPr>
          <w:ilvl w:val="0"/>
          <w:numId w:val="34"/>
        </w:numPr>
        <w:spacing w:after="120"/>
        <w:ind w:left="714" w:hanging="357"/>
        <w:rPr>
          <w:rFonts w:cs="Arial"/>
        </w:rPr>
      </w:pPr>
      <w:r w:rsidRPr="00A163C3">
        <w:rPr>
          <w:rFonts w:cs="Arial"/>
        </w:rPr>
        <w:t>adopting appropriate legislative and other measures to prohibit and eliminate discrimination in the public and private spheres on the basis of sexual orientation and gender identity.</w:t>
      </w:r>
      <w:r w:rsidRPr="00A163C3">
        <w:rPr>
          <w:rStyle w:val="EndnoteReference"/>
          <w:rFonts w:cs="Arial"/>
          <w:sz w:val="24"/>
        </w:rPr>
        <w:endnoteReference w:id="36"/>
      </w:r>
    </w:p>
    <w:p w:rsidR="00D71729" w:rsidRPr="00A163C3" w:rsidRDefault="00D71729" w:rsidP="00D71729">
      <w:pPr>
        <w:spacing w:before="100" w:beforeAutospacing="1" w:after="100" w:afterAutospacing="1"/>
        <w:rPr>
          <w:rFonts w:cs="Arial"/>
        </w:rPr>
      </w:pPr>
      <w:r w:rsidRPr="00A163C3">
        <w:rPr>
          <w:rFonts w:cs="Arial"/>
          <w:lang w:val="en"/>
        </w:rPr>
        <w:t>The Preamble recognises the historical human rights violations faced by people who are lesbian, gay, bisexual, trans or intersex. However, the Principles themselves do not use these terms. Instead, the Yogyakarta Principles are phrased in neutral language that aims to recognise the rights of all peoples.</w:t>
      </w:r>
      <w:r w:rsidRPr="00A163C3">
        <w:rPr>
          <w:rStyle w:val="EndnoteReference"/>
          <w:rFonts w:cs="Arial"/>
          <w:sz w:val="24"/>
          <w:lang w:val="en"/>
        </w:rPr>
        <w:endnoteReference w:id="37"/>
      </w:r>
    </w:p>
    <w:bookmarkEnd w:id="5"/>
    <w:p w:rsidR="00D71729" w:rsidRPr="00A163C3" w:rsidRDefault="00D71729" w:rsidP="00D71729">
      <w:pPr>
        <w:spacing w:before="100" w:beforeAutospacing="1" w:after="100" w:afterAutospacing="1"/>
        <w:rPr>
          <w:rFonts w:cs="Arial"/>
          <w:b/>
        </w:rPr>
      </w:pPr>
      <w:r w:rsidRPr="00A163C3">
        <w:rPr>
          <w:rFonts w:cs="Arial"/>
          <w:b/>
        </w:rPr>
        <w:br w:type="page"/>
      </w:r>
    </w:p>
    <w:p w:rsidR="008A2AF7" w:rsidRPr="00A02F56" w:rsidRDefault="008A2AF7" w:rsidP="00A02F56"/>
    <w:sectPr w:rsidR="008A2AF7" w:rsidRPr="00A02F56" w:rsidSect="00CE7182">
      <w:footerReference w:type="default" r:id="rId26"/>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C2" w:rsidRDefault="005069C2" w:rsidP="00F14C6D">
      <w:r>
        <w:separator/>
      </w:r>
    </w:p>
  </w:endnote>
  <w:endnote w:type="continuationSeparator" w:id="0">
    <w:p w:rsidR="005069C2" w:rsidRDefault="005069C2" w:rsidP="00F14C6D">
      <w:r>
        <w:continuationSeparator/>
      </w:r>
    </w:p>
  </w:endnote>
  <w:endnote w:id="1">
    <w:p w:rsidR="005069C2" w:rsidRPr="00B715DB" w:rsidRDefault="005069C2" w:rsidP="00FC4745">
      <w:pPr>
        <w:pStyle w:val="EndnoteText"/>
      </w:pPr>
      <w:r w:rsidRPr="00B715DB">
        <w:rPr>
          <w:rStyle w:val="EndnoteReference"/>
        </w:rPr>
        <w:endnoteRef/>
      </w:r>
      <w:r w:rsidRPr="00B715DB">
        <w:t xml:space="preserve"> </w:t>
      </w:r>
      <w:bookmarkStart w:id="1" w:name="OLE_LINK4"/>
      <w:r w:rsidRPr="00B715DB">
        <w:rPr>
          <w:rFonts w:cs="Arial"/>
          <w:lang w:val="en"/>
        </w:rPr>
        <w:t>Australian Human Rights Commission,</w:t>
      </w:r>
      <w:bookmarkEnd w:id="1"/>
      <w:r w:rsidRPr="00B715DB">
        <w:rPr>
          <w:rFonts w:cs="Arial"/>
          <w:lang w:val="en"/>
        </w:rPr>
        <w:t xml:space="preserve"> </w:t>
      </w:r>
      <w:r w:rsidRPr="00B715DB">
        <w:rPr>
          <w:rFonts w:cs="Arial"/>
          <w:i/>
          <w:lang w:val="en"/>
        </w:rPr>
        <w:t xml:space="preserve">Sex Files: the legal recognition: Concluding paper of the sex and gender consultation </w:t>
      </w:r>
      <w:r w:rsidRPr="00B715DB">
        <w:rPr>
          <w:rFonts w:cs="Arial"/>
          <w:lang w:val="en"/>
        </w:rPr>
        <w:t xml:space="preserve">(2009). At: </w:t>
      </w:r>
      <w:hyperlink r:id="rId1" w:history="1">
        <w:r w:rsidRPr="00B715DB">
          <w:rPr>
            <w:rStyle w:val="Hyperlink"/>
            <w:rFonts w:cs="Arial"/>
          </w:rPr>
          <w:t>https://www.humanrights.gov.au/sex-files-legal-recognition-concluding-paper-sex-and-gender-2009</w:t>
        </w:r>
      </w:hyperlink>
      <w:r w:rsidRPr="00B715DB">
        <w:rPr>
          <w:rStyle w:val="Hyperlink"/>
          <w:rFonts w:cs="Arial"/>
        </w:rPr>
        <w:t>.</w:t>
      </w:r>
    </w:p>
  </w:endnote>
  <w:endnote w:id="2">
    <w:p w:rsidR="005069C2" w:rsidRPr="00B715DB" w:rsidRDefault="005069C2" w:rsidP="00FC4745">
      <w:pPr>
        <w:pStyle w:val="EndnoteText"/>
        <w:rPr>
          <w:rFonts w:cs="Arial"/>
        </w:rPr>
      </w:pPr>
      <w:r w:rsidRPr="00B715DB">
        <w:rPr>
          <w:rStyle w:val="EndnoteReference"/>
          <w:rFonts w:cs="Arial"/>
        </w:rPr>
        <w:endnoteRef/>
      </w:r>
      <w:r w:rsidRPr="00B715DB">
        <w:rPr>
          <w:rFonts w:cs="Arial"/>
        </w:rPr>
        <w:t xml:space="preserve"> </w:t>
      </w:r>
      <w:r w:rsidRPr="00B715DB">
        <w:rPr>
          <w:rFonts w:cs="Arial"/>
          <w:lang w:val="en"/>
        </w:rPr>
        <w:t xml:space="preserve">Quinn, Sheila, ARC International and International Commission of Jurists, </w:t>
      </w:r>
      <w:r w:rsidRPr="00B715DB">
        <w:rPr>
          <w:rStyle w:val="Emphasis"/>
          <w:rFonts w:cs="Arial"/>
          <w:lang w:val="en"/>
        </w:rPr>
        <w:t>An Activists Guide to the Yogyakarta Principles on the Application of International Human Rights Law in Relation to Sexual Orientation and Gender Identity</w:t>
      </w:r>
      <w:r w:rsidRPr="00B715DB">
        <w:rPr>
          <w:rFonts w:cs="Arial"/>
          <w:lang w:val="en"/>
        </w:rPr>
        <w:t xml:space="preserve"> (2010). At: </w:t>
      </w:r>
      <w:hyperlink r:id="rId2" w:history="1">
        <w:r w:rsidRPr="00B715DB">
          <w:rPr>
            <w:rStyle w:val="Hyperlink"/>
            <w:rFonts w:cs="Arial"/>
            <w:lang w:val="en"/>
          </w:rPr>
          <w:t>http://www.ypinaction.org/content/activists_guide</w:t>
        </w:r>
      </w:hyperlink>
      <w:r w:rsidRPr="00B715DB">
        <w:rPr>
          <w:rFonts w:cs="Arial"/>
          <w:lang w:val="en"/>
        </w:rPr>
        <w:t>.</w:t>
      </w:r>
    </w:p>
  </w:endnote>
  <w:endnote w:id="3">
    <w:p w:rsidR="005069C2" w:rsidRPr="00B715DB" w:rsidRDefault="005069C2">
      <w:pPr>
        <w:pStyle w:val="EndnoteText"/>
      </w:pPr>
      <w:r w:rsidRPr="00B715DB">
        <w:rPr>
          <w:rStyle w:val="EndnoteReference"/>
        </w:rPr>
        <w:endnoteRef/>
      </w:r>
      <w:r w:rsidRPr="00B715DB">
        <w:t xml:space="preserve"> </w:t>
      </w:r>
      <w:r w:rsidRPr="00B715DB">
        <w:rPr>
          <w:rFonts w:cs="Arial"/>
        </w:rPr>
        <w:t xml:space="preserve">United Nations Office of the High Commissioner for Human Rights, </w:t>
      </w:r>
      <w:r w:rsidRPr="00B715DB">
        <w:rPr>
          <w:rFonts w:cs="Arial"/>
          <w:i/>
        </w:rPr>
        <w:t>Free &amp; Equal</w:t>
      </w:r>
      <w:r w:rsidRPr="00B715DB">
        <w:rPr>
          <w:rFonts w:cs="Arial"/>
        </w:rPr>
        <w:t>;</w:t>
      </w:r>
      <w:r w:rsidRPr="00B715DB">
        <w:rPr>
          <w:rFonts w:cs="Arial"/>
          <w:i/>
        </w:rPr>
        <w:t xml:space="preserve"> A United Nations campaign for lesbian, gay, bisexual, and transgender equality</w:t>
      </w:r>
      <w:r w:rsidRPr="00B715DB">
        <w:rPr>
          <w:rFonts w:cs="Arial"/>
        </w:rPr>
        <w:t xml:space="preserve">. At: </w:t>
      </w:r>
      <w:hyperlink r:id="rId3" w:history="1">
        <w:r w:rsidRPr="00B715DB">
          <w:rPr>
            <w:rStyle w:val="Hyperlink"/>
            <w:rFonts w:cs="Arial"/>
          </w:rPr>
          <w:t>https://www.unfe.org/en/about</w:t>
        </w:r>
      </w:hyperlink>
      <w:r w:rsidRPr="00B715DB">
        <w:rPr>
          <w:rStyle w:val="Hyperlink"/>
          <w:rFonts w:cs="Arial"/>
        </w:rPr>
        <w:t>.</w:t>
      </w:r>
    </w:p>
  </w:endnote>
  <w:endnote w:id="4">
    <w:p w:rsidR="005069C2" w:rsidRPr="00B715DB" w:rsidRDefault="005069C2">
      <w:pPr>
        <w:pStyle w:val="EndnoteText"/>
      </w:pPr>
      <w:r w:rsidRPr="00B715DB">
        <w:rPr>
          <w:rStyle w:val="EndnoteReference"/>
        </w:rPr>
        <w:endnoteRef/>
      </w:r>
      <w:r w:rsidRPr="00B715DB">
        <w:t xml:space="preserve"> </w:t>
      </w:r>
      <w:r w:rsidRPr="00B715DB">
        <w:rPr>
          <w:i/>
        </w:rPr>
        <w:t xml:space="preserve">Declaration of Independence </w:t>
      </w:r>
      <w:r w:rsidRPr="00B715DB">
        <w:t xml:space="preserve">(US 1776), at: </w:t>
      </w:r>
      <w:hyperlink r:id="rId4" w:history="1">
        <w:r w:rsidRPr="00B715DB">
          <w:rPr>
            <w:rStyle w:val="Hyperlink"/>
          </w:rPr>
          <w:t>http://www.archives.gov/exhibits/charters/declaration_transcript.html</w:t>
        </w:r>
      </w:hyperlink>
      <w:r w:rsidRPr="00B715DB">
        <w:t>.</w:t>
      </w:r>
    </w:p>
  </w:endnote>
  <w:endnote w:id="5">
    <w:p w:rsidR="005069C2" w:rsidRPr="00B715DB" w:rsidRDefault="005069C2">
      <w:pPr>
        <w:pStyle w:val="EndnoteText"/>
      </w:pPr>
      <w:r w:rsidRPr="00B715DB">
        <w:rPr>
          <w:rStyle w:val="EndnoteReference"/>
        </w:rPr>
        <w:endnoteRef/>
      </w:r>
      <w:r w:rsidRPr="00B715DB">
        <w:t xml:space="preserve"> </w:t>
      </w:r>
      <w:r w:rsidRPr="00B715DB">
        <w:rPr>
          <w:i/>
        </w:rPr>
        <w:t>Declaration of the Rights of Man and the Citizen</w:t>
      </w:r>
      <w:r w:rsidRPr="00B715DB">
        <w:t xml:space="preserve"> (National Assembly of France, 1789), Art. 2, at: </w:t>
      </w:r>
      <w:hyperlink r:id="rId5" w:history="1">
        <w:r w:rsidRPr="00B715DB">
          <w:rPr>
            <w:rStyle w:val="Hyperlink"/>
          </w:rPr>
          <w:t>http://avalon.law.yale.edu/18th_century/rightsof.asp</w:t>
        </w:r>
      </w:hyperlink>
      <w:r w:rsidRPr="00B715DB">
        <w:t xml:space="preserve"> </w:t>
      </w:r>
    </w:p>
  </w:endnote>
  <w:endnote w:id="6">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United Nations Office of the High Commissioner for Human Rights, above n3.</w:t>
      </w:r>
      <w:r w:rsidRPr="00B715DB">
        <w:rPr>
          <w:rFonts w:cs="Arial"/>
        </w:rPr>
        <w:tab/>
      </w:r>
    </w:p>
  </w:endnote>
  <w:endnote w:id="7">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r w:rsidRPr="00B715DB">
        <w:rPr>
          <w:rFonts w:cs="Arial"/>
          <w:lang w:val="en"/>
        </w:rPr>
        <w:t xml:space="preserve">Human Rights Committee, </w:t>
      </w:r>
      <w:r w:rsidRPr="00B715DB">
        <w:rPr>
          <w:rStyle w:val="Emphasis"/>
          <w:rFonts w:cs="Arial"/>
          <w:lang w:val="en"/>
        </w:rPr>
        <w:t>Toonen v Australia</w:t>
      </w:r>
      <w:r w:rsidRPr="00B715DB">
        <w:rPr>
          <w:rFonts w:cs="Arial"/>
          <w:lang w:val="en"/>
        </w:rPr>
        <w:t>, Communication No. 488/1992, UN Doc CCPR/C/50/D/488/92 (1992).</w:t>
      </w:r>
    </w:p>
  </w:endnote>
  <w:endnote w:id="8">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United Nations Office of the High Commissioner for Human Rights, above n3.</w:t>
      </w:r>
      <w:r w:rsidRPr="00B715DB">
        <w:rPr>
          <w:rFonts w:cs="Arial"/>
        </w:rPr>
        <w:tab/>
      </w:r>
    </w:p>
  </w:endnote>
  <w:endnote w:id="9">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NSW Gay and Lesbian Rights Lobby, </w:t>
      </w:r>
      <w:r w:rsidRPr="00B715DB">
        <w:rPr>
          <w:rFonts w:cs="Arial"/>
          <w:i/>
        </w:rPr>
        <w:t>In Their Own Words: Lesbian, gay, bisexual, trans* and intersex Australians speak about discrimination</w:t>
      </w:r>
      <w:r w:rsidRPr="00B715DB">
        <w:rPr>
          <w:rFonts w:cs="Arial"/>
        </w:rPr>
        <w:t>, (due for release in 2014).</w:t>
      </w:r>
    </w:p>
  </w:endnote>
  <w:endnote w:id="10">
    <w:p w:rsidR="005069C2" w:rsidRPr="00B715DB" w:rsidRDefault="005069C2" w:rsidP="00D71729">
      <w:pPr>
        <w:pStyle w:val="EndnoteText"/>
      </w:pPr>
      <w:r w:rsidRPr="00B715DB">
        <w:rPr>
          <w:rStyle w:val="EndnoteReference"/>
        </w:rPr>
        <w:endnoteRef/>
      </w:r>
      <w:r w:rsidRPr="00B715DB">
        <w:t xml:space="preserve"> </w:t>
      </w:r>
      <w:r w:rsidRPr="00B715DB">
        <w:rPr>
          <w:rFonts w:cs="Arial"/>
          <w:lang w:val="en"/>
        </w:rPr>
        <w:t xml:space="preserve">Australian Human Rights Commission, </w:t>
      </w:r>
      <w:r w:rsidRPr="00B715DB">
        <w:rPr>
          <w:rFonts w:cs="Arial"/>
          <w:i/>
        </w:rPr>
        <w:t xml:space="preserve">Addressing sexual orientation and sex and/or gender identity discrimination: Consultation report </w:t>
      </w:r>
      <w:r w:rsidRPr="00B715DB">
        <w:rPr>
          <w:rFonts w:cs="Arial"/>
        </w:rPr>
        <w:t xml:space="preserve">(2011). At: </w:t>
      </w:r>
      <w:hyperlink r:id="rId6" w:history="1">
        <w:r w:rsidRPr="00B715DB">
          <w:rPr>
            <w:rStyle w:val="Hyperlink"/>
            <w:rFonts w:cs="Arial"/>
          </w:rPr>
          <w:t>http://www.humanrights.gov.au/human_rights/lgbti/lgbticonsult/index.html</w:t>
        </w:r>
      </w:hyperlink>
      <w:r w:rsidRPr="00B715DB">
        <w:rPr>
          <w:rStyle w:val="Hyperlink"/>
          <w:rFonts w:cs="Arial"/>
        </w:rPr>
        <w:t>.</w:t>
      </w:r>
    </w:p>
  </w:endnote>
  <w:endnote w:id="11">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Australian Human Rights Commission, </w:t>
      </w:r>
      <w:r w:rsidRPr="00B715DB">
        <w:rPr>
          <w:rFonts w:cs="Arial"/>
          <w:i/>
          <w:lang w:val="en"/>
        </w:rPr>
        <w:t>New protection against discrimination on the basis of sexual orientation, gender identity and intersex status</w:t>
      </w:r>
      <w:r w:rsidRPr="00B715DB">
        <w:rPr>
          <w:rFonts w:cs="Arial"/>
          <w:lang w:val="en"/>
        </w:rPr>
        <w:t xml:space="preserve">. At: </w:t>
      </w:r>
      <w:hyperlink r:id="rId7" w:history="1">
        <w:r w:rsidRPr="00B715DB">
          <w:rPr>
            <w:rStyle w:val="Hyperlink"/>
            <w:rFonts w:cs="Arial"/>
          </w:rPr>
          <w:t>https://www.humanrights.gov.au/new-protection</w:t>
        </w:r>
      </w:hyperlink>
      <w:r w:rsidRPr="00B715DB">
        <w:rPr>
          <w:rFonts w:cs="Arial"/>
        </w:rPr>
        <w:t>.</w:t>
      </w:r>
    </w:p>
  </w:endnote>
  <w:endnote w:id="12">
    <w:p w:rsidR="005069C2" w:rsidRPr="00B715DB" w:rsidRDefault="005069C2" w:rsidP="00D71729">
      <w:pPr>
        <w:pStyle w:val="EndnoteText"/>
      </w:pPr>
      <w:r w:rsidRPr="00B715DB">
        <w:rPr>
          <w:rStyle w:val="EndnoteReference"/>
        </w:rPr>
        <w:endnoteRef/>
      </w:r>
      <w:r w:rsidRPr="00B715DB">
        <w:t xml:space="preserve"> </w:t>
      </w:r>
      <w:r w:rsidRPr="00B715DB">
        <w:rPr>
          <w:rFonts w:cs="Arial"/>
          <w:i/>
        </w:rPr>
        <w:t xml:space="preserve">Australian Government Guidelines on Sex and Gender Recognition (2013). At: </w:t>
      </w:r>
      <w:hyperlink r:id="rId8" w:history="1">
        <w:r w:rsidRPr="00B715DB">
          <w:rPr>
            <w:rStyle w:val="Hyperlink"/>
            <w:rFonts w:cs="Arial"/>
          </w:rPr>
          <w:t>http://www.ag.gov.au/Publications/Documents/AustralianGovernmentGuidelinesontheRecognitionofSexandGender/AustralianGovernmentGuidelinesontheRecognitionofSexandGender.PDF</w:t>
        </w:r>
      </w:hyperlink>
      <w:r w:rsidRPr="00B715DB">
        <w:rPr>
          <w:rStyle w:val="Hyperlink"/>
          <w:rFonts w:cs="Arial"/>
        </w:rPr>
        <w:t>.</w:t>
      </w:r>
    </w:p>
  </w:endnote>
  <w:endnote w:id="13">
    <w:p w:rsidR="005069C2" w:rsidRPr="00B715DB" w:rsidRDefault="005069C2" w:rsidP="00D71729">
      <w:pPr>
        <w:pStyle w:val="EndnoteText"/>
        <w:rPr>
          <w:rFonts w:cs="Arial"/>
          <w:color w:val="262626"/>
        </w:rPr>
      </w:pPr>
      <w:r w:rsidRPr="00B715DB">
        <w:rPr>
          <w:rStyle w:val="EndnoteReference"/>
          <w:rFonts w:cs="Arial"/>
        </w:rPr>
        <w:endnoteRef/>
      </w:r>
      <w:r w:rsidRPr="00B715DB">
        <w:rPr>
          <w:rFonts w:cs="Arial"/>
        </w:rPr>
        <w:t xml:space="preserve"> </w:t>
      </w:r>
      <w:r w:rsidRPr="00B715DB">
        <w:rPr>
          <w:rFonts w:cs="Arial"/>
          <w:i/>
        </w:rPr>
        <w:t xml:space="preserve">Foundation for Young Australians </w:t>
      </w:r>
      <w:r w:rsidRPr="00B715DB">
        <w:rPr>
          <w:rFonts w:cs="Arial"/>
          <w:i/>
          <w:color w:val="262626"/>
        </w:rPr>
        <w:t>Safe Schools Coalition Australia (2014)</w:t>
      </w:r>
      <w:r w:rsidRPr="00B715DB">
        <w:rPr>
          <w:rFonts w:cs="Arial"/>
          <w:color w:val="262626"/>
        </w:rPr>
        <w:t xml:space="preserve">. </w:t>
      </w:r>
      <w:r w:rsidRPr="00B715DB">
        <w:rPr>
          <w:rFonts w:cs="Arial"/>
          <w:lang w:val="en"/>
        </w:rPr>
        <w:t>At:</w:t>
      </w:r>
      <w:r w:rsidRPr="00B715DB">
        <w:rPr>
          <w:rFonts w:cs="Arial"/>
          <w:color w:val="262626"/>
        </w:rPr>
        <w:t xml:space="preserve"> </w:t>
      </w:r>
      <w:hyperlink r:id="rId9" w:history="1">
        <w:r w:rsidRPr="00B715DB">
          <w:rPr>
            <w:rStyle w:val="Hyperlink"/>
            <w:rFonts w:cs="Arial"/>
          </w:rPr>
          <w:t>http://www.fya.org.au/inside-fya/initiatives/safe-schools-coalition-australia</w:t>
        </w:r>
      </w:hyperlink>
      <w:r w:rsidRPr="00B715DB">
        <w:rPr>
          <w:rFonts w:cs="Arial"/>
        </w:rPr>
        <w:t>.</w:t>
      </w:r>
    </w:p>
  </w:endnote>
  <w:endnote w:id="14">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See for example, Australian Human Rights Commission (2011), above n10; Inner City Legal Centre, </w:t>
      </w:r>
      <w:r w:rsidRPr="00B715DB">
        <w:rPr>
          <w:rFonts w:cs="Arial"/>
          <w:i/>
        </w:rPr>
        <w:t xml:space="preserve">Outing Injustice: Understanding the legal needs of the lesbian, gay, bisexual, transgender and intersex communities in New South Wales </w:t>
      </w:r>
      <w:r w:rsidRPr="00B715DB">
        <w:rPr>
          <w:rFonts w:cs="Arial"/>
        </w:rPr>
        <w:t xml:space="preserve">(2011). At: </w:t>
      </w:r>
      <w:hyperlink r:id="rId10" w:history="1">
        <w:r w:rsidRPr="00B715DB">
          <w:rPr>
            <w:rStyle w:val="Hyperlink"/>
            <w:rFonts w:cs="Arial"/>
          </w:rPr>
          <w:t>http://www.iclc.org.au/outinginjustice/</w:t>
        </w:r>
      </w:hyperlink>
      <w:r w:rsidRPr="00B715DB">
        <w:rPr>
          <w:rFonts w:cs="Arial"/>
        </w:rPr>
        <w:t>.</w:t>
      </w:r>
    </w:p>
  </w:endnote>
  <w:endnote w:id="15">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Australian Human Rights Commission (2011), above n10</w:t>
      </w:r>
      <w:r w:rsidRPr="00B715DB">
        <w:rPr>
          <w:rFonts w:cs="Arial"/>
          <w:lang w:val="en"/>
        </w:rPr>
        <w:t>.</w:t>
      </w:r>
    </w:p>
  </w:endnote>
  <w:endnote w:id="16">
    <w:p w:rsidR="005069C2" w:rsidRPr="00B715DB" w:rsidRDefault="005069C2" w:rsidP="00D71729">
      <w:pPr>
        <w:pStyle w:val="EndnoteText"/>
        <w:rPr>
          <w:rFonts w:cs="Arial"/>
          <w:lang w:val="en"/>
        </w:rPr>
      </w:pPr>
      <w:r w:rsidRPr="00B715DB">
        <w:rPr>
          <w:rStyle w:val="EndnoteReference"/>
          <w:rFonts w:cs="Arial"/>
        </w:rPr>
        <w:endnoteRef/>
      </w:r>
      <w:r w:rsidRPr="00B715DB">
        <w:rPr>
          <w:rFonts w:cs="Arial"/>
        </w:rPr>
        <w:t xml:space="preserve"> </w:t>
      </w:r>
      <w:r w:rsidRPr="00B715DB">
        <w:rPr>
          <w:rFonts w:cs="Arial"/>
          <w:lang w:val="en"/>
        </w:rPr>
        <w:t>Australian Human Rights Commission,</w:t>
      </w:r>
      <w:r w:rsidRPr="00B715DB">
        <w:rPr>
          <w:rFonts w:cs="Arial"/>
          <w:i/>
          <w:lang w:val="en"/>
        </w:rPr>
        <w:t xml:space="preserve"> Same-Sex: Same Entitlements, Final Report</w:t>
      </w:r>
      <w:r w:rsidRPr="00B715DB">
        <w:rPr>
          <w:rFonts w:cs="Arial"/>
          <w:lang w:val="en"/>
        </w:rPr>
        <w:t xml:space="preserve"> (2007). At: </w:t>
      </w:r>
      <w:hyperlink r:id="rId11" w:history="1">
        <w:r w:rsidRPr="00B715DB">
          <w:rPr>
            <w:rStyle w:val="Hyperlink"/>
            <w:rFonts w:cs="Arial"/>
            <w:lang w:val="en"/>
          </w:rPr>
          <w:t>https://www.humanrights.gov.au/publications/same-sex-same-entitlements</w:t>
        </w:r>
      </w:hyperlink>
      <w:r w:rsidRPr="00B715DB">
        <w:rPr>
          <w:rStyle w:val="Hyperlink"/>
          <w:rFonts w:cs="Arial"/>
          <w:lang w:val="en"/>
        </w:rPr>
        <w:t>.</w:t>
      </w:r>
    </w:p>
  </w:endnote>
  <w:endnote w:id="17">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r w:rsidRPr="00B715DB">
        <w:rPr>
          <w:rFonts w:cs="Arial"/>
          <w:lang w:val="en"/>
        </w:rPr>
        <w:t>Australian Human Rights Commission</w:t>
      </w:r>
      <w:r>
        <w:rPr>
          <w:rFonts w:cs="Arial"/>
          <w:lang w:val="en"/>
        </w:rPr>
        <w:t xml:space="preserve"> (2009)</w:t>
      </w:r>
      <w:r w:rsidRPr="00B715DB">
        <w:rPr>
          <w:rFonts w:cs="Arial"/>
          <w:lang w:val="en"/>
        </w:rPr>
        <w:t>, above n1.</w:t>
      </w:r>
    </w:p>
  </w:endnote>
  <w:endnote w:id="18">
    <w:p w:rsidR="005069C2" w:rsidRPr="00B715DB" w:rsidRDefault="005069C2" w:rsidP="00D71729">
      <w:pPr>
        <w:pStyle w:val="EndnoteText"/>
        <w:rPr>
          <w:rFonts w:cs="Arial"/>
          <w:lang w:val="en"/>
        </w:rPr>
      </w:pPr>
      <w:r w:rsidRPr="00B715DB">
        <w:rPr>
          <w:rStyle w:val="EndnoteReference"/>
          <w:rFonts w:cs="Arial"/>
        </w:rPr>
        <w:endnoteRef/>
      </w:r>
      <w:r w:rsidRPr="00B715DB">
        <w:rPr>
          <w:rFonts w:cs="Arial"/>
        </w:rPr>
        <w:t xml:space="preserve"> </w:t>
      </w:r>
      <w:bookmarkStart w:id="4" w:name="fn8"/>
      <w:bookmarkEnd w:id="4"/>
      <w:r w:rsidRPr="00B715DB">
        <w:rPr>
          <w:rFonts w:cs="Arial"/>
          <w:lang w:val="en"/>
        </w:rPr>
        <w:t xml:space="preserve">Wilson, Tim. </w:t>
      </w:r>
      <w:r w:rsidRPr="00B715DB">
        <w:rPr>
          <w:rFonts w:cs="Arial"/>
          <w:i/>
          <w:lang w:val="en"/>
        </w:rPr>
        <w:t>SDA Amendments Speech for Australian Public Service Human Rights Network</w:t>
      </w:r>
      <w:r w:rsidRPr="00B715DB">
        <w:rPr>
          <w:rFonts w:cs="Arial"/>
          <w:lang w:val="en"/>
        </w:rPr>
        <w:t>, Monday 7 April 2014, Canberra. At:</w:t>
      </w:r>
      <w:r w:rsidRPr="00B715DB">
        <w:rPr>
          <w:rFonts w:cs="Arial"/>
          <w:lang w:val="en"/>
        </w:rPr>
        <w:br/>
      </w:r>
      <w:hyperlink r:id="rId12" w:history="1">
        <w:r w:rsidRPr="00B715DB">
          <w:rPr>
            <w:rStyle w:val="Hyperlink"/>
            <w:rFonts w:cs="Arial"/>
            <w:lang w:val="en"/>
          </w:rPr>
          <w:t>https://www.humanrights.gov.au/news/speeches/sda-amendments</w:t>
        </w:r>
      </w:hyperlink>
      <w:r w:rsidRPr="00B715DB">
        <w:rPr>
          <w:rStyle w:val="Hyperlink"/>
          <w:rFonts w:cs="Arial"/>
          <w:lang w:val="en"/>
        </w:rPr>
        <w:t>.</w:t>
      </w:r>
    </w:p>
  </w:endnote>
  <w:endnote w:id="19">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Australian Human Rights Commission (2011), above n10.</w:t>
      </w:r>
    </w:p>
  </w:endnote>
  <w:endnote w:id="20">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r w:rsidRPr="00B715DB">
        <w:rPr>
          <w:rStyle w:val="Emphasis"/>
          <w:rFonts w:cs="Arial"/>
          <w:lang w:val="en"/>
        </w:rPr>
        <w:t xml:space="preserve">Toonen v Australia, </w:t>
      </w:r>
      <w:r>
        <w:rPr>
          <w:rStyle w:val="Emphasis"/>
          <w:rFonts w:cs="Arial"/>
          <w:i w:val="0"/>
          <w:lang w:val="en"/>
        </w:rPr>
        <w:t>above n7</w:t>
      </w:r>
      <w:r w:rsidRPr="00B715DB">
        <w:rPr>
          <w:rStyle w:val="Emphasis"/>
          <w:rFonts w:cs="Arial"/>
          <w:i w:val="0"/>
          <w:lang w:val="en"/>
        </w:rPr>
        <w:t>.</w:t>
      </w:r>
    </w:p>
  </w:endnote>
  <w:endnote w:id="21">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r w:rsidRPr="00B715DB">
        <w:rPr>
          <w:rFonts w:cs="Arial"/>
          <w:lang w:val="en"/>
        </w:rPr>
        <w:t xml:space="preserve">Human Rights Committee, </w:t>
      </w:r>
      <w:r w:rsidRPr="00B715DB">
        <w:rPr>
          <w:rStyle w:val="Emphasis"/>
          <w:rFonts w:cs="Arial"/>
          <w:lang w:val="en"/>
        </w:rPr>
        <w:t>Young v Australia</w:t>
      </w:r>
      <w:r w:rsidRPr="00B715DB">
        <w:rPr>
          <w:rFonts w:cs="Arial"/>
          <w:lang w:val="en"/>
        </w:rPr>
        <w:t>, Communication No.</w:t>
      </w:r>
      <w:r w:rsidRPr="00B715DB">
        <w:rPr>
          <w:rStyle w:val="Emphasis"/>
          <w:rFonts w:cs="Arial"/>
          <w:lang w:val="en"/>
        </w:rPr>
        <w:t xml:space="preserve"> </w:t>
      </w:r>
      <w:r w:rsidRPr="00B715DB">
        <w:rPr>
          <w:rFonts w:cs="Arial"/>
          <w:lang w:val="en"/>
        </w:rPr>
        <w:t xml:space="preserve">941/2000, UN Doc CCPR/C/78/D/941/2000 (2003); Nowak, Manfred. </w:t>
      </w:r>
      <w:r w:rsidRPr="00B715DB">
        <w:rPr>
          <w:rStyle w:val="Emphasis"/>
          <w:rFonts w:cs="Arial"/>
          <w:lang w:val="en"/>
        </w:rPr>
        <w:t>UN Covenant on Civil and Political Rights: CCPR Commentary</w:t>
      </w:r>
      <w:r w:rsidRPr="00B715DB">
        <w:rPr>
          <w:rFonts w:cs="Arial"/>
          <w:lang w:val="en"/>
        </w:rPr>
        <w:t xml:space="preserve"> (2005), 623.</w:t>
      </w:r>
    </w:p>
  </w:endnote>
  <w:endnote w:id="22">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bookmarkStart w:id="8" w:name="fn14"/>
      <w:bookmarkEnd w:id="8"/>
      <w:r w:rsidRPr="00B715DB">
        <w:rPr>
          <w:rFonts w:cs="Arial"/>
        </w:rPr>
        <w:t xml:space="preserve">Australian Human Rights Commission (2011), above n10; </w:t>
      </w:r>
      <w:r w:rsidRPr="00B715DB">
        <w:rPr>
          <w:rFonts w:cs="Arial"/>
          <w:lang w:val="en"/>
        </w:rPr>
        <w:t xml:space="preserve">see also O’Flaherty, Michael and John Fisher, ‘Sexual Orientation, Gender Identity and International Human Rights Law: Contextualising the Yogyakarta Principles’ (2008) 8(2) </w:t>
      </w:r>
      <w:r w:rsidRPr="00B715DB">
        <w:rPr>
          <w:rStyle w:val="Emphasis"/>
          <w:rFonts w:cs="Arial"/>
          <w:lang w:val="en"/>
        </w:rPr>
        <w:t>Human Rights Law Review</w:t>
      </w:r>
      <w:r w:rsidRPr="00B715DB">
        <w:rPr>
          <w:rFonts w:cs="Arial"/>
          <w:lang w:val="en"/>
        </w:rPr>
        <w:t xml:space="preserve"> 207. </w:t>
      </w:r>
    </w:p>
  </w:endnote>
  <w:endnote w:id="23">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r w:rsidRPr="00B715DB">
        <w:rPr>
          <w:rFonts w:cs="Arial"/>
          <w:lang w:val="en"/>
        </w:rPr>
        <w:t xml:space="preserve">See, for example, Human Rights Committee, </w:t>
      </w:r>
      <w:r w:rsidRPr="00B715DB">
        <w:rPr>
          <w:rStyle w:val="Emphasis"/>
          <w:rFonts w:cs="Arial"/>
          <w:lang w:val="en"/>
        </w:rPr>
        <w:t>Consideration of Reports Submitted by States Parties Under Article 40 of the Covenant: Concluding Observations of the Human Rights Committee, Russian Federation</w:t>
      </w:r>
      <w:r w:rsidRPr="00B715DB">
        <w:rPr>
          <w:rFonts w:cs="Arial"/>
          <w:lang w:val="en"/>
        </w:rPr>
        <w:t xml:space="preserve">, 24 November 2009, UN Doc CCPR/C/RUS/CO/6; Human Rights Committee, </w:t>
      </w:r>
      <w:r w:rsidRPr="00B715DB">
        <w:rPr>
          <w:rStyle w:val="Emphasis"/>
          <w:rFonts w:cs="Arial"/>
          <w:lang w:val="en"/>
        </w:rPr>
        <w:t>Consideration of Reports Submitted by States Parties Under Article 40 of the Covenant: Concluding Observations of the Human Rights Committee, Colombia</w:t>
      </w:r>
      <w:r w:rsidRPr="00B715DB">
        <w:rPr>
          <w:rFonts w:cs="Arial"/>
          <w:lang w:val="en"/>
        </w:rPr>
        <w:t>, 4 August 2010, UN Doc CCPR/C/CO/6.</w:t>
      </w:r>
    </w:p>
  </w:endnote>
  <w:endnote w:id="24">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r w:rsidRPr="00B715DB">
        <w:rPr>
          <w:rFonts w:cs="Arial"/>
          <w:lang w:val="en"/>
        </w:rPr>
        <w:t xml:space="preserve">See, for example, Human Rights Committee, </w:t>
      </w:r>
      <w:r w:rsidRPr="00B715DB">
        <w:rPr>
          <w:rStyle w:val="Emphasis"/>
          <w:rFonts w:cs="Arial"/>
          <w:lang w:val="en"/>
        </w:rPr>
        <w:t>Consideration of Reports Submitted by States Parties Under Article 40 of the Covenant: Concluding Observations of the Human Rights Committee, Ireland</w:t>
      </w:r>
      <w:r w:rsidRPr="00B715DB">
        <w:rPr>
          <w:rFonts w:cs="Arial"/>
          <w:lang w:val="en"/>
        </w:rPr>
        <w:t>, 30 July 2008, UN Doc CCPR/C/IRL/CO/3.</w:t>
      </w:r>
    </w:p>
  </w:endnote>
  <w:endnote w:id="25">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r w:rsidRPr="00B715DB">
        <w:rPr>
          <w:rFonts w:cs="Arial"/>
          <w:lang w:val="en"/>
        </w:rPr>
        <w:t>See, for example, Committee on Economic, Social and Cultural Rights,</w:t>
      </w:r>
      <w:r w:rsidRPr="00B715DB">
        <w:rPr>
          <w:rStyle w:val="Emphasis"/>
          <w:rFonts w:cs="Arial"/>
          <w:lang w:val="en"/>
        </w:rPr>
        <w:t xml:space="preserve"> General Comment No. 20 – Non-Discrimination in Economic, Social and Cultural Rights</w:t>
      </w:r>
      <w:r w:rsidRPr="00B715DB">
        <w:rPr>
          <w:rFonts w:cs="Arial"/>
          <w:lang w:val="en"/>
        </w:rPr>
        <w:t>, UN Doc E/C.12/GC/20 (2009).</w:t>
      </w:r>
    </w:p>
  </w:endnote>
  <w:endnote w:id="26">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r w:rsidRPr="00B715DB">
        <w:rPr>
          <w:rFonts w:cs="Arial"/>
          <w:lang w:val="en"/>
        </w:rPr>
        <w:t xml:space="preserve">See, for example, Committee on the Rights of the Child, </w:t>
      </w:r>
      <w:r w:rsidRPr="00B715DB">
        <w:rPr>
          <w:rStyle w:val="Emphasis"/>
          <w:rFonts w:cs="Arial"/>
          <w:lang w:val="en"/>
        </w:rPr>
        <w:t>General Comment No. 4: Adolescent health and development in the context of the Convention on the Rights of the Child</w:t>
      </w:r>
      <w:r w:rsidRPr="00B715DB">
        <w:rPr>
          <w:rFonts w:cs="Arial"/>
          <w:lang w:val="en"/>
        </w:rPr>
        <w:t>, 1 July 2003, UN Doc CRC/GC.2003/4.</w:t>
      </w:r>
    </w:p>
  </w:endnote>
  <w:endnote w:id="27">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r w:rsidRPr="00B715DB">
        <w:rPr>
          <w:rFonts w:cs="Arial"/>
          <w:lang w:val="en"/>
        </w:rPr>
        <w:t xml:space="preserve">See, for example, Committee on the Elimination of Discrimination Against Women, </w:t>
      </w:r>
      <w:r w:rsidRPr="00B715DB">
        <w:rPr>
          <w:rStyle w:val="Emphasis"/>
          <w:rFonts w:cs="Arial"/>
          <w:lang w:val="en"/>
        </w:rPr>
        <w:t>Concluding Observations of the Committee on the Elimination of Discrimination Against Women regarding Kyrgyzstan</w:t>
      </w:r>
      <w:r w:rsidRPr="00B715DB">
        <w:rPr>
          <w:rFonts w:cs="Arial"/>
          <w:lang w:val="en"/>
        </w:rPr>
        <w:t>,</w:t>
      </w:r>
      <w:r w:rsidRPr="00B715DB">
        <w:rPr>
          <w:rStyle w:val="Emphasis"/>
          <w:rFonts w:cs="Arial"/>
          <w:lang w:val="en"/>
        </w:rPr>
        <w:t xml:space="preserve"> </w:t>
      </w:r>
      <w:r w:rsidRPr="00B715DB">
        <w:rPr>
          <w:rFonts w:cs="Arial"/>
          <w:lang w:val="en"/>
        </w:rPr>
        <w:t>5 February 1999, UN Doc A/54/38.</w:t>
      </w:r>
    </w:p>
  </w:endnote>
  <w:endnote w:id="28">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Australian Human Rights Commission (2011), above n10. </w:t>
      </w:r>
    </w:p>
  </w:endnote>
  <w:endnote w:id="29">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r w:rsidRPr="00B715DB">
        <w:rPr>
          <w:rFonts w:cs="Arial"/>
          <w:lang w:val="en"/>
        </w:rPr>
        <w:t xml:space="preserve">See, for example, Committee on Economic, Social and Cultural Rights, </w:t>
      </w:r>
      <w:r w:rsidRPr="00B715DB">
        <w:rPr>
          <w:rStyle w:val="Emphasis"/>
          <w:rFonts w:cs="Arial"/>
          <w:lang w:val="en"/>
        </w:rPr>
        <w:t>General Comment No. 20 – Non-Discrimination in Economic, Social and Cultural Rights</w:t>
      </w:r>
      <w:r w:rsidRPr="00B715DB">
        <w:rPr>
          <w:rFonts w:cs="Arial"/>
          <w:lang w:val="en"/>
        </w:rPr>
        <w:t xml:space="preserve">, UN Doc E/C.12/GC/20 (2009); Committee on the Rights of the Child, </w:t>
      </w:r>
      <w:r w:rsidRPr="00B715DB">
        <w:rPr>
          <w:rStyle w:val="Emphasis"/>
          <w:rFonts w:cs="Arial"/>
          <w:lang w:val="en"/>
        </w:rPr>
        <w:t>Concluding Observations of the Committee on the Rights of the Child regarding the United Kingdom</w:t>
      </w:r>
      <w:r w:rsidRPr="00B715DB">
        <w:rPr>
          <w:rFonts w:cs="Arial"/>
          <w:lang w:val="en"/>
        </w:rPr>
        <w:t>, 9 October 2002, UN Doc CRC/C/15/Add.188.</w:t>
      </w:r>
    </w:p>
  </w:endnote>
  <w:endnote w:id="30">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r w:rsidRPr="00B715DB">
        <w:rPr>
          <w:rFonts w:cs="Arial"/>
          <w:lang w:val="en"/>
        </w:rPr>
        <w:t xml:space="preserve">Committee on the Rights of the Child, </w:t>
      </w:r>
      <w:r w:rsidRPr="00B715DB">
        <w:rPr>
          <w:rStyle w:val="Emphasis"/>
          <w:rFonts w:cs="Arial"/>
          <w:lang w:val="en"/>
        </w:rPr>
        <w:t>Concluding Observations of the Committee on the Rights of the Child regarding the United Kingdom</w:t>
      </w:r>
      <w:r w:rsidRPr="00B715DB">
        <w:rPr>
          <w:rFonts w:cs="Arial"/>
          <w:lang w:val="en"/>
        </w:rPr>
        <w:t>, 9 October 2002, UN Doc CRC/C/15/Add.188, p 11.</w:t>
      </w:r>
    </w:p>
  </w:endnote>
  <w:endnote w:id="31">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r w:rsidRPr="00B715DB">
        <w:rPr>
          <w:rFonts w:cs="Arial"/>
          <w:lang w:val="en"/>
        </w:rPr>
        <w:t xml:space="preserve">Committee on the Elimination of Discrimination Against Women, </w:t>
      </w:r>
      <w:r w:rsidRPr="00B715DB">
        <w:rPr>
          <w:rStyle w:val="Emphasis"/>
          <w:rFonts w:cs="Arial"/>
          <w:lang w:val="en"/>
        </w:rPr>
        <w:t>General Recommendation No. 28 on the Core Obligations of State Parties under Article 2 of the Convention on the Elimination of All Forms of Discrimination against Women</w:t>
      </w:r>
      <w:r w:rsidRPr="00B715DB">
        <w:rPr>
          <w:rFonts w:cs="Arial"/>
          <w:lang w:val="en"/>
        </w:rPr>
        <w:t>, 19 October 2010, UN Doc CEDAW/C/2010/47/GC.2.</w:t>
      </w:r>
    </w:p>
  </w:endnote>
  <w:endnote w:id="32">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bookmarkStart w:id="15" w:name="fn24"/>
      <w:bookmarkEnd w:id="15"/>
      <w:r w:rsidRPr="00B715DB">
        <w:rPr>
          <w:rStyle w:val="Emphasis"/>
          <w:rFonts w:cs="Arial"/>
          <w:lang w:val="en"/>
        </w:rPr>
        <w:t>Australian Human Rights Commission Act 1986</w:t>
      </w:r>
      <w:r w:rsidRPr="00B715DB">
        <w:rPr>
          <w:rFonts w:cs="Arial"/>
          <w:lang w:val="en"/>
        </w:rPr>
        <w:t xml:space="preserve"> (Cth), Schedule 1.</w:t>
      </w:r>
    </w:p>
  </w:endnote>
  <w:endnote w:id="33">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r w:rsidRPr="00B715DB">
        <w:rPr>
          <w:rFonts w:cs="Arial"/>
          <w:lang w:val="en"/>
        </w:rPr>
        <w:t xml:space="preserve">International Service for Human Rights, </w:t>
      </w:r>
      <w:r w:rsidRPr="00B715DB">
        <w:rPr>
          <w:rFonts w:cs="Arial"/>
          <w:i/>
          <w:iCs/>
          <w:lang w:val="en"/>
        </w:rPr>
        <w:t>Ground-breaking statement on sexual orientation and gender identity by record number of 85 States</w:t>
      </w:r>
      <w:r w:rsidRPr="00B715DB">
        <w:rPr>
          <w:rFonts w:cs="Arial"/>
          <w:lang w:val="en"/>
        </w:rPr>
        <w:t xml:space="preserve"> (24 March 2011). At: </w:t>
      </w:r>
      <w:hyperlink r:id="rId13" w:history="1">
        <w:r w:rsidRPr="00B715DB">
          <w:rPr>
            <w:rStyle w:val="Hyperlink"/>
            <w:rFonts w:cs="Arial"/>
            <w:lang w:val="en"/>
          </w:rPr>
          <w:t>http://www.ishr.ch/council/1033-ground-breaking-statement-on-sexual-orientation-and-gender-identity-by-record-number-of-85-states?utm_source=ISHR+Publications+and+News&amp;utm_campaign=279226daf8-RSS_Email_Campaign_Council&amp;utm_medium=email</w:t>
        </w:r>
      </w:hyperlink>
    </w:p>
  </w:endnote>
  <w:endnote w:id="34">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w:t>
      </w:r>
      <w:r w:rsidRPr="00B715DB">
        <w:rPr>
          <w:rFonts w:cs="Arial"/>
          <w:lang w:val="en"/>
        </w:rPr>
        <w:t xml:space="preserve">See statements at International Lesbian, Gay, Bisexual Trans and Intersex Association, </w:t>
      </w:r>
      <w:r w:rsidRPr="00B715DB">
        <w:rPr>
          <w:rFonts w:cs="Arial"/>
          <w:i/>
          <w:iCs/>
          <w:lang w:val="en"/>
        </w:rPr>
        <w:t>UN Gen. Assembly Statement Affirms Rights for all</w:t>
      </w:r>
      <w:r w:rsidRPr="00B715DB">
        <w:rPr>
          <w:rFonts w:cs="Arial"/>
          <w:lang w:val="en"/>
        </w:rPr>
        <w:t xml:space="preserve"> (19 December 2008). At </w:t>
      </w:r>
      <w:hyperlink r:id="rId14" w:history="1">
        <w:r w:rsidRPr="00B715DB">
          <w:rPr>
            <w:rStyle w:val="Hyperlink"/>
            <w:rFonts w:cs="Arial"/>
            <w:lang w:val="en"/>
          </w:rPr>
          <w:t>http://ilga.org/ilga/en/article/1211</w:t>
        </w:r>
      </w:hyperlink>
      <w:r w:rsidRPr="00B715DB">
        <w:rPr>
          <w:rFonts w:cs="Arial"/>
          <w:lang w:val="en"/>
        </w:rPr>
        <w:t xml:space="preserve"> (viewed at 6 April 2011) and United Nations Department of Public Information, ‘General Assembly Adopts 52 Resolutions, 6 Decisions Recommended by Third Committee on Wide Range of Human Rights, Social and Humanitarian Issues’, Media Release (18 December</w:t>
      </w:r>
      <w:r w:rsidRPr="00B715DB">
        <w:rPr>
          <w:rFonts w:cs="Arial"/>
          <w:i/>
          <w:iCs/>
          <w:lang w:val="en"/>
        </w:rPr>
        <w:t xml:space="preserve"> </w:t>
      </w:r>
      <w:r w:rsidRPr="00B715DB">
        <w:rPr>
          <w:rFonts w:cs="Arial"/>
          <w:lang w:val="en"/>
        </w:rPr>
        <w:t xml:space="preserve">2008). At: </w:t>
      </w:r>
      <w:hyperlink r:id="rId15" w:history="1">
        <w:r w:rsidRPr="00B715DB">
          <w:rPr>
            <w:rStyle w:val="Hyperlink"/>
            <w:rFonts w:cs="Arial"/>
            <w:lang w:val="en"/>
          </w:rPr>
          <w:t>http://www.un.org/News/Press/docs/2008/ga10801.doc.htm</w:t>
        </w:r>
      </w:hyperlink>
      <w:r w:rsidRPr="00B715DB">
        <w:rPr>
          <w:rFonts w:cs="Arial"/>
          <w:lang w:val="en"/>
        </w:rPr>
        <w:t xml:space="preserve"> </w:t>
      </w:r>
    </w:p>
  </w:endnote>
  <w:endnote w:id="35">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Amnesty International, About </w:t>
      </w:r>
      <w:r w:rsidRPr="00B715DB">
        <w:rPr>
          <w:rFonts w:cs="Arial"/>
          <w:i/>
        </w:rPr>
        <w:t>LGBTIT Rights (2014)</w:t>
      </w:r>
      <w:r w:rsidRPr="00B715DB">
        <w:rPr>
          <w:rFonts w:cs="Arial"/>
        </w:rPr>
        <w:t>. At:</w:t>
      </w:r>
    </w:p>
    <w:p w:rsidR="005069C2" w:rsidRPr="00B715DB" w:rsidRDefault="005069C2" w:rsidP="00D71729">
      <w:pPr>
        <w:pStyle w:val="EndnoteText"/>
        <w:rPr>
          <w:rFonts w:cs="Arial"/>
        </w:rPr>
      </w:pPr>
      <w:hyperlink r:id="rId16" w:history="1">
        <w:r w:rsidRPr="00B715DB">
          <w:rPr>
            <w:rStyle w:val="Hyperlink"/>
            <w:rFonts w:cs="Arial"/>
          </w:rPr>
          <w:t>http://www.amnestyusa.org/our-work/issues/lgbt-rights/about-lgbt-human-rights</w:t>
        </w:r>
      </w:hyperlink>
    </w:p>
  </w:endnote>
  <w:endnote w:id="36">
    <w:p w:rsidR="005069C2" w:rsidRPr="00B715DB" w:rsidRDefault="005069C2" w:rsidP="00D71729">
      <w:pPr>
        <w:pStyle w:val="EndnoteText"/>
        <w:rPr>
          <w:rFonts w:cs="Arial"/>
        </w:rPr>
      </w:pPr>
      <w:r w:rsidRPr="00B715DB">
        <w:rPr>
          <w:rStyle w:val="EndnoteReference"/>
          <w:rFonts w:cs="Arial"/>
        </w:rPr>
        <w:endnoteRef/>
      </w:r>
      <w:r w:rsidRPr="00B715DB">
        <w:rPr>
          <w:rFonts w:cs="Arial"/>
        </w:rPr>
        <w:t xml:space="preserve"> Amnesty International</w:t>
      </w:r>
      <w:r>
        <w:rPr>
          <w:rFonts w:cs="Arial"/>
        </w:rPr>
        <w:t xml:space="preserve"> (2014)</w:t>
      </w:r>
      <w:r w:rsidRPr="00B715DB">
        <w:rPr>
          <w:rFonts w:cs="Arial"/>
        </w:rPr>
        <w:t>, above n35.</w:t>
      </w:r>
    </w:p>
  </w:endnote>
  <w:endnote w:id="37">
    <w:p w:rsidR="005069C2" w:rsidRPr="00B715DB" w:rsidRDefault="005069C2" w:rsidP="00D71729">
      <w:pPr>
        <w:pStyle w:val="NormalWeb"/>
        <w:shd w:val="clear" w:color="auto" w:fill="FFFFFF"/>
        <w:spacing w:before="0" w:after="0"/>
        <w:rPr>
          <w:rFonts w:ascii="Arial" w:hAnsi="Arial" w:cs="Arial"/>
          <w:sz w:val="20"/>
          <w:szCs w:val="20"/>
          <w:lang w:val="en"/>
        </w:rPr>
      </w:pPr>
      <w:r w:rsidRPr="00B715DB">
        <w:rPr>
          <w:rStyle w:val="EndnoteReference"/>
          <w:rFonts w:cs="Arial"/>
          <w:szCs w:val="20"/>
        </w:rPr>
        <w:endnoteRef/>
      </w:r>
      <w:r w:rsidRPr="00B715DB">
        <w:rPr>
          <w:rFonts w:ascii="Arial" w:hAnsi="Arial" w:cs="Arial"/>
          <w:sz w:val="20"/>
          <w:szCs w:val="20"/>
          <w:lang w:val="en"/>
        </w:rPr>
        <w:t xml:space="preserve"> Quinn (2010), above n2. </w:t>
      </w:r>
      <w:r w:rsidRPr="00B715DB">
        <w:rPr>
          <w:rFonts w:ascii="Arial" w:hAnsi="Arial" w:cs="Arial"/>
          <w:sz w:val="20"/>
          <w:szCs w:val="20"/>
          <w:lang w:val="en"/>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cher Book">
    <w:altName w:val="Archer 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C2" w:rsidRDefault="005069C2" w:rsidP="00CE7182">
    <w:pPr>
      <w:pStyle w:val="Footer"/>
      <w:spacing w:before="0"/>
    </w:pPr>
    <w:r w:rsidRPr="0090165F">
      <w:fldChar w:fldCharType="begin"/>
    </w:r>
    <w:r w:rsidRPr="0090165F">
      <w:instrText xml:space="preserve"> PAGE   \* MERGEFORMAT </w:instrText>
    </w:r>
    <w:r w:rsidRPr="0090165F">
      <w:fldChar w:fldCharType="separate"/>
    </w:r>
    <w:r w:rsidR="00AE3754">
      <w:rPr>
        <w:noProof/>
      </w:rPr>
      <w:t>8</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C2" w:rsidRDefault="005069C2" w:rsidP="00F14C6D">
      <w:r>
        <w:separator/>
      </w:r>
    </w:p>
  </w:footnote>
  <w:footnote w:type="continuationSeparator" w:id="0">
    <w:p w:rsidR="005069C2" w:rsidRDefault="005069C2" w:rsidP="00F1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F8763A"/>
    <w:multiLevelType w:val="hybridMultilevel"/>
    <w:tmpl w:val="AACE0D58"/>
    <w:lvl w:ilvl="0" w:tplc="4FC4ACE0">
      <w:numFmt w:val="bullet"/>
      <w:lvlText w:val=""/>
      <w:lvlJc w:val="left"/>
      <w:pPr>
        <w:ind w:left="720" w:hanging="360"/>
      </w:pPr>
      <w:rPr>
        <w:rFonts w:ascii="Symbol" w:eastAsia="Times New Roman" w:hAnsi="Symbol" w:cs="Aria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A164791"/>
    <w:multiLevelType w:val="hybridMultilevel"/>
    <w:tmpl w:val="A3B018C4"/>
    <w:lvl w:ilvl="0" w:tplc="979837C2">
      <w:start w:val="1"/>
      <w:numFmt w:val="bullet"/>
      <w:lvlText w:val=""/>
      <w:lvlJc w:val="left"/>
      <w:pPr>
        <w:ind w:left="720" w:hanging="360"/>
      </w:pPr>
      <w:rPr>
        <w:rFonts w:ascii="Symbol" w:hAnsi="Symbo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22713BF"/>
    <w:multiLevelType w:val="hybridMultilevel"/>
    <w:tmpl w:val="871229F8"/>
    <w:lvl w:ilvl="0" w:tplc="71F0A672">
      <w:start w:val="1"/>
      <w:numFmt w:val="bullet"/>
      <w:lvlText w:val=""/>
      <w:lvlJc w:val="left"/>
      <w:pPr>
        <w:ind w:left="1440" w:hanging="360"/>
      </w:pPr>
      <w:rPr>
        <w:rFonts w:ascii="Symbol" w:hAnsi="Symbol" w:hint="default"/>
        <w:color w:val="7030A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5AE5FBB"/>
    <w:multiLevelType w:val="hybridMultilevel"/>
    <w:tmpl w:val="AE660548"/>
    <w:lvl w:ilvl="0" w:tplc="DBB41776">
      <w:start w:val="1"/>
      <w:numFmt w:val="bullet"/>
      <w:lvlText w:val=""/>
      <w:lvlJc w:val="left"/>
      <w:pPr>
        <w:tabs>
          <w:tab w:val="num" w:pos="720"/>
        </w:tabs>
        <w:ind w:left="720" w:hanging="360"/>
      </w:pPr>
      <w:rPr>
        <w:rFonts w:ascii="Symbol" w:hAnsi="Symbol" w:hint="default"/>
        <w:color w:val="7030A0"/>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23">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nsid w:val="506E606A"/>
    <w:multiLevelType w:val="hybridMultilevel"/>
    <w:tmpl w:val="6820227A"/>
    <w:lvl w:ilvl="0" w:tplc="0B12378C">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565A3C"/>
    <w:multiLevelType w:val="hybridMultilevel"/>
    <w:tmpl w:val="888E3EFC"/>
    <w:lvl w:ilvl="0" w:tplc="9422877C">
      <w:start w:val="1"/>
      <w:numFmt w:val="bullet"/>
      <w:lvlText w:val=""/>
      <w:lvlJc w:val="left"/>
      <w:pPr>
        <w:ind w:left="720" w:hanging="360"/>
      </w:pPr>
      <w:rPr>
        <w:rFonts w:ascii="Symbol" w:hAnsi="Symbol"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792F29"/>
    <w:multiLevelType w:val="multilevel"/>
    <w:tmpl w:val="FA3C57F0"/>
    <w:lvl w:ilvl="0">
      <w:start w:val="1"/>
      <w:numFmt w:val="decimal"/>
      <w:lvlText w:val="%1"/>
      <w:lvlJc w:val="left"/>
      <w:pPr>
        <w:ind w:left="360" w:hanging="360"/>
      </w:pPr>
      <w:rPr>
        <w:rFonts w:hint="default"/>
        <w:b/>
        <w:i/>
      </w:rPr>
    </w:lvl>
    <w:lvl w:ilvl="1">
      <w:start w:val="2"/>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0">
    <w:nsid w:val="5D717499"/>
    <w:multiLevelType w:val="hybridMultilevel"/>
    <w:tmpl w:val="5E5A0336"/>
    <w:lvl w:ilvl="0" w:tplc="CD167734">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nsid w:val="648916E5"/>
    <w:multiLevelType w:val="hybridMultilevel"/>
    <w:tmpl w:val="302EA46E"/>
    <w:lvl w:ilvl="0" w:tplc="7FD6D634">
      <w:start w:val="1"/>
      <w:numFmt w:val="bullet"/>
      <w:lvlText w:val=""/>
      <w:lvlJc w:val="left"/>
      <w:pPr>
        <w:ind w:left="720" w:hanging="360"/>
      </w:pPr>
      <w:rPr>
        <w:rFonts w:ascii="Symbol" w:hAnsi="Symbol"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8E431A1"/>
    <w:multiLevelType w:val="hybridMultilevel"/>
    <w:tmpl w:val="79005D24"/>
    <w:lvl w:ilvl="0" w:tplc="B4940F26">
      <w:start w:val="1"/>
      <w:numFmt w:val="bullet"/>
      <w:lvlText w:val=""/>
      <w:lvlJc w:val="left"/>
      <w:pPr>
        <w:ind w:left="720" w:hanging="360"/>
      </w:pPr>
      <w:rPr>
        <w:rFonts w:ascii="Symbol" w:hAnsi="Symbo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5F0F1D"/>
    <w:multiLevelType w:val="hybridMultilevel"/>
    <w:tmpl w:val="1C0076A8"/>
    <w:lvl w:ilvl="0" w:tplc="750604FC">
      <w:start w:val="1"/>
      <w:numFmt w:val="bullet"/>
      <w:lvlText w:val=""/>
      <w:lvlJc w:val="left"/>
      <w:pPr>
        <w:ind w:left="720" w:hanging="360"/>
      </w:pPr>
      <w:rPr>
        <w:rFonts w:ascii="Symbol" w:hAnsi="Symbo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5"/>
  </w:num>
  <w:num w:numId="12">
    <w:abstractNumId w:val="19"/>
  </w:num>
  <w:num w:numId="13">
    <w:abstractNumId w:val="14"/>
  </w:num>
  <w:num w:numId="14">
    <w:abstractNumId w:val="24"/>
  </w:num>
  <w:num w:numId="15">
    <w:abstractNumId w:val="15"/>
  </w:num>
  <w:num w:numId="16">
    <w:abstractNumId w:val="10"/>
  </w:num>
  <w:num w:numId="17">
    <w:abstractNumId w:val="3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num>
  <w:num w:numId="21">
    <w:abstractNumId w:val="20"/>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1"/>
  </w:num>
  <w:num w:numId="28">
    <w:abstractNumId w:val="21"/>
  </w:num>
  <w:num w:numId="29">
    <w:abstractNumId w:val="32"/>
  </w:num>
  <w:num w:numId="30">
    <w:abstractNumId w:val="27"/>
  </w:num>
  <w:num w:numId="31">
    <w:abstractNumId w:val="16"/>
  </w:num>
  <w:num w:numId="32">
    <w:abstractNumId w:val="30"/>
  </w:num>
  <w:num w:numId="33">
    <w:abstractNumId w:val="28"/>
  </w:num>
  <w:num w:numId="34">
    <w:abstractNumId w:val="22"/>
  </w:num>
  <w:num w:numId="35">
    <w:abstractNumId w:val="29"/>
  </w:num>
  <w:num w:numId="36">
    <w:abstractNumId w:val="34"/>
  </w:num>
  <w:num w:numId="37">
    <w:abstractNumId w:val="13"/>
  </w:num>
  <w:num w:numId="38">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29"/>
    <w:rsid w:val="0001254B"/>
    <w:rsid w:val="00013272"/>
    <w:rsid w:val="00021134"/>
    <w:rsid w:val="000540A0"/>
    <w:rsid w:val="000579B1"/>
    <w:rsid w:val="00074750"/>
    <w:rsid w:val="00074CD6"/>
    <w:rsid w:val="000B0A5D"/>
    <w:rsid w:val="000E3333"/>
    <w:rsid w:val="001011C8"/>
    <w:rsid w:val="00131179"/>
    <w:rsid w:val="00132462"/>
    <w:rsid w:val="00140077"/>
    <w:rsid w:val="001523D8"/>
    <w:rsid w:val="001566D4"/>
    <w:rsid w:val="00162A8D"/>
    <w:rsid w:val="00184098"/>
    <w:rsid w:val="001867A2"/>
    <w:rsid w:val="001A5D46"/>
    <w:rsid w:val="001B0353"/>
    <w:rsid w:val="001C139C"/>
    <w:rsid w:val="001C451B"/>
    <w:rsid w:val="001D09D0"/>
    <w:rsid w:val="001E41C0"/>
    <w:rsid w:val="001E7053"/>
    <w:rsid w:val="001F2BBB"/>
    <w:rsid w:val="0020759E"/>
    <w:rsid w:val="00210145"/>
    <w:rsid w:val="00222C99"/>
    <w:rsid w:val="00231ED1"/>
    <w:rsid w:val="0023303F"/>
    <w:rsid w:val="0024300C"/>
    <w:rsid w:val="0024557E"/>
    <w:rsid w:val="002702D9"/>
    <w:rsid w:val="002939C5"/>
    <w:rsid w:val="002B335C"/>
    <w:rsid w:val="002C5948"/>
    <w:rsid w:val="00302214"/>
    <w:rsid w:val="003040CA"/>
    <w:rsid w:val="00306497"/>
    <w:rsid w:val="00310ED4"/>
    <w:rsid w:val="0031492A"/>
    <w:rsid w:val="00316504"/>
    <w:rsid w:val="00316C1A"/>
    <w:rsid w:val="00321AF0"/>
    <w:rsid w:val="00377C8F"/>
    <w:rsid w:val="003931C7"/>
    <w:rsid w:val="003955AE"/>
    <w:rsid w:val="00395B25"/>
    <w:rsid w:val="003A533F"/>
    <w:rsid w:val="003B18A7"/>
    <w:rsid w:val="003B34B6"/>
    <w:rsid w:val="003E49A9"/>
    <w:rsid w:val="003F0CEE"/>
    <w:rsid w:val="00402216"/>
    <w:rsid w:val="004215B3"/>
    <w:rsid w:val="00444303"/>
    <w:rsid w:val="004561BE"/>
    <w:rsid w:val="00462D4C"/>
    <w:rsid w:val="00473DB9"/>
    <w:rsid w:val="00474063"/>
    <w:rsid w:val="00476EEA"/>
    <w:rsid w:val="0048504B"/>
    <w:rsid w:val="00494D4B"/>
    <w:rsid w:val="004A24F7"/>
    <w:rsid w:val="004A722D"/>
    <w:rsid w:val="004E62E4"/>
    <w:rsid w:val="004F53EF"/>
    <w:rsid w:val="00503E04"/>
    <w:rsid w:val="00504B28"/>
    <w:rsid w:val="005069C2"/>
    <w:rsid w:val="00513540"/>
    <w:rsid w:val="00522CED"/>
    <w:rsid w:val="00554C04"/>
    <w:rsid w:val="0056105A"/>
    <w:rsid w:val="00592F9F"/>
    <w:rsid w:val="005B7515"/>
    <w:rsid w:val="005C1654"/>
    <w:rsid w:val="005C1BA5"/>
    <w:rsid w:val="005D04F4"/>
    <w:rsid w:val="005D1F34"/>
    <w:rsid w:val="005F5F45"/>
    <w:rsid w:val="00690313"/>
    <w:rsid w:val="00696390"/>
    <w:rsid w:val="006A6BB3"/>
    <w:rsid w:val="006B0EAE"/>
    <w:rsid w:val="006B3680"/>
    <w:rsid w:val="006D5587"/>
    <w:rsid w:val="006D5EE5"/>
    <w:rsid w:val="006E06ED"/>
    <w:rsid w:val="006E06F5"/>
    <w:rsid w:val="006E64E6"/>
    <w:rsid w:val="006F6994"/>
    <w:rsid w:val="007039FC"/>
    <w:rsid w:val="00706FAB"/>
    <w:rsid w:val="00707793"/>
    <w:rsid w:val="007169BB"/>
    <w:rsid w:val="00725D5E"/>
    <w:rsid w:val="007548CA"/>
    <w:rsid w:val="0076437A"/>
    <w:rsid w:val="0076488A"/>
    <w:rsid w:val="00770DCB"/>
    <w:rsid w:val="00775485"/>
    <w:rsid w:val="007841E1"/>
    <w:rsid w:val="007A4032"/>
    <w:rsid w:val="007D40BD"/>
    <w:rsid w:val="007E1866"/>
    <w:rsid w:val="007E6434"/>
    <w:rsid w:val="007E7D7A"/>
    <w:rsid w:val="00810ABF"/>
    <w:rsid w:val="008125EE"/>
    <w:rsid w:val="00830D97"/>
    <w:rsid w:val="0083209A"/>
    <w:rsid w:val="0085277D"/>
    <w:rsid w:val="008724DE"/>
    <w:rsid w:val="008A2AF7"/>
    <w:rsid w:val="008A3D57"/>
    <w:rsid w:val="008C113C"/>
    <w:rsid w:val="008E3D60"/>
    <w:rsid w:val="0090165F"/>
    <w:rsid w:val="009104EE"/>
    <w:rsid w:val="00921CB7"/>
    <w:rsid w:val="00923C4F"/>
    <w:rsid w:val="00945B16"/>
    <w:rsid w:val="009472C4"/>
    <w:rsid w:val="00950E88"/>
    <w:rsid w:val="00966C2F"/>
    <w:rsid w:val="009802F3"/>
    <w:rsid w:val="0098376F"/>
    <w:rsid w:val="009A5753"/>
    <w:rsid w:val="009A647F"/>
    <w:rsid w:val="009C5FB8"/>
    <w:rsid w:val="009E7FC4"/>
    <w:rsid w:val="009F51D9"/>
    <w:rsid w:val="009F7AAC"/>
    <w:rsid w:val="00A02F56"/>
    <w:rsid w:val="00A035E6"/>
    <w:rsid w:val="00A0406E"/>
    <w:rsid w:val="00A04DDD"/>
    <w:rsid w:val="00A241A3"/>
    <w:rsid w:val="00A41355"/>
    <w:rsid w:val="00A43B92"/>
    <w:rsid w:val="00A44720"/>
    <w:rsid w:val="00A6179E"/>
    <w:rsid w:val="00A66F67"/>
    <w:rsid w:val="00A8531B"/>
    <w:rsid w:val="00AA3F81"/>
    <w:rsid w:val="00AB76D0"/>
    <w:rsid w:val="00AC27AB"/>
    <w:rsid w:val="00AC6A34"/>
    <w:rsid w:val="00AE3754"/>
    <w:rsid w:val="00AE5A98"/>
    <w:rsid w:val="00AE76EB"/>
    <w:rsid w:val="00B22697"/>
    <w:rsid w:val="00B277E0"/>
    <w:rsid w:val="00B52E2D"/>
    <w:rsid w:val="00B715DB"/>
    <w:rsid w:val="00B747EE"/>
    <w:rsid w:val="00B76653"/>
    <w:rsid w:val="00B903FF"/>
    <w:rsid w:val="00BA262D"/>
    <w:rsid w:val="00BB0F9D"/>
    <w:rsid w:val="00BC79EB"/>
    <w:rsid w:val="00BD256D"/>
    <w:rsid w:val="00C076F2"/>
    <w:rsid w:val="00C106A0"/>
    <w:rsid w:val="00C247EB"/>
    <w:rsid w:val="00C25BDA"/>
    <w:rsid w:val="00C42AE8"/>
    <w:rsid w:val="00C53971"/>
    <w:rsid w:val="00C54FB1"/>
    <w:rsid w:val="00C80F9F"/>
    <w:rsid w:val="00C86FF6"/>
    <w:rsid w:val="00C9284B"/>
    <w:rsid w:val="00CA0D78"/>
    <w:rsid w:val="00CA4C56"/>
    <w:rsid w:val="00CA6004"/>
    <w:rsid w:val="00CB27A8"/>
    <w:rsid w:val="00CD2979"/>
    <w:rsid w:val="00CE7182"/>
    <w:rsid w:val="00D322CA"/>
    <w:rsid w:val="00D36D90"/>
    <w:rsid w:val="00D65C76"/>
    <w:rsid w:val="00D71729"/>
    <w:rsid w:val="00D732B7"/>
    <w:rsid w:val="00D963D6"/>
    <w:rsid w:val="00DA2F73"/>
    <w:rsid w:val="00DA42E8"/>
    <w:rsid w:val="00DC193F"/>
    <w:rsid w:val="00DC3C4F"/>
    <w:rsid w:val="00DC462F"/>
    <w:rsid w:val="00DF3DD7"/>
    <w:rsid w:val="00E00C15"/>
    <w:rsid w:val="00E24FA3"/>
    <w:rsid w:val="00E328CD"/>
    <w:rsid w:val="00E45954"/>
    <w:rsid w:val="00E45D4D"/>
    <w:rsid w:val="00E75D90"/>
    <w:rsid w:val="00E835AF"/>
    <w:rsid w:val="00E97EF8"/>
    <w:rsid w:val="00EE44D7"/>
    <w:rsid w:val="00F14C6D"/>
    <w:rsid w:val="00F3100E"/>
    <w:rsid w:val="00F5542B"/>
    <w:rsid w:val="00F71A6E"/>
    <w:rsid w:val="00F9078E"/>
    <w:rsid w:val="00F95982"/>
    <w:rsid w:val="00FC3328"/>
    <w:rsid w:val="00FC4745"/>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71729"/>
    <w:pPr>
      <w:spacing w:before="240" w:after="240"/>
    </w:pPr>
    <w:rPr>
      <w:rFonts w:ascii="Arial" w:eastAsia="MS Mincho"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MainTitle">
    <w:name w:val="Main Title"/>
    <w:semiHidden/>
    <w:qFormat/>
    <w:rsid w:val="00D71729"/>
    <w:pPr>
      <w:spacing w:line="740" w:lineRule="exact"/>
      <w:contextualSpacing/>
      <w:jc w:val="right"/>
    </w:pPr>
    <w:rPr>
      <w:rFonts w:ascii="Arial" w:hAnsi="Arial"/>
      <w:bCs/>
      <w:color w:val="237BBC"/>
      <w:kern w:val="32"/>
      <w:sz w:val="56"/>
      <w:szCs w:val="32"/>
    </w:rPr>
  </w:style>
  <w:style w:type="paragraph" w:styleId="ListParagraph">
    <w:name w:val="List Paragraph"/>
    <w:basedOn w:val="Normal"/>
    <w:link w:val="ListParagraphChar"/>
    <w:uiPriority w:val="34"/>
    <w:qFormat/>
    <w:rsid w:val="00D71729"/>
    <w:pPr>
      <w:ind w:left="720"/>
      <w:contextualSpacing/>
    </w:pPr>
  </w:style>
  <w:style w:type="character" w:customStyle="1" w:styleId="ListParagraphChar">
    <w:name w:val="List Paragraph Char"/>
    <w:link w:val="ListParagraph"/>
    <w:uiPriority w:val="34"/>
    <w:rsid w:val="00D71729"/>
    <w:rPr>
      <w:rFonts w:ascii="Arial" w:eastAsia="MS Mincho" w:hAnsi="Arial"/>
      <w:sz w:val="24"/>
      <w:szCs w:val="24"/>
    </w:rPr>
  </w:style>
  <w:style w:type="paragraph" w:customStyle="1" w:styleId="Pa21">
    <w:name w:val="Pa21"/>
    <w:basedOn w:val="Normal"/>
    <w:next w:val="Normal"/>
    <w:uiPriority w:val="99"/>
    <w:rsid w:val="00D71729"/>
    <w:pPr>
      <w:autoSpaceDE w:val="0"/>
      <w:autoSpaceDN w:val="0"/>
      <w:adjustRightInd w:val="0"/>
      <w:spacing w:before="0" w:after="0" w:line="201" w:lineRule="atLeast"/>
    </w:pPr>
    <w:rPr>
      <w:rFonts w:ascii="Archer Book" w:eastAsia="Times New Roman" w:hAnsi="Archer Book"/>
    </w:rPr>
  </w:style>
  <w:style w:type="character" w:customStyle="1" w:styleId="oneclick-link">
    <w:name w:val="oneclick-link"/>
    <w:basedOn w:val="DefaultParagraphFont"/>
    <w:rsid w:val="00D71729"/>
  </w:style>
  <w:style w:type="paragraph" w:styleId="BalloonText">
    <w:name w:val="Balloon Text"/>
    <w:basedOn w:val="Normal"/>
    <w:link w:val="BalloonTextChar"/>
    <w:locked/>
    <w:rsid w:val="00D71729"/>
    <w:pPr>
      <w:spacing w:before="0" w:after="0"/>
    </w:pPr>
    <w:rPr>
      <w:rFonts w:ascii="Tahoma" w:hAnsi="Tahoma" w:cs="Tahoma"/>
      <w:sz w:val="16"/>
      <w:szCs w:val="16"/>
    </w:rPr>
  </w:style>
  <w:style w:type="character" w:customStyle="1" w:styleId="BalloonTextChar">
    <w:name w:val="Balloon Text Char"/>
    <w:basedOn w:val="DefaultParagraphFont"/>
    <w:link w:val="BalloonText"/>
    <w:rsid w:val="00D71729"/>
    <w:rPr>
      <w:rFonts w:ascii="Tahoma" w:eastAsia="MS Mincho" w:hAnsi="Tahoma" w:cs="Tahoma"/>
      <w:sz w:val="16"/>
      <w:szCs w:val="16"/>
    </w:rPr>
  </w:style>
  <w:style w:type="character" w:styleId="CommentReference">
    <w:name w:val="annotation reference"/>
    <w:basedOn w:val="DefaultParagraphFont"/>
    <w:locked/>
    <w:rsid w:val="00BD256D"/>
    <w:rPr>
      <w:sz w:val="16"/>
      <w:szCs w:val="16"/>
    </w:rPr>
  </w:style>
  <w:style w:type="paragraph" w:styleId="CommentText">
    <w:name w:val="annotation text"/>
    <w:basedOn w:val="Normal"/>
    <w:link w:val="CommentTextChar"/>
    <w:locked/>
    <w:rsid w:val="00BD256D"/>
    <w:rPr>
      <w:sz w:val="20"/>
      <w:szCs w:val="20"/>
    </w:rPr>
  </w:style>
  <w:style w:type="character" w:customStyle="1" w:styleId="CommentTextChar">
    <w:name w:val="Comment Text Char"/>
    <w:basedOn w:val="DefaultParagraphFont"/>
    <w:link w:val="CommentText"/>
    <w:rsid w:val="00BD256D"/>
    <w:rPr>
      <w:rFonts w:ascii="Arial" w:eastAsia="MS Mincho" w:hAnsi="Arial"/>
    </w:rPr>
  </w:style>
  <w:style w:type="paragraph" w:styleId="CommentSubject">
    <w:name w:val="annotation subject"/>
    <w:basedOn w:val="CommentText"/>
    <w:next w:val="CommentText"/>
    <w:link w:val="CommentSubjectChar"/>
    <w:locked/>
    <w:rsid w:val="00BD256D"/>
    <w:rPr>
      <w:b/>
      <w:bCs/>
    </w:rPr>
  </w:style>
  <w:style w:type="character" w:customStyle="1" w:styleId="CommentSubjectChar">
    <w:name w:val="Comment Subject Char"/>
    <w:basedOn w:val="CommentTextChar"/>
    <w:link w:val="CommentSubject"/>
    <w:rsid w:val="00BD256D"/>
    <w:rPr>
      <w:rFonts w:ascii="Arial" w:eastAsia="MS Mincho"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71729"/>
    <w:pPr>
      <w:spacing w:before="240" w:after="240"/>
    </w:pPr>
    <w:rPr>
      <w:rFonts w:ascii="Arial" w:eastAsia="MS Mincho"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MainTitle">
    <w:name w:val="Main Title"/>
    <w:semiHidden/>
    <w:qFormat/>
    <w:rsid w:val="00D71729"/>
    <w:pPr>
      <w:spacing w:line="740" w:lineRule="exact"/>
      <w:contextualSpacing/>
      <w:jc w:val="right"/>
    </w:pPr>
    <w:rPr>
      <w:rFonts w:ascii="Arial" w:hAnsi="Arial"/>
      <w:bCs/>
      <w:color w:val="237BBC"/>
      <w:kern w:val="32"/>
      <w:sz w:val="56"/>
      <w:szCs w:val="32"/>
    </w:rPr>
  </w:style>
  <w:style w:type="paragraph" w:styleId="ListParagraph">
    <w:name w:val="List Paragraph"/>
    <w:basedOn w:val="Normal"/>
    <w:link w:val="ListParagraphChar"/>
    <w:uiPriority w:val="34"/>
    <w:qFormat/>
    <w:rsid w:val="00D71729"/>
    <w:pPr>
      <w:ind w:left="720"/>
      <w:contextualSpacing/>
    </w:pPr>
  </w:style>
  <w:style w:type="character" w:customStyle="1" w:styleId="ListParagraphChar">
    <w:name w:val="List Paragraph Char"/>
    <w:link w:val="ListParagraph"/>
    <w:uiPriority w:val="34"/>
    <w:rsid w:val="00D71729"/>
    <w:rPr>
      <w:rFonts w:ascii="Arial" w:eastAsia="MS Mincho" w:hAnsi="Arial"/>
      <w:sz w:val="24"/>
      <w:szCs w:val="24"/>
    </w:rPr>
  </w:style>
  <w:style w:type="paragraph" w:customStyle="1" w:styleId="Pa21">
    <w:name w:val="Pa21"/>
    <w:basedOn w:val="Normal"/>
    <w:next w:val="Normal"/>
    <w:uiPriority w:val="99"/>
    <w:rsid w:val="00D71729"/>
    <w:pPr>
      <w:autoSpaceDE w:val="0"/>
      <w:autoSpaceDN w:val="0"/>
      <w:adjustRightInd w:val="0"/>
      <w:spacing w:before="0" w:after="0" w:line="201" w:lineRule="atLeast"/>
    </w:pPr>
    <w:rPr>
      <w:rFonts w:ascii="Archer Book" w:eastAsia="Times New Roman" w:hAnsi="Archer Book"/>
    </w:rPr>
  </w:style>
  <w:style w:type="character" w:customStyle="1" w:styleId="oneclick-link">
    <w:name w:val="oneclick-link"/>
    <w:basedOn w:val="DefaultParagraphFont"/>
    <w:rsid w:val="00D71729"/>
  </w:style>
  <w:style w:type="paragraph" w:styleId="BalloonText">
    <w:name w:val="Balloon Text"/>
    <w:basedOn w:val="Normal"/>
    <w:link w:val="BalloonTextChar"/>
    <w:locked/>
    <w:rsid w:val="00D71729"/>
    <w:pPr>
      <w:spacing w:before="0" w:after="0"/>
    </w:pPr>
    <w:rPr>
      <w:rFonts w:ascii="Tahoma" w:hAnsi="Tahoma" w:cs="Tahoma"/>
      <w:sz w:val="16"/>
      <w:szCs w:val="16"/>
    </w:rPr>
  </w:style>
  <w:style w:type="character" w:customStyle="1" w:styleId="BalloonTextChar">
    <w:name w:val="Balloon Text Char"/>
    <w:basedOn w:val="DefaultParagraphFont"/>
    <w:link w:val="BalloonText"/>
    <w:rsid w:val="00D71729"/>
    <w:rPr>
      <w:rFonts w:ascii="Tahoma" w:eastAsia="MS Mincho" w:hAnsi="Tahoma" w:cs="Tahoma"/>
      <w:sz w:val="16"/>
      <w:szCs w:val="16"/>
    </w:rPr>
  </w:style>
  <w:style w:type="character" w:styleId="CommentReference">
    <w:name w:val="annotation reference"/>
    <w:basedOn w:val="DefaultParagraphFont"/>
    <w:locked/>
    <w:rsid w:val="00BD256D"/>
    <w:rPr>
      <w:sz w:val="16"/>
      <w:szCs w:val="16"/>
    </w:rPr>
  </w:style>
  <w:style w:type="paragraph" w:styleId="CommentText">
    <w:name w:val="annotation text"/>
    <w:basedOn w:val="Normal"/>
    <w:link w:val="CommentTextChar"/>
    <w:locked/>
    <w:rsid w:val="00BD256D"/>
    <w:rPr>
      <w:sz w:val="20"/>
      <w:szCs w:val="20"/>
    </w:rPr>
  </w:style>
  <w:style w:type="character" w:customStyle="1" w:styleId="CommentTextChar">
    <w:name w:val="Comment Text Char"/>
    <w:basedOn w:val="DefaultParagraphFont"/>
    <w:link w:val="CommentText"/>
    <w:rsid w:val="00BD256D"/>
    <w:rPr>
      <w:rFonts w:ascii="Arial" w:eastAsia="MS Mincho" w:hAnsi="Arial"/>
    </w:rPr>
  </w:style>
  <w:style w:type="paragraph" w:styleId="CommentSubject">
    <w:name w:val="annotation subject"/>
    <w:basedOn w:val="CommentText"/>
    <w:next w:val="CommentText"/>
    <w:link w:val="CommentSubjectChar"/>
    <w:locked/>
    <w:rsid w:val="00BD256D"/>
    <w:rPr>
      <w:b/>
      <w:bCs/>
    </w:rPr>
  </w:style>
  <w:style w:type="character" w:customStyle="1" w:styleId="CommentSubjectChar">
    <w:name w:val="Comment Subject Char"/>
    <w:basedOn w:val="CommentTextChar"/>
    <w:link w:val="CommentSubject"/>
    <w:rsid w:val="00BD256D"/>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hchr.org/EN/ProfessionalInterest/Pages/CCPR.aspx" TargetMode="External"/><Relationship Id="rId18" Type="http://schemas.openxmlformats.org/officeDocument/2006/relationships/hyperlink" Target="http://www.ohchr.org/EN/ProfessionalInterest/Pages/CRC.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rights2014@humanrights.gov.au" TargetMode="External"/><Relationship Id="rId7" Type="http://schemas.openxmlformats.org/officeDocument/2006/relationships/footnotes" Target="footnotes.xml"/><Relationship Id="rId12" Type="http://schemas.openxmlformats.org/officeDocument/2006/relationships/hyperlink" Target="mailto:tim.wilson@humanrights.gov.au" TargetMode="External"/><Relationship Id="rId17" Type="http://schemas.openxmlformats.org/officeDocument/2006/relationships/hyperlink" Target="http://www.ohchr.org/EN/ProfessionalInterest/Pages/CAT.aspx" TargetMode="External"/><Relationship Id="rId25" Type="http://schemas.openxmlformats.org/officeDocument/2006/relationships/hyperlink" Target="http://www.yogyakartaprinciples.org/" TargetMode="External"/><Relationship Id="rId2" Type="http://schemas.openxmlformats.org/officeDocument/2006/relationships/numbering" Target="numbering.xml"/><Relationship Id="rId16" Type="http://schemas.openxmlformats.org/officeDocument/2006/relationships/hyperlink" Target="http://www.unhcr.org/refworld/docid/3ae6b3970.html" TargetMode="External"/><Relationship Id="rId20" Type="http://schemas.openxmlformats.org/officeDocument/2006/relationships/hyperlink" Target="http://www.humanrights.gov.au/sogiirigh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humanrights.gov.au" TargetMode="External"/><Relationship Id="rId5" Type="http://schemas.openxmlformats.org/officeDocument/2006/relationships/settings" Target="settings.xml"/><Relationship Id="rId15" Type="http://schemas.openxmlformats.org/officeDocument/2006/relationships/hyperlink" Target="http://www.ohchr.org/EN/ProfessionalInterest/Pages/CERD.aspx" TargetMode="External"/><Relationship Id="rId23" Type="http://schemas.openxmlformats.org/officeDocument/2006/relationships/hyperlink" Target="mailto:sogii@humanrights.gov.au"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un.org/disabilities/convention/conventionfull.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hchr.org/EN/ProfessionalInterest/Pages/CESCR.aspx" TargetMode="External"/><Relationship Id="rId22" Type="http://schemas.openxmlformats.org/officeDocument/2006/relationships/hyperlink" Target="https://www.humanrights.gov.au/submission-policy"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ag.gov.au/Publications/Documents/AustralianGovernmentGuidelinesontheRecognitionofSexandGender/AustralianGovernmentGuidelinesontheRecognitionofSexandGender.PDF" TargetMode="External"/><Relationship Id="rId13" Type="http://schemas.openxmlformats.org/officeDocument/2006/relationships/hyperlink" Target="http://www.ishr.ch/council/1033-ground-breaking-statement-on-sexual-orientation-and-gender-identity-by-record-number-of-85-states?utm_source=ISHR+Publications+and+News&amp;utm_campaign=279226daf8-RSS_Email_Campaign_Council&amp;utm_medium=email" TargetMode="External"/><Relationship Id="rId3" Type="http://schemas.openxmlformats.org/officeDocument/2006/relationships/hyperlink" Target="https://www.unfe.org/en/about" TargetMode="External"/><Relationship Id="rId7" Type="http://schemas.openxmlformats.org/officeDocument/2006/relationships/hyperlink" Target="https://www.humanrights.gov.au/new-protection" TargetMode="External"/><Relationship Id="rId12" Type="http://schemas.openxmlformats.org/officeDocument/2006/relationships/hyperlink" Target="http://www.humanrights.gov.au/news/speeches/sda-amendments" TargetMode="External"/><Relationship Id="rId2" Type="http://schemas.openxmlformats.org/officeDocument/2006/relationships/hyperlink" Target="http://www.ypinaction.org/content/activists_guide" TargetMode="External"/><Relationship Id="rId16" Type="http://schemas.openxmlformats.org/officeDocument/2006/relationships/hyperlink" Target="http://www.amnestyusa.org/our-work/issues/lgbt-rights/about-lgbt-human-rights" TargetMode="External"/><Relationship Id="rId1" Type="http://schemas.openxmlformats.org/officeDocument/2006/relationships/hyperlink" Target="https://www.humanrights.gov.au/sex-files-legal-recognition-concluding-paper-sex-and-gender-2009" TargetMode="External"/><Relationship Id="rId6" Type="http://schemas.openxmlformats.org/officeDocument/2006/relationships/hyperlink" Target="http://www.humanrights.gov.au/human_rights/lgbti/lgbticonsult/index.html" TargetMode="External"/><Relationship Id="rId11" Type="http://schemas.openxmlformats.org/officeDocument/2006/relationships/hyperlink" Target="http://www.humanrights.gov.au/publications/same-sex-same-entitlements" TargetMode="External"/><Relationship Id="rId5" Type="http://schemas.openxmlformats.org/officeDocument/2006/relationships/hyperlink" Target="http://avalon.law.yale.edu/18th_century/rightsof.asp" TargetMode="External"/><Relationship Id="rId15" Type="http://schemas.openxmlformats.org/officeDocument/2006/relationships/hyperlink" Target="http://www.un.org/News/Press/docs/2008/ga10801.doc.htm" TargetMode="External"/><Relationship Id="rId10" Type="http://schemas.openxmlformats.org/officeDocument/2006/relationships/hyperlink" Target="http://www.iclc.org.au/outinginjustice/" TargetMode="External"/><Relationship Id="rId4" Type="http://schemas.openxmlformats.org/officeDocument/2006/relationships/hyperlink" Target="http://www.archives.gov/exhibits/charters/declaration_transcript.html" TargetMode="External"/><Relationship Id="rId9" Type="http://schemas.openxmlformats.org/officeDocument/2006/relationships/hyperlink" Target="http://www.fya.org.au/inside-fya/initiatives/safe-schools-coalition-australia" TargetMode="External"/><Relationship Id="rId14" Type="http://schemas.openxmlformats.org/officeDocument/2006/relationships/hyperlink" Target="http://ilga.org/ilga/en/article/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04D62-B776-4988-B14B-518A98C4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4399</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Simone Guirguis</dc:creator>
  <cp:lastModifiedBy>Lucian Tan</cp:lastModifiedBy>
  <cp:revision>2</cp:revision>
  <cp:lastPrinted>2014-12-07T23:12:00Z</cp:lastPrinted>
  <dcterms:created xsi:type="dcterms:W3CDTF">2014-12-08T23:10:00Z</dcterms:created>
  <dcterms:modified xsi:type="dcterms:W3CDTF">2014-12-08T23:10:00Z</dcterms:modified>
</cp:coreProperties>
</file>