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D96EA" w14:textId="77777777" w:rsidR="00497817" w:rsidRDefault="00497817" w:rsidP="00497817">
      <w:bookmarkStart w:id="0" w:name="_GoBack"/>
      <w:bookmarkEnd w:id="0"/>
      <w:r>
        <w:rPr>
          <w:b/>
          <w:noProof/>
          <w:sz w:val="40"/>
          <w:szCs w:val="40"/>
          <w:lang w:eastAsia="en-AU"/>
        </w:rPr>
        <w:drawing>
          <wp:inline distT="0" distB="0" distL="0" distR="0" wp14:anchorId="6D8EFC95" wp14:editId="026563BF">
            <wp:extent cx="5486400" cy="1157335"/>
            <wp:effectExtent l="0" t="0" r="0" b="11430"/>
            <wp:docPr id="3" name="Picture 2" descr="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5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Toc280007697"/>
    </w:p>
    <w:p w14:paraId="611910F0" w14:textId="77777777" w:rsidR="00497817" w:rsidRDefault="00497817" w:rsidP="00497817"/>
    <w:p w14:paraId="6CC2CF68" w14:textId="77777777" w:rsidR="00497817" w:rsidRDefault="00497817" w:rsidP="00497817">
      <w:pPr>
        <w:rPr>
          <w:sz w:val="22"/>
          <w:szCs w:val="22"/>
        </w:rPr>
      </w:pPr>
    </w:p>
    <w:p w14:paraId="5D43B7FA" w14:textId="77777777" w:rsidR="00775CE1" w:rsidRDefault="00775CE1" w:rsidP="00497817">
      <w:pPr>
        <w:rPr>
          <w:sz w:val="22"/>
          <w:szCs w:val="22"/>
        </w:rPr>
      </w:pPr>
    </w:p>
    <w:p w14:paraId="434B65AA" w14:textId="77777777" w:rsidR="005B7878" w:rsidRDefault="005B7878" w:rsidP="00497817">
      <w:pPr>
        <w:rPr>
          <w:sz w:val="22"/>
          <w:szCs w:val="22"/>
        </w:rPr>
      </w:pPr>
    </w:p>
    <w:p w14:paraId="09F5E211" w14:textId="77777777" w:rsidR="00775CE1" w:rsidRDefault="00775CE1" w:rsidP="00497817">
      <w:pPr>
        <w:rPr>
          <w:sz w:val="22"/>
          <w:szCs w:val="22"/>
        </w:rPr>
      </w:pPr>
    </w:p>
    <w:p w14:paraId="38EE5D66" w14:textId="77777777" w:rsidR="00775CE1" w:rsidRDefault="00775CE1" w:rsidP="00497817">
      <w:pPr>
        <w:rPr>
          <w:sz w:val="22"/>
          <w:szCs w:val="22"/>
        </w:rPr>
      </w:pPr>
    </w:p>
    <w:p w14:paraId="2B81E6E0" w14:textId="77777777" w:rsidR="00775CE1" w:rsidRDefault="00775CE1" w:rsidP="00497817">
      <w:pPr>
        <w:rPr>
          <w:sz w:val="22"/>
          <w:szCs w:val="22"/>
        </w:rPr>
      </w:pPr>
    </w:p>
    <w:p w14:paraId="3182EA87" w14:textId="77777777" w:rsidR="00775CE1" w:rsidRDefault="00775CE1" w:rsidP="00497817">
      <w:pPr>
        <w:rPr>
          <w:sz w:val="22"/>
          <w:szCs w:val="22"/>
        </w:rPr>
      </w:pPr>
    </w:p>
    <w:p w14:paraId="066C1E01" w14:textId="77777777" w:rsidR="00775CE1" w:rsidRDefault="00775CE1" w:rsidP="00497817">
      <w:pPr>
        <w:rPr>
          <w:sz w:val="22"/>
          <w:szCs w:val="22"/>
        </w:rPr>
      </w:pPr>
    </w:p>
    <w:p w14:paraId="7CC7C17C" w14:textId="77777777" w:rsidR="00775CE1" w:rsidRPr="000A5DD6" w:rsidRDefault="00775CE1" w:rsidP="00497817">
      <w:pPr>
        <w:rPr>
          <w:sz w:val="32"/>
          <w:szCs w:val="32"/>
        </w:rPr>
      </w:pPr>
    </w:p>
    <w:p w14:paraId="4E7122D3" w14:textId="77777777" w:rsidR="005B7878" w:rsidRPr="000A5DD6" w:rsidRDefault="005B7878" w:rsidP="00775CE1">
      <w:pPr>
        <w:jc w:val="center"/>
        <w:rPr>
          <w:b/>
          <w:sz w:val="32"/>
          <w:szCs w:val="32"/>
        </w:rPr>
      </w:pPr>
      <w:r w:rsidRPr="000A5DD6">
        <w:rPr>
          <w:b/>
          <w:sz w:val="32"/>
          <w:szCs w:val="32"/>
        </w:rPr>
        <w:t>SEXUAL ORIENTATION, GENDER IDENTITY AND INTERSEX STATUS RIGHTS (</w:t>
      </w:r>
      <w:r w:rsidR="00775CE1" w:rsidRPr="000A5DD6">
        <w:rPr>
          <w:b/>
          <w:sz w:val="32"/>
          <w:szCs w:val="32"/>
        </w:rPr>
        <w:t>SOGII</w:t>
      </w:r>
      <w:r w:rsidRPr="000A5DD6">
        <w:rPr>
          <w:b/>
          <w:sz w:val="32"/>
          <w:szCs w:val="32"/>
        </w:rPr>
        <w:t>)</w:t>
      </w:r>
      <w:r w:rsidR="00775CE1" w:rsidRPr="000A5DD6">
        <w:rPr>
          <w:b/>
          <w:sz w:val="32"/>
          <w:szCs w:val="32"/>
        </w:rPr>
        <w:t xml:space="preserve"> </w:t>
      </w:r>
    </w:p>
    <w:p w14:paraId="639D63A3" w14:textId="77777777" w:rsidR="005B7878" w:rsidRPr="000A5DD6" w:rsidRDefault="005B7878" w:rsidP="00775CE1">
      <w:pPr>
        <w:jc w:val="center"/>
        <w:rPr>
          <w:b/>
          <w:sz w:val="32"/>
          <w:szCs w:val="32"/>
        </w:rPr>
      </w:pPr>
    </w:p>
    <w:p w14:paraId="1EFC7DBC" w14:textId="77777777" w:rsidR="000A5DD6" w:rsidRDefault="00775CE1" w:rsidP="005236EE">
      <w:pPr>
        <w:jc w:val="center"/>
        <w:rPr>
          <w:b/>
          <w:sz w:val="32"/>
          <w:szCs w:val="32"/>
        </w:rPr>
      </w:pPr>
      <w:r w:rsidRPr="000A5DD6">
        <w:rPr>
          <w:b/>
          <w:sz w:val="32"/>
          <w:szCs w:val="32"/>
        </w:rPr>
        <w:t>SUBMISSION</w:t>
      </w:r>
      <w:r w:rsidR="005B7878" w:rsidRPr="000A5DD6">
        <w:rPr>
          <w:b/>
          <w:sz w:val="32"/>
          <w:szCs w:val="32"/>
        </w:rPr>
        <w:t xml:space="preserve"> TO THE </w:t>
      </w:r>
    </w:p>
    <w:p w14:paraId="763F3E2E" w14:textId="57706505" w:rsidR="005B7878" w:rsidRPr="000A5DD6" w:rsidRDefault="005B7878" w:rsidP="005236EE">
      <w:pPr>
        <w:jc w:val="center"/>
        <w:rPr>
          <w:b/>
          <w:sz w:val="32"/>
          <w:szCs w:val="32"/>
        </w:rPr>
      </w:pPr>
      <w:r w:rsidRPr="000A5DD6">
        <w:rPr>
          <w:b/>
          <w:sz w:val="32"/>
          <w:szCs w:val="32"/>
        </w:rPr>
        <w:t>AUSTRALIAN HUMAN RIGHTS COMMISSION</w:t>
      </w:r>
    </w:p>
    <w:p w14:paraId="3E87F430" w14:textId="77777777" w:rsidR="005B7878" w:rsidRDefault="005B7878" w:rsidP="00775CE1">
      <w:pPr>
        <w:jc w:val="center"/>
        <w:rPr>
          <w:b/>
          <w:sz w:val="48"/>
          <w:szCs w:val="48"/>
        </w:rPr>
      </w:pPr>
    </w:p>
    <w:p w14:paraId="7918AFFC" w14:textId="77777777" w:rsidR="005B7878" w:rsidRDefault="005B7878" w:rsidP="00775CE1">
      <w:pPr>
        <w:jc w:val="center"/>
        <w:rPr>
          <w:b/>
          <w:sz w:val="48"/>
          <w:szCs w:val="48"/>
        </w:rPr>
      </w:pPr>
    </w:p>
    <w:p w14:paraId="00AFAF95" w14:textId="77777777" w:rsidR="005B7878" w:rsidRPr="00775CE1" w:rsidRDefault="005B7878" w:rsidP="00775CE1">
      <w:pPr>
        <w:jc w:val="center"/>
        <w:rPr>
          <w:b/>
          <w:sz w:val="48"/>
          <w:szCs w:val="48"/>
        </w:rPr>
      </w:pPr>
    </w:p>
    <w:p w14:paraId="085F1F5B" w14:textId="44429231" w:rsidR="00775CE1" w:rsidRPr="000A5DD6" w:rsidRDefault="00775CE1" w:rsidP="00775CE1">
      <w:pPr>
        <w:jc w:val="center"/>
        <w:rPr>
          <w:b/>
          <w:sz w:val="32"/>
          <w:szCs w:val="32"/>
        </w:rPr>
      </w:pPr>
      <w:r w:rsidRPr="000A5DD6">
        <w:rPr>
          <w:b/>
          <w:sz w:val="32"/>
          <w:szCs w:val="32"/>
        </w:rPr>
        <w:t>February 2015</w:t>
      </w:r>
    </w:p>
    <w:p w14:paraId="0779C6C8" w14:textId="50C4E66D" w:rsidR="009B0955" w:rsidRDefault="009B0955" w:rsidP="00497817">
      <w:pPr>
        <w:rPr>
          <w:sz w:val="22"/>
          <w:szCs w:val="22"/>
        </w:rPr>
      </w:pPr>
    </w:p>
    <w:p w14:paraId="2CC8BF50" w14:textId="77777777" w:rsidR="009B0955" w:rsidRDefault="009B0955" w:rsidP="00497817">
      <w:pPr>
        <w:rPr>
          <w:sz w:val="22"/>
          <w:szCs w:val="22"/>
        </w:rPr>
      </w:pPr>
    </w:p>
    <w:p w14:paraId="2C602021" w14:textId="77777777" w:rsidR="009B0955" w:rsidRDefault="009B0955" w:rsidP="00497817">
      <w:pPr>
        <w:rPr>
          <w:sz w:val="22"/>
          <w:szCs w:val="22"/>
        </w:rPr>
      </w:pPr>
    </w:p>
    <w:p w14:paraId="7EBD5113" w14:textId="77777777" w:rsidR="009B0955" w:rsidRDefault="009B0955" w:rsidP="00497817">
      <w:pPr>
        <w:rPr>
          <w:sz w:val="22"/>
          <w:szCs w:val="22"/>
        </w:rPr>
      </w:pPr>
    </w:p>
    <w:p w14:paraId="3FDC43DB" w14:textId="77777777" w:rsidR="009B0955" w:rsidRDefault="009B0955" w:rsidP="00497817">
      <w:pPr>
        <w:rPr>
          <w:sz w:val="22"/>
          <w:szCs w:val="22"/>
        </w:rPr>
      </w:pPr>
    </w:p>
    <w:p w14:paraId="00240F70" w14:textId="77777777" w:rsidR="009B0955" w:rsidRDefault="009B0955" w:rsidP="00497817">
      <w:pPr>
        <w:rPr>
          <w:sz w:val="22"/>
          <w:szCs w:val="22"/>
        </w:rPr>
      </w:pPr>
    </w:p>
    <w:p w14:paraId="0270FE3A" w14:textId="77777777" w:rsidR="009B0955" w:rsidRDefault="009B0955" w:rsidP="00497817">
      <w:pPr>
        <w:rPr>
          <w:sz w:val="22"/>
          <w:szCs w:val="22"/>
        </w:rPr>
      </w:pPr>
    </w:p>
    <w:p w14:paraId="43D5B5F0" w14:textId="77777777" w:rsidR="009B0955" w:rsidRDefault="009B0955" w:rsidP="00497817">
      <w:pPr>
        <w:rPr>
          <w:sz w:val="22"/>
          <w:szCs w:val="22"/>
        </w:rPr>
      </w:pPr>
    </w:p>
    <w:p w14:paraId="78B1893F" w14:textId="77777777" w:rsidR="009B0955" w:rsidRDefault="009B0955" w:rsidP="00497817">
      <w:pPr>
        <w:rPr>
          <w:sz w:val="22"/>
          <w:szCs w:val="22"/>
        </w:rPr>
      </w:pPr>
    </w:p>
    <w:p w14:paraId="4DEB2455" w14:textId="77777777" w:rsidR="009B0955" w:rsidRDefault="009B0955" w:rsidP="00497817">
      <w:pPr>
        <w:rPr>
          <w:sz w:val="22"/>
          <w:szCs w:val="22"/>
        </w:rPr>
      </w:pPr>
    </w:p>
    <w:p w14:paraId="50DDA0D4" w14:textId="77777777" w:rsidR="009B0955" w:rsidRDefault="009B0955" w:rsidP="00497817">
      <w:pPr>
        <w:rPr>
          <w:sz w:val="22"/>
          <w:szCs w:val="22"/>
        </w:rPr>
      </w:pPr>
    </w:p>
    <w:p w14:paraId="616FB796" w14:textId="38B70379" w:rsidR="009B0955" w:rsidRDefault="009B0955" w:rsidP="00497817">
      <w:pPr>
        <w:rPr>
          <w:sz w:val="22"/>
          <w:szCs w:val="22"/>
        </w:rPr>
      </w:pPr>
      <w:r>
        <w:rPr>
          <w:sz w:val="22"/>
          <w:szCs w:val="22"/>
        </w:rPr>
        <w:t>Submission length (excluding cover pages</w:t>
      </w:r>
      <w:r w:rsidR="00206F6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EF0A3C">
        <w:rPr>
          <w:sz w:val="22"/>
          <w:szCs w:val="22"/>
        </w:rPr>
        <w:t xml:space="preserve">including </w:t>
      </w:r>
      <w:r w:rsidR="00206F62">
        <w:rPr>
          <w:sz w:val="22"/>
          <w:szCs w:val="22"/>
        </w:rPr>
        <w:t xml:space="preserve">footnotes and </w:t>
      </w:r>
      <w:r w:rsidR="00EF0A3C">
        <w:rPr>
          <w:sz w:val="22"/>
          <w:szCs w:val="22"/>
        </w:rPr>
        <w:t>question headings</w:t>
      </w:r>
      <w:r>
        <w:rPr>
          <w:sz w:val="22"/>
          <w:szCs w:val="22"/>
        </w:rPr>
        <w:t>)</w:t>
      </w:r>
      <w:r w:rsidR="00145F3E">
        <w:rPr>
          <w:sz w:val="22"/>
          <w:szCs w:val="22"/>
        </w:rPr>
        <w:t>:1100</w:t>
      </w:r>
    </w:p>
    <w:p w14:paraId="089BA792" w14:textId="77777777" w:rsidR="00497817" w:rsidRDefault="00497817" w:rsidP="00497817">
      <w:pPr>
        <w:rPr>
          <w:sz w:val="22"/>
          <w:szCs w:val="22"/>
        </w:rPr>
      </w:pPr>
    </w:p>
    <w:p w14:paraId="0708CD22" w14:textId="77777777" w:rsidR="009B0955" w:rsidRDefault="009B0955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5E0AEA4" w14:textId="77777777" w:rsidR="001523D7" w:rsidRDefault="001523D7" w:rsidP="00497817">
      <w:pPr>
        <w:rPr>
          <w:b/>
        </w:rPr>
      </w:pPr>
    </w:p>
    <w:p w14:paraId="37989868" w14:textId="77777777" w:rsidR="001523D7" w:rsidRDefault="001523D7" w:rsidP="00497817">
      <w:pPr>
        <w:rPr>
          <w:b/>
        </w:rPr>
      </w:pPr>
    </w:p>
    <w:p w14:paraId="08BCA5B6" w14:textId="064E5B14" w:rsidR="00497817" w:rsidRPr="00294912" w:rsidRDefault="00497817" w:rsidP="00497817">
      <w:pPr>
        <w:rPr>
          <w:b/>
        </w:rPr>
      </w:pPr>
      <w:r w:rsidRPr="00294912">
        <w:rPr>
          <w:b/>
        </w:rPr>
        <w:t>About the Gay and Lesbian Rights Lobby NSW</w:t>
      </w:r>
      <w:bookmarkEnd w:id="1"/>
    </w:p>
    <w:p w14:paraId="482DF9BA" w14:textId="77777777" w:rsidR="00497817" w:rsidRPr="00294912" w:rsidRDefault="00497817" w:rsidP="00497817">
      <w:pPr>
        <w:jc w:val="both"/>
      </w:pPr>
      <w:r w:rsidRPr="00294912">
        <w:t xml:space="preserve"> </w:t>
      </w:r>
    </w:p>
    <w:p w14:paraId="26D240C5" w14:textId="77777777" w:rsidR="00497817" w:rsidRPr="00294912" w:rsidRDefault="00497817" w:rsidP="00497817">
      <w:pPr>
        <w:jc w:val="both"/>
        <w:rPr>
          <w:rFonts w:eastAsia="Times New Roman" w:cs="Times New Roman"/>
        </w:rPr>
      </w:pPr>
      <w:r w:rsidRPr="00294912">
        <w:t xml:space="preserve">Established in 1988, the NSW Gay &amp; Lesbian Rights Lobby (GLRL) is the peak organisation for lesbian and gay rights in NSW. </w:t>
      </w:r>
      <w:r w:rsidRPr="00294912">
        <w:rPr>
          <w:rFonts w:eastAsia="Times New Roman" w:cs="Times New Roman"/>
          <w:color w:val="000000"/>
          <w:shd w:val="clear" w:color="auto" w:fill="FFFFFF"/>
        </w:rPr>
        <w:t>We provide referral and educative resources on gay and lesbian rights to the media, policy makers and the community.</w:t>
      </w:r>
    </w:p>
    <w:p w14:paraId="20F023E9" w14:textId="77777777" w:rsidR="00CC7EE3" w:rsidRPr="00294912" w:rsidRDefault="00CC7EE3" w:rsidP="00497817">
      <w:pPr>
        <w:jc w:val="both"/>
      </w:pPr>
    </w:p>
    <w:p w14:paraId="45AB7D63" w14:textId="330E51C3" w:rsidR="00294912" w:rsidRPr="00294912" w:rsidRDefault="00497817" w:rsidP="00294912">
      <w:pPr>
        <w:jc w:val="both"/>
      </w:pPr>
      <w:r w:rsidRPr="00294912">
        <w:t xml:space="preserve">Our mission is to achieve legal equality and social justice for lesbians, gay men and their families. </w:t>
      </w:r>
    </w:p>
    <w:p w14:paraId="5EF61C8C" w14:textId="1CB3452C" w:rsidR="00294912" w:rsidRPr="00294912" w:rsidRDefault="00294912" w:rsidP="00294912">
      <w:pPr>
        <w:pStyle w:val="MainTitle"/>
        <w:spacing w:before="240" w:after="120" w:line="240" w:lineRule="auto"/>
        <w:jc w:val="both"/>
        <w:rPr>
          <w:rFonts w:asciiTheme="minorHAnsi" w:hAnsiTheme="minorHAnsi" w:cs="Arial"/>
          <w:color w:val="auto"/>
          <w:sz w:val="24"/>
          <w:szCs w:val="24"/>
        </w:rPr>
      </w:pPr>
      <w:r w:rsidRPr="00294912">
        <w:rPr>
          <w:rFonts w:asciiTheme="minorHAnsi" w:hAnsiTheme="minorHAnsi" w:cs="Arial"/>
          <w:color w:val="auto"/>
          <w:sz w:val="24"/>
          <w:szCs w:val="24"/>
        </w:rPr>
        <w:t xml:space="preserve">* While </w:t>
      </w:r>
      <w:r w:rsidR="00775C69">
        <w:rPr>
          <w:rFonts w:asciiTheme="minorHAnsi" w:hAnsiTheme="minorHAnsi" w:cs="Arial"/>
          <w:color w:val="auto"/>
          <w:sz w:val="24"/>
          <w:szCs w:val="24"/>
        </w:rPr>
        <w:t>bisexual, intersex, trans and gender diverse issues</w:t>
      </w:r>
      <w:r w:rsidR="008D1B51">
        <w:rPr>
          <w:rFonts w:asciiTheme="minorHAnsi" w:hAnsiTheme="minorHAnsi" w:cs="Arial"/>
          <w:color w:val="auto"/>
          <w:sz w:val="24"/>
          <w:szCs w:val="24"/>
        </w:rPr>
        <w:t xml:space="preserve"> </w:t>
      </w:r>
      <w:r w:rsidRPr="00294912">
        <w:rPr>
          <w:rFonts w:asciiTheme="minorHAnsi" w:hAnsiTheme="minorHAnsi" w:cs="Arial"/>
          <w:color w:val="auto"/>
          <w:sz w:val="24"/>
          <w:szCs w:val="24"/>
        </w:rPr>
        <w:t>are not formally in the GLRL’s mandate there are specific and ongoing issues for these communities</w:t>
      </w:r>
      <w:r w:rsidR="00810156">
        <w:rPr>
          <w:rFonts w:asciiTheme="minorHAnsi" w:hAnsiTheme="minorHAnsi" w:cs="Arial"/>
          <w:color w:val="auto"/>
          <w:sz w:val="24"/>
          <w:szCs w:val="24"/>
        </w:rPr>
        <w:t xml:space="preserve"> in regard to SOGII rights</w:t>
      </w:r>
      <w:r w:rsidRPr="00294912">
        <w:rPr>
          <w:rFonts w:asciiTheme="minorHAnsi" w:hAnsiTheme="minorHAnsi" w:cs="Arial"/>
          <w:color w:val="auto"/>
          <w:sz w:val="24"/>
          <w:szCs w:val="24"/>
        </w:rPr>
        <w:t xml:space="preserve"> We welcome and recommend direct consultation with </w:t>
      </w:r>
      <w:r w:rsidR="00775C69">
        <w:rPr>
          <w:rFonts w:asciiTheme="minorHAnsi" w:hAnsiTheme="minorHAnsi" w:cs="Arial"/>
          <w:color w:val="auto"/>
          <w:sz w:val="24"/>
          <w:szCs w:val="24"/>
        </w:rPr>
        <w:t>representative</w:t>
      </w:r>
      <w:r w:rsidRPr="00294912">
        <w:rPr>
          <w:rFonts w:asciiTheme="minorHAnsi" w:hAnsiTheme="minorHAnsi" w:cs="Arial"/>
          <w:color w:val="auto"/>
          <w:sz w:val="24"/>
          <w:szCs w:val="24"/>
        </w:rPr>
        <w:t xml:space="preserve"> groups regarding the protection of </w:t>
      </w:r>
      <w:r w:rsidR="00775C69">
        <w:rPr>
          <w:rFonts w:asciiTheme="minorHAnsi" w:hAnsiTheme="minorHAnsi" w:cs="Arial"/>
          <w:color w:val="auto"/>
          <w:sz w:val="24"/>
          <w:szCs w:val="24"/>
        </w:rPr>
        <w:t>the rights of bisexual, intersex, trans and gender diverse people.</w:t>
      </w:r>
    </w:p>
    <w:p w14:paraId="75E4246F" w14:textId="4C56B999" w:rsidR="00294912" w:rsidRPr="00497817" w:rsidRDefault="00294912" w:rsidP="00497817">
      <w:pPr>
        <w:jc w:val="both"/>
        <w:rPr>
          <w:sz w:val="22"/>
          <w:szCs w:val="22"/>
        </w:rPr>
      </w:pPr>
    </w:p>
    <w:p w14:paraId="64BD1801" w14:textId="77777777" w:rsidR="00775CE1" w:rsidRDefault="00775CE1" w:rsidP="00497817">
      <w:pPr>
        <w:shd w:val="clear" w:color="auto" w:fill="FFFFFF"/>
        <w:spacing w:before="100" w:beforeAutospacing="1" w:after="100" w:afterAutospacing="1"/>
        <w:jc w:val="both"/>
        <w:rPr>
          <w:rFonts w:cs="Times New Roman"/>
          <w:b/>
          <w:bCs/>
          <w:color w:val="000000"/>
          <w:sz w:val="22"/>
          <w:szCs w:val="22"/>
        </w:rPr>
      </w:pPr>
    </w:p>
    <w:p w14:paraId="1871D565" w14:textId="77777777" w:rsidR="001523D7" w:rsidRDefault="001523D7" w:rsidP="00497817">
      <w:pPr>
        <w:shd w:val="clear" w:color="auto" w:fill="FFFFFF"/>
        <w:spacing w:before="100" w:beforeAutospacing="1" w:after="100" w:afterAutospacing="1"/>
        <w:jc w:val="both"/>
        <w:rPr>
          <w:rFonts w:cs="Times New Roman"/>
          <w:b/>
          <w:bCs/>
          <w:color w:val="000000"/>
          <w:sz w:val="22"/>
          <w:szCs w:val="22"/>
        </w:rPr>
      </w:pPr>
    </w:p>
    <w:p w14:paraId="62144F24" w14:textId="77777777" w:rsidR="001523D7" w:rsidRDefault="001523D7" w:rsidP="00497817">
      <w:pPr>
        <w:shd w:val="clear" w:color="auto" w:fill="FFFFFF"/>
        <w:spacing w:before="100" w:beforeAutospacing="1" w:after="100" w:afterAutospacing="1"/>
        <w:jc w:val="both"/>
        <w:rPr>
          <w:rFonts w:cs="Times New Roman"/>
          <w:b/>
          <w:bCs/>
          <w:color w:val="000000"/>
          <w:sz w:val="22"/>
          <w:szCs w:val="22"/>
        </w:rPr>
      </w:pPr>
    </w:p>
    <w:p w14:paraId="402D14E9" w14:textId="77777777" w:rsidR="001523D7" w:rsidRDefault="001523D7" w:rsidP="00497817">
      <w:pPr>
        <w:shd w:val="clear" w:color="auto" w:fill="FFFFFF"/>
        <w:spacing w:before="100" w:beforeAutospacing="1" w:after="100" w:afterAutospacing="1"/>
        <w:jc w:val="both"/>
        <w:rPr>
          <w:rFonts w:cs="Times New Roman"/>
          <w:b/>
          <w:bCs/>
          <w:color w:val="000000"/>
          <w:sz w:val="22"/>
          <w:szCs w:val="22"/>
        </w:rPr>
      </w:pPr>
    </w:p>
    <w:p w14:paraId="1C87F9A6" w14:textId="77777777" w:rsidR="001523D7" w:rsidRDefault="001523D7" w:rsidP="00497817">
      <w:pPr>
        <w:shd w:val="clear" w:color="auto" w:fill="FFFFFF"/>
        <w:spacing w:before="100" w:beforeAutospacing="1" w:after="100" w:afterAutospacing="1"/>
        <w:jc w:val="both"/>
        <w:rPr>
          <w:rFonts w:cs="Times New Roman"/>
          <w:b/>
          <w:bCs/>
          <w:color w:val="000000"/>
          <w:sz w:val="22"/>
          <w:szCs w:val="22"/>
        </w:rPr>
      </w:pPr>
    </w:p>
    <w:p w14:paraId="27812854" w14:textId="77777777" w:rsidR="001523D7" w:rsidRDefault="001523D7" w:rsidP="00497817">
      <w:pPr>
        <w:shd w:val="clear" w:color="auto" w:fill="FFFFFF"/>
        <w:spacing w:before="100" w:beforeAutospacing="1" w:after="100" w:afterAutospacing="1"/>
        <w:jc w:val="both"/>
        <w:rPr>
          <w:rFonts w:cs="Times New Roman"/>
          <w:b/>
          <w:bCs/>
          <w:color w:val="000000"/>
          <w:sz w:val="22"/>
          <w:szCs w:val="22"/>
        </w:rPr>
      </w:pPr>
    </w:p>
    <w:p w14:paraId="20F4DBE2" w14:textId="77777777" w:rsidR="001523D7" w:rsidRDefault="001523D7" w:rsidP="00497817">
      <w:pPr>
        <w:shd w:val="clear" w:color="auto" w:fill="FFFFFF"/>
        <w:spacing w:before="100" w:beforeAutospacing="1" w:after="100" w:afterAutospacing="1"/>
        <w:jc w:val="both"/>
        <w:rPr>
          <w:rFonts w:cs="Times New Roman"/>
          <w:b/>
          <w:bCs/>
          <w:color w:val="000000"/>
          <w:sz w:val="22"/>
          <w:szCs w:val="22"/>
        </w:rPr>
      </w:pPr>
    </w:p>
    <w:p w14:paraId="6EB72066" w14:textId="77777777" w:rsidR="001523D7" w:rsidRDefault="001523D7" w:rsidP="00497817">
      <w:pPr>
        <w:shd w:val="clear" w:color="auto" w:fill="FFFFFF"/>
        <w:spacing w:before="100" w:beforeAutospacing="1" w:after="100" w:afterAutospacing="1"/>
        <w:jc w:val="both"/>
        <w:rPr>
          <w:rFonts w:cs="Times New Roman"/>
          <w:color w:val="000000"/>
          <w:sz w:val="20"/>
          <w:szCs w:val="20"/>
        </w:rPr>
      </w:pPr>
    </w:p>
    <w:p w14:paraId="0262DDB9" w14:textId="77777777" w:rsidR="001523D7" w:rsidRPr="001523D7" w:rsidRDefault="001523D7" w:rsidP="00497817">
      <w:pPr>
        <w:shd w:val="clear" w:color="auto" w:fill="FFFFFF"/>
        <w:spacing w:before="100" w:beforeAutospacing="1" w:after="100" w:afterAutospacing="1"/>
        <w:jc w:val="both"/>
        <w:rPr>
          <w:rFonts w:cs="Times New Roman"/>
          <w:color w:val="000000"/>
          <w:sz w:val="20"/>
          <w:szCs w:val="20"/>
        </w:rPr>
      </w:pPr>
    </w:p>
    <w:p w14:paraId="4E428FEB" w14:textId="6D60A0C2" w:rsidR="00497817" w:rsidRPr="001523D7" w:rsidRDefault="00497817" w:rsidP="00497817">
      <w:pPr>
        <w:rPr>
          <w:sz w:val="20"/>
          <w:szCs w:val="20"/>
        </w:rPr>
      </w:pPr>
      <w:r w:rsidRPr="001523D7">
        <w:rPr>
          <w:sz w:val="20"/>
          <w:szCs w:val="20"/>
        </w:rPr>
        <w:t>This submission has been produced by the</w:t>
      </w:r>
    </w:p>
    <w:p w14:paraId="6A9815BE" w14:textId="77777777" w:rsidR="00497817" w:rsidRPr="001523D7" w:rsidRDefault="00497817" w:rsidP="00497817">
      <w:pPr>
        <w:rPr>
          <w:sz w:val="20"/>
          <w:szCs w:val="20"/>
        </w:rPr>
      </w:pPr>
      <w:r w:rsidRPr="001523D7">
        <w:rPr>
          <w:sz w:val="20"/>
          <w:szCs w:val="20"/>
        </w:rPr>
        <w:t>Gay and Lesbian Rights Lobby (NSW) Inc.</w:t>
      </w:r>
    </w:p>
    <w:p w14:paraId="6786FF06" w14:textId="77777777" w:rsidR="00497817" w:rsidRPr="001523D7" w:rsidRDefault="00497817" w:rsidP="00497817">
      <w:pPr>
        <w:rPr>
          <w:sz w:val="20"/>
          <w:szCs w:val="20"/>
        </w:rPr>
      </w:pPr>
      <w:r w:rsidRPr="001523D7">
        <w:rPr>
          <w:sz w:val="20"/>
          <w:szCs w:val="20"/>
        </w:rPr>
        <w:t>ABN: 71 581 014 456</w:t>
      </w:r>
    </w:p>
    <w:p w14:paraId="40F283B0" w14:textId="77777777" w:rsidR="00497817" w:rsidRPr="001523D7" w:rsidRDefault="00497817" w:rsidP="00497817">
      <w:pPr>
        <w:rPr>
          <w:sz w:val="20"/>
          <w:szCs w:val="20"/>
        </w:rPr>
      </w:pPr>
    </w:p>
    <w:p w14:paraId="6F5CAB1A" w14:textId="30FE07F3" w:rsidR="00497817" w:rsidRPr="001523D7" w:rsidRDefault="00497817" w:rsidP="00497817">
      <w:pPr>
        <w:rPr>
          <w:sz w:val="20"/>
          <w:szCs w:val="20"/>
        </w:rPr>
      </w:pPr>
      <w:r w:rsidRPr="001523D7">
        <w:rPr>
          <w:sz w:val="20"/>
          <w:szCs w:val="20"/>
        </w:rPr>
        <w:t>Benledi House, Suite 3, Level 1, 186 Glebe Point Rd, Glebe NSW 2037</w:t>
      </w:r>
    </w:p>
    <w:p w14:paraId="00E5E6F4" w14:textId="293EE423" w:rsidR="00497817" w:rsidRPr="001523D7" w:rsidRDefault="00497817" w:rsidP="00497817">
      <w:pPr>
        <w:rPr>
          <w:sz w:val="20"/>
          <w:szCs w:val="20"/>
        </w:rPr>
      </w:pPr>
      <w:r w:rsidRPr="001523D7">
        <w:rPr>
          <w:sz w:val="20"/>
          <w:szCs w:val="20"/>
        </w:rPr>
        <w:t>PO Box 304, Glebe NSW 2037</w:t>
      </w:r>
    </w:p>
    <w:p w14:paraId="5347F2A0" w14:textId="77777777" w:rsidR="00497817" w:rsidRPr="001523D7" w:rsidRDefault="00497817" w:rsidP="00497817">
      <w:pPr>
        <w:rPr>
          <w:sz w:val="20"/>
          <w:szCs w:val="20"/>
        </w:rPr>
      </w:pPr>
      <w:r w:rsidRPr="001523D7">
        <w:rPr>
          <w:sz w:val="20"/>
          <w:szCs w:val="20"/>
        </w:rPr>
        <w:t>Phone: (02) 9571 5501</w:t>
      </w:r>
    </w:p>
    <w:p w14:paraId="0A33C845" w14:textId="77777777" w:rsidR="00497817" w:rsidRPr="001523D7" w:rsidRDefault="00497817" w:rsidP="00497817">
      <w:pPr>
        <w:rPr>
          <w:sz w:val="20"/>
          <w:szCs w:val="20"/>
        </w:rPr>
      </w:pPr>
      <w:r w:rsidRPr="001523D7">
        <w:rPr>
          <w:sz w:val="20"/>
          <w:szCs w:val="20"/>
        </w:rPr>
        <w:t>Fax: (02) 9571 5509</w:t>
      </w:r>
    </w:p>
    <w:p w14:paraId="7F96BCA7" w14:textId="77777777" w:rsidR="00497817" w:rsidRPr="001523D7" w:rsidRDefault="00497817" w:rsidP="00497817">
      <w:pPr>
        <w:rPr>
          <w:sz w:val="20"/>
          <w:szCs w:val="20"/>
        </w:rPr>
      </w:pPr>
    </w:p>
    <w:p w14:paraId="54D05EB5" w14:textId="77777777" w:rsidR="00497817" w:rsidRPr="001523D7" w:rsidRDefault="00497817" w:rsidP="00497817">
      <w:pPr>
        <w:rPr>
          <w:sz w:val="20"/>
          <w:szCs w:val="20"/>
        </w:rPr>
      </w:pPr>
      <w:r w:rsidRPr="001523D7">
        <w:rPr>
          <w:sz w:val="20"/>
          <w:szCs w:val="20"/>
        </w:rPr>
        <w:t>Email: glrl@glrl.org.au</w:t>
      </w:r>
    </w:p>
    <w:p w14:paraId="58CE3253" w14:textId="77777777" w:rsidR="00497817" w:rsidRDefault="00497817" w:rsidP="00497817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 w:rsidRPr="001523D7">
        <w:rPr>
          <w:sz w:val="20"/>
          <w:szCs w:val="20"/>
        </w:rPr>
        <w:t>www.glrl.org.au</w:t>
      </w:r>
      <w:r>
        <w:br w:type="page"/>
      </w:r>
    </w:p>
    <w:p w14:paraId="10644F7C" w14:textId="79D817FC" w:rsidR="00B61218" w:rsidRDefault="00A33EBC" w:rsidP="005B7878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  <w:lastRenderedPageBreak/>
        <w:t xml:space="preserve">NSW GLRL </w:t>
      </w:r>
      <w:r w:rsidR="0089144B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  <w:t>SOGII SUBMISSION</w:t>
      </w:r>
    </w:p>
    <w:p w14:paraId="1EC03AF0" w14:textId="47CCA1B4" w:rsidR="004346A9" w:rsidRPr="006D4C87" w:rsidRDefault="0056555C" w:rsidP="0071314C">
      <w:pPr>
        <w:pStyle w:val="Heading2"/>
      </w:pPr>
      <w:r w:rsidRPr="00AF49D7">
        <w:rPr>
          <w:lang w:val="en-US"/>
        </w:rPr>
        <w:t>How well SOGII rights are respected and protected in Australia:</w:t>
      </w:r>
    </w:p>
    <w:p w14:paraId="25FDE0A9" w14:textId="4FA1DAB5" w:rsidR="0056555C" w:rsidRPr="0071314C" w:rsidRDefault="004346A9" w:rsidP="004346A9">
      <w:pPr>
        <w:pStyle w:val="MainTitle"/>
        <w:spacing w:before="240" w:after="120" w:line="240" w:lineRule="auto"/>
        <w:jc w:val="left"/>
        <w:rPr>
          <w:rFonts w:asciiTheme="minorHAnsi" w:hAnsiTheme="minorHAnsi" w:cs="Arial"/>
          <w:b/>
          <w:color w:val="1F497D" w:themeColor="text2"/>
          <w:sz w:val="24"/>
          <w:szCs w:val="24"/>
        </w:rPr>
      </w:pPr>
      <w:r w:rsidRPr="0071314C">
        <w:rPr>
          <w:rFonts w:asciiTheme="minorHAnsi" w:hAnsiTheme="minorHAnsi" w:cs="Arial"/>
          <w:b/>
          <w:color w:val="1F497D" w:themeColor="text2"/>
          <w:sz w:val="24"/>
          <w:szCs w:val="24"/>
        </w:rPr>
        <w:t xml:space="preserve">- </w:t>
      </w:r>
      <w:r w:rsidR="0056555C" w:rsidRPr="0071314C">
        <w:rPr>
          <w:rFonts w:asciiTheme="minorHAnsi" w:hAnsiTheme="minorHAnsi" w:cs="Arial"/>
          <w:b/>
          <w:color w:val="1F497D" w:themeColor="text2"/>
          <w:sz w:val="24"/>
          <w:szCs w:val="24"/>
        </w:rPr>
        <w:t>What are some specific and ongoing issues that require the protection of SOGII rights?</w:t>
      </w:r>
    </w:p>
    <w:p w14:paraId="3052C32F" w14:textId="77777777" w:rsidR="00DB533E" w:rsidRDefault="00DB533E" w:rsidP="00D625F3">
      <w:pPr>
        <w:pStyle w:val="MainTitle"/>
        <w:spacing w:before="240" w:after="120" w:line="240" w:lineRule="auto"/>
        <w:jc w:val="left"/>
        <w:rPr>
          <w:rFonts w:asciiTheme="minorHAnsi" w:hAnsiTheme="minorHAnsi" w:cs="Arial"/>
          <w:b/>
          <w:color w:val="auto"/>
          <w:sz w:val="24"/>
          <w:szCs w:val="24"/>
        </w:rPr>
      </w:pPr>
    </w:p>
    <w:p w14:paraId="22928476" w14:textId="3CCF6C0E" w:rsidR="00DB533E" w:rsidRDefault="00184512" w:rsidP="00D625F3">
      <w:pPr>
        <w:pStyle w:val="MainTitle"/>
        <w:spacing w:before="240" w:after="120" w:line="240" w:lineRule="auto"/>
        <w:jc w:val="left"/>
        <w:rPr>
          <w:rFonts w:asciiTheme="minorHAnsi" w:hAnsiTheme="minorHAnsi" w:cs="Arial"/>
          <w:color w:val="auto"/>
          <w:sz w:val="24"/>
          <w:szCs w:val="24"/>
        </w:rPr>
      </w:pPr>
      <w:r>
        <w:rPr>
          <w:rFonts w:asciiTheme="minorHAnsi" w:hAnsiTheme="minorHAnsi" w:cs="Arial"/>
          <w:color w:val="auto"/>
          <w:sz w:val="24"/>
          <w:szCs w:val="24"/>
        </w:rPr>
        <w:t>Some key issues requiring protection of SOGII rights are:</w:t>
      </w:r>
    </w:p>
    <w:p w14:paraId="7C713A76" w14:textId="77777777" w:rsidR="00B37362" w:rsidRPr="002C44E6" w:rsidRDefault="00B37362" w:rsidP="00D625F3">
      <w:pPr>
        <w:pStyle w:val="MainTitle"/>
        <w:spacing w:before="240" w:after="120" w:line="240" w:lineRule="auto"/>
        <w:jc w:val="left"/>
        <w:rPr>
          <w:rFonts w:asciiTheme="minorHAnsi" w:hAnsiTheme="minorHAnsi" w:cs="Arial"/>
          <w:color w:val="auto"/>
          <w:sz w:val="24"/>
          <w:szCs w:val="24"/>
        </w:rPr>
      </w:pPr>
    </w:p>
    <w:p w14:paraId="28E8BFC6" w14:textId="62F074A6" w:rsidR="0049331C" w:rsidRDefault="00DB533E" w:rsidP="00D625F3">
      <w:pPr>
        <w:pStyle w:val="MainTitle"/>
        <w:spacing w:before="240" w:after="120" w:line="240" w:lineRule="auto"/>
        <w:jc w:val="left"/>
        <w:rPr>
          <w:rFonts w:asciiTheme="minorHAnsi" w:hAnsiTheme="minorHAnsi" w:cs="Arial"/>
          <w:b/>
          <w:color w:val="auto"/>
          <w:sz w:val="24"/>
          <w:szCs w:val="24"/>
        </w:rPr>
      </w:pPr>
      <w:r>
        <w:rPr>
          <w:rFonts w:asciiTheme="minorHAnsi" w:hAnsiTheme="minorHAnsi" w:cs="Arial"/>
          <w:b/>
          <w:color w:val="auto"/>
          <w:sz w:val="24"/>
          <w:szCs w:val="24"/>
        </w:rPr>
        <w:t>Anti-vilification protections</w:t>
      </w:r>
    </w:p>
    <w:p w14:paraId="3DB80136" w14:textId="764B8D74" w:rsidR="003B37EE" w:rsidRDefault="009F4FDF" w:rsidP="00B37362">
      <w:pPr>
        <w:pStyle w:val="NoSpacing"/>
        <w:jc w:val="both"/>
      </w:pPr>
      <w:r>
        <w:t>W</w:t>
      </w:r>
      <w:r w:rsidR="0049331C" w:rsidRPr="0049331C">
        <w:t xml:space="preserve">hile there are effective </w:t>
      </w:r>
      <w:r w:rsidR="00775C69">
        <w:t xml:space="preserve">federal </w:t>
      </w:r>
      <w:r w:rsidR="0049331C" w:rsidRPr="0049331C">
        <w:t>protections against racial</w:t>
      </w:r>
      <w:r>
        <w:t xml:space="preserve"> </w:t>
      </w:r>
      <w:r w:rsidR="0049331C" w:rsidRPr="0049331C">
        <w:t xml:space="preserve">vilification, there are no similar </w:t>
      </w:r>
      <w:r w:rsidR="00775C69">
        <w:t xml:space="preserve">federal </w:t>
      </w:r>
      <w:r w:rsidR="0049331C" w:rsidRPr="0049331C">
        <w:t>protections ag</w:t>
      </w:r>
      <w:r>
        <w:t xml:space="preserve">ainst anti-LGBTI vilification. </w:t>
      </w:r>
      <w:r w:rsidR="0049331C" w:rsidRPr="0049331C">
        <w:t>This is despite the fact that there is substantial evidence that LGBTI Australians</w:t>
      </w:r>
      <w:r>
        <w:t xml:space="preserve"> </w:t>
      </w:r>
      <w:r w:rsidR="0049331C" w:rsidRPr="0049331C">
        <w:t>also experience significant amounts of violence, intimidation and abuse, both</w:t>
      </w:r>
      <w:r>
        <w:t xml:space="preserve"> </w:t>
      </w:r>
      <w:r w:rsidR="0049331C" w:rsidRPr="0049331C">
        <w:t>physical and verbal.</w:t>
      </w:r>
    </w:p>
    <w:p w14:paraId="4F451AC6" w14:textId="250B94B7" w:rsidR="00AF49D7" w:rsidRPr="003E6605" w:rsidRDefault="008F22DA" w:rsidP="00D625F3">
      <w:pPr>
        <w:pStyle w:val="MainTitle"/>
        <w:spacing w:before="240" w:after="120" w:line="240" w:lineRule="auto"/>
        <w:jc w:val="left"/>
        <w:rPr>
          <w:rFonts w:asciiTheme="minorHAnsi" w:hAnsiTheme="minorHAnsi" w:cs="Arial"/>
          <w:b/>
          <w:color w:val="auto"/>
          <w:sz w:val="24"/>
          <w:szCs w:val="24"/>
        </w:rPr>
      </w:pPr>
      <w:r>
        <w:rPr>
          <w:rFonts w:asciiTheme="minorHAnsi" w:hAnsiTheme="minorHAnsi" w:cs="Arial"/>
          <w:b/>
          <w:color w:val="auto"/>
          <w:sz w:val="24"/>
          <w:szCs w:val="24"/>
        </w:rPr>
        <w:t>Anti-d</w:t>
      </w:r>
      <w:r w:rsidR="00AF49D7" w:rsidRPr="003E6605">
        <w:rPr>
          <w:rFonts w:asciiTheme="minorHAnsi" w:hAnsiTheme="minorHAnsi" w:cs="Arial"/>
          <w:b/>
          <w:color w:val="auto"/>
          <w:sz w:val="24"/>
          <w:szCs w:val="24"/>
        </w:rPr>
        <w:t>iscrimination</w:t>
      </w:r>
    </w:p>
    <w:p w14:paraId="7A2B0D37" w14:textId="4B7E8803" w:rsidR="00720FC6" w:rsidRPr="00B37362" w:rsidRDefault="00B00D2B" w:rsidP="00B37362">
      <w:pPr>
        <w:jc w:val="both"/>
        <w:rPr>
          <w:rFonts w:cs="Times New Roman"/>
        </w:rPr>
      </w:pPr>
      <w:r w:rsidRPr="00AF49D7">
        <w:t>D</w:t>
      </w:r>
      <w:r w:rsidR="00CB44D6" w:rsidRPr="00AF49D7">
        <w:t xml:space="preserve">iscrimination on the basis of </w:t>
      </w:r>
      <w:r w:rsidR="00B64CB7">
        <w:t xml:space="preserve">SOGII </w:t>
      </w:r>
      <w:r w:rsidR="00E16CB4">
        <w:t>remains pervasive in Australia</w:t>
      </w:r>
      <w:r w:rsidR="00AF49D7" w:rsidRPr="00AF49D7">
        <w:t>.</w:t>
      </w:r>
      <w:r w:rsidR="00AF49D7" w:rsidRPr="00AF49D7">
        <w:rPr>
          <w:rStyle w:val="FootnoteReference"/>
        </w:rPr>
        <w:footnoteReference w:id="1"/>
      </w:r>
      <w:r w:rsidR="00444ACD">
        <w:t xml:space="preserve"> </w:t>
      </w:r>
      <w:r w:rsidR="00CF7841">
        <w:t>L</w:t>
      </w:r>
      <w:r w:rsidR="001B51C1" w:rsidRPr="00D444D7">
        <w:t xml:space="preserve">egislative anti-discrimination schemes in each jurisdiction </w:t>
      </w:r>
      <w:r w:rsidR="00B64CB7">
        <w:t>continue to provide</w:t>
      </w:r>
      <w:r w:rsidR="001B51C1" w:rsidRPr="00D444D7">
        <w:t xml:space="preserve"> exemptions for </w:t>
      </w:r>
      <w:r w:rsidR="00B64CB7">
        <w:t xml:space="preserve">such discrimination in certain contexts, </w:t>
      </w:r>
      <w:r w:rsidR="00184512">
        <w:t>particularly when committed by</w:t>
      </w:r>
      <w:r w:rsidR="00B64CB7">
        <w:t xml:space="preserve"> religious bodies or organisations</w:t>
      </w:r>
      <w:r w:rsidR="00D74FE8">
        <w:t>.</w:t>
      </w:r>
      <w:r w:rsidR="00D74FE8" w:rsidRPr="00D74FE8">
        <w:t xml:space="preserve"> </w:t>
      </w:r>
      <w:r w:rsidR="00D74FE8">
        <w:t>Such exemptions</w:t>
      </w:r>
      <w:r w:rsidR="00D74FE8" w:rsidRPr="00AF49D7">
        <w:t xml:space="preserve"> are problematic in employment and the provision of public services (education, aged care, health care, housing and domestic violence servic</w:t>
      </w:r>
      <w:r w:rsidR="00EA1B48">
        <w:t xml:space="preserve">es in religious organisations) and </w:t>
      </w:r>
      <w:r w:rsidR="00EA1B48">
        <w:rPr>
          <w:rFonts w:cs="Times New Roman"/>
        </w:rPr>
        <w:t>uphold</w:t>
      </w:r>
      <w:r w:rsidR="001B51C1" w:rsidRPr="00D444D7">
        <w:rPr>
          <w:rFonts w:cs="Times New Roman"/>
        </w:rPr>
        <w:t xml:space="preserve"> a discriminatory social order</w:t>
      </w:r>
      <w:r w:rsidR="00D74FE8">
        <w:rPr>
          <w:rFonts w:cs="Times New Roman"/>
        </w:rPr>
        <w:t xml:space="preserve"> whereby </w:t>
      </w:r>
      <w:r w:rsidR="00D74FE8" w:rsidRPr="00AF49D7">
        <w:t xml:space="preserve">LGBTI citizens do not enjoy the same rights </w:t>
      </w:r>
      <w:r w:rsidR="00D74FE8">
        <w:t xml:space="preserve">or protections </w:t>
      </w:r>
      <w:r w:rsidR="00D74FE8" w:rsidRPr="00AF49D7">
        <w:t>as heterosexuals under Australian Law</w:t>
      </w:r>
      <w:r w:rsidR="001B51C1" w:rsidRPr="00D444D7">
        <w:rPr>
          <w:rFonts w:cs="Times New Roman"/>
        </w:rPr>
        <w:t>.</w:t>
      </w:r>
      <w:r w:rsidR="00B64CB7">
        <w:rPr>
          <w:rFonts w:cs="Times New Roman"/>
        </w:rPr>
        <w:t xml:space="preserve"> </w:t>
      </w:r>
    </w:p>
    <w:p w14:paraId="329D8114" w14:textId="5252FF4D" w:rsidR="00154E2D" w:rsidRPr="00272FBE" w:rsidRDefault="003E6605" w:rsidP="00272FBE">
      <w:pPr>
        <w:pStyle w:val="MainTitle"/>
        <w:spacing w:before="240" w:after="120" w:line="240" w:lineRule="auto"/>
        <w:jc w:val="left"/>
        <w:rPr>
          <w:rFonts w:asciiTheme="minorHAnsi" w:hAnsiTheme="minorHAnsi" w:cs="Arial"/>
          <w:b/>
          <w:color w:val="auto"/>
          <w:sz w:val="24"/>
          <w:szCs w:val="24"/>
        </w:rPr>
      </w:pPr>
      <w:r w:rsidRPr="003E6605">
        <w:rPr>
          <w:rFonts w:asciiTheme="minorHAnsi" w:hAnsiTheme="minorHAnsi" w:cs="Arial"/>
          <w:b/>
          <w:color w:val="auto"/>
          <w:sz w:val="24"/>
          <w:szCs w:val="24"/>
        </w:rPr>
        <w:t>Marriage Equality</w:t>
      </w:r>
    </w:p>
    <w:p w14:paraId="323CC251" w14:textId="3808D855" w:rsidR="00154E2D" w:rsidRPr="00B43BC8" w:rsidRDefault="00444ACD" w:rsidP="004B4278">
      <w:pPr>
        <w:jc w:val="both"/>
        <w:rPr>
          <w:rFonts w:eastAsia="Times New Roman" w:cs="Times New Roman"/>
          <w:color w:val="000000"/>
          <w:shd w:val="clear" w:color="auto" w:fill="FFFFFF"/>
        </w:rPr>
      </w:pPr>
      <w:r w:rsidRPr="0073733A">
        <w:rPr>
          <w:rFonts w:eastAsia="Times New Roman" w:cs="Times New Roman"/>
          <w:color w:val="000000"/>
          <w:shd w:val="clear" w:color="auto" w:fill="FFFFFF"/>
        </w:rPr>
        <w:t>Marriage equality has broad community support</w:t>
      </w:r>
      <w:r>
        <w:rPr>
          <w:rStyle w:val="FootnoteReference"/>
          <w:rFonts w:eastAsia="Times New Roman" w:cs="Times New Roman"/>
          <w:color w:val="000000"/>
          <w:shd w:val="clear" w:color="auto" w:fill="FFFFFF"/>
        </w:rPr>
        <w:footnoteReference w:id="2"/>
      </w:r>
      <w:r>
        <w:rPr>
          <w:rFonts w:eastAsia="Times New Roman" w:cs="Times New Roman"/>
          <w:color w:val="000000"/>
          <w:shd w:val="clear" w:color="auto" w:fill="FFFFFF"/>
        </w:rPr>
        <w:t xml:space="preserve">. </w:t>
      </w:r>
      <w:r w:rsidR="00154E2D" w:rsidRPr="00117291">
        <w:rPr>
          <w:rFonts w:eastAsia="Times New Roman" w:cs="Times New Roman"/>
          <w:color w:val="000000"/>
          <w:shd w:val="clear" w:color="auto" w:fill="FFFFFF"/>
        </w:rPr>
        <w:t xml:space="preserve">Marriage reforms are essential to uphold the human rights of sexual and gender minorities. </w:t>
      </w:r>
      <w:r w:rsidR="00C030F9">
        <w:rPr>
          <w:rFonts w:eastAsia="Times New Roman" w:cs="Times New Roman"/>
          <w:color w:val="000000"/>
          <w:shd w:val="clear" w:color="auto" w:fill="FFFFFF"/>
        </w:rPr>
        <w:t>In particular, the</w:t>
      </w:r>
      <w:r w:rsidR="00154E2D" w:rsidRPr="00117291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="00154E2D" w:rsidRPr="00117291">
        <w:rPr>
          <w:rFonts w:eastAsia="Times New Roman" w:cs="Times New Roman"/>
          <w:i/>
          <w:iCs/>
          <w:color w:val="000000"/>
          <w:shd w:val="clear" w:color="auto" w:fill="FFFFFF"/>
        </w:rPr>
        <w:t>Marriage Act 1961</w:t>
      </w:r>
      <w:r w:rsidR="00154E2D" w:rsidRPr="00117291">
        <w:rPr>
          <w:rFonts w:eastAsia="Times New Roman" w:cs="Times New Roman"/>
          <w:color w:val="000000"/>
          <w:shd w:val="clear" w:color="auto" w:fill="FFFFFF"/>
        </w:rPr>
        <w:t> should be amended to define marriage as the ‘union of two people' irrespective</w:t>
      </w:r>
      <w:r w:rsidR="00F90A2B">
        <w:rPr>
          <w:rFonts w:eastAsia="Times New Roman" w:cs="Times New Roman"/>
          <w:color w:val="000000"/>
          <w:shd w:val="clear" w:color="auto" w:fill="FFFFFF"/>
        </w:rPr>
        <w:t xml:space="preserve"> of sex, sexual orientation, </w:t>
      </w:r>
      <w:r w:rsidR="00154E2D" w:rsidRPr="00117291">
        <w:rPr>
          <w:rFonts w:eastAsia="Times New Roman" w:cs="Times New Roman"/>
          <w:color w:val="000000"/>
          <w:shd w:val="clear" w:color="auto" w:fill="FFFFFF"/>
        </w:rPr>
        <w:t>gender identity</w:t>
      </w:r>
      <w:r w:rsidR="00F90A2B">
        <w:rPr>
          <w:rFonts w:eastAsia="Times New Roman" w:cs="Times New Roman"/>
          <w:color w:val="000000"/>
          <w:shd w:val="clear" w:color="auto" w:fill="FFFFFF"/>
        </w:rPr>
        <w:t xml:space="preserve"> or intersex status</w:t>
      </w:r>
      <w:r w:rsidR="00154E2D" w:rsidRPr="00117291">
        <w:rPr>
          <w:rFonts w:eastAsia="Times New Roman" w:cs="Times New Roman"/>
          <w:color w:val="000000"/>
          <w:shd w:val="clear" w:color="auto" w:fill="FFFFFF"/>
        </w:rPr>
        <w:t>.</w:t>
      </w:r>
      <w:r>
        <w:rPr>
          <w:rFonts w:eastAsia="Times New Roman" w:cs="Times New Roman"/>
          <w:color w:val="000000"/>
          <w:shd w:val="clear" w:color="auto" w:fill="FFFFFF"/>
        </w:rPr>
        <w:t xml:space="preserve"> </w:t>
      </w:r>
    </w:p>
    <w:p w14:paraId="06F9204C" w14:textId="77777777" w:rsidR="009B7F0A" w:rsidRDefault="009B7F0A" w:rsidP="00C76E20">
      <w:pPr>
        <w:pStyle w:val="MainTitle"/>
        <w:spacing w:before="240" w:after="120" w:line="240" w:lineRule="auto"/>
        <w:jc w:val="left"/>
        <w:rPr>
          <w:rFonts w:asciiTheme="minorHAnsi" w:hAnsiTheme="minorHAnsi" w:cs="Arial"/>
          <w:b/>
          <w:color w:val="auto"/>
          <w:sz w:val="24"/>
          <w:szCs w:val="24"/>
        </w:rPr>
      </w:pPr>
    </w:p>
    <w:p w14:paraId="7227A8EB" w14:textId="5034B215" w:rsidR="00546D3E" w:rsidRPr="00B37362" w:rsidRDefault="00C76E20" w:rsidP="00B37362">
      <w:pPr>
        <w:pStyle w:val="MainTitle"/>
        <w:spacing w:before="240" w:after="120" w:line="240" w:lineRule="auto"/>
        <w:jc w:val="left"/>
        <w:rPr>
          <w:rFonts w:asciiTheme="minorHAnsi" w:hAnsiTheme="minorHAnsi" w:cs="Arial"/>
          <w:b/>
          <w:color w:val="auto"/>
          <w:sz w:val="24"/>
          <w:szCs w:val="24"/>
        </w:rPr>
      </w:pPr>
      <w:r>
        <w:rPr>
          <w:rFonts w:asciiTheme="minorHAnsi" w:hAnsiTheme="minorHAnsi" w:cs="Arial"/>
          <w:b/>
          <w:color w:val="auto"/>
          <w:sz w:val="24"/>
          <w:szCs w:val="24"/>
        </w:rPr>
        <w:t>Diverse parenting</w:t>
      </w:r>
    </w:p>
    <w:p w14:paraId="41192609" w14:textId="10A0A50D" w:rsidR="00C76E20" w:rsidRPr="008B199A" w:rsidRDefault="0017181C" w:rsidP="008B199A">
      <w:pPr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Most </w:t>
      </w:r>
      <w:r w:rsidR="00C76E20" w:rsidRPr="00450265">
        <w:rPr>
          <w:rFonts w:eastAsia="Times New Roman" w:cs="Times New Roman"/>
          <w:color w:val="000000"/>
          <w:shd w:val="clear" w:color="auto" w:fill="FFFFFF"/>
        </w:rPr>
        <w:t>same-sex families are now equally recog</w:t>
      </w:r>
      <w:r w:rsidR="008B199A">
        <w:rPr>
          <w:rFonts w:eastAsia="Times New Roman" w:cs="Times New Roman"/>
          <w:color w:val="000000"/>
          <w:shd w:val="clear" w:color="auto" w:fill="FFFFFF"/>
        </w:rPr>
        <w:t xml:space="preserve">nised in federal and state laws, </w:t>
      </w:r>
      <w:r w:rsidR="00C76E20" w:rsidRPr="00450265">
        <w:t xml:space="preserve">however legislation regarding parenting, adoption and surrogacy </w:t>
      </w:r>
      <w:r w:rsidR="00C76E20">
        <w:t>is</w:t>
      </w:r>
      <w:r w:rsidR="00A005AD">
        <w:t xml:space="preserve"> not uniform across Australia</w:t>
      </w:r>
      <w:r w:rsidR="00294912">
        <w:t>,</w:t>
      </w:r>
      <w:r w:rsidR="00A005AD">
        <w:t xml:space="preserve"> meaning that there are states where LGBTI parents are </w:t>
      </w:r>
      <w:r w:rsidR="00C76E20" w:rsidRPr="00450265">
        <w:t>treated unequally before the law.</w:t>
      </w:r>
      <w:r w:rsidR="008B199A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="00E26B72">
        <w:rPr>
          <w:rFonts w:cs="Times New Roman"/>
          <w:color w:val="000000"/>
        </w:rPr>
        <w:t xml:space="preserve">In addition, </w:t>
      </w:r>
      <w:r w:rsidR="00C76E20" w:rsidRPr="00450265">
        <w:rPr>
          <w:rFonts w:cs="Times New Roman"/>
          <w:color w:val="000000"/>
        </w:rPr>
        <w:t xml:space="preserve">children born through commercial surrogacy </w:t>
      </w:r>
      <w:r w:rsidR="00C76E20" w:rsidRPr="00450265">
        <w:rPr>
          <w:rFonts w:cs="Times New Roman"/>
          <w:color w:val="000000"/>
        </w:rPr>
        <w:lastRenderedPageBreak/>
        <w:t>arrangements or who live in co-parenting arrangements with more than two parents have limited legal recognition of their families.</w:t>
      </w:r>
      <w:r w:rsidR="002C44E6">
        <w:rPr>
          <w:rStyle w:val="FootnoteReference"/>
          <w:rFonts w:cs="Times New Roman"/>
          <w:color w:val="000000"/>
        </w:rPr>
        <w:footnoteReference w:id="3"/>
      </w:r>
      <w:r w:rsidR="00C76E20">
        <w:rPr>
          <w:rFonts w:cs="Times New Roman"/>
          <w:color w:val="000000"/>
        </w:rPr>
        <w:t xml:space="preserve"> </w:t>
      </w:r>
      <w:r w:rsidR="002D1B3A">
        <w:rPr>
          <w:rFonts w:cs="Times New Roman"/>
          <w:color w:val="000000"/>
        </w:rPr>
        <w:t xml:space="preserve"> </w:t>
      </w:r>
    </w:p>
    <w:p w14:paraId="0A07042C" w14:textId="77777777" w:rsidR="003E6605" w:rsidRDefault="003E6605" w:rsidP="00D625F3">
      <w:pPr>
        <w:pStyle w:val="MainTitle"/>
        <w:spacing w:before="240" w:after="120" w:line="240" w:lineRule="auto"/>
        <w:jc w:val="left"/>
        <w:rPr>
          <w:rFonts w:asciiTheme="minorHAnsi" w:hAnsiTheme="minorHAnsi" w:cs="Arial"/>
          <w:b/>
          <w:color w:val="auto"/>
          <w:sz w:val="24"/>
          <w:szCs w:val="24"/>
        </w:rPr>
      </w:pPr>
    </w:p>
    <w:p w14:paraId="0C0FAC91" w14:textId="6C074228" w:rsidR="00781132" w:rsidRDefault="00A94041" w:rsidP="00D625F3">
      <w:pPr>
        <w:pStyle w:val="MainTitle"/>
        <w:spacing w:before="240" w:after="120" w:line="240" w:lineRule="auto"/>
        <w:jc w:val="left"/>
        <w:rPr>
          <w:rFonts w:asciiTheme="minorHAnsi" w:hAnsiTheme="minorHAnsi" w:cs="Arial"/>
          <w:b/>
          <w:color w:val="auto"/>
          <w:sz w:val="24"/>
          <w:szCs w:val="24"/>
        </w:rPr>
      </w:pPr>
      <w:r>
        <w:rPr>
          <w:rFonts w:asciiTheme="minorHAnsi" w:hAnsiTheme="minorHAnsi" w:cs="Arial"/>
          <w:b/>
          <w:color w:val="auto"/>
          <w:sz w:val="24"/>
          <w:szCs w:val="24"/>
        </w:rPr>
        <w:t>Practic</w:t>
      </w:r>
      <w:r w:rsidR="00CE6EB9">
        <w:rPr>
          <w:rFonts w:asciiTheme="minorHAnsi" w:hAnsiTheme="minorHAnsi" w:cs="Arial"/>
          <w:b/>
          <w:color w:val="auto"/>
          <w:sz w:val="24"/>
          <w:szCs w:val="24"/>
        </w:rPr>
        <w:t xml:space="preserve">e </w:t>
      </w:r>
      <w:r>
        <w:rPr>
          <w:rFonts w:asciiTheme="minorHAnsi" w:hAnsiTheme="minorHAnsi" w:cs="Arial"/>
          <w:b/>
          <w:color w:val="auto"/>
          <w:sz w:val="24"/>
          <w:szCs w:val="24"/>
        </w:rPr>
        <w:t xml:space="preserve">of </w:t>
      </w:r>
      <w:r w:rsidR="006C7E1A">
        <w:rPr>
          <w:rFonts w:asciiTheme="minorHAnsi" w:hAnsiTheme="minorHAnsi" w:cs="Arial"/>
          <w:b/>
          <w:color w:val="auto"/>
          <w:sz w:val="24"/>
          <w:szCs w:val="24"/>
        </w:rPr>
        <w:t>‘</w:t>
      </w:r>
      <w:r w:rsidR="00781132">
        <w:rPr>
          <w:rFonts w:asciiTheme="minorHAnsi" w:hAnsiTheme="minorHAnsi" w:cs="Arial"/>
          <w:b/>
          <w:color w:val="auto"/>
          <w:sz w:val="24"/>
          <w:szCs w:val="24"/>
        </w:rPr>
        <w:t xml:space="preserve">gay </w:t>
      </w:r>
      <w:r>
        <w:rPr>
          <w:rFonts w:asciiTheme="minorHAnsi" w:hAnsiTheme="minorHAnsi" w:cs="Arial"/>
          <w:b/>
          <w:color w:val="auto"/>
          <w:sz w:val="24"/>
          <w:szCs w:val="24"/>
        </w:rPr>
        <w:t>‘</w:t>
      </w:r>
      <w:r w:rsidR="00781132">
        <w:rPr>
          <w:rFonts w:asciiTheme="minorHAnsi" w:hAnsiTheme="minorHAnsi" w:cs="Arial"/>
          <w:b/>
          <w:color w:val="auto"/>
          <w:sz w:val="24"/>
          <w:szCs w:val="24"/>
        </w:rPr>
        <w:t>conversion</w:t>
      </w:r>
      <w:r w:rsidR="006C7E1A">
        <w:rPr>
          <w:rFonts w:asciiTheme="minorHAnsi" w:hAnsiTheme="minorHAnsi" w:cs="Arial"/>
          <w:b/>
          <w:color w:val="auto"/>
          <w:sz w:val="24"/>
          <w:szCs w:val="24"/>
        </w:rPr>
        <w:t>’</w:t>
      </w:r>
      <w:r w:rsidR="00781132">
        <w:rPr>
          <w:rFonts w:asciiTheme="minorHAnsi" w:hAnsiTheme="minorHAnsi" w:cs="Arial"/>
          <w:b/>
          <w:color w:val="auto"/>
          <w:sz w:val="24"/>
          <w:szCs w:val="24"/>
        </w:rPr>
        <w:t xml:space="preserve"> therapies</w:t>
      </w:r>
      <w:r>
        <w:rPr>
          <w:rFonts w:asciiTheme="minorHAnsi" w:hAnsiTheme="minorHAnsi" w:cs="Arial"/>
          <w:b/>
          <w:color w:val="auto"/>
          <w:sz w:val="24"/>
          <w:szCs w:val="24"/>
        </w:rPr>
        <w:t>’</w:t>
      </w:r>
    </w:p>
    <w:p w14:paraId="55EBB31E" w14:textId="77777777" w:rsidR="00781132" w:rsidRDefault="00781132" w:rsidP="00D625F3">
      <w:pPr>
        <w:pStyle w:val="MainTitle"/>
        <w:spacing w:before="240" w:after="120" w:line="240" w:lineRule="auto"/>
        <w:jc w:val="left"/>
        <w:rPr>
          <w:rFonts w:asciiTheme="minorHAnsi" w:hAnsiTheme="minorHAnsi" w:cs="Arial"/>
          <w:b/>
          <w:color w:val="auto"/>
          <w:sz w:val="24"/>
          <w:szCs w:val="24"/>
        </w:rPr>
      </w:pPr>
    </w:p>
    <w:p w14:paraId="3FF13610" w14:textId="38272972" w:rsidR="00093EA8" w:rsidRDefault="00593ED3" w:rsidP="00DD785F">
      <w:pPr>
        <w:pStyle w:val="MainTitle"/>
        <w:spacing w:before="240" w:after="120" w:line="240" w:lineRule="auto"/>
        <w:jc w:val="both"/>
        <w:rPr>
          <w:rFonts w:asciiTheme="minorHAnsi" w:hAnsiTheme="minorHAnsi" w:cs="Arial"/>
          <w:color w:val="auto"/>
          <w:sz w:val="24"/>
          <w:szCs w:val="24"/>
        </w:rPr>
      </w:pPr>
      <w:r>
        <w:rPr>
          <w:rFonts w:asciiTheme="minorHAnsi" w:hAnsiTheme="minorHAnsi" w:cs="Arial"/>
          <w:color w:val="auto"/>
          <w:sz w:val="24"/>
          <w:szCs w:val="24"/>
        </w:rPr>
        <w:t>There is litt</w:t>
      </w:r>
      <w:r w:rsidR="00661149">
        <w:rPr>
          <w:rFonts w:asciiTheme="minorHAnsi" w:hAnsiTheme="minorHAnsi" w:cs="Arial"/>
          <w:color w:val="auto"/>
          <w:sz w:val="24"/>
          <w:szCs w:val="24"/>
        </w:rPr>
        <w:t>le evidence to suggest that conversion therapy</w:t>
      </w:r>
      <w:r>
        <w:rPr>
          <w:rFonts w:asciiTheme="minorHAnsi" w:hAnsiTheme="minorHAnsi" w:cs="Arial"/>
          <w:color w:val="auto"/>
          <w:sz w:val="24"/>
          <w:szCs w:val="24"/>
        </w:rPr>
        <w:t xml:space="preserve"> is effective</w:t>
      </w:r>
      <w:r w:rsidR="00184512">
        <w:rPr>
          <w:rFonts w:asciiTheme="minorHAnsi" w:hAnsiTheme="minorHAnsi" w:cs="Arial"/>
          <w:color w:val="auto"/>
          <w:sz w:val="24"/>
          <w:szCs w:val="24"/>
        </w:rPr>
        <w:t>.</w:t>
      </w:r>
      <w:r>
        <w:rPr>
          <w:rFonts w:asciiTheme="minorHAnsi" w:hAnsiTheme="minorHAnsi" w:cs="Arial"/>
          <w:color w:val="auto"/>
          <w:sz w:val="24"/>
          <w:szCs w:val="24"/>
        </w:rPr>
        <w:t xml:space="preserve"> </w:t>
      </w:r>
      <w:r w:rsidR="00184512">
        <w:rPr>
          <w:rFonts w:asciiTheme="minorHAnsi" w:hAnsiTheme="minorHAnsi" w:cs="Arial"/>
          <w:color w:val="auto"/>
          <w:sz w:val="24"/>
          <w:szCs w:val="24"/>
        </w:rPr>
        <w:t>In fact,</w:t>
      </w:r>
      <w:r>
        <w:rPr>
          <w:rFonts w:asciiTheme="minorHAnsi" w:hAnsiTheme="minorHAnsi" w:cs="Arial"/>
          <w:color w:val="auto"/>
          <w:sz w:val="24"/>
          <w:szCs w:val="24"/>
        </w:rPr>
        <w:t xml:space="preserve"> individuals who have und</w:t>
      </w:r>
      <w:r w:rsidR="00BE5D9C">
        <w:rPr>
          <w:rFonts w:asciiTheme="minorHAnsi" w:hAnsiTheme="minorHAnsi" w:cs="Arial"/>
          <w:color w:val="auto"/>
          <w:sz w:val="24"/>
          <w:szCs w:val="24"/>
        </w:rPr>
        <w:t>ergone conversion therapy</w:t>
      </w:r>
      <w:r w:rsidR="00CE6EB9">
        <w:rPr>
          <w:rFonts w:asciiTheme="minorHAnsi" w:hAnsiTheme="minorHAnsi" w:cs="Arial"/>
          <w:color w:val="auto"/>
          <w:sz w:val="24"/>
          <w:szCs w:val="24"/>
        </w:rPr>
        <w:t xml:space="preserve"> </w:t>
      </w:r>
      <w:r>
        <w:rPr>
          <w:rFonts w:asciiTheme="minorHAnsi" w:hAnsiTheme="minorHAnsi" w:cs="Arial"/>
          <w:color w:val="auto"/>
          <w:sz w:val="24"/>
          <w:szCs w:val="24"/>
        </w:rPr>
        <w:t>are likely to suffer negative mental health effects</w:t>
      </w:r>
      <w:r w:rsidR="00184512">
        <w:rPr>
          <w:rFonts w:asciiTheme="minorHAnsi" w:hAnsiTheme="minorHAnsi" w:cs="Arial"/>
          <w:color w:val="auto"/>
          <w:sz w:val="24"/>
          <w:szCs w:val="24"/>
        </w:rPr>
        <w:t>.</w:t>
      </w:r>
      <w:r w:rsidR="00AE7656">
        <w:rPr>
          <w:rStyle w:val="FootnoteReference"/>
          <w:rFonts w:asciiTheme="minorHAnsi" w:hAnsiTheme="minorHAnsi" w:cs="Arial"/>
          <w:color w:val="auto"/>
          <w:sz w:val="24"/>
          <w:szCs w:val="24"/>
        </w:rPr>
        <w:footnoteReference w:id="4"/>
      </w:r>
      <w:r>
        <w:rPr>
          <w:rFonts w:asciiTheme="minorHAnsi" w:hAnsiTheme="minorHAnsi" w:cs="Arial"/>
          <w:color w:val="auto"/>
          <w:sz w:val="24"/>
          <w:szCs w:val="24"/>
        </w:rPr>
        <w:t xml:space="preserve"> Practitioners are rarely accredit</w:t>
      </w:r>
      <w:r w:rsidR="00CE6EB9">
        <w:rPr>
          <w:rFonts w:asciiTheme="minorHAnsi" w:hAnsiTheme="minorHAnsi" w:cs="Arial"/>
          <w:color w:val="auto"/>
          <w:sz w:val="24"/>
          <w:szCs w:val="24"/>
        </w:rPr>
        <w:t>ed therapists or counsellors, as such</w:t>
      </w:r>
      <w:r w:rsidR="00BE5D9C">
        <w:rPr>
          <w:rFonts w:asciiTheme="minorHAnsi" w:hAnsiTheme="minorHAnsi" w:cs="Arial"/>
          <w:color w:val="auto"/>
          <w:sz w:val="24"/>
          <w:szCs w:val="24"/>
        </w:rPr>
        <w:t xml:space="preserve">, </w:t>
      </w:r>
      <w:r w:rsidR="00CE6EB9">
        <w:rPr>
          <w:rFonts w:asciiTheme="minorHAnsi" w:hAnsiTheme="minorHAnsi" w:cs="Arial"/>
          <w:color w:val="auto"/>
          <w:sz w:val="24"/>
          <w:szCs w:val="24"/>
        </w:rPr>
        <w:t>this is a d</w:t>
      </w:r>
      <w:r w:rsidR="005A2BBC">
        <w:rPr>
          <w:rFonts w:asciiTheme="minorHAnsi" w:hAnsiTheme="minorHAnsi" w:cs="Arial"/>
          <w:color w:val="auto"/>
          <w:sz w:val="24"/>
          <w:szCs w:val="24"/>
        </w:rPr>
        <w:t>angerous and unregulated practic</w:t>
      </w:r>
      <w:r w:rsidR="00CE6EB9">
        <w:rPr>
          <w:rFonts w:asciiTheme="minorHAnsi" w:hAnsiTheme="minorHAnsi" w:cs="Arial"/>
          <w:color w:val="auto"/>
          <w:sz w:val="24"/>
          <w:szCs w:val="24"/>
        </w:rPr>
        <w:t>e with detrimental effects on often vulnerable and troubled young Aus</w:t>
      </w:r>
      <w:r w:rsidR="00AE7656">
        <w:rPr>
          <w:rFonts w:asciiTheme="minorHAnsi" w:hAnsiTheme="minorHAnsi" w:cs="Arial"/>
          <w:color w:val="auto"/>
          <w:sz w:val="24"/>
          <w:szCs w:val="24"/>
        </w:rPr>
        <w:t>t</w:t>
      </w:r>
      <w:r w:rsidR="00CE6EB9">
        <w:rPr>
          <w:rFonts w:asciiTheme="minorHAnsi" w:hAnsiTheme="minorHAnsi" w:cs="Arial"/>
          <w:color w:val="auto"/>
          <w:sz w:val="24"/>
          <w:szCs w:val="24"/>
        </w:rPr>
        <w:t>ralians.</w:t>
      </w:r>
      <w:r w:rsidR="00BE5D9C">
        <w:rPr>
          <w:rFonts w:asciiTheme="minorHAnsi" w:hAnsiTheme="minorHAnsi" w:cs="Arial"/>
          <w:color w:val="auto"/>
          <w:sz w:val="24"/>
          <w:szCs w:val="24"/>
        </w:rPr>
        <w:t xml:space="preserve"> </w:t>
      </w:r>
    </w:p>
    <w:p w14:paraId="48CECF10" w14:textId="77777777" w:rsidR="00D625F3" w:rsidRPr="00AF49D7" w:rsidRDefault="00D625F3" w:rsidP="00D625F3">
      <w:pPr>
        <w:pStyle w:val="MainTitle"/>
        <w:spacing w:before="240" w:after="120" w:line="240" w:lineRule="auto"/>
        <w:jc w:val="left"/>
        <w:rPr>
          <w:rFonts w:asciiTheme="minorHAnsi" w:hAnsiTheme="minorHAnsi" w:cs="Arial"/>
          <w:color w:val="auto"/>
          <w:sz w:val="24"/>
          <w:szCs w:val="24"/>
        </w:rPr>
      </w:pPr>
    </w:p>
    <w:p w14:paraId="17A07961" w14:textId="77777777" w:rsidR="00247F6B" w:rsidRPr="00AF49D7" w:rsidRDefault="00247F6B" w:rsidP="00247F6B">
      <w:pPr>
        <w:pStyle w:val="MainTitle"/>
        <w:spacing w:before="240" w:after="120" w:line="240" w:lineRule="auto"/>
        <w:jc w:val="left"/>
        <w:rPr>
          <w:rFonts w:asciiTheme="minorHAnsi" w:hAnsiTheme="minorHAnsi" w:cs="Arial"/>
          <w:color w:val="auto"/>
          <w:sz w:val="24"/>
          <w:szCs w:val="24"/>
        </w:rPr>
      </w:pPr>
    </w:p>
    <w:p w14:paraId="025D4ABF" w14:textId="0F504393" w:rsidR="0056555C" w:rsidRPr="0071314C" w:rsidRDefault="004346A9" w:rsidP="004346A9">
      <w:pPr>
        <w:pStyle w:val="MainTitle"/>
        <w:spacing w:before="240" w:after="120" w:line="240" w:lineRule="auto"/>
        <w:jc w:val="left"/>
        <w:rPr>
          <w:rFonts w:asciiTheme="minorHAnsi" w:hAnsiTheme="minorHAnsi" w:cs="Arial"/>
          <w:b/>
          <w:color w:val="1F497D" w:themeColor="text2"/>
          <w:sz w:val="24"/>
          <w:szCs w:val="24"/>
        </w:rPr>
      </w:pPr>
      <w:r w:rsidRPr="0071314C">
        <w:rPr>
          <w:rFonts w:asciiTheme="minorHAnsi" w:hAnsiTheme="minorHAnsi" w:cs="Arial"/>
          <w:b/>
          <w:color w:val="1F497D" w:themeColor="text2"/>
          <w:sz w:val="24"/>
          <w:szCs w:val="24"/>
        </w:rPr>
        <w:t xml:space="preserve">- </w:t>
      </w:r>
      <w:r w:rsidR="0056555C" w:rsidRPr="0071314C">
        <w:rPr>
          <w:rFonts w:asciiTheme="minorHAnsi" w:hAnsiTheme="minorHAnsi" w:cs="Arial"/>
          <w:b/>
          <w:color w:val="1F497D" w:themeColor="text2"/>
          <w:sz w:val="24"/>
          <w:szCs w:val="24"/>
        </w:rPr>
        <w:t>What legal protections currently exist, and how effective are they?</w:t>
      </w:r>
    </w:p>
    <w:p w14:paraId="61145F8E" w14:textId="77777777" w:rsidR="00D625F3" w:rsidRDefault="00D625F3" w:rsidP="00D625F3">
      <w:pPr>
        <w:pStyle w:val="MainTitle"/>
        <w:spacing w:before="240" w:after="120" w:line="240" w:lineRule="auto"/>
        <w:jc w:val="left"/>
        <w:rPr>
          <w:rFonts w:asciiTheme="minorHAnsi" w:hAnsiTheme="minorHAnsi" w:cs="Arial"/>
          <w:color w:val="auto"/>
          <w:sz w:val="24"/>
          <w:szCs w:val="24"/>
        </w:rPr>
      </w:pPr>
    </w:p>
    <w:p w14:paraId="6E880248" w14:textId="75DDF373" w:rsidR="00FF0672" w:rsidRDefault="00D74FE8" w:rsidP="008F2952">
      <w:pPr>
        <w:pStyle w:val="MainTitle"/>
        <w:spacing w:before="240" w:after="12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 w:cs="Arial"/>
          <w:color w:val="auto"/>
          <w:sz w:val="24"/>
          <w:szCs w:val="24"/>
        </w:rPr>
        <w:t>The</w:t>
      </w:r>
      <w:r w:rsidR="004C55E9" w:rsidRPr="004C55E9">
        <w:rPr>
          <w:rFonts w:asciiTheme="minorHAnsi" w:hAnsiTheme="minorHAnsi"/>
          <w:color w:val="auto"/>
          <w:sz w:val="24"/>
          <w:szCs w:val="24"/>
        </w:rPr>
        <w:t xml:space="preserve"> exceptions</w:t>
      </w:r>
      <w:r>
        <w:rPr>
          <w:rFonts w:asciiTheme="minorHAnsi" w:hAnsiTheme="minorHAnsi"/>
          <w:color w:val="auto"/>
          <w:sz w:val="24"/>
          <w:szCs w:val="24"/>
        </w:rPr>
        <w:t xml:space="preserve"> outlined above </w:t>
      </w:r>
      <w:r w:rsidR="004C55E9" w:rsidRPr="004C55E9">
        <w:rPr>
          <w:rFonts w:asciiTheme="minorHAnsi" w:hAnsiTheme="minorHAnsi"/>
          <w:color w:val="auto"/>
          <w:sz w:val="24"/>
          <w:szCs w:val="24"/>
        </w:rPr>
        <w:t xml:space="preserve">greatly diminish the efficacy of </w:t>
      </w:r>
      <w:r w:rsidR="00330407">
        <w:rPr>
          <w:rFonts w:asciiTheme="minorHAnsi" w:hAnsiTheme="minorHAnsi"/>
          <w:color w:val="auto"/>
          <w:sz w:val="24"/>
          <w:szCs w:val="24"/>
        </w:rPr>
        <w:t>anti-discrimination</w:t>
      </w:r>
      <w:r w:rsidR="00330407" w:rsidRPr="004C55E9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4C55E9" w:rsidRPr="004C55E9">
        <w:rPr>
          <w:rFonts w:asciiTheme="minorHAnsi" w:hAnsiTheme="minorHAnsi"/>
          <w:color w:val="auto"/>
          <w:sz w:val="24"/>
          <w:szCs w:val="24"/>
        </w:rPr>
        <w:t>legislation</w:t>
      </w:r>
      <w:r w:rsidR="00330407">
        <w:rPr>
          <w:rFonts w:asciiTheme="minorHAnsi" w:hAnsiTheme="minorHAnsi"/>
          <w:color w:val="auto"/>
          <w:sz w:val="24"/>
          <w:szCs w:val="24"/>
        </w:rPr>
        <w:t xml:space="preserve"> for LGBTI victims</w:t>
      </w:r>
      <w:r w:rsidR="004C55E9" w:rsidRPr="004C55E9">
        <w:rPr>
          <w:rFonts w:asciiTheme="minorHAnsi" w:hAnsiTheme="minorHAnsi"/>
          <w:color w:val="auto"/>
          <w:sz w:val="24"/>
          <w:szCs w:val="24"/>
        </w:rPr>
        <w:t>.</w:t>
      </w:r>
      <w:r w:rsidR="00330407">
        <w:rPr>
          <w:rFonts w:asciiTheme="minorHAnsi" w:hAnsiTheme="minorHAnsi"/>
          <w:color w:val="auto"/>
          <w:sz w:val="24"/>
          <w:szCs w:val="24"/>
        </w:rPr>
        <w:t xml:space="preserve"> Further, the attributes protected by anti-discrimination legislation are not uniform, leaving some LGBTI citizens disadvantaged in certain jurisdictions. Finally, anti-discrimination legislation generally sets a high bar for victims to prove their claim, which may discourage them taking action against discriminators.  </w:t>
      </w:r>
    </w:p>
    <w:p w14:paraId="08A8CBC2" w14:textId="77777777" w:rsidR="004C701E" w:rsidRDefault="004C701E" w:rsidP="008F2952">
      <w:pPr>
        <w:pStyle w:val="MainTitle"/>
        <w:spacing w:before="240" w:after="12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4E9D962F" w14:textId="465FF9AA" w:rsidR="004C701E" w:rsidRDefault="004C701E" w:rsidP="008F2952">
      <w:pPr>
        <w:pStyle w:val="MainTitle"/>
        <w:spacing w:before="240" w:after="12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In terms of marriage equality, although there are provis</w:t>
      </w:r>
      <w:r w:rsidR="00A33EBC">
        <w:rPr>
          <w:rFonts w:asciiTheme="minorHAnsi" w:hAnsiTheme="minorHAnsi"/>
          <w:color w:val="auto"/>
          <w:sz w:val="24"/>
          <w:szCs w:val="24"/>
        </w:rPr>
        <w:t>ions for commitment ceremonies, this</w:t>
      </w:r>
      <w:r>
        <w:rPr>
          <w:rFonts w:asciiTheme="minorHAnsi" w:hAnsiTheme="minorHAnsi"/>
          <w:color w:val="auto"/>
          <w:sz w:val="24"/>
          <w:szCs w:val="24"/>
        </w:rPr>
        <w:t xml:space="preserve"> does not entitle an individual the same right before the law, nor does it meet the human rights requirement of equal treatment by the government.</w:t>
      </w:r>
      <w:r w:rsidR="00BE73B7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50091FF5" w14:textId="77777777" w:rsidR="00247F6B" w:rsidRPr="0071314C" w:rsidRDefault="00247F6B" w:rsidP="00247F6B">
      <w:pPr>
        <w:pStyle w:val="MainTitle"/>
        <w:spacing w:before="240" w:after="120" w:line="240" w:lineRule="auto"/>
        <w:jc w:val="left"/>
        <w:rPr>
          <w:rFonts w:asciiTheme="minorHAnsi" w:hAnsiTheme="minorHAnsi" w:cs="Arial"/>
          <w:color w:val="1F497D" w:themeColor="text2"/>
          <w:sz w:val="24"/>
          <w:szCs w:val="24"/>
        </w:rPr>
      </w:pPr>
    </w:p>
    <w:p w14:paraId="091BD80C" w14:textId="77777777" w:rsidR="00247F6B" w:rsidRPr="0071314C" w:rsidRDefault="00247F6B" w:rsidP="00247F6B">
      <w:pPr>
        <w:pStyle w:val="MainTitle"/>
        <w:spacing w:before="240" w:after="120" w:line="240" w:lineRule="auto"/>
        <w:jc w:val="left"/>
        <w:rPr>
          <w:rFonts w:asciiTheme="minorHAnsi" w:hAnsiTheme="minorHAnsi" w:cs="Arial"/>
          <w:color w:val="1F497D" w:themeColor="text2"/>
          <w:sz w:val="24"/>
          <w:szCs w:val="24"/>
        </w:rPr>
      </w:pPr>
    </w:p>
    <w:p w14:paraId="0C3BE6E8" w14:textId="153D0E82" w:rsidR="0056555C" w:rsidRPr="0071314C" w:rsidRDefault="004346A9" w:rsidP="004346A9">
      <w:pPr>
        <w:pStyle w:val="MainTitle"/>
        <w:spacing w:before="240" w:after="120" w:line="240" w:lineRule="auto"/>
        <w:jc w:val="left"/>
        <w:rPr>
          <w:rFonts w:asciiTheme="minorHAnsi" w:hAnsiTheme="minorHAnsi" w:cs="Arial"/>
          <w:b/>
          <w:color w:val="1F497D" w:themeColor="text2"/>
          <w:sz w:val="24"/>
          <w:szCs w:val="24"/>
        </w:rPr>
      </w:pPr>
      <w:r w:rsidRPr="0071314C">
        <w:rPr>
          <w:rFonts w:asciiTheme="minorHAnsi" w:hAnsiTheme="minorHAnsi" w:cs="Arial"/>
          <w:b/>
          <w:color w:val="1F497D" w:themeColor="text2"/>
          <w:sz w:val="24"/>
          <w:szCs w:val="24"/>
        </w:rPr>
        <w:t xml:space="preserve">- </w:t>
      </w:r>
      <w:r w:rsidR="0056555C" w:rsidRPr="0071314C">
        <w:rPr>
          <w:rFonts w:asciiTheme="minorHAnsi" w:hAnsiTheme="minorHAnsi" w:cs="Arial"/>
          <w:b/>
          <w:color w:val="1F497D" w:themeColor="text2"/>
          <w:sz w:val="24"/>
          <w:szCs w:val="24"/>
        </w:rPr>
        <w:t>What non-legal mechanisms of protection exist, and how effective are they?</w:t>
      </w:r>
    </w:p>
    <w:p w14:paraId="726CCD56" w14:textId="7610DA34" w:rsidR="000E6A8E" w:rsidRDefault="003F44E2" w:rsidP="006D4C87">
      <w:pPr>
        <w:jc w:val="both"/>
        <w:rPr>
          <w:rFonts w:cs="Arial"/>
        </w:rPr>
      </w:pPr>
      <w:r>
        <w:rPr>
          <w:rFonts w:cs="Arial"/>
        </w:rPr>
        <w:t>While legislative reform is extremely necessary, it is not alone sufficient to guarantee protection for LGBTI people. Policy reform is equally necessary. Two examples of successful interventions are:</w:t>
      </w:r>
    </w:p>
    <w:p w14:paraId="4CB45D0F" w14:textId="77777777" w:rsidR="003F44E2" w:rsidRDefault="003F44E2" w:rsidP="006D4C87">
      <w:pPr>
        <w:jc w:val="both"/>
        <w:rPr>
          <w:rFonts w:cs="Arial"/>
        </w:rPr>
      </w:pPr>
    </w:p>
    <w:p w14:paraId="34D5187B" w14:textId="77777777" w:rsidR="00B37362" w:rsidRDefault="00B37362" w:rsidP="006D4C87">
      <w:pPr>
        <w:jc w:val="both"/>
        <w:rPr>
          <w:rFonts w:cs="Arial"/>
          <w:b/>
        </w:rPr>
      </w:pPr>
      <w:r>
        <w:rPr>
          <w:rFonts w:cs="Arial"/>
          <w:b/>
        </w:rPr>
        <w:t>Young People</w:t>
      </w:r>
    </w:p>
    <w:p w14:paraId="782C4C3B" w14:textId="502BD6CE" w:rsidR="003D3BC2" w:rsidRPr="006D4C87" w:rsidRDefault="000E6A8E" w:rsidP="006D4C87">
      <w:pPr>
        <w:jc w:val="both"/>
        <w:rPr>
          <w:rFonts w:eastAsia="Times New Roman" w:cs="Times New Roman"/>
        </w:rPr>
      </w:pPr>
      <w:r>
        <w:rPr>
          <w:rFonts w:cs="Arial"/>
        </w:rPr>
        <w:t>T</w:t>
      </w:r>
      <w:r w:rsidR="00B16ABA" w:rsidRPr="00B16ABA">
        <w:rPr>
          <w:rFonts w:cs="Arial"/>
        </w:rPr>
        <w:t xml:space="preserve">he </w:t>
      </w:r>
      <w:r w:rsidR="003D3BC2" w:rsidRPr="00B16ABA">
        <w:rPr>
          <w:rFonts w:cs="Arial"/>
        </w:rPr>
        <w:t>Safe Schools C</w:t>
      </w:r>
      <w:r w:rsidR="00B16ABA" w:rsidRPr="00B16ABA">
        <w:rPr>
          <w:rFonts w:cs="Arial"/>
        </w:rPr>
        <w:t>oalition</w:t>
      </w:r>
      <w:r>
        <w:rPr>
          <w:rFonts w:cs="Arial"/>
        </w:rPr>
        <w:t xml:space="preserve">, </w:t>
      </w:r>
      <w:r w:rsidR="003F44E2">
        <w:rPr>
          <w:rFonts w:cs="Arial"/>
        </w:rPr>
        <w:t xml:space="preserve">funded by the </w:t>
      </w:r>
      <w:r w:rsidR="00B37362">
        <w:rPr>
          <w:rFonts w:cs="Arial"/>
        </w:rPr>
        <w:t>Fed</w:t>
      </w:r>
      <w:r w:rsidR="003F44E2">
        <w:rPr>
          <w:rFonts w:cs="Arial"/>
        </w:rPr>
        <w:t>eral Government</w:t>
      </w:r>
      <w:r>
        <w:rPr>
          <w:rFonts w:cs="Arial"/>
        </w:rPr>
        <w:t xml:space="preserve">, is </w:t>
      </w:r>
      <w:r w:rsidR="00B16ABA" w:rsidRPr="00B16ABA">
        <w:rPr>
          <w:rFonts w:eastAsia="Times New Roman" w:cs="Times New Roman"/>
          <w:shd w:val="clear" w:color="auto" w:fill="FFFFFF"/>
        </w:rPr>
        <w:t>dedicated to making schools safer and more inclusive for same sex attracted, intersex</w:t>
      </w:r>
      <w:r w:rsidR="002D1B3A">
        <w:rPr>
          <w:rFonts w:eastAsia="Times New Roman" w:cs="Times New Roman"/>
          <w:shd w:val="clear" w:color="auto" w:fill="FFFFFF"/>
        </w:rPr>
        <w:t>, trans</w:t>
      </w:r>
      <w:r w:rsidR="00B16ABA" w:rsidRPr="00B16ABA">
        <w:rPr>
          <w:rFonts w:eastAsia="Times New Roman" w:cs="Times New Roman"/>
          <w:shd w:val="clear" w:color="auto" w:fill="FFFFFF"/>
        </w:rPr>
        <w:t xml:space="preserve"> and gender diverse young people</w:t>
      </w:r>
      <w:r>
        <w:rPr>
          <w:rFonts w:eastAsia="Times New Roman" w:cs="Times New Roman"/>
          <w:shd w:val="clear" w:color="auto" w:fill="FFFFFF"/>
        </w:rPr>
        <w:t xml:space="preserve"> across Australia. </w:t>
      </w:r>
      <w:r w:rsidR="003F44E2">
        <w:rPr>
          <w:rFonts w:eastAsia="Times New Roman" w:cs="Times New Roman"/>
          <w:shd w:val="clear" w:color="auto" w:fill="FFFFFF"/>
        </w:rPr>
        <w:t xml:space="preserve">The programme is </w:t>
      </w:r>
      <w:r w:rsidR="00B37362">
        <w:rPr>
          <w:rFonts w:eastAsia="Times New Roman" w:cs="Times New Roman"/>
          <w:shd w:val="clear" w:color="auto" w:fill="FFFFFF"/>
        </w:rPr>
        <w:t xml:space="preserve">‘opt-in’ but </w:t>
      </w:r>
      <w:r w:rsidR="003F44E2">
        <w:rPr>
          <w:rFonts w:eastAsia="Times New Roman" w:cs="Times New Roman"/>
          <w:shd w:val="clear" w:color="auto" w:fill="FFFFFF"/>
        </w:rPr>
        <w:t>rapidly growing and has the potential to improve the lives of thousands of students.</w:t>
      </w:r>
      <w:r w:rsidR="00B16ABA" w:rsidRPr="00B16ABA">
        <w:rPr>
          <w:rFonts w:eastAsia="Times New Roman" w:cs="Times New Roman"/>
          <w:shd w:val="clear" w:color="auto" w:fill="FFFFFF"/>
        </w:rPr>
        <w:t> </w:t>
      </w:r>
    </w:p>
    <w:p w14:paraId="03EA5325" w14:textId="77777777" w:rsidR="00B37362" w:rsidRDefault="00B37362" w:rsidP="006125E6">
      <w:pPr>
        <w:pStyle w:val="MainTitle"/>
        <w:spacing w:before="240" w:after="120" w:line="240" w:lineRule="auto"/>
        <w:jc w:val="both"/>
        <w:rPr>
          <w:rFonts w:asciiTheme="minorHAnsi" w:hAnsiTheme="minorHAnsi" w:cs="Arial"/>
          <w:b/>
          <w:color w:val="auto"/>
          <w:sz w:val="24"/>
          <w:szCs w:val="24"/>
        </w:rPr>
      </w:pPr>
      <w:r>
        <w:rPr>
          <w:rFonts w:asciiTheme="minorHAnsi" w:hAnsiTheme="minorHAnsi" w:cs="Arial"/>
          <w:b/>
          <w:color w:val="auto"/>
          <w:sz w:val="24"/>
          <w:szCs w:val="24"/>
        </w:rPr>
        <w:lastRenderedPageBreak/>
        <w:t>Ageing and aged care</w:t>
      </w:r>
    </w:p>
    <w:p w14:paraId="3B351441" w14:textId="3B8DCE91" w:rsidR="00B16ABA" w:rsidRDefault="003F44E2" w:rsidP="006125E6">
      <w:pPr>
        <w:pStyle w:val="MainTitle"/>
        <w:spacing w:before="240" w:after="120" w:line="240" w:lineRule="auto"/>
        <w:jc w:val="both"/>
        <w:rPr>
          <w:rFonts w:asciiTheme="minorHAnsi" w:hAnsiTheme="minorHAnsi" w:cs="Arial"/>
          <w:color w:val="auto"/>
          <w:sz w:val="24"/>
          <w:szCs w:val="24"/>
        </w:rPr>
      </w:pPr>
      <w:r>
        <w:rPr>
          <w:rFonts w:asciiTheme="minorHAnsi" w:hAnsiTheme="minorHAnsi" w:cs="Tahoma"/>
          <w:color w:val="231F20"/>
          <w:sz w:val="24"/>
          <w:szCs w:val="24"/>
        </w:rPr>
        <w:t>I</w:t>
      </w:r>
      <w:r w:rsidR="00A6655B" w:rsidRPr="00A6655B">
        <w:rPr>
          <w:rFonts w:asciiTheme="minorHAnsi" w:hAnsiTheme="minorHAnsi" w:cs="Tahoma"/>
          <w:color w:val="231F20"/>
          <w:sz w:val="24"/>
          <w:szCs w:val="24"/>
        </w:rPr>
        <w:t xml:space="preserve">n July 2012 the </w:t>
      </w:r>
      <w:r w:rsidR="00A6655B" w:rsidRPr="00E949F8">
        <w:rPr>
          <w:rFonts w:asciiTheme="minorHAnsi" w:hAnsiTheme="minorHAnsi" w:cs="Tahoma"/>
          <w:color w:val="231F20"/>
          <w:sz w:val="24"/>
          <w:szCs w:val="24"/>
        </w:rPr>
        <w:t>Federal Government</w:t>
      </w:r>
      <w:r w:rsidR="00A6655B" w:rsidRPr="00A6655B">
        <w:rPr>
          <w:rFonts w:asciiTheme="minorHAnsi" w:hAnsiTheme="minorHAnsi" w:cs="Tahoma"/>
          <w:color w:val="231F20"/>
          <w:sz w:val="24"/>
          <w:szCs w:val="24"/>
        </w:rPr>
        <w:t xml:space="preserve"> announced the development of an LGBTI Ageing and Aged Care Strategy</w:t>
      </w:r>
      <w:r w:rsidR="000E6A8E">
        <w:rPr>
          <w:rFonts w:asciiTheme="minorHAnsi" w:hAnsiTheme="minorHAnsi" w:cs="Tahoma"/>
          <w:color w:val="231F20"/>
          <w:sz w:val="24"/>
          <w:szCs w:val="24"/>
        </w:rPr>
        <w:t>.</w:t>
      </w:r>
      <w:r w:rsidR="00C7635B">
        <w:rPr>
          <w:rStyle w:val="FootnoteReference"/>
          <w:rFonts w:asciiTheme="minorHAnsi" w:hAnsiTheme="minorHAnsi" w:cs="Tahoma"/>
          <w:color w:val="231F20"/>
          <w:sz w:val="24"/>
          <w:szCs w:val="24"/>
        </w:rPr>
        <w:footnoteReference w:id="5"/>
      </w:r>
      <w:r w:rsidR="00E949F8" w:rsidRPr="00E949F8">
        <w:rPr>
          <w:rFonts w:asciiTheme="minorHAnsi" w:hAnsiTheme="minorHAnsi" w:cs="Tahoma"/>
          <w:color w:val="231F20"/>
          <w:sz w:val="24"/>
          <w:szCs w:val="24"/>
        </w:rPr>
        <w:t xml:space="preserve"> Initiatives like this </w:t>
      </w:r>
      <w:r>
        <w:rPr>
          <w:rFonts w:asciiTheme="minorHAnsi" w:hAnsiTheme="minorHAnsi" w:cs="Tahoma"/>
          <w:color w:val="231F20"/>
          <w:sz w:val="24"/>
          <w:szCs w:val="24"/>
        </w:rPr>
        <w:t>which focus on the particular needs of</w:t>
      </w:r>
      <w:r w:rsidR="00E949F8" w:rsidRPr="00E949F8">
        <w:rPr>
          <w:rFonts w:asciiTheme="minorHAnsi" w:hAnsiTheme="minorHAnsi" w:cs="Tahoma"/>
          <w:color w:val="231F20"/>
          <w:sz w:val="24"/>
          <w:szCs w:val="24"/>
        </w:rPr>
        <w:t xml:space="preserve"> LGBTI communities shed light on </w:t>
      </w:r>
      <w:r>
        <w:rPr>
          <w:rFonts w:asciiTheme="minorHAnsi" w:hAnsiTheme="minorHAnsi" w:cs="Tahoma"/>
          <w:color w:val="231F20"/>
          <w:sz w:val="24"/>
          <w:szCs w:val="24"/>
        </w:rPr>
        <w:t xml:space="preserve">the </w:t>
      </w:r>
      <w:r w:rsidR="00E949F8" w:rsidRPr="00E949F8">
        <w:rPr>
          <w:rFonts w:asciiTheme="minorHAnsi" w:hAnsiTheme="minorHAnsi" w:cs="Tahoma"/>
          <w:color w:val="231F20"/>
          <w:sz w:val="24"/>
          <w:szCs w:val="24"/>
        </w:rPr>
        <w:t>inequalities</w:t>
      </w:r>
      <w:r>
        <w:rPr>
          <w:rFonts w:asciiTheme="minorHAnsi" w:hAnsiTheme="minorHAnsi" w:cs="Tahoma"/>
          <w:color w:val="231F20"/>
          <w:sz w:val="24"/>
          <w:szCs w:val="24"/>
        </w:rPr>
        <w:t xml:space="preserve"> and historical marginalisation faced by elderly LGBTI people,</w:t>
      </w:r>
      <w:r w:rsidR="00E949F8" w:rsidRPr="00E949F8">
        <w:rPr>
          <w:rFonts w:asciiTheme="minorHAnsi" w:hAnsiTheme="minorHAnsi" w:cs="Tahoma"/>
          <w:color w:val="231F20"/>
          <w:sz w:val="24"/>
          <w:szCs w:val="24"/>
        </w:rPr>
        <w:t xml:space="preserve"> and provide</w:t>
      </w:r>
      <w:r>
        <w:rPr>
          <w:rFonts w:asciiTheme="minorHAnsi" w:hAnsiTheme="minorHAnsi" w:cs="Tahoma"/>
          <w:color w:val="231F20"/>
          <w:sz w:val="24"/>
          <w:szCs w:val="24"/>
        </w:rPr>
        <w:t xml:space="preserve"> a way forward to redressing these issues. </w:t>
      </w:r>
    </w:p>
    <w:p w14:paraId="742E3332" w14:textId="77777777" w:rsidR="00D625F3" w:rsidRPr="00AF49D7" w:rsidRDefault="00D625F3" w:rsidP="00D625F3">
      <w:pPr>
        <w:pStyle w:val="MainTitle"/>
        <w:spacing w:before="240" w:after="120" w:line="240" w:lineRule="auto"/>
        <w:jc w:val="left"/>
        <w:rPr>
          <w:rFonts w:asciiTheme="minorHAnsi" w:hAnsiTheme="minorHAnsi" w:cs="Arial"/>
          <w:color w:val="auto"/>
          <w:sz w:val="24"/>
          <w:szCs w:val="24"/>
        </w:rPr>
      </w:pPr>
    </w:p>
    <w:p w14:paraId="7115FBA4" w14:textId="77777777" w:rsidR="00247F6B" w:rsidRPr="00AF49D7" w:rsidRDefault="00247F6B" w:rsidP="00247F6B">
      <w:pPr>
        <w:pStyle w:val="MainTitle"/>
        <w:spacing w:before="240" w:after="120" w:line="240" w:lineRule="auto"/>
        <w:ind w:left="720"/>
        <w:jc w:val="left"/>
        <w:rPr>
          <w:rFonts w:asciiTheme="minorHAnsi" w:hAnsiTheme="minorHAnsi" w:cs="Arial"/>
          <w:color w:val="auto"/>
          <w:sz w:val="24"/>
          <w:szCs w:val="24"/>
        </w:rPr>
      </w:pPr>
    </w:p>
    <w:p w14:paraId="7363A69B" w14:textId="77777777" w:rsidR="0056555C" w:rsidRPr="00AF49D7" w:rsidRDefault="0056555C" w:rsidP="004346A9">
      <w:pPr>
        <w:pStyle w:val="Heading2"/>
        <w:rPr>
          <w:rFonts w:asciiTheme="minorHAnsi" w:hAnsiTheme="minorHAnsi"/>
          <w:sz w:val="24"/>
          <w:szCs w:val="24"/>
        </w:rPr>
      </w:pPr>
      <w:r w:rsidRPr="00AF49D7">
        <w:rPr>
          <w:rFonts w:asciiTheme="minorHAnsi" w:hAnsiTheme="minorHAnsi"/>
          <w:sz w:val="24"/>
          <w:szCs w:val="24"/>
        </w:rPr>
        <w:t>Examples of legislation, policies and practices by government that unduly restrict SOGII rights.</w:t>
      </w:r>
    </w:p>
    <w:p w14:paraId="50FB7507" w14:textId="24320370" w:rsidR="0056555C" w:rsidRPr="0071314C" w:rsidRDefault="004346A9" w:rsidP="004346A9">
      <w:pPr>
        <w:pStyle w:val="MainTitle"/>
        <w:spacing w:before="240" w:after="120" w:line="240" w:lineRule="auto"/>
        <w:jc w:val="left"/>
        <w:rPr>
          <w:rFonts w:asciiTheme="minorHAnsi" w:hAnsiTheme="minorHAnsi" w:cs="Arial"/>
          <w:b/>
          <w:color w:val="1F497D" w:themeColor="text2"/>
          <w:sz w:val="24"/>
          <w:szCs w:val="24"/>
        </w:rPr>
      </w:pPr>
      <w:r w:rsidRPr="0071314C">
        <w:rPr>
          <w:rFonts w:asciiTheme="minorHAnsi" w:hAnsiTheme="minorHAnsi" w:cs="Arial"/>
          <w:b/>
          <w:color w:val="1F497D" w:themeColor="text2"/>
          <w:sz w:val="24"/>
          <w:szCs w:val="24"/>
        </w:rPr>
        <w:t xml:space="preserve">- </w:t>
      </w:r>
      <w:r w:rsidR="0056555C" w:rsidRPr="0071314C">
        <w:rPr>
          <w:rFonts w:asciiTheme="minorHAnsi" w:hAnsiTheme="minorHAnsi" w:cs="Arial"/>
          <w:b/>
          <w:color w:val="1F497D" w:themeColor="text2"/>
          <w:sz w:val="24"/>
          <w:szCs w:val="24"/>
        </w:rPr>
        <w:t>What legal barriers exist to SOGII rights?</w:t>
      </w:r>
    </w:p>
    <w:p w14:paraId="72791674" w14:textId="77777777" w:rsidR="004346A9" w:rsidRPr="00AF49D7" w:rsidRDefault="004346A9" w:rsidP="004346A9">
      <w:pPr>
        <w:pStyle w:val="MainTitle"/>
        <w:spacing w:before="240" w:after="120" w:line="240" w:lineRule="auto"/>
        <w:ind w:left="720"/>
        <w:jc w:val="left"/>
        <w:rPr>
          <w:rFonts w:asciiTheme="minorHAnsi" w:hAnsiTheme="minorHAnsi" w:cs="Arial"/>
          <w:color w:val="auto"/>
          <w:sz w:val="24"/>
          <w:szCs w:val="24"/>
        </w:rPr>
      </w:pPr>
    </w:p>
    <w:p w14:paraId="45708FCF" w14:textId="1FA14509" w:rsidR="00650BEE" w:rsidRDefault="00DD1F62" w:rsidP="00E807AE">
      <w:pPr>
        <w:pStyle w:val="MainTitle"/>
        <w:spacing w:before="240" w:after="120" w:line="240" w:lineRule="auto"/>
        <w:jc w:val="both"/>
        <w:rPr>
          <w:rFonts w:asciiTheme="minorHAnsi" w:hAnsiTheme="minorHAnsi" w:cs="Arial"/>
          <w:color w:val="auto"/>
          <w:sz w:val="24"/>
          <w:szCs w:val="24"/>
        </w:rPr>
      </w:pPr>
      <w:r>
        <w:rPr>
          <w:rFonts w:asciiTheme="minorHAnsi" w:hAnsiTheme="minorHAnsi" w:cs="Arial"/>
          <w:color w:val="auto"/>
          <w:sz w:val="24"/>
          <w:szCs w:val="24"/>
        </w:rPr>
        <w:t xml:space="preserve">As </w:t>
      </w:r>
      <w:r w:rsidR="006D4C87">
        <w:rPr>
          <w:rFonts w:asciiTheme="minorHAnsi" w:hAnsiTheme="minorHAnsi" w:cs="Arial"/>
          <w:color w:val="auto"/>
          <w:sz w:val="24"/>
          <w:szCs w:val="24"/>
        </w:rPr>
        <w:t>d</w:t>
      </w:r>
      <w:r>
        <w:rPr>
          <w:rFonts w:asciiTheme="minorHAnsi" w:hAnsiTheme="minorHAnsi" w:cs="Arial"/>
          <w:color w:val="auto"/>
          <w:sz w:val="24"/>
          <w:szCs w:val="24"/>
        </w:rPr>
        <w:t>iscussed above, l</w:t>
      </w:r>
      <w:r w:rsidR="00A147B3">
        <w:rPr>
          <w:rFonts w:asciiTheme="minorHAnsi" w:hAnsiTheme="minorHAnsi" w:cs="Arial"/>
          <w:color w:val="auto"/>
          <w:sz w:val="24"/>
          <w:szCs w:val="24"/>
        </w:rPr>
        <w:t>egal barriers to equality exist in regard to m</w:t>
      </w:r>
      <w:r w:rsidR="00C43744" w:rsidRPr="00AF49D7">
        <w:rPr>
          <w:rFonts w:asciiTheme="minorHAnsi" w:hAnsiTheme="minorHAnsi" w:cs="Arial"/>
          <w:color w:val="auto"/>
          <w:sz w:val="24"/>
          <w:szCs w:val="24"/>
        </w:rPr>
        <w:t>arriage equality</w:t>
      </w:r>
      <w:r w:rsidR="006D4C87">
        <w:rPr>
          <w:rFonts w:asciiTheme="minorHAnsi" w:hAnsiTheme="minorHAnsi" w:cs="Arial"/>
          <w:color w:val="auto"/>
          <w:sz w:val="24"/>
          <w:szCs w:val="24"/>
        </w:rPr>
        <w:t>,</w:t>
      </w:r>
      <w:r w:rsidR="007B2A25">
        <w:rPr>
          <w:rFonts w:asciiTheme="minorHAnsi" w:hAnsiTheme="minorHAnsi" w:cs="Arial"/>
          <w:color w:val="auto"/>
          <w:sz w:val="24"/>
          <w:szCs w:val="24"/>
        </w:rPr>
        <w:t xml:space="preserve"> in </w:t>
      </w:r>
      <w:r w:rsidR="00F21153">
        <w:rPr>
          <w:rFonts w:asciiTheme="minorHAnsi" w:hAnsiTheme="minorHAnsi" w:cs="Arial"/>
          <w:color w:val="auto"/>
          <w:sz w:val="24"/>
          <w:szCs w:val="24"/>
        </w:rPr>
        <w:t>recognising divers</w:t>
      </w:r>
      <w:r w:rsidR="00E807AE">
        <w:rPr>
          <w:rFonts w:asciiTheme="minorHAnsi" w:hAnsiTheme="minorHAnsi" w:cs="Arial"/>
          <w:color w:val="auto"/>
          <w:sz w:val="24"/>
          <w:szCs w:val="24"/>
        </w:rPr>
        <w:t>e</w:t>
      </w:r>
      <w:r w:rsidR="00F21153">
        <w:rPr>
          <w:rFonts w:asciiTheme="minorHAnsi" w:hAnsiTheme="minorHAnsi" w:cs="Arial"/>
          <w:color w:val="auto"/>
          <w:sz w:val="24"/>
          <w:szCs w:val="24"/>
        </w:rPr>
        <w:t xml:space="preserve"> parenting rights, </w:t>
      </w:r>
      <w:r w:rsidR="00E807AE">
        <w:rPr>
          <w:rFonts w:asciiTheme="minorHAnsi" w:hAnsiTheme="minorHAnsi" w:cs="Arial"/>
          <w:color w:val="auto"/>
          <w:sz w:val="24"/>
          <w:szCs w:val="24"/>
        </w:rPr>
        <w:t xml:space="preserve">and in </w:t>
      </w:r>
      <w:r w:rsidR="00A147B3">
        <w:rPr>
          <w:rFonts w:asciiTheme="minorHAnsi" w:hAnsiTheme="minorHAnsi" w:cs="Arial"/>
          <w:color w:val="auto"/>
          <w:sz w:val="24"/>
          <w:szCs w:val="24"/>
        </w:rPr>
        <w:t>anti-disc</w:t>
      </w:r>
      <w:r w:rsidR="00650BEE">
        <w:rPr>
          <w:rFonts w:asciiTheme="minorHAnsi" w:hAnsiTheme="minorHAnsi" w:cs="Arial"/>
          <w:color w:val="auto"/>
          <w:sz w:val="24"/>
          <w:szCs w:val="24"/>
        </w:rPr>
        <w:t>rimination and anti-vilification</w:t>
      </w:r>
      <w:r w:rsidR="00494A2B">
        <w:rPr>
          <w:rFonts w:asciiTheme="minorHAnsi" w:hAnsiTheme="minorHAnsi" w:cs="Arial"/>
          <w:color w:val="auto"/>
          <w:sz w:val="24"/>
          <w:szCs w:val="24"/>
        </w:rPr>
        <w:t xml:space="preserve"> legislation</w:t>
      </w:r>
      <w:r w:rsidR="00650BEE">
        <w:rPr>
          <w:rFonts w:asciiTheme="minorHAnsi" w:hAnsiTheme="minorHAnsi" w:cs="Arial"/>
          <w:color w:val="auto"/>
          <w:sz w:val="24"/>
          <w:szCs w:val="24"/>
        </w:rPr>
        <w:t xml:space="preserve">. </w:t>
      </w:r>
    </w:p>
    <w:p w14:paraId="08E22BFC" w14:textId="77777777" w:rsidR="00E807AE" w:rsidRPr="00E807AE" w:rsidRDefault="00E807AE" w:rsidP="00E807AE">
      <w:pPr>
        <w:pStyle w:val="MainTitle"/>
        <w:spacing w:before="240" w:after="120" w:line="240" w:lineRule="auto"/>
        <w:jc w:val="both"/>
        <w:rPr>
          <w:rFonts w:asciiTheme="minorHAnsi" w:hAnsiTheme="minorHAnsi" w:cs="Arial"/>
          <w:color w:val="auto"/>
          <w:sz w:val="24"/>
          <w:szCs w:val="24"/>
        </w:rPr>
      </w:pPr>
    </w:p>
    <w:p w14:paraId="59C57CF6" w14:textId="77777777" w:rsidR="00247F6B" w:rsidRPr="0071314C" w:rsidRDefault="00247F6B" w:rsidP="00247F6B">
      <w:pPr>
        <w:pStyle w:val="MainTitle"/>
        <w:spacing w:before="240" w:after="120" w:line="240" w:lineRule="auto"/>
        <w:jc w:val="left"/>
        <w:rPr>
          <w:rFonts w:asciiTheme="minorHAnsi" w:hAnsiTheme="minorHAnsi" w:cs="Arial"/>
          <w:color w:val="1F497D" w:themeColor="text2"/>
          <w:sz w:val="24"/>
          <w:szCs w:val="24"/>
        </w:rPr>
      </w:pPr>
    </w:p>
    <w:p w14:paraId="699EA13F" w14:textId="73C5C8E8" w:rsidR="008C187F" w:rsidRDefault="00956870" w:rsidP="0071314C">
      <w:pPr>
        <w:pStyle w:val="MainTitle"/>
        <w:spacing w:before="240" w:after="120" w:line="240" w:lineRule="auto"/>
        <w:jc w:val="left"/>
        <w:rPr>
          <w:rFonts w:asciiTheme="minorHAnsi" w:hAnsiTheme="minorHAnsi" w:cs="Arial"/>
          <w:b/>
          <w:color w:val="1F497D" w:themeColor="text2"/>
          <w:sz w:val="24"/>
          <w:szCs w:val="24"/>
        </w:rPr>
      </w:pPr>
      <w:r w:rsidRPr="0071314C">
        <w:rPr>
          <w:rFonts w:asciiTheme="minorHAnsi" w:hAnsiTheme="minorHAnsi" w:cs="Arial"/>
          <w:b/>
          <w:color w:val="1F497D" w:themeColor="text2"/>
          <w:sz w:val="24"/>
          <w:szCs w:val="24"/>
        </w:rPr>
        <w:t xml:space="preserve">- </w:t>
      </w:r>
      <w:r w:rsidR="0056555C" w:rsidRPr="0071314C">
        <w:rPr>
          <w:rFonts w:asciiTheme="minorHAnsi" w:hAnsiTheme="minorHAnsi" w:cs="Arial"/>
          <w:b/>
          <w:color w:val="1F497D" w:themeColor="text2"/>
          <w:sz w:val="24"/>
          <w:szCs w:val="24"/>
        </w:rPr>
        <w:t>What policy barriers exist to SOGII rights?</w:t>
      </w:r>
    </w:p>
    <w:p w14:paraId="05B95D0D" w14:textId="77777777" w:rsidR="0071314C" w:rsidRPr="0071314C" w:rsidRDefault="0071314C" w:rsidP="0071314C">
      <w:pPr>
        <w:pStyle w:val="MainTitle"/>
        <w:spacing w:before="240" w:after="120" w:line="240" w:lineRule="auto"/>
        <w:jc w:val="left"/>
        <w:rPr>
          <w:rFonts w:asciiTheme="minorHAnsi" w:hAnsiTheme="minorHAnsi" w:cs="Arial"/>
          <w:b/>
          <w:color w:val="1F497D" w:themeColor="text2"/>
          <w:sz w:val="24"/>
          <w:szCs w:val="24"/>
        </w:rPr>
      </w:pPr>
    </w:p>
    <w:p w14:paraId="693B2D4E" w14:textId="54609210" w:rsidR="00E72E5A" w:rsidRPr="00342433" w:rsidRDefault="00E72E5A" w:rsidP="002448A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13"/>
        <w:rPr>
          <w:rFonts w:cs="Times"/>
          <w:b/>
          <w:lang w:val="en-US"/>
        </w:rPr>
      </w:pPr>
      <w:r w:rsidRPr="00342433">
        <w:rPr>
          <w:rFonts w:cs="Times"/>
          <w:b/>
          <w:lang w:val="en-US"/>
        </w:rPr>
        <w:t>Health and Wellbeing Policy</w:t>
      </w:r>
    </w:p>
    <w:p w14:paraId="099F3F3F" w14:textId="0AF61A9C" w:rsidR="009B7F0A" w:rsidRPr="001E0FDC" w:rsidRDefault="00830BDD" w:rsidP="001E0F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13"/>
        <w:jc w:val="both"/>
        <w:rPr>
          <w:rFonts w:cs="Times"/>
          <w:color w:val="262626"/>
          <w:lang w:val="en-US"/>
        </w:rPr>
      </w:pPr>
      <w:r>
        <w:rPr>
          <w:rFonts w:cs="Times"/>
          <w:color w:val="262626"/>
          <w:lang w:val="en-US"/>
        </w:rPr>
        <w:t xml:space="preserve">Gay and lesbian </w:t>
      </w:r>
      <w:r w:rsidR="00956870" w:rsidRPr="002448AE">
        <w:rPr>
          <w:rFonts w:cs="Times"/>
          <w:color w:val="262626"/>
          <w:lang w:val="en-US"/>
        </w:rPr>
        <w:t xml:space="preserve">people are at increased risk of a range of mental health issues </w:t>
      </w:r>
      <w:r w:rsidR="00956870" w:rsidRPr="004340BC">
        <w:rPr>
          <w:rFonts w:cs="Times"/>
          <w:color w:val="262626"/>
          <w:lang w:val="en-US"/>
        </w:rPr>
        <w:t>including depression, anxiety disorders, self-harm, suicidality and suicid</w:t>
      </w:r>
      <w:r w:rsidR="002448AE" w:rsidRPr="004340BC">
        <w:rPr>
          <w:rFonts w:cs="Times"/>
          <w:color w:val="262626"/>
          <w:lang w:val="en-US"/>
        </w:rPr>
        <w:t>e.</w:t>
      </w:r>
      <w:r w:rsidR="002448AE" w:rsidRPr="004340BC">
        <w:rPr>
          <w:rStyle w:val="FootnoteReference"/>
          <w:rFonts w:cs="Times"/>
          <w:color w:val="262626"/>
          <w:lang w:val="en-US"/>
        </w:rPr>
        <w:footnoteReference w:id="6"/>
      </w:r>
      <w:r w:rsidR="002D1212" w:rsidRPr="004340BC">
        <w:rPr>
          <w:rFonts w:cs="Times"/>
          <w:color w:val="262626"/>
          <w:lang w:val="en-US"/>
        </w:rPr>
        <w:t xml:space="preserve"> </w:t>
      </w:r>
      <w:r w:rsidR="00803FCA">
        <w:rPr>
          <w:rFonts w:cs="Times"/>
          <w:color w:val="262626"/>
          <w:lang w:val="en-US"/>
        </w:rPr>
        <w:t xml:space="preserve">Research has shown that </w:t>
      </w:r>
      <w:r w:rsidR="00956870" w:rsidRPr="004340BC">
        <w:rPr>
          <w:rFonts w:cs="Times"/>
          <w:color w:val="262626"/>
          <w:lang w:val="en-US"/>
        </w:rPr>
        <w:t>experiences of social exclusion and discrimination, violence and abuse, and the lack of inclusion in health policies all contribu</w:t>
      </w:r>
      <w:r w:rsidR="00C3648D" w:rsidRPr="004340BC">
        <w:rPr>
          <w:rFonts w:cs="Times"/>
          <w:color w:val="262626"/>
          <w:lang w:val="en-US"/>
        </w:rPr>
        <w:t xml:space="preserve">te to these differential rates. </w:t>
      </w:r>
      <w:r w:rsidR="00C3648D" w:rsidRPr="004340BC">
        <w:rPr>
          <w:rStyle w:val="FootnoteReference"/>
          <w:rFonts w:cs="Times"/>
          <w:color w:val="262626"/>
          <w:lang w:val="en-US"/>
        </w:rPr>
        <w:footnoteReference w:id="7"/>
      </w:r>
      <w:r w:rsidR="009F2BA4">
        <w:rPr>
          <w:rFonts w:cs="Times"/>
          <w:color w:val="262626"/>
          <w:lang w:val="en-US"/>
        </w:rPr>
        <w:t xml:space="preserve"> </w:t>
      </w:r>
      <w:r w:rsidR="00246A46">
        <w:rPr>
          <w:rFonts w:cs="Times"/>
          <w:color w:val="262626"/>
          <w:lang w:val="en-US"/>
        </w:rPr>
        <w:t xml:space="preserve"> </w:t>
      </w:r>
      <w:r w:rsidR="00B76216">
        <w:rPr>
          <w:rFonts w:cs="Times"/>
          <w:color w:val="262626"/>
          <w:lang w:val="en-US"/>
        </w:rPr>
        <w:t>A</w:t>
      </w:r>
      <w:r w:rsidR="00956870" w:rsidRPr="001B4E2B">
        <w:rPr>
          <w:rFonts w:cs="Times"/>
          <w:color w:val="262626"/>
          <w:lang w:val="en-US"/>
        </w:rPr>
        <w:t xml:space="preserve"> whole of government approach, through a LGBTI health and wellbeing strategy, is required to address these issues</w:t>
      </w:r>
      <w:r w:rsidR="00246A46">
        <w:rPr>
          <w:rFonts w:cs="Times"/>
          <w:lang w:val="en-US"/>
        </w:rPr>
        <w:t xml:space="preserve">. </w:t>
      </w:r>
    </w:p>
    <w:p w14:paraId="04CD5719" w14:textId="5492FB33" w:rsidR="00EA5BAD" w:rsidRDefault="00EA5BAD" w:rsidP="00EA5BAD">
      <w:pPr>
        <w:pStyle w:val="MainTitle"/>
        <w:spacing w:before="240" w:after="120" w:line="240" w:lineRule="auto"/>
        <w:jc w:val="left"/>
        <w:rPr>
          <w:rFonts w:asciiTheme="minorHAnsi" w:hAnsiTheme="minorHAnsi" w:cs="Times"/>
          <w:b/>
          <w:color w:val="auto"/>
          <w:sz w:val="24"/>
          <w:szCs w:val="24"/>
          <w:lang w:val="en-US"/>
        </w:rPr>
      </w:pPr>
      <w:r w:rsidRPr="00EA5BAD">
        <w:rPr>
          <w:rFonts w:asciiTheme="minorHAnsi" w:hAnsiTheme="minorHAnsi" w:cs="Times"/>
          <w:b/>
          <w:color w:val="auto"/>
          <w:sz w:val="24"/>
          <w:szCs w:val="24"/>
          <w:lang w:val="en-US"/>
        </w:rPr>
        <w:t>LGBTI Youth</w:t>
      </w:r>
    </w:p>
    <w:p w14:paraId="222DC867" w14:textId="77777777" w:rsidR="00744E8A" w:rsidRPr="00EA5BAD" w:rsidRDefault="00744E8A" w:rsidP="00EA5BAD">
      <w:pPr>
        <w:pStyle w:val="MainTitle"/>
        <w:spacing w:before="240" w:after="120" w:line="240" w:lineRule="auto"/>
        <w:jc w:val="left"/>
        <w:rPr>
          <w:rFonts w:asciiTheme="minorHAnsi" w:hAnsiTheme="minorHAnsi" w:cs="Times"/>
          <w:b/>
          <w:color w:val="auto"/>
          <w:sz w:val="24"/>
          <w:szCs w:val="24"/>
          <w:lang w:val="en-US"/>
        </w:rPr>
      </w:pPr>
    </w:p>
    <w:p w14:paraId="50DD4CFD" w14:textId="45072230" w:rsidR="002448AE" w:rsidRPr="00EA5BAD" w:rsidRDefault="00EA5BAD" w:rsidP="008C187F">
      <w:pPr>
        <w:pStyle w:val="MainTitle"/>
        <w:spacing w:before="240" w:after="120" w:line="240" w:lineRule="auto"/>
        <w:jc w:val="both"/>
        <w:rPr>
          <w:rFonts w:asciiTheme="minorHAnsi" w:hAnsiTheme="minorHAnsi" w:cs="Arial"/>
          <w:b/>
          <w:color w:val="auto"/>
          <w:sz w:val="24"/>
          <w:szCs w:val="24"/>
        </w:rPr>
      </w:pPr>
      <w:r w:rsidRPr="00EA5BAD">
        <w:rPr>
          <w:rFonts w:asciiTheme="minorHAnsi" w:hAnsiTheme="minorHAnsi" w:cs="Times"/>
          <w:color w:val="auto"/>
          <w:sz w:val="24"/>
          <w:szCs w:val="24"/>
          <w:lang w:val="en-US"/>
        </w:rPr>
        <w:t xml:space="preserve">To help combat </w:t>
      </w:r>
      <w:r w:rsidRPr="00EA5BAD">
        <w:rPr>
          <w:rFonts w:asciiTheme="minorHAnsi" w:hAnsiTheme="minorHAnsi" w:cs="Calibri"/>
          <w:color w:val="auto"/>
          <w:sz w:val="24"/>
          <w:szCs w:val="24"/>
          <w:lang w:val="en-US"/>
        </w:rPr>
        <w:t xml:space="preserve">bullying, harassment, violence and exclusion suffered by LGBTI youth and promote equal rights for all students, there should be a commitment to </w:t>
      </w:r>
      <w:r w:rsidR="002448AE" w:rsidRPr="00EA5BAD">
        <w:rPr>
          <w:rFonts w:asciiTheme="minorHAnsi" w:hAnsiTheme="minorHAnsi" w:cs="Times"/>
          <w:color w:val="auto"/>
          <w:sz w:val="24"/>
          <w:szCs w:val="24"/>
          <w:lang w:val="en-US"/>
        </w:rPr>
        <w:t xml:space="preserve">a responsive health and physical education curriculum and syllabus that makes explicit reference to </w:t>
      </w:r>
      <w:r w:rsidR="00B76216">
        <w:rPr>
          <w:rFonts w:asciiTheme="minorHAnsi" w:hAnsiTheme="minorHAnsi" w:cs="Times"/>
          <w:color w:val="auto"/>
          <w:sz w:val="24"/>
          <w:szCs w:val="24"/>
          <w:lang w:val="en-US"/>
        </w:rPr>
        <w:t>LGBTI</w:t>
      </w:r>
      <w:r w:rsidR="00362F3D">
        <w:rPr>
          <w:rFonts w:asciiTheme="minorHAnsi" w:hAnsiTheme="minorHAnsi" w:cs="Times"/>
          <w:color w:val="auto"/>
          <w:sz w:val="24"/>
          <w:szCs w:val="24"/>
          <w:lang w:val="en-US"/>
        </w:rPr>
        <w:t xml:space="preserve"> people</w:t>
      </w:r>
      <w:r w:rsidR="00B76216">
        <w:rPr>
          <w:rFonts w:asciiTheme="minorHAnsi" w:hAnsiTheme="minorHAnsi" w:cs="Times"/>
          <w:color w:val="auto"/>
          <w:sz w:val="24"/>
          <w:szCs w:val="24"/>
          <w:lang w:val="en-US"/>
        </w:rPr>
        <w:t xml:space="preserve"> and includes </w:t>
      </w:r>
      <w:r w:rsidR="002448AE" w:rsidRPr="00EA5BAD">
        <w:rPr>
          <w:rFonts w:asciiTheme="minorHAnsi" w:hAnsiTheme="minorHAnsi" w:cs="Times"/>
          <w:color w:val="auto"/>
          <w:sz w:val="24"/>
          <w:szCs w:val="24"/>
          <w:lang w:val="en-US"/>
        </w:rPr>
        <w:t xml:space="preserve">a focus on </w:t>
      </w:r>
      <w:r w:rsidR="00875FA8">
        <w:rPr>
          <w:rFonts w:asciiTheme="minorHAnsi" w:hAnsiTheme="minorHAnsi" w:cs="Times"/>
          <w:color w:val="auto"/>
          <w:sz w:val="24"/>
          <w:szCs w:val="24"/>
          <w:lang w:val="en-US"/>
        </w:rPr>
        <w:t xml:space="preserve">promoting tolerance, positive relationships and </w:t>
      </w:r>
      <w:r w:rsidR="00451C5B">
        <w:rPr>
          <w:rFonts w:asciiTheme="minorHAnsi" w:hAnsiTheme="minorHAnsi" w:cs="Times"/>
          <w:color w:val="auto"/>
          <w:sz w:val="24"/>
          <w:szCs w:val="24"/>
          <w:lang w:val="en-US"/>
        </w:rPr>
        <w:t xml:space="preserve">providing information about </w:t>
      </w:r>
      <w:r w:rsidR="00451C5B" w:rsidRPr="00EA5BAD">
        <w:rPr>
          <w:rFonts w:asciiTheme="minorHAnsi" w:hAnsiTheme="minorHAnsi" w:cs="Times"/>
          <w:color w:val="auto"/>
          <w:sz w:val="24"/>
          <w:szCs w:val="24"/>
          <w:lang w:val="en-US"/>
        </w:rPr>
        <w:t>HIV and STIs</w:t>
      </w:r>
      <w:r w:rsidR="00875FA8">
        <w:rPr>
          <w:rFonts w:asciiTheme="minorHAnsi" w:hAnsiTheme="minorHAnsi" w:cs="Times"/>
          <w:color w:val="auto"/>
          <w:sz w:val="24"/>
          <w:szCs w:val="24"/>
          <w:lang w:val="en-US"/>
        </w:rPr>
        <w:t>.</w:t>
      </w:r>
    </w:p>
    <w:p w14:paraId="2A7B3355" w14:textId="77777777" w:rsidR="00247F6B" w:rsidRPr="00AF49D7" w:rsidRDefault="00247F6B" w:rsidP="00247F6B">
      <w:pPr>
        <w:pStyle w:val="MainTitle"/>
        <w:spacing w:before="240" w:after="120" w:line="240" w:lineRule="auto"/>
        <w:jc w:val="left"/>
        <w:rPr>
          <w:rFonts w:asciiTheme="minorHAnsi" w:hAnsiTheme="minorHAnsi" w:cs="Arial"/>
          <w:color w:val="auto"/>
          <w:sz w:val="24"/>
          <w:szCs w:val="24"/>
        </w:rPr>
      </w:pPr>
    </w:p>
    <w:p w14:paraId="536D0AE9" w14:textId="77777777" w:rsidR="00247F6B" w:rsidRPr="0071314C" w:rsidRDefault="00247F6B" w:rsidP="00247F6B">
      <w:pPr>
        <w:pStyle w:val="MainTitle"/>
        <w:spacing w:before="240" w:after="120" w:line="240" w:lineRule="auto"/>
        <w:jc w:val="left"/>
        <w:rPr>
          <w:rFonts w:asciiTheme="minorHAnsi" w:hAnsiTheme="minorHAnsi" w:cs="Arial"/>
          <w:b/>
          <w:color w:val="1F497D" w:themeColor="text2"/>
          <w:sz w:val="24"/>
          <w:szCs w:val="24"/>
        </w:rPr>
      </w:pPr>
    </w:p>
    <w:p w14:paraId="19486DFB" w14:textId="6A8CB9D7" w:rsidR="0056555C" w:rsidRPr="0071314C" w:rsidRDefault="004346A9" w:rsidP="004346A9">
      <w:pPr>
        <w:pStyle w:val="MainTitle"/>
        <w:spacing w:before="240" w:after="120" w:line="240" w:lineRule="auto"/>
        <w:jc w:val="left"/>
        <w:rPr>
          <w:rFonts w:asciiTheme="minorHAnsi" w:hAnsiTheme="minorHAnsi" w:cs="Arial"/>
          <w:b/>
          <w:color w:val="1F497D" w:themeColor="text2"/>
          <w:sz w:val="24"/>
          <w:szCs w:val="24"/>
        </w:rPr>
      </w:pPr>
      <w:r w:rsidRPr="0071314C">
        <w:rPr>
          <w:rFonts w:asciiTheme="minorHAnsi" w:hAnsiTheme="minorHAnsi" w:cs="Arial"/>
          <w:b/>
          <w:color w:val="1F497D" w:themeColor="text2"/>
          <w:sz w:val="24"/>
          <w:szCs w:val="24"/>
        </w:rPr>
        <w:t xml:space="preserve">- </w:t>
      </w:r>
      <w:r w:rsidR="0056555C" w:rsidRPr="0071314C">
        <w:rPr>
          <w:rFonts w:asciiTheme="minorHAnsi" w:hAnsiTheme="minorHAnsi" w:cs="Arial"/>
          <w:b/>
          <w:color w:val="1F497D" w:themeColor="text2"/>
          <w:sz w:val="24"/>
          <w:szCs w:val="24"/>
        </w:rPr>
        <w:t>What impact do these barriers have on the lives of LGBTI individuals?</w:t>
      </w:r>
    </w:p>
    <w:p w14:paraId="0BBDA4AC" w14:textId="77777777" w:rsidR="004346A9" w:rsidRDefault="004346A9" w:rsidP="00FC33F8">
      <w:pPr>
        <w:pStyle w:val="MainTitle"/>
        <w:spacing w:before="240" w:after="120" w:line="240" w:lineRule="auto"/>
        <w:jc w:val="both"/>
        <w:rPr>
          <w:rFonts w:asciiTheme="minorHAnsi" w:hAnsiTheme="minorHAnsi" w:cs="Arial"/>
          <w:color w:val="auto"/>
          <w:sz w:val="24"/>
          <w:szCs w:val="24"/>
        </w:rPr>
      </w:pPr>
    </w:p>
    <w:p w14:paraId="059CD2F8" w14:textId="2279839A" w:rsidR="008C187F" w:rsidRPr="00AF49D7" w:rsidRDefault="008C187F" w:rsidP="00FC33F8">
      <w:pPr>
        <w:pStyle w:val="MainTitle"/>
        <w:spacing w:before="240" w:after="120" w:line="240" w:lineRule="auto"/>
        <w:jc w:val="both"/>
        <w:rPr>
          <w:rFonts w:asciiTheme="minorHAnsi" w:hAnsiTheme="minorHAnsi" w:cs="Arial"/>
          <w:color w:val="auto"/>
          <w:sz w:val="24"/>
          <w:szCs w:val="24"/>
        </w:rPr>
      </w:pPr>
      <w:r>
        <w:rPr>
          <w:rFonts w:asciiTheme="minorHAnsi" w:hAnsiTheme="minorHAnsi" w:cs="Arial"/>
          <w:color w:val="auto"/>
          <w:sz w:val="24"/>
          <w:szCs w:val="24"/>
        </w:rPr>
        <w:t xml:space="preserve">These barriers perpetuate the notion that </w:t>
      </w:r>
      <w:r w:rsidR="00744E8A">
        <w:rPr>
          <w:rFonts w:asciiTheme="minorHAnsi" w:hAnsiTheme="minorHAnsi" w:cs="Arial"/>
          <w:color w:val="auto"/>
          <w:sz w:val="24"/>
          <w:szCs w:val="24"/>
        </w:rPr>
        <w:t xml:space="preserve">LGBTI </w:t>
      </w:r>
      <w:r>
        <w:rPr>
          <w:rFonts w:asciiTheme="minorHAnsi" w:hAnsiTheme="minorHAnsi" w:cs="Arial"/>
          <w:color w:val="auto"/>
          <w:sz w:val="24"/>
          <w:szCs w:val="24"/>
        </w:rPr>
        <w:t xml:space="preserve">citizens are not entitled to the same rights as the </w:t>
      </w:r>
      <w:r w:rsidR="006C7E1A">
        <w:rPr>
          <w:rFonts w:asciiTheme="minorHAnsi" w:hAnsiTheme="minorHAnsi" w:cs="Arial"/>
          <w:color w:val="auto"/>
          <w:sz w:val="24"/>
          <w:szCs w:val="24"/>
        </w:rPr>
        <w:t>rest of the community</w:t>
      </w:r>
      <w:r>
        <w:rPr>
          <w:rFonts w:asciiTheme="minorHAnsi" w:hAnsiTheme="minorHAnsi" w:cs="Arial"/>
          <w:color w:val="auto"/>
          <w:sz w:val="24"/>
          <w:szCs w:val="24"/>
        </w:rPr>
        <w:t xml:space="preserve">. The experience of inequality can </w:t>
      </w:r>
      <w:r w:rsidR="00FC33F8">
        <w:rPr>
          <w:rFonts w:asciiTheme="minorHAnsi" w:hAnsiTheme="minorHAnsi" w:cs="Arial"/>
          <w:color w:val="auto"/>
          <w:sz w:val="24"/>
          <w:szCs w:val="24"/>
        </w:rPr>
        <w:t xml:space="preserve">often </w:t>
      </w:r>
      <w:r>
        <w:rPr>
          <w:rFonts w:asciiTheme="minorHAnsi" w:hAnsiTheme="minorHAnsi" w:cs="Arial"/>
          <w:color w:val="auto"/>
          <w:sz w:val="24"/>
          <w:szCs w:val="24"/>
        </w:rPr>
        <w:t>lead to social stigma and further discrimination, mental health issues, substance abuse and suicidal behaviour</w:t>
      </w:r>
      <w:r w:rsidR="005F1764">
        <w:rPr>
          <w:rFonts w:asciiTheme="minorHAnsi" w:hAnsiTheme="minorHAnsi" w:cs="Arial"/>
          <w:color w:val="auto"/>
          <w:sz w:val="24"/>
          <w:szCs w:val="24"/>
        </w:rPr>
        <w:t xml:space="preserve">. </w:t>
      </w:r>
      <w:r w:rsidR="005F1764">
        <w:rPr>
          <w:rStyle w:val="FootnoteReference"/>
          <w:rFonts w:asciiTheme="minorHAnsi" w:hAnsiTheme="minorHAnsi" w:cs="Arial"/>
          <w:color w:val="auto"/>
          <w:sz w:val="24"/>
          <w:szCs w:val="24"/>
        </w:rPr>
        <w:footnoteReference w:id="8"/>
      </w:r>
    </w:p>
    <w:p w14:paraId="05631754" w14:textId="77777777" w:rsidR="004346A9" w:rsidRPr="00AF49D7" w:rsidRDefault="004346A9" w:rsidP="004346A9">
      <w:pPr>
        <w:pStyle w:val="MainTitle"/>
        <w:spacing w:before="240" w:after="120" w:line="240" w:lineRule="auto"/>
        <w:jc w:val="left"/>
        <w:rPr>
          <w:rFonts w:asciiTheme="minorHAnsi" w:hAnsiTheme="minorHAnsi" w:cs="Arial"/>
          <w:color w:val="auto"/>
          <w:sz w:val="24"/>
          <w:szCs w:val="24"/>
        </w:rPr>
      </w:pPr>
    </w:p>
    <w:p w14:paraId="2DAF8398" w14:textId="0C3C1E1E" w:rsidR="002675DE" w:rsidRPr="00DB66C0" w:rsidRDefault="0056555C" w:rsidP="00DB66C0">
      <w:pPr>
        <w:pStyle w:val="Heading2"/>
        <w:rPr>
          <w:rFonts w:asciiTheme="minorHAnsi" w:hAnsiTheme="minorHAnsi"/>
          <w:color w:val="1F497D" w:themeColor="text2"/>
          <w:sz w:val="24"/>
          <w:szCs w:val="24"/>
        </w:rPr>
      </w:pPr>
      <w:r w:rsidRPr="0071314C">
        <w:rPr>
          <w:rFonts w:asciiTheme="minorHAnsi" w:hAnsiTheme="minorHAnsi"/>
          <w:color w:val="1F497D" w:themeColor="text2"/>
          <w:sz w:val="24"/>
          <w:szCs w:val="24"/>
        </w:rPr>
        <w:t>What is currently being done, and what more could be done to promote a culture of respect for SOGII rights?</w:t>
      </w:r>
    </w:p>
    <w:p w14:paraId="76AB704C" w14:textId="77777777" w:rsidR="0056555C" w:rsidRPr="00AF49D7" w:rsidRDefault="0056555C" w:rsidP="0056555C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p w14:paraId="091B0205" w14:textId="36212610" w:rsidR="001B51C1" w:rsidRPr="00DB66C0" w:rsidRDefault="00DB66C0" w:rsidP="00DB66C0">
      <w:pPr>
        <w:widowControl w:val="0"/>
        <w:autoSpaceDE w:val="0"/>
        <w:autoSpaceDN w:val="0"/>
        <w:adjustRightInd w:val="0"/>
        <w:jc w:val="both"/>
        <w:rPr>
          <w:rFonts w:cs="Calibri"/>
          <w:lang w:val="en-US"/>
        </w:rPr>
      </w:pPr>
      <w:r>
        <w:rPr>
          <w:rFonts w:cs="Calibri"/>
          <w:lang w:val="en-US"/>
        </w:rPr>
        <w:t xml:space="preserve">More </w:t>
      </w:r>
      <w:r w:rsidR="002D0205" w:rsidRPr="00724789">
        <w:rPr>
          <w:rFonts w:cs="Calibri"/>
          <w:lang w:val="en-US"/>
        </w:rPr>
        <w:t>inclusive legislation and policies</w:t>
      </w:r>
      <w:r w:rsidR="00EB1E38">
        <w:rPr>
          <w:rFonts w:cs="Calibri"/>
          <w:lang w:val="en-US"/>
        </w:rPr>
        <w:t xml:space="preserve"> </w:t>
      </w:r>
      <w:r w:rsidR="00E77410">
        <w:rPr>
          <w:rFonts w:cs="Calibri"/>
          <w:lang w:val="en-US"/>
        </w:rPr>
        <w:t xml:space="preserve">are required </w:t>
      </w:r>
      <w:r w:rsidR="00EB1E38">
        <w:rPr>
          <w:rFonts w:cs="Calibri"/>
          <w:lang w:val="en-US"/>
        </w:rPr>
        <w:t xml:space="preserve">so </w:t>
      </w:r>
      <w:r>
        <w:rPr>
          <w:rFonts w:cs="Calibri"/>
          <w:lang w:val="en-US"/>
        </w:rPr>
        <w:t xml:space="preserve">the principle that all citizens are entitled to </w:t>
      </w:r>
      <w:r w:rsidR="00EB1E38">
        <w:rPr>
          <w:rFonts w:cs="Calibri"/>
          <w:lang w:val="en-US"/>
        </w:rPr>
        <w:t xml:space="preserve">equal rights before the law is </w:t>
      </w:r>
      <w:r>
        <w:rPr>
          <w:rFonts w:cs="Calibri"/>
          <w:lang w:val="en-US"/>
        </w:rPr>
        <w:t xml:space="preserve">supported at </w:t>
      </w:r>
      <w:r w:rsidR="00C77DAD">
        <w:rPr>
          <w:rFonts w:cs="Calibri"/>
          <w:lang w:val="en-US"/>
        </w:rPr>
        <w:t>a government level.</w:t>
      </w:r>
      <w:r w:rsidR="006C7E1A">
        <w:rPr>
          <w:rFonts w:cs="Calibri"/>
          <w:lang w:val="en-US"/>
        </w:rPr>
        <w:t xml:space="preserve"> </w:t>
      </w:r>
      <w:r w:rsidR="00A76394">
        <w:rPr>
          <w:rFonts w:cs="Calibri"/>
          <w:lang w:val="en-US"/>
        </w:rPr>
        <w:t>Legislative</w:t>
      </w:r>
      <w:r w:rsidR="006C7E1A">
        <w:rPr>
          <w:rFonts w:cs="Calibri"/>
          <w:lang w:val="en-US"/>
        </w:rPr>
        <w:t xml:space="preserve"> reform must be supported by cultural change, and</w:t>
      </w:r>
      <w:r>
        <w:rPr>
          <w:rFonts w:cs="Calibri"/>
          <w:lang w:val="en-US"/>
        </w:rPr>
        <w:t xml:space="preserve"> </w:t>
      </w:r>
      <w:r w:rsidR="006C7E1A">
        <w:rPr>
          <w:rFonts w:cs="Calibri"/>
          <w:lang w:val="en-US"/>
        </w:rPr>
        <w:t>t</w:t>
      </w:r>
      <w:r w:rsidR="008B6483">
        <w:rPr>
          <w:rFonts w:cs="Calibri"/>
          <w:lang w:val="en-US"/>
        </w:rPr>
        <w:t xml:space="preserve">here is a need for strong inclusive </w:t>
      </w:r>
      <w:r w:rsidR="00956870">
        <w:rPr>
          <w:rFonts w:cs="Calibri"/>
          <w:lang w:val="en-US"/>
        </w:rPr>
        <w:t>leadership</w:t>
      </w:r>
      <w:r w:rsidR="006C7E1A">
        <w:rPr>
          <w:rFonts w:cs="Calibri"/>
          <w:lang w:val="en-US"/>
        </w:rPr>
        <w:t xml:space="preserve"> – both from government, and in the community.</w:t>
      </w:r>
      <w:r w:rsidR="002664DE">
        <w:rPr>
          <w:rFonts w:cs="Calibri"/>
          <w:lang w:val="en-US"/>
        </w:rPr>
        <w:t xml:space="preserve"> </w:t>
      </w:r>
      <w:r w:rsidR="006C7E1A">
        <w:rPr>
          <w:rFonts w:cs="Calibri"/>
          <w:lang w:val="en-US"/>
        </w:rPr>
        <w:t>Visibility is critical, and there is</w:t>
      </w:r>
      <w:r>
        <w:rPr>
          <w:rFonts w:cs="Calibri"/>
          <w:lang w:val="en-US"/>
        </w:rPr>
        <w:t xml:space="preserve"> room for more effective </w:t>
      </w:r>
      <w:r w:rsidR="00956870">
        <w:rPr>
          <w:rFonts w:cs="Calibri"/>
          <w:lang w:val="en-US"/>
        </w:rPr>
        <w:t xml:space="preserve">communication, education and </w:t>
      </w:r>
      <w:r w:rsidR="009E622A" w:rsidRPr="00AF49D7">
        <w:rPr>
          <w:rFonts w:cs="Calibri"/>
          <w:lang w:val="en-US"/>
        </w:rPr>
        <w:t>public awareness campa</w:t>
      </w:r>
      <w:r w:rsidR="00956870">
        <w:rPr>
          <w:rFonts w:cs="Calibri"/>
          <w:lang w:val="en-US"/>
        </w:rPr>
        <w:t xml:space="preserve">igns to help effect change and promote a culture of respect for SOGII rights. </w:t>
      </w:r>
    </w:p>
    <w:sectPr w:rsidR="001B51C1" w:rsidRPr="00DB66C0" w:rsidSect="00247F6B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4EF33" w14:textId="77777777" w:rsidR="00B37362" w:rsidRDefault="00B37362" w:rsidP="00CB44D6">
      <w:r>
        <w:separator/>
      </w:r>
    </w:p>
  </w:endnote>
  <w:endnote w:type="continuationSeparator" w:id="0">
    <w:p w14:paraId="1DCB1382" w14:textId="77777777" w:rsidR="00B37362" w:rsidRDefault="00B37362" w:rsidP="00CB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16DF6" w14:textId="77777777" w:rsidR="00B37362" w:rsidRDefault="00B37362" w:rsidP="009B7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1BBE53" w14:textId="77777777" w:rsidR="00B37362" w:rsidRDefault="00B37362" w:rsidP="005B787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98CBE" w14:textId="77777777" w:rsidR="00B37362" w:rsidRDefault="00B37362" w:rsidP="009B7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0A3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4D25592" w14:textId="33FE7140" w:rsidR="00B37362" w:rsidRDefault="00B37362" w:rsidP="005B7878">
    <w:pPr>
      <w:pStyle w:val="Footer"/>
      <w:ind w:right="360"/>
    </w:pPr>
    <w:r>
      <w:t>NSW GLRL FEB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0F5C8" w14:textId="77777777" w:rsidR="00B37362" w:rsidRDefault="00B37362" w:rsidP="00CB44D6">
      <w:r>
        <w:separator/>
      </w:r>
    </w:p>
  </w:footnote>
  <w:footnote w:type="continuationSeparator" w:id="0">
    <w:p w14:paraId="311F7CB6" w14:textId="77777777" w:rsidR="00B37362" w:rsidRDefault="00B37362" w:rsidP="00CB44D6">
      <w:r>
        <w:continuationSeparator/>
      </w:r>
    </w:p>
  </w:footnote>
  <w:footnote w:id="1">
    <w:p w14:paraId="08C202F0" w14:textId="711FAE79" w:rsidR="00B37362" w:rsidRPr="002E1561" w:rsidRDefault="00B37362" w:rsidP="00AF49D7">
      <w:pPr>
        <w:pStyle w:val="FootnoteText"/>
        <w:rPr>
          <w:sz w:val="22"/>
          <w:szCs w:val="22"/>
          <w:lang w:val="en-US"/>
        </w:rPr>
      </w:pPr>
      <w:r w:rsidRPr="002E1561">
        <w:rPr>
          <w:rStyle w:val="FootnoteReference"/>
          <w:sz w:val="22"/>
          <w:szCs w:val="22"/>
        </w:rPr>
        <w:footnoteRef/>
      </w:r>
      <w:r w:rsidRPr="002E1561">
        <w:rPr>
          <w:sz w:val="22"/>
          <w:szCs w:val="22"/>
        </w:rPr>
        <w:t xml:space="preserve"> </w:t>
      </w:r>
      <w:r w:rsidRPr="00E16CB4">
        <w:rPr>
          <w:sz w:val="20"/>
          <w:szCs w:val="20"/>
        </w:rPr>
        <w:t>Successive national and local level studies have documented the burden of morbidity and mortality associated with this discrimination, which exerts a significant toll on the health and wellbeing of LGBTI Australians</w:t>
      </w:r>
      <w:r w:rsidRPr="00E16CB4">
        <w:rPr>
          <w:noProof/>
          <w:sz w:val="20"/>
          <w:szCs w:val="20"/>
        </w:rPr>
        <w:t xml:space="preserve"> (Hillier et al., 2010; Leonard et al., 2012; Pallotta-Chiarolli &amp; Martin, 2009). </w:t>
      </w:r>
      <w:r w:rsidRPr="00E16CB4">
        <w:rPr>
          <w:sz w:val="20"/>
          <w:szCs w:val="20"/>
        </w:rPr>
        <w:t>Horner, J. (2013). In their own words: Lesbian, gay, bisexual, trans* and intersex Australians speak about discrimination. Sydney: NSW Gay and Lesbian Rights Lobby, 26.</w:t>
      </w:r>
    </w:p>
  </w:footnote>
  <w:footnote w:id="2">
    <w:p w14:paraId="62288259" w14:textId="77777777" w:rsidR="00B37362" w:rsidRPr="00444ACD" w:rsidRDefault="00B37362" w:rsidP="00444ACD">
      <w:pPr>
        <w:pStyle w:val="FootnoteText"/>
        <w:rPr>
          <w:sz w:val="20"/>
          <w:szCs w:val="20"/>
          <w:lang w:val="en-US"/>
        </w:rPr>
      </w:pPr>
      <w:r w:rsidRPr="00444ACD">
        <w:rPr>
          <w:rStyle w:val="FootnoteReference"/>
          <w:sz w:val="20"/>
          <w:szCs w:val="20"/>
        </w:rPr>
        <w:footnoteRef/>
      </w:r>
      <w:r w:rsidRPr="00444ACD">
        <w:rPr>
          <w:sz w:val="20"/>
          <w:szCs w:val="20"/>
        </w:rPr>
        <w:t xml:space="preserve"> </w:t>
      </w:r>
      <w:r w:rsidRPr="00444ACD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A 2014</w:t>
      </w:r>
      <w:r w:rsidRPr="00444ACD">
        <w:rPr>
          <w:rFonts w:eastAsia="Times New Roman" w:cs="Arial"/>
          <w:color w:val="000000"/>
          <w:sz w:val="20"/>
          <w:szCs w:val="20"/>
          <w:shd w:val="clear" w:color="auto" w:fill="FFFFFF"/>
        </w:rPr>
        <w:t xml:space="preserve"> Crosby Textor poll</w:t>
      </w:r>
      <w:r w:rsidRPr="00444ACD">
        <w:rPr>
          <w:rStyle w:val="FootnoteReference"/>
          <w:rFonts w:eastAsia="Times New Roman" w:cs="Arial"/>
          <w:color w:val="000000"/>
          <w:sz w:val="20"/>
          <w:szCs w:val="20"/>
          <w:shd w:val="clear" w:color="auto" w:fill="FFFFFF"/>
        </w:rPr>
        <w:footnoteRef/>
      </w:r>
      <w:r w:rsidRPr="00444ACD">
        <w:rPr>
          <w:rFonts w:eastAsia="Times New Roman" w:cs="Arial"/>
          <w:color w:val="000000"/>
          <w:sz w:val="20"/>
          <w:szCs w:val="20"/>
          <w:shd w:val="clear" w:color="auto" w:fill="FFFFFF"/>
        </w:rPr>
        <w:t xml:space="preserve">, commissioned by Australian Marriage Equality shows 72% </w:t>
      </w:r>
      <w:r w:rsidRPr="00444ACD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 xml:space="preserve">of Australians </w:t>
      </w:r>
      <w:r w:rsidRPr="00444ACD">
        <w:rPr>
          <w:rFonts w:eastAsia="Times New Roman" w:cs="Arial"/>
          <w:color w:val="000000"/>
          <w:sz w:val="20"/>
          <w:szCs w:val="20"/>
          <w:shd w:val="clear" w:color="auto" w:fill="FFFFFF"/>
        </w:rPr>
        <w:t xml:space="preserve">want same-sex marriage legalised - </w:t>
      </w:r>
      <w:hyperlink r:id="rId1" w:history="1">
        <w:r w:rsidRPr="00444ACD">
          <w:rPr>
            <w:rStyle w:val="Hyperlink"/>
            <w:sz w:val="20"/>
            <w:szCs w:val="20"/>
          </w:rPr>
          <w:t>http://www.crosbytextor.com/news/record-support-for-same-sex-marriage/</w:t>
        </w:r>
      </w:hyperlink>
      <w:r w:rsidRPr="00444ACD">
        <w:rPr>
          <w:rFonts w:eastAsia="Times New Roman" w:cs="Arial"/>
          <w:color w:val="000000"/>
          <w:sz w:val="20"/>
          <w:szCs w:val="20"/>
          <w:shd w:val="clear" w:color="auto" w:fill="FFFFFF"/>
        </w:rPr>
        <w:t>.</w:t>
      </w:r>
    </w:p>
  </w:footnote>
  <w:footnote w:id="3">
    <w:p w14:paraId="15BC11B3" w14:textId="4E66FA22" w:rsidR="00B37362" w:rsidRPr="002C44E6" w:rsidRDefault="00B373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C44E6">
        <w:rPr>
          <w:sz w:val="20"/>
          <w:szCs w:val="20"/>
        </w:rPr>
        <w:t>http://glrl.org.au/index.php/Rights/Parenting/Overview-Lesbian-and-gay-parenting</w:t>
      </w:r>
    </w:p>
  </w:footnote>
  <w:footnote w:id="4">
    <w:p w14:paraId="2F245E0F" w14:textId="6FA30A51" w:rsidR="00B37362" w:rsidRPr="00AE7656" w:rsidRDefault="00B37362" w:rsidP="00AE7656">
      <w:pPr>
        <w:rPr>
          <w:rFonts w:eastAsia="Times New Roman" w:cs="Arial"/>
          <w:color w:val="000000"/>
          <w:sz w:val="20"/>
          <w:szCs w:val="20"/>
          <w:shd w:val="clear" w:color="auto" w:fill="FFFFFF"/>
        </w:rPr>
      </w:pPr>
      <w:r>
        <w:rPr>
          <w:rStyle w:val="FootnoteReference"/>
        </w:rPr>
        <w:footnoteRef/>
      </w:r>
      <w:r>
        <w:t xml:space="preserve"> </w:t>
      </w:r>
      <w:r w:rsidRPr="00593ED3">
        <w:rPr>
          <w:rFonts w:eastAsia="Times New Roman" w:cs="Arial"/>
          <w:color w:val="000000"/>
          <w:sz w:val="20"/>
          <w:szCs w:val="20"/>
          <w:shd w:val="clear" w:color="auto" w:fill="FFFFFF"/>
        </w:rPr>
        <w:t>The American Psychological Association conducted the world's largest sexual orientation-change efficacy</w:t>
      </w:r>
      <w:r w:rsidRPr="00AE7656">
        <w:rPr>
          <w:rFonts w:eastAsia="Times New Roman" w:cs="Arial"/>
          <w:color w:val="000000"/>
          <w:sz w:val="20"/>
          <w:szCs w:val="20"/>
          <w:shd w:val="clear" w:color="auto" w:fill="FFFFFF"/>
        </w:rPr>
        <w:t> </w:t>
      </w:r>
      <w:r w:rsidRPr="00AE7656">
        <w:rPr>
          <w:rFonts w:eastAsia="Times New Roman" w:cs="Times New Roman"/>
          <w:sz w:val="20"/>
          <w:szCs w:val="20"/>
        </w:rPr>
        <w:t>study</w:t>
      </w:r>
      <w:r w:rsidRPr="00593ED3">
        <w:rPr>
          <w:rFonts w:eastAsia="Times New Roman" w:cs="Arial"/>
          <w:color w:val="000000"/>
          <w:sz w:val="20"/>
          <w:szCs w:val="20"/>
          <w:shd w:val="clear" w:color="auto" w:fill="FFFFFF"/>
        </w:rPr>
        <w:t xml:space="preserve"> which found that conversion and reparative interventions caused harmful mental health effects such as increased anxiety, depression, suicidal thoughts and sometimes loss of sexual functions.</w:t>
      </w:r>
      <w:r>
        <w:rPr>
          <w:rFonts w:eastAsia="Times New Roman" w:cs="Arial"/>
          <w:color w:val="000000"/>
          <w:sz w:val="20"/>
          <w:szCs w:val="20"/>
          <w:shd w:val="clear" w:color="auto" w:fill="FFFFFF"/>
        </w:rPr>
        <w:t xml:space="preserve"> </w:t>
      </w:r>
      <w:hyperlink r:id="rId2" w:history="1">
        <w:r w:rsidRPr="00AE7656">
          <w:rPr>
            <w:rStyle w:val="Hyperlink"/>
            <w:rFonts w:eastAsia="Times New Roman" w:cs="Times New Roman"/>
            <w:sz w:val="20"/>
            <w:szCs w:val="20"/>
          </w:rPr>
          <w:t>http://www.apa.org/pi/lgbt/resources/therapeutic-response.pdf</w:t>
        </w:r>
      </w:hyperlink>
    </w:p>
    <w:p w14:paraId="213937A6" w14:textId="77777777" w:rsidR="00B37362" w:rsidRPr="00593ED3" w:rsidRDefault="00B37362" w:rsidP="00AE7656">
      <w:pPr>
        <w:rPr>
          <w:rFonts w:eastAsia="Times New Roman" w:cs="Times New Roman"/>
        </w:rPr>
      </w:pPr>
    </w:p>
    <w:p w14:paraId="15186FE9" w14:textId="7A6F4759" w:rsidR="00B37362" w:rsidRPr="00AE7656" w:rsidRDefault="00B37362">
      <w:pPr>
        <w:pStyle w:val="FootnoteText"/>
        <w:rPr>
          <w:lang w:val="en-US"/>
        </w:rPr>
      </w:pPr>
    </w:p>
  </w:footnote>
  <w:footnote w:id="5">
    <w:p w14:paraId="690F29AE" w14:textId="12E72438" w:rsidR="00B37362" w:rsidRPr="00896F6C" w:rsidRDefault="00B37362">
      <w:pPr>
        <w:pStyle w:val="FootnoteText"/>
      </w:pPr>
      <w:r>
        <w:rPr>
          <w:rStyle w:val="FootnoteReference"/>
        </w:rPr>
        <w:footnoteRef/>
      </w:r>
      <w:hyperlink r:id="rId3" w:history="1">
        <w:r w:rsidRPr="00C7635B">
          <w:rPr>
            <w:rStyle w:val="Hyperlink"/>
            <w:sz w:val="20"/>
            <w:szCs w:val="20"/>
          </w:rPr>
          <w:t>https://www.dss.gov.au/sites/default/files/documents/08_2014/national_ageing_and_aged_care_strategy_lgbti_print_version.pdf</w:t>
        </w:r>
      </w:hyperlink>
      <w:r w:rsidR="00944C50">
        <w:rPr>
          <w:rStyle w:val="Hyperlink"/>
          <w:sz w:val="20"/>
          <w:szCs w:val="20"/>
        </w:rPr>
        <w:t xml:space="preserve">. </w:t>
      </w:r>
    </w:p>
  </w:footnote>
  <w:footnote w:id="6">
    <w:p w14:paraId="7AF27D04" w14:textId="59B30D86" w:rsidR="00B37362" w:rsidRPr="002448AE" w:rsidRDefault="00B37362" w:rsidP="002448A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60"/>
        <w:rPr>
          <w:rFonts w:cs="Times"/>
          <w:color w:val="262626"/>
          <w:sz w:val="20"/>
          <w:szCs w:val="20"/>
          <w:lang w:val="en-US"/>
        </w:rPr>
      </w:pPr>
      <w:r w:rsidRPr="002448AE">
        <w:rPr>
          <w:rStyle w:val="FootnoteReference"/>
          <w:sz w:val="20"/>
          <w:szCs w:val="20"/>
        </w:rPr>
        <w:footnoteRef/>
      </w:r>
      <w:r w:rsidRPr="002448AE">
        <w:rPr>
          <w:sz w:val="20"/>
          <w:szCs w:val="20"/>
        </w:rPr>
        <w:t xml:space="preserve">  </w:t>
      </w:r>
      <w:r w:rsidRPr="002448AE">
        <w:rPr>
          <w:rFonts w:cs="Times"/>
          <w:color w:val="262626"/>
          <w:sz w:val="20"/>
          <w:szCs w:val="20"/>
          <w:lang w:val="en-US"/>
        </w:rPr>
        <w:t xml:space="preserve">ACON Health Outcome Strategy 2013-2018 Mental Health and Wellbeing, pg 2: </w:t>
      </w:r>
      <w:hyperlink r:id="rId4" w:history="1">
        <w:r w:rsidRPr="008A6335">
          <w:rPr>
            <w:rStyle w:val="Hyperlink"/>
            <w:rFonts w:cs="Times"/>
            <w:sz w:val="20"/>
            <w:szCs w:val="20"/>
            <w:lang w:val="en-US"/>
          </w:rPr>
          <w:t>http://www.acon.org.au/sites/default/files/HOS-Mental- Health-2014.pdf</w:t>
        </w:r>
      </w:hyperlink>
    </w:p>
  </w:footnote>
  <w:footnote w:id="7">
    <w:p w14:paraId="44840622" w14:textId="13A7E3FC" w:rsidR="00B37362" w:rsidRPr="00C3648D" w:rsidRDefault="00B3736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3648D">
        <w:rPr>
          <w:sz w:val="20"/>
          <w:szCs w:val="20"/>
          <w:lang w:val="en-US"/>
        </w:rPr>
        <w:t>2015 NSW LGBTI Election Issues Paper, compiled by ACON, NSW GLRL and Positive Life</w:t>
      </w:r>
      <w:r>
        <w:rPr>
          <w:sz w:val="20"/>
          <w:szCs w:val="20"/>
          <w:lang w:val="en-US"/>
        </w:rPr>
        <w:t xml:space="preserve"> p5.</w:t>
      </w:r>
    </w:p>
  </w:footnote>
  <w:footnote w:id="8">
    <w:p w14:paraId="3AE5A06E" w14:textId="164863E5" w:rsidR="00B37362" w:rsidRPr="002C44E6" w:rsidRDefault="00B37362">
      <w:pPr>
        <w:pStyle w:val="FootnoteText"/>
        <w:rPr>
          <w:rFonts w:cs="Times"/>
          <w:color w:val="0000FF"/>
          <w:sz w:val="20"/>
          <w:szCs w:val="20"/>
          <w:u w:val="single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2448AE">
        <w:rPr>
          <w:rFonts w:cs="Times"/>
          <w:color w:val="262626"/>
          <w:sz w:val="20"/>
          <w:szCs w:val="20"/>
          <w:lang w:val="en-US"/>
        </w:rPr>
        <w:t xml:space="preserve">ACON Health Outcome Strategy 2013-2018 Mental Health and Wellbeing, pg 2: </w:t>
      </w:r>
      <w:hyperlink r:id="rId5" w:history="1">
        <w:r w:rsidRPr="008A6335">
          <w:rPr>
            <w:rStyle w:val="Hyperlink"/>
            <w:rFonts w:cs="Times"/>
            <w:sz w:val="20"/>
            <w:szCs w:val="20"/>
            <w:lang w:val="en-US"/>
          </w:rPr>
          <w:t>http://www.acon.org.au/sites/default/files/HOS-Mental- Health-2014.pdf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3BB6DFC"/>
    <w:multiLevelType w:val="hybridMultilevel"/>
    <w:tmpl w:val="3334B766"/>
    <w:lvl w:ilvl="0" w:tplc="0A22FE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B10D2"/>
    <w:multiLevelType w:val="hybridMultilevel"/>
    <w:tmpl w:val="31444BC4"/>
    <w:lvl w:ilvl="0" w:tplc="8BFA66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E1A74"/>
    <w:multiLevelType w:val="hybridMultilevel"/>
    <w:tmpl w:val="2F16BCFE"/>
    <w:lvl w:ilvl="0" w:tplc="ED2C5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01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D4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E0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87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67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C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CC9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B40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0880F84"/>
    <w:multiLevelType w:val="hybridMultilevel"/>
    <w:tmpl w:val="831C53DC"/>
    <w:lvl w:ilvl="0" w:tplc="24AC5D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224DCB"/>
    <w:multiLevelType w:val="hybridMultilevel"/>
    <w:tmpl w:val="346A301E"/>
    <w:lvl w:ilvl="0" w:tplc="30721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59B861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7030A0"/>
      </w:rPr>
    </w:lvl>
    <w:lvl w:ilvl="2" w:tplc="6EF046C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7030A0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5C"/>
    <w:rsid w:val="000338A5"/>
    <w:rsid w:val="00037CCF"/>
    <w:rsid w:val="00054F7B"/>
    <w:rsid w:val="00086719"/>
    <w:rsid w:val="00093EA8"/>
    <w:rsid w:val="000A5DD6"/>
    <w:rsid w:val="000B0EA6"/>
    <w:rsid w:val="000E6A8E"/>
    <w:rsid w:val="000F2069"/>
    <w:rsid w:val="0010535C"/>
    <w:rsid w:val="00120679"/>
    <w:rsid w:val="001238EB"/>
    <w:rsid w:val="00123E2E"/>
    <w:rsid w:val="00145F3E"/>
    <w:rsid w:val="001523D7"/>
    <w:rsid w:val="00152D83"/>
    <w:rsid w:val="00154E2D"/>
    <w:rsid w:val="0017181C"/>
    <w:rsid w:val="00184512"/>
    <w:rsid w:val="0019327D"/>
    <w:rsid w:val="001A45B8"/>
    <w:rsid w:val="001B4E2B"/>
    <w:rsid w:val="001B51C1"/>
    <w:rsid w:val="001E0FDC"/>
    <w:rsid w:val="00206F62"/>
    <w:rsid w:val="00233F57"/>
    <w:rsid w:val="002368C0"/>
    <w:rsid w:val="002448AE"/>
    <w:rsid w:val="00246A46"/>
    <w:rsid w:val="00247F6B"/>
    <w:rsid w:val="00251FA8"/>
    <w:rsid w:val="002664DE"/>
    <w:rsid w:val="002675DE"/>
    <w:rsid w:val="00272AD6"/>
    <w:rsid w:val="00272FBE"/>
    <w:rsid w:val="002761DF"/>
    <w:rsid w:val="00294912"/>
    <w:rsid w:val="002A445D"/>
    <w:rsid w:val="002A537B"/>
    <w:rsid w:val="002B06E8"/>
    <w:rsid w:val="002C2671"/>
    <w:rsid w:val="002C44E6"/>
    <w:rsid w:val="002D0205"/>
    <w:rsid w:val="002D1212"/>
    <w:rsid w:val="002D1B3A"/>
    <w:rsid w:val="002E54B7"/>
    <w:rsid w:val="00330407"/>
    <w:rsid w:val="00342433"/>
    <w:rsid w:val="00362F3D"/>
    <w:rsid w:val="003652DB"/>
    <w:rsid w:val="00365A63"/>
    <w:rsid w:val="003871F5"/>
    <w:rsid w:val="003B37EE"/>
    <w:rsid w:val="003D3BC2"/>
    <w:rsid w:val="003D6408"/>
    <w:rsid w:val="003E6605"/>
    <w:rsid w:val="003F44E2"/>
    <w:rsid w:val="00413374"/>
    <w:rsid w:val="004340BC"/>
    <w:rsid w:val="004346A9"/>
    <w:rsid w:val="00444ACD"/>
    <w:rsid w:val="0044705F"/>
    <w:rsid w:val="00451C5B"/>
    <w:rsid w:val="00456626"/>
    <w:rsid w:val="004575A0"/>
    <w:rsid w:val="0049331C"/>
    <w:rsid w:val="00494A2B"/>
    <w:rsid w:val="00497817"/>
    <w:rsid w:val="004B4278"/>
    <w:rsid w:val="004C0DBC"/>
    <w:rsid w:val="004C55E9"/>
    <w:rsid w:val="004C701E"/>
    <w:rsid w:val="005236EE"/>
    <w:rsid w:val="005342A3"/>
    <w:rsid w:val="00536AFA"/>
    <w:rsid w:val="00546D3E"/>
    <w:rsid w:val="0056555C"/>
    <w:rsid w:val="00587EDB"/>
    <w:rsid w:val="00593ED3"/>
    <w:rsid w:val="005A2BBC"/>
    <w:rsid w:val="005B7878"/>
    <w:rsid w:val="005E6E54"/>
    <w:rsid w:val="005E6F97"/>
    <w:rsid w:val="005F1764"/>
    <w:rsid w:val="006125E6"/>
    <w:rsid w:val="00634AD8"/>
    <w:rsid w:val="00644BC7"/>
    <w:rsid w:val="00650BEE"/>
    <w:rsid w:val="00661149"/>
    <w:rsid w:val="00683C59"/>
    <w:rsid w:val="00690EEE"/>
    <w:rsid w:val="006C7E1A"/>
    <w:rsid w:val="006D4C87"/>
    <w:rsid w:val="006D7613"/>
    <w:rsid w:val="006E4FC3"/>
    <w:rsid w:val="0071314C"/>
    <w:rsid w:val="00720FC6"/>
    <w:rsid w:val="00724789"/>
    <w:rsid w:val="00744E8A"/>
    <w:rsid w:val="0077307D"/>
    <w:rsid w:val="00775C69"/>
    <w:rsid w:val="00775CE1"/>
    <w:rsid w:val="00781132"/>
    <w:rsid w:val="007B2A25"/>
    <w:rsid w:val="007C3FBD"/>
    <w:rsid w:val="007E47FC"/>
    <w:rsid w:val="007F1433"/>
    <w:rsid w:val="00803FCA"/>
    <w:rsid w:val="00810156"/>
    <w:rsid w:val="00830BDD"/>
    <w:rsid w:val="008744A5"/>
    <w:rsid w:val="00875FA8"/>
    <w:rsid w:val="0089144B"/>
    <w:rsid w:val="00893448"/>
    <w:rsid w:val="00896F6C"/>
    <w:rsid w:val="008B199A"/>
    <w:rsid w:val="008B6483"/>
    <w:rsid w:val="008C187F"/>
    <w:rsid w:val="008D1B51"/>
    <w:rsid w:val="008F22DA"/>
    <w:rsid w:val="008F2952"/>
    <w:rsid w:val="00944C50"/>
    <w:rsid w:val="00956870"/>
    <w:rsid w:val="0096032D"/>
    <w:rsid w:val="009A0581"/>
    <w:rsid w:val="009B0955"/>
    <w:rsid w:val="009B7F0A"/>
    <w:rsid w:val="009E3AB0"/>
    <w:rsid w:val="009E622A"/>
    <w:rsid w:val="009F2BA4"/>
    <w:rsid w:val="009F4FDF"/>
    <w:rsid w:val="009F63C8"/>
    <w:rsid w:val="00A005AD"/>
    <w:rsid w:val="00A05445"/>
    <w:rsid w:val="00A147B3"/>
    <w:rsid w:val="00A274A7"/>
    <w:rsid w:val="00A33EBC"/>
    <w:rsid w:val="00A6655B"/>
    <w:rsid w:val="00A76394"/>
    <w:rsid w:val="00A94041"/>
    <w:rsid w:val="00AB2AEC"/>
    <w:rsid w:val="00AD632D"/>
    <w:rsid w:val="00AE7656"/>
    <w:rsid w:val="00AF0A39"/>
    <w:rsid w:val="00AF49D7"/>
    <w:rsid w:val="00B00D2B"/>
    <w:rsid w:val="00B067B6"/>
    <w:rsid w:val="00B16ABA"/>
    <w:rsid w:val="00B37362"/>
    <w:rsid w:val="00B61218"/>
    <w:rsid w:val="00B64CB7"/>
    <w:rsid w:val="00B76216"/>
    <w:rsid w:val="00B81754"/>
    <w:rsid w:val="00BB084A"/>
    <w:rsid w:val="00BC1716"/>
    <w:rsid w:val="00BD316A"/>
    <w:rsid w:val="00BE5D9C"/>
    <w:rsid w:val="00BE73B7"/>
    <w:rsid w:val="00C030F9"/>
    <w:rsid w:val="00C34E30"/>
    <w:rsid w:val="00C3648D"/>
    <w:rsid w:val="00C37E65"/>
    <w:rsid w:val="00C43744"/>
    <w:rsid w:val="00C7635B"/>
    <w:rsid w:val="00C76E20"/>
    <w:rsid w:val="00C77DAD"/>
    <w:rsid w:val="00CB44D6"/>
    <w:rsid w:val="00CC5AB1"/>
    <w:rsid w:val="00CC7EE3"/>
    <w:rsid w:val="00CD5097"/>
    <w:rsid w:val="00CE6EB9"/>
    <w:rsid w:val="00CF6A10"/>
    <w:rsid w:val="00CF7841"/>
    <w:rsid w:val="00CF7E6D"/>
    <w:rsid w:val="00D07E02"/>
    <w:rsid w:val="00D422B9"/>
    <w:rsid w:val="00D625F3"/>
    <w:rsid w:val="00D74FE8"/>
    <w:rsid w:val="00D83C40"/>
    <w:rsid w:val="00D90143"/>
    <w:rsid w:val="00D96B67"/>
    <w:rsid w:val="00D96EA8"/>
    <w:rsid w:val="00DB533E"/>
    <w:rsid w:val="00DB66C0"/>
    <w:rsid w:val="00DD1F62"/>
    <w:rsid w:val="00DD785F"/>
    <w:rsid w:val="00E0720C"/>
    <w:rsid w:val="00E100A2"/>
    <w:rsid w:val="00E16CB4"/>
    <w:rsid w:val="00E26B72"/>
    <w:rsid w:val="00E35D8A"/>
    <w:rsid w:val="00E545A5"/>
    <w:rsid w:val="00E72E5A"/>
    <w:rsid w:val="00E77410"/>
    <w:rsid w:val="00E807AE"/>
    <w:rsid w:val="00E831CF"/>
    <w:rsid w:val="00E90025"/>
    <w:rsid w:val="00E91132"/>
    <w:rsid w:val="00E921D9"/>
    <w:rsid w:val="00E949F8"/>
    <w:rsid w:val="00EA1B48"/>
    <w:rsid w:val="00EA5BAD"/>
    <w:rsid w:val="00EB1E38"/>
    <w:rsid w:val="00EC6EC5"/>
    <w:rsid w:val="00EF0A3C"/>
    <w:rsid w:val="00F21153"/>
    <w:rsid w:val="00F5621F"/>
    <w:rsid w:val="00F83FEA"/>
    <w:rsid w:val="00F90A2B"/>
    <w:rsid w:val="00F961ED"/>
    <w:rsid w:val="00FC33F8"/>
    <w:rsid w:val="00FE20BA"/>
    <w:rsid w:val="00FE25AB"/>
    <w:rsid w:val="00FF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83ED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6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4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31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itle">
    <w:name w:val="Main Title"/>
    <w:qFormat/>
    <w:rsid w:val="0056555C"/>
    <w:pPr>
      <w:spacing w:line="740" w:lineRule="exact"/>
      <w:contextualSpacing/>
      <w:jc w:val="right"/>
    </w:pPr>
    <w:rPr>
      <w:rFonts w:ascii="Arial" w:eastAsia="Times New Roman" w:hAnsi="Arial" w:cs="Times New Roman"/>
      <w:bCs/>
      <w:color w:val="237BBC"/>
      <w:kern w:val="32"/>
      <w:sz w:val="5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34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346A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CB44D6"/>
    <w:rPr>
      <w:rFonts w:eastAsia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44D6"/>
    <w:rPr>
      <w:rFonts w:eastAsiaTheme="minorHAnsi"/>
    </w:rPr>
  </w:style>
  <w:style w:type="character" w:styleId="FootnoteReference">
    <w:name w:val="footnote reference"/>
    <w:basedOn w:val="DefaultParagraphFont"/>
    <w:uiPriority w:val="99"/>
    <w:unhideWhenUsed/>
    <w:rsid w:val="00CB44D6"/>
    <w:rPr>
      <w:vertAlign w:val="superscript"/>
    </w:rPr>
  </w:style>
  <w:style w:type="character" w:customStyle="1" w:styleId="apple-converted-space">
    <w:name w:val="apple-converted-space"/>
    <w:basedOn w:val="DefaultParagraphFont"/>
    <w:rsid w:val="00B16ABA"/>
  </w:style>
  <w:style w:type="paragraph" w:styleId="ListParagraph">
    <w:name w:val="List Paragraph"/>
    <w:basedOn w:val="Normal"/>
    <w:uiPriority w:val="34"/>
    <w:qFormat/>
    <w:rsid w:val="002A53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3ED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131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2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A3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7621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9331C"/>
  </w:style>
  <w:style w:type="paragraph" w:styleId="Footer">
    <w:name w:val="footer"/>
    <w:basedOn w:val="Normal"/>
    <w:link w:val="FooterChar"/>
    <w:uiPriority w:val="99"/>
    <w:unhideWhenUsed/>
    <w:rsid w:val="005B78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78"/>
  </w:style>
  <w:style w:type="character" w:styleId="PageNumber">
    <w:name w:val="page number"/>
    <w:basedOn w:val="DefaultParagraphFont"/>
    <w:uiPriority w:val="99"/>
    <w:semiHidden/>
    <w:unhideWhenUsed/>
    <w:rsid w:val="005B7878"/>
  </w:style>
  <w:style w:type="paragraph" w:styleId="Header">
    <w:name w:val="header"/>
    <w:basedOn w:val="Normal"/>
    <w:link w:val="HeaderChar"/>
    <w:uiPriority w:val="99"/>
    <w:unhideWhenUsed/>
    <w:rsid w:val="005B78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6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4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31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itle">
    <w:name w:val="Main Title"/>
    <w:qFormat/>
    <w:rsid w:val="0056555C"/>
    <w:pPr>
      <w:spacing w:line="740" w:lineRule="exact"/>
      <w:contextualSpacing/>
      <w:jc w:val="right"/>
    </w:pPr>
    <w:rPr>
      <w:rFonts w:ascii="Arial" w:eastAsia="Times New Roman" w:hAnsi="Arial" w:cs="Times New Roman"/>
      <w:bCs/>
      <w:color w:val="237BBC"/>
      <w:kern w:val="32"/>
      <w:sz w:val="5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34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346A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CB44D6"/>
    <w:rPr>
      <w:rFonts w:eastAsia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44D6"/>
    <w:rPr>
      <w:rFonts w:eastAsiaTheme="minorHAnsi"/>
    </w:rPr>
  </w:style>
  <w:style w:type="character" w:styleId="FootnoteReference">
    <w:name w:val="footnote reference"/>
    <w:basedOn w:val="DefaultParagraphFont"/>
    <w:uiPriority w:val="99"/>
    <w:unhideWhenUsed/>
    <w:rsid w:val="00CB44D6"/>
    <w:rPr>
      <w:vertAlign w:val="superscript"/>
    </w:rPr>
  </w:style>
  <w:style w:type="character" w:customStyle="1" w:styleId="apple-converted-space">
    <w:name w:val="apple-converted-space"/>
    <w:basedOn w:val="DefaultParagraphFont"/>
    <w:rsid w:val="00B16ABA"/>
  </w:style>
  <w:style w:type="paragraph" w:styleId="ListParagraph">
    <w:name w:val="List Paragraph"/>
    <w:basedOn w:val="Normal"/>
    <w:uiPriority w:val="34"/>
    <w:qFormat/>
    <w:rsid w:val="002A53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3ED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131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2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A3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7621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9331C"/>
  </w:style>
  <w:style w:type="paragraph" w:styleId="Footer">
    <w:name w:val="footer"/>
    <w:basedOn w:val="Normal"/>
    <w:link w:val="FooterChar"/>
    <w:uiPriority w:val="99"/>
    <w:unhideWhenUsed/>
    <w:rsid w:val="005B78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78"/>
  </w:style>
  <w:style w:type="character" w:styleId="PageNumber">
    <w:name w:val="page number"/>
    <w:basedOn w:val="DefaultParagraphFont"/>
    <w:uiPriority w:val="99"/>
    <w:semiHidden/>
    <w:unhideWhenUsed/>
    <w:rsid w:val="005B7878"/>
  </w:style>
  <w:style w:type="paragraph" w:styleId="Header">
    <w:name w:val="header"/>
    <w:basedOn w:val="Normal"/>
    <w:link w:val="HeaderChar"/>
    <w:uiPriority w:val="99"/>
    <w:unhideWhenUsed/>
    <w:rsid w:val="005B78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ss.gov.au/sites/default/files/documents/08_2014/national_ageing_and_aged_care_strategy_lgbti_print_version.pdf" TargetMode="External"/><Relationship Id="rId2" Type="http://schemas.openxmlformats.org/officeDocument/2006/relationships/hyperlink" Target="http://www.apa.org/pi/lgbt/resources/therapeutic-response.pdf" TargetMode="External"/><Relationship Id="rId1" Type="http://schemas.openxmlformats.org/officeDocument/2006/relationships/hyperlink" Target="http://www.crosbytextor.com/news/record-support-for-same-sex-marriage/" TargetMode="External"/><Relationship Id="rId5" Type="http://schemas.openxmlformats.org/officeDocument/2006/relationships/hyperlink" Target="http://www.acon.org.au/sites/default/files/HOS-Mental-%20Health-2014.pdf" TargetMode="External"/><Relationship Id="rId4" Type="http://schemas.openxmlformats.org/officeDocument/2006/relationships/hyperlink" Target="http://www.acon.org.au/sites/default/files/HOS-Mental-%20Health-20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1152</Words>
  <Characters>6571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KEE</dc:creator>
  <cp:lastModifiedBy>Simone Guirguis</cp:lastModifiedBy>
  <cp:revision>2</cp:revision>
  <dcterms:created xsi:type="dcterms:W3CDTF">2015-02-10T05:09:00Z</dcterms:created>
  <dcterms:modified xsi:type="dcterms:W3CDTF">2015-02-10T05:09:00Z</dcterms:modified>
</cp:coreProperties>
</file>