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091ED" w14:textId="15E9B2DA" w:rsidR="003B350D" w:rsidRPr="00000D4E" w:rsidRDefault="00110966" w:rsidP="003B350D">
      <w:pPr>
        <w:spacing w:before="0" w:after="0"/>
        <w:rPr>
          <w:rFonts w:ascii="Open Sans" w:hAnsi="Open Sans" w:cs="Open Sans"/>
        </w:rPr>
      </w:pPr>
      <w:bookmarkStart w:id="0" w:name="_GoBack"/>
      <w:bookmarkEnd w:id="0"/>
      <w:r>
        <w:rPr>
          <w:rFonts w:ascii="Open Sans" w:hAnsi="Open Sans" w:cs="Open Sans"/>
        </w:rPr>
        <w:t>2</w:t>
      </w:r>
      <w:r w:rsidR="003B350D" w:rsidRPr="00000D4E">
        <w:rPr>
          <w:rFonts w:ascii="Open Sans" w:hAnsi="Open Sans" w:cs="Open Sans"/>
        </w:rPr>
        <w:t xml:space="preserve"> </w:t>
      </w:r>
      <w:r w:rsidR="001C14DD" w:rsidRPr="00000D4E">
        <w:rPr>
          <w:rFonts w:ascii="Open Sans" w:hAnsi="Open Sans" w:cs="Open Sans"/>
        </w:rPr>
        <w:t>Octo</w:t>
      </w:r>
      <w:r w:rsidR="000C6EEE" w:rsidRPr="00000D4E">
        <w:rPr>
          <w:rFonts w:ascii="Open Sans" w:hAnsi="Open Sans" w:cs="Open Sans"/>
        </w:rPr>
        <w:t>ber</w:t>
      </w:r>
      <w:r w:rsidR="000034FC" w:rsidRPr="00000D4E">
        <w:rPr>
          <w:rFonts w:ascii="Open Sans" w:hAnsi="Open Sans" w:cs="Open Sans"/>
        </w:rPr>
        <w:t xml:space="preserve"> </w:t>
      </w:r>
      <w:r w:rsidR="00762EC4" w:rsidRPr="00000D4E">
        <w:rPr>
          <w:rFonts w:ascii="Open Sans" w:hAnsi="Open Sans" w:cs="Open Sans"/>
        </w:rPr>
        <w:t>201</w:t>
      </w:r>
      <w:r w:rsidR="000C6EEE" w:rsidRPr="00000D4E">
        <w:rPr>
          <w:rFonts w:ascii="Open Sans" w:hAnsi="Open Sans" w:cs="Open Sans"/>
        </w:rPr>
        <w:t>9</w:t>
      </w:r>
    </w:p>
    <w:p w14:paraId="529D5555" w14:textId="77777777" w:rsidR="00000D4E" w:rsidRPr="00000D4E" w:rsidRDefault="00000D4E" w:rsidP="003B350D">
      <w:pPr>
        <w:spacing w:before="0" w:after="0"/>
        <w:rPr>
          <w:rFonts w:ascii="Open Sans" w:hAnsi="Open Sans" w:cs="Open Sans"/>
        </w:rPr>
      </w:pPr>
    </w:p>
    <w:p w14:paraId="6308143D" w14:textId="57D94972" w:rsidR="003B350D" w:rsidRDefault="003B350D" w:rsidP="00ED17B8">
      <w:pPr>
        <w:spacing w:before="0" w:after="0"/>
        <w:rPr>
          <w:rFonts w:ascii="Open Sans" w:hAnsi="Open Sans" w:cs="Open Sans"/>
        </w:rPr>
      </w:pPr>
      <w:r w:rsidRPr="00000D4E">
        <w:rPr>
          <w:rFonts w:ascii="Open Sans" w:hAnsi="Open Sans" w:cs="Open Sans"/>
          <w:lang w:val="en"/>
        </w:rPr>
        <w:t>Committee Secretary</w:t>
      </w:r>
      <w:r w:rsidRPr="00000D4E">
        <w:rPr>
          <w:rFonts w:ascii="Open Sans" w:hAnsi="Open Sans" w:cs="Open Sans"/>
          <w:lang w:val="en"/>
        </w:rPr>
        <w:br/>
        <w:t>Senate Standing Committees on Community Affairs</w:t>
      </w:r>
      <w:r w:rsidRPr="00000D4E">
        <w:rPr>
          <w:rFonts w:ascii="Open Sans" w:hAnsi="Open Sans" w:cs="Open Sans"/>
          <w:lang w:val="en"/>
        </w:rPr>
        <w:br/>
        <w:t>PO Box 6100</w:t>
      </w:r>
      <w:r w:rsidRPr="00000D4E">
        <w:rPr>
          <w:rFonts w:ascii="Open Sans" w:hAnsi="Open Sans" w:cs="Open Sans"/>
          <w:lang w:val="en"/>
        </w:rPr>
        <w:br/>
        <w:t>Parliament House</w:t>
      </w:r>
      <w:r w:rsidRPr="00000D4E">
        <w:rPr>
          <w:rFonts w:ascii="Open Sans" w:hAnsi="Open Sans" w:cs="Open Sans"/>
          <w:lang w:val="en"/>
        </w:rPr>
        <w:br/>
        <w:t>Canberra ACT 2600</w:t>
      </w:r>
    </w:p>
    <w:p w14:paraId="45E38C3B" w14:textId="77777777" w:rsidR="00ED17B8" w:rsidRPr="00000D4E" w:rsidRDefault="00ED17B8" w:rsidP="00ED17B8">
      <w:pPr>
        <w:spacing w:before="0" w:after="0"/>
        <w:rPr>
          <w:rFonts w:ascii="Open Sans" w:hAnsi="Open Sans" w:cs="Open Sans"/>
        </w:rPr>
      </w:pPr>
    </w:p>
    <w:p w14:paraId="47FD5DDF" w14:textId="77777777" w:rsidR="003B350D" w:rsidRPr="00000D4E" w:rsidRDefault="003B350D" w:rsidP="003B350D">
      <w:pPr>
        <w:spacing w:before="0"/>
        <w:rPr>
          <w:rFonts w:ascii="Open Sans" w:hAnsi="Open Sans" w:cs="Open Sans"/>
        </w:rPr>
      </w:pPr>
      <w:r w:rsidRPr="00000D4E">
        <w:rPr>
          <w:rFonts w:ascii="Open Sans" w:hAnsi="Open Sans" w:cs="Open Sans"/>
        </w:rPr>
        <w:t xml:space="preserve">By email: </w:t>
      </w:r>
      <w:hyperlink r:id="rId8" w:history="1">
        <w:r w:rsidRPr="00000D4E">
          <w:rPr>
            <w:rStyle w:val="Hyperlink"/>
            <w:rFonts w:ascii="Open Sans" w:hAnsi="Open Sans" w:cs="Open Sans"/>
            <w:lang w:val="en"/>
          </w:rPr>
          <w:t>community.affairs.sen@aph.gov.au</w:t>
        </w:r>
      </w:hyperlink>
      <w:r w:rsidRPr="00000D4E">
        <w:rPr>
          <w:rFonts w:ascii="Open Sans" w:hAnsi="Open Sans" w:cs="Open Sans"/>
          <w:lang w:val="en"/>
        </w:rPr>
        <w:t xml:space="preserve"> </w:t>
      </w:r>
    </w:p>
    <w:p w14:paraId="5E071B90" w14:textId="77777777" w:rsidR="003B350D" w:rsidRPr="00000D4E" w:rsidRDefault="003B350D" w:rsidP="003B350D">
      <w:pPr>
        <w:spacing w:before="0"/>
        <w:rPr>
          <w:rFonts w:ascii="Open Sans" w:hAnsi="Open Sans" w:cs="Open Sans"/>
        </w:rPr>
      </w:pPr>
      <w:r w:rsidRPr="00000D4E">
        <w:rPr>
          <w:rFonts w:ascii="Open Sans" w:hAnsi="Open Sans" w:cs="Open Sans"/>
        </w:rPr>
        <w:t>Dear Secretary</w:t>
      </w:r>
    </w:p>
    <w:p w14:paraId="51B93E33" w14:textId="635E5A46" w:rsidR="003B350D" w:rsidRPr="00000D4E" w:rsidRDefault="003B350D" w:rsidP="003B350D">
      <w:pPr>
        <w:rPr>
          <w:rFonts w:ascii="Open Sans" w:hAnsi="Open Sans" w:cs="Open Sans"/>
          <w:b/>
        </w:rPr>
      </w:pPr>
      <w:bookmarkStart w:id="1" w:name="_Hlk19796995"/>
      <w:r w:rsidRPr="00000D4E">
        <w:rPr>
          <w:rFonts w:ascii="Open Sans" w:hAnsi="Open Sans" w:cs="Open Sans"/>
          <w:b/>
        </w:rPr>
        <w:t xml:space="preserve">Senate inquiry into </w:t>
      </w:r>
      <w:r w:rsidR="00974C1E" w:rsidRPr="00000D4E">
        <w:rPr>
          <w:rFonts w:ascii="Open Sans" w:hAnsi="Open Sans" w:cs="Open Sans"/>
          <w:b/>
        </w:rPr>
        <w:t>Social Security (Administration) Amendment (Income Management to Cashless Debit Card Transition) Bill 2019</w:t>
      </w:r>
    </w:p>
    <w:bookmarkEnd w:id="1"/>
    <w:p w14:paraId="4A941107" w14:textId="048EE457" w:rsidR="003B350D" w:rsidRPr="00000D4E" w:rsidRDefault="003B350D" w:rsidP="003B350D">
      <w:pPr>
        <w:spacing w:before="0" w:after="0"/>
        <w:rPr>
          <w:rFonts w:ascii="Open Sans" w:hAnsi="Open Sans" w:cs="Open Sans"/>
        </w:rPr>
      </w:pPr>
      <w:r w:rsidRPr="00000D4E">
        <w:rPr>
          <w:rFonts w:ascii="Open Sans" w:hAnsi="Open Sans" w:cs="Open Sans"/>
        </w:rPr>
        <w:t>The Commission welcomes the opportunity to make comments to the Senate Affairs Legislation Committee</w:t>
      </w:r>
      <w:r w:rsidR="0081099D" w:rsidRPr="00000D4E">
        <w:rPr>
          <w:rFonts w:ascii="Open Sans" w:hAnsi="Open Sans" w:cs="Open Sans"/>
        </w:rPr>
        <w:t xml:space="preserve"> </w:t>
      </w:r>
      <w:r w:rsidRPr="00000D4E">
        <w:rPr>
          <w:rFonts w:ascii="Open Sans" w:hAnsi="Open Sans" w:cs="Open Sans"/>
        </w:rPr>
        <w:t>in relation to the above inquiry.</w:t>
      </w:r>
    </w:p>
    <w:p w14:paraId="2D5E25F7" w14:textId="77777777" w:rsidR="003B350D" w:rsidRPr="00000D4E" w:rsidRDefault="003B350D" w:rsidP="003B350D">
      <w:pPr>
        <w:spacing w:before="0" w:after="0"/>
        <w:rPr>
          <w:rFonts w:ascii="Open Sans" w:hAnsi="Open Sans" w:cs="Open Sans"/>
        </w:rPr>
      </w:pPr>
    </w:p>
    <w:p w14:paraId="76DF9D73" w14:textId="0AABC4B1" w:rsidR="00EB5292" w:rsidRPr="00000D4E" w:rsidRDefault="003B350D" w:rsidP="000034FC">
      <w:pPr>
        <w:pStyle w:val="Default"/>
        <w:rPr>
          <w:rFonts w:ascii="Open Sans" w:hAnsi="Open Sans" w:cs="Open Sans"/>
        </w:rPr>
      </w:pPr>
      <w:r w:rsidRPr="00000D4E">
        <w:rPr>
          <w:rFonts w:ascii="Open Sans" w:hAnsi="Open Sans" w:cs="Open Sans"/>
        </w:rPr>
        <w:t>The</w:t>
      </w:r>
      <w:r w:rsidR="009357FA" w:rsidRPr="00000D4E">
        <w:rPr>
          <w:rFonts w:ascii="Open Sans" w:hAnsi="Open Sans" w:cs="Open Sans"/>
        </w:rPr>
        <w:t xml:space="preserve"> </w:t>
      </w:r>
      <w:bookmarkStart w:id="2" w:name="_Hlk19799967"/>
      <w:r w:rsidR="00974C1E" w:rsidRPr="00000D4E">
        <w:rPr>
          <w:rFonts w:ascii="Open Sans" w:hAnsi="Open Sans" w:cs="Open Sans"/>
        </w:rPr>
        <w:t>Social Security (Administration) Amendment (Income Management to Cashless Debit Card Transition) Bill 2019</w:t>
      </w:r>
      <w:bookmarkEnd w:id="2"/>
      <w:r w:rsidR="00B37539">
        <w:rPr>
          <w:rFonts w:ascii="Open Sans" w:hAnsi="Open Sans" w:cs="Open Sans"/>
        </w:rPr>
        <w:t xml:space="preserve"> seeks to</w:t>
      </w:r>
      <w:r w:rsidR="00EB5292" w:rsidRPr="00000D4E">
        <w:rPr>
          <w:rFonts w:ascii="Open Sans" w:hAnsi="Open Sans" w:cs="Open Sans"/>
        </w:rPr>
        <w:t>:</w:t>
      </w:r>
    </w:p>
    <w:p w14:paraId="25A4E567" w14:textId="77777777" w:rsidR="00EB5292" w:rsidRPr="00000D4E" w:rsidRDefault="00EB5292" w:rsidP="000034FC">
      <w:pPr>
        <w:pStyle w:val="Default"/>
        <w:rPr>
          <w:rFonts w:ascii="Open Sans" w:hAnsi="Open Sans" w:cs="Open Sans"/>
        </w:rPr>
      </w:pPr>
    </w:p>
    <w:p w14:paraId="12939066" w14:textId="3F681DBC" w:rsidR="00974C1E" w:rsidRPr="00000D4E" w:rsidRDefault="00974C1E" w:rsidP="00EB5292">
      <w:pPr>
        <w:pStyle w:val="Default"/>
        <w:numPr>
          <w:ilvl w:val="0"/>
          <w:numId w:val="6"/>
        </w:numPr>
        <w:rPr>
          <w:rFonts w:ascii="Open Sans" w:hAnsi="Open Sans" w:cs="Open Sans"/>
        </w:rPr>
      </w:pPr>
      <w:r w:rsidRPr="00000D4E">
        <w:rPr>
          <w:rFonts w:ascii="Open Sans" w:hAnsi="Open Sans" w:cs="Open Sans"/>
        </w:rPr>
        <w:t xml:space="preserve">extend the end date for existing </w:t>
      </w:r>
      <w:r w:rsidR="00EB5292" w:rsidRPr="00000D4E">
        <w:rPr>
          <w:rFonts w:ascii="Open Sans" w:hAnsi="Open Sans" w:cs="Open Sans"/>
        </w:rPr>
        <w:t>cashless debit card</w:t>
      </w:r>
      <w:r w:rsidRPr="00000D4E">
        <w:rPr>
          <w:rFonts w:ascii="Open Sans" w:hAnsi="Open Sans" w:cs="Open Sans"/>
        </w:rPr>
        <w:t xml:space="preserve"> trial areas from 30 June 2020 to 30 June 2021 and establish an end date for the </w:t>
      </w:r>
      <w:r w:rsidR="00EB5292" w:rsidRPr="00000D4E">
        <w:rPr>
          <w:rFonts w:ascii="Open Sans" w:hAnsi="Open Sans" w:cs="Open Sans"/>
        </w:rPr>
        <w:t>cashless debit card</w:t>
      </w:r>
      <w:r w:rsidRPr="00000D4E">
        <w:rPr>
          <w:rFonts w:ascii="Open Sans" w:hAnsi="Open Sans" w:cs="Open Sans"/>
        </w:rPr>
        <w:t xml:space="preserve"> trial in the Cape York area of 31 December 2021</w:t>
      </w:r>
      <w:r w:rsidR="00EB5292" w:rsidRPr="00000D4E">
        <w:rPr>
          <w:rFonts w:ascii="Open Sans" w:hAnsi="Open Sans" w:cs="Open Sans"/>
        </w:rPr>
        <w:t>;</w:t>
      </w:r>
    </w:p>
    <w:p w14:paraId="32EC1E15" w14:textId="77777777" w:rsidR="0057510C" w:rsidRPr="00000D4E" w:rsidRDefault="0057510C" w:rsidP="0057510C">
      <w:pPr>
        <w:pStyle w:val="Default"/>
        <w:ind w:left="792"/>
        <w:rPr>
          <w:rFonts w:ascii="Open Sans" w:hAnsi="Open Sans" w:cs="Open Sans"/>
        </w:rPr>
      </w:pPr>
    </w:p>
    <w:p w14:paraId="70A350BF" w14:textId="38F54B82" w:rsidR="00EB5292" w:rsidRPr="00000D4E" w:rsidRDefault="00EB5292" w:rsidP="00EB5292">
      <w:pPr>
        <w:pStyle w:val="Default"/>
        <w:numPr>
          <w:ilvl w:val="0"/>
          <w:numId w:val="6"/>
        </w:numPr>
        <w:rPr>
          <w:rFonts w:ascii="Open Sans" w:hAnsi="Open Sans" w:cs="Open Sans"/>
        </w:rPr>
      </w:pPr>
      <w:r w:rsidRPr="00000D4E">
        <w:rPr>
          <w:rFonts w:ascii="Open Sans" w:hAnsi="Open Sans" w:cs="Open Sans"/>
        </w:rPr>
        <w:t xml:space="preserve">remove the cap on the number of CDC trial participants; </w:t>
      </w:r>
    </w:p>
    <w:p w14:paraId="7DB9D0A0" w14:textId="77777777" w:rsidR="0057510C" w:rsidRPr="00000D4E" w:rsidRDefault="0057510C" w:rsidP="0057510C">
      <w:pPr>
        <w:pStyle w:val="Default"/>
        <w:rPr>
          <w:rFonts w:ascii="Open Sans" w:hAnsi="Open Sans" w:cs="Open Sans"/>
        </w:rPr>
      </w:pPr>
    </w:p>
    <w:p w14:paraId="2B78E790" w14:textId="355E806F" w:rsidR="00EB5292" w:rsidRPr="00000D4E" w:rsidRDefault="00EB5292" w:rsidP="00EB5292">
      <w:pPr>
        <w:pStyle w:val="Default"/>
        <w:numPr>
          <w:ilvl w:val="0"/>
          <w:numId w:val="6"/>
        </w:numPr>
        <w:rPr>
          <w:rFonts w:ascii="Open Sans" w:hAnsi="Open Sans" w:cs="Open Sans"/>
        </w:rPr>
      </w:pPr>
      <w:r w:rsidRPr="00000D4E">
        <w:rPr>
          <w:rFonts w:ascii="Open Sans" w:hAnsi="Open Sans" w:cs="Open Sans"/>
        </w:rPr>
        <w:t>remove the exclusion to allow people in the Bundaberg and Hervey Bay trial area to be able to voluntarily participate in the CDC trial;</w:t>
      </w:r>
    </w:p>
    <w:p w14:paraId="54985724" w14:textId="77777777" w:rsidR="0057510C" w:rsidRPr="00000D4E" w:rsidRDefault="0057510C" w:rsidP="0057510C">
      <w:pPr>
        <w:pStyle w:val="Default"/>
        <w:rPr>
          <w:rFonts w:ascii="Open Sans" w:hAnsi="Open Sans" w:cs="Open Sans"/>
        </w:rPr>
      </w:pPr>
    </w:p>
    <w:p w14:paraId="6FB9D402" w14:textId="0205FBDF" w:rsidR="00EB5292" w:rsidRPr="00000D4E" w:rsidRDefault="00EB5292" w:rsidP="00EB5292">
      <w:pPr>
        <w:pStyle w:val="Default"/>
        <w:numPr>
          <w:ilvl w:val="0"/>
          <w:numId w:val="6"/>
        </w:numPr>
        <w:rPr>
          <w:rFonts w:ascii="Open Sans" w:hAnsi="Open Sans" w:cs="Open Sans"/>
        </w:rPr>
      </w:pPr>
      <w:r w:rsidRPr="00000D4E">
        <w:rPr>
          <w:rFonts w:ascii="Open Sans" w:hAnsi="Open Sans" w:cs="Open Sans"/>
        </w:rPr>
        <w:t>establish the NT and Cape York area as CDC trial areas and transitions IM participants in these areas onto the CDC trial in 2020;</w:t>
      </w:r>
    </w:p>
    <w:p w14:paraId="07D3F48B" w14:textId="77777777" w:rsidR="0057510C" w:rsidRPr="00000D4E" w:rsidRDefault="0057510C" w:rsidP="0057510C">
      <w:pPr>
        <w:pStyle w:val="Default"/>
        <w:rPr>
          <w:rFonts w:ascii="Open Sans" w:hAnsi="Open Sans" w:cs="Open Sans"/>
        </w:rPr>
      </w:pPr>
    </w:p>
    <w:p w14:paraId="0850E9AB" w14:textId="3A9C52CF" w:rsidR="00EB5292" w:rsidRPr="00000D4E" w:rsidRDefault="00EB5292" w:rsidP="00EB5292">
      <w:pPr>
        <w:pStyle w:val="Default"/>
        <w:numPr>
          <w:ilvl w:val="0"/>
          <w:numId w:val="6"/>
        </w:numPr>
        <w:rPr>
          <w:rFonts w:ascii="Open Sans" w:hAnsi="Open Sans" w:cs="Open Sans"/>
        </w:rPr>
      </w:pPr>
      <w:r w:rsidRPr="00000D4E">
        <w:rPr>
          <w:rFonts w:ascii="Open Sans" w:hAnsi="Open Sans" w:cs="Open Sans"/>
        </w:rPr>
        <w:t xml:space="preserve">enable the Secretary to advise a community body when a person has exited the CDC trial; and </w:t>
      </w:r>
    </w:p>
    <w:p w14:paraId="14470900" w14:textId="77777777" w:rsidR="0057510C" w:rsidRPr="00000D4E" w:rsidRDefault="0057510C" w:rsidP="0057510C">
      <w:pPr>
        <w:pStyle w:val="Default"/>
        <w:rPr>
          <w:rFonts w:ascii="Open Sans" w:hAnsi="Open Sans" w:cs="Open Sans"/>
        </w:rPr>
      </w:pPr>
    </w:p>
    <w:p w14:paraId="562F7D1B" w14:textId="1A219CE8" w:rsidR="00EB5292" w:rsidRPr="00000D4E" w:rsidRDefault="00EB5292" w:rsidP="000034FC">
      <w:pPr>
        <w:pStyle w:val="Default"/>
        <w:numPr>
          <w:ilvl w:val="0"/>
          <w:numId w:val="6"/>
        </w:numPr>
        <w:rPr>
          <w:rFonts w:ascii="Open Sans" w:hAnsi="Open Sans" w:cs="Open Sans"/>
        </w:rPr>
      </w:pPr>
      <w:r w:rsidRPr="00000D4E">
        <w:rPr>
          <w:rFonts w:ascii="Open Sans" w:hAnsi="Open Sans" w:cs="Open Sans"/>
        </w:rPr>
        <w:t>improve the workability of the evaluation process.</w:t>
      </w:r>
    </w:p>
    <w:p w14:paraId="1D6D8386" w14:textId="0AE85C58" w:rsidR="00EC6541" w:rsidRPr="00C433C1" w:rsidRDefault="001331C6" w:rsidP="00C433C1">
      <w:pPr>
        <w:rPr>
          <w:rFonts w:ascii="Open Sans" w:hAnsi="Open Sans" w:cs="Open Sans"/>
          <w:b/>
        </w:rPr>
      </w:pPr>
      <w:r w:rsidRPr="00000D4E">
        <w:rPr>
          <w:rFonts w:ascii="Open Sans" w:hAnsi="Open Sans" w:cs="Open Sans"/>
          <w:b/>
        </w:rPr>
        <w:lastRenderedPageBreak/>
        <w:t xml:space="preserve">Human rights concerns </w:t>
      </w:r>
    </w:p>
    <w:p w14:paraId="75E1086F" w14:textId="3B26A885" w:rsidR="002D3AC9" w:rsidRPr="00000D4E" w:rsidRDefault="00483D68" w:rsidP="00483D68">
      <w:pPr>
        <w:pStyle w:val="Default"/>
        <w:rPr>
          <w:rFonts w:ascii="Open Sans" w:hAnsi="Open Sans" w:cs="Open Sans"/>
        </w:rPr>
      </w:pPr>
      <w:r w:rsidRPr="00000D4E">
        <w:rPr>
          <w:rFonts w:ascii="Open Sans" w:hAnsi="Open Sans" w:cs="Open Sans"/>
        </w:rPr>
        <w:t xml:space="preserve">The Commission has previously </w:t>
      </w:r>
      <w:r w:rsidR="0081099D" w:rsidRPr="00000D4E">
        <w:rPr>
          <w:rFonts w:ascii="Open Sans" w:hAnsi="Open Sans" w:cs="Open Sans"/>
        </w:rPr>
        <w:t xml:space="preserve">raised </w:t>
      </w:r>
      <w:r w:rsidR="006039D7">
        <w:rPr>
          <w:rFonts w:ascii="Open Sans" w:hAnsi="Open Sans" w:cs="Open Sans"/>
        </w:rPr>
        <w:t xml:space="preserve">human rights </w:t>
      </w:r>
      <w:r w:rsidR="0081099D" w:rsidRPr="00000D4E">
        <w:rPr>
          <w:rFonts w:ascii="Open Sans" w:hAnsi="Open Sans" w:cs="Open Sans"/>
        </w:rPr>
        <w:t xml:space="preserve">concerns in respect of the </w:t>
      </w:r>
      <w:r w:rsidR="0081734C" w:rsidRPr="00000D4E">
        <w:rPr>
          <w:rFonts w:ascii="Open Sans" w:hAnsi="Open Sans" w:cs="Open Sans"/>
        </w:rPr>
        <w:t>C</w:t>
      </w:r>
      <w:r w:rsidR="009F498B" w:rsidRPr="00000D4E">
        <w:rPr>
          <w:rFonts w:ascii="Open Sans" w:hAnsi="Open Sans" w:cs="Open Sans"/>
        </w:rPr>
        <w:t xml:space="preserve">ashless </w:t>
      </w:r>
      <w:r w:rsidR="0081734C" w:rsidRPr="00000D4E">
        <w:rPr>
          <w:rFonts w:ascii="Open Sans" w:hAnsi="Open Sans" w:cs="Open Sans"/>
        </w:rPr>
        <w:t>D</w:t>
      </w:r>
      <w:r w:rsidR="009F498B" w:rsidRPr="00000D4E">
        <w:rPr>
          <w:rFonts w:ascii="Open Sans" w:hAnsi="Open Sans" w:cs="Open Sans"/>
        </w:rPr>
        <w:t xml:space="preserve">ebit </w:t>
      </w:r>
      <w:r w:rsidR="0081734C" w:rsidRPr="00000D4E">
        <w:rPr>
          <w:rFonts w:ascii="Open Sans" w:hAnsi="Open Sans" w:cs="Open Sans"/>
        </w:rPr>
        <w:t>C</w:t>
      </w:r>
      <w:r w:rsidR="009F498B" w:rsidRPr="00000D4E">
        <w:rPr>
          <w:rFonts w:ascii="Open Sans" w:hAnsi="Open Sans" w:cs="Open Sans"/>
        </w:rPr>
        <w:t>ard</w:t>
      </w:r>
      <w:r w:rsidR="0081734C" w:rsidRPr="00000D4E">
        <w:rPr>
          <w:rFonts w:ascii="Open Sans" w:hAnsi="Open Sans" w:cs="Open Sans"/>
        </w:rPr>
        <w:t xml:space="preserve"> (CDC)</w:t>
      </w:r>
      <w:r w:rsidR="009F498B" w:rsidRPr="00000D4E">
        <w:rPr>
          <w:rFonts w:ascii="Open Sans" w:hAnsi="Open Sans" w:cs="Open Sans"/>
        </w:rPr>
        <w:t xml:space="preserve"> trial</w:t>
      </w:r>
      <w:r w:rsidR="0081099D" w:rsidRPr="00000D4E">
        <w:rPr>
          <w:rFonts w:ascii="Open Sans" w:hAnsi="Open Sans" w:cs="Open Sans"/>
        </w:rPr>
        <w:t xml:space="preserve">, particularly in relation to the </w:t>
      </w:r>
      <w:r w:rsidRPr="00000D4E">
        <w:rPr>
          <w:rFonts w:ascii="Open Sans" w:hAnsi="Open Sans" w:cs="Open Sans"/>
        </w:rPr>
        <w:t>right to social security, the right to a private life and the right to equality and non-discrimination.</w:t>
      </w:r>
      <w:r w:rsidR="00473E07" w:rsidRPr="00000D4E">
        <w:rPr>
          <w:rStyle w:val="EndnoteReference"/>
          <w:rFonts w:ascii="Open Sans" w:hAnsi="Open Sans" w:cs="Open Sans"/>
          <w:sz w:val="24"/>
        </w:rPr>
        <w:endnoteReference w:id="1"/>
      </w:r>
      <w:r w:rsidRPr="00000D4E">
        <w:rPr>
          <w:rFonts w:ascii="Open Sans" w:hAnsi="Open Sans" w:cs="Open Sans"/>
        </w:rPr>
        <w:t xml:space="preserve"> </w:t>
      </w:r>
    </w:p>
    <w:p w14:paraId="4A242374" w14:textId="77777777" w:rsidR="002D3AC9" w:rsidRPr="00000D4E" w:rsidRDefault="002D3AC9" w:rsidP="00483D68">
      <w:pPr>
        <w:pStyle w:val="Default"/>
        <w:rPr>
          <w:rFonts w:ascii="Open Sans" w:hAnsi="Open Sans" w:cs="Open Sans"/>
        </w:rPr>
      </w:pPr>
    </w:p>
    <w:p w14:paraId="06064597" w14:textId="5E84D05A" w:rsidR="00ED17B8" w:rsidRDefault="002D3AC9" w:rsidP="00483D68">
      <w:pPr>
        <w:pStyle w:val="Default"/>
        <w:rPr>
          <w:rFonts w:ascii="Open Sans" w:hAnsi="Open Sans" w:cs="Open Sans"/>
        </w:rPr>
      </w:pPr>
      <w:r w:rsidRPr="00000D4E">
        <w:rPr>
          <w:rFonts w:ascii="Open Sans" w:hAnsi="Open Sans" w:cs="Open Sans"/>
        </w:rPr>
        <w:t xml:space="preserve">In September 2017, </w:t>
      </w:r>
      <w:r w:rsidR="001C14DD" w:rsidRPr="00000D4E">
        <w:rPr>
          <w:rFonts w:ascii="Open Sans" w:hAnsi="Open Sans" w:cs="Open Sans"/>
        </w:rPr>
        <w:t>the Commission</w:t>
      </w:r>
      <w:r w:rsidRPr="00000D4E">
        <w:rPr>
          <w:rFonts w:ascii="Open Sans" w:hAnsi="Open Sans" w:cs="Open Sans"/>
        </w:rPr>
        <w:t xml:space="preserve"> </w:t>
      </w:r>
      <w:r w:rsidR="0081099D" w:rsidRPr="00000D4E">
        <w:rPr>
          <w:rFonts w:ascii="Open Sans" w:hAnsi="Open Sans" w:cs="Open Sans"/>
        </w:rPr>
        <w:t xml:space="preserve">made a submission </w:t>
      </w:r>
      <w:r w:rsidR="00483D68" w:rsidRPr="00000D4E">
        <w:rPr>
          <w:rFonts w:ascii="Open Sans" w:hAnsi="Open Sans" w:cs="Open Sans"/>
        </w:rPr>
        <w:t xml:space="preserve">to </w:t>
      </w:r>
      <w:r w:rsidR="00192768" w:rsidRPr="00000D4E">
        <w:rPr>
          <w:rFonts w:ascii="Open Sans" w:hAnsi="Open Sans" w:cs="Open Sans"/>
        </w:rPr>
        <w:t>the</w:t>
      </w:r>
      <w:r w:rsidR="00483D68" w:rsidRPr="00000D4E">
        <w:rPr>
          <w:rFonts w:ascii="Open Sans" w:hAnsi="Open Sans" w:cs="Open Sans"/>
        </w:rPr>
        <w:t xml:space="preserve"> </w:t>
      </w:r>
      <w:r w:rsidR="00192768" w:rsidRPr="00000D4E">
        <w:rPr>
          <w:rFonts w:ascii="Open Sans" w:hAnsi="Open Sans" w:cs="Open Sans"/>
        </w:rPr>
        <w:t>C</w:t>
      </w:r>
      <w:r w:rsidR="00483D68" w:rsidRPr="00000D4E">
        <w:rPr>
          <w:rFonts w:ascii="Open Sans" w:hAnsi="Open Sans" w:cs="Open Sans"/>
        </w:rPr>
        <w:t xml:space="preserve">ommittee </w:t>
      </w:r>
      <w:r w:rsidRPr="00000D4E">
        <w:rPr>
          <w:rFonts w:ascii="Open Sans" w:hAnsi="Open Sans" w:cs="Open Sans"/>
        </w:rPr>
        <w:t xml:space="preserve">for its inquiry into the </w:t>
      </w:r>
      <w:bookmarkStart w:id="3" w:name="_Hlk19802128"/>
      <w:r w:rsidR="00483D68" w:rsidRPr="00000D4E">
        <w:rPr>
          <w:rFonts w:ascii="Open Sans" w:hAnsi="Open Sans" w:cs="Open Sans"/>
        </w:rPr>
        <w:t>Social Services Legislation Amendment (Cashless Debit Card) Bill 2017</w:t>
      </w:r>
      <w:bookmarkEnd w:id="3"/>
      <w:r w:rsidRPr="00000D4E">
        <w:rPr>
          <w:rFonts w:ascii="Open Sans" w:hAnsi="Open Sans" w:cs="Open Sans"/>
        </w:rPr>
        <w:t xml:space="preserve">. </w:t>
      </w:r>
      <w:r w:rsidR="009F498B" w:rsidRPr="00000D4E">
        <w:rPr>
          <w:rFonts w:ascii="Open Sans" w:hAnsi="Open Sans" w:cs="Open Sans"/>
        </w:rPr>
        <w:t>The 2017 Bill</w:t>
      </w:r>
      <w:r w:rsidRPr="00000D4E">
        <w:rPr>
          <w:rFonts w:ascii="Open Sans" w:hAnsi="Open Sans" w:cs="Open Sans"/>
        </w:rPr>
        <w:t xml:space="preserve"> </w:t>
      </w:r>
      <w:r w:rsidR="00483D68" w:rsidRPr="00000D4E">
        <w:rPr>
          <w:rFonts w:ascii="Open Sans" w:hAnsi="Open Sans" w:cs="Open Sans"/>
        </w:rPr>
        <w:t xml:space="preserve">provided for the continuation of the </w:t>
      </w:r>
      <w:r w:rsidR="009F498B" w:rsidRPr="00000D4E">
        <w:rPr>
          <w:rFonts w:ascii="Open Sans" w:hAnsi="Open Sans" w:cs="Open Sans"/>
        </w:rPr>
        <w:t xml:space="preserve">trial </w:t>
      </w:r>
      <w:r w:rsidR="00483D68" w:rsidRPr="00000D4E">
        <w:rPr>
          <w:rFonts w:ascii="Open Sans" w:hAnsi="Open Sans" w:cs="Open Sans"/>
        </w:rPr>
        <w:t xml:space="preserve">in </w:t>
      </w:r>
      <w:r w:rsidR="0081099D" w:rsidRPr="00000D4E">
        <w:rPr>
          <w:rFonts w:ascii="Open Sans" w:hAnsi="Open Sans" w:cs="Open Sans"/>
        </w:rPr>
        <w:t xml:space="preserve">the </w:t>
      </w:r>
      <w:r w:rsidR="008C1783" w:rsidRPr="00000D4E">
        <w:rPr>
          <w:rFonts w:ascii="Open Sans" w:hAnsi="Open Sans" w:cs="Open Sans"/>
        </w:rPr>
        <w:t xml:space="preserve">existing locations of the East Kimberley and Ceduna </w:t>
      </w:r>
      <w:r w:rsidR="00483D68" w:rsidRPr="00000D4E">
        <w:rPr>
          <w:rFonts w:ascii="Open Sans" w:hAnsi="Open Sans" w:cs="Open Sans"/>
        </w:rPr>
        <w:t xml:space="preserve">and </w:t>
      </w:r>
      <w:r w:rsidR="008C1783" w:rsidRPr="00000D4E">
        <w:rPr>
          <w:rFonts w:ascii="Open Sans" w:hAnsi="Open Sans" w:cs="Open Sans"/>
        </w:rPr>
        <w:t xml:space="preserve">enabled </w:t>
      </w:r>
      <w:r w:rsidR="00483D68" w:rsidRPr="00000D4E">
        <w:rPr>
          <w:rFonts w:ascii="Open Sans" w:hAnsi="Open Sans" w:cs="Open Sans"/>
        </w:rPr>
        <w:t xml:space="preserve">the expansion of the </w:t>
      </w:r>
      <w:r w:rsidR="00B40BDC">
        <w:rPr>
          <w:rFonts w:ascii="Open Sans" w:hAnsi="Open Sans" w:cs="Open Sans"/>
        </w:rPr>
        <w:t>CDC</w:t>
      </w:r>
      <w:r w:rsidR="00483D68" w:rsidRPr="00000D4E">
        <w:rPr>
          <w:rFonts w:ascii="Open Sans" w:hAnsi="Open Sans" w:cs="Open Sans"/>
        </w:rPr>
        <w:t xml:space="preserve"> to further locations</w:t>
      </w:r>
      <w:r w:rsidR="008C1783" w:rsidRPr="00000D4E">
        <w:rPr>
          <w:rFonts w:ascii="Open Sans" w:hAnsi="Open Sans" w:cs="Open Sans"/>
        </w:rPr>
        <w:t>.</w:t>
      </w:r>
      <w:r w:rsidR="008C1783" w:rsidRPr="00000D4E">
        <w:rPr>
          <w:rStyle w:val="EndnoteReference"/>
          <w:rFonts w:ascii="Open Sans" w:hAnsi="Open Sans" w:cs="Open Sans"/>
          <w:sz w:val="24"/>
        </w:rPr>
        <w:endnoteReference w:id="2"/>
      </w:r>
      <w:r w:rsidR="00192768" w:rsidRPr="00000D4E">
        <w:rPr>
          <w:rFonts w:ascii="Open Sans" w:hAnsi="Open Sans" w:cs="Open Sans"/>
        </w:rPr>
        <w:t xml:space="preserve"> </w:t>
      </w:r>
    </w:p>
    <w:p w14:paraId="0C3E7FD0" w14:textId="77777777" w:rsidR="00ED17B8" w:rsidRDefault="00ED17B8" w:rsidP="00483D68">
      <w:pPr>
        <w:pStyle w:val="Default"/>
        <w:rPr>
          <w:rFonts w:ascii="Open Sans" w:hAnsi="Open Sans" w:cs="Open Sans"/>
        </w:rPr>
      </w:pPr>
    </w:p>
    <w:p w14:paraId="4C2DB6BF" w14:textId="2338FBEB" w:rsidR="00483D68" w:rsidRPr="00000D4E" w:rsidRDefault="00890B45" w:rsidP="00483D68">
      <w:pPr>
        <w:pStyle w:val="Default"/>
        <w:rPr>
          <w:rFonts w:ascii="Open Sans" w:hAnsi="Open Sans" w:cs="Open Sans"/>
        </w:rPr>
      </w:pPr>
      <w:r w:rsidRPr="00000D4E">
        <w:rPr>
          <w:rFonts w:ascii="Open Sans" w:hAnsi="Open Sans" w:cs="Open Sans"/>
        </w:rPr>
        <w:t xml:space="preserve">The </w:t>
      </w:r>
      <w:r w:rsidR="006039D7">
        <w:rPr>
          <w:rFonts w:ascii="Open Sans" w:hAnsi="Open Sans" w:cs="Open Sans"/>
        </w:rPr>
        <w:t xml:space="preserve">Commission did not support the Bill and the </w:t>
      </w:r>
      <w:r w:rsidRPr="00000D4E">
        <w:rPr>
          <w:rFonts w:ascii="Open Sans" w:hAnsi="Open Sans" w:cs="Open Sans"/>
        </w:rPr>
        <w:t xml:space="preserve">concerns raised in </w:t>
      </w:r>
      <w:r w:rsidR="001F3BBC" w:rsidRPr="00000D4E">
        <w:rPr>
          <w:rFonts w:ascii="Open Sans" w:hAnsi="Open Sans" w:cs="Open Sans"/>
        </w:rPr>
        <w:t xml:space="preserve">that submission are equally applicable to the present Bill. We have </w:t>
      </w:r>
      <w:r w:rsidR="0081099D" w:rsidRPr="00000D4E">
        <w:rPr>
          <w:rFonts w:ascii="Open Sans" w:hAnsi="Open Sans" w:cs="Open Sans"/>
        </w:rPr>
        <w:t xml:space="preserve">attached </w:t>
      </w:r>
      <w:r w:rsidR="001F3BBC" w:rsidRPr="00000D4E">
        <w:rPr>
          <w:rFonts w:ascii="Open Sans" w:hAnsi="Open Sans" w:cs="Open Sans"/>
        </w:rPr>
        <w:t xml:space="preserve">our previous submission </w:t>
      </w:r>
      <w:r w:rsidR="009F498B" w:rsidRPr="00000D4E">
        <w:rPr>
          <w:rFonts w:ascii="Open Sans" w:hAnsi="Open Sans" w:cs="Open Sans"/>
        </w:rPr>
        <w:t>for reference</w:t>
      </w:r>
      <w:r w:rsidR="00192768" w:rsidRPr="00000D4E">
        <w:rPr>
          <w:rFonts w:ascii="Open Sans" w:hAnsi="Open Sans" w:cs="Open Sans"/>
        </w:rPr>
        <w:t xml:space="preserve">. </w:t>
      </w:r>
      <w:r w:rsidR="006039D7" w:rsidRPr="00746350">
        <w:rPr>
          <w:rFonts w:ascii="Open Sans" w:hAnsi="Open Sans" w:cs="Open Sans"/>
        </w:rPr>
        <w:t>See Appendix A</w:t>
      </w:r>
      <w:r w:rsidR="00A1523A">
        <w:rPr>
          <w:rFonts w:ascii="Open Sans" w:hAnsi="Open Sans" w:cs="Open Sans"/>
        </w:rPr>
        <w:t>.</w:t>
      </w:r>
    </w:p>
    <w:p w14:paraId="44949BCB" w14:textId="77777777" w:rsidR="00483777" w:rsidRPr="00000D4E" w:rsidRDefault="00483777" w:rsidP="00483D68">
      <w:pPr>
        <w:pStyle w:val="Default"/>
        <w:rPr>
          <w:rFonts w:ascii="Open Sans" w:hAnsi="Open Sans" w:cs="Open Sans"/>
        </w:rPr>
      </w:pPr>
    </w:p>
    <w:p w14:paraId="3F6D07E9" w14:textId="42B7A41E" w:rsidR="001331C6" w:rsidRPr="00000D4E" w:rsidRDefault="001331C6" w:rsidP="001331C6">
      <w:pPr>
        <w:spacing w:before="0" w:after="0"/>
        <w:rPr>
          <w:rFonts w:ascii="Open Sans" w:hAnsi="Open Sans" w:cs="Open Sans"/>
        </w:rPr>
      </w:pPr>
      <w:r w:rsidRPr="00000D4E">
        <w:rPr>
          <w:rFonts w:ascii="Open Sans" w:hAnsi="Open Sans" w:cs="Open Sans"/>
        </w:rPr>
        <w:t xml:space="preserve">The Commission </w:t>
      </w:r>
      <w:r w:rsidR="001F3BBC" w:rsidRPr="00000D4E">
        <w:rPr>
          <w:rFonts w:ascii="Open Sans" w:hAnsi="Open Sans" w:cs="Open Sans"/>
        </w:rPr>
        <w:t xml:space="preserve">also </w:t>
      </w:r>
      <w:r w:rsidRPr="00000D4E">
        <w:rPr>
          <w:rFonts w:ascii="Open Sans" w:hAnsi="Open Sans" w:cs="Open Sans"/>
        </w:rPr>
        <w:t xml:space="preserve">notes that the Parliamentary Joint Committee on Human Rights (PJCHR) reported on </w:t>
      </w:r>
      <w:r w:rsidR="002E08B7" w:rsidRPr="00000D4E">
        <w:rPr>
          <w:rFonts w:ascii="Open Sans" w:hAnsi="Open Sans" w:cs="Open Sans"/>
        </w:rPr>
        <w:t>the Social Services Legislation Amendment (Cashless Debit Card) Bill 2017</w:t>
      </w:r>
      <w:r w:rsidRPr="00000D4E">
        <w:rPr>
          <w:rFonts w:ascii="Open Sans" w:hAnsi="Open Sans" w:cs="Open Sans"/>
        </w:rPr>
        <w:t xml:space="preserve"> in </w:t>
      </w:r>
      <w:r w:rsidRPr="00000D4E">
        <w:rPr>
          <w:rFonts w:ascii="Open Sans" w:hAnsi="Open Sans" w:cs="Open Sans"/>
          <w:i/>
        </w:rPr>
        <w:t>Report No 6 of 2018</w:t>
      </w:r>
      <w:r w:rsidRPr="00000D4E">
        <w:rPr>
          <w:rFonts w:ascii="Open Sans" w:hAnsi="Open Sans" w:cs="Open Sans"/>
        </w:rPr>
        <w:t>.</w:t>
      </w:r>
      <w:r w:rsidRPr="00000D4E">
        <w:rPr>
          <w:rStyle w:val="EndnoteReference"/>
          <w:rFonts w:ascii="Open Sans" w:hAnsi="Open Sans" w:cs="Open Sans"/>
          <w:sz w:val="24"/>
        </w:rPr>
        <w:endnoteReference w:id="3"/>
      </w:r>
      <w:r w:rsidR="001F3BBC" w:rsidRPr="00000D4E">
        <w:rPr>
          <w:rFonts w:ascii="Open Sans" w:hAnsi="Open Sans" w:cs="Open Sans"/>
        </w:rPr>
        <w:t xml:space="preserve"> The Commission endorses the human rights </w:t>
      </w:r>
      <w:r w:rsidRPr="00000D4E">
        <w:rPr>
          <w:rFonts w:ascii="Open Sans" w:hAnsi="Open Sans" w:cs="Open Sans"/>
        </w:rPr>
        <w:t>analysis of th</w:t>
      </w:r>
      <w:r w:rsidR="00A11877" w:rsidRPr="00000D4E">
        <w:rPr>
          <w:rFonts w:ascii="Open Sans" w:hAnsi="Open Sans" w:cs="Open Sans"/>
        </w:rPr>
        <w:t xml:space="preserve">e PJCHR </w:t>
      </w:r>
      <w:r w:rsidR="009F498B" w:rsidRPr="00000D4E">
        <w:rPr>
          <w:rFonts w:ascii="Open Sans" w:hAnsi="Open Sans" w:cs="Open Sans"/>
        </w:rPr>
        <w:t xml:space="preserve">in that Report. </w:t>
      </w:r>
    </w:p>
    <w:p w14:paraId="00BACCC0" w14:textId="459F2EAB" w:rsidR="0057510C" w:rsidRPr="00000D4E" w:rsidRDefault="0057510C" w:rsidP="001331C6">
      <w:pPr>
        <w:spacing w:before="0" w:after="0"/>
        <w:rPr>
          <w:rFonts w:ascii="Open Sans" w:hAnsi="Open Sans" w:cs="Open Sans"/>
        </w:rPr>
      </w:pPr>
    </w:p>
    <w:p w14:paraId="200F8F61" w14:textId="36404539" w:rsidR="006039D7" w:rsidRDefault="0057510C" w:rsidP="001331C6">
      <w:pPr>
        <w:spacing w:before="0" w:after="0"/>
        <w:rPr>
          <w:rFonts w:ascii="Open Sans" w:hAnsi="Open Sans" w:cs="Open Sans"/>
        </w:rPr>
      </w:pPr>
      <w:r w:rsidRPr="00000D4E">
        <w:rPr>
          <w:rFonts w:ascii="Open Sans" w:hAnsi="Open Sans" w:cs="Open Sans"/>
        </w:rPr>
        <w:t xml:space="preserve">In July 2018, </w:t>
      </w:r>
      <w:r w:rsidR="001C14DD" w:rsidRPr="00000D4E">
        <w:rPr>
          <w:rFonts w:ascii="Open Sans" w:hAnsi="Open Sans" w:cs="Open Sans"/>
        </w:rPr>
        <w:t xml:space="preserve">the Commission </w:t>
      </w:r>
      <w:r w:rsidRPr="00000D4E">
        <w:rPr>
          <w:rFonts w:ascii="Open Sans" w:hAnsi="Open Sans" w:cs="Open Sans"/>
        </w:rPr>
        <w:t xml:space="preserve">made a submission to the Committee for its inquiry into the Senate inquiry into Social Services Legislation Amendment (Cashless Debit Card Trial Expansion) Bill 2018. The 2018 </w:t>
      </w:r>
      <w:r w:rsidR="00A137DB">
        <w:rPr>
          <w:rFonts w:ascii="Open Sans" w:hAnsi="Open Sans" w:cs="Open Sans"/>
        </w:rPr>
        <w:t>B</w:t>
      </w:r>
      <w:r w:rsidR="00A137DB" w:rsidRPr="00000D4E">
        <w:rPr>
          <w:rFonts w:ascii="Open Sans" w:hAnsi="Open Sans" w:cs="Open Sans"/>
        </w:rPr>
        <w:t xml:space="preserve">ill </w:t>
      </w:r>
      <w:r w:rsidRPr="00000D4E">
        <w:rPr>
          <w:rFonts w:ascii="Open Sans" w:hAnsi="Open Sans" w:cs="Open Sans"/>
        </w:rPr>
        <w:t xml:space="preserve">was to expand the </w:t>
      </w:r>
      <w:r w:rsidR="00EF7F3B">
        <w:rPr>
          <w:rFonts w:ascii="Open Sans" w:hAnsi="Open Sans" w:cs="Open Sans"/>
        </w:rPr>
        <w:t xml:space="preserve">CDC </w:t>
      </w:r>
      <w:r w:rsidRPr="00000D4E">
        <w:rPr>
          <w:rFonts w:ascii="Open Sans" w:hAnsi="Open Sans" w:cs="Open Sans"/>
        </w:rPr>
        <w:t>trial to a further trial site in the Bundaberg and Hervey Bay areas until 30 June 2020.</w:t>
      </w:r>
      <w:r w:rsidR="003D3BBB" w:rsidRPr="00000D4E">
        <w:rPr>
          <w:rFonts w:ascii="Open Sans" w:hAnsi="Open Sans" w:cs="Open Sans"/>
        </w:rPr>
        <w:t xml:space="preserve"> </w:t>
      </w:r>
    </w:p>
    <w:p w14:paraId="588013FF" w14:textId="77777777" w:rsidR="006039D7" w:rsidRDefault="006039D7" w:rsidP="001331C6">
      <w:pPr>
        <w:spacing w:before="0" w:after="0"/>
        <w:rPr>
          <w:rFonts w:ascii="Open Sans" w:hAnsi="Open Sans" w:cs="Open Sans"/>
        </w:rPr>
      </w:pPr>
    </w:p>
    <w:p w14:paraId="5A9ECC2B" w14:textId="64E5DDE7" w:rsidR="00421426" w:rsidRDefault="006039D7" w:rsidP="001331C6">
      <w:pPr>
        <w:spacing w:before="0" w:after="0"/>
        <w:rPr>
          <w:rFonts w:ascii="Open Sans" w:hAnsi="Open Sans" w:cs="Open Sans"/>
        </w:rPr>
      </w:pPr>
      <w:r>
        <w:rPr>
          <w:rFonts w:ascii="Open Sans" w:hAnsi="Open Sans" w:cs="Open Sans"/>
        </w:rPr>
        <w:t xml:space="preserve">The Commission did not support the Bill and reiterated the human rights concerns outlined in its 2017 submission. </w:t>
      </w:r>
      <w:r w:rsidR="003D3BBB" w:rsidRPr="00000D4E">
        <w:rPr>
          <w:rFonts w:ascii="Open Sans" w:hAnsi="Open Sans" w:cs="Open Sans"/>
        </w:rPr>
        <w:t xml:space="preserve">We have also attached our submission </w:t>
      </w:r>
      <w:r w:rsidR="002631AE">
        <w:rPr>
          <w:rFonts w:ascii="Open Sans" w:hAnsi="Open Sans" w:cs="Open Sans"/>
        </w:rPr>
        <w:t>to</w:t>
      </w:r>
      <w:r w:rsidR="003D3BBB" w:rsidRPr="00000D4E">
        <w:rPr>
          <w:rFonts w:ascii="Open Sans" w:hAnsi="Open Sans" w:cs="Open Sans"/>
        </w:rPr>
        <w:t xml:space="preserve"> that inquiry for reference.</w:t>
      </w:r>
      <w:r>
        <w:rPr>
          <w:rFonts w:ascii="Open Sans" w:hAnsi="Open Sans" w:cs="Open Sans"/>
        </w:rPr>
        <w:t xml:space="preserve"> </w:t>
      </w:r>
      <w:r w:rsidRPr="00746350">
        <w:rPr>
          <w:rFonts w:ascii="Open Sans" w:hAnsi="Open Sans" w:cs="Open Sans"/>
        </w:rPr>
        <w:t>See Appendix B.</w:t>
      </w:r>
    </w:p>
    <w:p w14:paraId="38E283C5" w14:textId="77777777" w:rsidR="0036590F" w:rsidRDefault="0036590F" w:rsidP="001331C6">
      <w:pPr>
        <w:spacing w:before="0" w:after="0"/>
        <w:rPr>
          <w:rFonts w:ascii="Open Sans" w:hAnsi="Open Sans" w:cs="Open Sans"/>
        </w:rPr>
      </w:pPr>
    </w:p>
    <w:p w14:paraId="636889C1" w14:textId="6493C2CC" w:rsidR="00ED17B8" w:rsidRPr="007711C1" w:rsidRDefault="00ED17B8" w:rsidP="006039D7">
      <w:pPr>
        <w:autoSpaceDE w:val="0"/>
        <w:autoSpaceDN w:val="0"/>
        <w:adjustRightInd w:val="0"/>
        <w:rPr>
          <w:rFonts w:ascii="Open Sans" w:hAnsi="Open Sans" w:cs="Open Sans"/>
          <w:b/>
          <w:bCs/>
        </w:rPr>
      </w:pPr>
      <w:r w:rsidRPr="007711C1">
        <w:rPr>
          <w:rFonts w:ascii="Open Sans" w:hAnsi="Open Sans" w:cs="Open Sans"/>
          <w:b/>
          <w:bCs/>
        </w:rPr>
        <w:t>Rec</w:t>
      </w:r>
      <w:r w:rsidR="00C433C1">
        <w:rPr>
          <w:rFonts w:ascii="Open Sans" w:hAnsi="Open Sans" w:cs="Open Sans"/>
          <w:b/>
          <w:bCs/>
        </w:rPr>
        <w:t>o</w:t>
      </w:r>
      <w:r w:rsidRPr="007711C1">
        <w:rPr>
          <w:rFonts w:ascii="Open Sans" w:hAnsi="Open Sans" w:cs="Open Sans"/>
          <w:b/>
          <w:bCs/>
        </w:rPr>
        <w:t xml:space="preserve">mmended approach to </w:t>
      </w:r>
      <w:r w:rsidR="007711C1" w:rsidRPr="007711C1">
        <w:rPr>
          <w:rFonts w:ascii="Open Sans" w:hAnsi="Open Sans" w:cs="Open Sans"/>
          <w:b/>
          <w:bCs/>
        </w:rPr>
        <w:t xml:space="preserve">income management </w:t>
      </w:r>
    </w:p>
    <w:p w14:paraId="197CF73E" w14:textId="77777777" w:rsidR="00142A2C" w:rsidRDefault="006039D7" w:rsidP="00830384">
      <w:pPr>
        <w:autoSpaceDE w:val="0"/>
        <w:autoSpaceDN w:val="0"/>
        <w:adjustRightInd w:val="0"/>
        <w:rPr>
          <w:rFonts w:ascii="Open Sans" w:hAnsi="Open Sans" w:cs="Open Sans"/>
        </w:rPr>
      </w:pPr>
      <w:r w:rsidRPr="00ED17B8">
        <w:rPr>
          <w:rFonts w:ascii="Open Sans" w:hAnsi="Open Sans" w:cs="Open Sans"/>
        </w:rPr>
        <w:t>The Commission</w:t>
      </w:r>
      <w:r w:rsidR="007711C1">
        <w:rPr>
          <w:rFonts w:ascii="Open Sans" w:hAnsi="Open Sans" w:cs="Open Sans"/>
        </w:rPr>
        <w:t xml:space="preserve"> is of the view that</w:t>
      </w:r>
      <w:r w:rsidRPr="00ED17B8">
        <w:rPr>
          <w:rFonts w:ascii="Open Sans" w:hAnsi="Open Sans" w:cs="Open Sans"/>
        </w:rPr>
        <w:t xml:space="preserve"> the causes of social disadvantage are complex. Policies intended to help people require a multidimensional approach in collaboration with the people affected. Limiting people’s ability to access their welfare payments in cash does not address the reasons for </w:t>
      </w:r>
      <w:r w:rsidR="00830384">
        <w:rPr>
          <w:rFonts w:ascii="Open Sans" w:hAnsi="Open Sans" w:cs="Open Sans"/>
        </w:rPr>
        <w:t xml:space="preserve">drug and alcohol misuse, </w:t>
      </w:r>
      <w:r w:rsidRPr="00ED17B8">
        <w:rPr>
          <w:rFonts w:ascii="Open Sans" w:hAnsi="Open Sans" w:cs="Open Sans"/>
        </w:rPr>
        <w:t xml:space="preserve">poverty, trauma, and lack of </w:t>
      </w:r>
      <w:r w:rsidR="00142A2C">
        <w:rPr>
          <w:rFonts w:ascii="Open Sans" w:hAnsi="Open Sans" w:cs="Open Sans"/>
        </w:rPr>
        <w:t>education.</w:t>
      </w:r>
    </w:p>
    <w:p w14:paraId="4CA5AAE2" w14:textId="20FE5514" w:rsidR="00ED17B8" w:rsidRPr="00ED17B8" w:rsidRDefault="006039D7" w:rsidP="00830384">
      <w:pPr>
        <w:autoSpaceDE w:val="0"/>
        <w:autoSpaceDN w:val="0"/>
        <w:adjustRightInd w:val="0"/>
        <w:rPr>
          <w:rFonts w:ascii="Open Sans" w:hAnsi="Open Sans" w:cs="Open Sans"/>
        </w:rPr>
      </w:pPr>
      <w:r w:rsidRPr="00ED17B8">
        <w:rPr>
          <w:rFonts w:ascii="Open Sans" w:hAnsi="Open Sans" w:cs="Open Sans"/>
        </w:rPr>
        <w:t>The Commission has previously stated and continues to recommend to the Government its preferred features of an income management measure</w:t>
      </w:r>
      <w:r w:rsidR="00142A2C">
        <w:rPr>
          <w:rFonts w:ascii="Open Sans" w:hAnsi="Open Sans" w:cs="Open Sans"/>
        </w:rPr>
        <w:t xml:space="preserve"> which</w:t>
      </w:r>
      <w:r w:rsidRPr="00ED17B8">
        <w:rPr>
          <w:rFonts w:ascii="Open Sans" w:hAnsi="Open Sans" w:cs="Open Sans"/>
        </w:rPr>
        <w:t xml:space="preserve"> are:</w:t>
      </w:r>
    </w:p>
    <w:p w14:paraId="27141C09" w14:textId="33728D5B" w:rsidR="006039D7" w:rsidRPr="00ED17B8" w:rsidRDefault="006039D7" w:rsidP="006039D7">
      <w:pPr>
        <w:pStyle w:val="Default"/>
        <w:rPr>
          <w:rFonts w:ascii="Open Sans" w:hAnsi="Open Sans" w:cs="Open Sans"/>
        </w:rPr>
      </w:pPr>
      <w:r w:rsidRPr="00ED17B8">
        <w:rPr>
          <w:rFonts w:ascii="Open Sans" w:hAnsi="Open Sans" w:cs="Open Sans"/>
        </w:rPr>
        <w:lastRenderedPageBreak/>
        <w:t xml:space="preserve"> </w:t>
      </w:r>
    </w:p>
    <w:p w14:paraId="49844170" w14:textId="63DCA9E2" w:rsidR="006039D7" w:rsidRPr="00ED17B8" w:rsidRDefault="006039D7" w:rsidP="006039D7">
      <w:pPr>
        <w:pStyle w:val="ListParagraph"/>
        <w:numPr>
          <w:ilvl w:val="0"/>
          <w:numId w:val="5"/>
        </w:numPr>
        <w:tabs>
          <w:tab w:val="num" w:pos="1211"/>
        </w:tabs>
        <w:spacing w:before="0" w:after="0"/>
        <w:ind w:left="720"/>
        <w:rPr>
          <w:rFonts w:ascii="Open Sans" w:hAnsi="Open Sans" w:cs="Open Sans"/>
        </w:rPr>
      </w:pPr>
      <w:r w:rsidRPr="00ED17B8">
        <w:rPr>
          <w:rFonts w:ascii="Open Sans" w:hAnsi="Open Sans" w:cs="Open Sans"/>
        </w:rPr>
        <w:t xml:space="preserve">an approach that enables participants to voluntarily </w:t>
      </w:r>
      <w:r w:rsidRPr="00ED17B8">
        <w:rPr>
          <w:rFonts w:ascii="Open Sans" w:hAnsi="Open Sans" w:cs="Open Sans"/>
          <w:lang w:val="en-US"/>
        </w:rPr>
        <w:t>opt-in to the scheme, rather than an automatic quarantining model (which relies upon individual applications for exemptions);</w:t>
      </w:r>
    </w:p>
    <w:p w14:paraId="236E3944" w14:textId="77777777" w:rsidR="00ED17B8" w:rsidRPr="00ED17B8" w:rsidRDefault="00ED17B8" w:rsidP="00ED17B8">
      <w:pPr>
        <w:pStyle w:val="ListParagraph"/>
        <w:tabs>
          <w:tab w:val="num" w:pos="1211"/>
        </w:tabs>
        <w:spacing w:before="0" w:after="0"/>
        <w:rPr>
          <w:rFonts w:ascii="Open Sans" w:hAnsi="Open Sans" w:cs="Open Sans"/>
        </w:rPr>
      </w:pPr>
    </w:p>
    <w:p w14:paraId="134180F5" w14:textId="1FB088C8" w:rsidR="00ED17B8" w:rsidRPr="00ED17B8" w:rsidRDefault="006039D7" w:rsidP="00ED17B8">
      <w:pPr>
        <w:pStyle w:val="ListParagraph"/>
        <w:numPr>
          <w:ilvl w:val="0"/>
          <w:numId w:val="5"/>
        </w:numPr>
        <w:tabs>
          <w:tab w:val="num" w:pos="1211"/>
        </w:tabs>
        <w:spacing w:before="0" w:after="0"/>
        <w:ind w:left="720"/>
        <w:rPr>
          <w:rFonts w:ascii="Open Sans" w:hAnsi="Open Sans" w:cs="Open Sans"/>
        </w:rPr>
      </w:pPr>
      <w:r w:rsidRPr="00ED17B8">
        <w:rPr>
          <w:rFonts w:ascii="Open Sans" w:hAnsi="Open Sans" w:cs="Open Sans"/>
          <w:lang w:val="en-US"/>
        </w:rPr>
        <w:t xml:space="preserve">an approach that </w:t>
      </w:r>
      <w:proofErr w:type="spellStart"/>
      <w:r w:rsidRPr="00ED17B8">
        <w:rPr>
          <w:rFonts w:ascii="Open Sans" w:hAnsi="Open Sans" w:cs="Open Sans"/>
          <w:lang w:val="en-US"/>
        </w:rPr>
        <w:t>utilises</w:t>
      </w:r>
      <w:proofErr w:type="spellEnd"/>
      <w:r w:rsidRPr="00ED17B8">
        <w:rPr>
          <w:rFonts w:ascii="Open Sans" w:hAnsi="Open Sans" w:cs="Open Sans"/>
          <w:lang w:val="en-US"/>
        </w:rPr>
        <w:t xml:space="preserve"> income management as a ‘last resort’</w:t>
      </w:r>
      <w:r w:rsidR="00A137DB">
        <w:rPr>
          <w:rFonts w:ascii="Open Sans" w:hAnsi="Open Sans" w:cs="Open Sans"/>
          <w:lang w:val="en-US"/>
        </w:rPr>
        <w:t xml:space="preserve"> strategy</w:t>
      </w:r>
      <w:r w:rsidRPr="00ED17B8">
        <w:rPr>
          <w:rFonts w:ascii="Open Sans" w:hAnsi="Open Sans" w:cs="Open Sans"/>
          <w:lang w:val="en-US"/>
        </w:rPr>
        <w:t>, particularly for targeted risk areas such as child protection (that is supported by case management and support services); and</w:t>
      </w:r>
    </w:p>
    <w:p w14:paraId="136E8DC5" w14:textId="77777777" w:rsidR="00ED17B8" w:rsidRPr="00ED17B8" w:rsidRDefault="00ED17B8" w:rsidP="00ED17B8">
      <w:pPr>
        <w:pStyle w:val="ListParagraph"/>
        <w:tabs>
          <w:tab w:val="num" w:pos="1211"/>
        </w:tabs>
        <w:spacing w:before="0" w:after="0"/>
        <w:rPr>
          <w:rFonts w:ascii="Open Sans" w:hAnsi="Open Sans" w:cs="Open Sans"/>
        </w:rPr>
      </w:pPr>
    </w:p>
    <w:p w14:paraId="1D93601E" w14:textId="7437F7A6" w:rsidR="00983BD7" w:rsidRPr="002715BE" w:rsidRDefault="006039D7" w:rsidP="00983BD7">
      <w:pPr>
        <w:pStyle w:val="ListParagraph"/>
        <w:numPr>
          <w:ilvl w:val="0"/>
          <w:numId w:val="5"/>
        </w:numPr>
        <w:tabs>
          <w:tab w:val="num" w:pos="1211"/>
        </w:tabs>
        <w:spacing w:before="0" w:after="0"/>
        <w:ind w:left="720"/>
        <w:rPr>
          <w:rFonts w:ascii="Open Sans" w:hAnsi="Open Sans" w:cs="Open Sans"/>
          <w:lang w:val="en-US"/>
        </w:rPr>
      </w:pPr>
      <w:r w:rsidRPr="00ED17B8">
        <w:rPr>
          <w:rFonts w:ascii="Open Sans" w:hAnsi="Open Sans" w:cs="Open Sans"/>
          <w:lang w:val="en-US"/>
        </w:rPr>
        <w:t>measures that are applied for a defined period and in a manner proportionate to the context.</w:t>
      </w:r>
    </w:p>
    <w:p w14:paraId="33E9D14C" w14:textId="77777777" w:rsidR="00FC4B65" w:rsidRPr="00000D4E" w:rsidRDefault="00FC4B65" w:rsidP="001331C6">
      <w:pPr>
        <w:spacing w:before="0" w:after="0"/>
        <w:rPr>
          <w:rFonts w:ascii="Open Sans" w:hAnsi="Open Sans" w:cs="Open Sans"/>
        </w:rPr>
      </w:pPr>
    </w:p>
    <w:p w14:paraId="1EA79BD8" w14:textId="35F61D74" w:rsidR="003D3BBB" w:rsidRPr="00000D4E" w:rsidRDefault="002E08B7" w:rsidP="001331C6">
      <w:pPr>
        <w:spacing w:before="0" w:after="0"/>
        <w:rPr>
          <w:rFonts w:ascii="Open Sans" w:hAnsi="Open Sans" w:cs="Open Sans"/>
        </w:rPr>
      </w:pPr>
      <w:r w:rsidRPr="00000D4E">
        <w:rPr>
          <w:rFonts w:ascii="Open Sans" w:hAnsi="Open Sans" w:cs="Open Sans"/>
        </w:rPr>
        <w:t xml:space="preserve">The Commission wishes to add the following comments with respect to the present Bill: </w:t>
      </w:r>
    </w:p>
    <w:p w14:paraId="64BDF4D9" w14:textId="77777777" w:rsidR="00421426" w:rsidRDefault="00421426" w:rsidP="00C433C1">
      <w:pPr>
        <w:rPr>
          <w:rFonts w:ascii="Open Sans" w:hAnsi="Open Sans" w:cs="Open Sans"/>
          <w:b/>
        </w:rPr>
      </w:pPr>
    </w:p>
    <w:p w14:paraId="2B14FA62" w14:textId="190B6211" w:rsidR="00436333" w:rsidRPr="00C433C1" w:rsidRDefault="00FC4B65" w:rsidP="00C433C1">
      <w:pPr>
        <w:rPr>
          <w:rFonts w:ascii="Open Sans" w:hAnsi="Open Sans" w:cs="Open Sans"/>
          <w:b/>
        </w:rPr>
      </w:pPr>
      <w:r w:rsidRPr="00C433C1">
        <w:rPr>
          <w:rFonts w:ascii="Open Sans" w:hAnsi="Open Sans" w:cs="Open Sans"/>
          <w:b/>
        </w:rPr>
        <w:t>Limitations of the independent evaluations and data collection</w:t>
      </w:r>
    </w:p>
    <w:p w14:paraId="5D9287DB" w14:textId="5AAC662F" w:rsidR="00FC4B65" w:rsidRPr="00000D4E" w:rsidRDefault="00FC4B65" w:rsidP="00436333">
      <w:pPr>
        <w:spacing w:before="0" w:after="0"/>
        <w:rPr>
          <w:rFonts w:ascii="Open Sans" w:hAnsi="Open Sans" w:cs="Open Sans"/>
        </w:rPr>
      </w:pPr>
      <w:r w:rsidRPr="00000D4E">
        <w:rPr>
          <w:rFonts w:ascii="Open Sans" w:hAnsi="Open Sans" w:cs="Open Sans"/>
        </w:rPr>
        <w:t>The explanatory memorandum notes the evaluation reports</w:t>
      </w:r>
      <w:r w:rsidR="006E64B5">
        <w:rPr>
          <w:rFonts w:ascii="Open Sans" w:hAnsi="Open Sans" w:cs="Open Sans"/>
        </w:rPr>
        <w:t xml:space="preserve">: </w:t>
      </w:r>
      <w:r w:rsidRPr="00000D4E">
        <w:rPr>
          <w:rFonts w:ascii="Open Sans" w:hAnsi="Open Sans" w:cs="Open Sans"/>
          <w:i/>
          <w:iCs/>
        </w:rPr>
        <w:t>Cashless Debit Card Tria</w:t>
      </w:r>
      <w:r w:rsidR="006E64B5" w:rsidRPr="006E64B5">
        <w:rPr>
          <w:rFonts w:ascii="Open Sans" w:hAnsi="Open Sans" w:cs="Open Sans"/>
          <w:i/>
          <w:iCs/>
        </w:rPr>
        <w:t>l</w:t>
      </w:r>
      <w:r w:rsidRPr="006E64B5">
        <w:rPr>
          <w:rFonts w:ascii="Open Sans" w:hAnsi="Open Sans" w:cs="Open Sans"/>
          <w:i/>
          <w:iCs/>
        </w:rPr>
        <w:t xml:space="preserve"> </w:t>
      </w:r>
      <w:r w:rsidRPr="00000D4E">
        <w:rPr>
          <w:rFonts w:ascii="Open Sans" w:hAnsi="Open Sans" w:cs="Open Sans"/>
        </w:rPr>
        <w:t xml:space="preserve">by ORIMA Research in September 2017 and </w:t>
      </w:r>
      <w:bookmarkStart w:id="4" w:name="_Hlk20124263"/>
      <w:r w:rsidRPr="00000D4E">
        <w:rPr>
          <w:rFonts w:ascii="Open Sans" w:hAnsi="Open Sans" w:cs="Open Sans"/>
          <w:i/>
          <w:iCs/>
        </w:rPr>
        <w:t>Cashless Debit Card Baseline Data Collection in the Goldfields Region: Qualitative Findings</w:t>
      </w:r>
      <w:r w:rsidRPr="00000D4E">
        <w:rPr>
          <w:rFonts w:ascii="Open Sans" w:hAnsi="Open Sans" w:cs="Open Sans"/>
        </w:rPr>
        <w:t xml:space="preserve"> by </w:t>
      </w:r>
      <w:r w:rsidR="00A137DB">
        <w:rPr>
          <w:rFonts w:ascii="Open Sans" w:hAnsi="Open Sans" w:cs="Open Sans"/>
        </w:rPr>
        <w:t>t</w:t>
      </w:r>
      <w:r w:rsidR="00A137DB" w:rsidRPr="00000D4E">
        <w:rPr>
          <w:rFonts w:ascii="Open Sans" w:hAnsi="Open Sans" w:cs="Open Sans"/>
        </w:rPr>
        <w:t xml:space="preserve">he </w:t>
      </w:r>
      <w:r w:rsidRPr="00000D4E">
        <w:rPr>
          <w:rFonts w:ascii="Open Sans" w:hAnsi="Open Sans" w:cs="Open Sans"/>
        </w:rPr>
        <w:t>University of Adelaide</w:t>
      </w:r>
      <w:r w:rsidR="006E64B5">
        <w:rPr>
          <w:rFonts w:ascii="Open Sans" w:hAnsi="Open Sans" w:cs="Open Sans"/>
        </w:rPr>
        <w:t xml:space="preserve"> in</w:t>
      </w:r>
      <w:r w:rsidR="006E64B5" w:rsidRPr="00000D4E">
        <w:rPr>
          <w:rFonts w:ascii="Open Sans" w:hAnsi="Open Sans" w:cs="Open Sans"/>
        </w:rPr>
        <w:t xml:space="preserve"> February 2019</w:t>
      </w:r>
      <w:r w:rsidR="006E64B5">
        <w:rPr>
          <w:rFonts w:ascii="Open Sans" w:hAnsi="Open Sans" w:cs="Open Sans"/>
        </w:rPr>
        <w:t>.</w:t>
      </w:r>
    </w:p>
    <w:bookmarkEnd w:id="4"/>
    <w:p w14:paraId="60A42E0A" w14:textId="77777777" w:rsidR="00436333" w:rsidRPr="00000D4E" w:rsidRDefault="00436333" w:rsidP="00436333">
      <w:pPr>
        <w:spacing w:before="0" w:after="0"/>
        <w:rPr>
          <w:rFonts w:ascii="Open Sans" w:hAnsi="Open Sans" w:cs="Open Sans"/>
        </w:rPr>
      </w:pPr>
    </w:p>
    <w:p w14:paraId="220E2A3F" w14:textId="5ED65C6A" w:rsidR="00FC4B65" w:rsidRPr="00000D4E" w:rsidRDefault="00FC4B65" w:rsidP="00436333">
      <w:pPr>
        <w:spacing w:before="0" w:after="0"/>
        <w:rPr>
          <w:rFonts w:ascii="Open Sans" w:hAnsi="Open Sans" w:cs="Open Sans"/>
        </w:rPr>
      </w:pPr>
      <w:r w:rsidRPr="00000D4E">
        <w:rPr>
          <w:rFonts w:ascii="Open Sans" w:hAnsi="Open Sans" w:cs="Open Sans"/>
        </w:rPr>
        <w:t xml:space="preserve">As previously stated in our 2017 submission, the information provided by the ORIMA report offers mixed evidence regarding the effectiveness of the measures. While the report indicates some positive findings in relation to perceptions of safety and levels of alcohol and gambling reduction, it also raises several concerns regarding the measures, such as: </w:t>
      </w:r>
    </w:p>
    <w:p w14:paraId="147764B8" w14:textId="77777777" w:rsidR="00FC4B65" w:rsidRPr="00000D4E" w:rsidRDefault="00FC4B65" w:rsidP="00FC4B65">
      <w:pPr>
        <w:spacing w:before="0" w:after="0"/>
        <w:rPr>
          <w:rFonts w:ascii="Open Sans" w:hAnsi="Open Sans" w:cs="Open Sans"/>
        </w:rPr>
      </w:pPr>
      <w:r w:rsidRPr="00000D4E">
        <w:rPr>
          <w:rFonts w:ascii="Open Sans" w:hAnsi="Open Sans" w:cs="Open Sans"/>
        </w:rPr>
        <w:t xml:space="preserve"> </w:t>
      </w:r>
    </w:p>
    <w:p w14:paraId="435F924D" w14:textId="261CA9BB" w:rsidR="00FC4B65" w:rsidRPr="00000D4E" w:rsidRDefault="00FC4B65" w:rsidP="00436333">
      <w:pPr>
        <w:pStyle w:val="ListParagraph"/>
        <w:numPr>
          <w:ilvl w:val="0"/>
          <w:numId w:val="8"/>
        </w:numPr>
        <w:spacing w:before="0" w:after="0"/>
        <w:ind w:left="426"/>
        <w:rPr>
          <w:rFonts w:ascii="Open Sans" w:hAnsi="Open Sans" w:cs="Open Sans"/>
        </w:rPr>
      </w:pPr>
      <w:r w:rsidRPr="00000D4E">
        <w:rPr>
          <w:rFonts w:ascii="Open Sans" w:hAnsi="Open Sans" w:cs="Open Sans"/>
        </w:rPr>
        <w:t xml:space="preserve">almost a third of participants stated that the Trial had </w:t>
      </w:r>
      <w:proofErr w:type="gramStart"/>
      <w:r w:rsidRPr="00000D4E">
        <w:rPr>
          <w:rFonts w:ascii="Open Sans" w:hAnsi="Open Sans" w:cs="Open Sans"/>
        </w:rPr>
        <w:t>actually made</w:t>
      </w:r>
      <w:proofErr w:type="gramEnd"/>
      <w:r w:rsidRPr="00000D4E">
        <w:rPr>
          <w:rFonts w:ascii="Open Sans" w:hAnsi="Open Sans" w:cs="Open Sans"/>
        </w:rPr>
        <w:t xml:space="preserve"> their and their children’s lives worse</w:t>
      </w:r>
      <w:r w:rsidR="002631AE">
        <w:rPr>
          <w:rFonts w:ascii="Open Sans" w:hAnsi="Open Sans" w:cs="Open Sans"/>
        </w:rPr>
        <w:t>;</w:t>
      </w:r>
      <w:r w:rsidRPr="00000D4E">
        <w:rPr>
          <w:rStyle w:val="EndnoteReference"/>
          <w:rFonts w:ascii="Open Sans" w:hAnsi="Open Sans" w:cs="Open Sans"/>
          <w:sz w:val="24"/>
        </w:rPr>
        <w:endnoteReference w:id="4"/>
      </w:r>
    </w:p>
    <w:p w14:paraId="447C7B4C" w14:textId="6DBB55F6" w:rsidR="00FC4B65" w:rsidRPr="00000D4E" w:rsidRDefault="00FC4B65" w:rsidP="00436333">
      <w:pPr>
        <w:pStyle w:val="ListParagraph"/>
        <w:numPr>
          <w:ilvl w:val="0"/>
          <w:numId w:val="8"/>
        </w:numPr>
        <w:spacing w:before="0" w:after="0"/>
        <w:ind w:left="426"/>
        <w:rPr>
          <w:rFonts w:ascii="Open Sans" w:hAnsi="Open Sans" w:cs="Open Sans"/>
        </w:rPr>
      </w:pPr>
      <w:r w:rsidRPr="00000D4E">
        <w:rPr>
          <w:rFonts w:ascii="Open Sans" w:hAnsi="Open Sans" w:cs="Open Sans"/>
        </w:rPr>
        <w:t>limited evidence of crime reduction</w:t>
      </w:r>
      <w:r w:rsidR="002631AE">
        <w:rPr>
          <w:rFonts w:ascii="Open Sans" w:hAnsi="Open Sans" w:cs="Open Sans"/>
        </w:rPr>
        <w:t>;</w:t>
      </w:r>
    </w:p>
    <w:p w14:paraId="7692FEF4" w14:textId="47C2D534" w:rsidR="00FC4B65" w:rsidRPr="00000D4E" w:rsidRDefault="00FC4B65" w:rsidP="00436333">
      <w:pPr>
        <w:pStyle w:val="ListParagraph"/>
        <w:numPr>
          <w:ilvl w:val="0"/>
          <w:numId w:val="8"/>
        </w:numPr>
        <w:spacing w:before="0" w:after="0"/>
        <w:ind w:left="426"/>
        <w:rPr>
          <w:rFonts w:ascii="Open Sans" w:hAnsi="Open Sans" w:cs="Open Sans"/>
        </w:rPr>
      </w:pPr>
      <w:r w:rsidRPr="00000D4E">
        <w:rPr>
          <w:rFonts w:ascii="Open Sans" w:hAnsi="Open Sans" w:cs="Open Sans"/>
        </w:rPr>
        <w:t>occurrence of “grog running”, humbugging and gambling with debit cards</w:t>
      </w:r>
      <w:r w:rsidR="002631AE">
        <w:rPr>
          <w:rFonts w:ascii="Open Sans" w:hAnsi="Open Sans" w:cs="Open Sans"/>
        </w:rPr>
        <w:t>;</w:t>
      </w:r>
      <w:r w:rsidRPr="00000D4E">
        <w:rPr>
          <w:rFonts w:ascii="Open Sans" w:hAnsi="Open Sans" w:cs="Open Sans"/>
        </w:rPr>
        <w:t xml:space="preserve"> </w:t>
      </w:r>
      <w:r w:rsidRPr="00000D4E">
        <w:rPr>
          <w:rStyle w:val="EndnoteReference"/>
          <w:rFonts w:ascii="Open Sans" w:hAnsi="Open Sans" w:cs="Open Sans"/>
          <w:sz w:val="24"/>
        </w:rPr>
        <w:endnoteReference w:id="5"/>
      </w:r>
    </w:p>
    <w:p w14:paraId="004BC983" w14:textId="330671D7" w:rsidR="00FC4B65" w:rsidRPr="00000D4E" w:rsidRDefault="00FC4B65" w:rsidP="00436333">
      <w:pPr>
        <w:pStyle w:val="ListParagraph"/>
        <w:numPr>
          <w:ilvl w:val="0"/>
          <w:numId w:val="8"/>
        </w:numPr>
        <w:spacing w:before="0" w:after="0"/>
        <w:ind w:left="426"/>
        <w:rPr>
          <w:rFonts w:ascii="Open Sans" w:hAnsi="Open Sans" w:cs="Open Sans"/>
        </w:rPr>
      </w:pPr>
      <w:r w:rsidRPr="00000D4E">
        <w:rPr>
          <w:rFonts w:ascii="Open Sans" w:hAnsi="Open Sans" w:cs="Open Sans"/>
        </w:rPr>
        <w:t>instances of swapping goods and services for cash well below their value</w:t>
      </w:r>
      <w:r w:rsidR="00000D4E">
        <w:rPr>
          <w:rFonts w:ascii="Open Sans" w:hAnsi="Open Sans" w:cs="Open Sans"/>
        </w:rPr>
        <w:t>;</w:t>
      </w:r>
      <w:r w:rsidRPr="00000D4E">
        <w:rPr>
          <w:rStyle w:val="EndnoteReference"/>
          <w:rFonts w:ascii="Open Sans" w:hAnsi="Open Sans" w:cs="Open Sans"/>
          <w:sz w:val="24"/>
        </w:rPr>
        <w:endnoteReference w:id="6"/>
      </w:r>
      <w:r w:rsidRPr="00000D4E">
        <w:rPr>
          <w:rFonts w:ascii="Open Sans" w:hAnsi="Open Sans" w:cs="Open Sans"/>
        </w:rPr>
        <w:t xml:space="preserve"> and</w:t>
      </w:r>
    </w:p>
    <w:p w14:paraId="767E453C" w14:textId="30A1F830" w:rsidR="00FC4B65" w:rsidRPr="00000D4E" w:rsidRDefault="00FC4B65" w:rsidP="00436333">
      <w:pPr>
        <w:pStyle w:val="ListParagraph"/>
        <w:numPr>
          <w:ilvl w:val="0"/>
          <w:numId w:val="8"/>
        </w:numPr>
        <w:spacing w:before="0" w:after="0"/>
        <w:ind w:left="426"/>
        <w:rPr>
          <w:rFonts w:ascii="Open Sans" w:hAnsi="Open Sans" w:cs="Open Sans"/>
        </w:rPr>
      </w:pPr>
      <w:r w:rsidRPr="00000D4E">
        <w:rPr>
          <w:rFonts w:ascii="Open Sans" w:hAnsi="Open Sans" w:cs="Open Sans"/>
        </w:rPr>
        <w:t>purchase of substitute cards.</w:t>
      </w:r>
    </w:p>
    <w:p w14:paraId="6532F3CD" w14:textId="77777777" w:rsidR="00FC4B65" w:rsidRPr="00000D4E" w:rsidRDefault="00FC4B65" w:rsidP="00FC4B65">
      <w:pPr>
        <w:spacing w:before="0" w:after="0"/>
        <w:rPr>
          <w:rFonts w:ascii="Open Sans" w:hAnsi="Open Sans" w:cs="Open Sans"/>
        </w:rPr>
      </w:pPr>
    </w:p>
    <w:p w14:paraId="59EE79DD" w14:textId="1AAA07E4" w:rsidR="000860B4" w:rsidRPr="00000D4E" w:rsidRDefault="00EE3FA8" w:rsidP="00436333">
      <w:pPr>
        <w:spacing w:before="0" w:after="0"/>
        <w:rPr>
          <w:rFonts w:ascii="Open Sans" w:hAnsi="Open Sans" w:cs="Open Sans"/>
        </w:rPr>
      </w:pPr>
      <w:bookmarkStart w:id="5" w:name="_Hlk20125285"/>
      <w:r w:rsidRPr="00000D4E">
        <w:rPr>
          <w:rFonts w:ascii="Open Sans" w:hAnsi="Open Sans" w:cs="Open Sans"/>
        </w:rPr>
        <w:t xml:space="preserve">The Auditor-General released a report in 2018 into the implementation and performance of the </w:t>
      </w:r>
      <w:r w:rsidR="0081734C" w:rsidRPr="00000D4E">
        <w:rPr>
          <w:rFonts w:ascii="Open Sans" w:hAnsi="Open Sans" w:cs="Open Sans"/>
        </w:rPr>
        <w:t>CDC</w:t>
      </w:r>
      <w:r w:rsidRPr="00000D4E">
        <w:rPr>
          <w:rFonts w:ascii="Open Sans" w:hAnsi="Open Sans" w:cs="Open Sans"/>
        </w:rPr>
        <w:t xml:space="preserve"> trial, which found </w:t>
      </w:r>
      <w:r w:rsidR="00421426">
        <w:rPr>
          <w:rFonts w:ascii="Open Sans" w:hAnsi="Open Sans" w:cs="Open Sans"/>
        </w:rPr>
        <w:t>‘</w:t>
      </w:r>
      <w:r w:rsidRPr="00746350">
        <w:rPr>
          <w:rFonts w:ascii="Open Sans" w:hAnsi="Open Sans" w:cs="Open Sans"/>
        </w:rPr>
        <w:t>ORIMA did not use all relevant data to measure the impact of the trial</w:t>
      </w:r>
      <w:r w:rsidR="00421426">
        <w:rPr>
          <w:rFonts w:ascii="Open Sans" w:hAnsi="Open Sans" w:cs="Open Sans"/>
        </w:rPr>
        <w:t>’</w:t>
      </w:r>
      <w:r w:rsidRPr="00A137DB">
        <w:rPr>
          <w:rFonts w:ascii="Open Sans" w:hAnsi="Open Sans" w:cs="Open Sans"/>
        </w:rPr>
        <w:t>.</w:t>
      </w:r>
      <w:r w:rsidRPr="00000D4E">
        <w:rPr>
          <w:rStyle w:val="EndnoteReference"/>
          <w:rFonts w:ascii="Open Sans" w:hAnsi="Open Sans" w:cs="Open Sans"/>
          <w:sz w:val="24"/>
        </w:rPr>
        <w:endnoteReference w:id="7"/>
      </w:r>
      <w:r w:rsidRPr="00000D4E">
        <w:rPr>
          <w:rFonts w:ascii="Open Sans" w:hAnsi="Open Sans" w:cs="Open Sans"/>
        </w:rPr>
        <w:t xml:space="preserve"> </w:t>
      </w:r>
    </w:p>
    <w:p w14:paraId="412F2A66" w14:textId="77777777" w:rsidR="000860B4" w:rsidRPr="00000D4E" w:rsidRDefault="000860B4" w:rsidP="000860B4">
      <w:pPr>
        <w:spacing w:before="0" w:after="0"/>
        <w:ind w:left="360" w:firstLine="360"/>
        <w:rPr>
          <w:rFonts w:ascii="Open Sans" w:hAnsi="Open Sans" w:cs="Open Sans"/>
        </w:rPr>
      </w:pPr>
    </w:p>
    <w:p w14:paraId="0EC217FA" w14:textId="55C662E1" w:rsidR="00EE3FA8" w:rsidRPr="00746350" w:rsidRDefault="00EE3FA8" w:rsidP="00436333">
      <w:pPr>
        <w:spacing w:before="0" w:after="0"/>
        <w:rPr>
          <w:rFonts w:ascii="Open Sans" w:hAnsi="Open Sans" w:cs="Open Sans"/>
        </w:rPr>
      </w:pPr>
      <w:r w:rsidRPr="00000D4E">
        <w:rPr>
          <w:rFonts w:ascii="Open Sans" w:hAnsi="Open Sans" w:cs="Open Sans"/>
        </w:rPr>
        <w:t>The Auditor-General further found that the approach to monitoring and evaluation was ‘inadequate’ and that</w:t>
      </w:r>
      <w:r w:rsidR="00A137DB" w:rsidRPr="00000D4E" w:rsidDel="00A137DB">
        <w:rPr>
          <w:rFonts w:ascii="Open Sans" w:hAnsi="Open Sans" w:cs="Open Sans"/>
        </w:rPr>
        <w:t xml:space="preserve"> </w:t>
      </w:r>
      <w:r w:rsidRPr="00746350">
        <w:rPr>
          <w:rFonts w:ascii="Open Sans" w:hAnsi="Open Sans" w:cs="Open Sans"/>
        </w:rPr>
        <w:t xml:space="preserve">‘it is difficult to conclude whether there had </w:t>
      </w:r>
      <w:r w:rsidRPr="00746350">
        <w:rPr>
          <w:rFonts w:ascii="Open Sans" w:hAnsi="Open Sans" w:cs="Open Sans"/>
        </w:rPr>
        <w:lastRenderedPageBreak/>
        <w:t>been a reduction in social harm and whether the card was a lower cost welfare quarantining approach’.</w:t>
      </w:r>
      <w:r w:rsidRPr="00746350">
        <w:rPr>
          <w:rStyle w:val="EndnoteReference"/>
          <w:rFonts w:ascii="Open Sans" w:hAnsi="Open Sans" w:cs="Open Sans"/>
          <w:sz w:val="24"/>
        </w:rPr>
        <w:endnoteReference w:id="8"/>
      </w:r>
    </w:p>
    <w:p w14:paraId="0FE9933C" w14:textId="77777777" w:rsidR="00EE3FA8" w:rsidRPr="00000D4E" w:rsidRDefault="00EE3FA8" w:rsidP="000B3D99">
      <w:pPr>
        <w:spacing w:before="0" w:after="0"/>
        <w:ind w:left="360"/>
        <w:rPr>
          <w:rFonts w:ascii="Open Sans" w:hAnsi="Open Sans" w:cs="Open Sans"/>
        </w:rPr>
      </w:pPr>
    </w:p>
    <w:p w14:paraId="057DA42E" w14:textId="2E3F1389" w:rsidR="004E6E46" w:rsidRDefault="00472E28" w:rsidP="00436333">
      <w:pPr>
        <w:spacing w:before="0" w:after="0"/>
        <w:rPr>
          <w:rFonts w:ascii="Open Sans" w:hAnsi="Open Sans" w:cs="Open Sans"/>
        </w:rPr>
      </w:pPr>
      <w:r w:rsidRPr="00000D4E">
        <w:rPr>
          <w:rFonts w:ascii="Open Sans" w:hAnsi="Open Sans" w:cs="Open Sans"/>
        </w:rPr>
        <w:t>While</w:t>
      </w:r>
      <w:r w:rsidR="00EE3FA8" w:rsidRPr="00000D4E">
        <w:rPr>
          <w:rFonts w:ascii="Open Sans" w:hAnsi="Open Sans" w:cs="Open Sans"/>
        </w:rPr>
        <w:t xml:space="preserve"> the latest report on the</w:t>
      </w:r>
      <w:r w:rsidR="001C14DD" w:rsidRPr="00000D4E">
        <w:rPr>
          <w:rFonts w:ascii="Open Sans" w:hAnsi="Open Sans" w:cs="Open Sans"/>
        </w:rPr>
        <w:t xml:space="preserve"> </w:t>
      </w:r>
      <w:r w:rsidR="002A73B6" w:rsidRPr="00000D4E">
        <w:rPr>
          <w:rFonts w:ascii="Open Sans" w:hAnsi="Open Sans" w:cs="Open Sans"/>
        </w:rPr>
        <w:t>efficacy of the CDC</w:t>
      </w:r>
      <w:r w:rsidR="001C14DD" w:rsidRPr="00000D4E">
        <w:rPr>
          <w:rFonts w:ascii="Open Sans" w:hAnsi="Open Sans" w:cs="Open Sans"/>
        </w:rPr>
        <w:t>,</w:t>
      </w:r>
      <w:r w:rsidRPr="00000D4E">
        <w:rPr>
          <w:rFonts w:ascii="Open Sans" w:hAnsi="Open Sans" w:cs="Open Sans"/>
          <w:i/>
          <w:iCs/>
        </w:rPr>
        <w:t xml:space="preserve"> </w:t>
      </w:r>
      <w:r w:rsidR="00FC4B65" w:rsidRPr="00000D4E">
        <w:rPr>
          <w:rFonts w:ascii="Open Sans" w:hAnsi="Open Sans" w:cs="Open Sans"/>
          <w:i/>
          <w:iCs/>
        </w:rPr>
        <w:t>Cashless Debit Card Baseline Data Collection in the Goldfields Region: Qualitative Findings</w:t>
      </w:r>
      <w:r w:rsidR="00FC4B65" w:rsidRPr="00000D4E">
        <w:rPr>
          <w:rFonts w:ascii="Open Sans" w:hAnsi="Open Sans" w:cs="Open Sans"/>
        </w:rPr>
        <w:t xml:space="preserve"> by </w:t>
      </w:r>
      <w:r w:rsidR="001C14DD" w:rsidRPr="00000D4E">
        <w:rPr>
          <w:rFonts w:ascii="Open Sans" w:hAnsi="Open Sans" w:cs="Open Sans"/>
        </w:rPr>
        <w:t>t</w:t>
      </w:r>
      <w:r w:rsidR="00FC4B65" w:rsidRPr="00000D4E">
        <w:rPr>
          <w:rFonts w:ascii="Open Sans" w:hAnsi="Open Sans" w:cs="Open Sans"/>
        </w:rPr>
        <w:t>he University of Adelaide</w:t>
      </w:r>
      <w:bookmarkEnd w:id="5"/>
      <w:r w:rsidR="002A73B6" w:rsidRPr="00000D4E">
        <w:rPr>
          <w:rFonts w:ascii="Open Sans" w:hAnsi="Open Sans" w:cs="Open Sans"/>
        </w:rPr>
        <w:t>,</w:t>
      </w:r>
      <w:r w:rsidRPr="00000D4E">
        <w:rPr>
          <w:rFonts w:ascii="Open Sans" w:hAnsi="Open Sans" w:cs="Open Sans"/>
        </w:rPr>
        <w:t xml:space="preserve"> </w:t>
      </w:r>
      <w:r w:rsidR="001E6073" w:rsidRPr="00000D4E">
        <w:rPr>
          <w:rFonts w:ascii="Open Sans" w:hAnsi="Open Sans" w:cs="Open Sans"/>
        </w:rPr>
        <w:t xml:space="preserve">reports a decrease </w:t>
      </w:r>
      <w:r w:rsidR="00484A0F" w:rsidRPr="00000D4E">
        <w:rPr>
          <w:rFonts w:ascii="Open Sans" w:hAnsi="Open Sans" w:cs="Open Sans"/>
        </w:rPr>
        <w:t xml:space="preserve">in the </w:t>
      </w:r>
      <w:r w:rsidR="001E6073" w:rsidRPr="00000D4E">
        <w:rPr>
          <w:rFonts w:ascii="Open Sans" w:hAnsi="Open Sans" w:cs="Open Sans"/>
        </w:rPr>
        <w:t>use of substance and alcohol use</w:t>
      </w:r>
      <w:r w:rsidR="002A73B6" w:rsidRPr="00000D4E">
        <w:rPr>
          <w:rFonts w:ascii="Open Sans" w:hAnsi="Open Sans" w:cs="Open Sans"/>
        </w:rPr>
        <w:t>,</w:t>
      </w:r>
      <w:r w:rsidR="001E6073" w:rsidRPr="00000D4E">
        <w:rPr>
          <w:rStyle w:val="EndnoteReference"/>
          <w:rFonts w:ascii="Open Sans" w:hAnsi="Open Sans" w:cs="Open Sans"/>
          <w:sz w:val="24"/>
        </w:rPr>
        <w:endnoteReference w:id="9"/>
      </w:r>
      <w:r w:rsidR="001E6073" w:rsidRPr="00000D4E">
        <w:rPr>
          <w:rFonts w:ascii="Open Sans" w:hAnsi="Open Sans" w:cs="Open Sans"/>
        </w:rPr>
        <w:t xml:space="preserve"> it does not </w:t>
      </w:r>
      <w:r w:rsidR="003D7E6D" w:rsidRPr="00000D4E">
        <w:rPr>
          <w:rFonts w:ascii="Open Sans" w:hAnsi="Open Sans" w:cs="Open Sans"/>
        </w:rPr>
        <w:t>use</w:t>
      </w:r>
      <w:r w:rsidR="001E6073" w:rsidRPr="00000D4E">
        <w:rPr>
          <w:rFonts w:ascii="Open Sans" w:hAnsi="Open Sans" w:cs="Open Sans"/>
        </w:rPr>
        <w:t xml:space="preserve"> any quantitative data to support the </w:t>
      </w:r>
      <w:r w:rsidR="00877FB9">
        <w:rPr>
          <w:rFonts w:ascii="Open Sans" w:hAnsi="Open Sans" w:cs="Open Sans"/>
        </w:rPr>
        <w:t xml:space="preserve">finding of a </w:t>
      </w:r>
      <w:r w:rsidR="001E6073" w:rsidRPr="00000D4E">
        <w:rPr>
          <w:rFonts w:ascii="Open Sans" w:hAnsi="Open Sans" w:cs="Open Sans"/>
        </w:rPr>
        <w:t xml:space="preserve">reduction in alcohol and drug use and misuse, </w:t>
      </w:r>
      <w:r w:rsidR="00877FB9">
        <w:rPr>
          <w:rFonts w:ascii="Open Sans" w:hAnsi="Open Sans" w:cs="Open Sans"/>
        </w:rPr>
        <w:t xml:space="preserve">an increase in </w:t>
      </w:r>
      <w:r w:rsidR="001E6073" w:rsidRPr="00000D4E">
        <w:rPr>
          <w:rFonts w:ascii="Open Sans" w:hAnsi="Open Sans" w:cs="Open Sans"/>
        </w:rPr>
        <w:t xml:space="preserve">child welfare and well-being, </w:t>
      </w:r>
      <w:r w:rsidR="003F4D28">
        <w:rPr>
          <w:rFonts w:ascii="Open Sans" w:hAnsi="Open Sans" w:cs="Open Sans"/>
        </w:rPr>
        <w:t xml:space="preserve">improved </w:t>
      </w:r>
      <w:r w:rsidR="001E6073" w:rsidRPr="00000D4E">
        <w:rPr>
          <w:rFonts w:ascii="Open Sans" w:hAnsi="Open Sans" w:cs="Open Sans"/>
        </w:rPr>
        <w:t xml:space="preserve">money management, and </w:t>
      </w:r>
      <w:r w:rsidR="00877FB9">
        <w:rPr>
          <w:rFonts w:ascii="Open Sans" w:hAnsi="Open Sans" w:cs="Open Sans"/>
        </w:rPr>
        <w:t xml:space="preserve">reduced </w:t>
      </w:r>
      <w:r w:rsidR="001E6073" w:rsidRPr="00000D4E">
        <w:rPr>
          <w:rFonts w:ascii="Open Sans" w:hAnsi="Open Sans" w:cs="Open Sans"/>
        </w:rPr>
        <w:t>crime and family violence</w:t>
      </w:r>
      <w:r w:rsidR="000B3D99" w:rsidRPr="00000D4E">
        <w:rPr>
          <w:rFonts w:ascii="Open Sans" w:hAnsi="Open Sans" w:cs="Open Sans"/>
        </w:rPr>
        <w:t>;</w:t>
      </w:r>
      <w:r w:rsidR="00156E94" w:rsidRPr="00000D4E">
        <w:rPr>
          <w:rFonts w:ascii="Open Sans" w:hAnsi="Open Sans" w:cs="Open Sans"/>
        </w:rPr>
        <w:t xml:space="preserve"> key areas </w:t>
      </w:r>
      <w:r w:rsidR="002A73B6" w:rsidRPr="00000D4E">
        <w:rPr>
          <w:rFonts w:ascii="Open Sans" w:hAnsi="Open Sans" w:cs="Open Sans"/>
        </w:rPr>
        <w:t>for which</w:t>
      </w:r>
      <w:r w:rsidR="00156E94" w:rsidRPr="00000D4E">
        <w:rPr>
          <w:rFonts w:ascii="Open Sans" w:hAnsi="Open Sans" w:cs="Open Sans"/>
        </w:rPr>
        <w:t xml:space="preserve"> the CDC was set up to </w:t>
      </w:r>
      <w:r w:rsidR="002A73B6" w:rsidRPr="00000D4E">
        <w:rPr>
          <w:rFonts w:ascii="Open Sans" w:hAnsi="Open Sans" w:cs="Open Sans"/>
        </w:rPr>
        <w:t>address</w:t>
      </w:r>
      <w:r w:rsidR="001E6073" w:rsidRPr="00000D4E">
        <w:rPr>
          <w:rFonts w:ascii="Open Sans" w:hAnsi="Open Sans" w:cs="Open Sans"/>
        </w:rPr>
        <w:t>.</w:t>
      </w:r>
      <w:r w:rsidR="001E6073" w:rsidRPr="00000D4E">
        <w:rPr>
          <w:rStyle w:val="EndnoteReference"/>
          <w:rFonts w:ascii="Open Sans" w:hAnsi="Open Sans" w:cs="Open Sans"/>
          <w:sz w:val="24"/>
        </w:rPr>
        <w:endnoteReference w:id="10"/>
      </w:r>
      <w:r w:rsidR="002E5396" w:rsidRPr="00000D4E">
        <w:rPr>
          <w:rFonts w:ascii="Open Sans" w:hAnsi="Open Sans" w:cs="Open Sans"/>
        </w:rPr>
        <w:t xml:space="preserve"> </w:t>
      </w:r>
      <w:r w:rsidR="001F0C4C">
        <w:rPr>
          <w:rFonts w:ascii="Open Sans" w:hAnsi="Open Sans" w:cs="Open Sans"/>
        </w:rPr>
        <w:t>The</w:t>
      </w:r>
      <w:r w:rsidR="001F0C4C" w:rsidRPr="001F0C4C">
        <w:rPr>
          <w:rFonts w:ascii="Open Sans" w:hAnsi="Open Sans" w:cs="Open Sans"/>
        </w:rPr>
        <w:t xml:space="preserve"> report relies on only qualitative data, being stakeholder responses of personal </w:t>
      </w:r>
      <w:r w:rsidR="002631AE">
        <w:rPr>
          <w:rFonts w:ascii="Open Sans" w:hAnsi="Open Sans" w:cs="Open Sans"/>
        </w:rPr>
        <w:t>experience.</w:t>
      </w:r>
    </w:p>
    <w:p w14:paraId="7FBF4A6D" w14:textId="4B0A43CE" w:rsidR="0040112D" w:rsidRDefault="001D7116" w:rsidP="001D7116">
      <w:pPr>
        <w:tabs>
          <w:tab w:val="num" w:pos="720"/>
        </w:tabs>
        <w:rPr>
          <w:rFonts w:ascii="Open Sans" w:eastAsia="Calibri" w:hAnsi="Open Sans" w:cs="Open Sans"/>
          <w:lang w:val="en-US" w:eastAsia="en-US"/>
        </w:rPr>
      </w:pPr>
      <w:r>
        <w:rPr>
          <w:rFonts w:ascii="Open Sans" w:eastAsia="Calibri" w:hAnsi="Open Sans" w:cs="Open Sans"/>
          <w:lang w:val="en-US" w:eastAsia="en-US"/>
        </w:rPr>
        <w:t xml:space="preserve">The </w:t>
      </w:r>
      <w:r w:rsidRPr="001D7116">
        <w:rPr>
          <w:rFonts w:ascii="Open Sans" w:eastAsia="Calibri" w:hAnsi="Open Sans" w:cs="Open Sans"/>
          <w:lang w:val="en-US" w:eastAsia="en-US"/>
        </w:rPr>
        <w:t xml:space="preserve">report contains </w:t>
      </w:r>
      <w:r w:rsidR="00BF3BC1">
        <w:rPr>
          <w:rFonts w:ascii="Open Sans" w:eastAsia="Calibri" w:hAnsi="Open Sans" w:cs="Open Sans"/>
          <w:lang w:val="en-US" w:eastAsia="en-US"/>
        </w:rPr>
        <w:t xml:space="preserve">mixed </w:t>
      </w:r>
      <w:r w:rsidRPr="001D7116">
        <w:rPr>
          <w:rFonts w:ascii="Open Sans" w:eastAsia="Calibri" w:hAnsi="Open Sans" w:cs="Open Sans"/>
          <w:lang w:val="en-US" w:eastAsia="en-US"/>
        </w:rPr>
        <w:t>stakeholder responses</w:t>
      </w:r>
      <w:r w:rsidR="00BF3BC1">
        <w:rPr>
          <w:rFonts w:ascii="Open Sans" w:eastAsia="Calibri" w:hAnsi="Open Sans" w:cs="Open Sans"/>
          <w:lang w:val="en-US" w:eastAsia="en-US"/>
        </w:rPr>
        <w:t xml:space="preserve">, some of which </w:t>
      </w:r>
      <w:r w:rsidR="003F4D28">
        <w:rPr>
          <w:rFonts w:ascii="Open Sans" w:eastAsia="Calibri" w:hAnsi="Open Sans" w:cs="Open Sans"/>
          <w:lang w:val="en-US" w:eastAsia="en-US"/>
        </w:rPr>
        <w:t>perceive</w:t>
      </w:r>
      <w:r w:rsidRPr="001D7116">
        <w:rPr>
          <w:rFonts w:ascii="Open Sans" w:eastAsia="Calibri" w:hAnsi="Open Sans" w:cs="Open Sans"/>
          <w:lang w:val="en-US" w:eastAsia="en-US"/>
        </w:rPr>
        <w:t xml:space="preserve"> a decrease in illicit drug usage, </w:t>
      </w:r>
      <w:r w:rsidR="00BF3BC1">
        <w:rPr>
          <w:rFonts w:ascii="Open Sans" w:eastAsia="Calibri" w:hAnsi="Open Sans" w:cs="Open Sans"/>
          <w:lang w:val="en-US" w:eastAsia="en-US"/>
        </w:rPr>
        <w:t xml:space="preserve">and others which perceive the </w:t>
      </w:r>
      <w:r w:rsidRPr="001D7116">
        <w:rPr>
          <w:rFonts w:ascii="Open Sans" w:eastAsia="Calibri" w:hAnsi="Open Sans" w:cs="Open Sans"/>
          <w:lang w:val="en-US" w:eastAsia="en-US"/>
        </w:rPr>
        <w:t xml:space="preserve">incidence of drug use in the Goldfields region </w:t>
      </w:r>
      <w:r w:rsidR="00BF3BC1">
        <w:rPr>
          <w:rFonts w:ascii="Open Sans" w:eastAsia="Calibri" w:hAnsi="Open Sans" w:cs="Open Sans"/>
          <w:lang w:val="en-US" w:eastAsia="en-US"/>
        </w:rPr>
        <w:t xml:space="preserve">as </w:t>
      </w:r>
      <w:r w:rsidR="00BF3BC1" w:rsidRPr="001D7116">
        <w:rPr>
          <w:rFonts w:ascii="Open Sans" w:eastAsia="Calibri" w:hAnsi="Open Sans" w:cs="Open Sans"/>
          <w:lang w:val="en-US" w:eastAsia="en-US"/>
        </w:rPr>
        <w:t>a deeply entrenched challenge</w:t>
      </w:r>
      <w:r w:rsidR="0040112D">
        <w:rPr>
          <w:rFonts w:ascii="Open Sans" w:eastAsia="Calibri" w:hAnsi="Open Sans" w:cs="Open Sans"/>
          <w:lang w:val="en-US" w:eastAsia="en-US"/>
        </w:rPr>
        <w:t xml:space="preserve"> </w:t>
      </w:r>
      <w:r w:rsidR="00BF3BC1">
        <w:rPr>
          <w:rFonts w:ascii="Open Sans" w:eastAsia="Calibri" w:hAnsi="Open Sans" w:cs="Open Sans"/>
          <w:lang w:val="en-US" w:eastAsia="en-US"/>
        </w:rPr>
        <w:t>which the CDC</w:t>
      </w:r>
      <w:r w:rsidR="0040112D">
        <w:rPr>
          <w:rFonts w:ascii="Open Sans" w:eastAsia="Calibri" w:hAnsi="Open Sans" w:cs="Open Sans"/>
          <w:lang w:val="en-US" w:eastAsia="en-US"/>
        </w:rPr>
        <w:t xml:space="preserve"> does not effectively address.</w:t>
      </w:r>
      <w:r>
        <w:rPr>
          <w:rStyle w:val="EndnoteReference"/>
          <w:rFonts w:eastAsia="Calibri" w:cs="Open Sans"/>
          <w:lang w:val="en-US" w:eastAsia="en-US"/>
        </w:rPr>
        <w:endnoteReference w:id="11"/>
      </w:r>
      <w:r w:rsidRPr="001D7116">
        <w:rPr>
          <w:rFonts w:ascii="Open Sans" w:eastAsia="Calibri" w:hAnsi="Open Sans" w:cs="Open Sans"/>
          <w:lang w:val="en-US" w:eastAsia="en-US"/>
        </w:rPr>
        <w:t xml:space="preserve"> </w:t>
      </w:r>
    </w:p>
    <w:p w14:paraId="445A7060" w14:textId="63D81285" w:rsidR="001D7116" w:rsidRPr="001D7116" w:rsidRDefault="001D7116" w:rsidP="001D7116">
      <w:pPr>
        <w:tabs>
          <w:tab w:val="num" w:pos="720"/>
        </w:tabs>
        <w:rPr>
          <w:rFonts w:ascii="Open Sans" w:eastAsia="Times New Roman" w:hAnsi="Open Sans" w:cs="Open Sans"/>
          <w:lang w:val="en-US" w:eastAsia="en-US"/>
        </w:rPr>
      </w:pPr>
      <w:r w:rsidRPr="001D7116">
        <w:rPr>
          <w:rFonts w:ascii="Open Sans" w:eastAsia="Calibri" w:hAnsi="Open Sans" w:cs="Open Sans"/>
          <w:lang w:val="en-US" w:eastAsia="en-US"/>
        </w:rPr>
        <w:t>For example, there were reports of different methods being used to access cash to purchase drugs, including the selling of goods which participants were permitted to buy with a cashless debit card, or passing on a card to drug dealers by way of payment. There were also reports of people resorting to criminal activities to obtain money to purchase illicit drugs. The report stated:</w:t>
      </w:r>
    </w:p>
    <w:p w14:paraId="5C95EEBC" w14:textId="1B8B1EF6" w:rsidR="001D7116" w:rsidRPr="00746350" w:rsidRDefault="001D7116" w:rsidP="002D40CA">
      <w:pPr>
        <w:tabs>
          <w:tab w:val="left" w:pos="720"/>
        </w:tabs>
        <w:ind w:left="720"/>
        <w:rPr>
          <w:rFonts w:ascii="Open Sans" w:eastAsia="Calibri" w:hAnsi="Open Sans" w:cs="Open Sans"/>
          <w:sz w:val="22"/>
          <w:szCs w:val="22"/>
          <w:lang w:val="en-US" w:eastAsia="en-US"/>
        </w:rPr>
      </w:pPr>
      <w:r w:rsidRPr="00746350">
        <w:rPr>
          <w:rFonts w:ascii="Open Sans" w:eastAsia="Calibri" w:hAnsi="Open Sans" w:cs="Open Sans"/>
          <w:sz w:val="22"/>
          <w:szCs w:val="22"/>
          <w:lang w:val="en-US" w:eastAsia="en-US"/>
        </w:rPr>
        <w:t>However, other participants were pessimistic that the CDC could ever have a positive impact on the drug habits of people experiencing addiction, commenting that many of these people did not want to quit and instead would seek alternative ways to feed their habit</w:t>
      </w:r>
      <w:r w:rsidR="002D40CA" w:rsidRPr="00746350">
        <w:rPr>
          <w:rFonts w:ascii="Open Sans" w:eastAsia="Calibri" w:hAnsi="Open Sans" w:cs="Open Sans"/>
          <w:sz w:val="22"/>
          <w:szCs w:val="22"/>
          <w:lang w:val="en-US" w:eastAsia="en-US"/>
        </w:rPr>
        <w:t>.</w:t>
      </w:r>
      <w:r w:rsidR="002D40CA" w:rsidRPr="00746350">
        <w:rPr>
          <w:rStyle w:val="EndnoteReference"/>
          <w:rFonts w:ascii="Open Sans" w:eastAsia="Calibri" w:hAnsi="Open Sans" w:cs="Open Sans"/>
          <w:sz w:val="22"/>
          <w:szCs w:val="22"/>
          <w:lang w:val="en-US" w:eastAsia="en-US"/>
        </w:rPr>
        <w:endnoteReference w:id="12"/>
      </w:r>
    </w:p>
    <w:p w14:paraId="6927FD02" w14:textId="5226D30E" w:rsidR="00903BCC" w:rsidRPr="00000D4E" w:rsidRDefault="00EE3FA8" w:rsidP="00C433C1">
      <w:pPr>
        <w:spacing w:before="0" w:after="0"/>
        <w:rPr>
          <w:rFonts w:ascii="Open Sans" w:hAnsi="Open Sans" w:cs="Open Sans"/>
        </w:rPr>
      </w:pPr>
      <w:r w:rsidRPr="00B40BDC">
        <w:rPr>
          <w:rFonts w:ascii="Open Sans" w:hAnsi="Open Sans" w:cs="Open Sans"/>
        </w:rPr>
        <w:t>The</w:t>
      </w:r>
      <w:r w:rsidRPr="00000D4E">
        <w:rPr>
          <w:rFonts w:ascii="Open Sans" w:hAnsi="Open Sans" w:cs="Open Sans"/>
        </w:rPr>
        <w:t xml:space="preserve"> Commission considers that it is inappropriate to extend the </w:t>
      </w:r>
      <w:r w:rsidR="00B40BDC">
        <w:rPr>
          <w:rFonts w:ascii="Open Sans" w:hAnsi="Open Sans" w:cs="Open Sans"/>
        </w:rPr>
        <w:t xml:space="preserve">CDC </w:t>
      </w:r>
      <w:r w:rsidRPr="00000D4E">
        <w:rPr>
          <w:rFonts w:ascii="Open Sans" w:hAnsi="Open Sans" w:cs="Open Sans"/>
        </w:rPr>
        <w:t xml:space="preserve">trial to additional sites </w:t>
      </w:r>
      <w:r w:rsidR="00B40BDC">
        <w:rPr>
          <w:rFonts w:ascii="Open Sans" w:hAnsi="Open Sans" w:cs="Open Sans"/>
        </w:rPr>
        <w:t xml:space="preserve">given </w:t>
      </w:r>
      <w:r w:rsidRPr="00000D4E">
        <w:rPr>
          <w:rFonts w:ascii="Open Sans" w:hAnsi="Open Sans" w:cs="Open Sans"/>
        </w:rPr>
        <w:t xml:space="preserve">there is </w:t>
      </w:r>
      <w:r w:rsidR="00B40BDC">
        <w:rPr>
          <w:rFonts w:ascii="Open Sans" w:hAnsi="Open Sans" w:cs="Open Sans"/>
        </w:rPr>
        <w:t xml:space="preserve">insufficient </w:t>
      </w:r>
      <w:r w:rsidRPr="00000D4E">
        <w:rPr>
          <w:rFonts w:ascii="Open Sans" w:hAnsi="Open Sans" w:cs="Open Sans"/>
        </w:rPr>
        <w:t xml:space="preserve">evidence to demonstrate that it has been </w:t>
      </w:r>
      <w:r w:rsidR="00B40BDC">
        <w:rPr>
          <w:rFonts w:ascii="Open Sans" w:hAnsi="Open Sans" w:cs="Open Sans"/>
        </w:rPr>
        <w:t xml:space="preserve">an </w:t>
      </w:r>
      <w:r w:rsidRPr="00000D4E">
        <w:rPr>
          <w:rFonts w:ascii="Open Sans" w:hAnsi="Open Sans" w:cs="Open Sans"/>
        </w:rPr>
        <w:t>effective</w:t>
      </w:r>
      <w:r w:rsidR="00B40BDC">
        <w:rPr>
          <w:rFonts w:ascii="Open Sans" w:hAnsi="Open Sans" w:cs="Open Sans"/>
        </w:rPr>
        <w:t xml:space="preserve"> and proportionate measure in existing trial sites</w:t>
      </w:r>
      <w:r w:rsidRPr="00000D4E">
        <w:rPr>
          <w:rFonts w:ascii="Open Sans" w:hAnsi="Open Sans" w:cs="Open Sans"/>
        </w:rPr>
        <w:t>.</w:t>
      </w:r>
      <w:r w:rsidR="00B40BDC" w:rsidRPr="00B40BDC">
        <w:rPr>
          <w:rFonts w:ascii="Open Sans" w:hAnsi="Open Sans" w:cs="Open Sans"/>
        </w:rPr>
        <w:t xml:space="preserve"> </w:t>
      </w:r>
    </w:p>
    <w:p w14:paraId="1D05E24F" w14:textId="77777777" w:rsidR="00421426" w:rsidRDefault="00421426" w:rsidP="00C433C1">
      <w:pPr>
        <w:rPr>
          <w:rFonts w:ascii="Open Sans" w:hAnsi="Open Sans" w:cs="Open Sans"/>
          <w:b/>
        </w:rPr>
      </w:pPr>
    </w:p>
    <w:p w14:paraId="1589EE47" w14:textId="66671E64" w:rsidR="00436333" w:rsidRPr="00000D4E" w:rsidRDefault="002E08B7" w:rsidP="00C433C1">
      <w:pPr>
        <w:rPr>
          <w:rFonts w:ascii="Open Sans" w:hAnsi="Open Sans" w:cs="Open Sans"/>
          <w:b/>
        </w:rPr>
      </w:pPr>
      <w:r w:rsidRPr="00000D4E">
        <w:rPr>
          <w:rFonts w:ascii="Open Sans" w:hAnsi="Open Sans" w:cs="Open Sans"/>
          <w:b/>
        </w:rPr>
        <w:t>Wider application</w:t>
      </w:r>
      <w:r w:rsidR="007F160E" w:rsidRPr="00000D4E">
        <w:rPr>
          <w:rFonts w:ascii="Open Sans" w:hAnsi="Open Sans" w:cs="Open Sans"/>
          <w:b/>
        </w:rPr>
        <w:t xml:space="preserve"> of trial participants</w:t>
      </w:r>
    </w:p>
    <w:p w14:paraId="3619C84A" w14:textId="77777777" w:rsidR="004E6E46" w:rsidRDefault="002E08B7" w:rsidP="00436333">
      <w:pPr>
        <w:spacing w:before="0" w:after="0"/>
        <w:rPr>
          <w:rFonts w:ascii="Open Sans" w:hAnsi="Open Sans" w:cs="Open Sans"/>
        </w:rPr>
      </w:pPr>
      <w:r w:rsidRPr="00000D4E">
        <w:rPr>
          <w:rFonts w:ascii="Open Sans" w:hAnsi="Open Sans" w:cs="Open Sans"/>
        </w:rPr>
        <w:t xml:space="preserve">The Bill proposes to extend the end date for existing </w:t>
      </w:r>
      <w:r w:rsidR="0081734C" w:rsidRPr="00000D4E">
        <w:rPr>
          <w:rFonts w:ascii="Open Sans" w:hAnsi="Open Sans" w:cs="Open Sans"/>
        </w:rPr>
        <w:t>CDC</w:t>
      </w:r>
      <w:r w:rsidRPr="00000D4E">
        <w:rPr>
          <w:rFonts w:ascii="Open Sans" w:hAnsi="Open Sans" w:cs="Open Sans"/>
        </w:rPr>
        <w:t xml:space="preserve"> trial areas </w:t>
      </w:r>
      <w:r w:rsidR="004E6E46">
        <w:rPr>
          <w:rFonts w:ascii="Open Sans" w:hAnsi="Open Sans" w:cs="Open Sans"/>
        </w:rPr>
        <w:t xml:space="preserve">and </w:t>
      </w:r>
      <w:r w:rsidRPr="00000D4E">
        <w:rPr>
          <w:rFonts w:ascii="Open Sans" w:hAnsi="Open Sans" w:cs="Open Sans"/>
        </w:rPr>
        <w:t xml:space="preserve">to also transition </w:t>
      </w:r>
      <w:r w:rsidR="002B6387" w:rsidRPr="00000D4E">
        <w:rPr>
          <w:rFonts w:ascii="Open Sans" w:hAnsi="Open Sans" w:cs="Open Sans"/>
        </w:rPr>
        <w:t>income management (</w:t>
      </w:r>
      <w:r w:rsidRPr="00000D4E">
        <w:rPr>
          <w:rFonts w:ascii="Open Sans" w:hAnsi="Open Sans" w:cs="Open Sans"/>
        </w:rPr>
        <w:t>IM</w:t>
      </w:r>
      <w:r w:rsidR="002B6387" w:rsidRPr="00000D4E">
        <w:rPr>
          <w:rFonts w:ascii="Open Sans" w:hAnsi="Open Sans" w:cs="Open Sans"/>
        </w:rPr>
        <w:t>)</w:t>
      </w:r>
      <w:r w:rsidRPr="00000D4E">
        <w:rPr>
          <w:rFonts w:ascii="Open Sans" w:hAnsi="Open Sans" w:cs="Open Sans"/>
        </w:rPr>
        <w:t xml:space="preserve"> participants from NT and Cape York trial areas</w:t>
      </w:r>
      <w:r w:rsidR="007B2E78" w:rsidRPr="00000D4E">
        <w:rPr>
          <w:rFonts w:ascii="Open Sans" w:hAnsi="Open Sans" w:cs="Open Sans"/>
        </w:rPr>
        <w:t xml:space="preserve"> on</w:t>
      </w:r>
      <w:r w:rsidR="007F160E" w:rsidRPr="00000D4E">
        <w:rPr>
          <w:rFonts w:ascii="Open Sans" w:hAnsi="Open Sans" w:cs="Open Sans"/>
        </w:rPr>
        <w:t>to</w:t>
      </w:r>
      <w:r w:rsidR="007B2E78" w:rsidRPr="00000D4E">
        <w:rPr>
          <w:rFonts w:ascii="Open Sans" w:hAnsi="Open Sans" w:cs="Open Sans"/>
        </w:rPr>
        <w:t xml:space="preserve"> the CDC trial in 2020</w:t>
      </w:r>
      <w:r w:rsidR="0079696B" w:rsidRPr="00000D4E">
        <w:rPr>
          <w:rFonts w:ascii="Open Sans" w:hAnsi="Open Sans" w:cs="Open Sans"/>
        </w:rPr>
        <w:t>.</w:t>
      </w:r>
      <w:r w:rsidR="0079696B" w:rsidRPr="00000D4E">
        <w:rPr>
          <w:rStyle w:val="EndnoteReference"/>
          <w:rFonts w:ascii="Open Sans" w:hAnsi="Open Sans" w:cs="Open Sans"/>
          <w:sz w:val="24"/>
        </w:rPr>
        <w:endnoteReference w:id="13"/>
      </w:r>
      <w:r w:rsidR="007F160E" w:rsidRPr="00000D4E">
        <w:rPr>
          <w:rFonts w:ascii="Open Sans" w:hAnsi="Open Sans" w:cs="Open Sans"/>
        </w:rPr>
        <w:t xml:space="preserve"> </w:t>
      </w:r>
    </w:p>
    <w:p w14:paraId="3B74E1F9" w14:textId="77777777" w:rsidR="004E6E46" w:rsidRDefault="004E6E46" w:rsidP="00436333">
      <w:pPr>
        <w:spacing w:before="0" w:after="0"/>
        <w:rPr>
          <w:rFonts w:ascii="Open Sans" w:hAnsi="Open Sans" w:cs="Open Sans"/>
        </w:rPr>
      </w:pPr>
    </w:p>
    <w:p w14:paraId="6854A924" w14:textId="734B6C9A" w:rsidR="005954B8" w:rsidRDefault="002E08B7" w:rsidP="00436333">
      <w:pPr>
        <w:spacing w:before="0" w:after="0"/>
        <w:rPr>
          <w:rFonts w:ascii="Open Sans" w:hAnsi="Open Sans" w:cs="Open Sans"/>
        </w:rPr>
      </w:pPr>
      <w:r w:rsidRPr="00000D4E">
        <w:rPr>
          <w:rFonts w:ascii="Open Sans" w:hAnsi="Open Sans" w:cs="Open Sans"/>
        </w:rPr>
        <w:t xml:space="preserve">The Commission </w:t>
      </w:r>
      <w:r w:rsidR="004E6E46">
        <w:rPr>
          <w:rFonts w:ascii="Open Sans" w:hAnsi="Open Sans" w:cs="Open Sans"/>
        </w:rPr>
        <w:t xml:space="preserve">does not support this </w:t>
      </w:r>
      <w:r w:rsidRPr="00000D4E">
        <w:rPr>
          <w:rFonts w:ascii="Open Sans" w:hAnsi="Open Sans" w:cs="Open Sans"/>
        </w:rPr>
        <w:t xml:space="preserve">over-inclusive application of the cashless debit card trial and notes that the </w:t>
      </w:r>
      <w:bookmarkStart w:id="7" w:name="_Hlk20126234"/>
      <w:bookmarkStart w:id="8" w:name="_Hlk20126249"/>
      <w:r w:rsidRPr="00000D4E">
        <w:rPr>
          <w:rFonts w:ascii="Open Sans" w:hAnsi="Open Sans" w:cs="Open Sans"/>
        </w:rPr>
        <w:t xml:space="preserve">statement of compatibility </w:t>
      </w:r>
      <w:bookmarkEnd w:id="7"/>
      <w:r w:rsidRPr="00000D4E">
        <w:rPr>
          <w:rFonts w:ascii="Open Sans" w:hAnsi="Open Sans" w:cs="Open Sans"/>
        </w:rPr>
        <w:t>with human rights</w:t>
      </w:r>
      <w:bookmarkEnd w:id="8"/>
      <w:r w:rsidRPr="00000D4E">
        <w:rPr>
          <w:rFonts w:ascii="Open Sans" w:hAnsi="Open Sans" w:cs="Open Sans"/>
        </w:rPr>
        <w:t xml:space="preserve"> does not provide a compelling justification for the proposed t</w:t>
      </w:r>
      <w:r w:rsidR="00D22364" w:rsidRPr="00000D4E">
        <w:rPr>
          <w:rFonts w:ascii="Open Sans" w:hAnsi="Open Sans" w:cs="Open Sans"/>
        </w:rPr>
        <w:t>ransition</w:t>
      </w:r>
      <w:r w:rsidRPr="00000D4E">
        <w:rPr>
          <w:rFonts w:ascii="Open Sans" w:hAnsi="Open Sans" w:cs="Open Sans"/>
        </w:rPr>
        <w:t>.</w:t>
      </w:r>
      <w:r w:rsidR="004B0AE0" w:rsidRPr="00000D4E">
        <w:rPr>
          <w:rFonts w:ascii="Open Sans" w:hAnsi="Open Sans" w:cs="Open Sans"/>
        </w:rPr>
        <w:t xml:space="preserve"> </w:t>
      </w:r>
    </w:p>
    <w:p w14:paraId="3BDC089F" w14:textId="77777777" w:rsidR="004E6E46" w:rsidRDefault="004E6E46" w:rsidP="00436333">
      <w:pPr>
        <w:spacing w:before="0" w:after="0"/>
        <w:rPr>
          <w:rFonts w:ascii="Open Sans" w:hAnsi="Open Sans" w:cs="Open Sans"/>
        </w:rPr>
      </w:pPr>
    </w:p>
    <w:p w14:paraId="496AB673" w14:textId="617ECFBE" w:rsidR="0036590F" w:rsidRDefault="004B0AE0" w:rsidP="00436333">
      <w:pPr>
        <w:spacing w:before="0" w:after="0"/>
        <w:rPr>
          <w:rFonts w:ascii="Open Sans" w:hAnsi="Open Sans" w:cs="Open Sans"/>
        </w:rPr>
      </w:pPr>
      <w:r w:rsidRPr="00000D4E">
        <w:rPr>
          <w:rFonts w:ascii="Open Sans" w:hAnsi="Open Sans" w:cs="Open Sans"/>
        </w:rPr>
        <w:lastRenderedPageBreak/>
        <w:t xml:space="preserve">While the </w:t>
      </w:r>
      <w:r w:rsidR="004E6E46">
        <w:rPr>
          <w:rFonts w:ascii="Open Sans" w:hAnsi="Open Sans" w:cs="Open Sans"/>
        </w:rPr>
        <w:t>C</w:t>
      </w:r>
      <w:r w:rsidRPr="00000D4E">
        <w:rPr>
          <w:rFonts w:ascii="Open Sans" w:hAnsi="Open Sans" w:cs="Open Sans"/>
        </w:rPr>
        <w:t>ommission acknowledges the move to allow participants in the Bundaberg and Hervey Bay trial area to volunta</w:t>
      </w:r>
      <w:r w:rsidR="00907159" w:rsidRPr="00000D4E">
        <w:rPr>
          <w:rFonts w:ascii="Open Sans" w:hAnsi="Open Sans" w:cs="Open Sans"/>
        </w:rPr>
        <w:t>rily participate, this opt</w:t>
      </w:r>
      <w:r w:rsidR="00A137DB">
        <w:rPr>
          <w:rFonts w:ascii="Open Sans" w:hAnsi="Open Sans" w:cs="Open Sans"/>
        </w:rPr>
        <w:t>-</w:t>
      </w:r>
      <w:r w:rsidR="00907159" w:rsidRPr="00000D4E">
        <w:rPr>
          <w:rFonts w:ascii="Open Sans" w:hAnsi="Open Sans" w:cs="Open Sans"/>
        </w:rPr>
        <w:t>in process should be across all trial areas and the process should not be arduous for</w:t>
      </w:r>
      <w:r w:rsidR="00EC6541" w:rsidRPr="00000D4E">
        <w:rPr>
          <w:rFonts w:ascii="Open Sans" w:hAnsi="Open Sans" w:cs="Open Sans"/>
        </w:rPr>
        <w:t xml:space="preserve"> participants</w:t>
      </w:r>
      <w:r w:rsidR="00907159" w:rsidRPr="00000D4E">
        <w:rPr>
          <w:rFonts w:ascii="Open Sans" w:hAnsi="Open Sans" w:cs="Open Sans"/>
        </w:rPr>
        <w:t xml:space="preserve"> who wish to opt out.</w:t>
      </w:r>
      <w:r w:rsidR="004315B9">
        <w:rPr>
          <w:rFonts w:ascii="Open Sans" w:hAnsi="Open Sans" w:cs="Open Sans"/>
        </w:rPr>
        <w:t xml:space="preserve"> </w:t>
      </w:r>
    </w:p>
    <w:p w14:paraId="5629F6B8" w14:textId="1DE637F7" w:rsidR="00C62FC9" w:rsidRDefault="00C62FC9" w:rsidP="00436333">
      <w:pPr>
        <w:spacing w:before="0" w:after="0"/>
        <w:rPr>
          <w:rFonts w:ascii="Open Sans" w:hAnsi="Open Sans" w:cs="Open Sans"/>
        </w:rPr>
      </w:pPr>
    </w:p>
    <w:p w14:paraId="23FDBE92" w14:textId="77777777" w:rsidR="0036590F" w:rsidRDefault="0036590F" w:rsidP="00436333">
      <w:pPr>
        <w:spacing w:before="0" w:after="0"/>
        <w:rPr>
          <w:rFonts w:ascii="Open Sans" w:hAnsi="Open Sans" w:cs="Open Sans"/>
        </w:rPr>
      </w:pPr>
    </w:p>
    <w:p w14:paraId="4F24E1C5" w14:textId="46266FEE" w:rsidR="005954B8" w:rsidRPr="00C433C1" w:rsidRDefault="005954B8" w:rsidP="00C433C1">
      <w:pPr>
        <w:rPr>
          <w:rFonts w:ascii="Open Sans" w:hAnsi="Open Sans" w:cs="Open Sans"/>
          <w:b/>
        </w:rPr>
      </w:pPr>
      <w:r w:rsidRPr="00C433C1">
        <w:rPr>
          <w:rFonts w:ascii="Open Sans" w:hAnsi="Open Sans" w:cs="Open Sans"/>
          <w:b/>
        </w:rPr>
        <w:t>Proportionality</w:t>
      </w:r>
    </w:p>
    <w:p w14:paraId="54F61164" w14:textId="77777777" w:rsidR="005954B8" w:rsidRDefault="005954B8" w:rsidP="005954B8">
      <w:pPr>
        <w:spacing w:before="0" w:after="0"/>
        <w:rPr>
          <w:rFonts w:ascii="Open Sans" w:hAnsi="Open Sans" w:cs="Open Sans"/>
        </w:rPr>
      </w:pPr>
      <w:r w:rsidRPr="00000D4E">
        <w:rPr>
          <w:rFonts w:ascii="Open Sans" w:hAnsi="Open Sans" w:cs="Open Sans"/>
        </w:rPr>
        <w:t xml:space="preserve">The </w:t>
      </w:r>
      <w:r>
        <w:rPr>
          <w:rFonts w:ascii="Open Sans" w:hAnsi="Open Sans" w:cs="Open Sans"/>
        </w:rPr>
        <w:t xml:space="preserve">Commission does not concur with the rationale laid out in the </w:t>
      </w:r>
      <w:r w:rsidRPr="00000D4E">
        <w:rPr>
          <w:rFonts w:ascii="Open Sans" w:hAnsi="Open Sans" w:cs="Open Sans"/>
        </w:rPr>
        <w:t>explanatory memorandum</w:t>
      </w:r>
      <w:r>
        <w:rPr>
          <w:rFonts w:ascii="Open Sans" w:hAnsi="Open Sans" w:cs="Open Sans"/>
        </w:rPr>
        <w:t>’s statement of compatibility with human rights which concludes:</w:t>
      </w:r>
    </w:p>
    <w:p w14:paraId="7F060676" w14:textId="77777777" w:rsidR="005954B8" w:rsidRPr="00000D4E" w:rsidRDefault="005954B8" w:rsidP="005954B8">
      <w:pPr>
        <w:spacing w:before="0" w:after="0"/>
        <w:rPr>
          <w:rFonts w:ascii="Open Sans" w:hAnsi="Open Sans" w:cs="Open Sans"/>
          <w:i/>
          <w:iCs/>
        </w:rPr>
      </w:pPr>
    </w:p>
    <w:p w14:paraId="2532D49B" w14:textId="77777777" w:rsidR="005954B8" w:rsidRPr="00746350" w:rsidRDefault="005954B8" w:rsidP="00746350">
      <w:pPr>
        <w:spacing w:before="0" w:after="0"/>
        <w:ind w:left="720"/>
        <w:rPr>
          <w:rFonts w:ascii="Open Sans" w:hAnsi="Open Sans" w:cs="Open Sans"/>
          <w:sz w:val="22"/>
          <w:szCs w:val="22"/>
        </w:rPr>
      </w:pPr>
      <w:r w:rsidRPr="00746350">
        <w:rPr>
          <w:rFonts w:ascii="Open Sans" w:hAnsi="Open Sans" w:cs="Open Sans"/>
          <w:sz w:val="22"/>
          <w:szCs w:val="22"/>
        </w:rPr>
        <w:t>The Bill is compatible with human rights.  The extension of the Cashless Debit Card trial and the transition of participants on Income Management to the Cashless Debit Card will advance the protection of human rights by ensuring that welfare payments are spent in the best interests of welfare recipients and their dependents by restricting spending on alcohol, drugs and gambling.   To the extent that the Bill will limit human rights, those limitations are reasonable, necessary and proportionate to achieving the objectives of the welfare quarantining measures.  The Cashless Debit Card program aims to reduce immediate hardship and deprivation, reduce violence and harm, encourage socially responsible behaviour, and reduce the likelihood that welfare payment recipients will remain on welfare and out of the workforce for extended periods of time.</w:t>
      </w:r>
      <w:r w:rsidRPr="00746350">
        <w:rPr>
          <w:rStyle w:val="EndnoteReference"/>
          <w:rFonts w:ascii="Open Sans" w:hAnsi="Open Sans" w:cs="Open Sans"/>
          <w:sz w:val="22"/>
          <w:szCs w:val="22"/>
        </w:rPr>
        <w:endnoteReference w:id="14"/>
      </w:r>
    </w:p>
    <w:p w14:paraId="2A12FBFA" w14:textId="77777777" w:rsidR="005954B8" w:rsidRPr="00000D4E" w:rsidRDefault="005954B8" w:rsidP="005954B8">
      <w:pPr>
        <w:spacing w:before="0" w:after="0"/>
        <w:rPr>
          <w:rFonts w:ascii="Open Sans" w:hAnsi="Open Sans" w:cs="Open Sans"/>
        </w:rPr>
      </w:pPr>
    </w:p>
    <w:p w14:paraId="0BB2A0FF" w14:textId="52F31D35" w:rsidR="007F160E" w:rsidRPr="00C433C1" w:rsidRDefault="005954B8" w:rsidP="00C433C1">
      <w:pPr>
        <w:spacing w:before="0" w:after="0"/>
        <w:rPr>
          <w:rFonts w:ascii="Open Sans" w:hAnsi="Open Sans" w:cs="Open Sans"/>
        </w:rPr>
      </w:pPr>
      <w:r w:rsidRPr="00000D4E">
        <w:rPr>
          <w:rFonts w:ascii="Open Sans" w:hAnsi="Open Sans" w:cs="Open Sans"/>
        </w:rPr>
        <w:t xml:space="preserve">In the Commission’s view, this explanation only goes so far as to identify the disadvantage facing these </w:t>
      </w:r>
      <w:proofErr w:type="gramStart"/>
      <w:r w:rsidRPr="00000D4E">
        <w:rPr>
          <w:rFonts w:ascii="Open Sans" w:hAnsi="Open Sans" w:cs="Open Sans"/>
        </w:rPr>
        <w:t>particular groups</w:t>
      </w:r>
      <w:proofErr w:type="gramEnd"/>
      <w:r w:rsidRPr="00000D4E">
        <w:rPr>
          <w:rFonts w:ascii="Open Sans" w:hAnsi="Open Sans" w:cs="Open Sans"/>
        </w:rPr>
        <w:t xml:space="preserve">, rather than adequately justifying how the imposition of CDC will resolve this disadvantage. An underlying assumption of this analysis is that the program is a net benefit to all participants and therefore </w:t>
      </w:r>
      <w:r w:rsidR="001000DF">
        <w:rPr>
          <w:rFonts w:ascii="Open Sans" w:hAnsi="Open Sans" w:cs="Open Sans"/>
        </w:rPr>
        <w:t>that the human rights limits are justified</w:t>
      </w:r>
      <w:r w:rsidRPr="00000D4E">
        <w:rPr>
          <w:rFonts w:ascii="Open Sans" w:hAnsi="Open Sans" w:cs="Open Sans"/>
        </w:rPr>
        <w:t xml:space="preserve">.  However, as stated previously, the application of the CDC has not been shown to be reasonable, necessary and proportionate. For the same reasons, the evidence has not demonstrated that current trials of the CDC are warranted. </w:t>
      </w:r>
    </w:p>
    <w:p w14:paraId="585693FB" w14:textId="77777777" w:rsidR="00421426" w:rsidRDefault="00421426" w:rsidP="00C433C1">
      <w:pPr>
        <w:rPr>
          <w:rFonts w:ascii="Open Sans" w:hAnsi="Open Sans" w:cs="Open Sans"/>
          <w:b/>
        </w:rPr>
      </w:pPr>
    </w:p>
    <w:p w14:paraId="6FE7F1FD" w14:textId="05C7AD78" w:rsidR="00436333" w:rsidRPr="00000D4E" w:rsidRDefault="00854D18" w:rsidP="00C433C1">
      <w:pPr>
        <w:rPr>
          <w:rFonts w:ascii="Open Sans" w:hAnsi="Open Sans" w:cs="Open Sans"/>
          <w:b/>
        </w:rPr>
      </w:pPr>
      <w:r>
        <w:rPr>
          <w:rFonts w:ascii="Open Sans" w:hAnsi="Open Sans" w:cs="Open Sans"/>
          <w:b/>
        </w:rPr>
        <w:t xml:space="preserve">Indirect discrimination against </w:t>
      </w:r>
      <w:r w:rsidR="007F160E" w:rsidRPr="00000D4E">
        <w:rPr>
          <w:rFonts w:ascii="Open Sans" w:hAnsi="Open Sans" w:cs="Open Sans"/>
          <w:b/>
        </w:rPr>
        <w:t xml:space="preserve">Aboriginal and Torres Strait Islander peoples. </w:t>
      </w:r>
    </w:p>
    <w:p w14:paraId="5014860B" w14:textId="77777777" w:rsidR="004E6E46" w:rsidRDefault="007F160E" w:rsidP="00436333">
      <w:pPr>
        <w:spacing w:before="0" w:after="0"/>
        <w:rPr>
          <w:rFonts w:ascii="Open Sans" w:hAnsi="Open Sans" w:cs="Open Sans"/>
        </w:rPr>
      </w:pPr>
      <w:r w:rsidRPr="00000D4E">
        <w:rPr>
          <w:rFonts w:ascii="Open Sans" w:hAnsi="Open Sans" w:cs="Open Sans"/>
        </w:rPr>
        <w:t xml:space="preserve">The Commission has previously raised concerns about the disproportionate impact of the </w:t>
      </w:r>
      <w:r w:rsidR="001D2E27" w:rsidRPr="00000D4E">
        <w:rPr>
          <w:rFonts w:ascii="Open Sans" w:hAnsi="Open Sans" w:cs="Open Sans"/>
        </w:rPr>
        <w:t>CDC</w:t>
      </w:r>
      <w:r w:rsidRPr="00000D4E">
        <w:rPr>
          <w:rFonts w:ascii="Open Sans" w:hAnsi="Open Sans" w:cs="Open Sans"/>
        </w:rPr>
        <w:t xml:space="preserve"> trials on Aboriginal and Torres Strait Islander peoples.</w:t>
      </w:r>
      <w:r w:rsidRPr="00000D4E">
        <w:rPr>
          <w:rStyle w:val="EndnoteReference"/>
          <w:rFonts w:ascii="Open Sans" w:hAnsi="Open Sans" w:cs="Open Sans"/>
          <w:sz w:val="24"/>
        </w:rPr>
        <w:endnoteReference w:id="15"/>
      </w:r>
      <w:r w:rsidRPr="00000D4E">
        <w:rPr>
          <w:rFonts w:ascii="Open Sans" w:hAnsi="Open Sans" w:cs="Open Sans"/>
        </w:rPr>
        <w:t xml:space="preserve"> </w:t>
      </w:r>
    </w:p>
    <w:p w14:paraId="17DD6D57" w14:textId="77777777" w:rsidR="004E6E46" w:rsidRDefault="004E6E46" w:rsidP="00436333">
      <w:pPr>
        <w:spacing w:before="0" w:after="0"/>
        <w:rPr>
          <w:rFonts w:ascii="Open Sans" w:hAnsi="Open Sans" w:cs="Open Sans"/>
        </w:rPr>
      </w:pPr>
    </w:p>
    <w:p w14:paraId="3BF21AB1" w14:textId="503D2249" w:rsidR="00903BCC" w:rsidRPr="00000D4E" w:rsidRDefault="00D16C26" w:rsidP="00436333">
      <w:pPr>
        <w:spacing w:before="0" w:after="0"/>
        <w:rPr>
          <w:rFonts w:ascii="Open Sans" w:hAnsi="Open Sans" w:cs="Open Sans"/>
        </w:rPr>
      </w:pPr>
      <w:r w:rsidRPr="00000D4E">
        <w:rPr>
          <w:rFonts w:ascii="Open Sans" w:hAnsi="Open Sans" w:cs="Open Sans"/>
        </w:rPr>
        <w:t xml:space="preserve">While the measures may not directly target Aboriginal and Torres Strait Islander peoples, their practical effect will </w:t>
      </w:r>
      <w:r w:rsidR="00903BCC" w:rsidRPr="00000D4E">
        <w:rPr>
          <w:rFonts w:ascii="Open Sans" w:hAnsi="Open Sans" w:cs="Open Sans"/>
        </w:rPr>
        <w:t>disproportionately</w:t>
      </w:r>
      <w:r w:rsidRPr="00000D4E">
        <w:rPr>
          <w:rFonts w:ascii="Open Sans" w:hAnsi="Open Sans" w:cs="Open Sans"/>
        </w:rPr>
        <w:t xml:space="preserve"> </w:t>
      </w:r>
      <w:r w:rsidR="003E33C2" w:rsidRPr="00000D4E">
        <w:rPr>
          <w:rFonts w:ascii="Open Sans" w:hAnsi="Open Sans" w:cs="Open Sans"/>
        </w:rPr>
        <w:t xml:space="preserve">make an </w:t>
      </w:r>
      <w:r w:rsidRPr="00000D4E">
        <w:rPr>
          <w:rFonts w:ascii="Open Sans" w:hAnsi="Open Sans" w:cs="Open Sans"/>
        </w:rPr>
        <w:t xml:space="preserve">impact, </w:t>
      </w:r>
      <w:r w:rsidR="00903BCC" w:rsidRPr="00000D4E">
        <w:rPr>
          <w:rFonts w:ascii="Open Sans" w:hAnsi="Open Sans" w:cs="Open Sans"/>
        </w:rPr>
        <w:t xml:space="preserve">with the trial areas having significant numbers of Aboriginal and Torres Strait Islander </w:t>
      </w:r>
      <w:r w:rsidR="00903BCC" w:rsidRPr="00000D4E">
        <w:rPr>
          <w:rFonts w:ascii="Open Sans" w:hAnsi="Open Sans" w:cs="Open Sans"/>
        </w:rPr>
        <w:lastRenderedPageBreak/>
        <w:t xml:space="preserve">populations. </w:t>
      </w:r>
      <w:r w:rsidR="008C48DB" w:rsidRPr="00000D4E">
        <w:rPr>
          <w:rFonts w:ascii="Open Sans" w:hAnsi="Open Sans" w:cs="Open Sans"/>
        </w:rPr>
        <w:t xml:space="preserve"> </w:t>
      </w:r>
      <w:r w:rsidR="00DA0849" w:rsidRPr="00000D4E">
        <w:rPr>
          <w:rFonts w:ascii="Open Sans" w:hAnsi="Open Sans" w:cs="Open Sans"/>
        </w:rPr>
        <w:t>51.6% of people living in Cape York identify as Aboriginal and/or Torres Strait Islander</w:t>
      </w:r>
      <w:r w:rsidR="00DA0849" w:rsidRPr="00000D4E">
        <w:rPr>
          <w:rStyle w:val="EndnoteReference"/>
          <w:rFonts w:ascii="Open Sans" w:hAnsi="Open Sans" w:cs="Open Sans"/>
          <w:sz w:val="24"/>
        </w:rPr>
        <w:endnoteReference w:id="16"/>
      </w:r>
      <w:r w:rsidR="00DA0849" w:rsidRPr="00000D4E">
        <w:rPr>
          <w:rFonts w:ascii="Open Sans" w:hAnsi="Open Sans" w:cs="Open Sans"/>
        </w:rPr>
        <w:t xml:space="preserve"> and a</w:t>
      </w:r>
      <w:r w:rsidR="004431F8" w:rsidRPr="00000D4E">
        <w:rPr>
          <w:rFonts w:ascii="Open Sans" w:hAnsi="Open Sans" w:cs="Open Sans"/>
        </w:rPr>
        <w:t xml:space="preserve">n </w:t>
      </w:r>
      <w:r w:rsidR="007F160E" w:rsidRPr="00000D4E">
        <w:rPr>
          <w:rFonts w:ascii="Open Sans" w:hAnsi="Open Sans" w:cs="Open Sans"/>
        </w:rPr>
        <w:t>estimated 14</w:t>
      </w:r>
      <w:r w:rsidR="00A137DB">
        <w:rPr>
          <w:rFonts w:ascii="Open Sans" w:hAnsi="Open Sans" w:cs="Open Sans"/>
        </w:rPr>
        <w:t>%</w:t>
      </w:r>
      <w:r w:rsidR="007F160E" w:rsidRPr="00000D4E">
        <w:rPr>
          <w:rFonts w:ascii="Open Sans" w:hAnsi="Open Sans" w:cs="Open Sans"/>
        </w:rPr>
        <w:t xml:space="preserve"> of participants in the Bundaberg and Hervey Bay area </w:t>
      </w:r>
      <w:r w:rsidR="004431F8" w:rsidRPr="00000D4E">
        <w:rPr>
          <w:rFonts w:ascii="Open Sans" w:hAnsi="Open Sans" w:cs="Open Sans"/>
        </w:rPr>
        <w:t>are</w:t>
      </w:r>
      <w:r w:rsidR="007F160E" w:rsidRPr="00000D4E">
        <w:rPr>
          <w:rFonts w:ascii="Open Sans" w:hAnsi="Open Sans" w:cs="Open Sans"/>
        </w:rPr>
        <w:t xml:space="preserve"> Aboriginal and</w:t>
      </w:r>
      <w:r w:rsidR="0089196D" w:rsidRPr="00000D4E">
        <w:rPr>
          <w:rFonts w:ascii="Open Sans" w:hAnsi="Open Sans" w:cs="Open Sans"/>
        </w:rPr>
        <w:t>/or</w:t>
      </w:r>
      <w:r w:rsidR="007F160E" w:rsidRPr="00000D4E">
        <w:rPr>
          <w:rFonts w:ascii="Open Sans" w:hAnsi="Open Sans" w:cs="Open Sans"/>
        </w:rPr>
        <w:t xml:space="preserve"> Torres Strait Islander people.</w:t>
      </w:r>
      <w:r w:rsidR="007F160E" w:rsidRPr="00000D4E">
        <w:rPr>
          <w:rStyle w:val="EndnoteReference"/>
          <w:rFonts w:ascii="Open Sans" w:hAnsi="Open Sans" w:cs="Open Sans"/>
          <w:sz w:val="24"/>
        </w:rPr>
        <w:endnoteReference w:id="17"/>
      </w:r>
      <w:r w:rsidR="007F160E" w:rsidRPr="00000D4E">
        <w:rPr>
          <w:rFonts w:ascii="Open Sans" w:hAnsi="Open Sans" w:cs="Open Sans"/>
        </w:rPr>
        <w:t xml:space="preserve"> </w:t>
      </w:r>
    </w:p>
    <w:p w14:paraId="3C37FA6E" w14:textId="77777777" w:rsidR="00000D4E" w:rsidRPr="00000D4E" w:rsidRDefault="00000D4E" w:rsidP="00000D4E">
      <w:pPr>
        <w:spacing w:before="0" w:after="0"/>
        <w:rPr>
          <w:rFonts w:ascii="Open Sans" w:hAnsi="Open Sans" w:cs="Open Sans"/>
        </w:rPr>
      </w:pPr>
    </w:p>
    <w:p w14:paraId="77BF30C7" w14:textId="592D5C3A" w:rsidR="00484865" w:rsidRPr="00000D4E" w:rsidRDefault="007F160E" w:rsidP="00000D4E">
      <w:pPr>
        <w:spacing w:before="0" w:after="0"/>
        <w:rPr>
          <w:rFonts w:ascii="Open Sans" w:hAnsi="Open Sans" w:cs="Open Sans"/>
        </w:rPr>
      </w:pPr>
      <w:r w:rsidRPr="00000D4E">
        <w:rPr>
          <w:rFonts w:ascii="Open Sans" w:hAnsi="Open Sans" w:cs="Open Sans"/>
        </w:rPr>
        <w:t>Although the population of th</w:t>
      </w:r>
      <w:r w:rsidR="003D7E6D" w:rsidRPr="00000D4E">
        <w:rPr>
          <w:rFonts w:ascii="Open Sans" w:hAnsi="Open Sans" w:cs="Open Sans"/>
        </w:rPr>
        <w:t>e</w:t>
      </w:r>
      <w:r w:rsidRPr="00000D4E">
        <w:rPr>
          <w:rFonts w:ascii="Open Sans" w:hAnsi="Open Sans" w:cs="Open Sans"/>
        </w:rPr>
        <w:t xml:space="preserve"> group in the Bundaberg and Hervey Bay area is comparatively lower than </w:t>
      </w:r>
      <w:r w:rsidR="00D97BA4" w:rsidRPr="00000D4E">
        <w:rPr>
          <w:rFonts w:ascii="Open Sans" w:hAnsi="Open Sans" w:cs="Open Sans"/>
        </w:rPr>
        <w:t xml:space="preserve">other </w:t>
      </w:r>
      <w:r w:rsidRPr="00000D4E">
        <w:rPr>
          <w:rFonts w:ascii="Open Sans" w:hAnsi="Open Sans" w:cs="Open Sans"/>
        </w:rPr>
        <w:t>trial sites, such as the East Kimberley and Ceduna, the Commission maintains its concerns.</w:t>
      </w:r>
      <w:r w:rsidRPr="00000D4E">
        <w:rPr>
          <w:rStyle w:val="EndnoteReference"/>
          <w:rFonts w:ascii="Open Sans" w:hAnsi="Open Sans" w:cs="Open Sans"/>
          <w:sz w:val="24"/>
        </w:rPr>
        <w:endnoteReference w:id="18"/>
      </w:r>
      <w:r w:rsidRPr="00000D4E">
        <w:rPr>
          <w:rFonts w:ascii="Open Sans" w:hAnsi="Open Sans" w:cs="Open Sans"/>
        </w:rPr>
        <w:t xml:space="preserve"> The </w:t>
      </w:r>
      <w:r w:rsidR="001D2E27" w:rsidRPr="00000D4E">
        <w:rPr>
          <w:rFonts w:ascii="Open Sans" w:hAnsi="Open Sans" w:cs="Open Sans"/>
        </w:rPr>
        <w:t>CDC</w:t>
      </w:r>
      <w:r w:rsidRPr="00000D4E">
        <w:rPr>
          <w:rFonts w:ascii="Open Sans" w:hAnsi="Open Sans" w:cs="Open Sans"/>
        </w:rPr>
        <w:t xml:space="preserve"> trial unduly affects Aboriginal and Torres Strait Islander peoples because government pensions and allowances are a main source of income for approximately 46.9% of this group.</w:t>
      </w:r>
      <w:r w:rsidRPr="00000D4E">
        <w:rPr>
          <w:rStyle w:val="EndnoteReference"/>
          <w:rFonts w:ascii="Open Sans" w:hAnsi="Open Sans" w:cs="Open Sans"/>
          <w:sz w:val="24"/>
        </w:rPr>
        <w:endnoteReference w:id="19"/>
      </w:r>
      <w:r w:rsidRPr="00000D4E">
        <w:rPr>
          <w:rFonts w:ascii="Open Sans" w:hAnsi="Open Sans" w:cs="Open Sans"/>
        </w:rPr>
        <w:t xml:space="preserve"> </w:t>
      </w:r>
    </w:p>
    <w:p w14:paraId="2066652F" w14:textId="7AF8792C" w:rsidR="00000D4E" w:rsidRDefault="00000D4E" w:rsidP="00000D4E">
      <w:pPr>
        <w:spacing w:before="0" w:after="0"/>
        <w:rPr>
          <w:rFonts w:ascii="Open Sans" w:hAnsi="Open Sans" w:cs="Open Sans"/>
        </w:rPr>
      </w:pPr>
    </w:p>
    <w:p w14:paraId="1F1FDCE8" w14:textId="72299C58" w:rsidR="0030522F" w:rsidRPr="003E205B" w:rsidRDefault="00EF7F3B" w:rsidP="0030522F">
      <w:pPr>
        <w:spacing w:before="0" w:after="0"/>
        <w:rPr>
          <w:rFonts w:ascii="Open Sans" w:hAnsi="Open Sans" w:cs="Open Sans"/>
        </w:rPr>
      </w:pPr>
      <w:r w:rsidRPr="003E205B">
        <w:rPr>
          <w:rFonts w:ascii="Open Sans" w:hAnsi="Open Sans" w:cs="Open Sans"/>
        </w:rPr>
        <w:t>T</w:t>
      </w:r>
      <w:r w:rsidR="0030522F" w:rsidRPr="003E205B">
        <w:rPr>
          <w:rFonts w:ascii="Open Sans" w:hAnsi="Open Sans" w:cs="Open Sans"/>
        </w:rPr>
        <w:t>he explanatory memorandum’s statement of compatibility with human rights states:</w:t>
      </w:r>
    </w:p>
    <w:p w14:paraId="246A85DA" w14:textId="77777777" w:rsidR="0030522F" w:rsidRPr="003E205B" w:rsidRDefault="0030522F" w:rsidP="0030522F">
      <w:pPr>
        <w:spacing w:before="0" w:after="0"/>
        <w:rPr>
          <w:rFonts w:ascii="Open Sans" w:hAnsi="Open Sans" w:cs="Open Sans"/>
        </w:rPr>
      </w:pPr>
    </w:p>
    <w:p w14:paraId="259DC04F" w14:textId="0F6BBE14" w:rsidR="0030522F" w:rsidRPr="00746350" w:rsidRDefault="0030522F" w:rsidP="00746350">
      <w:pPr>
        <w:spacing w:before="0" w:after="0"/>
        <w:ind w:left="720"/>
        <w:rPr>
          <w:rFonts w:ascii="Open Sans" w:hAnsi="Open Sans" w:cs="Open Sans"/>
          <w:sz w:val="22"/>
          <w:szCs w:val="22"/>
        </w:rPr>
      </w:pPr>
      <w:r w:rsidRPr="00746350">
        <w:rPr>
          <w:rFonts w:ascii="Open Sans" w:hAnsi="Open Sans" w:cs="Open Sans"/>
          <w:sz w:val="22"/>
          <w:szCs w:val="22"/>
        </w:rPr>
        <w:t>Discrimination is impermissible differential treatment among persons or groups that results in a person or a group being treated less favourably than others, based on a prohibited ground for discrimination, such as race.  However, the UN Human Rights Committee has recognised that ‘not every differentiation of treatment will constitute discrimination, if the criteria for such differentiation are reasonable and objective, and if the aim is to achieve a purpose which is legitimate under the Covenant’.</w:t>
      </w:r>
      <w:r w:rsidR="00BC7133">
        <w:rPr>
          <w:rStyle w:val="EndnoteReference"/>
          <w:rFonts w:cs="Open Sans"/>
          <w:szCs w:val="22"/>
        </w:rPr>
        <w:endnoteReference w:id="20"/>
      </w:r>
      <w:r w:rsidRPr="00746350">
        <w:rPr>
          <w:rFonts w:ascii="Open Sans" w:hAnsi="Open Sans" w:cs="Open Sans"/>
          <w:sz w:val="22"/>
          <w:szCs w:val="22"/>
        </w:rPr>
        <w:t xml:space="preserve">   </w:t>
      </w:r>
    </w:p>
    <w:p w14:paraId="3F2E2E3E" w14:textId="69B0E4ED" w:rsidR="0030522F" w:rsidRPr="003E205B" w:rsidRDefault="0030522F" w:rsidP="0030522F">
      <w:pPr>
        <w:spacing w:before="0" w:after="0"/>
        <w:rPr>
          <w:rFonts w:ascii="Open Sans" w:hAnsi="Open Sans" w:cs="Open Sans"/>
          <w:i/>
          <w:iCs/>
        </w:rPr>
      </w:pPr>
    </w:p>
    <w:p w14:paraId="6A489EA6" w14:textId="0B22DA84" w:rsidR="0030522F" w:rsidRPr="003E205B" w:rsidRDefault="00EF7F3B" w:rsidP="0030522F">
      <w:pPr>
        <w:spacing w:before="0" w:after="0"/>
        <w:rPr>
          <w:rFonts w:ascii="Open Sans" w:hAnsi="Open Sans" w:cs="Open Sans"/>
        </w:rPr>
      </w:pPr>
      <w:r w:rsidRPr="003E205B">
        <w:rPr>
          <w:rFonts w:ascii="Open Sans" w:hAnsi="Open Sans" w:cs="Open Sans"/>
        </w:rPr>
        <w:t>However, i</w:t>
      </w:r>
      <w:r w:rsidR="0030522F" w:rsidRPr="003E205B">
        <w:rPr>
          <w:rFonts w:ascii="Open Sans" w:hAnsi="Open Sans" w:cs="Open Sans"/>
        </w:rPr>
        <w:t xml:space="preserve">n the Commission’s view, it is not </w:t>
      </w:r>
      <w:proofErr w:type="gramStart"/>
      <w:r w:rsidR="0030522F" w:rsidRPr="003E205B">
        <w:rPr>
          <w:rFonts w:ascii="Open Sans" w:hAnsi="Open Sans" w:cs="Open Sans"/>
        </w:rPr>
        <w:t>sufficient</w:t>
      </w:r>
      <w:proofErr w:type="gramEnd"/>
      <w:r w:rsidR="0030522F" w:rsidRPr="003E205B">
        <w:rPr>
          <w:rFonts w:ascii="Open Sans" w:hAnsi="Open Sans" w:cs="Open Sans"/>
        </w:rPr>
        <w:t xml:space="preserve"> to merely assert that differential treatment is reasonable and objective and that the purpose is legitimate. This must be demonstrated. That is particularly the case when the differential treatment results in a detriment to a group of people </w:t>
      </w:r>
      <w:r w:rsidR="00A24C3B" w:rsidRPr="003E205B">
        <w:rPr>
          <w:rFonts w:ascii="Open Sans" w:hAnsi="Open Sans" w:cs="Open Sans"/>
        </w:rPr>
        <w:t xml:space="preserve">disproportionally </w:t>
      </w:r>
      <w:r w:rsidR="0030522F" w:rsidRPr="003E205B">
        <w:rPr>
          <w:rFonts w:ascii="Open Sans" w:hAnsi="Open Sans" w:cs="Open Sans"/>
        </w:rPr>
        <w:t>identifiable by their race.</w:t>
      </w:r>
    </w:p>
    <w:p w14:paraId="158BA855" w14:textId="77777777" w:rsidR="007711C1" w:rsidRPr="003E205B" w:rsidRDefault="007711C1" w:rsidP="0030522F">
      <w:pPr>
        <w:spacing w:before="0" w:after="0"/>
        <w:rPr>
          <w:rFonts w:ascii="Open Sans" w:hAnsi="Open Sans" w:cs="Open Sans"/>
        </w:rPr>
      </w:pPr>
    </w:p>
    <w:p w14:paraId="294D8CD0" w14:textId="49CFC98E" w:rsidR="0030522F" w:rsidRDefault="0030522F" w:rsidP="00000D4E">
      <w:pPr>
        <w:spacing w:before="0" w:after="0"/>
        <w:rPr>
          <w:rFonts w:ascii="Open Sans" w:hAnsi="Open Sans" w:cs="Open Sans"/>
        </w:rPr>
      </w:pPr>
      <w:r w:rsidRPr="003E205B">
        <w:rPr>
          <w:rFonts w:ascii="Open Sans" w:hAnsi="Open Sans" w:cs="Open Sans"/>
        </w:rPr>
        <w:t xml:space="preserve">The Commission is of the view that </w:t>
      </w:r>
      <w:r w:rsidR="005954B8" w:rsidRPr="003E205B">
        <w:rPr>
          <w:rFonts w:ascii="Open Sans" w:hAnsi="Open Sans" w:cs="Open Sans"/>
        </w:rPr>
        <w:t xml:space="preserve">disproportionate levels of </w:t>
      </w:r>
      <w:r w:rsidRPr="003E205B">
        <w:rPr>
          <w:rFonts w:ascii="Open Sans" w:hAnsi="Open Sans" w:cs="Open Sans"/>
        </w:rPr>
        <w:t>non-voluntary participation in the CDC tr</w:t>
      </w:r>
      <w:r w:rsidR="007711C1" w:rsidRPr="003E205B">
        <w:rPr>
          <w:rFonts w:ascii="Open Sans" w:hAnsi="Open Sans" w:cs="Open Sans"/>
        </w:rPr>
        <w:t>ia</w:t>
      </w:r>
      <w:r w:rsidRPr="003E205B">
        <w:rPr>
          <w:rFonts w:ascii="Open Sans" w:hAnsi="Open Sans" w:cs="Open Sans"/>
        </w:rPr>
        <w:t xml:space="preserve">ls </w:t>
      </w:r>
      <w:r w:rsidR="005954B8" w:rsidRPr="003E205B">
        <w:rPr>
          <w:rFonts w:ascii="Open Sans" w:hAnsi="Open Sans" w:cs="Open Sans"/>
        </w:rPr>
        <w:t xml:space="preserve">by Aboriginal and Torres Strait Islander persons </w:t>
      </w:r>
      <w:r w:rsidRPr="003E205B">
        <w:rPr>
          <w:rFonts w:ascii="Open Sans" w:hAnsi="Open Sans" w:cs="Open Sans"/>
        </w:rPr>
        <w:t xml:space="preserve">does not amount to legitimate differential treatment. Its imposition does not guarantee full and equal enjoyment of human rights and fundamental freedoms. Instead, it undermines and diminishes the equal enjoyment of those rights </w:t>
      </w:r>
      <w:r w:rsidR="003E205B" w:rsidRPr="003E205B">
        <w:rPr>
          <w:rFonts w:ascii="Open Sans" w:hAnsi="Open Sans" w:cs="Open Sans"/>
        </w:rPr>
        <w:t xml:space="preserve">for </w:t>
      </w:r>
      <w:proofErr w:type="gramStart"/>
      <w:r w:rsidR="003E205B" w:rsidRPr="003E205B">
        <w:rPr>
          <w:rFonts w:ascii="Open Sans" w:hAnsi="Open Sans" w:cs="Open Sans"/>
        </w:rPr>
        <w:t>particular</w:t>
      </w:r>
      <w:r w:rsidR="00A24C3B" w:rsidRPr="003E205B">
        <w:rPr>
          <w:rFonts w:ascii="Open Sans" w:hAnsi="Open Sans" w:cs="Open Sans"/>
        </w:rPr>
        <w:t xml:space="preserve"> geographic</w:t>
      </w:r>
      <w:proofErr w:type="gramEnd"/>
      <w:r w:rsidR="00A24C3B" w:rsidRPr="003E205B">
        <w:rPr>
          <w:rFonts w:ascii="Open Sans" w:hAnsi="Open Sans" w:cs="Open Sans"/>
        </w:rPr>
        <w:t xml:space="preserve"> groups, most of which have </w:t>
      </w:r>
      <w:r w:rsidR="00B37539" w:rsidRPr="003E205B">
        <w:rPr>
          <w:rFonts w:ascii="Open Sans" w:hAnsi="Open Sans" w:cs="Open Sans"/>
        </w:rPr>
        <w:t xml:space="preserve">a proportion of </w:t>
      </w:r>
      <w:r w:rsidR="00007547" w:rsidRPr="003E205B">
        <w:rPr>
          <w:rFonts w:ascii="Open Sans" w:hAnsi="Open Sans" w:cs="Open Sans"/>
        </w:rPr>
        <w:t>Aboriginal and Torres Strait Islander</w:t>
      </w:r>
      <w:r w:rsidR="00B37539" w:rsidRPr="003E205B">
        <w:rPr>
          <w:rFonts w:ascii="Open Sans" w:hAnsi="Open Sans" w:cs="Open Sans"/>
        </w:rPr>
        <w:t xml:space="preserve"> residents at a rate </w:t>
      </w:r>
      <w:r w:rsidR="00A24C3B" w:rsidRPr="003E205B">
        <w:rPr>
          <w:rFonts w:ascii="Open Sans" w:hAnsi="Open Sans" w:cs="Open Sans"/>
        </w:rPr>
        <w:t>significantly above the national average.</w:t>
      </w:r>
    </w:p>
    <w:p w14:paraId="7164719F" w14:textId="77777777" w:rsidR="00421426" w:rsidRDefault="00421426" w:rsidP="00C433C1">
      <w:pPr>
        <w:rPr>
          <w:rFonts w:ascii="Open Sans" w:hAnsi="Open Sans" w:cs="Open Sans"/>
          <w:b/>
        </w:rPr>
      </w:pPr>
    </w:p>
    <w:p w14:paraId="17C8683E" w14:textId="0C77F7A7" w:rsidR="00854D18" w:rsidRPr="00C433C1" w:rsidRDefault="00854D18" w:rsidP="00C433C1">
      <w:pPr>
        <w:rPr>
          <w:rFonts w:ascii="Open Sans" w:hAnsi="Open Sans" w:cs="Open Sans"/>
          <w:b/>
        </w:rPr>
      </w:pPr>
      <w:r w:rsidRPr="00C433C1">
        <w:rPr>
          <w:rFonts w:ascii="Open Sans" w:hAnsi="Open Sans" w:cs="Open Sans"/>
          <w:b/>
        </w:rPr>
        <w:t xml:space="preserve">Inadequate consultation with </w:t>
      </w:r>
      <w:r w:rsidRPr="00000D4E">
        <w:rPr>
          <w:rFonts w:ascii="Open Sans" w:hAnsi="Open Sans" w:cs="Open Sans"/>
          <w:b/>
        </w:rPr>
        <w:t>Aboriginal and Torres Strait Islander peoples</w:t>
      </w:r>
    </w:p>
    <w:p w14:paraId="7B245134" w14:textId="5325B4D9" w:rsidR="008C48DB" w:rsidRPr="00000D4E" w:rsidRDefault="008C48DB" w:rsidP="00000D4E">
      <w:pPr>
        <w:spacing w:before="0" w:after="0"/>
        <w:rPr>
          <w:rFonts w:ascii="Open Sans" w:hAnsi="Open Sans" w:cs="Open Sans"/>
        </w:rPr>
      </w:pPr>
      <w:r w:rsidRPr="00000D4E">
        <w:rPr>
          <w:rFonts w:ascii="Open Sans" w:hAnsi="Open Sans" w:cs="Open Sans"/>
        </w:rPr>
        <w:t xml:space="preserve">The Commission notes the public hearings into Social Security (Administration) Amendment (Income Management to Cashless Debit Card Transition) Bill 2019 on Monday 23 September 2019 where the Aboriginal Peak Organisations Northern Territory (APO NT) alliance addressed the senate committee with </w:t>
      </w:r>
      <w:r w:rsidRPr="00000D4E">
        <w:rPr>
          <w:rFonts w:ascii="Open Sans" w:hAnsi="Open Sans" w:cs="Open Sans"/>
        </w:rPr>
        <w:lastRenderedPageBreak/>
        <w:t>concerns around the short timeframes to provide advice on the impacts of CDC. The APO NT stated:</w:t>
      </w:r>
    </w:p>
    <w:p w14:paraId="40A954B7" w14:textId="77777777" w:rsidR="00000D4E" w:rsidRPr="00000D4E" w:rsidRDefault="00000D4E" w:rsidP="00000D4E">
      <w:pPr>
        <w:spacing w:before="0" w:after="0"/>
        <w:rPr>
          <w:rFonts w:ascii="Open Sans" w:hAnsi="Open Sans" w:cs="Open Sans"/>
          <w:i/>
          <w:iCs/>
        </w:rPr>
      </w:pPr>
    </w:p>
    <w:p w14:paraId="735921C2" w14:textId="54592B7A" w:rsidR="008C48DB" w:rsidRPr="00746350" w:rsidRDefault="008C48DB" w:rsidP="00746350">
      <w:pPr>
        <w:spacing w:before="0" w:after="0"/>
        <w:ind w:left="720"/>
        <w:rPr>
          <w:rFonts w:ascii="Open Sans" w:hAnsi="Open Sans" w:cs="Open Sans"/>
          <w:sz w:val="22"/>
          <w:szCs w:val="22"/>
        </w:rPr>
      </w:pPr>
      <w:r w:rsidRPr="00746350">
        <w:rPr>
          <w:rFonts w:ascii="Open Sans" w:hAnsi="Open Sans" w:cs="Open Sans"/>
          <w:sz w:val="22"/>
          <w:szCs w:val="22"/>
        </w:rPr>
        <w:t>The compressed time frame for the inquiry and the lack of remote hearings denies those who are most affected by this legislation—particularly those who live in remote and very remote areas of the Northern Territory—an effective voice and say on a policy that fundamentally affects their lives.</w:t>
      </w:r>
      <w:r w:rsidRPr="00746350">
        <w:rPr>
          <w:rStyle w:val="EndnoteReference"/>
          <w:rFonts w:ascii="Open Sans" w:hAnsi="Open Sans" w:cs="Open Sans"/>
          <w:sz w:val="22"/>
          <w:szCs w:val="22"/>
        </w:rPr>
        <w:endnoteReference w:id="21"/>
      </w:r>
    </w:p>
    <w:p w14:paraId="77A10A11" w14:textId="77777777" w:rsidR="00000D4E" w:rsidRPr="00000D4E" w:rsidRDefault="00000D4E" w:rsidP="00000D4E">
      <w:pPr>
        <w:spacing w:before="0" w:after="0"/>
        <w:rPr>
          <w:rFonts w:ascii="Open Sans" w:hAnsi="Open Sans" w:cs="Open Sans"/>
        </w:rPr>
      </w:pPr>
    </w:p>
    <w:p w14:paraId="3667ACE4" w14:textId="4E358E4D" w:rsidR="008C48DB" w:rsidRPr="00000D4E" w:rsidRDefault="008C48DB" w:rsidP="00000D4E">
      <w:pPr>
        <w:spacing w:before="0" w:after="0"/>
        <w:rPr>
          <w:rFonts w:ascii="Open Sans" w:hAnsi="Open Sans" w:cs="Open Sans"/>
        </w:rPr>
      </w:pPr>
      <w:r w:rsidRPr="00000D4E">
        <w:rPr>
          <w:rFonts w:ascii="Open Sans" w:hAnsi="Open Sans" w:cs="Open Sans"/>
        </w:rPr>
        <w:t>They also advised that:</w:t>
      </w:r>
    </w:p>
    <w:p w14:paraId="08AF7068" w14:textId="77777777" w:rsidR="00000D4E" w:rsidRPr="00000D4E" w:rsidRDefault="00000D4E" w:rsidP="00000D4E">
      <w:pPr>
        <w:spacing w:before="0" w:after="0"/>
        <w:rPr>
          <w:rFonts w:ascii="Open Sans" w:hAnsi="Open Sans" w:cs="Open Sans"/>
        </w:rPr>
      </w:pPr>
    </w:p>
    <w:p w14:paraId="0A631B3D" w14:textId="7BE5C2CE" w:rsidR="008C48DB" w:rsidRPr="00746350" w:rsidRDefault="008C48DB" w:rsidP="00746350">
      <w:pPr>
        <w:spacing w:before="0" w:after="0"/>
        <w:ind w:left="720"/>
        <w:rPr>
          <w:rFonts w:ascii="Open Sans" w:hAnsi="Open Sans" w:cs="Open Sans"/>
          <w:i/>
          <w:iCs/>
          <w:sz w:val="22"/>
          <w:szCs w:val="22"/>
        </w:rPr>
      </w:pPr>
      <w:r w:rsidRPr="00746350">
        <w:rPr>
          <w:rFonts w:ascii="Open Sans" w:hAnsi="Open Sans" w:cs="Open Sans"/>
          <w:sz w:val="22"/>
          <w:szCs w:val="22"/>
        </w:rPr>
        <w:t>The cashless welfare card will directly impact on more than 23,000 Territorians currently on income management as a result of the intervention. Aboriginal income support recipients in the Northern Territory have now been subject to more than a decade of costly, paternalistic interventions, including income management and Work for the Dole. Over this period, poverty and unemployment have worsened. It is evident that income management has failed, yet the government is intent on continuing to try to coerce us into change by further extending the policy. It simply will not work.</w:t>
      </w:r>
      <w:r w:rsidRPr="00746350">
        <w:rPr>
          <w:rStyle w:val="EndnoteReference"/>
          <w:rFonts w:ascii="Open Sans" w:hAnsi="Open Sans" w:cs="Open Sans"/>
          <w:sz w:val="22"/>
          <w:szCs w:val="22"/>
        </w:rPr>
        <w:endnoteReference w:id="22"/>
      </w:r>
    </w:p>
    <w:p w14:paraId="7B0D4E5C" w14:textId="77777777" w:rsidR="00000D4E" w:rsidRPr="00000D4E" w:rsidRDefault="00000D4E" w:rsidP="00000D4E">
      <w:pPr>
        <w:spacing w:before="0" w:after="0"/>
        <w:rPr>
          <w:rFonts w:ascii="Open Sans" w:hAnsi="Open Sans" w:cs="Open Sans"/>
        </w:rPr>
      </w:pPr>
    </w:p>
    <w:p w14:paraId="648259EB" w14:textId="77777777" w:rsidR="00854D18" w:rsidRDefault="008C48DB" w:rsidP="00000D4E">
      <w:pPr>
        <w:spacing w:before="0" w:after="0"/>
        <w:rPr>
          <w:rFonts w:ascii="Open Sans" w:hAnsi="Open Sans" w:cs="Open Sans"/>
        </w:rPr>
      </w:pPr>
      <w:r w:rsidRPr="00000D4E">
        <w:rPr>
          <w:rFonts w:ascii="Open Sans" w:hAnsi="Open Sans" w:cs="Open Sans"/>
        </w:rPr>
        <w:t xml:space="preserve">The Commission does not support the transition of IM participants to CDC in its current form and is particularly concerned with the lack of community consultation in rural and remote areas. </w:t>
      </w:r>
    </w:p>
    <w:p w14:paraId="2B09D832" w14:textId="77777777" w:rsidR="00854D18" w:rsidRDefault="00854D18" w:rsidP="00000D4E">
      <w:pPr>
        <w:spacing w:before="0" w:after="0"/>
        <w:rPr>
          <w:rFonts w:ascii="Open Sans" w:hAnsi="Open Sans" w:cs="Open Sans"/>
        </w:rPr>
      </w:pPr>
    </w:p>
    <w:p w14:paraId="6D6DF745" w14:textId="4C341AD1" w:rsidR="00734754" w:rsidRPr="005954B8" w:rsidRDefault="008C48DB" w:rsidP="005954B8">
      <w:pPr>
        <w:spacing w:before="0" w:after="0"/>
        <w:rPr>
          <w:rFonts w:ascii="Open Sans" w:hAnsi="Open Sans" w:cs="Open Sans"/>
        </w:rPr>
      </w:pPr>
      <w:r w:rsidRPr="00000D4E">
        <w:rPr>
          <w:rFonts w:ascii="Open Sans" w:hAnsi="Open Sans" w:cs="Open Sans"/>
        </w:rPr>
        <w:t>While the Commission acknowledges the recent changes to CDC to allow people to apply for exemptions to the program, the current process is onerous</w:t>
      </w:r>
      <w:r w:rsidR="00F60A82">
        <w:rPr>
          <w:rFonts w:ascii="Open Sans" w:hAnsi="Open Sans" w:cs="Open Sans"/>
        </w:rPr>
        <w:t xml:space="preserve"> </w:t>
      </w:r>
      <w:r w:rsidRPr="00000D4E">
        <w:rPr>
          <w:rFonts w:ascii="Open Sans" w:hAnsi="Open Sans" w:cs="Open Sans"/>
        </w:rPr>
        <w:t>and</w:t>
      </w:r>
      <w:r w:rsidR="00F60A82">
        <w:rPr>
          <w:rFonts w:ascii="Open Sans" w:hAnsi="Open Sans" w:cs="Open Sans"/>
        </w:rPr>
        <w:t xml:space="preserve"> </w:t>
      </w:r>
      <w:r w:rsidRPr="00000D4E">
        <w:rPr>
          <w:rFonts w:ascii="Open Sans" w:hAnsi="Open Sans" w:cs="Open Sans"/>
        </w:rPr>
        <w:t xml:space="preserve">puts Aboriginal and Torres Strait Islander peoples with English as a second, third or fourth language and/or those in remote locations with limited access to the Internet </w:t>
      </w:r>
      <w:r w:rsidR="00F60A82">
        <w:rPr>
          <w:rFonts w:ascii="Open Sans" w:hAnsi="Open Sans" w:cs="Open Sans"/>
        </w:rPr>
        <w:t>and/or</w:t>
      </w:r>
      <w:r w:rsidR="001A31C2" w:rsidRPr="00000D4E">
        <w:rPr>
          <w:rFonts w:ascii="Open Sans" w:hAnsi="Open Sans" w:cs="Open Sans"/>
        </w:rPr>
        <w:t xml:space="preserve"> </w:t>
      </w:r>
      <w:r w:rsidR="00F60A82">
        <w:rPr>
          <w:rFonts w:ascii="Open Sans" w:hAnsi="Open Sans" w:cs="Open Sans"/>
        </w:rPr>
        <w:t xml:space="preserve">locally-based </w:t>
      </w:r>
      <w:r w:rsidR="001A31C2" w:rsidRPr="00000D4E">
        <w:rPr>
          <w:rFonts w:ascii="Open Sans" w:hAnsi="Open Sans" w:cs="Open Sans"/>
        </w:rPr>
        <w:t xml:space="preserve">service </w:t>
      </w:r>
      <w:r w:rsidRPr="00000D4E">
        <w:rPr>
          <w:rFonts w:ascii="Open Sans" w:hAnsi="Open Sans" w:cs="Open Sans"/>
        </w:rPr>
        <w:t xml:space="preserve">at a distinct disadvantage. </w:t>
      </w:r>
    </w:p>
    <w:p w14:paraId="68DE6723" w14:textId="77777777" w:rsidR="00421426" w:rsidRDefault="00421426" w:rsidP="00C433C1">
      <w:pPr>
        <w:rPr>
          <w:rFonts w:ascii="Open Sans" w:hAnsi="Open Sans" w:cs="Open Sans"/>
          <w:b/>
        </w:rPr>
      </w:pPr>
    </w:p>
    <w:p w14:paraId="2D0E80B9" w14:textId="3567C431" w:rsidR="006464B9" w:rsidRPr="00C433C1" w:rsidRDefault="006464B9" w:rsidP="00C433C1">
      <w:pPr>
        <w:rPr>
          <w:rFonts w:ascii="Open Sans" w:hAnsi="Open Sans" w:cs="Open Sans"/>
          <w:b/>
        </w:rPr>
      </w:pPr>
      <w:r w:rsidRPr="00000D4E">
        <w:rPr>
          <w:rFonts w:ascii="Open Sans" w:hAnsi="Open Sans" w:cs="Open Sans"/>
          <w:b/>
        </w:rPr>
        <w:t>Conclusion</w:t>
      </w:r>
    </w:p>
    <w:p w14:paraId="7BF679D4" w14:textId="71F9B9A0" w:rsidR="00016775" w:rsidRPr="00000D4E" w:rsidRDefault="00585149" w:rsidP="005675FB">
      <w:pPr>
        <w:spacing w:before="0" w:after="0"/>
        <w:rPr>
          <w:rFonts w:ascii="Open Sans" w:hAnsi="Open Sans" w:cs="Open Sans"/>
        </w:rPr>
      </w:pPr>
      <w:r w:rsidRPr="00000D4E">
        <w:rPr>
          <w:rFonts w:ascii="Open Sans" w:hAnsi="Open Sans" w:cs="Open Sans"/>
        </w:rPr>
        <w:t xml:space="preserve">For the reasons </w:t>
      </w:r>
      <w:r w:rsidR="000F7EC8" w:rsidRPr="00000D4E">
        <w:rPr>
          <w:rFonts w:ascii="Open Sans" w:hAnsi="Open Sans" w:cs="Open Sans"/>
        </w:rPr>
        <w:t xml:space="preserve">expressed in this letter and in our previous </w:t>
      </w:r>
      <w:r w:rsidRPr="00000D4E">
        <w:rPr>
          <w:rFonts w:ascii="Open Sans" w:hAnsi="Open Sans" w:cs="Open Sans"/>
        </w:rPr>
        <w:t>submission</w:t>
      </w:r>
      <w:r w:rsidR="000F7EC8" w:rsidRPr="00000D4E">
        <w:rPr>
          <w:rFonts w:ascii="Open Sans" w:hAnsi="Open Sans" w:cs="Open Sans"/>
        </w:rPr>
        <w:t xml:space="preserve">s in relation to the </w:t>
      </w:r>
      <w:r w:rsidR="00C65270" w:rsidRPr="00000D4E">
        <w:rPr>
          <w:rFonts w:ascii="Open Sans" w:hAnsi="Open Sans" w:cs="Open Sans"/>
        </w:rPr>
        <w:t>cashless debit card trial</w:t>
      </w:r>
      <w:r w:rsidR="00EE6FB7" w:rsidRPr="00000D4E">
        <w:rPr>
          <w:rFonts w:ascii="Open Sans" w:hAnsi="Open Sans" w:cs="Open Sans"/>
        </w:rPr>
        <w:t>s</w:t>
      </w:r>
      <w:r w:rsidR="000F7EC8" w:rsidRPr="00000D4E">
        <w:rPr>
          <w:rFonts w:ascii="Open Sans" w:hAnsi="Open Sans" w:cs="Open Sans"/>
        </w:rPr>
        <w:t xml:space="preserve">, and for the reasons raised by </w:t>
      </w:r>
      <w:r w:rsidRPr="00000D4E">
        <w:rPr>
          <w:rFonts w:ascii="Open Sans" w:hAnsi="Open Sans" w:cs="Open Sans"/>
        </w:rPr>
        <w:t>the PJCHR, t</w:t>
      </w:r>
      <w:r w:rsidR="008E1D36" w:rsidRPr="00000D4E">
        <w:rPr>
          <w:rFonts w:ascii="Open Sans" w:hAnsi="Open Sans" w:cs="Open Sans"/>
        </w:rPr>
        <w:t>he Commission consider</w:t>
      </w:r>
      <w:r w:rsidR="00C65270" w:rsidRPr="00000D4E">
        <w:rPr>
          <w:rFonts w:ascii="Open Sans" w:hAnsi="Open Sans" w:cs="Open Sans"/>
        </w:rPr>
        <w:t>s that</w:t>
      </w:r>
      <w:r w:rsidR="008E1D36" w:rsidRPr="00000D4E">
        <w:rPr>
          <w:rFonts w:ascii="Open Sans" w:hAnsi="Open Sans" w:cs="Open Sans"/>
        </w:rPr>
        <w:t xml:space="preserve"> </w:t>
      </w:r>
      <w:r w:rsidRPr="00000D4E">
        <w:rPr>
          <w:rFonts w:ascii="Open Sans" w:hAnsi="Open Sans" w:cs="Open Sans"/>
        </w:rPr>
        <w:t xml:space="preserve">the </w:t>
      </w:r>
      <w:r w:rsidR="008E1D36" w:rsidRPr="00000D4E">
        <w:rPr>
          <w:rFonts w:ascii="Open Sans" w:hAnsi="Open Sans" w:cs="Open Sans"/>
        </w:rPr>
        <w:t xml:space="preserve">Bill </w:t>
      </w:r>
      <w:r w:rsidR="00C65270" w:rsidRPr="00000D4E">
        <w:rPr>
          <w:rFonts w:ascii="Open Sans" w:hAnsi="Open Sans" w:cs="Open Sans"/>
        </w:rPr>
        <w:t>is not</w:t>
      </w:r>
      <w:r w:rsidR="008E1D36" w:rsidRPr="00000D4E">
        <w:rPr>
          <w:rFonts w:ascii="Open Sans" w:hAnsi="Open Sans" w:cs="Open Sans"/>
        </w:rPr>
        <w:t xml:space="preserve"> compatible with Australia’s international human rights obligations</w:t>
      </w:r>
      <w:r w:rsidR="006464B9" w:rsidRPr="00000D4E">
        <w:rPr>
          <w:rFonts w:ascii="Open Sans" w:hAnsi="Open Sans" w:cs="Open Sans"/>
        </w:rPr>
        <w:t xml:space="preserve">. </w:t>
      </w:r>
      <w:r w:rsidR="00196456" w:rsidRPr="00000D4E">
        <w:rPr>
          <w:rFonts w:ascii="Open Sans" w:hAnsi="Open Sans" w:cs="Open Sans"/>
        </w:rPr>
        <w:t xml:space="preserve">The Commission </w:t>
      </w:r>
      <w:r w:rsidR="00474C98" w:rsidRPr="00000D4E">
        <w:rPr>
          <w:rFonts w:ascii="Open Sans" w:hAnsi="Open Sans" w:cs="Open Sans"/>
        </w:rPr>
        <w:t xml:space="preserve">is concerned that the Government </w:t>
      </w:r>
      <w:r w:rsidR="005A35C3" w:rsidRPr="00000D4E">
        <w:rPr>
          <w:rFonts w:ascii="Open Sans" w:hAnsi="Open Sans" w:cs="Open Sans"/>
        </w:rPr>
        <w:t>is</w:t>
      </w:r>
      <w:r w:rsidR="00474C98" w:rsidRPr="00000D4E">
        <w:rPr>
          <w:rFonts w:ascii="Open Sans" w:hAnsi="Open Sans" w:cs="Open Sans"/>
        </w:rPr>
        <w:t xml:space="preserve"> </w:t>
      </w:r>
      <w:r w:rsidR="005A35C3" w:rsidRPr="00000D4E">
        <w:rPr>
          <w:rFonts w:ascii="Open Sans" w:hAnsi="Open Sans" w:cs="Open Sans"/>
        </w:rPr>
        <w:t xml:space="preserve">seeking to </w:t>
      </w:r>
      <w:r w:rsidR="006C569B" w:rsidRPr="00000D4E">
        <w:rPr>
          <w:rFonts w:ascii="Open Sans" w:hAnsi="Open Sans" w:cs="Open Sans"/>
        </w:rPr>
        <w:t xml:space="preserve">transition participants currently on </w:t>
      </w:r>
      <w:r w:rsidR="00C90549">
        <w:rPr>
          <w:rFonts w:ascii="Open Sans" w:hAnsi="Open Sans" w:cs="Open Sans"/>
        </w:rPr>
        <w:t xml:space="preserve">IM </w:t>
      </w:r>
      <w:r w:rsidR="006C569B" w:rsidRPr="00000D4E">
        <w:rPr>
          <w:rFonts w:ascii="Open Sans" w:hAnsi="Open Sans" w:cs="Open Sans"/>
        </w:rPr>
        <w:t>in trial areas as well as</w:t>
      </w:r>
      <w:r w:rsidR="00C65270" w:rsidRPr="00000D4E">
        <w:rPr>
          <w:rFonts w:ascii="Open Sans" w:hAnsi="Open Sans" w:cs="Open Sans"/>
        </w:rPr>
        <w:t xml:space="preserve"> </w:t>
      </w:r>
      <w:r w:rsidR="006C569B" w:rsidRPr="00000D4E">
        <w:rPr>
          <w:rFonts w:ascii="Open Sans" w:hAnsi="Open Sans" w:cs="Open Sans"/>
        </w:rPr>
        <w:t xml:space="preserve">extending or expanding the trial </w:t>
      </w:r>
      <w:r w:rsidR="00474C98" w:rsidRPr="00000D4E">
        <w:rPr>
          <w:rFonts w:ascii="Open Sans" w:hAnsi="Open Sans" w:cs="Open Sans"/>
        </w:rPr>
        <w:t xml:space="preserve">without giving due regard to the </w:t>
      </w:r>
      <w:r w:rsidR="00C65270" w:rsidRPr="00000D4E">
        <w:rPr>
          <w:rFonts w:ascii="Open Sans" w:hAnsi="Open Sans" w:cs="Open Sans"/>
        </w:rPr>
        <w:t xml:space="preserve">inherent </w:t>
      </w:r>
      <w:r w:rsidR="00474C98" w:rsidRPr="00000D4E">
        <w:rPr>
          <w:rFonts w:ascii="Open Sans" w:hAnsi="Open Sans" w:cs="Open Sans"/>
        </w:rPr>
        <w:t xml:space="preserve">human rights concerns. </w:t>
      </w:r>
      <w:r w:rsidR="005A35C3" w:rsidRPr="00000D4E">
        <w:rPr>
          <w:rFonts w:ascii="Open Sans" w:hAnsi="Open Sans" w:cs="Open Sans"/>
        </w:rPr>
        <w:t>T</w:t>
      </w:r>
      <w:r w:rsidR="005675FB" w:rsidRPr="00000D4E">
        <w:rPr>
          <w:rFonts w:ascii="Open Sans" w:hAnsi="Open Sans" w:cs="Open Sans"/>
        </w:rPr>
        <w:t xml:space="preserve">he Government should </w:t>
      </w:r>
      <w:r w:rsidR="00196456" w:rsidRPr="00000D4E">
        <w:rPr>
          <w:rFonts w:ascii="Open Sans" w:hAnsi="Open Sans" w:cs="Open Sans"/>
        </w:rPr>
        <w:t xml:space="preserve">not </w:t>
      </w:r>
      <w:r w:rsidR="006C569B" w:rsidRPr="00000D4E">
        <w:rPr>
          <w:rFonts w:ascii="Open Sans" w:hAnsi="Open Sans" w:cs="Open Sans"/>
        </w:rPr>
        <w:t xml:space="preserve">transition current IM participants, </w:t>
      </w:r>
      <w:r w:rsidR="00196456" w:rsidRPr="00000D4E">
        <w:rPr>
          <w:rFonts w:ascii="Open Sans" w:hAnsi="Open Sans" w:cs="Open Sans"/>
        </w:rPr>
        <w:t>extend or expand</w:t>
      </w:r>
      <w:r w:rsidR="00EE6FB7" w:rsidRPr="00000D4E">
        <w:rPr>
          <w:rFonts w:ascii="Open Sans" w:hAnsi="Open Sans" w:cs="Open Sans"/>
        </w:rPr>
        <w:t xml:space="preserve"> </w:t>
      </w:r>
      <w:r w:rsidR="00196456" w:rsidRPr="00000D4E">
        <w:rPr>
          <w:rFonts w:ascii="Open Sans" w:hAnsi="Open Sans" w:cs="Open Sans"/>
        </w:rPr>
        <w:t xml:space="preserve">the </w:t>
      </w:r>
      <w:r w:rsidR="00C65270" w:rsidRPr="00000D4E">
        <w:rPr>
          <w:rFonts w:ascii="Open Sans" w:hAnsi="Open Sans" w:cs="Open Sans"/>
        </w:rPr>
        <w:t>cashless debit card trial</w:t>
      </w:r>
      <w:r w:rsidR="006C569B" w:rsidRPr="00000D4E">
        <w:rPr>
          <w:rFonts w:ascii="Open Sans" w:hAnsi="Open Sans" w:cs="Open Sans"/>
        </w:rPr>
        <w:t>s</w:t>
      </w:r>
      <w:r w:rsidR="00C65270" w:rsidRPr="00000D4E">
        <w:rPr>
          <w:rFonts w:ascii="Open Sans" w:hAnsi="Open Sans" w:cs="Open Sans"/>
        </w:rPr>
        <w:t xml:space="preserve"> </w:t>
      </w:r>
      <w:r w:rsidR="005675FB" w:rsidRPr="00000D4E">
        <w:rPr>
          <w:rFonts w:ascii="Open Sans" w:hAnsi="Open Sans" w:cs="Open Sans"/>
        </w:rPr>
        <w:t xml:space="preserve">until </w:t>
      </w:r>
      <w:r w:rsidR="00196456" w:rsidRPr="00000D4E">
        <w:rPr>
          <w:rFonts w:ascii="Open Sans" w:hAnsi="Open Sans" w:cs="Open Sans"/>
        </w:rPr>
        <w:t xml:space="preserve">the existing arrangements are made more compatible </w:t>
      </w:r>
      <w:r w:rsidR="00016775" w:rsidRPr="00000D4E">
        <w:rPr>
          <w:rFonts w:ascii="Open Sans" w:hAnsi="Open Sans" w:cs="Open Sans"/>
        </w:rPr>
        <w:t xml:space="preserve">with human rights. </w:t>
      </w:r>
      <w:r w:rsidR="00C62FC9">
        <w:rPr>
          <w:rFonts w:ascii="Open Sans" w:hAnsi="Open Sans" w:cs="Open Sans"/>
        </w:rPr>
        <w:t>The existing trials need to be intensively, appropriately monitored and evaluated to establish clear evidence of workability prior to any further extensions of time or any expansion to new communities.</w:t>
      </w:r>
    </w:p>
    <w:p w14:paraId="35AD53DF" w14:textId="48D11E05" w:rsidR="006464B9" w:rsidRPr="00000D4E" w:rsidRDefault="006464B9" w:rsidP="005675FB">
      <w:pPr>
        <w:spacing w:before="0" w:after="0"/>
        <w:rPr>
          <w:rFonts w:ascii="Open Sans" w:hAnsi="Open Sans" w:cs="Open Sans"/>
        </w:rPr>
      </w:pPr>
    </w:p>
    <w:p w14:paraId="275839F8" w14:textId="744FF46B" w:rsidR="006464B9" w:rsidRDefault="00C65270" w:rsidP="006464B9">
      <w:pPr>
        <w:spacing w:before="0" w:after="0"/>
        <w:rPr>
          <w:rFonts w:ascii="Open Sans" w:hAnsi="Open Sans" w:cs="Open Sans"/>
        </w:rPr>
      </w:pPr>
      <w:r w:rsidRPr="00000D4E">
        <w:rPr>
          <w:rFonts w:ascii="Open Sans" w:hAnsi="Open Sans" w:cs="Open Sans"/>
        </w:rPr>
        <w:t>The</w:t>
      </w:r>
      <w:r w:rsidR="00196456" w:rsidRPr="00000D4E">
        <w:rPr>
          <w:rFonts w:ascii="Open Sans" w:hAnsi="Open Sans" w:cs="Open Sans"/>
        </w:rPr>
        <w:t xml:space="preserve"> Commission supports a community-driven approach, </w:t>
      </w:r>
      <w:r w:rsidRPr="00000D4E">
        <w:rPr>
          <w:rFonts w:ascii="Open Sans" w:hAnsi="Open Sans" w:cs="Open Sans"/>
        </w:rPr>
        <w:t xml:space="preserve">so that if </w:t>
      </w:r>
      <w:r w:rsidR="00196456" w:rsidRPr="00000D4E">
        <w:rPr>
          <w:rFonts w:ascii="Open Sans" w:hAnsi="Open Sans" w:cs="Open Sans"/>
        </w:rPr>
        <w:t>a community choose to introduce income management measures, there is participation in decision-making, based on free, prior and informed consent and good faith. C</w:t>
      </w:r>
      <w:r w:rsidR="006464B9" w:rsidRPr="00000D4E">
        <w:rPr>
          <w:rFonts w:ascii="Open Sans" w:hAnsi="Open Sans" w:cs="Open Sans"/>
        </w:rPr>
        <w:t xml:space="preserve">ommunity governance structures and processes should be developed with the aim of empowering community members to take control of their own identified issues and aspirations. </w:t>
      </w:r>
      <w:r w:rsidR="00196456" w:rsidRPr="00000D4E">
        <w:rPr>
          <w:rFonts w:ascii="Open Sans" w:hAnsi="Open Sans" w:cs="Open Sans"/>
        </w:rPr>
        <w:t xml:space="preserve">The Commission considers that </w:t>
      </w:r>
      <w:r w:rsidR="006464B9" w:rsidRPr="00000D4E">
        <w:rPr>
          <w:rFonts w:ascii="Open Sans" w:hAnsi="Open Sans" w:cs="Open Sans"/>
        </w:rPr>
        <w:t>income management measures should be applied on a case-by-case basis,</w:t>
      </w:r>
      <w:r w:rsidR="00585F7B" w:rsidRPr="00000D4E">
        <w:rPr>
          <w:rFonts w:ascii="Open Sans" w:hAnsi="Open Sans" w:cs="Open Sans"/>
        </w:rPr>
        <w:t xml:space="preserve"> with opt in and non</w:t>
      </w:r>
      <w:r w:rsidR="000948AD" w:rsidRPr="00000D4E">
        <w:rPr>
          <w:rFonts w:ascii="Open Sans" w:hAnsi="Open Sans" w:cs="Open Sans"/>
        </w:rPr>
        <w:t>-</w:t>
      </w:r>
      <w:r w:rsidR="00585F7B" w:rsidRPr="00000D4E">
        <w:rPr>
          <w:rFonts w:ascii="Open Sans" w:hAnsi="Open Sans" w:cs="Open Sans"/>
        </w:rPr>
        <w:t xml:space="preserve">arduous opt out </w:t>
      </w:r>
      <w:r w:rsidR="000948AD" w:rsidRPr="00000D4E">
        <w:rPr>
          <w:rFonts w:ascii="Open Sans" w:hAnsi="Open Sans" w:cs="Open Sans"/>
        </w:rPr>
        <w:t>processes, upon</w:t>
      </w:r>
      <w:r w:rsidR="006464B9" w:rsidRPr="00000D4E">
        <w:rPr>
          <w:rFonts w:ascii="Open Sans" w:hAnsi="Open Sans" w:cs="Open Sans"/>
        </w:rPr>
        <w:t xml:space="preserve"> assessment of </w:t>
      </w:r>
      <w:proofErr w:type="gramStart"/>
      <w:r w:rsidR="006464B9" w:rsidRPr="00000D4E">
        <w:rPr>
          <w:rFonts w:ascii="Open Sans" w:hAnsi="Open Sans" w:cs="Open Sans"/>
        </w:rPr>
        <w:t>particular circumstances</w:t>
      </w:r>
      <w:proofErr w:type="gramEnd"/>
      <w:r w:rsidR="006464B9" w:rsidRPr="00000D4E">
        <w:rPr>
          <w:rFonts w:ascii="Open Sans" w:hAnsi="Open Sans" w:cs="Open Sans"/>
        </w:rPr>
        <w:t xml:space="preserve"> of individuals and with access to appropriate support.</w:t>
      </w:r>
    </w:p>
    <w:p w14:paraId="3A609087" w14:textId="25955500" w:rsidR="001D2A8F" w:rsidRDefault="001D2A8F" w:rsidP="006464B9">
      <w:pPr>
        <w:spacing w:before="0" w:after="0"/>
        <w:rPr>
          <w:rFonts w:ascii="Open Sans" w:hAnsi="Open Sans" w:cs="Open Sans"/>
        </w:rPr>
      </w:pPr>
    </w:p>
    <w:p w14:paraId="1EB1A7C3" w14:textId="207D9BE3" w:rsidR="009E423C" w:rsidRDefault="009E423C" w:rsidP="006464B9">
      <w:pPr>
        <w:spacing w:before="0" w:after="0"/>
        <w:rPr>
          <w:rFonts w:ascii="Open Sans" w:hAnsi="Open Sans" w:cs="Open Sans"/>
        </w:rPr>
      </w:pPr>
    </w:p>
    <w:p w14:paraId="753DB91A" w14:textId="77777777" w:rsidR="00C433C1" w:rsidRPr="00000D4E" w:rsidRDefault="00C433C1" w:rsidP="005675FB">
      <w:pPr>
        <w:spacing w:before="0" w:after="0"/>
        <w:rPr>
          <w:rFonts w:ascii="Open Sans" w:hAnsi="Open Sans" w:cs="Open Sans"/>
        </w:rPr>
      </w:pPr>
    </w:p>
    <w:p w14:paraId="2903451C" w14:textId="77777777" w:rsidR="003B350D" w:rsidRPr="00000D4E" w:rsidRDefault="003B350D" w:rsidP="003B350D">
      <w:pPr>
        <w:keepNext/>
        <w:spacing w:before="0" w:after="0"/>
        <w:rPr>
          <w:rFonts w:ascii="Open Sans" w:hAnsi="Open Sans" w:cs="Open Sans"/>
        </w:rPr>
      </w:pPr>
      <w:r w:rsidRPr="00000D4E">
        <w:rPr>
          <w:rFonts w:ascii="Open Sans" w:hAnsi="Open Sans" w:cs="Open Sans"/>
        </w:rPr>
        <w:t>Yours sincerely</w:t>
      </w:r>
    </w:p>
    <w:p w14:paraId="3888A9F1" w14:textId="5BF3066A" w:rsidR="002820DB" w:rsidRDefault="002820DB" w:rsidP="003B350D">
      <w:pPr>
        <w:spacing w:before="0" w:after="0"/>
        <w:rPr>
          <w:rFonts w:ascii="Open Sans" w:hAnsi="Open Sans" w:cs="Open Sans"/>
        </w:rPr>
      </w:pPr>
    </w:p>
    <w:p w14:paraId="6F1E1484" w14:textId="66D34B22" w:rsidR="00C433C1" w:rsidRDefault="00C433C1" w:rsidP="003B350D">
      <w:pPr>
        <w:spacing w:before="0" w:after="0"/>
        <w:rPr>
          <w:rFonts w:ascii="Open Sans" w:hAnsi="Open Sans" w:cs="Open Sans"/>
        </w:rPr>
      </w:pPr>
    </w:p>
    <w:p w14:paraId="52F637C9" w14:textId="77777777" w:rsidR="00FF47E9" w:rsidRDefault="00FF47E9" w:rsidP="003B350D">
      <w:pPr>
        <w:spacing w:before="0" w:after="0"/>
        <w:rPr>
          <w:rFonts w:ascii="Open Sans" w:hAnsi="Open Sans" w:cs="Open Sans"/>
        </w:rPr>
      </w:pPr>
    </w:p>
    <w:p w14:paraId="2221269D" w14:textId="77777777" w:rsidR="00C433C1" w:rsidRPr="00000D4E" w:rsidRDefault="00C433C1" w:rsidP="003B350D">
      <w:pPr>
        <w:spacing w:before="0" w:after="0"/>
        <w:rPr>
          <w:rFonts w:ascii="Open Sans" w:hAnsi="Open Sans" w:cs="Open Sans"/>
        </w:rPr>
      </w:pPr>
    </w:p>
    <w:p w14:paraId="6F063A95" w14:textId="77777777" w:rsidR="003B350D" w:rsidRPr="00000D4E" w:rsidRDefault="003B350D" w:rsidP="003B350D">
      <w:pPr>
        <w:pStyle w:val="AddressBlock"/>
        <w:spacing w:before="0"/>
        <w:rPr>
          <w:rFonts w:ascii="Open Sans" w:hAnsi="Open Sans" w:cs="Open Sans"/>
        </w:rPr>
      </w:pPr>
      <w:bookmarkStart w:id="10" w:name="OLE_LINK1"/>
      <w:r w:rsidRPr="00000D4E">
        <w:rPr>
          <w:rFonts w:ascii="Open Sans" w:hAnsi="Open Sans" w:cs="Open Sans"/>
        </w:rPr>
        <w:t>June Oscar AO</w:t>
      </w:r>
    </w:p>
    <w:p w14:paraId="5D026428" w14:textId="77777777" w:rsidR="003B350D" w:rsidRPr="00000D4E" w:rsidRDefault="003B350D" w:rsidP="003B350D">
      <w:pPr>
        <w:pStyle w:val="AddressBlock"/>
        <w:spacing w:before="0"/>
        <w:rPr>
          <w:rFonts w:ascii="Open Sans" w:hAnsi="Open Sans" w:cs="Open Sans"/>
          <w:b/>
        </w:rPr>
      </w:pPr>
      <w:r w:rsidRPr="00000D4E">
        <w:rPr>
          <w:rFonts w:ascii="Open Sans" w:hAnsi="Open Sans" w:cs="Open Sans"/>
          <w:b/>
        </w:rPr>
        <w:t>Aboriginal and Torres Strait Islander</w:t>
      </w:r>
    </w:p>
    <w:p w14:paraId="3FC94074" w14:textId="77777777" w:rsidR="003B350D" w:rsidRPr="00000D4E" w:rsidRDefault="003B350D" w:rsidP="003B350D">
      <w:pPr>
        <w:pStyle w:val="AddressBlock"/>
        <w:spacing w:before="0"/>
        <w:rPr>
          <w:rFonts w:ascii="Open Sans" w:hAnsi="Open Sans" w:cs="Open Sans"/>
          <w:b/>
        </w:rPr>
      </w:pPr>
      <w:r w:rsidRPr="00000D4E">
        <w:rPr>
          <w:rFonts w:ascii="Open Sans" w:hAnsi="Open Sans" w:cs="Open Sans"/>
          <w:b/>
        </w:rPr>
        <w:t>Social Justice Commissioner</w:t>
      </w:r>
    </w:p>
    <w:bookmarkEnd w:id="10"/>
    <w:p w14:paraId="26BA6787" w14:textId="77777777" w:rsidR="003B350D" w:rsidRPr="00000D4E" w:rsidRDefault="003B350D" w:rsidP="003B350D">
      <w:pPr>
        <w:pStyle w:val="Contactdetails"/>
        <w:spacing w:before="0" w:after="0" w:line="240" w:lineRule="auto"/>
        <w:rPr>
          <w:rFonts w:ascii="Open Sans" w:hAnsi="Open Sans" w:cs="Open Sans"/>
          <w:sz w:val="24"/>
        </w:rPr>
      </w:pPr>
    </w:p>
    <w:p w14:paraId="58226129" w14:textId="77777777" w:rsidR="003B350D" w:rsidRPr="00000D4E" w:rsidRDefault="003B350D" w:rsidP="003B350D">
      <w:pPr>
        <w:pStyle w:val="Contactdetails"/>
        <w:spacing w:before="0" w:after="0" w:line="240" w:lineRule="auto"/>
        <w:rPr>
          <w:rFonts w:ascii="Open Sans" w:hAnsi="Open Sans" w:cs="Open Sans"/>
          <w:sz w:val="24"/>
        </w:rPr>
      </w:pPr>
      <w:r w:rsidRPr="00000D4E">
        <w:rPr>
          <w:rFonts w:ascii="Open Sans" w:hAnsi="Open Sans" w:cs="Open Sans"/>
          <w:sz w:val="24"/>
        </w:rPr>
        <w:t>T +61 2 9284 9781</w:t>
      </w:r>
    </w:p>
    <w:p w14:paraId="39F647CC" w14:textId="77777777" w:rsidR="003B350D" w:rsidRPr="00000D4E" w:rsidRDefault="003B350D" w:rsidP="003B350D">
      <w:pPr>
        <w:pStyle w:val="Contactdetails"/>
        <w:spacing w:before="0" w:after="0" w:line="240" w:lineRule="auto"/>
        <w:rPr>
          <w:rFonts w:ascii="Open Sans" w:hAnsi="Open Sans" w:cs="Open Sans"/>
          <w:sz w:val="24"/>
        </w:rPr>
      </w:pPr>
      <w:r w:rsidRPr="00000D4E">
        <w:rPr>
          <w:rFonts w:ascii="Open Sans" w:hAnsi="Open Sans" w:cs="Open Sans"/>
          <w:sz w:val="24"/>
        </w:rPr>
        <w:t>F +61 2 9284 9611</w:t>
      </w:r>
    </w:p>
    <w:p w14:paraId="30DF855E" w14:textId="5BA08D5E" w:rsidR="00C433C1" w:rsidRPr="00C433C1" w:rsidRDefault="003B350D" w:rsidP="00C433C1">
      <w:pPr>
        <w:pStyle w:val="Contactdetails"/>
        <w:spacing w:before="0" w:after="0" w:line="240" w:lineRule="auto"/>
        <w:rPr>
          <w:rStyle w:val="Hyperlink"/>
          <w:rFonts w:ascii="Open Sans" w:hAnsi="Open Sans" w:cs="Open Sans"/>
          <w:sz w:val="24"/>
        </w:rPr>
      </w:pPr>
      <w:r w:rsidRPr="00000D4E">
        <w:rPr>
          <w:rFonts w:ascii="Open Sans" w:hAnsi="Open Sans" w:cs="Open Sans"/>
          <w:sz w:val="24"/>
        </w:rPr>
        <w:t xml:space="preserve">E </w:t>
      </w:r>
      <w:hyperlink r:id="rId9" w:history="1">
        <w:r w:rsidRPr="00000D4E">
          <w:rPr>
            <w:rStyle w:val="Hyperlink"/>
            <w:rFonts w:ascii="Open Sans" w:hAnsi="Open Sans" w:cs="Open Sans"/>
            <w:sz w:val="24"/>
          </w:rPr>
          <w:t>june.oscar@humanrights.gov.au</w:t>
        </w:r>
      </w:hyperlink>
    </w:p>
    <w:p w14:paraId="0401B38A" w14:textId="7861D11F" w:rsidR="00473E07" w:rsidRPr="00EE3C52" w:rsidRDefault="00C433C1">
      <w:pPr>
        <w:spacing w:before="0" w:after="0"/>
        <w:rPr>
          <w:rStyle w:val="Hyperlink"/>
          <w:rFonts w:cs="Arial"/>
          <w:b/>
          <w:color w:val="auto"/>
          <w:u w:val="none"/>
        </w:rPr>
      </w:pPr>
      <w:r>
        <w:rPr>
          <w:rStyle w:val="Hyperlink"/>
          <w:rFonts w:cs="Arial"/>
          <w:b/>
          <w:color w:val="auto"/>
          <w:u w:val="none"/>
        </w:rPr>
        <w:br w:type="page"/>
      </w:r>
      <w:r w:rsidR="00EE3C52" w:rsidRPr="00EE3C52">
        <w:rPr>
          <w:rStyle w:val="Hyperlink"/>
          <w:rFonts w:cs="Arial"/>
          <w:b/>
          <w:color w:val="auto"/>
          <w:u w:val="none"/>
        </w:rPr>
        <w:lastRenderedPageBreak/>
        <w:t>Endnotes</w:t>
      </w:r>
    </w:p>
    <w:sectPr w:rsidR="00473E07" w:rsidRPr="00EE3C52" w:rsidSect="00A11877">
      <w:headerReference w:type="default" r:id="rId10"/>
      <w:footerReference w:type="default" r:id="rId11"/>
      <w:headerReference w:type="first" r:id="rId12"/>
      <w:footerReference w:type="first" r:id="rId13"/>
      <w:endnotePr>
        <w:numFmt w:val="decimal"/>
      </w:endnotePr>
      <w:pgSz w:w="11906" w:h="16838" w:code="9"/>
      <w:pgMar w:top="1134" w:right="1418" w:bottom="1531" w:left="1418" w:header="907" w:footer="6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96D78" w14:textId="77777777" w:rsidR="004A424D" w:rsidRDefault="004A424D" w:rsidP="003B350D">
      <w:pPr>
        <w:spacing w:before="0" w:after="0"/>
      </w:pPr>
      <w:r>
        <w:separator/>
      </w:r>
    </w:p>
  </w:endnote>
  <w:endnote w:type="continuationSeparator" w:id="0">
    <w:p w14:paraId="32E9310A" w14:textId="77777777" w:rsidR="004A424D" w:rsidRDefault="004A424D" w:rsidP="003B350D">
      <w:pPr>
        <w:spacing w:before="0" w:after="0"/>
      </w:pPr>
      <w:r>
        <w:continuationSeparator/>
      </w:r>
    </w:p>
  </w:endnote>
  <w:endnote w:id="1">
    <w:p w14:paraId="39F8C7B6" w14:textId="793AE8DD" w:rsidR="00473E07" w:rsidRPr="006B037E" w:rsidRDefault="00473E07">
      <w:pPr>
        <w:pStyle w:val="EndnoteText"/>
      </w:pPr>
      <w:r>
        <w:rPr>
          <w:rStyle w:val="EndnoteReference"/>
        </w:rPr>
        <w:endnoteRef/>
      </w:r>
      <w:r>
        <w:t xml:space="preserve"> </w:t>
      </w:r>
      <w:r w:rsidRPr="00CA5FF2">
        <w:rPr>
          <w:rFonts w:cs="Arial"/>
        </w:rPr>
        <w:t xml:space="preserve">Mick Gooda, Aboriginal and Torres Strait Islander Social Justice Commissioner, </w:t>
      </w:r>
      <w:r w:rsidRPr="00022FE0">
        <w:rPr>
          <w:i/>
        </w:rPr>
        <w:t>Submission to the Senate Standing Committee on Community Affairs</w:t>
      </w:r>
      <w:r w:rsidRPr="00BC7470">
        <w:t xml:space="preserve">, </w:t>
      </w:r>
      <w:r w:rsidRPr="00BC7470">
        <w:rPr>
          <w:rFonts w:cs="Arial"/>
        </w:rPr>
        <w:t xml:space="preserve">Inquiry into the </w:t>
      </w:r>
      <w:r w:rsidRPr="00BC7470">
        <w:rPr>
          <w:rFonts w:cs="Arial"/>
          <w:i/>
          <w:iCs/>
        </w:rPr>
        <w:t>Social Security Legislation Amendment (Debit Card Trial) Bill 2015</w:t>
      </w:r>
      <w:r w:rsidRPr="00022FE0">
        <w:rPr>
          <w:rFonts w:cs="Arial"/>
          <w:iCs/>
        </w:rPr>
        <w:t>, 6 October 2015</w:t>
      </w:r>
      <w:r>
        <w:rPr>
          <w:rFonts w:cs="Arial"/>
          <w:iCs/>
        </w:rPr>
        <w:t xml:space="preserve">, At </w:t>
      </w:r>
      <w:hyperlink r:id="rId1" w:history="1">
        <w:r w:rsidRPr="00856BBC">
          <w:rPr>
            <w:rStyle w:val="Hyperlink"/>
            <w:rFonts w:cs="Arial"/>
            <w:iCs/>
          </w:rPr>
          <w:t>http://www.aph.gov.au/DocumentStore.ashx?id=14a9925c-245c-4a2e-9bfa-eeb6c843e505&amp;subId=403485</w:t>
        </w:r>
      </w:hyperlink>
      <w:r w:rsidR="006B037E">
        <w:rPr>
          <w:rFonts w:cs="Arial"/>
          <w:iCs/>
        </w:rPr>
        <w:t xml:space="preserve"> (viewed 16 Jult </w:t>
      </w:r>
      <w:r>
        <w:rPr>
          <w:rFonts w:cs="Arial"/>
          <w:iCs/>
        </w:rPr>
        <w:t xml:space="preserve"> </w:t>
      </w:r>
      <w:r w:rsidRPr="00CA5FF2">
        <w:rPr>
          <w:rFonts w:cs="Arial"/>
        </w:rPr>
        <w:t>Mick Gooda, Aboriginal and Torres Strait Islander Social Justice Commissioner,</w:t>
      </w:r>
      <w:r>
        <w:rPr>
          <w:rFonts w:cs="Arial"/>
        </w:rPr>
        <w:t xml:space="preserve"> </w:t>
      </w:r>
      <w:r w:rsidRPr="00C42708">
        <w:rPr>
          <w:rFonts w:cs="Arial"/>
          <w:i/>
        </w:rPr>
        <w:t>Social Justice and Native Title Report 2016</w:t>
      </w:r>
      <w:r>
        <w:rPr>
          <w:rFonts w:cs="Arial"/>
        </w:rPr>
        <w:t xml:space="preserve">, 88-97, At </w:t>
      </w:r>
      <w:hyperlink r:id="rId2" w:history="1">
        <w:r w:rsidRPr="00856BBC">
          <w:rPr>
            <w:rStyle w:val="Hyperlink"/>
            <w:rFonts w:cs="Arial"/>
          </w:rPr>
          <w:t>http://www.humanrights.gov.au/sites/default/files/document/publication/AHRC_SJNTR_2016.pdf</w:t>
        </w:r>
      </w:hyperlink>
      <w:r>
        <w:rPr>
          <w:rFonts w:cs="Arial"/>
        </w:rPr>
        <w:t xml:space="preserve">; </w:t>
      </w:r>
      <w:r w:rsidRPr="00CA5FF2">
        <w:rPr>
          <w:rFonts w:cs="Arial"/>
        </w:rPr>
        <w:t>Mick Gooda, Aboriginal and Torres Strait Islander Social Justice Commissioner,</w:t>
      </w:r>
      <w:r>
        <w:rPr>
          <w:rFonts w:cs="Arial"/>
        </w:rPr>
        <w:t xml:space="preserve"> </w:t>
      </w:r>
      <w:r w:rsidRPr="00C42708">
        <w:rPr>
          <w:rFonts w:cs="Arial"/>
          <w:i/>
        </w:rPr>
        <w:t>Social Justice and Native Title Report 201</w:t>
      </w:r>
      <w:r>
        <w:rPr>
          <w:rFonts w:cs="Arial"/>
          <w:i/>
        </w:rPr>
        <w:t>5</w:t>
      </w:r>
      <w:r>
        <w:rPr>
          <w:rFonts w:cs="Arial"/>
        </w:rPr>
        <w:t xml:space="preserve">, 55-58, At </w:t>
      </w:r>
      <w:hyperlink r:id="rId3" w:history="1">
        <w:r w:rsidRPr="00856BBC">
          <w:rPr>
            <w:rStyle w:val="Hyperlink"/>
            <w:rFonts w:cs="Arial"/>
          </w:rPr>
          <w:t>http://www.humanrights.gov.au/sites/default/files/document/publication/SJRNTR2015.pdf</w:t>
        </w:r>
      </w:hyperlink>
      <w:r w:rsidR="006B037E">
        <w:rPr>
          <w:rFonts w:cs="Arial"/>
          <w:iCs/>
        </w:rPr>
        <w:t xml:space="preserve"> (viewed 16 July 2018).</w:t>
      </w:r>
    </w:p>
  </w:endnote>
  <w:endnote w:id="2">
    <w:p w14:paraId="3F2636EE" w14:textId="25818BD7" w:rsidR="008C1783" w:rsidRPr="006B037E" w:rsidRDefault="008C1783">
      <w:pPr>
        <w:pStyle w:val="EndnoteText"/>
      </w:pPr>
      <w:r>
        <w:rPr>
          <w:rStyle w:val="EndnoteReference"/>
        </w:rPr>
        <w:endnoteRef/>
      </w:r>
      <w:r w:rsidR="00017C5F">
        <w:t xml:space="preserve"> Australian Human Rights Commission, Submission No 30 to Senate Standing Committees on Community Affairs, </w:t>
      </w:r>
      <w:r w:rsidR="00017C5F">
        <w:rPr>
          <w:i/>
        </w:rPr>
        <w:t>Social Services Legislation Amendment (Cashless Debit Card) Bill 2017</w:t>
      </w:r>
      <w:r w:rsidR="006B037E">
        <w:t xml:space="preserve">, 29 September 2017. At </w:t>
      </w:r>
      <w:hyperlink r:id="rId4" w:history="1">
        <w:r w:rsidR="006B037E" w:rsidRPr="00C4761B">
          <w:rPr>
            <w:rStyle w:val="Hyperlink"/>
          </w:rPr>
          <w:t>https://www.aph.gov.au/Parliamentary_Business/Committees/Senate/Community_Affairs/CashlessDebitCard/Submissions</w:t>
        </w:r>
      </w:hyperlink>
      <w:r w:rsidR="006B037E">
        <w:t xml:space="preserve"> (viewed 16 July 2018). </w:t>
      </w:r>
    </w:p>
  </w:endnote>
  <w:endnote w:id="3">
    <w:p w14:paraId="761EC8EF" w14:textId="0771EBB1" w:rsidR="001331C6" w:rsidRDefault="001331C6">
      <w:pPr>
        <w:pStyle w:val="EndnoteText"/>
      </w:pPr>
      <w:r>
        <w:rPr>
          <w:rStyle w:val="EndnoteReference"/>
        </w:rPr>
        <w:endnoteRef/>
      </w:r>
      <w:r>
        <w:t xml:space="preserve"> </w:t>
      </w:r>
      <w:r w:rsidR="00E5004C">
        <w:t xml:space="preserve">Parliamentary Joint Committee on Human Rights, </w:t>
      </w:r>
      <w:r w:rsidR="00DE5AAE">
        <w:rPr>
          <w:i/>
        </w:rPr>
        <w:t xml:space="preserve">Human Rights Scrutiny Report – Report 6 of 2018 </w:t>
      </w:r>
      <w:r w:rsidR="00DE5AAE">
        <w:t xml:space="preserve">(June </w:t>
      </w:r>
      <w:r w:rsidR="00017C5F">
        <w:t xml:space="preserve">2018). </w:t>
      </w:r>
      <w:r w:rsidR="00DE5AAE">
        <w:t>At </w:t>
      </w:r>
      <w:hyperlink r:id="rId5" w:history="1">
        <w:r w:rsidR="00DE5AAE" w:rsidRPr="00C4761B">
          <w:rPr>
            <w:rStyle w:val="Hyperlink"/>
          </w:rPr>
          <w:t>https://www.aph.gov.au/Parliamentary_Business/Committees/Joint/Human_Rights/Scrutiny_reports/2018/Report_6_of_2018</w:t>
        </w:r>
      </w:hyperlink>
      <w:r w:rsidR="00DE5AAE">
        <w:t xml:space="preserve"> (viewed 16 July 2018). </w:t>
      </w:r>
    </w:p>
  </w:endnote>
  <w:endnote w:id="4">
    <w:p w14:paraId="187E3828" w14:textId="77777777" w:rsidR="00FC4B65" w:rsidRDefault="00FC4B65" w:rsidP="00FC4B65">
      <w:pPr>
        <w:pStyle w:val="EndnoteText"/>
      </w:pPr>
      <w:r>
        <w:rPr>
          <w:rStyle w:val="EndnoteReference"/>
        </w:rPr>
        <w:endnoteRef/>
      </w:r>
      <w:r>
        <w:t xml:space="preserve"> </w:t>
      </w:r>
      <w:r w:rsidRPr="009C14BF">
        <w:t>Orima Research, ‘Cashless debit card trial evaluation: final evaluation report’, (Department of Social Services, 2017) 82, 88-89, 118</w:t>
      </w:r>
    </w:p>
  </w:endnote>
  <w:endnote w:id="5">
    <w:p w14:paraId="3D3D116D" w14:textId="77777777" w:rsidR="00FC4B65" w:rsidRDefault="00FC4B65" w:rsidP="00FC4B65">
      <w:pPr>
        <w:pStyle w:val="EndnoteText"/>
      </w:pPr>
      <w:r>
        <w:rPr>
          <w:rStyle w:val="EndnoteReference"/>
        </w:rPr>
        <w:endnoteRef/>
      </w:r>
      <w:r>
        <w:t xml:space="preserve"> </w:t>
      </w:r>
      <w:r w:rsidRPr="009C14BF">
        <w:t>Orima Research, ‘Cashless debit card trial evaluation: final evaluation report’, (Department of Social Services, 2017) 86.</w:t>
      </w:r>
    </w:p>
  </w:endnote>
  <w:endnote w:id="6">
    <w:p w14:paraId="6AD25398" w14:textId="77777777" w:rsidR="00FC4B65" w:rsidRDefault="00FC4B65" w:rsidP="00FC4B65">
      <w:pPr>
        <w:pStyle w:val="EndnoteText"/>
      </w:pPr>
      <w:r>
        <w:rPr>
          <w:rStyle w:val="EndnoteReference"/>
        </w:rPr>
        <w:endnoteRef/>
      </w:r>
      <w:r>
        <w:t xml:space="preserve"> </w:t>
      </w:r>
      <w:r w:rsidRPr="009C14BF">
        <w:t xml:space="preserve">Orima Research, ‘Cashless debit card trial evaluation: final evaluation report’, (Department of Social Services, 2017), 88-89.  </w:t>
      </w:r>
    </w:p>
  </w:endnote>
  <w:endnote w:id="7">
    <w:p w14:paraId="471E879E" w14:textId="77777777" w:rsidR="00EE3FA8" w:rsidRPr="008B649A" w:rsidRDefault="00EE3FA8" w:rsidP="00EE3FA8">
      <w:pPr>
        <w:pStyle w:val="EndnoteText"/>
      </w:pPr>
      <w:r>
        <w:rPr>
          <w:rStyle w:val="EndnoteReference"/>
        </w:rPr>
        <w:endnoteRef/>
      </w:r>
      <w:r>
        <w:t xml:space="preserve"> Australian National Audit Office, </w:t>
      </w:r>
      <w:r>
        <w:rPr>
          <w:i/>
        </w:rPr>
        <w:t xml:space="preserve">The Implementation and Performance of the Cashless Debit Card Trial </w:t>
      </w:r>
      <w:r>
        <w:t xml:space="preserve">(Department of Social Services, Report No 1 of 2018–19, July 2018) 44. At </w:t>
      </w:r>
      <w:hyperlink r:id="rId6" w:history="1">
        <w:r w:rsidRPr="00DC4239">
          <w:rPr>
            <w:rStyle w:val="Hyperlink"/>
          </w:rPr>
          <w:t>https://www.anao.gov.au/work/performance-audit/implementation-and-performance-cashless-debit-card-trial</w:t>
        </w:r>
      </w:hyperlink>
      <w:r>
        <w:t xml:space="preserve"> (viewed 18 July 2018).  </w:t>
      </w:r>
    </w:p>
  </w:endnote>
  <w:endnote w:id="8">
    <w:p w14:paraId="7945A245" w14:textId="77777777" w:rsidR="00EE3FA8" w:rsidRPr="008B649A" w:rsidRDefault="00EE3FA8" w:rsidP="00EE3FA8">
      <w:pPr>
        <w:pStyle w:val="EndnoteText"/>
      </w:pPr>
      <w:r>
        <w:rPr>
          <w:rStyle w:val="EndnoteReference"/>
        </w:rPr>
        <w:endnoteRef/>
      </w:r>
      <w:r>
        <w:t xml:space="preserve"> Australian National Audit Office, </w:t>
      </w:r>
      <w:r>
        <w:rPr>
          <w:i/>
        </w:rPr>
        <w:t xml:space="preserve">The Implementation and Performance of the Cashless Debit Card Trial </w:t>
      </w:r>
      <w:r>
        <w:t xml:space="preserve">(Department of Social Services, Report No 1 of 2018–19, July 2018) 8. At </w:t>
      </w:r>
      <w:hyperlink r:id="rId7" w:history="1">
        <w:r w:rsidRPr="00DC4239">
          <w:rPr>
            <w:rStyle w:val="Hyperlink"/>
          </w:rPr>
          <w:t>https://www.anao.gov.au/work/performance-audit/implementation-and-performance-cashless-debit-card-trial</w:t>
        </w:r>
      </w:hyperlink>
      <w:r>
        <w:t xml:space="preserve"> (viewed 18 July 2018).  </w:t>
      </w:r>
    </w:p>
  </w:endnote>
  <w:endnote w:id="9">
    <w:p w14:paraId="6983DE74" w14:textId="7F7F715E" w:rsidR="001E6073" w:rsidRDefault="001E6073" w:rsidP="001E6073">
      <w:pPr>
        <w:pStyle w:val="EndnoteText"/>
      </w:pPr>
      <w:r>
        <w:rPr>
          <w:rStyle w:val="EndnoteReference"/>
        </w:rPr>
        <w:endnoteRef/>
      </w:r>
      <w:r>
        <w:t xml:space="preserve"> </w:t>
      </w:r>
      <w:bookmarkStart w:id="6" w:name="_Hlk20125574"/>
      <w:r>
        <w:t xml:space="preserve">University of Adelaide, </w:t>
      </w:r>
      <w:r w:rsidRPr="00D3265C">
        <w:rPr>
          <w:rFonts w:cs="Arial"/>
          <w:i/>
          <w:iCs/>
        </w:rPr>
        <w:t>Cashless Debit Card Baseline Data Collection in the Goldfields Region: Qualitative Findings</w:t>
      </w:r>
      <w:r>
        <w:rPr>
          <w:rFonts w:cs="Arial"/>
        </w:rPr>
        <w:t>,</w:t>
      </w:r>
      <w:r w:rsidR="001D7116">
        <w:rPr>
          <w:rFonts w:cs="Arial"/>
        </w:rPr>
        <w:t xml:space="preserve"> (2019)</w:t>
      </w:r>
      <w:r>
        <w:rPr>
          <w:rFonts w:cs="Arial"/>
        </w:rPr>
        <w:t xml:space="preserve"> </w:t>
      </w:r>
      <w:bookmarkEnd w:id="6"/>
      <w:r>
        <w:rPr>
          <w:rFonts w:cs="Arial"/>
        </w:rPr>
        <w:t>8</w:t>
      </w:r>
      <w:r w:rsidR="001D7116">
        <w:rPr>
          <w:rFonts w:cs="Arial"/>
        </w:rPr>
        <w:t>.</w:t>
      </w:r>
    </w:p>
  </w:endnote>
  <w:endnote w:id="10">
    <w:p w14:paraId="02FA0905" w14:textId="23BF5DD5" w:rsidR="001E6073" w:rsidRDefault="001E6073" w:rsidP="001E6073">
      <w:pPr>
        <w:pStyle w:val="EndnoteText"/>
      </w:pPr>
      <w:r>
        <w:rPr>
          <w:rStyle w:val="EndnoteReference"/>
        </w:rPr>
        <w:endnoteRef/>
      </w:r>
      <w:r>
        <w:t xml:space="preserve"> University of Adelaide, </w:t>
      </w:r>
      <w:r w:rsidRPr="00D3265C">
        <w:rPr>
          <w:rFonts w:cs="Arial"/>
          <w:i/>
          <w:iCs/>
        </w:rPr>
        <w:t>Cashless Debit Card Baseline Data Collection in the Goldfields Region: Qualitative Findings</w:t>
      </w:r>
      <w:r>
        <w:rPr>
          <w:rFonts w:cs="Arial"/>
        </w:rPr>
        <w:t xml:space="preserve">, </w:t>
      </w:r>
      <w:r w:rsidR="001D7116">
        <w:rPr>
          <w:rFonts w:cs="Arial"/>
        </w:rPr>
        <w:t xml:space="preserve">(2019) </w:t>
      </w:r>
      <w:r>
        <w:rPr>
          <w:rFonts w:cs="Arial"/>
        </w:rPr>
        <w:t>6</w:t>
      </w:r>
      <w:r w:rsidR="001D7116">
        <w:rPr>
          <w:rFonts w:cs="Arial"/>
        </w:rPr>
        <w:t>.</w:t>
      </w:r>
    </w:p>
  </w:endnote>
  <w:endnote w:id="11">
    <w:p w14:paraId="0E3E5039" w14:textId="3B3F3904" w:rsidR="001D7116" w:rsidRDefault="001D7116">
      <w:pPr>
        <w:pStyle w:val="EndnoteText"/>
      </w:pPr>
      <w:r>
        <w:rPr>
          <w:rStyle w:val="EndnoteReference"/>
        </w:rPr>
        <w:endnoteRef/>
      </w:r>
      <w:r>
        <w:t xml:space="preserve"> University of Adelaide, </w:t>
      </w:r>
      <w:r>
        <w:rPr>
          <w:i/>
          <w:iCs/>
        </w:rPr>
        <w:t>Cashless Debit Card Baseline Data Collection in the Goldfields Region: Qualitative Findings</w:t>
      </w:r>
      <w:r>
        <w:t xml:space="preserve"> (2019) 90.</w:t>
      </w:r>
    </w:p>
  </w:endnote>
  <w:endnote w:id="12">
    <w:p w14:paraId="1A486F0E" w14:textId="6DD18FEB" w:rsidR="002D40CA" w:rsidRDefault="002D40CA">
      <w:pPr>
        <w:pStyle w:val="EndnoteText"/>
      </w:pPr>
      <w:r>
        <w:rPr>
          <w:rStyle w:val="EndnoteReference"/>
        </w:rPr>
        <w:endnoteRef/>
      </w:r>
      <w:r>
        <w:t xml:space="preserve"> University of Adelaide, </w:t>
      </w:r>
      <w:r>
        <w:rPr>
          <w:i/>
          <w:iCs/>
        </w:rPr>
        <w:t>Cashless Debit Card Baseline Data Collection in the Goldfields Region: Qualitative Findings</w:t>
      </w:r>
      <w:r>
        <w:t xml:space="preserve"> (2019) 90.</w:t>
      </w:r>
    </w:p>
  </w:endnote>
  <w:endnote w:id="13">
    <w:p w14:paraId="74E1D939" w14:textId="4E78BE7F" w:rsidR="0079696B" w:rsidRDefault="0079696B">
      <w:pPr>
        <w:pStyle w:val="EndnoteText"/>
      </w:pPr>
      <w:r>
        <w:rPr>
          <w:rStyle w:val="EndnoteReference"/>
        </w:rPr>
        <w:endnoteRef/>
      </w:r>
      <w:r>
        <w:t xml:space="preserve"> </w:t>
      </w:r>
      <w:r w:rsidRPr="005F11DC">
        <w:rPr>
          <w:i/>
          <w:iCs/>
        </w:rPr>
        <w:t>Social Security (Administration) Amendment (Income Management to Cashless Debit Card Transition) Bill 2019</w:t>
      </w:r>
      <w:r>
        <w:rPr>
          <w:i/>
          <w:iCs/>
        </w:rPr>
        <w:t xml:space="preserve">, </w:t>
      </w:r>
      <w:r w:rsidRPr="0079696B">
        <w:t>proposed section 124P</w:t>
      </w:r>
      <w:r>
        <w:t>G</w:t>
      </w:r>
      <w:r w:rsidRPr="0079696B">
        <w:t>D</w:t>
      </w:r>
      <w:r>
        <w:t xml:space="preserve"> and 124GE</w:t>
      </w:r>
      <w:r w:rsidR="007F160E">
        <w:t>.</w:t>
      </w:r>
    </w:p>
  </w:endnote>
  <w:endnote w:id="14">
    <w:p w14:paraId="429509D2" w14:textId="77777777" w:rsidR="005954B8" w:rsidRDefault="005954B8" w:rsidP="005954B8">
      <w:pPr>
        <w:pStyle w:val="EndnoteText"/>
      </w:pPr>
      <w:r>
        <w:rPr>
          <w:rStyle w:val="EndnoteReference"/>
        </w:rPr>
        <w:endnoteRef/>
      </w:r>
      <w:r>
        <w:t xml:space="preserve"> </w:t>
      </w:r>
      <w:r w:rsidRPr="00D06C76">
        <w:t xml:space="preserve">Parliament of Australia, </w:t>
      </w:r>
      <w:r w:rsidRPr="00D84304">
        <w:rPr>
          <w:i/>
          <w:iCs/>
        </w:rPr>
        <w:t>Social Security (Administration) Amendment (Income Management to Cashless Debit Card Transition) Bill 2019</w:t>
      </w:r>
      <w:r w:rsidRPr="00D06C76">
        <w:t>, Explanatory Memorandum, (201</w:t>
      </w:r>
      <w:r>
        <w:t>9), 26-27</w:t>
      </w:r>
    </w:p>
  </w:endnote>
  <w:endnote w:id="15">
    <w:p w14:paraId="534CC586" w14:textId="77777777" w:rsidR="007F160E" w:rsidRDefault="007F160E" w:rsidP="007F160E">
      <w:pPr>
        <w:pStyle w:val="EndnoteText"/>
      </w:pPr>
      <w:r>
        <w:rPr>
          <w:rStyle w:val="EndnoteReference"/>
        </w:rPr>
        <w:endnoteRef/>
      </w:r>
      <w:r>
        <w:t xml:space="preserve"> </w:t>
      </w:r>
      <w:r w:rsidRPr="00CA5FF2">
        <w:rPr>
          <w:rFonts w:cs="Arial"/>
        </w:rPr>
        <w:t xml:space="preserve">Mick Gooda, Aboriginal and Torres Strait Islander Social Justice Commissioner, </w:t>
      </w:r>
      <w:r w:rsidRPr="00CA5FF2">
        <w:rPr>
          <w:rFonts w:cs="Arial"/>
          <w:i/>
        </w:rPr>
        <w:t>Submission to the Senate Standing Committee on Community Affairs</w:t>
      </w:r>
      <w:r w:rsidRPr="00CA5FF2">
        <w:rPr>
          <w:rFonts w:cs="Arial"/>
        </w:rPr>
        <w:t xml:space="preserve">, </w:t>
      </w:r>
      <w:r>
        <w:rPr>
          <w:rFonts w:cs="Arial"/>
        </w:rPr>
        <w:t>I</w:t>
      </w:r>
      <w:r w:rsidRPr="00CA5FF2">
        <w:rPr>
          <w:rFonts w:cs="Arial"/>
        </w:rPr>
        <w:t xml:space="preserve">nquiry into </w:t>
      </w:r>
      <w:r>
        <w:rPr>
          <w:rFonts w:cs="Arial"/>
        </w:rPr>
        <w:t xml:space="preserve">the </w:t>
      </w:r>
      <w:r w:rsidRPr="00022FE0">
        <w:rPr>
          <w:rFonts w:cs="Arial"/>
          <w:i/>
        </w:rPr>
        <w:t>Social Security Legislation Amendment (Debit Card Trial) Bill 2015</w:t>
      </w:r>
      <w:r w:rsidRPr="00CA5FF2">
        <w:rPr>
          <w:rFonts w:cs="Arial"/>
        </w:rPr>
        <w:t xml:space="preserve">, </w:t>
      </w:r>
      <w:r>
        <w:rPr>
          <w:rFonts w:cs="Arial"/>
        </w:rPr>
        <w:t xml:space="preserve">6 October 2015, </w:t>
      </w:r>
      <w:r w:rsidRPr="00CA5FF2">
        <w:rPr>
          <w:rFonts w:cs="Arial"/>
        </w:rPr>
        <w:t>5.</w:t>
      </w:r>
    </w:p>
  </w:endnote>
  <w:endnote w:id="16">
    <w:p w14:paraId="331075A9" w14:textId="1B7DE757" w:rsidR="00DA0849" w:rsidRDefault="00DA0849">
      <w:pPr>
        <w:pStyle w:val="EndnoteText"/>
      </w:pPr>
      <w:r>
        <w:rPr>
          <w:rStyle w:val="EndnoteReference"/>
        </w:rPr>
        <w:endnoteRef/>
      </w:r>
      <w:r>
        <w:t xml:space="preserve"> 2016 Census, </w:t>
      </w:r>
      <w:hyperlink r:id="rId8" w:history="1">
        <w:r w:rsidRPr="00B42FB6">
          <w:rPr>
            <w:rStyle w:val="Hyperlink"/>
          </w:rPr>
          <w:t>https://quickstats.censusdata.abs.gov.au/census_services/getproduct/census/2016/quickstat/315011396</w:t>
        </w:r>
      </w:hyperlink>
      <w:r>
        <w:t xml:space="preserve"> (viewed 23 September 2019), </w:t>
      </w:r>
      <w:r>
        <w:rPr>
          <w:rFonts w:cs="Arial"/>
          <w:color w:val="333333"/>
          <w:sz w:val="19"/>
          <w:szCs w:val="19"/>
          <w:shd w:val="clear" w:color="auto" w:fill="FFFFFF"/>
        </w:rPr>
        <w:t>In the 2016 Census, there were 7,513 people in Cape York (Statistical Area Level 2). Of these 52.8% were male and 47.2% were female. Aboriginal and/or Torres Strait Islander people made up 51.6% of the population.</w:t>
      </w:r>
    </w:p>
  </w:endnote>
  <w:endnote w:id="17">
    <w:p w14:paraId="43429121" w14:textId="77777777" w:rsidR="007F160E" w:rsidRDefault="007F160E" w:rsidP="007F160E">
      <w:pPr>
        <w:pStyle w:val="EndnoteText"/>
      </w:pPr>
      <w:r>
        <w:rPr>
          <w:rStyle w:val="EndnoteReference"/>
        </w:rPr>
        <w:endnoteRef/>
      </w:r>
      <w:r>
        <w:t xml:space="preserve"> Statement of Compatibility with Human Rights, Social Services Legislation Amendment (Cashless Debit Card Trial Expansion) Bill 2018, </w:t>
      </w:r>
      <w:r w:rsidRPr="00DE5AAE">
        <w:t>9.</w:t>
      </w:r>
    </w:p>
  </w:endnote>
  <w:endnote w:id="18">
    <w:p w14:paraId="6BC66498" w14:textId="77777777" w:rsidR="007F160E" w:rsidRDefault="007F160E" w:rsidP="007F160E">
      <w:pPr>
        <w:pStyle w:val="EndnoteText"/>
      </w:pPr>
      <w:r>
        <w:rPr>
          <w:rStyle w:val="EndnoteReference"/>
        </w:rPr>
        <w:endnoteRef/>
      </w:r>
      <w:r>
        <w:t xml:space="preserve"> The Commission notes that 77% of Trial participants in Ceduna and 81% of Trial participants in the East Kimberley are Aboriginal and Torres Strait Islander people. See Australian National Audit Office, </w:t>
      </w:r>
      <w:r>
        <w:rPr>
          <w:i/>
        </w:rPr>
        <w:t xml:space="preserve">The Implementation and Performance of the Cashless Debit Card Trial </w:t>
      </w:r>
      <w:r>
        <w:t xml:space="preserve">(Department of Social Services, Report No 1 of 2018–19, July 2018) 16. At </w:t>
      </w:r>
      <w:hyperlink r:id="rId9" w:history="1">
        <w:r w:rsidRPr="00DC4239">
          <w:rPr>
            <w:rStyle w:val="Hyperlink"/>
          </w:rPr>
          <w:t>https://www.anao.gov.au/work/performance-audit/implementation-and-performance-cashless-debit-card-trial</w:t>
        </w:r>
      </w:hyperlink>
      <w:r>
        <w:t xml:space="preserve"> (viewed 18 July 2018).  </w:t>
      </w:r>
    </w:p>
  </w:endnote>
  <w:endnote w:id="19">
    <w:p w14:paraId="350E119B" w14:textId="77777777" w:rsidR="007F160E" w:rsidRPr="00983C2B" w:rsidRDefault="007F160E" w:rsidP="007F160E">
      <w:pPr>
        <w:pStyle w:val="EndnoteText"/>
        <w:rPr>
          <w:rFonts w:cs="Arial"/>
        </w:rPr>
      </w:pPr>
      <w:r>
        <w:rPr>
          <w:rStyle w:val="EndnoteReference"/>
        </w:rPr>
        <w:endnoteRef/>
      </w:r>
      <w:r>
        <w:t xml:space="preserve"> Australian Human Rights Commission, Submission No 30 to Senate Standing Committees on Community Affairs, </w:t>
      </w:r>
      <w:r>
        <w:rPr>
          <w:i/>
        </w:rPr>
        <w:t>Social Services Legislation Amendment (Cashless Debit Card) Bill 2017</w:t>
      </w:r>
      <w:r>
        <w:t xml:space="preserve">, 29 September 2017. See </w:t>
      </w:r>
      <w:r w:rsidRPr="00CA5FF2">
        <w:rPr>
          <w:rFonts w:cs="Arial"/>
        </w:rPr>
        <w:t xml:space="preserve">Productivity Commission, </w:t>
      </w:r>
      <w:r w:rsidRPr="002D5F85">
        <w:rPr>
          <w:rFonts w:cs="Arial"/>
          <w:i/>
        </w:rPr>
        <w:t>Overcoming Indigenous Disadvantage Report 2016</w:t>
      </w:r>
      <w:r w:rsidRPr="00CA5FF2">
        <w:rPr>
          <w:rFonts w:cs="Arial"/>
        </w:rPr>
        <w:t xml:space="preserve">, 9.31. At: </w:t>
      </w:r>
      <w:hyperlink r:id="rId10" w:history="1">
        <w:r w:rsidRPr="00CA5FF2">
          <w:rPr>
            <w:rStyle w:val="Hyperlink"/>
            <w:rFonts w:cs="Arial"/>
          </w:rPr>
          <w:t>https://www.pc.gov.au/research/ongoing/overcoming-indigenous-disadvantage/2016/report-documents/oid-2016-chapter9-economic-participation.pdf</w:t>
        </w:r>
      </w:hyperlink>
      <w:r>
        <w:rPr>
          <w:rFonts w:cs="Arial"/>
        </w:rPr>
        <w:t xml:space="preserve"> (viewed 18 July 2018).</w:t>
      </w:r>
    </w:p>
  </w:endnote>
  <w:endnote w:id="20">
    <w:p w14:paraId="3367BAEA" w14:textId="5A2B7FF1" w:rsidR="00BC7133" w:rsidRDefault="00BC7133">
      <w:pPr>
        <w:pStyle w:val="EndnoteText"/>
      </w:pPr>
      <w:r>
        <w:rPr>
          <w:rStyle w:val="EndnoteReference"/>
        </w:rPr>
        <w:endnoteRef/>
      </w:r>
      <w:r>
        <w:t xml:space="preserve"> </w:t>
      </w:r>
      <w:r w:rsidRPr="00D06C76">
        <w:t xml:space="preserve">Parliament of Australia, </w:t>
      </w:r>
      <w:r w:rsidRPr="00D84304">
        <w:rPr>
          <w:i/>
          <w:iCs/>
        </w:rPr>
        <w:t>Social Security (Administration) Amendment (Income Management to Cashless Debit Card Transition) Bill 2019</w:t>
      </w:r>
      <w:r w:rsidRPr="00D06C76">
        <w:t>,</w:t>
      </w:r>
      <w:r>
        <w:t xml:space="preserve"> 23.</w:t>
      </w:r>
    </w:p>
  </w:endnote>
  <w:endnote w:id="21">
    <w:p w14:paraId="69419324" w14:textId="77777777" w:rsidR="008C48DB" w:rsidRDefault="008C48DB" w:rsidP="008C48DB">
      <w:pPr>
        <w:pStyle w:val="EndnoteText"/>
      </w:pPr>
      <w:r>
        <w:rPr>
          <w:rStyle w:val="EndnoteReference"/>
        </w:rPr>
        <w:endnoteRef/>
      </w:r>
      <w:r>
        <w:t xml:space="preserve"> </w:t>
      </w:r>
      <w:bookmarkStart w:id="9" w:name="_Hlk20402506"/>
      <w:r>
        <w:t xml:space="preserve">Transcript of Senate Community Affairs Legislation Committee - Social Security (Administration) Amendment (Income Management to Cashless Debit Card Transition) Bill 2019. Monday, 23 September 2019 Darwin - </w:t>
      </w:r>
      <w:r w:rsidRPr="00F14DA8">
        <w:t>Aboriginal Peak Organisations Northern Territor</w:t>
      </w:r>
      <w:r>
        <w:t>y</w:t>
      </w:r>
      <w:bookmarkEnd w:id="9"/>
    </w:p>
  </w:endnote>
  <w:endnote w:id="22">
    <w:p w14:paraId="13B6BDAC" w14:textId="77777777" w:rsidR="008C48DB" w:rsidRDefault="008C48DB" w:rsidP="008C48DB">
      <w:pPr>
        <w:pStyle w:val="EndnoteText"/>
      </w:pPr>
      <w:r>
        <w:rPr>
          <w:rStyle w:val="EndnoteReference"/>
        </w:rPr>
        <w:endnoteRef/>
      </w:r>
      <w:r>
        <w:t xml:space="preserve"> Transcript of Senate Community Affairs Legislation Committee - Social Security (Administration) Amendment (Income Management to Cashless Debit Card Transition) Bill 2019. Monday, 23 September 2019 Darwin - </w:t>
      </w:r>
      <w:r w:rsidRPr="00F14DA8">
        <w:t>Aboriginal Peak Organisations Northern Territor</w:t>
      </w:r>
      <w:r>
        <w: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panose1 w:val="00000000000000000000"/>
    <w:charset w:val="4D"/>
    <w:family w:val="auto"/>
    <w:notTrueType/>
    <w:pitch w:val="default"/>
    <w:sig w:usb0="00000003" w:usb1="00000000" w:usb2="00000000" w:usb3="00000000" w:csb0="00000001" w:csb1="00000000"/>
  </w:font>
  <w:font w:name="ヒラギノ角ゴ Pro W3">
    <w:altName w:val="MS Mincho"/>
    <w:charset w:val="80"/>
    <w:family w:val="swiss"/>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Segoe UI"/>
    <w:panose1 w:val="020B0606030504020204"/>
    <w:charset w:val="00"/>
    <w:family w:val="swiss"/>
    <w:pitch w:val="variable"/>
    <w:sig w:usb0="E00002EF" w:usb1="4000205B" w:usb2="00000028" w:usb3="00000000" w:csb0="0000019F" w:csb1="00000000"/>
  </w:font>
  <w:font w:name="HelveticaNeue-Light">
    <w:altName w:val="Helvetica 45 Light"/>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84D91" w14:textId="396CC83E" w:rsidR="00785449" w:rsidRPr="0090165F" w:rsidRDefault="00104DAD" w:rsidP="00162A8D">
    <w:pPr>
      <w:pStyle w:val="Footer"/>
      <w:jc w:val="right"/>
    </w:pPr>
    <w:r w:rsidRPr="0090165F">
      <w:fldChar w:fldCharType="begin"/>
    </w:r>
    <w:r w:rsidRPr="0090165F">
      <w:instrText xml:space="preserve"> PAGE   \* MERGEFORMAT </w:instrText>
    </w:r>
    <w:r w:rsidRPr="0090165F">
      <w:fldChar w:fldCharType="separate"/>
    </w:r>
    <w:r w:rsidR="00A5339C">
      <w:rPr>
        <w:noProof/>
      </w:rPr>
      <w:t>4</w:t>
    </w:r>
    <w:r w:rsidRPr="0090165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2" w:space="0" w:color="808080"/>
        <w:left w:val="single" w:sz="2" w:space="0" w:color="808080"/>
        <w:bottom w:val="single" w:sz="2" w:space="0" w:color="808080"/>
        <w:right w:val="single" w:sz="2" w:space="0" w:color="808080"/>
      </w:tblBorders>
      <w:tblLayout w:type="fixed"/>
      <w:tblLook w:val="00A0" w:firstRow="1" w:lastRow="0" w:firstColumn="1" w:lastColumn="0" w:noHBand="0" w:noVBand="0"/>
    </w:tblPr>
    <w:tblGrid>
      <w:gridCol w:w="1793"/>
      <w:gridCol w:w="2143"/>
      <w:gridCol w:w="1701"/>
      <w:gridCol w:w="2551"/>
      <w:gridCol w:w="1667"/>
    </w:tblGrid>
    <w:tr w:rsidR="00785449" w:rsidRPr="00FE2201" w14:paraId="0F7D6283" w14:textId="77777777" w:rsidTr="00C87F1C">
      <w:tc>
        <w:tcPr>
          <w:tcW w:w="1793" w:type="dxa"/>
          <w:tcBorders>
            <w:top w:val="single" w:sz="2" w:space="0" w:color="808080"/>
            <w:left w:val="nil"/>
            <w:bottom w:val="nil"/>
            <w:right w:val="nil"/>
          </w:tcBorders>
        </w:tcPr>
        <w:p w14:paraId="6D56FF76" w14:textId="77777777" w:rsidR="00785449" w:rsidRPr="00FE2201" w:rsidRDefault="00B90CAA" w:rsidP="005B50D7">
          <w:pPr>
            <w:widowControl w:val="0"/>
            <w:tabs>
              <w:tab w:val="left" w:pos="5830"/>
            </w:tabs>
            <w:autoSpaceDE w:val="0"/>
            <w:autoSpaceDN w:val="0"/>
            <w:adjustRightInd w:val="0"/>
            <w:spacing w:before="0" w:after="0" w:line="80" w:lineRule="exact"/>
            <w:ind w:right="159"/>
            <w:textAlignment w:val="center"/>
            <w:rPr>
              <w:rFonts w:cs="HelveticaNeue-Light"/>
              <w:sz w:val="16"/>
              <w:szCs w:val="16"/>
              <w:lang w:val="en-US" w:bidi="en-US"/>
            </w:rPr>
          </w:pPr>
        </w:p>
        <w:p w14:paraId="3D9351D8" w14:textId="77777777" w:rsidR="006561AF" w:rsidRPr="00FE2201" w:rsidRDefault="00104DAD" w:rsidP="006561AF">
          <w:pPr>
            <w:widowControl w:val="0"/>
            <w:tabs>
              <w:tab w:val="left" w:pos="5830"/>
            </w:tabs>
            <w:autoSpaceDE w:val="0"/>
            <w:autoSpaceDN w:val="0"/>
            <w:adjustRightInd w:val="0"/>
            <w:spacing w:before="0" w:after="0" w:line="288" w:lineRule="auto"/>
            <w:ind w:right="159"/>
            <w:textAlignment w:val="center"/>
            <w:rPr>
              <w:rFonts w:cs="HelveticaNeue-Light"/>
              <w:sz w:val="16"/>
              <w:szCs w:val="16"/>
              <w:lang w:val="en-US" w:bidi="en-US"/>
            </w:rPr>
          </w:pPr>
          <w:r w:rsidRPr="00FE2201">
            <w:rPr>
              <w:rFonts w:cs="HelveticaNeue-Light"/>
              <w:sz w:val="16"/>
              <w:szCs w:val="16"/>
              <w:lang w:val="en-US" w:bidi="en-US"/>
            </w:rPr>
            <w:t>Australian</w:t>
          </w:r>
        </w:p>
        <w:p w14:paraId="57B7AE99" w14:textId="77777777" w:rsidR="006561AF" w:rsidRPr="00FE2201" w:rsidRDefault="00104DAD" w:rsidP="006561AF">
          <w:pPr>
            <w:widowControl w:val="0"/>
            <w:tabs>
              <w:tab w:val="left" w:pos="5830"/>
            </w:tabs>
            <w:autoSpaceDE w:val="0"/>
            <w:autoSpaceDN w:val="0"/>
            <w:adjustRightInd w:val="0"/>
            <w:spacing w:before="0" w:after="0" w:line="288" w:lineRule="auto"/>
            <w:ind w:right="159"/>
            <w:textAlignment w:val="center"/>
            <w:rPr>
              <w:rFonts w:cs="HelveticaNeue-Light"/>
              <w:sz w:val="16"/>
              <w:szCs w:val="16"/>
              <w:lang w:val="en-US" w:bidi="en-US"/>
            </w:rPr>
          </w:pPr>
          <w:r w:rsidRPr="00FE2201">
            <w:rPr>
              <w:rFonts w:cs="HelveticaNeue-Light"/>
              <w:sz w:val="16"/>
              <w:szCs w:val="16"/>
              <w:lang w:val="en-US" w:bidi="en-US"/>
            </w:rPr>
            <w:t>Human Rights</w:t>
          </w:r>
        </w:p>
        <w:p w14:paraId="3CB20956" w14:textId="77777777" w:rsidR="006561AF" w:rsidRPr="00FE2201" w:rsidRDefault="00104DAD" w:rsidP="006561AF">
          <w:pPr>
            <w:widowControl w:val="0"/>
            <w:tabs>
              <w:tab w:val="left" w:pos="5830"/>
            </w:tabs>
            <w:autoSpaceDE w:val="0"/>
            <w:autoSpaceDN w:val="0"/>
            <w:adjustRightInd w:val="0"/>
            <w:spacing w:before="0" w:after="0" w:line="288" w:lineRule="auto"/>
            <w:ind w:right="159"/>
            <w:textAlignment w:val="center"/>
            <w:rPr>
              <w:rFonts w:cs="HelveticaNeue-Light"/>
              <w:sz w:val="16"/>
              <w:szCs w:val="16"/>
              <w:lang w:val="en-US" w:bidi="en-US"/>
            </w:rPr>
          </w:pPr>
          <w:r w:rsidRPr="00FE2201">
            <w:rPr>
              <w:rFonts w:cs="HelveticaNeue-Light"/>
              <w:sz w:val="16"/>
              <w:szCs w:val="16"/>
              <w:lang w:val="en-US" w:bidi="en-US"/>
            </w:rPr>
            <w:t>Commission</w:t>
          </w:r>
        </w:p>
        <w:p w14:paraId="151CF559" w14:textId="77777777" w:rsidR="00785449" w:rsidRPr="00FE2201" w:rsidRDefault="00104DAD" w:rsidP="005B50D7">
          <w:pPr>
            <w:widowControl w:val="0"/>
            <w:tabs>
              <w:tab w:val="left" w:pos="5830"/>
            </w:tabs>
            <w:autoSpaceDE w:val="0"/>
            <w:autoSpaceDN w:val="0"/>
            <w:adjustRightInd w:val="0"/>
            <w:spacing w:before="0" w:after="0" w:line="288" w:lineRule="auto"/>
            <w:ind w:right="17"/>
            <w:textAlignment w:val="center"/>
            <w:rPr>
              <w:rFonts w:cs="HelveticaNeue-Light"/>
              <w:sz w:val="16"/>
              <w:szCs w:val="16"/>
              <w:lang w:val="en-US" w:bidi="en-US"/>
            </w:rPr>
          </w:pPr>
          <w:r w:rsidRPr="00FE2201">
            <w:rPr>
              <w:rFonts w:cs="HelveticaNeue-Light"/>
              <w:sz w:val="16"/>
              <w:szCs w:val="16"/>
              <w:lang w:val="en-US" w:bidi="en-US"/>
            </w:rPr>
            <w:t>ABN 47 996 232 602</w:t>
          </w:r>
        </w:p>
      </w:tc>
      <w:tc>
        <w:tcPr>
          <w:tcW w:w="2143" w:type="dxa"/>
          <w:tcBorders>
            <w:top w:val="single" w:sz="2" w:space="0" w:color="808080"/>
            <w:left w:val="nil"/>
            <w:bottom w:val="nil"/>
            <w:right w:val="nil"/>
          </w:tcBorders>
        </w:tcPr>
        <w:p w14:paraId="12FD074A" w14:textId="77777777" w:rsidR="00785449" w:rsidRPr="00FE2201" w:rsidRDefault="00B90CAA" w:rsidP="005B50D7">
          <w:pPr>
            <w:widowControl w:val="0"/>
            <w:tabs>
              <w:tab w:val="left" w:pos="5830"/>
            </w:tabs>
            <w:autoSpaceDE w:val="0"/>
            <w:autoSpaceDN w:val="0"/>
            <w:adjustRightInd w:val="0"/>
            <w:spacing w:before="0" w:after="0" w:line="80" w:lineRule="exact"/>
            <w:ind w:right="159"/>
            <w:textAlignment w:val="center"/>
            <w:rPr>
              <w:rFonts w:cs="HelveticaNeue-Light"/>
              <w:sz w:val="16"/>
              <w:szCs w:val="16"/>
              <w:lang w:val="en-US" w:bidi="en-US"/>
            </w:rPr>
          </w:pPr>
        </w:p>
        <w:p w14:paraId="100D5EF4" w14:textId="77777777" w:rsidR="0070667C" w:rsidRPr="008D1634" w:rsidRDefault="00104DAD" w:rsidP="0070667C">
          <w:pPr>
            <w:widowControl w:val="0"/>
            <w:tabs>
              <w:tab w:val="left" w:pos="5830"/>
            </w:tabs>
            <w:autoSpaceDE w:val="0"/>
            <w:autoSpaceDN w:val="0"/>
            <w:adjustRightInd w:val="0"/>
            <w:spacing w:before="0" w:after="0" w:line="288" w:lineRule="auto"/>
            <w:ind w:right="176"/>
            <w:jc w:val="both"/>
            <w:textAlignment w:val="center"/>
            <w:rPr>
              <w:rFonts w:cs="HelveticaNeue-Light"/>
              <w:sz w:val="16"/>
              <w:szCs w:val="16"/>
              <w:lang w:val="en-US" w:bidi="en-US"/>
            </w:rPr>
          </w:pPr>
          <w:r>
            <w:rPr>
              <w:rFonts w:cs="HelveticaNeue-Light"/>
              <w:sz w:val="16"/>
              <w:szCs w:val="16"/>
              <w:lang w:val="en-US" w:bidi="en-US"/>
            </w:rPr>
            <w:t xml:space="preserve">Level </w:t>
          </w:r>
          <w:r>
            <w:rPr>
              <w:rFonts w:cs="HelveticaNeue-Light" w:hint="eastAsia"/>
              <w:sz w:val="16"/>
              <w:szCs w:val="16"/>
              <w:lang w:val="en-US" w:eastAsia="zh-CN" w:bidi="en-US"/>
            </w:rPr>
            <w:t>3</w:t>
          </w:r>
          <w:r w:rsidRPr="008D1634">
            <w:rPr>
              <w:rFonts w:cs="HelveticaNeue-Light"/>
              <w:sz w:val="16"/>
              <w:szCs w:val="16"/>
              <w:lang w:val="en-US" w:bidi="en-US"/>
            </w:rPr>
            <w:t xml:space="preserve"> </w:t>
          </w:r>
        </w:p>
        <w:p w14:paraId="6C006B8A" w14:textId="77777777" w:rsidR="0070667C" w:rsidRPr="008D1634" w:rsidRDefault="00104DAD" w:rsidP="0070667C">
          <w:pPr>
            <w:widowControl w:val="0"/>
            <w:tabs>
              <w:tab w:val="left" w:pos="5830"/>
            </w:tabs>
            <w:autoSpaceDE w:val="0"/>
            <w:autoSpaceDN w:val="0"/>
            <w:adjustRightInd w:val="0"/>
            <w:spacing w:before="0" w:after="0" w:line="288" w:lineRule="auto"/>
            <w:ind w:right="176"/>
            <w:jc w:val="both"/>
            <w:textAlignment w:val="center"/>
            <w:rPr>
              <w:rFonts w:cs="HelveticaNeue-Light"/>
              <w:sz w:val="16"/>
              <w:szCs w:val="16"/>
              <w:lang w:val="en-US" w:bidi="en-US"/>
            </w:rPr>
          </w:pPr>
          <w:r>
            <w:rPr>
              <w:rFonts w:cs="HelveticaNeue-Light"/>
              <w:sz w:val="16"/>
              <w:szCs w:val="16"/>
              <w:lang w:val="en-US" w:bidi="en-US"/>
            </w:rPr>
            <w:t>1</w:t>
          </w:r>
          <w:r>
            <w:rPr>
              <w:rFonts w:cs="HelveticaNeue-Light" w:hint="eastAsia"/>
              <w:sz w:val="16"/>
              <w:szCs w:val="16"/>
              <w:lang w:val="en-US" w:eastAsia="zh-CN" w:bidi="en-US"/>
            </w:rPr>
            <w:t>75</w:t>
          </w:r>
          <w:r w:rsidRPr="008D1634">
            <w:rPr>
              <w:rFonts w:cs="HelveticaNeue-Light"/>
              <w:sz w:val="16"/>
              <w:szCs w:val="16"/>
              <w:lang w:val="en-US" w:bidi="en-US"/>
            </w:rPr>
            <w:t xml:space="preserve"> </w:t>
          </w:r>
          <w:r>
            <w:rPr>
              <w:rFonts w:cs="HelveticaNeue-Light" w:hint="eastAsia"/>
              <w:sz w:val="16"/>
              <w:szCs w:val="16"/>
              <w:lang w:val="en-US" w:eastAsia="zh-CN" w:bidi="en-US"/>
            </w:rPr>
            <w:t>Pitt</w:t>
          </w:r>
          <w:r w:rsidRPr="008D1634">
            <w:rPr>
              <w:rFonts w:cs="HelveticaNeue-Light"/>
              <w:sz w:val="16"/>
              <w:szCs w:val="16"/>
              <w:lang w:val="en-US" w:bidi="en-US"/>
            </w:rPr>
            <w:t xml:space="preserve"> Street</w:t>
          </w:r>
        </w:p>
        <w:p w14:paraId="672A701C" w14:textId="77777777" w:rsidR="00785449" w:rsidRPr="00FE2201" w:rsidRDefault="00104DAD" w:rsidP="0070667C">
          <w:pPr>
            <w:widowControl w:val="0"/>
            <w:tabs>
              <w:tab w:val="left" w:pos="5830"/>
            </w:tabs>
            <w:autoSpaceDE w:val="0"/>
            <w:autoSpaceDN w:val="0"/>
            <w:adjustRightInd w:val="0"/>
            <w:spacing w:before="0" w:after="0" w:line="288" w:lineRule="auto"/>
            <w:ind w:right="176"/>
            <w:jc w:val="both"/>
            <w:textAlignment w:val="center"/>
            <w:rPr>
              <w:rFonts w:cs="HelveticaNeue-Light"/>
              <w:sz w:val="16"/>
              <w:szCs w:val="16"/>
              <w:lang w:val="en-US" w:bidi="en-US"/>
            </w:rPr>
          </w:pPr>
          <w:r w:rsidRPr="008D1634">
            <w:rPr>
              <w:rFonts w:cs="HelveticaNeue-Light"/>
              <w:sz w:val="16"/>
              <w:szCs w:val="16"/>
              <w:lang w:val="en-US" w:bidi="en-US"/>
            </w:rPr>
            <w:t>Sydney NSW 200</w:t>
          </w:r>
          <w:r>
            <w:rPr>
              <w:rFonts w:cs="HelveticaNeue-Light" w:hint="eastAsia"/>
              <w:sz w:val="16"/>
              <w:szCs w:val="16"/>
              <w:lang w:val="en-US" w:eastAsia="zh-CN" w:bidi="en-US"/>
            </w:rPr>
            <w:t>0</w:t>
          </w:r>
        </w:p>
      </w:tc>
      <w:tc>
        <w:tcPr>
          <w:tcW w:w="1701" w:type="dxa"/>
          <w:tcBorders>
            <w:top w:val="single" w:sz="2" w:space="0" w:color="808080"/>
            <w:left w:val="nil"/>
            <w:bottom w:val="nil"/>
          </w:tcBorders>
        </w:tcPr>
        <w:p w14:paraId="621BE06D" w14:textId="77777777" w:rsidR="00785449" w:rsidRPr="00FE2201" w:rsidRDefault="00B90CAA" w:rsidP="005B50D7">
          <w:pPr>
            <w:widowControl w:val="0"/>
            <w:tabs>
              <w:tab w:val="left" w:pos="5830"/>
            </w:tabs>
            <w:autoSpaceDE w:val="0"/>
            <w:autoSpaceDN w:val="0"/>
            <w:adjustRightInd w:val="0"/>
            <w:spacing w:before="0" w:after="0" w:line="80" w:lineRule="exact"/>
            <w:ind w:right="159"/>
            <w:textAlignment w:val="center"/>
            <w:rPr>
              <w:rFonts w:cs="HelveticaNeue-Light"/>
              <w:sz w:val="16"/>
              <w:szCs w:val="16"/>
              <w:lang w:val="en-US" w:bidi="en-US"/>
            </w:rPr>
          </w:pPr>
        </w:p>
        <w:p w14:paraId="627D91E8" w14:textId="77777777" w:rsidR="00785449" w:rsidRPr="00FE2201" w:rsidRDefault="00104DAD" w:rsidP="005B50D7">
          <w:pPr>
            <w:widowControl w:val="0"/>
            <w:tabs>
              <w:tab w:val="left" w:pos="5830"/>
            </w:tabs>
            <w:autoSpaceDE w:val="0"/>
            <w:autoSpaceDN w:val="0"/>
            <w:adjustRightInd w:val="0"/>
            <w:spacing w:before="0" w:after="0" w:line="288" w:lineRule="auto"/>
            <w:ind w:right="360"/>
            <w:textAlignment w:val="center"/>
            <w:rPr>
              <w:rFonts w:cs="HelveticaNeue-Light"/>
              <w:sz w:val="16"/>
              <w:szCs w:val="16"/>
              <w:lang w:val="en-US" w:bidi="en-US"/>
            </w:rPr>
          </w:pPr>
          <w:r w:rsidRPr="00FE2201">
            <w:rPr>
              <w:rFonts w:cs="HelveticaNeue-Light"/>
              <w:sz w:val="16"/>
              <w:szCs w:val="16"/>
              <w:lang w:val="en-US" w:bidi="en-US"/>
            </w:rPr>
            <w:t>GPO Box 5218</w:t>
          </w:r>
        </w:p>
        <w:p w14:paraId="06536918" w14:textId="77777777" w:rsidR="00785449" w:rsidRPr="00FE2201" w:rsidRDefault="00104DAD" w:rsidP="005B50D7">
          <w:pPr>
            <w:widowControl w:val="0"/>
            <w:tabs>
              <w:tab w:val="left" w:pos="5830"/>
            </w:tabs>
            <w:autoSpaceDE w:val="0"/>
            <w:autoSpaceDN w:val="0"/>
            <w:adjustRightInd w:val="0"/>
            <w:spacing w:before="0" w:after="0" w:line="288" w:lineRule="auto"/>
            <w:ind w:right="34"/>
            <w:textAlignment w:val="center"/>
            <w:rPr>
              <w:rFonts w:cs="HelveticaNeue-Light"/>
              <w:sz w:val="16"/>
              <w:szCs w:val="16"/>
              <w:lang w:val="en-US" w:bidi="en-US"/>
            </w:rPr>
          </w:pPr>
          <w:r w:rsidRPr="00FE2201">
            <w:rPr>
              <w:rFonts w:cs="HelveticaNeue-Light"/>
              <w:sz w:val="16"/>
              <w:szCs w:val="16"/>
              <w:lang w:val="en-US" w:bidi="en-US"/>
            </w:rPr>
            <w:t>Sydney NSW 2001</w:t>
          </w:r>
        </w:p>
      </w:tc>
      <w:tc>
        <w:tcPr>
          <w:tcW w:w="2551" w:type="dxa"/>
          <w:tcBorders>
            <w:top w:val="single" w:sz="2" w:space="0" w:color="808080"/>
            <w:bottom w:val="nil"/>
          </w:tcBorders>
        </w:tcPr>
        <w:p w14:paraId="48F38234" w14:textId="77777777" w:rsidR="00785449" w:rsidRPr="00FE2201" w:rsidRDefault="00B90CAA" w:rsidP="005B50D7">
          <w:pPr>
            <w:widowControl w:val="0"/>
            <w:tabs>
              <w:tab w:val="left" w:pos="5830"/>
            </w:tabs>
            <w:autoSpaceDE w:val="0"/>
            <w:autoSpaceDN w:val="0"/>
            <w:adjustRightInd w:val="0"/>
            <w:spacing w:before="0" w:after="0" w:line="80" w:lineRule="exact"/>
            <w:ind w:right="159"/>
            <w:textAlignment w:val="center"/>
            <w:rPr>
              <w:rFonts w:cs="HelveticaNeue-Light"/>
              <w:sz w:val="16"/>
              <w:szCs w:val="16"/>
              <w:lang w:val="en-US" w:bidi="en-US"/>
            </w:rPr>
          </w:pPr>
        </w:p>
        <w:p w14:paraId="40D6DF7B" w14:textId="77777777" w:rsidR="00785449" w:rsidRPr="00FE2201" w:rsidRDefault="00104DAD" w:rsidP="005B50D7">
          <w:pPr>
            <w:widowControl w:val="0"/>
            <w:tabs>
              <w:tab w:val="left" w:pos="5830"/>
            </w:tabs>
            <w:autoSpaceDE w:val="0"/>
            <w:autoSpaceDN w:val="0"/>
            <w:adjustRightInd w:val="0"/>
            <w:spacing w:before="0" w:after="0" w:line="288" w:lineRule="auto"/>
            <w:ind w:right="360"/>
            <w:textAlignment w:val="center"/>
            <w:rPr>
              <w:rFonts w:cs="HelveticaNeue-Light"/>
              <w:sz w:val="16"/>
              <w:szCs w:val="16"/>
              <w:lang w:val="en-US" w:bidi="en-US"/>
            </w:rPr>
          </w:pPr>
          <w:r w:rsidRPr="00FE2201">
            <w:rPr>
              <w:rFonts w:cs="HelveticaNeue-Light"/>
              <w:sz w:val="16"/>
              <w:szCs w:val="16"/>
              <w:lang w:val="en-US" w:bidi="en-US"/>
            </w:rPr>
            <w:t>General enquiries</w:t>
          </w:r>
        </w:p>
        <w:p w14:paraId="0E483C51" w14:textId="77777777" w:rsidR="00785449" w:rsidRPr="00FE2201" w:rsidRDefault="00104DAD" w:rsidP="005B50D7">
          <w:pPr>
            <w:widowControl w:val="0"/>
            <w:tabs>
              <w:tab w:val="left" w:pos="5830"/>
            </w:tabs>
            <w:autoSpaceDE w:val="0"/>
            <w:autoSpaceDN w:val="0"/>
            <w:adjustRightInd w:val="0"/>
            <w:spacing w:before="0" w:after="0" w:line="288" w:lineRule="auto"/>
            <w:ind w:right="360"/>
            <w:textAlignment w:val="center"/>
            <w:rPr>
              <w:rFonts w:cs="HelveticaNeue-Light"/>
              <w:sz w:val="16"/>
              <w:szCs w:val="16"/>
              <w:lang w:val="en-US" w:bidi="en-US"/>
            </w:rPr>
          </w:pPr>
          <w:r w:rsidRPr="00FE2201">
            <w:rPr>
              <w:rFonts w:cs="HelveticaNeue-Light"/>
              <w:sz w:val="16"/>
              <w:szCs w:val="16"/>
              <w:lang w:val="en-US" w:bidi="en-US"/>
            </w:rPr>
            <w:t xml:space="preserve">Complaints </w:t>
          </w:r>
          <w:proofErr w:type="spellStart"/>
          <w:r w:rsidRPr="00FE2201">
            <w:rPr>
              <w:rFonts w:cs="HelveticaNeue-Light"/>
              <w:sz w:val="16"/>
              <w:szCs w:val="16"/>
              <w:lang w:val="en-US" w:bidi="en-US"/>
            </w:rPr>
            <w:t>infoline</w:t>
          </w:r>
          <w:proofErr w:type="spellEnd"/>
        </w:p>
        <w:p w14:paraId="043E9F9C" w14:textId="77777777" w:rsidR="00785449" w:rsidRPr="00FE2201" w:rsidRDefault="00104DAD" w:rsidP="005B50D7">
          <w:pPr>
            <w:widowControl w:val="0"/>
            <w:tabs>
              <w:tab w:val="left" w:pos="5830"/>
            </w:tabs>
            <w:autoSpaceDE w:val="0"/>
            <w:autoSpaceDN w:val="0"/>
            <w:adjustRightInd w:val="0"/>
            <w:spacing w:before="0" w:after="0" w:line="288" w:lineRule="auto"/>
            <w:ind w:right="360"/>
            <w:textAlignment w:val="center"/>
            <w:rPr>
              <w:rFonts w:cs="HelveticaNeue-Light"/>
              <w:sz w:val="16"/>
              <w:szCs w:val="16"/>
              <w:lang w:val="en-US" w:bidi="en-US"/>
            </w:rPr>
          </w:pPr>
          <w:r w:rsidRPr="00FE2201">
            <w:rPr>
              <w:rFonts w:cs="HelveticaNeue-Light"/>
              <w:sz w:val="16"/>
              <w:szCs w:val="16"/>
              <w:lang w:val="en-US" w:bidi="en-US"/>
            </w:rPr>
            <w:t>TTY</w:t>
          </w:r>
        </w:p>
        <w:p w14:paraId="717DCF47" w14:textId="77777777" w:rsidR="00785449" w:rsidRPr="00FE2201" w:rsidRDefault="00104DAD" w:rsidP="005B50D7">
          <w:pPr>
            <w:widowControl w:val="0"/>
            <w:tabs>
              <w:tab w:val="left" w:pos="5830"/>
            </w:tabs>
            <w:autoSpaceDE w:val="0"/>
            <w:autoSpaceDN w:val="0"/>
            <w:adjustRightInd w:val="0"/>
            <w:spacing w:before="0" w:after="0" w:line="288" w:lineRule="auto"/>
            <w:ind w:right="360"/>
            <w:textAlignment w:val="center"/>
            <w:rPr>
              <w:rFonts w:cs="HelveticaNeue-Light"/>
              <w:sz w:val="16"/>
              <w:szCs w:val="16"/>
              <w:lang w:val="en-US" w:bidi="en-US"/>
            </w:rPr>
          </w:pPr>
          <w:r w:rsidRPr="00FE2201">
            <w:rPr>
              <w:rFonts w:cs="HelveticaNeue-Light"/>
              <w:sz w:val="16"/>
              <w:szCs w:val="16"/>
              <w:lang w:val="en-US" w:bidi="en-US"/>
            </w:rPr>
            <w:t>www.humanrights.gov.au</w:t>
          </w:r>
        </w:p>
      </w:tc>
      <w:tc>
        <w:tcPr>
          <w:tcW w:w="1667" w:type="dxa"/>
          <w:tcBorders>
            <w:top w:val="single" w:sz="2" w:space="0" w:color="808080"/>
            <w:bottom w:val="nil"/>
            <w:right w:val="nil"/>
          </w:tcBorders>
        </w:tcPr>
        <w:p w14:paraId="0285CC0F" w14:textId="77777777" w:rsidR="00785449" w:rsidRPr="00FE2201" w:rsidRDefault="00B90CAA" w:rsidP="005B50D7">
          <w:pPr>
            <w:widowControl w:val="0"/>
            <w:tabs>
              <w:tab w:val="left" w:pos="5830"/>
            </w:tabs>
            <w:autoSpaceDE w:val="0"/>
            <w:autoSpaceDN w:val="0"/>
            <w:adjustRightInd w:val="0"/>
            <w:spacing w:before="0" w:after="0" w:line="80" w:lineRule="exact"/>
            <w:ind w:right="159"/>
            <w:textAlignment w:val="center"/>
            <w:rPr>
              <w:rFonts w:cs="HelveticaNeue-Light"/>
              <w:sz w:val="16"/>
              <w:szCs w:val="16"/>
              <w:lang w:val="en-US" w:bidi="en-US"/>
            </w:rPr>
          </w:pPr>
        </w:p>
        <w:p w14:paraId="61F21943" w14:textId="77777777" w:rsidR="00785449" w:rsidRPr="00FE2201" w:rsidRDefault="00104DAD" w:rsidP="005B50D7">
          <w:pPr>
            <w:widowControl w:val="0"/>
            <w:tabs>
              <w:tab w:val="left" w:pos="5830"/>
            </w:tabs>
            <w:autoSpaceDE w:val="0"/>
            <w:autoSpaceDN w:val="0"/>
            <w:adjustRightInd w:val="0"/>
            <w:spacing w:before="0" w:after="0" w:line="288" w:lineRule="auto"/>
            <w:ind w:right="360"/>
            <w:textAlignment w:val="center"/>
            <w:rPr>
              <w:rFonts w:cs="HelveticaNeue-Light"/>
              <w:sz w:val="16"/>
              <w:szCs w:val="16"/>
              <w:lang w:val="en-US" w:bidi="en-US"/>
            </w:rPr>
          </w:pPr>
          <w:r w:rsidRPr="00FE2201">
            <w:rPr>
              <w:rFonts w:cs="HelveticaNeue-Light"/>
              <w:sz w:val="16"/>
              <w:szCs w:val="16"/>
              <w:lang w:val="en-US" w:bidi="en-US"/>
            </w:rPr>
            <w:t>1300 369 711</w:t>
          </w:r>
        </w:p>
        <w:p w14:paraId="1FC019ED" w14:textId="77777777" w:rsidR="00785449" w:rsidRPr="00FE2201" w:rsidRDefault="00104DAD" w:rsidP="005B50D7">
          <w:pPr>
            <w:widowControl w:val="0"/>
            <w:tabs>
              <w:tab w:val="left" w:pos="5830"/>
            </w:tabs>
            <w:autoSpaceDE w:val="0"/>
            <w:autoSpaceDN w:val="0"/>
            <w:adjustRightInd w:val="0"/>
            <w:spacing w:before="0" w:after="0" w:line="288" w:lineRule="auto"/>
            <w:ind w:right="360"/>
            <w:textAlignment w:val="center"/>
            <w:rPr>
              <w:rFonts w:cs="HelveticaNeue-Light"/>
              <w:sz w:val="16"/>
              <w:szCs w:val="16"/>
              <w:lang w:val="en-US" w:bidi="en-US"/>
            </w:rPr>
          </w:pPr>
          <w:r w:rsidRPr="00FE2201">
            <w:rPr>
              <w:rFonts w:cs="HelveticaNeue-Light"/>
              <w:sz w:val="16"/>
              <w:szCs w:val="16"/>
              <w:lang w:val="en-US" w:bidi="en-US"/>
            </w:rPr>
            <w:t>1300 656 419</w:t>
          </w:r>
        </w:p>
        <w:p w14:paraId="27AF69DF" w14:textId="77777777" w:rsidR="00785449" w:rsidRPr="00FE2201" w:rsidRDefault="00104DAD" w:rsidP="005B50D7">
          <w:pPr>
            <w:widowControl w:val="0"/>
            <w:tabs>
              <w:tab w:val="left" w:pos="5830"/>
            </w:tabs>
            <w:autoSpaceDE w:val="0"/>
            <w:autoSpaceDN w:val="0"/>
            <w:adjustRightInd w:val="0"/>
            <w:spacing w:before="0" w:after="0" w:line="288" w:lineRule="auto"/>
            <w:ind w:right="360"/>
            <w:textAlignment w:val="center"/>
            <w:rPr>
              <w:rFonts w:cs="HelveticaNeue-Light"/>
              <w:sz w:val="16"/>
              <w:lang w:val="en-US"/>
            </w:rPr>
          </w:pPr>
          <w:r w:rsidRPr="00FE2201">
            <w:rPr>
              <w:rFonts w:cs="HelveticaNeue-Light"/>
              <w:sz w:val="16"/>
              <w:szCs w:val="16"/>
              <w:lang w:val="en-US" w:bidi="en-US"/>
            </w:rPr>
            <w:t>1800 620 241</w:t>
          </w:r>
        </w:p>
      </w:tc>
    </w:tr>
  </w:tbl>
  <w:p w14:paraId="5838EE8A" w14:textId="77777777" w:rsidR="00785449" w:rsidRPr="001B25B3" w:rsidRDefault="00B90CAA" w:rsidP="002D0C4F">
    <w:pPr>
      <w:pStyle w:val="Footer"/>
      <w:spacing w:before="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5ABA6" w14:textId="77777777" w:rsidR="004A424D" w:rsidRDefault="004A424D" w:rsidP="003B350D">
      <w:pPr>
        <w:spacing w:before="0" w:after="0"/>
      </w:pPr>
      <w:r>
        <w:separator/>
      </w:r>
    </w:p>
  </w:footnote>
  <w:footnote w:type="continuationSeparator" w:id="0">
    <w:p w14:paraId="15BE9493" w14:textId="77777777" w:rsidR="004A424D" w:rsidRDefault="004A424D" w:rsidP="003B350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55517" w14:textId="77777777" w:rsidR="00785449" w:rsidRDefault="00B90CAA" w:rsidP="00C71D32">
    <w:pPr>
      <w:pStyle w:val="Header"/>
      <w:spacing w:before="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05" w:type="dxa"/>
      <w:tblLayout w:type="fixed"/>
      <w:tblLook w:val="00A0" w:firstRow="1" w:lastRow="0" w:firstColumn="1" w:lastColumn="0" w:noHBand="0" w:noVBand="0"/>
    </w:tblPr>
    <w:tblGrid>
      <w:gridCol w:w="3652"/>
      <w:gridCol w:w="301"/>
      <w:gridCol w:w="5152"/>
    </w:tblGrid>
    <w:tr w:rsidR="00785449" w:rsidRPr="00FE2201" w14:paraId="2E99CF95" w14:textId="77777777" w:rsidTr="0087540F">
      <w:trPr>
        <w:trHeight w:val="1603"/>
      </w:trPr>
      <w:tc>
        <w:tcPr>
          <w:tcW w:w="3652" w:type="dxa"/>
        </w:tcPr>
        <w:p w14:paraId="78F033FD" w14:textId="77777777" w:rsidR="00785449" w:rsidRPr="00FE2201" w:rsidRDefault="00104DAD" w:rsidP="00331013">
          <w:pPr>
            <w:pStyle w:val="Header"/>
            <w:tabs>
              <w:tab w:val="left" w:pos="4686"/>
              <w:tab w:val="left" w:pos="7088"/>
              <w:tab w:val="left" w:pos="7242"/>
            </w:tabs>
            <w:jc w:val="center"/>
            <w:rPr>
              <w:rFonts w:cs="ArialMT"/>
              <w:b/>
              <w:color w:val="000000"/>
              <w:spacing w:val="-20"/>
              <w:sz w:val="32"/>
              <w:lang w:val="en-US" w:eastAsia="en-US" w:bidi="en-US"/>
            </w:rPr>
          </w:pPr>
          <w:r>
            <w:rPr>
              <w:rFonts w:cs="ArialMT"/>
              <w:b/>
              <w:noProof/>
              <w:color w:val="000000"/>
              <w:spacing w:val="-20"/>
              <w:sz w:val="32"/>
            </w:rPr>
            <w:drawing>
              <wp:inline distT="0" distB="0" distL="0" distR="0" wp14:anchorId="49FBFD83" wp14:editId="63396EFE">
                <wp:extent cx="2179320" cy="748030"/>
                <wp:effectExtent l="0" t="0" r="0" b="0"/>
                <wp:docPr id="3" name="Picture 3"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9320" cy="748030"/>
                        </a:xfrm>
                        <a:prstGeom prst="rect">
                          <a:avLst/>
                        </a:prstGeom>
                        <a:noFill/>
                        <a:ln>
                          <a:noFill/>
                        </a:ln>
                      </pic:spPr>
                    </pic:pic>
                  </a:graphicData>
                </a:graphic>
              </wp:inline>
            </w:drawing>
          </w:r>
        </w:p>
      </w:tc>
      <w:tc>
        <w:tcPr>
          <w:tcW w:w="301" w:type="dxa"/>
          <w:vAlign w:val="center"/>
        </w:tcPr>
        <w:p w14:paraId="320765B9" w14:textId="77777777" w:rsidR="00785449" w:rsidRPr="00FE2201" w:rsidRDefault="00B90CAA" w:rsidP="00331013">
          <w:pPr>
            <w:spacing w:before="0" w:after="0" w:line="210" w:lineRule="exact"/>
            <w:rPr>
              <w:rFonts w:cs="ArialMT"/>
              <w:i/>
              <w:color w:val="808080"/>
              <w:sz w:val="17"/>
              <w:lang w:val="en-US" w:eastAsia="en-US" w:bidi="en-US"/>
            </w:rPr>
          </w:pPr>
        </w:p>
      </w:tc>
      <w:tc>
        <w:tcPr>
          <w:tcW w:w="5152" w:type="dxa"/>
        </w:tcPr>
        <w:p w14:paraId="60D64AF0" w14:textId="77777777" w:rsidR="00785449" w:rsidRPr="00FE2201" w:rsidRDefault="00B90CAA" w:rsidP="007D7C6D">
          <w:pPr>
            <w:pStyle w:val="LogoType"/>
            <w:pBdr>
              <w:bottom w:val="none" w:sz="0" w:space="0" w:color="auto"/>
            </w:pBdr>
            <w:spacing w:before="0" w:after="0" w:line="240" w:lineRule="auto"/>
            <w:jc w:val="right"/>
            <w:rPr>
              <w:color w:val="646464"/>
              <w:spacing w:val="0"/>
              <w:kern w:val="144"/>
              <w:sz w:val="24"/>
              <w:lang w:val="en-US" w:eastAsia="en-US" w:bidi="en-US"/>
            </w:rPr>
          </w:pPr>
        </w:p>
        <w:p w14:paraId="1805C623" w14:textId="77777777" w:rsidR="00785449" w:rsidRPr="00FE2201" w:rsidRDefault="00B90CAA" w:rsidP="007D7C6D">
          <w:pPr>
            <w:pStyle w:val="LogoType"/>
            <w:pBdr>
              <w:bottom w:val="none" w:sz="0" w:space="0" w:color="auto"/>
            </w:pBdr>
            <w:spacing w:before="0" w:after="0" w:line="240" w:lineRule="auto"/>
            <w:jc w:val="right"/>
            <w:rPr>
              <w:color w:val="646464"/>
              <w:spacing w:val="0"/>
              <w:kern w:val="144"/>
              <w:sz w:val="24"/>
              <w:lang w:val="en-US" w:eastAsia="en-US" w:bidi="en-US"/>
            </w:rPr>
          </w:pPr>
        </w:p>
        <w:p w14:paraId="308EE43D" w14:textId="77777777" w:rsidR="00396E72" w:rsidRDefault="00B90CAA" w:rsidP="007D7C6D">
          <w:pPr>
            <w:pStyle w:val="LogoType"/>
            <w:pBdr>
              <w:bottom w:val="none" w:sz="0" w:space="0" w:color="auto"/>
            </w:pBdr>
            <w:spacing w:before="0" w:after="0" w:line="240" w:lineRule="auto"/>
            <w:jc w:val="right"/>
            <w:rPr>
              <w:color w:val="646464"/>
              <w:spacing w:val="0"/>
              <w:kern w:val="144"/>
              <w:sz w:val="24"/>
              <w:lang w:val="en-US" w:eastAsia="en-US" w:bidi="en-US"/>
            </w:rPr>
          </w:pPr>
        </w:p>
        <w:p w14:paraId="74D6C27C" w14:textId="77777777" w:rsidR="009E0DB3" w:rsidRDefault="00104DAD" w:rsidP="002C3C80">
          <w:pPr>
            <w:pStyle w:val="LogoType"/>
            <w:pBdr>
              <w:bottom w:val="none" w:sz="0" w:space="0" w:color="auto"/>
            </w:pBdr>
            <w:spacing w:before="0" w:after="0" w:line="240" w:lineRule="auto"/>
            <w:jc w:val="right"/>
            <w:rPr>
              <w:color w:val="646464"/>
              <w:spacing w:val="0"/>
              <w:kern w:val="144"/>
              <w:sz w:val="24"/>
              <w:lang w:val="en-US" w:eastAsia="en-US" w:bidi="en-US"/>
            </w:rPr>
          </w:pPr>
          <w:r w:rsidRPr="00FE2201">
            <w:rPr>
              <w:color w:val="646464"/>
              <w:spacing w:val="0"/>
              <w:kern w:val="144"/>
              <w:sz w:val="24"/>
              <w:lang w:val="en-US" w:eastAsia="en-US" w:bidi="en-US"/>
            </w:rPr>
            <w:t xml:space="preserve">Aboriginal </w:t>
          </w:r>
          <w:r w:rsidRPr="00FE2201">
            <w:rPr>
              <w:rFonts w:hint="eastAsia"/>
              <w:color w:val="646464"/>
              <w:spacing w:val="0"/>
              <w:kern w:val="144"/>
              <w:sz w:val="24"/>
              <w:lang w:val="en-US" w:eastAsia="zh-CN" w:bidi="en-US"/>
            </w:rPr>
            <w:t xml:space="preserve">and </w:t>
          </w:r>
          <w:r w:rsidRPr="00FE2201">
            <w:rPr>
              <w:color w:val="646464"/>
              <w:spacing w:val="0"/>
              <w:kern w:val="144"/>
              <w:sz w:val="24"/>
              <w:lang w:val="en-US" w:eastAsia="en-US" w:bidi="en-US"/>
            </w:rPr>
            <w:t>Torres Strait Islander</w:t>
          </w:r>
          <w:r>
            <w:rPr>
              <w:color w:val="646464"/>
              <w:spacing w:val="0"/>
              <w:kern w:val="144"/>
              <w:sz w:val="24"/>
              <w:lang w:val="en-US" w:eastAsia="en-US" w:bidi="en-US"/>
            </w:rPr>
            <w:t xml:space="preserve"> </w:t>
          </w:r>
          <w:r w:rsidRPr="00FE2201">
            <w:rPr>
              <w:color w:val="646464"/>
              <w:spacing w:val="0"/>
              <w:kern w:val="144"/>
              <w:sz w:val="24"/>
              <w:lang w:val="en-US" w:eastAsia="en-US" w:bidi="en-US"/>
            </w:rPr>
            <w:t>Social Justice</w:t>
          </w:r>
          <w:r>
            <w:rPr>
              <w:color w:val="646464"/>
              <w:spacing w:val="0"/>
              <w:kern w:val="144"/>
              <w:sz w:val="24"/>
              <w:lang w:val="en-US" w:eastAsia="en-US" w:bidi="en-US"/>
            </w:rPr>
            <w:t xml:space="preserve"> </w:t>
          </w:r>
          <w:r w:rsidRPr="00FE2201">
            <w:rPr>
              <w:color w:val="646464"/>
              <w:spacing w:val="0"/>
              <w:kern w:val="144"/>
              <w:sz w:val="24"/>
              <w:lang w:val="en-US" w:eastAsia="en-US" w:bidi="en-US"/>
            </w:rPr>
            <w:t>Commissioner</w:t>
          </w:r>
        </w:p>
        <w:p w14:paraId="6DF01671" w14:textId="77777777" w:rsidR="00785449" w:rsidRPr="00FE2201" w:rsidRDefault="00104DAD" w:rsidP="008B5187">
          <w:pPr>
            <w:pStyle w:val="LogoType"/>
            <w:pBdr>
              <w:bottom w:val="none" w:sz="0" w:space="0" w:color="auto"/>
            </w:pBdr>
            <w:spacing w:before="120" w:after="0" w:line="240" w:lineRule="auto"/>
            <w:jc w:val="right"/>
            <w:rPr>
              <w:spacing w:val="0"/>
              <w:kern w:val="144"/>
              <w:sz w:val="24"/>
              <w:lang w:val="en-US" w:eastAsia="en-US" w:bidi="en-US"/>
            </w:rPr>
          </w:pPr>
          <w:r w:rsidRPr="00FE2201">
            <w:rPr>
              <w:noProof/>
              <w:color w:val="646464"/>
              <w:spacing w:val="0"/>
              <w:kern w:val="144"/>
              <w:sz w:val="24"/>
            </w:rPr>
            <mc:AlternateContent>
              <mc:Choice Requires="wps">
                <w:drawing>
                  <wp:anchor distT="0" distB="0" distL="114300" distR="114300" simplePos="0" relativeHeight="251659264" behindDoc="0" locked="0" layoutInCell="1" allowOverlap="1" wp14:anchorId="2D63EF66" wp14:editId="6DE3EFD2">
                    <wp:simplePos x="0" y="0"/>
                    <wp:positionH relativeFrom="column">
                      <wp:posOffset>385599</wp:posOffset>
                    </wp:positionH>
                    <wp:positionV relativeFrom="paragraph">
                      <wp:posOffset>21642</wp:posOffset>
                    </wp:positionV>
                    <wp:extent cx="2738755" cy="0"/>
                    <wp:effectExtent l="12065" t="12700" r="11430" b="63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8755" cy="0"/>
                            </a:xfrm>
                            <a:prstGeom prst="line">
                              <a:avLst/>
                            </a:prstGeom>
                            <a:noFill/>
                            <a:ln w="9525">
                              <a:solidFill>
                                <a:srgbClr val="5F5F5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39822"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5pt,1.7pt" to="24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" strokecolor="#5f5f5f"/>
                </w:pict>
              </mc:Fallback>
            </mc:AlternateContent>
          </w:r>
          <w:r>
            <w:rPr>
              <w:color w:val="646464"/>
              <w:spacing w:val="0"/>
              <w:kern w:val="144"/>
              <w:sz w:val="24"/>
              <w:lang w:val="en-US" w:eastAsia="en-US" w:bidi="en-US"/>
            </w:rPr>
            <w:t>June Oscar AO</w:t>
          </w:r>
        </w:p>
      </w:tc>
    </w:tr>
  </w:tbl>
  <w:p w14:paraId="5DBD5B92" w14:textId="77777777" w:rsidR="00785449" w:rsidRPr="006E2FE7" w:rsidRDefault="00B90CAA">
    <w:pPr>
      <w:pStyle w:val="Header"/>
      <w:rPr>
        <w:color w:val="73737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A4CAB"/>
    <w:multiLevelType w:val="hybridMultilevel"/>
    <w:tmpl w:val="262481F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9B7971"/>
    <w:multiLevelType w:val="hybridMultilevel"/>
    <w:tmpl w:val="556C8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CB237C"/>
    <w:multiLevelType w:val="hybridMultilevel"/>
    <w:tmpl w:val="8FFE6A3C"/>
    <w:lvl w:ilvl="0" w:tplc="A32EC982">
      <w:start w:val="1"/>
      <w:numFmt w:val="decimal"/>
      <w:pStyle w:val="SubmissionNormal"/>
      <w:lvlText w:val="%1."/>
      <w:lvlJc w:val="left"/>
      <w:pPr>
        <w:tabs>
          <w:tab w:val="num" w:pos="720"/>
        </w:tabs>
        <w:ind w:left="720"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35CF100E"/>
    <w:multiLevelType w:val="hybridMultilevel"/>
    <w:tmpl w:val="541C3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901D75"/>
    <w:multiLevelType w:val="hybridMultilevel"/>
    <w:tmpl w:val="81D89E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3A01085E"/>
    <w:multiLevelType w:val="hybridMultilevel"/>
    <w:tmpl w:val="48E25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7F41196"/>
    <w:multiLevelType w:val="hybridMultilevel"/>
    <w:tmpl w:val="90DA7DA8"/>
    <w:lvl w:ilvl="0" w:tplc="04090001">
      <w:start w:val="1"/>
      <w:numFmt w:val="bullet"/>
      <w:lvlText w:val=""/>
      <w:lvlJc w:val="left"/>
      <w:pPr>
        <w:ind w:left="1450" w:hanging="360"/>
      </w:pPr>
      <w:rPr>
        <w:rFonts w:ascii="Symbol" w:hAnsi="Symbol"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7" w15:restartNumberingAfterBreak="0">
    <w:nsid w:val="596D0682"/>
    <w:multiLevelType w:val="hybridMultilevel"/>
    <w:tmpl w:val="411676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BA77FCC"/>
    <w:multiLevelType w:val="hybridMultilevel"/>
    <w:tmpl w:val="FD16D12E"/>
    <w:lvl w:ilvl="0" w:tplc="0C090001">
      <w:start w:val="1"/>
      <w:numFmt w:val="bullet"/>
      <w:lvlText w:val=""/>
      <w:lvlJc w:val="left"/>
      <w:pPr>
        <w:ind w:left="792" w:hanging="360"/>
      </w:pPr>
      <w:rPr>
        <w:rFonts w:ascii="Symbol" w:hAnsi="Symbol" w:hint="default"/>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7"/>
  </w:num>
  <w:num w:numId="6">
    <w:abstractNumId w:val="8"/>
  </w:num>
  <w:num w:numId="7">
    <w:abstractNumId w:val="3"/>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50D"/>
    <w:rsid w:val="00000D4E"/>
    <w:rsid w:val="000034FC"/>
    <w:rsid w:val="00007547"/>
    <w:rsid w:val="00013EEB"/>
    <w:rsid w:val="00014CCC"/>
    <w:rsid w:val="00016775"/>
    <w:rsid w:val="00017C5F"/>
    <w:rsid w:val="00023C85"/>
    <w:rsid w:val="00031325"/>
    <w:rsid w:val="000368CF"/>
    <w:rsid w:val="000406A4"/>
    <w:rsid w:val="000407C7"/>
    <w:rsid w:val="00046129"/>
    <w:rsid w:val="00051C77"/>
    <w:rsid w:val="000520F3"/>
    <w:rsid w:val="0006048F"/>
    <w:rsid w:val="00064E01"/>
    <w:rsid w:val="00070D0D"/>
    <w:rsid w:val="000749B4"/>
    <w:rsid w:val="000765F6"/>
    <w:rsid w:val="000860B4"/>
    <w:rsid w:val="00093F68"/>
    <w:rsid w:val="00094413"/>
    <w:rsid w:val="000948AD"/>
    <w:rsid w:val="000A0877"/>
    <w:rsid w:val="000A17B7"/>
    <w:rsid w:val="000A17DF"/>
    <w:rsid w:val="000B2E81"/>
    <w:rsid w:val="000B3D99"/>
    <w:rsid w:val="000B4B8A"/>
    <w:rsid w:val="000B503E"/>
    <w:rsid w:val="000B71C2"/>
    <w:rsid w:val="000B7977"/>
    <w:rsid w:val="000C1495"/>
    <w:rsid w:val="000C4648"/>
    <w:rsid w:val="000C6EEE"/>
    <w:rsid w:val="000C7DF6"/>
    <w:rsid w:val="000D1ECD"/>
    <w:rsid w:val="000D22AC"/>
    <w:rsid w:val="000D2ACD"/>
    <w:rsid w:val="000D5D4A"/>
    <w:rsid w:val="000D6B05"/>
    <w:rsid w:val="000E24FC"/>
    <w:rsid w:val="000E2E6A"/>
    <w:rsid w:val="000F7EC8"/>
    <w:rsid w:val="001000DA"/>
    <w:rsid w:val="001000DF"/>
    <w:rsid w:val="00104DAD"/>
    <w:rsid w:val="00106A41"/>
    <w:rsid w:val="00107A77"/>
    <w:rsid w:val="00110966"/>
    <w:rsid w:val="00112363"/>
    <w:rsid w:val="001146C7"/>
    <w:rsid w:val="00120974"/>
    <w:rsid w:val="00120BC8"/>
    <w:rsid w:val="001222E0"/>
    <w:rsid w:val="00131322"/>
    <w:rsid w:val="001331C6"/>
    <w:rsid w:val="001368FD"/>
    <w:rsid w:val="00141D4D"/>
    <w:rsid w:val="00142A2C"/>
    <w:rsid w:val="001546A9"/>
    <w:rsid w:val="00156E94"/>
    <w:rsid w:val="0016095A"/>
    <w:rsid w:val="00163233"/>
    <w:rsid w:val="001633BC"/>
    <w:rsid w:val="001659DF"/>
    <w:rsid w:val="00171917"/>
    <w:rsid w:val="00172AED"/>
    <w:rsid w:val="00181DF1"/>
    <w:rsid w:val="0018458A"/>
    <w:rsid w:val="001859F9"/>
    <w:rsid w:val="00190311"/>
    <w:rsid w:val="00190954"/>
    <w:rsid w:val="00191217"/>
    <w:rsid w:val="00192768"/>
    <w:rsid w:val="00196456"/>
    <w:rsid w:val="001968F6"/>
    <w:rsid w:val="001A002A"/>
    <w:rsid w:val="001A0F4E"/>
    <w:rsid w:val="001A18DA"/>
    <w:rsid w:val="001A31C2"/>
    <w:rsid w:val="001A434F"/>
    <w:rsid w:val="001B104B"/>
    <w:rsid w:val="001B5354"/>
    <w:rsid w:val="001C14DD"/>
    <w:rsid w:val="001C46E6"/>
    <w:rsid w:val="001C5446"/>
    <w:rsid w:val="001C6F62"/>
    <w:rsid w:val="001C7B8F"/>
    <w:rsid w:val="001D0531"/>
    <w:rsid w:val="001D2A8F"/>
    <w:rsid w:val="001D2E27"/>
    <w:rsid w:val="001D7116"/>
    <w:rsid w:val="001E010C"/>
    <w:rsid w:val="001E6073"/>
    <w:rsid w:val="001F0C4C"/>
    <w:rsid w:val="001F3BBC"/>
    <w:rsid w:val="00200D11"/>
    <w:rsid w:val="00201B06"/>
    <w:rsid w:val="0020275F"/>
    <w:rsid w:val="0020449D"/>
    <w:rsid w:val="002063D9"/>
    <w:rsid w:val="00206BF7"/>
    <w:rsid w:val="0021707D"/>
    <w:rsid w:val="00221CE6"/>
    <w:rsid w:val="00222065"/>
    <w:rsid w:val="00222EE1"/>
    <w:rsid w:val="002233ED"/>
    <w:rsid w:val="0024086D"/>
    <w:rsid w:val="00246976"/>
    <w:rsid w:val="00247F4E"/>
    <w:rsid w:val="00251BF7"/>
    <w:rsid w:val="00252A18"/>
    <w:rsid w:val="00253C90"/>
    <w:rsid w:val="00260767"/>
    <w:rsid w:val="00261416"/>
    <w:rsid w:val="002631AE"/>
    <w:rsid w:val="002672AA"/>
    <w:rsid w:val="002715BE"/>
    <w:rsid w:val="002752DB"/>
    <w:rsid w:val="002810C8"/>
    <w:rsid w:val="002820DB"/>
    <w:rsid w:val="002841E1"/>
    <w:rsid w:val="002847AF"/>
    <w:rsid w:val="00285047"/>
    <w:rsid w:val="002855DB"/>
    <w:rsid w:val="00290620"/>
    <w:rsid w:val="0029138A"/>
    <w:rsid w:val="002A07C2"/>
    <w:rsid w:val="002A080B"/>
    <w:rsid w:val="002A73B6"/>
    <w:rsid w:val="002B6387"/>
    <w:rsid w:val="002B7CE7"/>
    <w:rsid w:val="002C1EC8"/>
    <w:rsid w:val="002C5891"/>
    <w:rsid w:val="002D01B4"/>
    <w:rsid w:val="002D3AC9"/>
    <w:rsid w:val="002D40CA"/>
    <w:rsid w:val="002D5F85"/>
    <w:rsid w:val="002D635F"/>
    <w:rsid w:val="002D72C4"/>
    <w:rsid w:val="002E08B7"/>
    <w:rsid w:val="002E5396"/>
    <w:rsid w:val="002E6698"/>
    <w:rsid w:val="002F3A0A"/>
    <w:rsid w:val="002F55CF"/>
    <w:rsid w:val="002F7790"/>
    <w:rsid w:val="0030522F"/>
    <w:rsid w:val="00307265"/>
    <w:rsid w:val="003102A9"/>
    <w:rsid w:val="003174E9"/>
    <w:rsid w:val="0032677A"/>
    <w:rsid w:val="00326FC8"/>
    <w:rsid w:val="003313C8"/>
    <w:rsid w:val="0033684A"/>
    <w:rsid w:val="00336E70"/>
    <w:rsid w:val="00353620"/>
    <w:rsid w:val="0036148A"/>
    <w:rsid w:val="0036583F"/>
    <w:rsid w:val="0036590F"/>
    <w:rsid w:val="00366E8F"/>
    <w:rsid w:val="0036770B"/>
    <w:rsid w:val="003754D0"/>
    <w:rsid w:val="0037593E"/>
    <w:rsid w:val="00377590"/>
    <w:rsid w:val="00381160"/>
    <w:rsid w:val="00386B17"/>
    <w:rsid w:val="00392608"/>
    <w:rsid w:val="00393E09"/>
    <w:rsid w:val="003B09F8"/>
    <w:rsid w:val="003B350D"/>
    <w:rsid w:val="003B35D8"/>
    <w:rsid w:val="003B3BFB"/>
    <w:rsid w:val="003B4332"/>
    <w:rsid w:val="003B4A7F"/>
    <w:rsid w:val="003C2164"/>
    <w:rsid w:val="003C3D74"/>
    <w:rsid w:val="003C4FB3"/>
    <w:rsid w:val="003D204B"/>
    <w:rsid w:val="003D3BBB"/>
    <w:rsid w:val="003D4094"/>
    <w:rsid w:val="003D7E6D"/>
    <w:rsid w:val="003D7E73"/>
    <w:rsid w:val="003E205B"/>
    <w:rsid w:val="003E33C2"/>
    <w:rsid w:val="003F0E45"/>
    <w:rsid w:val="003F447B"/>
    <w:rsid w:val="003F4D28"/>
    <w:rsid w:val="003F566F"/>
    <w:rsid w:val="003F5B08"/>
    <w:rsid w:val="0040112D"/>
    <w:rsid w:val="004034CD"/>
    <w:rsid w:val="0040748F"/>
    <w:rsid w:val="00410506"/>
    <w:rsid w:val="00421426"/>
    <w:rsid w:val="004315B9"/>
    <w:rsid w:val="0043527C"/>
    <w:rsid w:val="00436333"/>
    <w:rsid w:val="0044062B"/>
    <w:rsid w:val="004431F8"/>
    <w:rsid w:val="00447252"/>
    <w:rsid w:val="004527C9"/>
    <w:rsid w:val="00454CD9"/>
    <w:rsid w:val="004560A7"/>
    <w:rsid w:val="00457AD5"/>
    <w:rsid w:val="00472E28"/>
    <w:rsid w:val="0047392B"/>
    <w:rsid w:val="00473E07"/>
    <w:rsid w:val="0047403C"/>
    <w:rsid w:val="00474C98"/>
    <w:rsid w:val="00483777"/>
    <w:rsid w:val="00483D68"/>
    <w:rsid w:val="00483F4D"/>
    <w:rsid w:val="00484865"/>
    <w:rsid w:val="00484A0F"/>
    <w:rsid w:val="0048613C"/>
    <w:rsid w:val="00492BAF"/>
    <w:rsid w:val="00493F5B"/>
    <w:rsid w:val="00496895"/>
    <w:rsid w:val="004A41F7"/>
    <w:rsid w:val="004A424D"/>
    <w:rsid w:val="004B07F1"/>
    <w:rsid w:val="004B0AE0"/>
    <w:rsid w:val="004B5C74"/>
    <w:rsid w:val="004C0C33"/>
    <w:rsid w:val="004C0F54"/>
    <w:rsid w:val="004C1CEB"/>
    <w:rsid w:val="004E12CF"/>
    <w:rsid w:val="004E39E9"/>
    <w:rsid w:val="004E6E46"/>
    <w:rsid w:val="004F4937"/>
    <w:rsid w:val="004F6443"/>
    <w:rsid w:val="0050526B"/>
    <w:rsid w:val="00506E8F"/>
    <w:rsid w:val="00513E25"/>
    <w:rsid w:val="00521528"/>
    <w:rsid w:val="00524253"/>
    <w:rsid w:val="005257FB"/>
    <w:rsid w:val="00531E44"/>
    <w:rsid w:val="0053343B"/>
    <w:rsid w:val="00536269"/>
    <w:rsid w:val="005608F1"/>
    <w:rsid w:val="00561DC2"/>
    <w:rsid w:val="005675FB"/>
    <w:rsid w:val="0057510C"/>
    <w:rsid w:val="0057696B"/>
    <w:rsid w:val="00585149"/>
    <w:rsid w:val="00585F7B"/>
    <w:rsid w:val="005954B8"/>
    <w:rsid w:val="005A0AAB"/>
    <w:rsid w:val="005A29B6"/>
    <w:rsid w:val="005A35C3"/>
    <w:rsid w:val="005A77AE"/>
    <w:rsid w:val="005B1599"/>
    <w:rsid w:val="005B1DDD"/>
    <w:rsid w:val="005B3614"/>
    <w:rsid w:val="005B5725"/>
    <w:rsid w:val="005C0E3D"/>
    <w:rsid w:val="005C26AA"/>
    <w:rsid w:val="005D683F"/>
    <w:rsid w:val="005D6F5F"/>
    <w:rsid w:val="005E2D0C"/>
    <w:rsid w:val="005F11DC"/>
    <w:rsid w:val="005F127B"/>
    <w:rsid w:val="005F3D8A"/>
    <w:rsid w:val="00602539"/>
    <w:rsid w:val="00602866"/>
    <w:rsid w:val="006039D7"/>
    <w:rsid w:val="00607428"/>
    <w:rsid w:val="006122B0"/>
    <w:rsid w:val="00616561"/>
    <w:rsid w:val="00622730"/>
    <w:rsid w:val="00622927"/>
    <w:rsid w:val="00624ED0"/>
    <w:rsid w:val="00625F52"/>
    <w:rsid w:val="006265FD"/>
    <w:rsid w:val="00632EFF"/>
    <w:rsid w:val="00635F54"/>
    <w:rsid w:val="00641D13"/>
    <w:rsid w:val="00643728"/>
    <w:rsid w:val="006464B9"/>
    <w:rsid w:val="00652B0C"/>
    <w:rsid w:val="0066124E"/>
    <w:rsid w:val="0066471B"/>
    <w:rsid w:val="00677C86"/>
    <w:rsid w:val="006948B2"/>
    <w:rsid w:val="00697711"/>
    <w:rsid w:val="006B037E"/>
    <w:rsid w:val="006B1F71"/>
    <w:rsid w:val="006B32F4"/>
    <w:rsid w:val="006B4C15"/>
    <w:rsid w:val="006B60A8"/>
    <w:rsid w:val="006C0540"/>
    <w:rsid w:val="006C1283"/>
    <w:rsid w:val="006C569B"/>
    <w:rsid w:val="006D39E3"/>
    <w:rsid w:val="006D4CC2"/>
    <w:rsid w:val="006D62D6"/>
    <w:rsid w:val="006D784A"/>
    <w:rsid w:val="006E01AC"/>
    <w:rsid w:val="006E3C9C"/>
    <w:rsid w:val="006E4FB3"/>
    <w:rsid w:val="006E5C50"/>
    <w:rsid w:val="006E64B5"/>
    <w:rsid w:val="006E686D"/>
    <w:rsid w:val="006F01F6"/>
    <w:rsid w:val="006F047D"/>
    <w:rsid w:val="007028DC"/>
    <w:rsid w:val="007044DF"/>
    <w:rsid w:val="007127E8"/>
    <w:rsid w:val="0071360E"/>
    <w:rsid w:val="00726661"/>
    <w:rsid w:val="00726AB2"/>
    <w:rsid w:val="00727326"/>
    <w:rsid w:val="00730431"/>
    <w:rsid w:val="00734754"/>
    <w:rsid w:val="00741B1F"/>
    <w:rsid w:val="00746350"/>
    <w:rsid w:val="0075343D"/>
    <w:rsid w:val="00757A7E"/>
    <w:rsid w:val="00761510"/>
    <w:rsid w:val="00762EC4"/>
    <w:rsid w:val="00763756"/>
    <w:rsid w:val="007711C1"/>
    <w:rsid w:val="007724F6"/>
    <w:rsid w:val="0077622A"/>
    <w:rsid w:val="00780392"/>
    <w:rsid w:val="00783CD8"/>
    <w:rsid w:val="00791F80"/>
    <w:rsid w:val="00792FEC"/>
    <w:rsid w:val="00795306"/>
    <w:rsid w:val="0079696B"/>
    <w:rsid w:val="007A3573"/>
    <w:rsid w:val="007A3C0A"/>
    <w:rsid w:val="007A7662"/>
    <w:rsid w:val="007B12F1"/>
    <w:rsid w:val="007B21A8"/>
    <w:rsid w:val="007B2E78"/>
    <w:rsid w:val="007B535E"/>
    <w:rsid w:val="007B5B9F"/>
    <w:rsid w:val="007B6DC5"/>
    <w:rsid w:val="007C11D2"/>
    <w:rsid w:val="007C7E8E"/>
    <w:rsid w:val="007D075D"/>
    <w:rsid w:val="007D44AD"/>
    <w:rsid w:val="007D49DE"/>
    <w:rsid w:val="007E17BF"/>
    <w:rsid w:val="007E7F43"/>
    <w:rsid w:val="007F0086"/>
    <w:rsid w:val="007F160E"/>
    <w:rsid w:val="007F4612"/>
    <w:rsid w:val="008002D0"/>
    <w:rsid w:val="00801889"/>
    <w:rsid w:val="0081099D"/>
    <w:rsid w:val="00811C6E"/>
    <w:rsid w:val="008144C2"/>
    <w:rsid w:val="00815B87"/>
    <w:rsid w:val="008171D8"/>
    <w:rsid w:val="0081734C"/>
    <w:rsid w:val="0082052D"/>
    <w:rsid w:val="00822EEB"/>
    <w:rsid w:val="0082687E"/>
    <w:rsid w:val="00830384"/>
    <w:rsid w:val="00833C8B"/>
    <w:rsid w:val="0083416A"/>
    <w:rsid w:val="008344AE"/>
    <w:rsid w:val="00835023"/>
    <w:rsid w:val="00840643"/>
    <w:rsid w:val="008447B6"/>
    <w:rsid w:val="0084715A"/>
    <w:rsid w:val="00854D18"/>
    <w:rsid w:val="0085679D"/>
    <w:rsid w:val="00861CB0"/>
    <w:rsid w:val="00866307"/>
    <w:rsid w:val="00866A8D"/>
    <w:rsid w:val="00872E28"/>
    <w:rsid w:val="00873CA1"/>
    <w:rsid w:val="008769E2"/>
    <w:rsid w:val="00877FB9"/>
    <w:rsid w:val="00884347"/>
    <w:rsid w:val="00884F41"/>
    <w:rsid w:val="00885188"/>
    <w:rsid w:val="00885DBF"/>
    <w:rsid w:val="00890B45"/>
    <w:rsid w:val="0089196D"/>
    <w:rsid w:val="0089209E"/>
    <w:rsid w:val="00892A59"/>
    <w:rsid w:val="008972D3"/>
    <w:rsid w:val="008975BC"/>
    <w:rsid w:val="0089762D"/>
    <w:rsid w:val="008A06AD"/>
    <w:rsid w:val="008A1744"/>
    <w:rsid w:val="008A23C7"/>
    <w:rsid w:val="008A2F12"/>
    <w:rsid w:val="008A300D"/>
    <w:rsid w:val="008A675B"/>
    <w:rsid w:val="008B441A"/>
    <w:rsid w:val="008B649A"/>
    <w:rsid w:val="008C1783"/>
    <w:rsid w:val="008C48DB"/>
    <w:rsid w:val="008C4B7D"/>
    <w:rsid w:val="008C5285"/>
    <w:rsid w:val="008D1A80"/>
    <w:rsid w:val="008D67D7"/>
    <w:rsid w:val="008D6A73"/>
    <w:rsid w:val="008D7525"/>
    <w:rsid w:val="008E1219"/>
    <w:rsid w:val="008E1BD0"/>
    <w:rsid w:val="008E1D36"/>
    <w:rsid w:val="008E1D4B"/>
    <w:rsid w:val="008E6BBA"/>
    <w:rsid w:val="008F1785"/>
    <w:rsid w:val="008F1C79"/>
    <w:rsid w:val="008F2206"/>
    <w:rsid w:val="00903BCC"/>
    <w:rsid w:val="00907159"/>
    <w:rsid w:val="00910698"/>
    <w:rsid w:val="00911828"/>
    <w:rsid w:val="00912366"/>
    <w:rsid w:val="009148C0"/>
    <w:rsid w:val="00923E28"/>
    <w:rsid w:val="009357FA"/>
    <w:rsid w:val="00941547"/>
    <w:rsid w:val="00947DD7"/>
    <w:rsid w:val="00950840"/>
    <w:rsid w:val="0095163D"/>
    <w:rsid w:val="009571B7"/>
    <w:rsid w:val="00963DBF"/>
    <w:rsid w:val="009677A1"/>
    <w:rsid w:val="0096798A"/>
    <w:rsid w:val="00967C41"/>
    <w:rsid w:val="00971109"/>
    <w:rsid w:val="009739E8"/>
    <w:rsid w:val="00973E74"/>
    <w:rsid w:val="00974C1E"/>
    <w:rsid w:val="00974DB6"/>
    <w:rsid w:val="00980E5E"/>
    <w:rsid w:val="00983BD7"/>
    <w:rsid w:val="00983C2B"/>
    <w:rsid w:val="00985261"/>
    <w:rsid w:val="00986CDA"/>
    <w:rsid w:val="0099277E"/>
    <w:rsid w:val="0099403B"/>
    <w:rsid w:val="009B3461"/>
    <w:rsid w:val="009C14BF"/>
    <w:rsid w:val="009C26FF"/>
    <w:rsid w:val="009C37A5"/>
    <w:rsid w:val="009C38B0"/>
    <w:rsid w:val="009C7EAC"/>
    <w:rsid w:val="009D11F8"/>
    <w:rsid w:val="009D6D21"/>
    <w:rsid w:val="009E022A"/>
    <w:rsid w:val="009E038E"/>
    <w:rsid w:val="009E1118"/>
    <w:rsid w:val="009E1470"/>
    <w:rsid w:val="009E1F50"/>
    <w:rsid w:val="009E423C"/>
    <w:rsid w:val="009F0901"/>
    <w:rsid w:val="009F0E9F"/>
    <w:rsid w:val="009F498B"/>
    <w:rsid w:val="009F6506"/>
    <w:rsid w:val="009F7453"/>
    <w:rsid w:val="00A06167"/>
    <w:rsid w:val="00A11877"/>
    <w:rsid w:val="00A1374C"/>
    <w:rsid w:val="00A137DB"/>
    <w:rsid w:val="00A1523A"/>
    <w:rsid w:val="00A24C3B"/>
    <w:rsid w:val="00A33949"/>
    <w:rsid w:val="00A3502D"/>
    <w:rsid w:val="00A35510"/>
    <w:rsid w:val="00A37F4C"/>
    <w:rsid w:val="00A403DC"/>
    <w:rsid w:val="00A4711F"/>
    <w:rsid w:val="00A523F2"/>
    <w:rsid w:val="00A52E47"/>
    <w:rsid w:val="00A53162"/>
    <w:rsid w:val="00A5339C"/>
    <w:rsid w:val="00A533AA"/>
    <w:rsid w:val="00A54F1B"/>
    <w:rsid w:val="00A573F8"/>
    <w:rsid w:val="00A61696"/>
    <w:rsid w:val="00A625F4"/>
    <w:rsid w:val="00A717F6"/>
    <w:rsid w:val="00A719FE"/>
    <w:rsid w:val="00A72E38"/>
    <w:rsid w:val="00A75C55"/>
    <w:rsid w:val="00A81869"/>
    <w:rsid w:val="00A822BD"/>
    <w:rsid w:val="00A9663E"/>
    <w:rsid w:val="00AA65D3"/>
    <w:rsid w:val="00AB47CB"/>
    <w:rsid w:val="00AB5FD1"/>
    <w:rsid w:val="00AB7109"/>
    <w:rsid w:val="00AC17C5"/>
    <w:rsid w:val="00AC511A"/>
    <w:rsid w:val="00AC6A73"/>
    <w:rsid w:val="00AD3F9F"/>
    <w:rsid w:val="00AD5B62"/>
    <w:rsid w:val="00AD691E"/>
    <w:rsid w:val="00AE421D"/>
    <w:rsid w:val="00AF2F20"/>
    <w:rsid w:val="00AF47A5"/>
    <w:rsid w:val="00AF50E7"/>
    <w:rsid w:val="00AF5490"/>
    <w:rsid w:val="00AF60B9"/>
    <w:rsid w:val="00B01630"/>
    <w:rsid w:val="00B021C4"/>
    <w:rsid w:val="00B029A2"/>
    <w:rsid w:val="00B03480"/>
    <w:rsid w:val="00B07762"/>
    <w:rsid w:val="00B13B2A"/>
    <w:rsid w:val="00B13CE4"/>
    <w:rsid w:val="00B226A9"/>
    <w:rsid w:val="00B275B2"/>
    <w:rsid w:val="00B32E44"/>
    <w:rsid w:val="00B35068"/>
    <w:rsid w:val="00B3736D"/>
    <w:rsid w:val="00B37539"/>
    <w:rsid w:val="00B40BDC"/>
    <w:rsid w:val="00B468FF"/>
    <w:rsid w:val="00B47450"/>
    <w:rsid w:val="00B50507"/>
    <w:rsid w:val="00B53930"/>
    <w:rsid w:val="00B53FF0"/>
    <w:rsid w:val="00B60416"/>
    <w:rsid w:val="00B6322B"/>
    <w:rsid w:val="00B636CA"/>
    <w:rsid w:val="00B70660"/>
    <w:rsid w:val="00B76BD7"/>
    <w:rsid w:val="00B8627F"/>
    <w:rsid w:val="00B93C20"/>
    <w:rsid w:val="00B9487F"/>
    <w:rsid w:val="00BB110E"/>
    <w:rsid w:val="00BB3F2D"/>
    <w:rsid w:val="00BB5EFC"/>
    <w:rsid w:val="00BB67C5"/>
    <w:rsid w:val="00BB782B"/>
    <w:rsid w:val="00BC19C0"/>
    <w:rsid w:val="00BC7133"/>
    <w:rsid w:val="00BD4931"/>
    <w:rsid w:val="00BE407D"/>
    <w:rsid w:val="00BE4646"/>
    <w:rsid w:val="00BE59B8"/>
    <w:rsid w:val="00BE5EB5"/>
    <w:rsid w:val="00BF3BC1"/>
    <w:rsid w:val="00BF4A6F"/>
    <w:rsid w:val="00BF4F04"/>
    <w:rsid w:val="00BF7B35"/>
    <w:rsid w:val="00C027A8"/>
    <w:rsid w:val="00C0669C"/>
    <w:rsid w:val="00C10AD3"/>
    <w:rsid w:val="00C137FA"/>
    <w:rsid w:val="00C245EE"/>
    <w:rsid w:val="00C3346C"/>
    <w:rsid w:val="00C35FBB"/>
    <w:rsid w:val="00C40894"/>
    <w:rsid w:val="00C42D2A"/>
    <w:rsid w:val="00C433C1"/>
    <w:rsid w:val="00C53B24"/>
    <w:rsid w:val="00C55FFA"/>
    <w:rsid w:val="00C57267"/>
    <w:rsid w:val="00C57A76"/>
    <w:rsid w:val="00C62FC9"/>
    <w:rsid w:val="00C65270"/>
    <w:rsid w:val="00C67E9C"/>
    <w:rsid w:val="00C7253D"/>
    <w:rsid w:val="00C75D1F"/>
    <w:rsid w:val="00C75D27"/>
    <w:rsid w:val="00C774DE"/>
    <w:rsid w:val="00C7760A"/>
    <w:rsid w:val="00C806D4"/>
    <w:rsid w:val="00C82315"/>
    <w:rsid w:val="00C86281"/>
    <w:rsid w:val="00C877BC"/>
    <w:rsid w:val="00C90549"/>
    <w:rsid w:val="00C91558"/>
    <w:rsid w:val="00C921C8"/>
    <w:rsid w:val="00C9507B"/>
    <w:rsid w:val="00CA316D"/>
    <w:rsid w:val="00CA5FF2"/>
    <w:rsid w:val="00CA7A67"/>
    <w:rsid w:val="00CB5A3E"/>
    <w:rsid w:val="00CC1B82"/>
    <w:rsid w:val="00CC28C0"/>
    <w:rsid w:val="00CC55F2"/>
    <w:rsid w:val="00CD3D7A"/>
    <w:rsid w:val="00CD400A"/>
    <w:rsid w:val="00CE24C9"/>
    <w:rsid w:val="00CE7874"/>
    <w:rsid w:val="00CF336D"/>
    <w:rsid w:val="00CF7E74"/>
    <w:rsid w:val="00D00B7A"/>
    <w:rsid w:val="00D03814"/>
    <w:rsid w:val="00D0691C"/>
    <w:rsid w:val="00D06C76"/>
    <w:rsid w:val="00D131A0"/>
    <w:rsid w:val="00D13876"/>
    <w:rsid w:val="00D14BF1"/>
    <w:rsid w:val="00D1507F"/>
    <w:rsid w:val="00D168C0"/>
    <w:rsid w:val="00D16C26"/>
    <w:rsid w:val="00D16C6C"/>
    <w:rsid w:val="00D21A54"/>
    <w:rsid w:val="00D22364"/>
    <w:rsid w:val="00D22D38"/>
    <w:rsid w:val="00D2307E"/>
    <w:rsid w:val="00D235FB"/>
    <w:rsid w:val="00D31BA6"/>
    <w:rsid w:val="00D31D7C"/>
    <w:rsid w:val="00D3265C"/>
    <w:rsid w:val="00D34565"/>
    <w:rsid w:val="00D34AF7"/>
    <w:rsid w:val="00D4060B"/>
    <w:rsid w:val="00D435B7"/>
    <w:rsid w:val="00D44716"/>
    <w:rsid w:val="00D509A3"/>
    <w:rsid w:val="00D53574"/>
    <w:rsid w:val="00D56927"/>
    <w:rsid w:val="00D61C95"/>
    <w:rsid w:val="00D63442"/>
    <w:rsid w:val="00D65D41"/>
    <w:rsid w:val="00D675AA"/>
    <w:rsid w:val="00D82F09"/>
    <w:rsid w:val="00D84304"/>
    <w:rsid w:val="00D8776E"/>
    <w:rsid w:val="00D87966"/>
    <w:rsid w:val="00D9075D"/>
    <w:rsid w:val="00D92507"/>
    <w:rsid w:val="00D92F24"/>
    <w:rsid w:val="00D97BA4"/>
    <w:rsid w:val="00DA0849"/>
    <w:rsid w:val="00DA559C"/>
    <w:rsid w:val="00DA5FB3"/>
    <w:rsid w:val="00DB2B3F"/>
    <w:rsid w:val="00DB3AB4"/>
    <w:rsid w:val="00DB7D74"/>
    <w:rsid w:val="00DC1817"/>
    <w:rsid w:val="00DC1B5F"/>
    <w:rsid w:val="00DC1E19"/>
    <w:rsid w:val="00DC7EFC"/>
    <w:rsid w:val="00DD35D6"/>
    <w:rsid w:val="00DD621C"/>
    <w:rsid w:val="00DE5AAE"/>
    <w:rsid w:val="00DE76EC"/>
    <w:rsid w:val="00DF1E01"/>
    <w:rsid w:val="00DF5D3C"/>
    <w:rsid w:val="00E011EB"/>
    <w:rsid w:val="00E02DE2"/>
    <w:rsid w:val="00E058CF"/>
    <w:rsid w:val="00E10520"/>
    <w:rsid w:val="00E2057D"/>
    <w:rsid w:val="00E26D33"/>
    <w:rsid w:val="00E3129F"/>
    <w:rsid w:val="00E35E10"/>
    <w:rsid w:val="00E42A69"/>
    <w:rsid w:val="00E5004C"/>
    <w:rsid w:val="00E51F89"/>
    <w:rsid w:val="00E550B4"/>
    <w:rsid w:val="00E56A05"/>
    <w:rsid w:val="00E65CBB"/>
    <w:rsid w:val="00E73503"/>
    <w:rsid w:val="00E74D8C"/>
    <w:rsid w:val="00E77C1D"/>
    <w:rsid w:val="00E82A64"/>
    <w:rsid w:val="00E83A7B"/>
    <w:rsid w:val="00E92E31"/>
    <w:rsid w:val="00EA1378"/>
    <w:rsid w:val="00EB1FAA"/>
    <w:rsid w:val="00EB2C83"/>
    <w:rsid w:val="00EB5292"/>
    <w:rsid w:val="00EB774C"/>
    <w:rsid w:val="00EC0252"/>
    <w:rsid w:val="00EC0DDE"/>
    <w:rsid w:val="00EC4165"/>
    <w:rsid w:val="00EC4F6F"/>
    <w:rsid w:val="00EC6541"/>
    <w:rsid w:val="00ED17B8"/>
    <w:rsid w:val="00ED36F6"/>
    <w:rsid w:val="00ED7B68"/>
    <w:rsid w:val="00EE3C52"/>
    <w:rsid w:val="00EE3FA8"/>
    <w:rsid w:val="00EE4FC1"/>
    <w:rsid w:val="00EE6FB7"/>
    <w:rsid w:val="00EF19CF"/>
    <w:rsid w:val="00EF6B87"/>
    <w:rsid w:val="00EF7EF2"/>
    <w:rsid w:val="00EF7F3B"/>
    <w:rsid w:val="00F02104"/>
    <w:rsid w:val="00F05F61"/>
    <w:rsid w:val="00F06DB8"/>
    <w:rsid w:val="00F14DA8"/>
    <w:rsid w:val="00F15388"/>
    <w:rsid w:val="00F1556C"/>
    <w:rsid w:val="00F2602E"/>
    <w:rsid w:val="00F31E44"/>
    <w:rsid w:val="00F4264B"/>
    <w:rsid w:val="00F43299"/>
    <w:rsid w:val="00F60A82"/>
    <w:rsid w:val="00F626E8"/>
    <w:rsid w:val="00F63A9B"/>
    <w:rsid w:val="00F6657B"/>
    <w:rsid w:val="00F72E31"/>
    <w:rsid w:val="00F74A1B"/>
    <w:rsid w:val="00F807AB"/>
    <w:rsid w:val="00F80B96"/>
    <w:rsid w:val="00F81720"/>
    <w:rsid w:val="00F82B0F"/>
    <w:rsid w:val="00F87674"/>
    <w:rsid w:val="00F90E3C"/>
    <w:rsid w:val="00F9456B"/>
    <w:rsid w:val="00F957AD"/>
    <w:rsid w:val="00F9719A"/>
    <w:rsid w:val="00FA33AF"/>
    <w:rsid w:val="00FA5DC3"/>
    <w:rsid w:val="00FA7B2A"/>
    <w:rsid w:val="00FB3C59"/>
    <w:rsid w:val="00FC4B65"/>
    <w:rsid w:val="00FC4D3C"/>
    <w:rsid w:val="00FC509A"/>
    <w:rsid w:val="00FD150C"/>
    <w:rsid w:val="00FD1C3B"/>
    <w:rsid w:val="00FD7E00"/>
    <w:rsid w:val="00FE1B51"/>
    <w:rsid w:val="00FE6F34"/>
    <w:rsid w:val="00FF0A4C"/>
    <w:rsid w:val="00FF42F0"/>
    <w:rsid w:val="00FF4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DF521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B350D"/>
    <w:pPr>
      <w:spacing w:before="240" w:after="240"/>
    </w:pPr>
    <w:rPr>
      <w:rFonts w:ascii="Arial" w:eastAsia="SimSun" w:hAnsi="Arial" w:cs="Times New Roman"/>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3B350D"/>
    <w:pPr>
      <w:tabs>
        <w:tab w:val="center" w:pos="4513"/>
        <w:tab w:val="right" w:pos="9026"/>
      </w:tabs>
      <w:spacing w:after="0"/>
    </w:pPr>
    <w:rPr>
      <w:sz w:val="22"/>
    </w:rPr>
  </w:style>
  <w:style w:type="character" w:customStyle="1" w:styleId="HeaderChar">
    <w:name w:val="Header Char"/>
    <w:basedOn w:val="DefaultParagraphFont"/>
    <w:link w:val="Header"/>
    <w:semiHidden/>
    <w:rsid w:val="003B350D"/>
    <w:rPr>
      <w:rFonts w:ascii="Arial" w:eastAsia="SimSun" w:hAnsi="Arial" w:cs="Times New Roman"/>
      <w:sz w:val="22"/>
      <w:lang w:val="en-AU" w:eastAsia="en-AU"/>
    </w:rPr>
  </w:style>
  <w:style w:type="paragraph" w:styleId="Footer">
    <w:name w:val="footer"/>
    <w:basedOn w:val="Normal"/>
    <w:link w:val="FooterChar"/>
    <w:uiPriority w:val="99"/>
    <w:semiHidden/>
    <w:rsid w:val="003B350D"/>
    <w:pPr>
      <w:tabs>
        <w:tab w:val="center" w:pos="4513"/>
        <w:tab w:val="right" w:pos="9026"/>
      </w:tabs>
      <w:spacing w:after="0"/>
    </w:pPr>
    <w:rPr>
      <w:sz w:val="22"/>
    </w:rPr>
  </w:style>
  <w:style w:type="character" w:customStyle="1" w:styleId="FooterChar">
    <w:name w:val="Footer Char"/>
    <w:basedOn w:val="DefaultParagraphFont"/>
    <w:link w:val="Footer"/>
    <w:uiPriority w:val="99"/>
    <w:semiHidden/>
    <w:rsid w:val="003B350D"/>
    <w:rPr>
      <w:rFonts w:ascii="Arial" w:eastAsia="SimSun" w:hAnsi="Arial" w:cs="Times New Roman"/>
      <w:sz w:val="22"/>
      <w:lang w:val="en-AU" w:eastAsia="en-AU"/>
    </w:rPr>
  </w:style>
  <w:style w:type="character" w:styleId="Hyperlink">
    <w:name w:val="Hyperlink"/>
    <w:uiPriority w:val="99"/>
    <w:unhideWhenUsed/>
    <w:rsid w:val="003B350D"/>
    <w:rPr>
      <w:color w:val="0000FF"/>
      <w:u w:val="single"/>
    </w:rPr>
  </w:style>
  <w:style w:type="character" w:styleId="FootnoteReference">
    <w:name w:val="footnote reference"/>
    <w:semiHidden/>
    <w:rsid w:val="003B350D"/>
    <w:rPr>
      <w:rFonts w:ascii="Arial" w:hAnsi="Arial"/>
      <w:sz w:val="20"/>
      <w:vertAlign w:val="superscript"/>
    </w:rPr>
  </w:style>
  <w:style w:type="paragraph" w:styleId="FootnoteText">
    <w:name w:val="footnote text"/>
    <w:basedOn w:val="Normal"/>
    <w:link w:val="FootnoteTextChar"/>
    <w:semiHidden/>
    <w:rsid w:val="003B350D"/>
    <w:pPr>
      <w:spacing w:before="0" w:after="0"/>
    </w:pPr>
    <w:rPr>
      <w:sz w:val="20"/>
      <w:szCs w:val="20"/>
    </w:rPr>
  </w:style>
  <w:style w:type="character" w:customStyle="1" w:styleId="FootnoteTextChar">
    <w:name w:val="Footnote Text Char"/>
    <w:basedOn w:val="DefaultParagraphFont"/>
    <w:link w:val="FootnoteText"/>
    <w:semiHidden/>
    <w:rsid w:val="003B350D"/>
    <w:rPr>
      <w:rFonts w:ascii="Arial" w:eastAsia="SimSun" w:hAnsi="Arial" w:cs="Times New Roman"/>
      <w:sz w:val="20"/>
      <w:szCs w:val="20"/>
      <w:lang w:val="en-AU" w:eastAsia="en-AU"/>
    </w:rPr>
  </w:style>
  <w:style w:type="paragraph" w:customStyle="1" w:styleId="AddressBlock">
    <w:name w:val="Address Block"/>
    <w:basedOn w:val="BodyText"/>
    <w:semiHidden/>
    <w:rsid w:val="003B350D"/>
    <w:pPr>
      <w:keepNext/>
      <w:keepLines/>
      <w:spacing w:after="0"/>
    </w:pPr>
    <w:rPr>
      <w:rFonts w:cs="ArialMT"/>
      <w:lang w:val="en-US" w:bidi="en-US"/>
    </w:rPr>
  </w:style>
  <w:style w:type="paragraph" w:customStyle="1" w:styleId="Contactdetails">
    <w:name w:val="Contact details"/>
    <w:basedOn w:val="Normal"/>
    <w:semiHidden/>
    <w:rsid w:val="003B350D"/>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LogoType">
    <w:name w:val="Logo Type"/>
    <w:basedOn w:val="Header"/>
    <w:semiHidden/>
    <w:rsid w:val="003B350D"/>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paragraph" w:customStyle="1" w:styleId="SubmissionNormal">
    <w:name w:val="Submission Normal"/>
    <w:aliases w:val="No Spacing,No Spacing1,No Spacing11"/>
    <w:basedOn w:val="Normal"/>
    <w:link w:val="SubmissionNormalChar"/>
    <w:qFormat/>
    <w:rsid w:val="003B350D"/>
    <w:pPr>
      <w:numPr>
        <w:numId w:val="1"/>
      </w:numPr>
    </w:pPr>
    <w:rPr>
      <w:rFonts w:eastAsia="Times New Roman"/>
    </w:rPr>
  </w:style>
  <w:style w:type="character" w:customStyle="1" w:styleId="SubmissionNormalChar">
    <w:name w:val="Submission Normal Char"/>
    <w:aliases w:val="No Spacing Char,No Spacing1 Char,No Spacing11 Char"/>
    <w:link w:val="SubmissionNormal"/>
    <w:rsid w:val="003B350D"/>
    <w:rPr>
      <w:rFonts w:ascii="Arial" w:eastAsia="Times New Roman" w:hAnsi="Arial" w:cs="Times New Roman"/>
      <w:lang w:val="en-AU" w:eastAsia="en-AU"/>
    </w:rPr>
  </w:style>
  <w:style w:type="paragraph" w:customStyle="1" w:styleId="Default">
    <w:name w:val="Default"/>
    <w:basedOn w:val="Normal"/>
    <w:rsid w:val="003B350D"/>
    <w:pPr>
      <w:autoSpaceDE w:val="0"/>
      <w:autoSpaceDN w:val="0"/>
      <w:spacing w:before="0" w:after="0"/>
    </w:pPr>
    <w:rPr>
      <w:rFonts w:eastAsiaTheme="minorHAnsi" w:cs="Arial"/>
      <w:color w:val="000000"/>
      <w:lang w:eastAsia="en-US"/>
    </w:rPr>
  </w:style>
  <w:style w:type="character" w:styleId="CommentReference">
    <w:name w:val="annotation reference"/>
    <w:basedOn w:val="DefaultParagraphFont"/>
    <w:rsid w:val="003B350D"/>
    <w:rPr>
      <w:sz w:val="16"/>
      <w:szCs w:val="16"/>
    </w:rPr>
  </w:style>
  <w:style w:type="paragraph" w:styleId="CommentText">
    <w:name w:val="annotation text"/>
    <w:basedOn w:val="Normal"/>
    <w:link w:val="CommentTextChar"/>
    <w:rsid w:val="003B350D"/>
    <w:rPr>
      <w:sz w:val="20"/>
      <w:szCs w:val="20"/>
    </w:rPr>
  </w:style>
  <w:style w:type="character" w:customStyle="1" w:styleId="CommentTextChar">
    <w:name w:val="Comment Text Char"/>
    <w:basedOn w:val="DefaultParagraphFont"/>
    <w:link w:val="CommentText"/>
    <w:rsid w:val="003B350D"/>
    <w:rPr>
      <w:rFonts w:ascii="Arial" w:eastAsia="SimSun" w:hAnsi="Arial" w:cs="Times New Roman"/>
      <w:sz w:val="20"/>
      <w:szCs w:val="20"/>
      <w:lang w:val="en-AU" w:eastAsia="en-AU"/>
    </w:rPr>
  </w:style>
  <w:style w:type="paragraph" w:styleId="ListParagraph">
    <w:name w:val="List Paragraph"/>
    <w:aliases w:val="List Paragraph1,List Paragraph11,Bullet point,Recommendation,List Paragraph Number"/>
    <w:basedOn w:val="Normal"/>
    <w:link w:val="ListParagraphChar"/>
    <w:uiPriority w:val="34"/>
    <w:qFormat/>
    <w:rsid w:val="003B350D"/>
    <w:pPr>
      <w:ind w:left="720"/>
      <w:contextualSpacing/>
    </w:pPr>
  </w:style>
  <w:style w:type="paragraph" w:styleId="BodyText">
    <w:name w:val="Body Text"/>
    <w:basedOn w:val="Normal"/>
    <w:link w:val="BodyTextChar"/>
    <w:uiPriority w:val="99"/>
    <w:semiHidden/>
    <w:unhideWhenUsed/>
    <w:rsid w:val="003B350D"/>
    <w:pPr>
      <w:spacing w:after="120"/>
    </w:pPr>
  </w:style>
  <w:style w:type="character" w:customStyle="1" w:styleId="BodyTextChar">
    <w:name w:val="Body Text Char"/>
    <w:basedOn w:val="DefaultParagraphFont"/>
    <w:link w:val="BodyText"/>
    <w:uiPriority w:val="99"/>
    <w:semiHidden/>
    <w:rsid w:val="003B350D"/>
    <w:rPr>
      <w:rFonts w:ascii="Arial" w:eastAsia="SimSun" w:hAnsi="Arial" w:cs="Times New Roman"/>
      <w:lang w:val="en-AU" w:eastAsia="en-AU"/>
    </w:rPr>
  </w:style>
  <w:style w:type="paragraph" w:styleId="BalloonText">
    <w:name w:val="Balloon Text"/>
    <w:basedOn w:val="Normal"/>
    <w:link w:val="BalloonTextChar"/>
    <w:uiPriority w:val="99"/>
    <w:semiHidden/>
    <w:unhideWhenUsed/>
    <w:rsid w:val="003B350D"/>
    <w:pPr>
      <w:spacing w:before="0" w:after="0"/>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3B350D"/>
    <w:rPr>
      <w:rFonts w:ascii="Times New Roman" w:eastAsia="SimSun" w:hAnsi="Times New Roman" w:cs="Times New Roman"/>
      <w:sz w:val="18"/>
      <w:szCs w:val="18"/>
      <w:lang w:val="en-AU" w:eastAsia="en-AU"/>
    </w:rPr>
  </w:style>
  <w:style w:type="paragraph" w:styleId="CommentSubject">
    <w:name w:val="annotation subject"/>
    <w:basedOn w:val="CommentText"/>
    <w:next w:val="CommentText"/>
    <w:link w:val="CommentSubjectChar"/>
    <w:uiPriority w:val="99"/>
    <w:semiHidden/>
    <w:unhideWhenUsed/>
    <w:rsid w:val="00252A18"/>
    <w:rPr>
      <w:b/>
      <w:bCs/>
    </w:rPr>
  </w:style>
  <w:style w:type="character" w:customStyle="1" w:styleId="CommentSubjectChar">
    <w:name w:val="Comment Subject Char"/>
    <w:basedOn w:val="CommentTextChar"/>
    <w:link w:val="CommentSubject"/>
    <w:uiPriority w:val="99"/>
    <w:semiHidden/>
    <w:rsid w:val="00252A18"/>
    <w:rPr>
      <w:rFonts w:ascii="Arial" w:eastAsia="SimSun" w:hAnsi="Arial" w:cs="Times New Roman"/>
      <w:b/>
      <w:bCs/>
      <w:sz w:val="20"/>
      <w:szCs w:val="20"/>
      <w:lang w:val="en-AU" w:eastAsia="en-AU"/>
    </w:rPr>
  </w:style>
  <w:style w:type="paragraph" w:styleId="EndnoteText">
    <w:name w:val="endnote text"/>
    <w:basedOn w:val="Normal"/>
    <w:link w:val="EndnoteTextChar"/>
    <w:qFormat/>
    <w:rsid w:val="006F01F6"/>
    <w:pPr>
      <w:spacing w:before="0" w:after="0" w:line="276" w:lineRule="auto"/>
    </w:pPr>
    <w:rPr>
      <w:sz w:val="20"/>
      <w:szCs w:val="20"/>
    </w:rPr>
  </w:style>
  <w:style w:type="character" w:customStyle="1" w:styleId="EndnoteTextChar">
    <w:name w:val="Endnote Text Char"/>
    <w:basedOn w:val="DefaultParagraphFont"/>
    <w:link w:val="EndnoteText"/>
    <w:rsid w:val="006F01F6"/>
    <w:rPr>
      <w:rFonts w:ascii="Arial" w:eastAsia="SimSun" w:hAnsi="Arial" w:cs="Times New Roman"/>
      <w:sz w:val="20"/>
      <w:szCs w:val="20"/>
      <w:lang w:val="en-AU" w:eastAsia="en-AU"/>
    </w:rPr>
  </w:style>
  <w:style w:type="character" w:styleId="EndnoteReference">
    <w:name w:val="endnote reference"/>
    <w:basedOn w:val="DefaultParagraphFont"/>
    <w:rsid w:val="006F01F6"/>
    <w:rPr>
      <w:rFonts w:ascii="Arial" w:hAnsi="Arial"/>
      <w:sz w:val="20"/>
      <w:vertAlign w:val="superscript"/>
    </w:rPr>
  </w:style>
  <w:style w:type="character" w:styleId="FollowedHyperlink">
    <w:name w:val="FollowedHyperlink"/>
    <w:basedOn w:val="DefaultParagraphFont"/>
    <w:uiPriority w:val="99"/>
    <w:semiHidden/>
    <w:unhideWhenUsed/>
    <w:rsid w:val="006F01F6"/>
    <w:rPr>
      <w:color w:val="954F72" w:themeColor="followedHyperlink"/>
      <w:u w:val="single"/>
    </w:rPr>
  </w:style>
  <w:style w:type="character" w:customStyle="1" w:styleId="ListParagraphChar">
    <w:name w:val="List Paragraph Char"/>
    <w:aliases w:val="List Paragraph1 Char,List Paragraph11 Char,Bullet point Char,Recommendation Char,List Paragraph Number Char"/>
    <w:link w:val="ListParagraph"/>
    <w:uiPriority w:val="34"/>
    <w:rsid w:val="00F72E31"/>
    <w:rPr>
      <w:rFonts w:ascii="Arial" w:eastAsia="SimSun" w:hAnsi="Arial" w:cs="Times New Roman"/>
      <w:lang w:val="en-AU" w:eastAsia="en-AU"/>
    </w:rPr>
  </w:style>
  <w:style w:type="character" w:customStyle="1" w:styleId="EndnoteReference1">
    <w:name w:val="Endnote Reference1"/>
    <w:rsid w:val="00F72E31"/>
    <w:rPr>
      <w:rFonts w:ascii="Arial" w:eastAsia="ヒラギノ角ゴ Pro W3" w:hAnsi="Arial"/>
      <w:b w:val="0"/>
      <w:i w:val="0"/>
      <w:color w:val="000000"/>
      <w:sz w:val="20"/>
      <w:vertAlign w:val="superscript"/>
    </w:rPr>
  </w:style>
  <w:style w:type="paragraph" w:customStyle="1" w:styleId="EndnoteText1">
    <w:name w:val="Endnote Text1"/>
    <w:rsid w:val="00F72E31"/>
    <w:rPr>
      <w:rFonts w:ascii="Arial" w:eastAsia="ヒラギノ角ゴ Pro W3" w:hAnsi="Arial" w:cs="Times New Roman"/>
      <w:color w:val="000000"/>
      <w:sz w:val="20"/>
      <w:szCs w:val="20"/>
      <w:lang w:val="en-AU"/>
    </w:rPr>
  </w:style>
  <w:style w:type="character" w:customStyle="1" w:styleId="apple-converted-space">
    <w:name w:val="apple-converted-space"/>
    <w:basedOn w:val="DefaultParagraphFont"/>
    <w:rsid w:val="009571B7"/>
  </w:style>
  <w:style w:type="character" w:styleId="UnresolvedMention">
    <w:name w:val="Unresolved Mention"/>
    <w:basedOn w:val="DefaultParagraphFont"/>
    <w:uiPriority w:val="99"/>
    <w:semiHidden/>
    <w:unhideWhenUsed/>
    <w:rsid w:val="00DA0849"/>
    <w:rPr>
      <w:color w:val="605E5C"/>
      <w:shd w:val="clear" w:color="auto" w:fill="E1DFDD"/>
    </w:rPr>
  </w:style>
  <w:style w:type="character" w:customStyle="1" w:styleId="EndnoteTextChar1">
    <w:name w:val="Endnote Text Char1"/>
    <w:rsid w:val="00CB5A3E"/>
    <w:rPr>
      <w:rFonts w:ascii="Arial" w:eastAsia="MS Mincho" w:hAnsi="Arial"/>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779799">
      <w:bodyDiv w:val="1"/>
      <w:marLeft w:val="0"/>
      <w:marRight w:val="0"/>
      <w:marTop w:val="0"/>
      <w:marBottom w:val="0"/>
      <w:divBdr>
        <w:top w:val="none" w:sz="0" w:space="0" w:color="auto"/>
        <w:left w:val="none" w:sz="0" w:space="0" w:color="auto"/>
        <w:bottom w:val="none" w:sz="0" w:space="0" w:color="auto"/>
        <w:right w:val="none" w:sz="0" w:space="0" w:color="auto"/>
      </w:divBdr>
    </w:div>
    <w:div w:id="727652183">
      <w:bodyDiv w:val="1"/>
      <w:marLeft w:val="0"/>
      <w:marRight w:val="0"/>
      <w:marTop w:val="0"/>
      <w:marBottom w:val="0"/>
      <w:divBdr>
        <w:top w:val="none" w:sz="0" w:space="0" w:color="auto"/>
        <w:left w:val="none" w:sz="0" w:space="0" w:color="auto"/>
        <w:bottom w:val="none" w:sz="0" w:space="0" w:color="auto"/>
        <w:right w:val="none" w:sz="0" w:space="0" w:color="auto"/>
      </w:divBdr>
    </w:div>
    <w:div w:id="1117793653">
      <w:bodyDiv w:val="1"/>
      <w:marLeft w:val="0"/>
      <w:marRight w:val="0"/>
      <w:marTop w:val="0"/>
      <w:marBottom w:val="0"/>
      <w:divBdr>
        <w:top w:val="none" w:sz="0" w:space="0" w:color="auto"/>
        <w:left w:val="none" w:sz="0" w:space="0" w:color="auto"/>
        <w:bottom w:val="none" w:sz="0" w:space="0" w:color="auto"/>
        <w:right w:val="none" w:sz="0" w:space="0" w:color="auto"/>
      </w:divBdr>
    </w:div>
    <w:div w:id="1145509895">
      <w:bodyDiv w:val="1"/>
      <w:marLeft w:val="0"/>
      <w:marRight w:val="0"/>
      <w:marTop w:val="0"/>
      <w:marBottom w:val="0"/>
      <w:divBdr>
        <w:top w:val="none" w:sz="0" w:space="0" w:color="auto"/>
        <w:left w:val="none" w:sz="0" w:space="0" w:color="auto"/>
        <w:bottom w:val="none" w:sz="0" w:space="0" w:color="auto"/>
        <w:right w:val="none" w:sz="0" w:space="0" w:color="auto"/>
      </w:divBdr>
    </w:div>
    <w:div w:id="1583299049">
      <w:bodyDiv w:val="1"/>
      <w:marLeft w:val="0"/>
      <w:marRight w:val="0"/>
      <w:marTop w:val="0"/>
      <w:marBottom w:val="0"/>
      <w:divBdr>
        <w:top w:val="none" w:sz="0" w:space="0" w:color="auto"/>
        <w:left w:val="none" w:sz="0" w:space="0" w:color="auto"/>
        <w:bottom w:val="none" w:sz="0" w:space="0" w:color="auto"/>
        <w:right w:val="none" w:sz="0" w:space="0" w:color="auto"/>
      </w:divBdr>
    </w:div>
    <w:div w:id="1681464267">
      <w:bodyDiv w:val="1"/>
      <w:marLeft w:val="0"/>
      <w:marRight w:val="0"/>
      <w:marTop w:val="0"/>
      <w:marBottom w:val="0"/>
      <w:divBdr>
        <w:top w:val="none" w:sz="0" w:space="0" w:color="auto"/>
        <w:left w:val="none" w:sz="0" w:space="0" w:color="auto"/>
        <w:bottom w:val="none" w:sz="0" w:space="0" w:color="auto"/>
        <w:right w:val="none" w:sz="0" w:space="0" w:color="auto"/>
      </w:divBdr>
    </w:div>
    <w:div w:id="1929078269">
      <w:bodyDiv w:val="1"/>
      <w:marLeft w:val="0"/>
      <w:marRight w:val="0"/>
      <w:marTop w:val="0"/>
      <w:marBottom w:val="0"/>
      <w:divBdr>
        <w:top w:val="none" w:sz="0" w:space="0" w:color="auto"/>
        <w:left w:val="none" w:sz="0" w:space="0" w:color="auto"/>
        <w:bottom w:val="none" w:sz="0" w:space="0" w:color="auto"/>
        <w:right w:val="none" w:sz="0" w:space="0" w:color="auto"/>
      </w:divBdr>
    </w:div>
    <w:div w:id="19496970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y.affairs.sen@aph.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ck.gooda@humanrights.gov.au"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quickstats.censusdata.abs.gov.au/census_services/getproduct/census/2016/quickstat/315011396" TargetMode="External"/><Relationship Id="rId3" Type="http://schemas.openxmlformats.org/officeDocument/2006/relationships/hyperlink" Target="http://www.humanrights.gov.au/sites/default/files/document/publication/SJRNTR2015.pdf" TargetMode="External"/><Relationship Id="rId7" Type="http://schemas.openxmlformats.org/officeDocument/2006/relationships/hyperlink" Target="https://www.anao.gov.au/work/performance-audit/implementation-and-performance-cashless-debit-card-trial" TargetMode="External"/><Relationship Id="rId2" Type="http://schemas.openxmlformats.org/officeDocument/2006/relationships/hyperlink" Target="http://www.humanrights.gov.au/sites/default/files/document/publication/AHRC_SJNTR_2016.pdf" TargetMode="External"/><Relationship Id="rId1" Type="http://schemas.openxmlformats.org/officeDocument/2006/relationships/hyperlink" Target="http://www.aph.gov.au/DocumentStore.ashx?id=14a9925c-245c-4a2e-9bfa-eeb6c843e505&amp;subId=403485" TargetMode="External"/><Relationship Id="rId6" Type="http://schemas.openxmlformats.org/officeDocument/2006/relationships/hyperlink" Target="https://www.anao.gov.au/work/performance-audit/implementation-and-performance-cashless-debit-card-trial" TargetMode="External"/><Relationship Id="rId5" Type="http://schemas.openxmlformats.org/officeDocument/2006/relationships/hyperlink" Target="https://www.aph.gov.au/Parliamentary_Business/Committees/Joint/Human_Rights/Scrutiny_reports/2018/Report_6_of_2018" TargetMode="External"/><Relationship Id="rId10" Type="http://schemas.openxmlformats.org/officeDocument/2006/relationships/hyperlink" Target="https://www.pc.gov.au/research/ongoing/overcoming-indigenous-disadvantage/2016/report-documents/oid-2016-chapter9-economic-participation.pdf" TargetMode="External"/><Relationship Id="rId4" Type="http://schemas.openxmlformats.org/officeDocument/2006/relationships/hyperlink" Target="https://www.aph.gov.au/Parliamentary_Business/Committees/Senate/Community_Affairs/CashlessDebitCard/Submissions" TargetMode="External"/><Relationship Id="rId9" Type="http://schemas.openxmlformats.org/officeDocument/2006/relationships/hyperlink" Target="https://www.anao.gov.au/work/performance-audit/implementation-and-performance-cashless-debit-card-tria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994DCA2-BFC5-4AB1-A7F1-ACC71D6C6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2378</Words>
  <Characters>13555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Australian Human Rights Commission</Company>
  <LinksUpToDate>false</LinksUpToDate>
  <CharactersWithSpaces>15902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Liz Stephens</cp:lastModifiedBy>
  <cp:revision>2</cp:revision>
  <cp:lastPrinted>2018-07-16T07:25:00Z</cp:lastPrinted>
  <dcterms:created xsi:type="dcterms:W3CDTF">2019-10-21T22:38:00Z</dcterms:created>
  <dcterms:modified xsi:type="dcterms:W3CDTF">2019-10-21T22:38:00Z</dcterms:modified>
</cp:coreProperties>
</file>