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DE6397" w:rsidP="00591951">
      <w:pPr>
        <w:tabs>
          <w:tab w:val="left" w:pos="3014"/>
        </w:tabs>
        <w:spacing w:after="3000"/>
        <w:rPr>
          <w:rStyle w:val="FootnoteReference"/>
        </w:rPr>
      </w:pPr>
      <w:r>
        <w:rPr>
          <w:noProof/>
        </w:rPr>
        <mc:AlternateContent>
          <mc:Choice Requires="wps">
            <w:drawing>
              <wp:anchor distT="0" distB="0" distL="114300" distR="114300" simplePos="0" relativeHeight="251658240" behindDoc="0" locked="0" layoutInCell="1" allowOverlap="1" wp14:anchorId="24A6568A" wp14:editId="1C52BC62">
                <wp:simplePos x="0" y="0"/>
                <wp:positionH relativeFrom="column">
                  <wp:posOffset>1395095</wp:posOffset>
                </wp:positionH>
                <wp:positionV relativeFrom="paragraph">
                  <wp:posOffset>1440815</wp:posOffset>
                </wp:positionV>
                <wp:extent cx="4339590" cy="587375"/>
                <wp:effectExtent l="0" t="0"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9590" cy="587375"/>
                        </a:xfrm>
                        <a:prstGeom prst="rect">
                          <a:avLst/>
                        </a:prstGeom>
                        <a:noFill/>
                        <a:ln w="6350">
                          <a:noFill/>
                        </a:ln>
                        <a:effectLst/>
                      </wps:spPr>
                      <wps:txbx>
                        <w:txbxContent>
                          <w:p w:rsidR="005279C2" w:rsidRDefault="005279C2" w:rsidP="00C15011">
                            <w:pPr>
                              <w:ind w:hanging="567"/>
                              <w:jc w:val="right"/>
                              <w:rPr>
                                <w:b/>
                                <w:lang w:val="en-US"/>
                              </w:rPr>
                            </w:pPr>
                            <w:r>
                              <w:rPr>
                                <w:b/>
                                <w:lang w:val="en-US"/>
                              </w:rPr>
                              <w:t>30 March 2015</w:t>
                            </w:r>
                          </w:p>
                          <w:p w:rsidR="005279C2" w:rsidRPr="00C15011" w:rsidRDefault="005279C2" w:rsidP="00C15011">
                            <w:pPr>
                              <w:ind w:hanging="567"/>
                              <w:jc w:val="right"/>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6568A" id="_x0000_t202" coordsize="21600,21600" o:spt="202" path="m,l,21600r21600,l21600,xe">
                <v:stroke joinstyle="miter"/>
                <v:path gradientshapeok="t" o:connecttype="rect"/>
              </v:shapetype>
              <v:shape id="Text Box 3" o:spid="_x0000_s1026" type="#_x0000_t202" style="position:absolute;margin-left:109.85pt;margin-top:113.45pt;width:341.7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" filled="f" stroked="f" strokeweight=".5pt">
                <v:path arrowok="t"/>
                <v:textbox>
                  <w:txbxContent>
                    <w:p w:rsidR="005279C2" w:rsidRDefault="005279C2" w:rsidP="00C15011">
                      <w:pPr>
                        <w:ind w:hanging="567"/>
                        <w:jc w:val="right"/>
                        <w:rPr>
                          <w:b/>
                          <w:lang w:val="en-US"/>
                        </w:rPr>
                      </w:pPr>
                      <w:r>
                        <w:rPr>
                          <w:b/>
                          <w:lang w:val="en-US"/>
                        </w:rPr>
                        <w:t>30 March 2015</w:t>
                      </w:r>
                    </w:p>
                    <w:p w:rsidR="005279C2" w:rsidRPr="00C15011" w:rsidRDefault="005279C2" w:rsidP="00C15011">
                      <w:pPr>
                        <w:ind w:hanging="567"/>
                        <w:jc w:val="right"/>
                        <w:rPr>
                          <w:b/>
                          <w:lang w:val="en-US"/>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D11C3AF" wp14:editId="1D8CE060">
                <wp:simplePos x="0" y="0"/>
                <wp:positionH relativeFrom="column">
                  <wp:posOffset>1871345</wp:posOffset>
                </wp:positionH>
                <wp:positionV relativeFrom="paragraph">
                  <wp:posOffset>-45085</wp:posOffset>
                </wp:positionV>
                <wp:extent cx="3863340" cy="14859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1485900"/>
                        </a:xfrm>
                        <a:prstGeom prst="rect">
                          <a:avLst/>
                        </a:prstGeom>
                        <a:noFill/>
                        <a:ln w="6350">
                          <a:noFill/>
                        </a:ln>
                        <a:effectLst/>
                      </wps:spPr>
                      <wps:txbx>
                        <w:txbxContent>
                          <w:p w:rsidR="005279C2" w:rsidRDefault="005279C2" w:rsidP="00FD01B5">
                            <w:pPr>
                              <w:pStyle w:val="MainTitle"/>
                            </w:pPr>
                            <w:r>
                              <w:rPr>
                                <w:i/>
                              </w:rPr>
                              <w:t xml:space="preserve">Rights &amp; Responsibilities </w:t>
                            </w:r>
                            <w:r>
                              <w:t>Consultation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1C3AF" id="Text Box 1" o:spid="_x0000_s1027" type="#_x0000_t202" style="position:absolute;margin-left:147.35pt;margin-top:-3.55pt;width:304.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" filled="f" stroked="f" strokeweight=".5pt">
                <v:path arrowok="t"/>
                <v:textbox>
                  <w:txbxContent>
                    <w:p w:rsidR="005279C2" w:rsidRDefault="005279C2" w:rsidP="00FD01B5">
                      <w:pPr>
                        <w:pStyle w:val="MainTitle"/>
                      </w:pPr>
                      <w:r>
                        <w:rPr>
                          <w:i/>
                        </w:rPr>
                        <w:t xml:space="preserve">Rights &amp; Responsibilities </w:t>
                      </w:r>
                      <w:r>
                        <w:t>Consultation Report</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0" w:name="_Toc209316062"/>
      <w:bookmarkEnd w:id="0"/>
    </w:p>
    <w:p w:rsidR="00B63D24" w:rsidRPr="00907336" w:rsidRDefault="00B63D24" w:rsidP="00B63D24">
      <w:pPr>
        <w:rPr>
          <w:b/>
          <w:sz w:val="28"/>
          <w:szCs w:val="28"/>
        </w:rPr>
      </w:pPr>
      <w:bookmarkStart w:id="1" w:name="_Toc207761829"/>
      <w:r w:rsidRPr="00907336">
        <w:rPr>
          <w:b/>
          <w:sz w:val="28"/>
          <w:szCs w:val="28"/>
        </w:rPr>
        <w:lastRenderedPageBreak/>
        <w:t>Table of Contents</w:t>
      </w:r>
      <w:bookmarkEnd w:id="1"/>
    </w:p>
    <w:p w:rsidR="00244FA0" w:rsidRPr="00244FA0" w:rsidRDefault="00B63D24">
      <w:pPr>
        <w:pStyle w:val="TOC1"/>
        <w:rPr>
          <w:rFonts w:asciiTheme="minorHAnsi" w:eastAsiaTheme="minorEastAsia" w:hAnsiTheme="minorHAnsi" w:cstheme="minorBidi"/>
          <w:b w:val="0"/>
          <w:szCs w:val="22"/>
        </w:rPr>
      </w:pPr>
      <w:r w:rsidRPr="00244FA0">
        <w:rPr>
          <w:rFonts w:cs="Arial"/>
          <w:szCs w:val="22"/>
        </w:rPr>
        <w:fldChar w:fldCharType="begin"/>
      </w:r>
      <w:r w:rsidRPr="00244FA0">
        <w:rPr>
          <w:rFonts w:cs="Arial"/>
          <w:szCs w:val="22"/>
        </w:rPr>
        <w:instrText xml:space="preserve"> TOC \o "1-4" \h \z \u </w:instrText>
      </w:r>
      <w:r w:rsidRPr="00244FA0">
        <w:rPr>
          <w:rFonts w:cs="Arial"/>
          <w:szCs w:val="22"/>
        </w:rPr>
        <w:fldChar w:fldCharType="separate"/>
      </w:r>
      <w:hyperlink w:anchor="_Toc413932248" w:history="1">
        <w:r w:rsidR="00244FA0" w:rsidRPr="00244FA0">
          <w:rPr>
            <w:rStyle w:val="Hyperlink"/>
            <w:szCs w:val="22"/>
          </w:rPr>
          <w:t>Message from the Commissioner</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_Toc413932248 \h </w:instrText>
        </w:r>
        <w:r w:rsidR="00244FA0" w:rsidRPr="00244FA0">
          <w:rPr>
            <w:webHidden/>
            <w:szCs w:val="22"/>
          </w:rPr>
        </w:r>
        <w:r w:rsidR="00244FA0" w:rsidRPr="00244FA0">
          <w:rPr>
            <w:webHidden/>
            <w:szCs w:val="22"/>
          </w:rPr>
          <w:fldChar w:fldCharType="separate"/>
        </w:r>
        <w:r w:rsidR="00244FA0" w:rsidRPr="00244FA0">
          <w:rPr>
            <w:webHidden/>
            <w:szCs w:val="22"/>
          </w:rPr>
          <w:t>4</w:t>
        </w:r>
        <w:r w:rsidR="00244FA0" w:rsidRPr="00244FA0">
          <w:rPr>
            <w:webHidden/>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249" w:history="1">
        <w:r w:rsidR="00244FA0" w:rsidRPr="00244FA0">
          <w:rPr>
            <w:rStyle w:val="Hyperlink"/>
            <w:szCs w:val="22"/>
          </w:rPr>
          <w:t>Executive summary</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_Toc413932249 \h </w:instrText>
        </w:r>
        <w:r w:rsidR="00244FA0" w:rsidRPr="00244FA0">
          <w:rPr>
            <w:webHidden/>
            <w:szCs w:val="22"/>
          </w:rPr>
        </w:r>
        <w:r w:rsidR="00244FA0" w:rsidRPr="00244FA0">
          <w:rPr>
            <w:webHidden/>
            <w:szCs w:val="22"/>
          </w:rPr>
          <w:fldChar w:fldCharType="separate"/>
        </w:r>
        <w:r w:rsidR="00244FA0" w:rsidRPr="00244FA0">
          <w:rPr>
            <w:webHidden/>
            <w:szCs w:val="22"/>
          </w:rPr>
          <w:t>5</w:t>
        </w:r>
        <w:r w:rsidR="00244FA0" w:rsidRPr="00244FA0">
          <w:rPr>
            <w:webHidden/>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250" w:history="1">
        <w:r w:rsidR="00244FA0" w:rsidRPr="00244FA0">
          <w:rPr>
            <w:rStyle w:val="Hyperlink"/>
            <w:szCs w:val="22"/>
          </w:rPr>
          <w:t>1</w:t>
        </w:r>
        <w:r w:rsidR="00244FA0" w:rsidRPr="00244FA0">
          <w:rPr>
            <w:rFonts w:asciiTheme="minorHAnsi" w:eastAsiaTheme="minorEastAsia" w:hAnsiTheme="minorHAnsi" w:cstheme="minorBidi"/>
            <w:b w:val="0"/>
            <w:szCs w:val="22"/>
          </w:rPr>
          <w:tab/>
        </w:r>
        <w:r w:rsidR="00244FA0" w:rsidRPr="00244FA0">
          <w:rPr>
            <w:rStyle w:val="Hyperlink"/>
            <w:szCs w:val="22"/>
          </w:rPr>
          <w:t>Introduction</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_Toc413932250 \h </w:instrText>
        </w:r>
        <w:r w:rsidR="00244FA0" w:rsidRPr="00244FA0">
          <w:rPr>
            <w:webHidden/>
            <w:szCs w:val="22"/>
          </w:rPr>
        </w:r>
        <w:r w:rsidR="00244FA0" w:rsidRPr="00244FA0">
          <w:rPr>
            <w:webHidden/>
            <w:szCs w:val="22"/>
          </w:rPr>
          <w:fldChar w:fldCharType="separate"/>
        </w:r>
        <w:r w:rsidR="00244FA0" w:rsidRPr="00244FA0">
          <w:rPr>
            <w:webHidden/>
            <w:szCs w:val="22"/>
          </w:rPr>
          <w:t>6</w:t>
        </w:r>
        <w:r w:rsidR="00244FA0" w:rsidRPr="00244FA0">
          <w:rPr>
            <w:webHidden/>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251" w:history="1">
        <w:r w:rsidR="00244FA0" w:rsidRPr="00244FA0">
          <w:rPr>
            <w:rStyle w:val="Hyperlink"/>
            <w:szCs w:val="22"/>
          </w:rPr>
          <w:t>2</w:t>
        </w:r>
        <w:r w:rsidR="00244FA0" w:rsidRPr="00244FA0">
          <w:rPr>
            <w:rFonts w:asciiTheme="minorHAnsi" w:eastAsiaTheme="minorEastAsia" w:hAnsiTheme="minorHAnsi" w:cstheme="minorBidi"/>
            <w:b w:val="0"/>
            <w:szCs w:val="22"/>
          </w:rPr>
          <w:tab/>
        </w:r>
        <w:r w:rsidR="00244FA0" w:rsidRPr="00244FA0">
          <w:rPr>
            <w:rStyle w:val="Hyperlink"/>
            <w:szCs w:val="22"/>
          </w:rPr>
          <w:t>The consultation process</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_Toc413932251 \h </w:instrText>
        </w:r>
        <w:r w:rsidR="00244FA0" w:rsidRPr="00244FA0">
          <w:rPr>
            <w:webHidden/>
            <w:szCs w:val="22"/>
          </w:rPr>
        </w:r>
        <w:r w:rsidR="00244FA0" w:rsidRPr="00244FA0">
          <w:rPr>
            <w:webHidden/>
            <w:szCs w:val="22"/>
          </w:rPr>
          <w:fldChar w:fldCharType="separate"/>
        </w:r>
        <w:r w:rsidR="00244FA0" w:rsidRPr="00244FA0">
          <w:rPr>
            <w:webHidden/>
            <w:szCs w:val="22"/>
          </w:rPr>
          <w:t>6</w:t>
        </w:r>
        <w:r w:rsidR="00244FA0" w:rsidRPr="00244FA0">
          <w:rPr>
            <w:webHidden/>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52" w:history="1">
        <w:r w:rsidR="00244FA0" w:rsidRPr="00244FA0">
          <w:rPr>
            <w:rStyle w:val="Hyperlink"/>
            <w:sz w:val="22"/>
            <w:szCs w:val="22"/>
          </w:rPr>
          <w:t>Discussion paper</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_Toc413932252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6</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53" w:history="1">
        <w:r w:rsidR="00244FA0" w:rsidRPr="00244FA0">
          <w:rPr>
            <w:rStyle w:val="Hyperlink"/>
            <w:sz w:val="22"/>
            <w:szCs w:val="22"/>
          </w:rPr>
          <w:t>Online survey and submission process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_Toc413932253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7</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54" w:history="1">
        <w:r w:rsidR="00244FA0" w:rsidRPr="00244FA0">
          <w:rPr>
            <w:rStyle w:val="Hyperlink"/>
            <w:sz w:val="22"/>
            <w:szCs w:val="22"/>
          </w:rPr>
          <w:t>Public events and meetings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_Toc413932254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7</w:t>
        </w:r>
        <w:r w:rsidR="00244FA0" w:rsidRPr="00244FA0">
          <w:rPr>
            <w:webHidden/>
            <w:sz w:val="22"/>
            <w:szCs w:val="22"/>
          </w:rPr>
          <w:fldChar w:fldCharType="end"/>
        </w:r>
      </w:hyperlink>
    </w:p>
    <w:p w:rsidR="00244FA0" w:rsidRPr="00244FA0" w:rsidRDefault="006511AF">
      <w:pPr>
        <w:pStyle w:val="TOC3"/>
        <w:rPr>
          <w:rFonts w:asciiTheme="minorHAnsi" w:eastAsiaTheme="minorEastAsia" w:hAnsiTheme="minorHAnsi" w:cstheme="minorBidi"/>
          <w:i w:val="0"/>
          <w:sz w:val="22"/>
          <w:szCs w:val="22"/>
        </w:rPr>
      </w:pPr>
      <w:hyperlink w:anchor="_Toc413932255" w:history="1">
        <w:r w:rsidR="00244FA0" w:rsidRPr="00244FA0">
          <w:rPr>
            <w:rStyle w:val="Hyperlink"/>
            <w:sz w:val="22"/>
            <w:szCs w:val="22"/>
          </w:rPr>
          <w:t>Map: Places visited for Rights &amp; Responsibilities 2014</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_Toc413932255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8</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56" w:history="1">
        <w:r w:rsidR="00244FA0" w:rsidRPr="00244FA0">
          <w:rPr>
            <w:rStyle w:val="Hyperlink"/>
            <w:sz w:val="22"/>
            <w:szCs w:val="22"/>
          </w:rPr>
          <w:t>Free Speech symposium</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_Toc413932256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8</w:t>
        </w:r>
        <w:r w:rsidR="00244FA0" w:rsidRPr="00244FA0">
          <w:rPr>
            <w:webHidden/>
            <w:sz w:val="22"/>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257" w:history="1">
        <w:r w:rsidR="00244FA0" w:rsidRPr="00244FA0">
          <w:rPr>
            <w:rStyle w:val="Hyperlink"/>
            <w:szCs w:val="22"/>
          </w:rPr>
          <w:t>3</w:t>
        </w:r>
        <w:r w:rsidR="00244FA0" w:rsidRPr="00244FA0">
          <w:rPr>
            <w:rFonts w:asciiTheme="minorHAnsi" w:eastAsiaTheme="minorEastAsia" w:hAnsiTheme="minorHAnsi" w:cstheme="minorBidi"/>
            <w:b w:val="0"/>
            <w:szCs w:val="22"/>
          </w:rPr>
          <w:tab/>
        </w:r>
        <w:r w:rsidR="00244FA0" w:rsidRPr="00244FA0">
          <w:rPr>
            <w:rStyle w:val="Hyperlink"/>
            <w:szCs w:val="22"/>
          </w:rPr>
          <w:t>Key issues emerging from the consultation</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_Toc413932257 \h </w:instrText>
        </w:r>
        <w:r w:rsidR="00244FA0" w:rsidRPr="00244FA0">
          <w:rPr>
            <w:webHidden/>
            <w:szCs w:val="22"/>
          </w:rPr>
        </w:r>
        <w:r w:rsidR="00244FA0" w:rsidRPr="00244FA0">
          <w:rPr>
            <w:webHidden/>
            <w:szCs w:val="22"/>
          </w:rPr>
          <w:fldChar w:fldCharType="separate"/>
        </w:r>
        <w:r w:rsidR="00244FA0" w:rsidRPr="00244FA0">
          <w:rPr>
            <w:webHidden/>
            <w:szCs w:val="22"/>
          </w:rPr>
          <w:t>8</w:t>
        </w:r>
        <w:r w:rsidR="00244FA0" w:rsidRPr="00244FA0">
          <w:rPr>
            <w:webHidden/>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62" w:history="1">
        <w:r w:rsidR="00244FA0" w:rsidRPr="00244FA0">
          <w:rPr>
            <w:rStyle w:val="Hyperlink"/>
            <w:sz w:val="22"/>
            <w:szCs w:val="22"/>
          </w:rPr>
          <w:t>Right to freedom of expression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10</w:t>
        </w:r>
        <w:r w:rsidR="00244FA0" w:rsidRPr="00244FA0">
          <w:rPr>
            <w:webHidden/>
            <w:sz w:val="22"/>
            <w:szCs w:val="22"/>
          </w:rPr>
          <w:fldChar w:fldCharType="end"/>
        </w:r>
      </w:hyperlink>
    </w:p>
    <w:p w:rsidR="00244FA0" w:rsidRPr="00244FA0" w:rsidRDefault="006511AF">
      <w:pPr>
        <w:pStyle w:val="TOC3"/>
        <w:rPr>
          <w:rFonts w:asciiTheme="minorHAnsi" w:eastAsiaTheme="minorEastAsia" w:hAnsiTheme="minorHAnsi" w:cstheme="minorBidi"/>
          <w:i w:val="0"/>
          <w:sz w:val="22"/>
          <w:szCs w:val="22"/>
        </w:rPr>
      </w:pPr>
      <w:hyperlink w:anchor="_Toc413932263" w:history="1">
        <w:r w:rsidR="00244FA0" w:rsidRPr="00244FA0">
          <w:rPr>
            <w:rStyle w:val="Hyperlink"/>
            <w:b/>
            <w:sz w:val="22"/>
            <w:szCs w:val="22"/>
          </w:rPr>
          <w:t>Freedom of expression in Australia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11</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4" w:history="1">
        <w:r w:rsidR="00244FA0" w:rsidRPr="00244FA0">
          <w:rPr>
            <w:rStyle w:val="Hyperlink"/>
            <w:i/>
            <w:sz w:val="22"/>
            <w:szCs w:val="22"/>
          </w:rPr>
          <w:t>Survey results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11</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5" w:history="1">
        <w:r w:rsidR="00244FA0" w:rsidRPr="00244FA0">
          <w:rPr>
            <w:rStyle w:val="Hyperlink"/>
            <w:i/>
            <w:sz w:val="22"/>
            <w:szCs w:val="22"/>
          </w:rPr>
          <w:t>Figure</w:t>
        </w:r>
        <w:r w:rsidR="00244FA0" w:rsidRPr="00244FA0">
          <w:rPr>
            <w:rStyle w:val="Hyperlink"/>
            <w:i/>
            <w:sz w:val="22"/>
            <w:szCs w:val="22"/>
            <w:lang w:val="en-US"/>
          </w:rPr>
          <w:t xml:space="preserve"> 1: How well do Australians think the right to freedom of expression is protected?</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12</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6" w:history="1">
        <w:r w:rsidR="00244FA0" w:rsidRPr="00244FA0">
          <w:rPr>
            <w:rStyle w:val="Hyperlink"/>
            <w:i/>
            <w:sz w:val="22"/>
            <w:szCs w:val="22"/>
          </w:rPr>
          <w:t>Anti-protest laws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13</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7" w:history="1">
        <w:r w:rsidR="00244FA0" w:rsidRPr="00244FA0">
          <w:rPr>
            <w:rStyle w:val="Hyperlink"/>
            <w:i/>
            <w:sz w:val="22"/>
            <w:szCs w:val="22"/>
          </w:rPr>
          <w:t>Community sector participation in public policy debate</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_Toc413932267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14</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8" w:history="1">
        <w:r w:rsidR="00244FA0" w:rsidRPr="00244FA0">
          <w:rPr>
            <w:rStyle w:val="Hyperlink"/>
            <w:i/>
            <w:sz w:val="22"/>
            <w:szCs w:val="22"/>
          </w:rPr>
          <w:t>Laws that limit</w:t>
        </w:r>
        <w:r w:rsidR="00244FA0" w:rsidRPr="00244FA0">
          <w:rPr>
            <w:rStyle w:val="Hyperlink"/>
            <w:rFonts w:cs="Arial"/>
            <w:sz w:val="22"/>
            <w:szCs w:val="22"/>
          </w:rPr>
          <w:t xml:space="preserve"> </w:t>
        </w:r>
        <w:r w:rsidR="00244FA0" w:rsidRPr="00244FA0">
          <w:rPr>
            <w:rStyle w:val="Hyperlink"/>
            <w:rFonts w:cs="Arial"/>
            <w:i/>
            <w:sz w:val="22"/>
            <w:szCs w:val="22"/>
          </w:rPr>
          <w:t>speech and then prescribe the lawful basis for expression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_Toc413932268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14</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69" w:history="1">
        <w:r w:rsidR="00244FA0" w:rsidRPr="00244FA0">
          <w:rPr>
            <w:rStyle w:val="Hyperlink"/>
            <w:i/>
            <w:sz w:val="22"/>
            <w:szCs w:val="22"/>
          </w:rPr>
          <w:t>Freedom of the media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_Toc413932269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15</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0" w:history="1">
        <w:r w:rsidR="00244FA0" w:rsidRPr="00244FA0">
          <w:rPr>
            <w:rStyle w:val="Hyperlink"/>
            <w:i/>
            <w:sz w:val="22"/>
            <w:szCs w:val="22"/>
            <w:lang w:val="en-US"/>
          </w:rPr>
          <w:t>Privacy</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_Toc413932270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15</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1" w:history="1">
        <w:r w:rsidR="00244FA0" w:rsidRPr="00244FA0">
          <w:rPr>
            <w:rStyle w:val="Hyperlink"/>
            <w:i/>
            <w:sz w:val="22"/>
            <w:szCs w:val="22"/>
            <w:lang w:val="en-US"/>
          </w:rPr>
          <w:t>The internet and social media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_Toc413932271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16</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2" w:history="1">
        <w:r w:rsidR="00244FA0" w:rsidRPr="00244FA0">
          <w:rPr>
            <w:rStyle w:val="Hyperlink"/>
            <w:i/>
            <w:sz w:val="22"/>
            <w:szCs w:val="22"/>
          </w:rPr>
          <w:t>Summary</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17</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73" w:history="1">
        <w:r w:rsidR="00244FA0" w:rsidRPr="00244FA0">
          <w:rPr>
            <w:rStyle w:val="Hyperlink"/>
            <w:sz w:val="22"/>
            <w:szCs w:val="22"/>
            <w:lang w:val="en-US"/>
          </w:rPr>
          <w:t>Right to freedom of thought, conscience and religion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18</w:t>
        </w:r>
        <w:r w:rsidR="00244FA0" w:rsidRPr="00244FA0">
          <w:rPr>
            <w:webHidden/>
            <w:sz w:val="22"/>
            <w:szCs w:val="22"/>
          </w:rPr>
          <w:fldChar w:fldCharType="end"/>
        </w:r>
      </w:hyperlink>
    </w:p>
    <w:p w:rsidR="00244FA0" w:rsidRPr="00244FA0" w:rsidRDefault="006511AF">
      <w:pPr>
        <w:pStyle w:val="TOC3"/>
        <w:rPr>
          <w:rFonts w:asciiTheme="minorHAnsi" w:eastAsiaTheme="minorEastAsia" w:hAnsiTheme="minorHAnsi" w:cstheme="minorBidi"/>
          <w:i w:val="0"/>
          <w:sz w:val="22"/>
          <w:szCs w:val="22"/>
        </w:rPr>
      </w:pPr>
      <w:hyperlink w:anchor="_Toc413932274" w:history="1">
        <w:r w:rsidR="00244FA0" w:rsidRPr="00244FA0">
          <w:rPr>
            <w:rStyle w:val="Hyperlink"/>
            <w:b/>
            <w:sz w:val="22"/>
            <w:szCs w:val="22"/>
          </w:rPr>
          <w:t>Freedom of religion in Australia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18</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5" w:history="1">
        <w:r w:rsidR="00244FA0" w:rsidRPr="00244FA0">
          <w:rPr>
            <w:rStyle w:val="Hyperlink"/>
            <w:i/>
            <w:sz w:val="22"/>
            <w:szCs w:val="22"/>
          </w:rPr>
          <w:t>Survey results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19</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6" w:history="1">
        <w:r w:rsidR="00244FA0" w:rsidRPr="00244FA0">
          <w:rPr>
            <w:rStyle w:val="Hyperlink"/>
            <w:i/>
            <w:sz w:val="22"/>
            <w:szCs w:val="22"/>
          </w:rPr>
          <w:t>Figure</w:t>
        </w:r>
        <w:r w:rsidR="00244FA0" w:rsidRPr="00244FA0">
          <w:rPr>
            <w:rStyle w:val="Hyperlink"/>
            <w:sz w:val="22"/>
            <w:szCs w:val="22"/>
            <w:lang w:val="en-US"/>
          </w:rPr>
          <w:t xml:space="preserve"> </w:t>
        </w:r>
        <w:r w:rsidR="00244FA0" w:rsidRPr="00244FA0">
          <w:rPr>
            <w:rStyle w:val="Hyperlink"/>
            <w:i/>
            <w:sz w:val="22"/>
            <w:szCs w:val="22"/>
            <w:lang w:val="en-US"/>
          </w:rPr>
          <w:t>2: How well do Australians think the right to freedom of religion is protected?</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19</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7" w:history="1">
        <w:r w:rsidR="00244FA0" w:rsidRPr="00244FA0">
          <w:rPr>
            <w:rStyle w:val="Hyperlink"/>
            <w:i/>
            <w:sz w:val="22"/>
            <w:szCs w:val="22"/>
          </w:rPr>
          <w:t>Anti-discrimination laws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_Toc413932277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20</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8" w:history="1">
        <w:r w:rsidR="00244FA0" w:rsidRPr="00244FA0">
          <w:rPr>
            <w:rStyle w:val="Hyperlink"/>
            <w:i/>
            <w:sz w:val="22"/>
            <w:szCs w:val="22"/>
          </w:rPr>
          <w:t>Government funding for religious organisations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_Toc413932278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21</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79" w:history="1">
        <w:r w:rsidR="00244FA0" w:rsidRPr="00244FA0">
          <w:rPr>
            <w:rStyle w:val="Hyperlink"/>
            <w:i/>
            <w:sz w:val="22"/>
            <w:szCs w:val="22"/>
            <w:lang w:val="en-US"/>
          </w:rPr>
          <w:t>Religious freedom and equality before the law</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_Toc413932279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22</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0" w:history="1">
        <w:r w:rsidR="00244FA0" w:rsidRPr="00244FA0">
          <w:rPr>
            <w:rStyle w:val="Hyperlink"/>
            <w:i/>
            <w:sz w:val="22"/>
            <w:szCs w:val="22"/>
          </w:rPr>
          <w:t>Discrimination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_Toc413932280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23</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1" w:history="1">
        <w:r w:rsidR="00244FA0" w:rsidRPr="00244FA0">
          <w:rPr>
            <w:rStyle w:val="Hyperlink"/>
            <w:i/>
            <w:sz w:val="22"/>
            <w:szCs w:val="22"/>
          </w:rPr>
          <w:t>Summary</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_Toc413932281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23</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82" w:history="1">
        <w:r w:rsidR="00244FA0" w:rsidRPr="00244FA0">
          <w:rPr>
            <w:rStyle w:val="Hyperlink"/>
            <w:sz w:val="22"/>
            <w:szCs w:val="22"/>
            <w:lang w:val="en-US"/>
          </w:rPr>
          <w:t>Right to freedom of association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24</w:t>
        </w:r>
        <w:r w:rsidR="00244FA0" w:rsidRPr="00244FA0">
          <w:rPr>
            <w:webHidden/>
            <w:sz w:val="22"/>
            <w:szCs w:val="22"/>
          </w:rPr>
          <w:fldChar w:fldCharType="end"/>
        </w:r>
      </w:hyperlink>
    </w:p>
    <w:p w:rsidR="00244FA0" w:rsidRPr="00244FA0" w:rsidRDefault="006511AF">
      <w:pPr>
        <w:pStyle w:val="TOC3"/>
        <w:rPr>
          <w:rFonts w:asciiTheme="minorHAnsi" w:eastAsiaTheme="minorEastAsia" w:hAnsiTheme="minorHAnsi" w:cstheme="minorBidi"/>
          <w:i w:val="0"/>
          <w:sz w:val="22"/>
          <w:szCs w:val="22"/>
        </w:rPr>
      </w:pPr>
      <w:hyperlink w:anchor="_Toc413932283" w:history="1">
        <w:r w:rsidR="00244FA0" w:rsidRPr="00244FA0">
          <w:rPr>
            <w:rStyle w:val="Hyperlink"/>
            <w:b/>
            <w:sz w:val="22"/>
            <w:szCs w:val="22"/>
          </w:rPr>
          <w:t>Freedom of association in Australia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25</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4" w:history="1">
        <w:r w:rsidR="00244FA0" w:rsidRPr="00244FA0">
          <w:rPr>
            <w:rStyle w:val="Hyperlink"/>
            <w:i/>
            <w:sz w:val="22"/>
            <w:szCs w:val="22"/>
          </w:rPr>
          <w:t>Survey results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25</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5" w:history="1">
        <w:r w:rsidR="00244FA0" w:rsidRPr="00244FA0">
          <w:rPr>
            <w:rStyle w:val="Hyperlink"/>
            <w:i/>
            <w:sz w:val="22"/>
            <w:szCs w:val="22"/>
          </w:rPr>
          <w:t>Figure</w:t>
        </w:r>
        <w:r w:rsidR="00244FA0" w:rsidRPr="00244FA0">
          <w:rPr>
            <w:rStyle w:val="Hyperlink"/>
            <w:i/>
            <w:sz w:val="22"/>
            <w:szCs w:val="22"/>
            <w:lang w:val="en-US"/>
          </w:rPr>
          <w:t xml:space="preserve"> 3: How well do Australians think the right to freedom of association is protected?</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26</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6" w:history="1">
        <w:r w:rsidR="00244FA0" w:rsidRPr="00244FA0">
          <w:rPr>
            <w:rStyle w:val="Hyperlink"/>
            <w:i/>
            <w:sz w:val="22"/>
            <w:szCs w:val="22"/>
          </w:rPr>
          <w:t>Anti-consorting laws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27</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7" w:history="1">
        <w:r w:rsidR="00244FA0" w:rsidRPr="00244FA0">
          <w:rPr>
            <w:rStyle w:val="Hyperlink"/>
            <w:i/>
            <w:sz w:val="22"/>
            <w:szCs w:val="22"/>
          </w:rPr>
          <w:t>Trade unions and freedom of association in the workplace</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_Toc413932287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28</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88" w:history="1">
        <w:r w:rsidR="00244FA0" w:rsidRPr="00244FA0">
          <w:rPr>
            <w:rStyle w:val="Hyperlink"/>
            <w:i/>
            <w:sz w:val="22"/>
            <w:szCs w:val="22"/>
            <w:lang w:val="en-US"/>
          </w:rPr>
          <w:t>Summary</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_Toc413932288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29</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289" w:history="1">
        <w:r w:rsidR="00244FA0" w:rsidRPr="00244FA0">
          <w:rPr>
            <w:rStyle w:val="Hyperlink"/>
            <w:sz w:val="22"/>
            <w:szCs w:val="22"/>
          </w:rPr>
          <w:t>Property rights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_Toc413932289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29</w:t>
        </w:r>
        <w:r w:rsidR="00244FA0" w:rsidRPr="00244FA0">
          <w:rPr>
            <w:webHidden/>
            <w:sz w:val="22"/>
            <w:szCs w:val="22"/>
          </w:rPr>
          <w:fldChar w:fldCharType="end"/>
        </w:r>
      </w:hyperlink>
    </w:p>
    <w:p w:rsidR="00244FA0" w:rsidRPr="00244FA0" w:rsidRDefault="006511AF">
      <w:pPr>
        <w:pStyle w:val="TOC3"/>
        <w:rPr>
          <w:rFonts w:asciiTheme="minorHAnsi" w:eastAsiaTheme="minorEastAsia" w:hAnsiTheme="minorHAnsi" w:cstheme="minorBidi"/>
          <w:i w:val="0"/>
          <w:sz w:val="22"/>
          <w:szCs w:val="22"/>
        </w:rPr>
      </w:pPr>
      <w:hyperlink w:anchor="_Toc413932290" w:history="1">
        <w:r w:rsidR="00244FA0" w:rsidRPr="00244FA0">
          <w:rPr>
            <w:rStyle w:val="Hyperlink"/>
            <w:b/>
            <w:sz w:val="22"/>
            <w:szCs w:val="22"/>
            <w:lang w:val="en"/>
          </w:rPr>
          <w:t>Property rights in Australia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_Toc413932290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30</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1" w:history="1">
        <w:r w:rsidR="00244FA0" w:rsidRPr="00244FA0">
          <w:rPr>
            <w:rStyle w:val="Hyperlink"/>
            <w:i/>
            <w:sz w:val="22"/>
            <w:szCs w:val="22"/>
          </w:rPr>
          <w:t>Survey results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_Toc413932291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30</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2" w:history="1">
        <w:r w:rsidR="00244FA0" w:rsidRPr="00244FA0">
          <w:rPr>
            <w:rStyle w:val="Hyperlink"/>
            <w:i/>
            <w:sz w:val="22"/>
            <w:szCs w:val="22"/>
            <w:lang w:val="en-US"/>
          </w:rPr>
          <w:t>Figure 4: How well do Australians think property rights are protected?</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31</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3" w:history="1">
        <w:r w:rsidR="00244FA0" w:rsidRPr="00244FA0">
          <w:rPr>
            <w:rStyle w:val="Hyperlink"/>
            <w:i/>
            <w:sz w:val="22"/>
            <w:szCs w:val="22"/>
          </w:rPr>
          <w:t>Access to affordable housing and homelessness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31</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4" w:history="1">
        <w:r w:rsidR="00244FA0" w:rsidRPr="00244FA0">
          <w:rPr>
            <w:rStyle w:val="Hyperlink"/>
            <w:i/>
            <w:sz w:val="22"/>
            <w:szCs w:val="22"/>
          </w:rPr>
          <w:t>Government acquisition of land or regulation of land use</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33</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5" w:history="1">
        <w:r w:rsidR="00244FA0" w:rsidRPr="00244FA0">
          <w:rPr>
            <w:rStyle w:val="Hyperlink"/>
            <w:i/>
            <w:sz w:val="22"/>
            <w:szCs w:val="22"/>
          </w:rPr>
          <w:t>The freedom to exercise native title</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33</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6" w:history="1">
        <w:r w:rsidR="00244FA0" w:rsidRPr="00244FA0">
          <w:rPr>
            <w:rStyle w:val="Hyperlink"/>
            <w:i/>
            <w:sz w:val="22"/>
            <w:szCs w:val="22"/>
          </w:rPr>
          <w:t>Intellectual property rights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35</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7" w:history="1">
        <w:r w:rsidR="00244FA0" w:rsidRPr="00244FA0">
          <w:rPr>
            <w:rStyle w:val="Hyperlink"/>
            <w:i/>
            <w:sz w:val="22"/>
            <w:szCs w:val="22"/>
          </w:rPr>
          <w:t>Criminal confiscation laws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_Toc413932297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36</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298" w:history="1">
        <w:r w:rsidR="00244FA0" w:rsidRPr="00244FA0">
          <w:rPr>
            <w:rStyle w:val="Hyperlink"/>
            <w:i/>
            <w:sz w:val="22"/>
            <w:szCs w:val="22"/>
            <w:lang w:val="en-US"/>
          </w:rPr>
          <w:t>Summary</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_Toc413932298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36</w:t>
        </w:r>
        <w:r w:rsidR="00244FA0" w:rsidRPr="00244FA0">
          <w:rPr>
            <w:webHidden/>
            <w:sz w:val="22"/>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299" w:history="1">
        <w:r w:rsidR="00244FA0" w:rsidRPr="00244FA0">
          <w:rPr>
            <w:rStyle w:val="Hyperlink"/>
            <w:szCs w:val="22"/>
            <w:lang w:val="en-US"/>
          </w:rPr>
          <w:t>4</w:t>
        </w:r>
        <w:r w:rsidR="00244FA0" w:rsidRPr="00244FA0">
          <w:rPr>
            <w:rFonts w:asciiTheme="minorHAnsi" w:eastAsiaTheme="minorEastAsia" w:hAnsiTheme="minorHAnsi" w:cstheme="minorBidi"/>
            <w:b w:val="0"/>
            <w:szCs w:val="22"/>
          </w:rPr>
          <w:tab/>
        </w:r>
        <w:r w:rsidR="00244FA0" w:rsidRPr="00244FA0">
          <w:rPr>
            <w:rStyle w:val="Hyperlink"/>
            <w:szCs w:val="22"/>
          </w:rPr>
          <w:t>Additional issues emerging from the consultation</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_Toc413932299 \h </w:instrText>
        </w:r>
        <w:r w:rsidR="00244FA0" w:rsidRPr="00244FA0">
          <w:rPr>
            <w:webHidden/>
            <w:szCs w:val="22"/>
          </w:rPr>
        </w:r>
        <w:r w:rsidR="00244FA0" w:rsidRPr="00244FA0">
          <w:rPr>
            <w:webHidden/>
            <w:szCs w:val="22"/>
          </w:rPr>
          <w:fldChar w:fldCharType="separate"/>
        </w:r>
        <w:r w:rsidR="00244FA0" w:rsidRPr="00244FA0">
          <w:rPr>
            <w:webHidden/>
            <w:szCs w:val="22"/>
          </w:rPr>
          <w:t>37</w:t>
        </w:r>
        <w:r w:rsidR="00244FA0" w:rsidRPr="00244FA0">
          <w:rPr>
            <w:webHidden/>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300" w:history="1">
        <w:r w:rsidR="00244FA0" w:rsidRPr="00244FA0">
          <w:rPr>
            <w:rStyle w:val="Hyperlink"/>
            <w:sz w:val="22"/>
            <w:szCs w:val="22"/>
          </w:rPr>
          <w:t>Right to freedom from arbitrary detention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_Toc413932300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37</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301" w:history="1">
        <w:r w:rsidR="00244FA0" w:rsidRPr="00244FA0">
          <w:rPr>
            <w:rStyle w:val="Hyperlink"/>
            <w:i/>
            <w:sz w:val="22"/>
            <w:szCs w:val="22"/>
          </w:rPr>
          <w:t>Mandatory sentencing laws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_Toc413932301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37</w:t>
        </w:r>
        <w:r w:rsidR="00244FA0" w:rsidRPr="00244FA0">
          <w:rPr>
            <w:webHidden/>
            <w:sz w:val="22"/>
            <w:szCs w:val="22"/>
          </w:rPr>
          <w:fldChar w:fldCharType="end"/>
        </w:r>
      </w:hyperlink>
    </w:p>
    <w:p w:rsidR="00244FA0" w:rsidRPr="00244FA0" w:rsidRDefault="006511AF">
      <w:pPr>
        <w:pStyle w:val="TOC4"/>
        <w:rPr>
          <w:rFonts w:asciiTheme="minorHAnsi" w:eastAsiaTheme="minorEastAsia" w:hAnsiTheme="minorHAnsi" w:cstheme="minorBidi"/>
          <w:sz w:val="22"/>
          <w:szCs w:val="22"/>
        </w:rPr>
      </w:pPr>
      <w:hyperlink w:anchor="_Toc413932302" w:history="1">
        <w:r w:rsidR="00244FA0" w:rsidRPr="00244FA0">
          <w:rPr>
            <w:rStyle w:val="Hyperlink"/>
            <w:i/>
            <w:sz w:val="22"/>
            <w:szCs w:val="22"/>
          </w:rPr>
          <w:t>Denial of liberty for people with mental health issues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_Toc413932302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38</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303" w:history="1">
        <w:r w:rsidR="00244FA0" w:rsidRPr="00244FA0">
          <w:rPr>
            <w:rStyle w:val="Hyperlink"/>
            <w:sz w:val="22"/>
            <w:szCs w:val="22"/>
          </w:rPr>
          <w:t>Euthanasia</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_Toc413932303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38</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304" w:history="1">
        <w:r w:rsidR="00244FA0" w:rsidRPr="00244FA0">
          <w:rPr>
            <w:rStyle w:val="Hyperlink"/>
            <w:sz w:val="22"/>
            <w:szCs w:val="22"/>
          </w:rPr>
          <w:t>Charter of human rights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_Toc413932304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38</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305" w:history="1">
        <w:r w:rsidR="00244FA0" w:rsidRPr="00244FA0">
          <w:rPr>
            <w:rStyle w:val="Hyperlink"/>
            <w:sz w:val="22"/>
            <w:szCs w:val="22"/>
          </w:rPr>
          <w:t>Human rights education</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_Toc413932305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39</w:t>
        </w:r>
        <w:r w:rsidR="00244FA0" w:rsidRPr="00244FA0">
          <w:rPr>
            <w:webHidden/>
            <w:sz w:val="22"/>
            <w:szCs w:val="22"/>
          </w:rPr>
          <w:fldChar w:fldCharType="end"/>
        </w:r>
      </w:hyperlink>
    </w:p>
    <w:p w:rsidR="00244FA0" w:rsidRPr="00244FA0" w:rsidRDefault="006511AF">
      <w:pPr>
        <w:pStyle w:val="TOC2"/>
        <w:rPr>
          <w:rFonts w:asciiTheme="minorHAnsi" w:eastAsiaTheme="minorEastAsia" w:hAnsiTheme="minorHAnsi" w:cstheme="minorBidi"/>
          <w:b w:val="0"/>
          <w:i w:val="0"/>
          <w:sz w:val="22"/>
          <w:szCs w:val="22"/>
        </w:rPr>
      </w:pPr>
      <w:hyperlink w:anchor="_Toc413932306" w:history="1">
        <w:r w:rsidR="00244FA0" w:rsidRPr="00244FA0">
          <w:rPr>
            <w:rStyle w:val="Hyperlink"/>
            <w:sz w:val="22"/>
            <w:szCs w:val="22"/>
            <w:lang w:val="en-US"/>
          </w:rPr>
          <w:t xml:space="preserve">Exercising </w:t>
        </w:r>
        <w:r w:rsidR="00244FA0" w:rsidRPr="00244FA0">
          <w:rPr>
            <w:rStyle w:val="Hyperlink"/>
            <w:sz w:val="22"/>
            <w:szCs w:val="22"/>
          </w:rPr>
          <w:t>responsibilities</w:t>
        </w:r>
        <w:r w:rsidR="00244FA0" w:rsidRPr="00244FA0">
          <w:rPr>
            <w:rStyle w:val="Hyperlink"/>
            <w:sz w:val="22"/>
            <w:szCs w:val="22"/>
            <w:lang w:val="en-US"/>
          </w:rPr>
          <w:t xml:space="preserve"> and civil society action to advance human rights</w:t>
        </w:r>
        <w:r w:rsidR="00244FA0" w:rsidRPr="00244FA0">
          <w:rPr>
            <w:webHidden/>
            <w:sz w:val="22"/>
            <w:szCs w:val="22"/>
          </w:rPr>
          <w:tab/>
        </w:r>
        <w:r w:rsidR="00244FA0" w:rsidRPr="00244FA0">
          <w:rPr>
            <w:webHidden/>
            <w:sz w:val="22"/>
            <w:szCs w:val="22"/>
          </w:rPr>
          <w:fldChar w:fldCharType="begin"/>
        </w:r>
        <w:r w:rsidR="00244FA0" w:rsidRPr="00244FA0">
          <w:rPr>
            <w:webHidden/>
            <w:sz w:val="22"/>
            <w:szCs w:val="22"/>
          </w:rPr>
          <w:instrText xml:space="preserve"> PAGEREF _Toc413932306 \h </w:instrText>
        </w:r>
        <w:r w:rsidR="00244FA0" w:rsidRPr="00244FA0">
          <w:rPr>
            <w:webHidden/>
            <w:sz w:val="22"/>
            <w:szCs w:val="22"/>
          </w:rPr>
        </w:r>
        <w:r w:rsidR="00244FA0" w:rsidRPr="00244FA0">
          <w:rPr>
            <w:webHidden/>
            <w:sz w:val="22"/>
            <w:szCs w:val="22"/>
          </w:rPr>
          <w:fldChar w:fldCharType="separate"/>
        </w:r>
        <w:r w:rsidR="00244FA0" w:rsidRPr="00244FA0">
          <w:rPr>
            <w:webHidden/>
            <w:sz w:val="22"/>
            <w:szCs w:val="22"/>
          </w:rPr>
          <w:t>39</w:t>
        </w:r>
        <w:r w:rsidR="00244FA0" w:rsidRPr="00244FA0">
          <w:rPr>
            <w:webHidden/>
            <w:sz w:val="22"/>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307" w:history="1">
        <w:r w:rsidR="00244FA0" w:rsidRPr="00244FA0">
          <w:rPr>
            <w:rStyle w:val="Hyperlink"/>
            <w:szCs w:val="22"/>
          </w:rPr>
          <w:t>5</w:t>
        </w:r>
        <w:r w:rsidR="00244FA0" w:rsidRPr="00244FA0">
          <w:rPr>
            <w:rFonts w:asciiTheme="minorHAnsi" w:eastAsiaTheme="minorEastAsia" w:hAnsiTheme="minorHAnsi" w:cstheme="minorBidi"/>
            <w:b w:val="0"/>
            <w:szCs w:val="22"/>
          </w:rPr>
          <w:tab/>
        </w:r>
        <w:r w:rsidR="00244FA0" w:rsidRPr="00244FA0">
          <w:rPr>
            <w:rStyle w:val="Hyperlink"/>
            <w:szCs w:val="22"/>
          </w:rPr>
          <w:t>Next steps – future areas of work</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_Toc413932307 \h </w:instrText>
        </w:r>
        <w:r w:rsidR="00244FA0" w:rsidRPr="00244FA0">
          <w:rPr>
            <w:webHidden/>
            <w:szCs w:val="22"/>
          </w:rPr>
        </w:r>
        <w:r w:rsidR="00244FA0" w:rsidRPr="00244FA0">
          <w:rPr>
            <w:webHidden/>
            <w:szCs w:val="22"/>
          </w:rPr>
          <w:fldChar w:fldCharType="separate"/>
        </w:r>
        <w:r w:rsidR="00244FA0" w:rsidRPr="00244FA0">
          <w:rPr>
            <w:webHidden/>
            <w:szCs w:val="22"/>
          </w:rPr>
          <w:t>40</w:t>
        </w:r>
        <w:r w:rsidR="00244FA0" w:rsidRPr="00244FA0">
          <w:rPr>
            <w:webHidden/>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308" w:history="1">
        <w:r w:rsidR="00244FA0" w:rsidRPr="00244FA0">
          <w:rPr>
            <w:rStyle w:val="Hyperlink"/>
            <w:szCs w:val="22"/>
          </w:rPr>
          <w:t>6</w:t>
        </w:r>
        <w:r w:rsidR="00244FA0" w:rsidRPr="00244FA0">
          <w:rPr>
            <w:rFonts w:asciiTheme="minorHAnsi" w:eastAsiaTheme="minorEastAsia" w:hAnsiTheme="minorHAnsi" w:cstheme="minorBidi"/>
            <w:b w:val="0"/>
            <w:szCs w:val="22"/>
          </w:rPr>
          <w:tab/>
        </w:r>
        <w:r w:rsidR="00244FA0" w:rsidRPr="00244FA0">
          <w:rPr>
            <w:rStyle w:val="Hyperlink"/>
            <w:szCs w:val="22"/>
          </w:rPr>
          <w:t>Appendix A – submissions</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_Toc413932308 \h </w:instrText>
        </w:r>
        <w:r w:rsidR="00244FA0" w:rsidRPr="00244FA0">
          <w:rPr>
            <w:webHidden/>
            <w:szCs w:val="22"/>
          </w:rPr>
        </w:r>
        <w:r w:rsidR="00244FA0" w:rsidRPr="00244FA0">
          <w:rPr>
            <w:webHidden/>
            <w:szCs w:val="22"/>
          </w:rPr>
          <w:fldChar w:fldCharType="separate"/>
        </w:r>
        <w:r w:rsidR="00244FA0" w:rsidRPr="00244FA0">
          <w:rPr>
            <w:webHidden/>
            <w:szCs w:val="22"/>
          </w:rPr>
          <w:t>42</w:t>
        </w:r>
        <w:r w:rsidR="00244FA0" w:rsidRPr="00244FA0">
          <w:rPr>
            <w:webHidden/>
            <w:szCs w:val="22"/>
          </w:rPr>
          <w:fldChar w:fldCharType="end"/>
        </w:r>
      </w:hyperlink>
    </w:p>
    <w:p w:rsidR="00244FA0" w:rsidRPr="00244FA0" w:rsidRDefault="006511AF">
      <w:pPr>
        <w:pStyle w:val="TOC1"/>
        <w:rPr>
          <w:rFonts w:asciiTheme="minorHAnsi" w:eastAsiaTheme="minorEastAsia" w:hAnsiTheme="minorHAnsi" w:cstheme="minorBidi"/>
          <w:b w:val="0"/>
          <w:szCs w:val="22"/>
        </w:rPr>
      </w:pPr>
      <w:hyperlink w:anchor="_Toc413932309" w:history="1">
        <w:r w:rsidR="00244FA0" w:rsidRPr="00244FA0">
          <w:rPr>
            <w:rStyle w:val="Hyperlink"/>
            <w:szCs w:val="22"/>
          </w:rPr>
          <w:t>7</w:t>
        </w:r>
        <w:r w:rsidR="00244FA0" w:rsidRPr="00244FA0">
          <w:rPr>
            <w:rFonts w:asciiTheme="minorHAnsi" w:eastAsiaTheme="minorEastAsia" w:hAnsiTheme="minorHAnsi" w:cstheme="minorBidi"/>
            <w:b w:val="0"/>
            <w:szCs w:val="22"/>
          </w:rPr>
          <w:tab/>
        </w:r>
        <w:r w:rsidR="00244FA0" w:rsidRPr="00244FA0">
          <w:rPr>
            <w:rStyle w:val="Hyperlink"/>
            <w:szCs w:val="22"/>
          </w:rPr>
          <w:t>Appendix B – public events and strategic meetings</w:t>
        </w:r>
        <w:r w:rsidR="00244FA0" w:rsidRPr="00244FA0">
          <w:rPr>
            <w:webHidden/>
            <w:szCs w:val="22"/>
          </w:rPr>
          <w:tab/>
        </w:r>
        <w:r w:rsidR="00244FA0" w:rsidRPr="00244FA0">
          <w:rPr>
            <w:webHidden/>
            <w:szCs w:val="22"/>
          </w:rPr>
          <w:fldChar w:fldCharType="begin"/>
        </w:r>
        <w:r w:rsidR="00244FA0" w:rsidRPr="00244FA0">
          <w:rPr>
            <w:webHidden/>
            <w:szCs w:val="22"/>
          </w:rPr>
          <w:instrText xml:space="preserve"> PAGEREF _Toc413932309 \h </w:instrText>
        </w:r>
        <w:r w:rsidR="00244FA0" w:rsidRPr="00244FA0">
          <w:rPr>
            <w:webHidden/>
            <w:szCs w:val="22"/>
          </w:rPr>
        </w:r>
        <w:r w:rsidR="00244FA0" w:rsidRPr="00244FA0">
          <w:rPr>
            <w:webHidden/>
            <w:szCs w:val="22"/>
          </w:rPr>
          <w:fldChar w:fldCharType="separate"/>
        </w:r>
        <w:r w:rsidR="00244FA0" w:rsidRPr="00244FA0">
          <w:rPr>
            <w:webHidden/>
            <w:szCs w:val="22"/>
          </w:rPr>
          <w:t>44</w:t>
        </w:r>
        <w:r w:rsidR="00244FA0" w:rsidRPr="00244FA0">
          <w:rPr>
            <w:webHidden/>
            <w:szCs w:val="22"/>
          </w:rPr>
          <w:fldChar w:fldCharType="end"/>
        </w:r>
      </w:hyperlink>
    </w:p>
    <w:p w:rsidR="00B34946" w:rsidRPr="00BA5736" w:rsidRDefault="00B63D24" w:rsidP="00967F02">
      <w:pPr>
        <w:pStyle w:val="TOC1"/>
        <w:tabs>
          <w:tab w:val="clear" w:pos="9060"/>
          <w:tab w:val="left" w:pos="5212"/>
        </w:tabs>
        <w:rPr>
          <w:rFonts w:cs="Arial"/>
          <w:szCs w:val="22"/>
        </w:rPr>
      </w:pPr>
      <w:r w:rsidRPr="00244FA0">
        <w:rPr>
          <w:rFonts w:cs="Arial"/>
          <w:szCs w:val="22"/>
        </w:rPr>
        <w:fldChar w:fldCharType="end"/>
      </w:r>
      <w:r w:rsidR="00967F02" w:rsidRPr="00244FA0">
        <w:rPr>
          <w:rFonts w:cs="Arial"/>
          <w:szCs w:val="22"/>
        </w:rPr>
        <w:tab/>
      </w:r>
      <w:r w:rsidR="00967F02" w:rsidRPr="00244FA0">
        <w:rPr>
          <w:rFonts w:cs="Arial"/>
          <w:szCs w:val="22"/>
        </w:rPr>
        <w:tab/>
      </w:r>
    </w:p>
    <w:p w:rsidR="00B34946" w:rsidRPr="00BA5736" w:rsidRDefault="00B34946">
      <w:pPr>
        <w:spacing w:before="0" w:after="0"/>
        <w:rPr>
          <w:rFonts w:cs="Arial"/>
          <w:sz w:val="22"/>
          <w:szCs w:val="22"/>
        </w:rPr>
      </w:pPr>
      <w:r w:rsidRPr="00BA5736">
        <w:rPr>
          <w:rFonts w:cs="Arial"/>
          <w:sz w:val="22"/>
          <w:szCs w:val="22"/>
        </w:rPr>
        <w:br w:type="page"/>
      </w:r>
    </w:p>
    <w:p w:rsidR="009556A7" w:rsidRDefault="009556A7" w:rsidP="00E32B64">
      <w:pPr>
        <w:pStyle w:val="Heading1"/>
        <w:numPr>
          <w:ilvl w:val="0"/>
          <w:numId w:val="0"/>
        </w:numPr>
        <w:ind w:left="851" w:hanging="851"/>
        <w:rPr>
          <w:sz w:val="36"/>
          <w:szCs w:val="36"/>
        </w:rPr>
      </w:pPr>
    </w:p>
    <w:p w:rsidR="009556A7" w:rsidRDefault="009556A7" w:rsidP="00BA5736">
      <w:pPr>
        <w:jc w:val="right"/>
        <w:rPr>
          <w:sz w:val="36"/>
          <w:szCs w:val="36"/>
        </w:rPr>
      </w:pPr>
      <w:r>
        <w:rPr>
          <w:noProof/>
        </w:rPr>
        <w:drawing>
          <wp:inline distT="0" distB="0" distL="0" distR="0" wp14:anchorId="5E190F59" wp14:editId="16B1CE0B">
            <wp:extent cx="986790" cy="1389074"/>
            <wp:effectExtent l="0" t="0" r="3810" b="1905"/>
            <wp:docPr id="10" name="Picture 10" descr="C:\Users\byglo\AppData\Local\Microsoft\Windows\Temporary Internet Files\Content.Word\Tim_Wilson_preferred_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yglo\AppData\Local\Microsoft\Windows\Temporary Internet Files\Content.Word\Tim_Wilson_preferred_01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210" cy="1402334"/>
                    </a:xfrm>
                    <a:prstGeom prst="rect">
                      <a:avLst/>
                    </a:prstGeom>
                    <a:noFill/>
                    <a:ln>
                      <a:noFill/>
                    </a:ln>
                  </pic:spPr>
                </pic:pic>
              </a:graphicData>
            </a:graphic>
          </wp:inline>
        </w:drawing>
      </w:r>
    </w:p>
    <w:p w:rsidR="009F2764" w:rsidRPr="0010508C" w:rsidRDefault="00E56F39" w:rsidP="009556A7">
      <w:pPr>
        <w:pStyle w:val="Heading1"/>
        <w:numPr>
          <w:ilvl w:val="0"/>
          <w:numId w:val="0"/>
        </w:numPr>
        <w:rPr>
          <w:sz w:val="36"/>
          <w:szCs w:val="36"/>
        </w:rPr>
      </w:pPr>
      <w:bookmarkStart w:id="2" w:name="_Toc413932248"/>
      <w:r>
        <w:rPr>
          <w:sz w:val="36"/>
          <w:szCs w:val="36"/>
        </w:rPr>
        <w:t>Message</w:t>
      </w:r>
      <w:r w:rsidR="00106339">
        <w:rPr>
          <w:sz w:val="36"/>
          <w:szCs w:val="36"/>
        </w:rPr>
        <w:t xml:space="preserve"> </w:t>
      </w:r>
      <w:r>
        <w:rPr>
          <w:sz w:val="36"/>
          <w:szCs w:val="36"/>
        </w:rPr>
        <w:t>from the Commissioner</w:t>
      </w:r>
      <w:bookmarkEnd w:id="2"/>
    </w:p>
    <w:p w:rsidR="00AC06E5" w:rsidRDefault="00AC06E5" w:rsidP="00106339">
      <w:r>
        <w:t xml:space="preserve">The role of Australia’s Human Rights Commissioner is to raise systemic public policy issues that impact on human rights, and seek reform at a federal level. </w:t>
      </w:r>
    </w:p>
    <w:p w:rsidR="00AC06E5" w:rsidRDefault="00AC06E5" w:rsidP="00106339">
      <w:r>
        <w:t>It is a privilege to serve and identify these challenges, and seek to remedy them.</w:t>
      </w:r>
    </w:p>
    <w:p w:rsidR="00106339" w:rsidRDefault="00106339" w:rsidP="00106339">
      <w:r>
        <w:t xml:space="preserve">In the first </w:t>
      </w:r>
      <w:r w:rsidR="00272A64">
        <w:t>year of my term I focused on three significant</w:t>
      </w:r>
      <w:r>
        <w:t xml:space="preserve"> projects. First, a symposium was held to identify issues affecting the right</w:t>
      </w:r>
      <w:r w:rsidR="00D736D3">
        <w:t>s</w:t>
      </w:r>
      <w:r>
        <w:t xml:space="preserve"> to freedom of expression</w:t>
      </w:r>
      <w:r w:rsidR="00D736D3">
        <w:t xml:space="preserve"> and opinion</w:t>
      </w:r>
      <w:r>
        <w:t xml:space="preserve"> in Australia, </w:t>
      </w:r>
      <w:r w:rsidRPr="000C050B">
        <w:rPr>
          <w:i/>
        </w:rPr>
        <w:t>Free Speech 2014</w:t>
      </w:r>
      <w:r>
        <w:t>.</w:t>
      </w:r>
      <w:r>
        <w:rPr>
          <w:rStyle w:val="EndnoteReference"/>
        </w:rPr>
        <w:endnoteReference w:id="1"/>
      </w:r>
      <w:r w:rsidR="005A4C16">
        <w:t xml:space="preserve"> Second</w:t>
      </w:r>
      <w:r>
        <w:t>,</w:t>
      </w:r>
      <w:r w:rsidRPr="005051E5">
        <w:t xml:space="preserve"> </w:t>
      </w:r>
      <w:r>
        <w:t xml:space="preserve">a national consultation titled </w:t>
      </w:r>
      <w:r w:rsidRPr="006E4BAD">
        <w:rPr>
          <w:i/>
        </w:rPr>
        <w:t>Rights &amp; Responsibilities 2014</w:t>
      </w:r>
      <w:r>
        <w:rPr>
          <w:i/>
        </w:rPr>
        <w:t xml:space="preserve"> </w:t>
      </w:r>
      <w:r>
        <w:t xml:space="preserve">addressed how effectively we protect people’s human rights and freedoms in Australia. This report sets out the process and outcomes of the </w:t>
      </w:r>
      <w:r w:rsidRPr="0099369D">
        <w:rPr>
          <w:i/>
        </w:rPr>
        <w:t>Rights &amp; Responsibilities</w:t>
      </w:r>
      <w:r>
        <w:t xml:space="preserve"> consultation.</w:t>
      </w:r>
    </w:p>
    <w:p w:rsidR="00106339" w:rsidRDefault="00F31A67" w:rsidP="00106339">
      <w:r w:rsidRPr="004B10D3">
        <w:t>Third, to raise the profile on sexual orientation, gender identity and intersex status (SOGII) issues. As the Commission’s spokesperson on SOGII issues I have assumed responsibility for human rights issues involving lesbian, gay, bisexual, transgender and intersex (LGBTI) peoples.</w:t>
      </w:r>
      <w:r>
        <w:t xml:space="preserve"> As this is a new role at the Commission, it is essential to listen to and consult with LGBTI peoples on SOGII issues across the country. To ensure the efficient use of resources, the </w:t>
      </w:r>
      <w:r w:rsidRPr="00CC1CCF">
        <w:rPr>
          <w:i/>
        </w:rPr>
        <w:t>Rights &amp; Responsibilities 2014</w:t>
      </w:r>
      <w:r>
        <w:t xml:space="preserve"> consultation was held parallel to consultations on SOGII human rights. The outcome of consultations on SOGII human rights in Australia is set out in a separate report.</w:t>
      </w:r>
    </w:p>
    <w:p w:rsidR="00831DF9" w:rsidRDefault="00106339" w:rsidP="00106339">
      <w:r>
        <w:t xml:space="preserve">I would like to thank everyone who participated in this national consultation. </w:t>
      </w:r>
      <w:r w:rsidR="00565F23">
        <w:t>T</w:t>
      </w:r>
      <w:r w:rsidR="00AC06E5">
        <w:t xml:space="preserve">hank </w:t>
      </w:r>
      <w:r w:rsidR="00565F23">
        <w:t xml:space="preserve">you to </w:t>
      </w:r>
      <w:r w:rsidR="00AC06E5">
        <w:t>the staff at the Commission includ</w:t>
      </w:r>
      <w:r w:rsidR="00E7261B">
        <w:t>ing Louise Bygrave, Siri May,</w:t>
      </w:r>
      <w:r w:rsidR="00AC06E5">
        <w:t xml:space="preserve"> </w:t>
      </w:r>
      <w:r w:rsidR="00E7261B">
        <w:t xml:space="preserve">Simone Guirguis, </w:t>
      </w:r>
      <w:r w:rsidR="00AC06E5">
        <w:t>Lucian Tan</w:t>
      </w:r>
      <w:r w:rsidR="00E7261B">
        <w:t xml:space="preserve"> and Alex Borowsky</w:t>
      </w:r>
      <w:r w:rsidR="00F9418E">
        <w:t xml:space="preserve">. </w:t>
      </w:r>
      <w:r w:rsidR="00AC06E5">
        <w:t xml:space="preserve">I </w:t>
      </w:r>
      <w:r w:rsidR="00F9418E">
        <w:t xml:space="preserve">also </w:t>
      </w:r>
      <w:r w:rsidR="00AC06E5">
        <w:t xml:space="preserve">thank </w:t>
      </w:r>
      <w:r>
        <w:t>the organisations that hosted public events and strategic meetings, whi</w:t>
      </w:r>
      <w:r w:rsidR="00F9418E">
        <w:t xml:space="preserve">ch enabled me to meet more than </w:t>
      </w:r>
      <w:r>
        <w:t>1</w:t>
      </w:r>
      <w:r w:rsidR="00496784">
        <w:t xml:space="preserve"> </w:t>
      </w:r>
      <w:r>
        <w:t>100 people who shared their personal experiences and professional perspectives on human rights. Everyone’s contributions – written and verbal – have</w:t>
      </w:r>
      <w:r w:rsidR="00831DF9">
        <w:t xml:space="preserve"> been considered in this report</w:t>
      </w:r>
      <w:r>
        <w:t xml:space="preserve"> and have informed the priorities for my term as </w:t>
      </w:r>
      <w:r w:rsidR="002F7EF7">
        <w:t xml:space="preserve">Australia’s </w:t>
      </w:r>
      <w:r>
        <w:t>Human Rights Commissioner.</w:t>
      </w:r>
    </w:p>
    <w:p w:rsidR="00D736D3" w:rsidRDefault="00D736D3" w:rsidP="00106339"/>
    <w:p w:rsidR="00106339" w:rsidRPr="00D96F5D" w:rsidRDefault="00106339" w:rsidP="00106339">
      <w:pPr>
        <w:rPr>
          <w:b/>
        </w:rPr>
      </w:pPr>
      <w:r w:rsidRPr="00D96F5D">
        <w:rPr>
          <w:b/>
        </w:rPr>
        <w:t>Tim Wilson</w:t>
      </w:r>
    </w:p>
    <w:p w:rsidR="00413A91" w:rsidRDefault="00106339" w:rsidP="009556A7">
      <w:pPr>
        <w:rPr>
          <w:b/>
        </w:rPr>
      </w:pPr>
      <w:r w:rsidRPr="00D96F5D">
        <w:rPr>
          <w:b/>
        </w:rPr>
        <w:t>Human Rights Commissioner</w:t>
      </w:r>
    </w:p>
    <w:p w:rsidR="00413A91" w:rsidRDefault="00413A91">
      <w:pPr>
        <w:spacing w:before="0" w:after="0"/>
        <w:rPr>
          <w:b/>
        </w:rPr>
      </w:pPr>
      <w:r>
        <w:rPr>
          <w:b/>
        </w:rPr>
        <w:br w:type="page"/>
      </w:r>
    </w:p>
    <w:p w:rsidR="00413A91" w:rsidRDefault="00413A91" w:rsidP="00413A91">
      <w:pPr>
        <w:pStyle w:val="Heading1"/>
        <w:numPr>
          <w:ilvl w:val="0"/>
          <w:numId w:val="0"/>
        </w:numPr>
        <w:rPr>
          <w:noProof/>
          <w:sz w:val="36"/>
          <w:szCs w:val="36"/>
        </w:rPr>
      </w:pPr>
    </w:p>
    <w:p w:rsidR="00413A91" w:rsidRDefault="00413A91" w:rsidP="00413A91">
      <w:pPr>
        <w:pStyle w:val="Heading1"/>
        <w:numPr>
          <w:ilvl w:val="0"/>
          <w:numId w:val="0"/>
        </w:numPr>
        <w:rPr>
          <w:sz w:val="36"/>
          <w:szCs w:val="36"/>
        </w:rPr>
      </w:pPr>
      <w:bookmarkStart w:id="3" w:name="_Toc413932249"/>
      <w:r w:rsidRPr="00413A91">
        <w:rPr>
          <w:noProof/>
          <w:sz w:val="36"/>
          <w:szCs w:val="36"/>
        </w:rPr>
        <w:t>Executive summary</w:t>
      </w:r>
      <w:bookmarkEnd w:id="3"/>
    </w:p>
    <w:p w:rsidR="00413A91" w:rsidRDefault="00413A91" w:rsidP="00413A91">
      <w:r w:rsidRPr="000D19D5">
        <w:rPr>
          <w:i/>
        </w:rPr>
        <w:t>Rights &amp; Responsibilities</w:t>
      </w:r>
      <w:r w:rsidRPr="00FB0805">
        <w:rPr>
          <w:i/>
        </w:rPr>
        <w:t xml:space="preserve"> 2014</w:t>
      </w:r>
      <w:r>
        <w:t xml:space="preserve"> was a national consultation conducted by the Human Rights Commissioner between August and December 2014. The consultation examined how well people think their human rights and freedoms are protected in Australia.</w:t>
      </w:r>
    </w:p>
    <w:p w:rsidR="00413A91" w:rsidRDefault="00413A91" w:rsidP="00413A91">
      <w:r>
        <w:t xml:space="preserve">Altogether the Human Rights Commissioner consulted with over 1 100 people at public events and meetings as part of </w:t>
      </w:r>
      <w:r w:rsidRPr="00413A91">
        <w:rPr>
          <w:i/>
        </w:rPr>
        <w:t>Rights &amp; Responsibilities 2014</w:t>
      </w:r>
      <w:r>
        <w:t>.</w:t>
      </w:r>
    </w:p>
    <w:p w:rsidR="00D80A36" w:rsidRDefault="00D80A36" w:rsidP="00D80A36">
      <w:pPr>
        <w:rPr>
          <w:rFonts w:cs="Arial"/>
        </w:rPr>
      </w:pPr>
      <w:r>
        <w:rPr>
          <w:rFonts w:cs="Arial"/>
        </w:rPr>
        <w:t xml:space="preserve">Based on the outcomes of </w:t>
      </w:r>
      <w:r w:rsidRPr="009A1B31">
        <w:rPr>
          <w:rFonts w:cs="Arial"/>
          <w:i/>
        </w:rPr>
        <w:t>Rights &amp; Responsibilities 2014</w:t>
      </w:r>
      <w:r>
        <w:rPr>
          <w:rFonts w:cs="Arial"/>
        </w:rPr>
        <w:t>, the Human Rights Commissioner will prioritise the following areas of work in relation to human rights over the next four years:</w:t>
      </w:r>
    </w:p>
    <w:p w:rsidR="00D80A36" w:rsidRPr="00680DAD" w:rsidRDefault="00D80A36" w:rsidP="00D80A36">
      <w:pPr>
        <w:numPr>
          <w:ilvl w:val="0"/>
          <w:numId w:val="46"/>
        </w:numPr>
        <w:rPr>
          <w:rFonts w:cs="Arial"/>
        </w:rPr>
      </w:pPr>
      <w:r w:rsidRPr="00626026">
        <w:rPr>
          <w:rFonts w:cs="Arial"/>
          <w:b/>
        </w:rPr>
        <w:t>Freedom of expression</w:t>
      </w:r>
      <w:r>
        <w:rPr>
          <w:rFonts w:cs="Arial"/>
        </w:rPr>
        <w:t xml:space="preserve">: the Commissioner will continue to explore </w:t>
      </w:r>
      <w:r>
        <w:t>potential reforms in relation to current laws that restrict the right to freedom of expression.</w:t>
      </w:r>
    </w:p>
    <w:p w:rsidR="00D80A36" w:rsidRPr="00843665" w:rsidRDefault="00F31A67" w:rsidP="00D80A36">
      <w:pPr>
        <w:numPr>
          <w:ilvl w:val="0"/>
          <w:numId w:val="46"/>
        </w:numPr>
        <w:rPr>
          <w:lang w:val="en-US"/>
        </w:rPr>
      </w:pPr>
      <w:r>
        <w:rPr>
          <w:rFonts w:cs="Arial"/>
          <w:b/>
        </w:rPr>
        <w:t>Religious freedom</w:t>
      </w:r>
      <w:r w:rsidR="00D80A36" w:rsidRPr="00680DAD">
        <w:rPr>
          <w:rFonts w:cs="Arial"/>
        </w:rPr>
        <w:t>:</w:t>
      </w:r>
      <w:r w:rsidR="00D80A36">
        <w:rPr>
          <w:rFonts w:cs="Arial"/>
        </w:rPr>
        <w:t xml:space="preserve"> the Commissioner will form a</w:t>
      </w:r>
      <w:r w:rsidR="00D80A36" w:rsidRPr="007D401A">
        <w:rPr>
          <w:lang w:val="en-US"/>
        </w:rPr>
        <w:t xml:space="preserve"> religious freedom roundtable</w:t>
      </w:r>
      <w:r w:rsidR="00D80A36">
        <w:rPr>
          <w:lang w:val="en-US"/>
        </w:rPr>
        <w:t xml:space="preserve"> to</w:t>
      </w:r>
      <w:r w:rsidR="00D80A36" w:rsidRPr="007D401A">
        <w:rPr>
          <w:lang w:val="en-US"/>
        </w:rPr>
        <w:t xml:space="preserve"> bring together </w:t>
      </w:r>
      <w:r w:rsidR="00D80A36">
        <w:rPr>
          <w:lang w:val="en-US"/>
        </w:rPr>
        <w:t>representatives of different</w:t>
      </w:r>
      <w:r w:rsidR="00D80A36" w:rsidRPr="007D401A">
        <w:rPr>
          <w:lang w:val="en-US"/>
        </w:rPr>
        <w:t xml:space="preserve"> faiths to facilitate how to advance religious freedom </w:t>
      </w:r>
      <w:r w:rsidR="00D80A36" w:rsidRPr="00843665">
        <w:rPr>
          <w:lang w:val="en-US"/>
        </w:rPr>
        <w:t>in Australia</w:t>
      </w:r>
      <w:r w:rsidR="00D80A36">
        <w:rPr>
          <w:lang w:val="en-US"/>
        </w:rPr>
        <w:t>.</w:t>
      </w:r>
    </w:p>
    <w:p w:rsidR="00D80A36" w:rsidRPr="00651178" w:rsidRDefault="00D80A36" w:rsidP="00D80A36">
      <w:pPr>
        <w:numPr>
          <w:ilvl w:val="0"/>
          <w:numId w:val="46"/>
        </w:numPr>
        <w:rPr>
          <w:rFonts w:cs="Arial"/>
        </w:rPr>
      </w:pPr>
      <w:r w:rsidRPr="004577AB">
        <w:rPr>
          <w:b/>
          <w:lang w:val="en-US"/>
        </w:rPr>
        <w:t>Property rights</w:t>
      </w:r>
      <w:r>
        <w:rPr>
          <w:lang w:val="en-US"/>
        </w:rPr>
        <w:t>: the Commissioner will jointly facilitate a</w:t>
      </w:r>
      <w:r>
        <w:rPr>
          <w:rFonts w:cs="Arial"/>
          <w:lang w:val="en-US"/>
        </w:rPr>
        <w:t xml:space="preserve"> high-level forum with the Aboriginal and Torres Strait Islander Social Justice Commissioner to discuss reforms that remove legal and regulatory barriers faced by native title holders seeking economic development.</w:t>
      </w:r>
    </w:p>
    <w:p w:rsidR="00D80A36" w:rsidRPr="00D56F95" w:rsidRDefault="00D80A36" w:rsidP="00D80A36">
      <w:pPr>
        <w:numPr>
          <w:ilvl w:val="0"/>
          <w:numId w:val="46"/>
        </w:numPr>
        <w:rPr>
          <w:rFonts w:cs="Arial"/>
        </w:rPr>
      </w:pPr>
      <w:r w:rsidRPr="004577AB">
        <w:rPr>
          <w:rFonts w:cs="Arial"/>
          <w:b/>
        </w:rPr>
        <w:t>Property rights</w:t>
      </w:r>
      <w:r>
        <w:rPr>
          <w:rFonts w:cs="Arial"/>
        </w:rPr>
        <w:t xml:space="preserve">: the Commissioner will </w:t>
      </w:r>
      <w:r>
        <w:t>undertake further work that examines the right to access affordable housing in Australia.</w:t>
      </w:r>
    </w:p>
    <w:p w:rsidR="00D80A36" w:rsidRPr="00912D65" w:rsidRDefault="00D80A36" w:rsidP="00D80A36">
      <w:pPr>
        <w:numPr>
          <w:ilvl w:val="0"/>
          <w:numId w:val="46"/>
        </w:numPr>
        <w:rPr>
          <w:rFonts w:cs="Arial"/>
        </w:rPr>
      </w:pPr>
      <w:r w:rsidRPr="004577AB">
        <w:rPr>
          <w:b/>
          <w:lang w:val="en-US"/>
        </w:rPr>
        <w:t>Freedom from arbitrary detention</w:t>
      </w:r>
      <w:r>
        <w:rPr>
          <w:lang w:val="en-US"/>
        </w:rPr>
        <w:t xml:space="preserve">: </w:t>
      </w:r>
      <w:r>
        <w:rPr>
          <w:rFonts w:cs="Arial"/>
        </w:rPr>
        <w:t>the Commissioner will seek to work with relevant organisations to examine the denial of liberty for people with mental health issues.</w:t>
      </w:r>
    </w:p>
    <w:p w:rsidR="00D80A36" w:rsidRDefault="00D80A36" w:rsidP="00D80A36">
      <w:pPr>
        <w:pStyle w:val="ListParagraph"/>
        <w:numPr>
          <w:ilvl w:val="0"/>
          <w:numId w:val="46"/>
        </w:numPr>
      </w:pPr>
      <w:r w:rsidRPr="00D80A36">
        <w:rPr>
          <w:rFonts w:cs="Arial"/>
          <w:b/>
        </w:rPr>
        <w:t>Human rights education</w:t>
      </w:r>
      <w:r w:rsidRPr="00D80A36">
        <w:rPr>
          <w:rFonts w:cs="Arial"/>
        </w:rPr>
        <w:t>: the Commissioner will develop educational resources for the 800</w:t>
      </w:r>
      <w:r w:rsidRPr="00D80A36">
        <w:rPr>
          <w:rFonts w:cs="Arial"/>
          <w:vertAlign w:val="superscript"/>
        </w:rPr>
        <w:t>th</w:t>
      </w:r>
      <w:r w:rsidRPr="00D80A36">
        <w:rPr>
          <w:rFonts w:cs="Arial"/>
        </w:rPr>
        <w:t xml:space="preserve"> anniversary of the </w:t>
      </w:r>
      <w:r w:rsidRPr="00D80A36">
        <w:rPr>
          <w:rFonts w:cs="Arial"/>
          <w:i/>
        </w:rPr>
        <w:t>Magna Carta</w:t>
      </w:r>
      <w:r w:rsidRPr="00D80A36">
        <w:rPr>
          <w:rFonts w:cs="Arial"/>
        </w:rPr>
        <w:t xml:space="preserve"> on 15 June 2015.</w:t>
      </w:r>
    </w:p>
    <w:p w:rsidR="00C15011" w:rsidRPr="00413A91" w:rsidRDefault="00E56F39" w:rsidP="00413A91">
      <w:pPr>
        <w:rPr>
          <w:b/>
          <w:sz w:val="36"/>
          <w:szCs w:val="36"/>
        </w:rPr>
      </w:pPr>
      <w:r w:rsidRPr="00413A91">
        <w:rPr>
          <w:sz w:val="36"/>
          <w:szCs w:val="36"/>
        </w:rPr>
        <w:br w:type="page"/>
      </w:r>
    </w:p>
    <w:p w:rsidR="009F2764" w:rsidRPr="0010508C" w:rsidRDefault="00C15011" w:rsidP="00F60A7A">
      <w:pPr>
        <w:pStyle w:val="Heading1"/>
        <w:numPr>
          <w:ilvl w:val="0"/>
          <w:numId w:val="15"/>
        </w:numPr>
        <w:tabs>
          <w:tab w:val="clear" w:pos="851"/>
          <w:tab w:val="num" w:pos="971"/>
        </w:tabs>
        <w:ind w:left="971"/>
        <w:rPr>
          <w:sz w:val="36"/>
          <w:szCs w:val="36"/>
        </w:rPr>
      </w:pPr>
      <w:bookmarkStart w:id="4" w:name="_Toc413932250"/>
      <w:r>
        <w:rPr>
          <w:sz w:val="36"/>
          <w:szCs w:val="36"/>
        </w:rPr>
        <w:lastRenderedPageBreak/>
        <w:t>Introduction</w:t>
      </w:r>
      <w:bookmarkEnd w:id="4"/>
    </w:p>
    <w:p w:rsidR="00D736D3" w:rsidRDefault="00D736D3" w:rsidP="00D736D3">
      <w:r w:rsidRPr="0038303D">
        <w:rPr>
          <w:i/>
        </w:rPr>
        <w:t>Rights &amp; Responsibilities 2014</w:t>
      </w:r>
      <w:r>
        <w:t xml:space="preserve"> was a national consultation conducted by the Human Rights Commissioner, Tim Wilson. The consultation examined how well people think their human rights and freedoms are protected in Australia.</w:t>
      </w:r>
      <w:r w:rsidR="00755099">
        <w:rPr>
          <w:rStyle w:val="EndnoteReference"/>
        </w:rPr>
        <w:endnoteReference w:id="2"/>
      </w:r>
    </w:p>
    <w:p w:rsidR="00D736D3" w:rsidRDefault="00D736D3" w:rsidP="00D736D3">
      <w:r>
        <w:t>In particular, t</w:t>
      </w:r>
      <w:r w:rsidRPr="00C02855">
        <w:t xml:space="preserve">he consultation </w:t>
      </w:r>
      <w:r>
        <w:t>sought to examine whether Australia’s different levels of government, through the enactment of legislation and implementation of policies:</w:t>
      </w:r>
    </w:p>
    <w:p w:rsidR="00D736D3" w:rsidRDefault="00D736D3" w:rsidP="00F60A7A">
      <w:pPr>
        <w:numPr>
          <w:ilvl w:val="0"/>
          <w:numId w:val="16"/>
        </w:numPr>
      </w:pPr>
      <w:r>
        <w:t>unnecessarily limit the capacity of individuals to exer</w:t>
      </w:r>
      <w:r w:rsidR="003657F7">
        <w:t>cise their human rights, and/or</w:t>
      </w:r>
    </w:p>
    <w:p w:rsidR="00D736D3" w:rsidRDefault="00D736D3" w:rsidP="00F60A7A">
      <w:pPr>
        <w:numPr>
          <w:ilvl w:val="0"/>
          <w:numId w:val="16"/>
        </w:numPr>
      </w:pPr>
      <w:r>
        <w:t xml:space="preserve">undermine the role of civil society to determine restrictions on human rights in accordance with social norms and conventions. </w:t>
      </w:r>
    </w:p>
    <w:p w:rsidR="00D736D3" w:rsidRDefault="00E7261B" w:rsidP="00D736D3">
      <w:r>
        <w:t xml:space="preserve">The consultation </w:t>
      </w:r>
      <w:r w:rsidR="00D736D3">
        <w:t>s</w:t>
      </w:r>
      <w:r>
        <w:t xml:space="preserve">ought to obtain </w:t>
      </w:r>
      <w:r w:rsidR="00D736D3">
        <w:t>people’s views about:</w:t>
      </w:r>
    </w:p>
    <w:p w:rsidR="00D736D3" w:rsidRDefault="00F02742" w:rsidP="00F60A7A">
      <w:pPr>
        <w:numPr>
          <w:ilvl w:val="0"/>
          <w:numId w:val="16"/>
        </w:numPr>
      </w:pPr>
      <w:r>
        <w:t>the</w:t>
      </w:r>
      <w:r w:rsidR="00D736D3">
        <w:t xml:space="preserve"> contemporary human rights issues in Australia </w:t>
      </w:r>
    </w:p>
    <w:p w:rsidR="00D736D3" w:rsidRDefault="00D736D3" w:rsidP="00F60A7A">
      <w:pPr>
        <w:numPr>
          <w:ilvl w:val="0"/>
          <w:numId w:val="16"/>
        </w:numPr>
      </w:pPr>
      <w:r>
        <w:t xml:space="preserve">how well </w:t>
      </w:r>
      <w:r w:rsidR="0077573F">
        <w:t xml:space="preserve">human </w:t>
      </w:r>
      <w:r>
        <w:t>rights and freedoms are protected in Australia</w:t>
      </w:r>
    </w:p>
    <w:p w:rsidR="00D736D3" w:rsidRDefault="00F02742" w:rsidP="00F60A7A">
      <w:pPr>
        <w:numPr>
          <w:ilvl w:val="0"/>
          <w:numId w:val="16"/>
        </w:numPr>
      </w:pPr>
      <w:r>
        <w:t xml:space="preserve">the </w:t>
      </w:r>
      <w:r w:rsidR="00D736D3">
        <w:t>legislation, policies and practices by government that unduly restrict the exercise of human rights and freedoms</w:t>
      </w:r>
    </w:p>
    <w:p w:rsidR="00D736D3" w:rsidRDefault="00D736D3" w:rsidP="00F60A7A">
      <w:pPr>
        <w:numPr>
          <w:ilvl w:val="0"/>
          <w:numId w:val="16"/>
        </w:numPr>
      </w:pPr>
      <w:r>
        <w:t>what is being done, and what more could be done, to promote a culture of respect for rights and responsibilities.</w:t>
      </w:r>
    </w:p>
    <w:p w:rsidR="00D736D3" w:rsidRDefault="00D736D3" w:rsidP="00D736D3">
      <w:r>
        <w:t>The Human Rights Commissioner deliberately engaged with ‘everyday people’ in suburban, regional, remote and rural areas of Australi</w:t>
      </w:r>
      <w:r w:rsidR="00655A18">
        <w:t>a. This engagement process sought</w:t>
      </w:r>
      <w:r>
        <w:t xml:space="preserve"> to move discussions beyond the usual dialogue between academics, governments and human rights organisations in Sydney, Melbourne and Canberra.</w:t>
      </w:r>
      <w:r w:rsidR="00655A18">
        <w:t xml:space="preserve"> It also ensured that individuals and organisations representing </w:t>
      </w:r>
      <w:r w:rsidR="00B077F3">
        <w:t xml:space="preserve">a diverse range of </w:t>
      </w:r>
      <w:r w:rsidR="00655A18">
        <w:t>views about human rights in contemporary Australia participate</w:t>
      </w:r>
      <w:r w:rsidR="00DA5C1C">
        <w:t xml:space="preserve">d in </w:t>
      </w:r>
      <w:r w:rsidR="00DA5C1C" w:rsidRPr="00DA5C1C">
        <w:rPr>
          <w:i/>
        </w:rPr>
        <w:t>Rights &amp; Responsibilities 2014</w:t>
      </w:r>
      <w:r w:rsidR="00655A18">
        <w:t>.</w:t>
      </w:r>
    </w:p>
    <w:p w:rsidR="00D736D3" w:rsidRDefault="00D736D3" w:rsidP="00D736D3">
      <w:r>
        <w:t>This report sets out the consultation process, identifies key systemic issues and themes, and outlines the Human Rights Commissioner’s priorities for future work.</w:t>
      </w:r>
    </w:p>
    <w:p w:rsidR="00106339" w:rsidRDefault="00106339" w:rsidP="00B104BA">
      <w:pPr>
        <w:pStyle w:val="SubmissionNormal"/>
        <w:numPr>
          <w:ilvl w:val="0"/>
          <w:numId w:val="0"/>
        </w:numPr>
      </w:pPr>
    </w:p>
    <w:p w:rsidR="00D736D3" w:rsidRPr="00351F99" w:rsidRDefault="00351F99" w:rsidP="00F60A7A">
      <w:pPr>
        <w:pStyle w:val="Heading1"/>
        <w:numPr>
          <w:ilvl w:val="0"/>
          <w:numId w:val="15"/>
        </w:numPr>
        <w:tabs>
          <w:tab w:val="clear" w:pos="851"/>
          <w:tab w:val="num" w:pos="971"/>
        </w:tabs>
        <w:ind w:left="971"/>
        <w:rPr>
          <w:sz w:val="36"/>
          <w:szCs w:val="36"/>
        </w:rPr>
      </w:pPr>
      <w:bookmarkStart w:id="5" w:name="_Toc413932251"/>
      <w:r w:rsidRPr="00351F99">
        <w:rPr>
          <w:sz w:val="36"/>
          <w:szCs w:val="36"/>
        </w:rPr>
        <w:t>The consultation process</w:t>
      </w:r>
      <w:bookmarkEnd w:id="5"/>
    </w:p>
    <w:p w:rsidR="00351F99" w:rsidRDefault="00351F99" w:rsidP="00351F99">
      <w:r w:rsidRPr="000D19D5">
        <w:rPr>
          <w:i/>
        </w:rPr>
        <w:t>Rights &amp; Responsibilities</w:t>
      </w:r>
      <w:r w:rsidRPr="00FB0805">
        <w:rPr>
          <w:i/>
        </w:rPr>
        <w:t xml:space="preserve"> 2014</w:t>
      </w:r>
      <w:r>
        <w:t xml:space="preserve"> took place between August a</w:t>
      </w:r>
      <w:r w:rsidR="00DA5C1C">
        <w:t>nd Decem</w:t>
      </w:r>
      <w:r>
        <w:t>ber 2014. The process of consultation involved the following steps:</w:t>
      </w:r>
    </w:p>
    <w:p w:rsidR="00351F99" w:rsidRPr="00280C10" w:rsidRDefault="00351F99" w:rsidP="00374207">
      <w:pPr>
        <w:pStyle w:val="Heading2"/>
        <w:numPr>
          <w:ilvl w:val="0"/>
          <w:numId w:val="0"/>
        </w:numPr>
        <w:ind w:left="851" w:hanging="851"/>
      </w:pPr>
      <w:bookmarkStart w:id="6" w:name="_Toc413932252"/>
      <w:r>
        <w:t>Discussion paper</w:t>
      </w:r>
      <w:bookmarkEnd w:id="6"/>
    </w:p>
    <w:p w:rsidR="00351F99" w:rsidRDefault="00351F99" w:rsidP="00351F99">
      <w:r>
        <w:t>A discussion paper</w:t>
      </w:r>
      <w:r w:rsidR="00E32B64">
        <w:t xml:space="preserve">, titled </w:t>
      </w:r>
      <w:r w:rsidR="00E32B64" w:rsidRPr="00E32B64">
        <w:rPr>
          <w:i/>
        </w:rPr>
        <w:t>Rights &amp; Responsibilities 2014</w:t>
      </w:r>
      <w:r w:rsidR="00E32B64">
        <w:t>,</w:t>
      </w:r>
      <w:r>
        <w:t xml:space="preserve"> was released on 29 August 2014.</w:t>
      </w:r>
      <w:r w:rsidR="00E32B64">
        <w:rPr>
          <w:rStyle w:val="EndnoteReference"/>
        </w:rPr>
        <w:endnoteReference w:id="3"/>
      </w:r>
      <w:r>
        <w:t xml:space="preserve"> The paper set out the context of the consultation, including a brief overview of and questions about the rights to freedom of expression, religion, association, and property rights. </w:t>
      </w:r>
    </w:p>
    <w:p w:rsidR="00351F99" w:rsidRDefault="00351F99" w:rsidP="00351F99">
      <w:r>
        <w:lastRenderedPageBreak/>
        <w:t xml:space="preserve">The discussion paper is available on the Commission’s </w:t>
      </w:r>
      <w:r w:rsidRPr="00DA0046">
        <w:rPr>
          <w:i/>
        </w:rPr>
        <w:t>Rights &amp; Responsibilities</w:t>
      </w:r>
      <w:r w:rsidR="0077573F">
        <w:rPr>
          <w:i/>
        </w:rPr>
        <w:t xml:space="preserve"> 2014</w:t>
      </w:r>
      <w:r>
        <w:t xml:space="preserve"> webpage and hard copies of the paper were distributed at meetings.</w:t>
      </w:r>
    </w:p>
    <w:p w:rsidR="00351F99" w:rsidRPr="00FD5F38" w:rsidRDefault="00351F99" w:rsidP="00374207">
      <w:pPr>
        <w:pStyle w:val="Heading2"/>
        <w:numPr>
          <w:ilvl w:val="0"/>
          <w:numId w:val="0"/>
        </w:numPr>
        <w:ind w:left="851" w:hanging="851"/>
      </w:pPr>
      <w:bookmarkStart w:id="7" w:name="_Toc413932253"/>
      <w:r w:rsidRPr="00FD5F38">
        <w:t>Online survey and submission process</w:t>
      </w:r>
      <w:bookmarkEnd w:id="7"/>
    </w:p>
    <w:p w:rsidR="00351F99" w:rsidRDefault="00351F99" w:rsidP="00351F99">
      <w:r>
        <w:t>An online survey was available for completion between 1 September and 14 November 2014.</w:t>
      </w:r>
      <w:r w:rsidR="00E32B64">
        <w:rPr>
          <w:rStyle w:val="EndnoteReference"/>
        </w:rPr>
        <w:endnoteReference w:id="4"/>
      </w:r>
      <w:r>
        <w:t xml:space="preserve"> Written submissions were invited and accepted from 1 September to 19 December 2014. </w:t>
      </w:r>
    </w:p>
    <w:p w:rsidR="00B260BF" w:rsidRDefault="00B260BF" w:rsidP="00351F99">
      <w:r>
        <w:t>The online surveys were anonymous.</w:t>
      </w:r>
      <w:r>
        <w:rPr>
          <w:rStyle w:val="EndnoteReference"/>
        </w:rPr>
        <w:endnoteReference w:id="5"/>
      </w:r>
    </w:p>
    <w:p w:rsidR="00351F99" w:rsidRDefault="00351F99" w:rsidP="00351F99">
      <w:r>
        <w:t xml:space="preserve">The Commissioner received </w:t>
      </w:r>
      <w:r w:rsidR="00A368A8">
        <w:t>68</w:t>
      </w:r>
      <w:r>
        <w:t xml:space="preserve"> written submissions and </w:t>
      </w:r>
      <w:r w:rsidRPr="005E4786">
        <w:t>991</w:t>
      </w:r>
      <w:r>
        <w:t xml:space="preserve"> survey</w:t>
      </w:r>
      <w:r w:rsidR="00E7261B">
        <w:t xml:space="preserve"> forms</w:t>
      </w:r>
      <w:r>
        <w:t>. Submissions provided to the consult</w:t>
      </w:r>
      <w:r w:rsidR="00B260BF">
        <w:t>ation are listed at Appendix A.</w:t>
      </w:r>
    </w:p>
    <w:p w:rsidR="00351F99" w:rsidRDefault="00351F99" w:rsidP="00351F99">
      <w:r>
        <w:t>The surveys and submissions were reviewed and analysed in relation to rights to freedom of expression, religion, association, and property rights. A</w:t>
      </w:r>
      <w:r w:rsidR="003B6690">
        <w:t xml:space="preserve"> broad scope of a</w:t>
      </w:r>
      <w:r>
        <w:t xml:space="preserve">dditional issues and themes raised in </w:t>
      </w:r>
      <w:r w:rsidR="0050589A">
        <w:t>submissions were also considered and, where consistent themes w</w:t>
      </w:r>
      <w:r w:rsidR="00E7261B">
        <w:t>ere articulated, these issues are included in this</w:t>
      </w:r>
      <w:r w:rsidR="0050589A">
        <w:t xml:space="preserve"> report</w:t>
      </w:r>
      <w:r>
        <w:t>.</w:t>
      </w:r>
    </w:p>
    <w:p w:rsidR="00351F99" w:rsidRPr="00FD5F38" w:rsidRDefault="000A4365" w:rsidP="00374207">
      <w:pPr>
        <w:pStyle w:val="Heading2"/>
        <w:numPr>
          <w:ilvl w:val="0"/>
          <w:numId w:val="0"/>
        </w:numPr>
        <w:ind w:left="851" w:hanging="851"/>
      </w:pPr>
      <w:bookmarkStart w:id="8" w:name="_Toc413932254"/>
      <w:r>
        <w:t>Public events and</w:t>
      </w:r>
      <w:r w:rsidR="00351F99" w:rsidRPr="00FD5F38">
        <w:t xml:space="preserve"> meetings</w:t>
      </w:r>
      <w:bookmarkEnd w:id="8"/>
    </w:p>
    <w:p w:rsidR="00351F99" w:rsidRPr="005B36B6" w:rsidRDefault="00351F99" w:rsidP="00351F99">
      <w:pPr>
        <w:rPr>
          <w:i/>
        </w:rPr>
      </w:pPr>
      <w:r>
        <w:t xml:space="preserve">Research was undertaken from primary </w:t>
      </w:r>
      <w:r w:rsidR="00A52351">
        <w:t xml:space="preserve">and secondary </w:t>
      </w:r>
      <w:r>
        <w:t>sources</w:t>
      </w:r>
      <w:r>
        <w:rPr>
          <w:rStyle w:val="EndnoteReference"/>
        </w:rPr>
        <w:endnoteReference w:id="6"/>
      </w:r>
      <w:r>
        <w:t xml:space="preserve"> about human rights issues in each state and territory to inform decision-making about the places and organisations to visit.</w:t>
      </w:r>
    </w:p>
    <w:p w:rsidR="00351F99" w:rsidRDefault="00351F99" w:rsidP="00351F99">
      <w:r>
        <w:t>The Human Rights Commissioner held 13 public events in Adelaide, Alice Springs, Darwin, Canberra, Perth, Cairns, Charters Towers, Brisbane, Sydney, Singleton, Hobart, Melbourne and Lorne.</w:t>
      </w:r>
    </w:p>
    <w:p w:rsidR="00351F99" w:rsidRDefault="00351F99" w:rsidP="00351F99">
      <w:r>
        <w:t>Public events were extensively advertised through the Commission’s email subscription list, social media, Commission media releases and e-alerts, newspaper articles and opinion pieces, and radio interviews with the Human Rights Commissioner.</w:t>
      </w:r>
    </w:p>
    <w:p w:rsidR="00351F99" w:rsidRDefault="00351F99" w:rsidP="00351F99">
      <w:r>
        <w:t>The Human Rights Com</w:t>
      </w:r>
      <w:r w:rsidR="00745A54">
        <w:t>missioner also held more than 60</w:t>
      </w:r>
      <w:r>
        <w:t xml:space="preserve"> meetings with individuals and organisations </w:t>
      </w:r>
      <w:r>
        <w:rPr>
          <w:lang w:val="en-US"/>
        </w:rPr>
        <w:t xml:space="preserve">to inform the consultation. These meetings were held in </w:t>
      </w:r>
      <w:r>
        <w:t>Kununurra, Halls Creek, Fitzroy Crossing, Derby, Broome, One Arm Point, Kalgoorlie, Perth, Adelaide, Alice Springs, Darwin, Canberra, Cairns, Townsville, Charters Towers, Brisbane, Roma, Sydney, Singleton, Hobart, Melbourne, Lorne and Shepparton.</w:t>
      </w:r>
    </w:p>
    <w:p w:rsidR="00351F99" w:rsidRDefault="00351F99" w:rsidP="00351F99">
      <w:r>
        <w:t>Altogether, the Human Rights Commi</w:t>
      </w:r>
      <w:r w:rsidR="003026CE">
        <w:t>ssioner consulted with over</w:t>
      </w:r>
      <w:r>
        <w:t xml:space="preserve"> 1</w:t>
      </w:r>
      <w:r w:rsidR="0083286A">
        <w:t xml:space="preserve"> </w:t>
      </w:r>
      <w:r>
        <w:t xml:space="preserve">100 people at public events and meetings as part of </w:t>
      </w:r>
      <w:r w:rsidRPr="00050739">
        <w:rPr>
          <w:i/>
        </w:rPr>
        <w:t>Rights &amp; Responsibilities 2014</w:t>
      </w:r>
      <w:r>
        <w:t>.</w:t>
      </w:r>
    </w:p>
    <w:p w:rsidR="003B6690" w:rsidRDefault="00351F99" w:rsidP="00351F99">
      <w:r>
        <w:t xml:space="preserve">A map highlighting the places visited is shown </w:t>
      </w:r>
      <w:r w:rsidRPr="00533F14">
        <w:t>below</w:t>
      </w:r>
      <w:r>
        <w:t>. The names of individuals and organisations who met with the Human Rights Commissioner are set out in chronological order at Appendix B.</w:t>
      </w:r>
    </w:p>
    <w:p w:rsidR="001F43B6" w:rsidRDefault="001F43B6" w:rsidP="00351F99"/>
    <w:p w:rsidR="00154572" w:rsidRDefault="00093D4C" w:rsidP="005279C2">
      <w:pPr>
        <w:pStyle w:val="Heading3"/>
        <w:numPr>
          <w:ilvl w:val="0"/>
          <w:numId w:val="0"/>
        </w:numPr>
      </w:pPr>
      <w:bookmarkStart w:id="9" w:name="_Toc413932255"/>
      <w:r w:rsidRPr="00246230">
        <w:lastRenderedPageBreak/>
        <w:t>Map:</w:t>
      </w:r>
      <w:r>
        <w:t xml:space="preserve"> </w:t>
      </w:r>
      <w:r w:rsidRPr="00D136F9">
        <w:t>Places visited for Rights &amp; Responsibilities 2014</w:t>
      </w:r>
      <w:bookmarkEnd w:id="9"/>
    </w:p>
    <w:p w:rsidR="001F43B6" w:rsidRPr="001F43B6" w:rsidRDefault="001F43B6" w:rsidP="001F43B6"/>
    <w:p w:rsidR="00093D4C" w:rsidRDefault="001F43B6" w:rsidP="00093D4C">
      <w:pPr>
        <w:rPr>
          <w:noProof/>
        </w:rPr>
      </w:pPr>
      <w:r w:rsidRPr="001F43B6">
        <w:rPr>
          <w:noProof/>
        </w:rPr>
        <w:drawing>
          <wp:inline distT="0" distB="0" distL="0" distR="0">
            <wp:extent cx="5759450" cy="4343949"/>
            <wp:effectExtent l="0" t="0" r="0" b="0"/>
            <wp:docPr id="5" name="Picture 5" descr="S:\External Projects\HRST Rights &amp; Responsibilities 14.15\Rights &amp; Responsibilities 2014\Report\Report\Mind map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xternal Projects\HRST Rights &amp; Responsibilities 14.15\Rights &amp; Responsibilities 2014\Report\Report\Mind maps\Ma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343949"/>
                    </a:xfrm>
                    <a:prstGeom prst="rect">
                      <a:avLst/>
                    </a:prstGeom>
                    <a:noFill/>
                    <a:ln>
                      <a:noFill/>
                    </a:ln>
                  </pic:spPr>
                </pic:pic>
              </a:graphicData>
            </a:graphic>
          </wp:inline>
        </w:drawing>
      </w:r>
    </w:p>
    <w:p w:rsidR="00C83572" w:rsidRDefault="00C83572" w:rsidP="00C83572"/>
    <w:p w:rsidR="00B104BA" w:rsidRDefault="009D24D2" w:rsidP="009D24D2">
      <w:pPr>
        <w:pStyle w:val="Heading2"/>
        <w:numPr>
          <w:ilvl w:val="0"/>
          <w:numId w:val="0"/>
        </w:numPr>
        <w:ind w:left="851" w:hanging="851"/>
      </w:pPr>
      <w:bookmarkStart w:id="10" w:name="_Toc413932256"/>
      <w:r>
        <w:t>Free Speech symposium</w:t>
      </w:r>
      <w:bookmarkEnd w:id="10"/>
    </w:p>
    <w:p w:rsidR="00BC1281" w:rsidRDefault="000A4365" w:rsidP="00093D4C">
      <w:pPr>
        <w:pStyle w:val="SubmissionNormal"/>
        <w:numPr>
          <w:ilvl w:val="0"/>
          <w:numId w:val="0"/>
        </w:numPr>
        <w:rPr>
          <w:lang w:val="en-US"/>
        </w:rPr>
      </w:pPr>
      <w:r>
        <w:t xml:space="preserve">On 7 August 2014, the Human Rights Commissioner convened </w:t>
      </w:r>
      <w:r w:rsidR="009D24D2" w:rsidRPr="00AD566B">
        <w:rPr>
          <w:i/>
        </w:rPr>
        <w:t>Free Speech 2014</w:t>
      </w:r>
      <w:r w:rsidR="009D24D2">
        <w:t>, a symposium to highlight the fundamental role of free speech in Australia’s liberal democracy.</w:t>
      </w:r>
      <w:r w:rsidR="009D24D2">
        <w:rPr>
          <w:rStyle w:val="EndnoteReference"/>
        </w:rPr>
        <w:endnoteReference w:id="7"/>
      </w:r>
      <w:r w:rsidR="009D24D2">
        <w:t xml:space="preserve"> Matters relating to the right to freedom of expression in Australia, such as </w:t>
      </w:r>
      <w:r w:rsidR="009D24D2">
        <w:rPr>
          <w:lang w:val="en-US"/>
        </w:rPr>
        <w:t>political donations, copyright legislation, whistleblower protection and defamation laws were discussed at</w:t>
      </w:r>
      <w:r w:rsidR="005277B5">
        <w:rPr>
          <w:lang w:val="en-US"/>
        </w:rPr>
        <w:t xml:space="preserve"> the symposium. </w:t>
      </w:r>
      <w:r w:rsidR="00BC1281">
        <w:rPr>
          <w:lang w:val="en-US"/>
        </w:rPr>
        <w:t xml:space="preserve">These discussions also informed the </w:t>
      </w:r>
      <w:r w:rsidR="00BC1281" w:rsidRPr="00BE79B1">
        <w:rPr>
          <w:i/>
          <w:lang w:val="en-US"/>
        </w:rPr>
        <w:t>Rights &amp; Responsibilities 2014</w:t>
      </w:r>
      <w:r w:rsidR="00BC1281">
        <w:rPr>
          <w:lang w:val="en-US"/>
        </w:rPr>
        <w:t xml:space="preserve"> consultation.</w:t>
      </w:r>
    </w:p>
    <w:p w:rsidR="00DB04EB" w:rsidRDefault="00DB04EB" w:rsidP="00093D4C">
      <w:pPr>
        <w:pStyle w:val="SubmissionNormal"/>
        <w:numPr>
          <w:ilvl w:val="0"/>
          <w:numId w:val="0"/>
        </w:numPr>
        <w:rPr>
          <w:lang w:val="en-US"/>
        </w:rPr>
      </w:pPr>
      <w:r>
        <w:rPr>
          <w:lang w:val="en-US"/>
        </w:rPr>
        <w:t xml:space="preserve">A copy of the papers from </w:t>
      </w:r>
      <w:r w:rsidRPr="00DB04EB">
        <w:rPr>
          <w:i/>
          <w:lang w:val="en-US"/>
        </w:rPr>
        <w:t xml:space="preserve">Free Speech 2014 </w:t>
      </w:r>
      <w:r w:rsidR="00BC1281">
        <w:rPr>
          <w:lang w:val="en-US"/>
        </w:rPr>
        <w:t>is</w:t>
      </w:r>
      <w:r>
        <w:rPr>
          <w:lang w:val="en-US"/>
        </w:rPr>
        <w:t xml:space="preserve"> available at </w:t>
      </w:r>
      <w:r w:rsidR="00BC1281" w:rsidRPr="00BC1281">
        <w:rPr>
          <w:lang w:val="en-US"/>
        </w:rPr>
        <w:t>http://www.humanrights.gov.au/our-work/rights-and-freedoms/publications/free-speech-2014-symposium-papers</w:t>
      </w:r>
      <w:r w:rsidR="00BC1281">
        <w:rPr>
          <w:lang w:val="en-US"/>
        </w:rPr>
        <w:t>.</w:t>
      </w:r>
    </w:p>
    <w:p w:rsidR="009D24D2" w:rsidRPr="00B104BA" w:rsidRDefault="009D24D2" w:rsidP="00093D4C">
      <w:pPr>
        <w:pStyle w:val="SubmissionNormal"/>
        <w:numPr>
          <w:ilvl w:val="0"/>
          <w:numId w:val="0"/>
        </w:numPr>
      </w:pPr>
    </w:p>
    <w:p w:rsidR="00FD5F38" w:rsidRPr="00093D4C" w:rsidRDefault="00093D4C" w:rsidP="00F60A7A">
      <w:pPr>
        <w:pStyle w:val="Heading1"/>
        <w:numPr>
          <w:ilvl w:val="0"/>
          <w:numId w:val="15"/>
        </w:numPr>
        <w:tabs>
          <w:tab w:val="clear" w:pos="851"/>
          <w:tab w:val="num" w:pos="971"/>
        </w:tabs>
        <w:ind w:left="971"/>
        <w:rPr>
          <w:sz w:val="36"/>
          <w:szCs w:val="36"/>
        </w:rPr>
      </w:pPr>
      <w:bookmarkStart w:id="11" w:name="_Toc413932257"/>
      <w:r w:rsidRPr="00093D4C">
        <w:rPr>
          <w:sz w:val="36"/>
          <w:szCs w:val="36"/>
        </w:rPr>
        <w:t>Key issues emerging from the consultation</w:t>
      </w:r>
      <w:bookmarkEnd w:id="11"/>
    </w:p>
    <w:p w:rsidR="00093D4C" w:rsidRDefault="00093D4C" w:rsidP="00093D4C">
      <w:pPr>
        <w:rPr>
          <w:lang w:val="en-US"/>
        </w:rPr>
      </w:pPr>
      <w:r>
        <w:rPr>
          <w:lang w:val="en-US"/>
        </w:rPr>
        <w:t xml:space="preserve">The objective of </w:t>
      </w:r>
      <w:r w:rsidRPr="002A0D45">
        <w:rPr>
          <w:i/>
          <w:lang w:val="en-US"/>
        </w:rPr>
        <w:t>Rights &amp; Responsibilities 2014</w:t>
      </w:r>
      <w:r>
        <w:rPr>
          <w:lang w:val="en-US"/>
        </w:rPr>
        <w:t xml:space="preserve"> was to actively seek and listen to people’s views across the country about how well their rights and freedoms are </w:t>
      </w:r>
      <w:r>
        <w:rPr>
          <w:lang w:val="en-US"/>
        </w:rPr>
        <w:lastRenderedPageBreak/>
        <w:t>protected in Australia. This pr</w:t>
      </w:r>
      <w:r w:rsidR="00F92B63">
        <w:rPr>
          <w:lang w:val="en-US"/>
        </w:rPr>
        <w:t>ocess provided an</w:t>
      </w:r>
      <w:r>
        <w:rPr>
          <w:lang w:val="en-US"/>
        </w:rPr>
        <w:t xml:space="preserve"> opportunity to identify systemic human rights issues and to consider possible ways to address these issues.</w:t>
      </w:r>
    </w:p>
    <w:p w:rsidR="00093D4C" w:rsidRPr="00873C90" w:rsidRDefault="00093D4C" w:rsidP="00093D4C">
      <w:pPr>
        <w:rPr>
          <w:lang w:val="en-US"/>
        </w:rPr>
      </w:pPr>
      <w:r>
        <w:rPr>
          <w:lang w:val="en-US"/>
        </w:rPr>
        <w:t xml:space="preserve">The key human rights issues </w:t>
      </w:r>
      <w:r>
        <w:t>outlined in this report reflect recurrent themes discussed at public events and meetings</w:t>
      </w:r>
      <w:r w:rsidR="001F43B6">
        <w:t>, and describ</w:t>
      </w:r>
      <w:r>
        <w:t>ed in the online survey results and submissions. Data collected from meetings, survey responses and submissions was cross-referenced to ensure the information was valid and reliable. T</w:t>
      </w:r>
      <w:r w:rsidR="00B6558E">
        <w:t>his triangulation of data sources</w:t>
      </w:r>
      <w:r>
        <w:t xml:space="preserve"> supports the rele</w:t>
      </w:r>
      <w:r w:rsidR="00B6558E">
        <w:t>vance and significance of these</w:t>
      </w:r>
      <w:r>
        <w:t xml:space="preserve"> human rights issues</w:t>
      </w:r>
      <w:r w:rsidR="00B6558E">
        <w:t xml:space="preserve">. It is also notable that </w:t>
      </w:r>
      <w:r w:rsidR="00F92B63">
        <w:t>many of</w:t>
      </w:r>
      <w:r w:rsidR="003C19FA">
        <w:t xml:space="preserve"> </w:t>
      </w:r>
      <w:r w:rsidR="00B6558E">
        <w:t xml:space="preserve">these </w:t>
      </w:r>
      <w:r w:rsidR="005C3449">
        <w:t xml:space="preserve">human rights </w:t>
      </w:r>
      <w:r w:rsidR="00B6558E">
        <w:t>issues</w:t>
      </w:r>
      <w:r>
        <w:t xml:space="preserve"> were </w:t>
      </w:r>
      <w:r w:rsidR="00E912B6">
        <w:t>consistent</w:t>
      </w:r>
      <w:r w:rsidR="00B6558E">
        <w:t xml:space="preserve"> across</w:t>
      </w:r>
      <w:r w:rsidR="003C19FA">
        <w:t xml:space="preserve"> the country</w:t>
      </w:r>
      <w:r>
        <w:t xml:space="preserve">. </w:t>
      </w:r>
    </w:p>
    <w:p w:rsidR="001F43B6" w:rsidRDefault="002F7EF7" w:rsidP="00093D4C">
      <w:pPr>
        <w:pStyle w:val="SubmissionNormal"/>
        <w:numPr>
          <w:ilvl w:val="0"/>
          <w:numId w:val="0"/>
        </w:numPr>
        <w:rPr>
          <w:lang w:val="en-US"/>
        </w:rPr>
      </w:pPr>
      <w:r w:rsidRPr="00886042">
        <w:rPr>
          <w:i/>
        </w:rPr>
        <w:t>Rights &amp; Responsibilities 2014</w:t>
      </w:r>
      <w:r>
        <w:t xml:space="preserve"> focused on key common law rights and freedoms that traditionally underpin the framework of Australia’s liberal democracy and market economy</w:t>
      </w:r>
      <w:r w:rsidR="00093D4C">
        <w:t xml:space="preserve">, including the </w:t>
      </w:r>
      <w:r w:rsidR="0077573F">
        <w:rPr>
          <w:lang w:val="en-US"/>
        </w:rPr>
        <w:t>rights to</w:t>
      </w:r>
      <w:r w:rsidR="00093D4C" w:rsidRPr="0069667C">
        <w:rPr>
          <w:lang w:val="en-US"/>
        </w:rPr>
        <w:t xml:space="preserve"> freedom of expression, religion and </w:t>
      </w:r>
      <w:r w:rsidR="00093D4C" w:rsidRPr="00F75060">
        <w:rPr>
          <w:lang w:val="en-US"/>
        </w:rPr>
        <w:t>a</w:t>
      </w:r>
      <w:r w:rsidR="00093D4C">
        <w:rPr>
          <w:lang w:val="en-US"/>
        </w:rPr>
        <w:t xml:space="preserve">ssociation, and property rights. </w:t>
      </w:r>
      <w:r w:rsidR="00986E20">
        <w:rPr>
          <w:lang w:val="en-US"/>
        </w:rPr>
        <w:t xml:space="preserve">The importance </w:t>
      </w:r>
      <w:r w:rsidR="00B26689">
        <w:rPr>
          <w:lang w:val="en-US"/>
        </w:rPr>
        <w:t>of these rights and freedoms is</w:t>
      </w:r>
      <w:r w:rsidR="00986E20">
        <w:rPr>
          <w:lang w:val="en-US"/>
        </w:rPr>
        <w:t xml:space="preserve"> also acknowledged in international human rights instruments. </w:t>
      </w:r>
    </w:p>
    <w:p w:rsidR="00093D4C" w:rsidRDefault="00093D4C" w:rsidP="00093D4C">
      <w:pPr>
        <w:pStyle w:val="SubmissionNormal"/>
        <w:numPr>
          <w:ilvl w:val="0"/>
          <w:numId w:val="0"/>
        </w:numPr>
        <w:rPr>
          <w:lang w:val="en-US"/>
        </w:rPr>
      </w:pPr>
      <w:r>
        <w:rPr>
          <w:lang w:val="en-US"/>
        </w:rPr>
        <w:t>The following sections of the report highlight:</w:t>
      </w:r>
    </w:p>
    <w:p w:rsidR="00093D4C" w:rsidRDefault="00093D4C" w:rsidP="00F60A7A">
      <w:pPr>
        <w:numPr>
          <w:ilvl w:val="0"/>
          <w:numId w:val="16"/>
        </w:numPr>
        <w:rPr>
          <w:lang w:val="en-US"/>
        </w:rPr>
      </w:pPr>
      <w:r>
        <w:rPr>
          <w:lang w:val="en-US"/>
        </w:rPr>
        <w:t>the issues emerging from the consultation in relation to each of these rights and freedoms</w:t>
      </w:r>
    </w:p>
    <w:p w:rsidR="00093D4C" w:rsidRDefault="00093D4C" w:rsidP="00F60A7A">
      <w:pPr>
        <w:numPr>
          <w:ilvl w:val="0"/>
          <w:numId w:val="16"/>
        </w:numPr>
        <w:rPr>
          <w:lang w:val="en-US"/>
        </w:rPr>
      </w:pPr>
      <w:r>
        <w:rPr>
          <w:lang w:val="en-US"/>
        </w:rPr>
        <w:t>the views of survey respondents about how well these rights are protected in Australia</w:t>
      </w:r>
    </w:p>
    <w:p w:rsidR="00093D4C" w:rsidRPr="003560C7" w:rsidRDefault="00093D4C" w:rsidP="00F60A7A">
      <w:pPr>
        <w:numPr>
          <w:ilvl w:val="0"/>
          <w:numId w:val="16"/>
        </w:numPr>
        <w:rPr>
          <w:lang w:val="en-US"/>
        </w:rPr>
      </w:pPr>
      <w:r>
        <w:rPr>
          <w:lang w:val="en-US"/>
        </w:rPr>
        <w:t xml:space="preserve">examples of people and </w:t>
      </w:r>
      <w:r w:rsidRPr="00DA4432">
        <w:t>organisations</w:t>
      </w:r>
      <w:r>
        <w:rPr>
          <w:lang w:val="en-US"/>
        </w:rPr>
        <w:t xml:space="preserve"> </w:t>
      </w:r>
      <w:r w:rsidR="00B046BB">
        <w:rPr>
          <w:lang w:val="en-US"/>
        </w:rPr>
        <w:t xml:space="preserve">seeking to </w:t>
      </w:r>
      <w:r>
        <w:rPr>
          <w:lang w:val="en-US"/>
        </w:rPr>
        <w:t>promot</w:t>
      </w:r>
      <w:r w:rsidR="00B046BB">
        <w:rPr>
          <w:lang w:val="en-US"/>
        </w:rPr>
        <w:t>e and exercise</w:t>
      </w:r>
      <w:r>
        <w:rPr>
          <w:lang w:val="en-US"/>
        </w:rPr>
        <w:t xml:space="preserve"> these rights and freedoms.</w:t>
      </w:r>
    </w:p>
    <w:p w:rsidR="00AC5F82" w:rsidRPr="00557F05" w:rsidRDefault="00341088" w:rsidP="00093D4C">
      <w:pPr>
        <w:pStyle w:val="SubmissionNormal"/>
        <w:numPr>
          <w:ilvl w:val="0"/>
          <w:numId w:val="0"/>
        </w:numPr>
        <w:rPr>
          <w:lang w:val="en-US"/>
        </w:rPr>
      </w:pPr>
      <w:r>
        <w:rPr>
          <w:lang w:val="en-US"/>
        </w:rPr>
        <w:t xml:space="preserve">While </w:t>
      </w:r>
      <w:r w:rsidRPr="0069667C">
        <w:rPr>
          <w:lang w:val="en-US"/>
        </w:rPr>
        <w:t xml:space="preserve">freedom of expression, religion and </w:t>
      </w:r>
      <w:r w:rsidRPr="00F75060">
        <w:rPr>
          <w:lang w:val="en-US"/>
        </w:rPr>
        <w:t>a</w:t>
      </w:r>
      <w:r>
        <w:rPr>
          <w:lang w:val="en-US"/>
        </w:rPr>
        <w:t>ssociation, and property rights are</w:t>
      </w:r>
      <w:r w:rsidR="00AC5F82">
        <w:rPr>
          <w:lang w:val="en-US"/>
        </w:rPr>
        <w:t xml:space="preserve"> discussed separately in this report,</w:t>
      </w:r>
      <w:r w:rsidR="00EF0A5A">
        <w:rPr>
          <w:lang w:val="en-US"/>
        </w:rPr>
        <w:t xml:space="preserve"> </w:t>
      </w:r>
      <w:r w:rsidR="00AC5F82">
        <w:rPr>
          <w:lang w:val="en-US"/>
        </w:rPr>
        <w:t xml:space="preserve">the </w:t>
      </w:r>
      <w:r>
        <w:rPr>
          <w:lang w:val="en-US"/>
        </w:rPr>
        <w:t>exercise of these rights is</w:t>
      </w:r>
      <w:r w:rsidR="00AC5F82">
        <w:rPr>
          <w:lang w:val="en-US"/>
        </w:rPr>
        <w:t xml:space="preserve"> often interconnected</w:t>
      </w:r>
      <w:r>
        <w:rPr>
          <w:lang w:val="en-US"/>
        </w:rPr>
        <w:t>. T</w:t>
      </w:r>
      <w:r w:rsidR="00AC5F82">
        <w:rPr>
          <w:lang w:val="en-US"/>
        </w:rPr>
        <w:t>he i</w:t>
      </w:r>
      <w:r>
        <w:rPr>
          <w:lang w:val="en-US"/>
        </w:rPr>
        <w:t xml:space="preserve">nterdependence of human rights </w:t>
      </w:r>
      <w:r w:rsidR="00D50083">
        <w:rPr>
          <w:lang w:val="en-US"/>
        </w:rPr>
        <w:t xml:space="preserve">means that </w:t>
      </w:r>
      <w:r w:rsidR="00AC5F82">
        <w:rPr>
          <w:lang w:val="en-US"/>
        </w:rPr>
        <w:t>the enjoyment of any individual right is contingent on the enjoyment of other rights</w:t>
      </w:r>
      <w:r w:rsidR="00AC5F82" w:rsidRPr="00557F05">
        <w:rPr>
          <w:lang w:val="en-US"/>
        </w:rPr>
        <w:t xml:space="preserve">. </w:t>
      </w:r>
      <w:r w:rsidR="005277B5">
        <w:rPr>
          <w:lang w:val="en-US"/>
        </w:rPr>
        <w:t>As Freedom 4 Faith note in their submission</w:t>
      </w:r>
      <w:r w:rsidR="00AC5F82" w:rsidRPr="00557F05">
        <w:rPr>
          <w:lang w:val="en-US"/>
        </w:rPr>
        <w:t>:</w:t>
      </w:r>
    </w:p>
    <w:p w:rsidR="00093D4C" w:rsidRDefault="00093D4C" w:rsidP="00093D4C">
      <w:pPr>
        <w:pStyle w:val="SubmissionNormal"/>
        <w:numPr>
          <w:ilvl w:val="0"/>
          <w:numId w:val="0"/>
        </w:numPr>
        <w:ind w:left="720"/>
        <w:rPr>
          <w:lang w:val="en-US"/>
        </w:rPr>
      </w:pPr>
      <w:r w:rsidRPr="00557F05">
        <w:rPr>
          <w:rFonts w:cs="Arial"/>
          <w:i/>
          <w:sz w:val="22"/>
          <w:szCs w:val="22"/>
        </w:rPr>
        <w:t>Religious freedom can only operate in a society that embraces the principle of mutual tolerance and respect. Further, it goes hand-in-hand with freedom of conscience, speech and association, which serve as the means by which people can consider, discuss and debate important questions about human existence. These “four freedoms” are essentially indivisible, and are each deserving of protection.</w:t>
      </w:r>
    </w:p>
    <w:p w:rsidR="00093D4C" w:rsidRDefault="00093D4C" w:rsidP="00093D4C">
      <w:pPr>
        <w:pStyle w:val="SubmissionNormal"/>
        <w:numPr>
          <w:ilvl w:val="0"/>
          <w:numId w:val="0"/>
        </w:numPr>
        <w:rPr>
          <w:lang w:val="en-US"/>
        </w:rPr>
      </w:pPr>
      <w:r>
        <w:rPr>
          <w:lang w:val="en-US"/>
        </w:rPr>
        <w:t xml:space="preserve">During </w:t>
      </w:r>
      <w:r w:rsidRPr="00F5043C">
        <w:rPr>
          <w:i/>
          <w:lang w:val="en-US"/>
        </w:rPr>
        <w:t>Rights &amp; Responsibilities 2014</w:t>
      </w:r>
      <w:r>
        <w:rPr>
          <w:lang w:val="en-US"/>
        </w:rPr>
        <w:t>, additional issues and themes were raised that were outside the scope of the discussion paper. The</w:t>
      </w:r>
      <w:r w:rsidR="00EF0A5A">
        <w:rPr>
          <w:lang w:val="en-US"/>
        </w:rPr>
        <w:t>se</w:t>
      </w:r>
      <w:r w:rsidR="00F92B63">
        <w:rPr>
          <w:lang w:val="en-US"/>
        </w:rPr>
        <w:t xml:space="preserve"> recurring</w:t>
      </w:r>
      <w:r w:rsidR="0015332F">
        <w:rPr>
          <w:lang w:val="en-US"/>
        </w:rPr>
        <w:t xml:space="preserve"> issues included</w:t>
      </w:r>
      <w:r w:rsidR="00154572">
        <w:rPr>
          <w:lang w:val="en-US"/>
        </w:rPr>
        <w:t xml:space="preserve"> concerns about</w:t>
      </w:r>
      <w:r>
        <w:rPr>
          <w:lang w:val="en-US"/>
        </w:rPr>
        <w:t>:</w:t>
      </w:r>
    </w:p>
    <w:p w:rsidR="00093D4C" w:rsidRDefault="00154572" w:rsidP="00F60A7A">
      <w:pPr>
        <w:numPr>
          <w:ilvl w:val="0"/>
          <w:numId w:val="16"/>
        </w:numPr>
        <w:rPr>
          <w:lang w:val="en-US"/>
        </w:rPr>
      </w:pPr>
      <w:r>
        <w:rPr>
          <w:lang w:val="en-US"/>
        </w:rPr>
        <w:t xml:space="preserve">the </w:t>
      </w:r>
      <w:r w:rsidR="00093D4C">
        <w:rPr>
          <w:lang w:val="en-US"/>
        </w:rPr>
        <w:t>right to freedom from arbitrary detention and the criminal justice system</w:t>
      </w:r>
    </w:p>
    <w:p w:rsidR="00093D4C" w:rsidRDefault="00154572" w:rsidP="00F60A7A">
      <w:pPr>
        <w:numPr>
          <w:ilvl w:val="0"/>
          <w:numId w:val="16"/>
        </w:numPr>
        <w:rPr>
          <w:lang w:val="en-US"/>
        </w:rPr>
      </w:pPr>
      <w:r>
        <w:rPr>
          <w:lang w:val="en-US"/>
        </w:rPr>
        <w:t xml:space="preserve">the </w:t>
      </w:r>
      <w:r w:rsidR="00093D4C">
        <w:rPr>
          <w:lang w:val="en-US"/>
        </w:rPr>
        <w:t>denial of liberty for individuals in the mental health system</w:t>
      </w:r>
    </w:p>
    <w:p w:rsidR="00093D4C" w:rsidRPr="00E57237" w:rsidRDefault="00154572" w:rsidP="00F60A7A">
      <w:pPr>
        <w:numPr>
          <w:ilvl w:val="0"/>
          <w:numId w:val="16"/>
        </w:numPr>
        <w:rPr>
          <w:lang w:val="en-US"/>
        </w:rPr>
      </w:pPr>
      <w:r>
        <w:rPr>
          <w:lang w:val="en-US"/>
        </w:rPr>
        <w:t xml:space="preserve">the </w:t>
      </w:r>
      <w:r w:rsidR="00093D4C">
        <w:rPr>
          <w:lang w:val="en-US"/>
        </w:rPr>
        <w:t xml:space="preserve">potential to give effect to a bill or charter of human rights in Australia. </w:t>
      </w:r>
    </w:p>
    <w:p w:rsidR="00B046BB" w:rsidRDefault="006B7E8B" w:rsidP="00DD1319">
      <w:pPr>
        <w:pStyle w:val="SubmissionNormal"/>
        <w:numPr>
          <w:ilvl w:val="0"/>
          <w:numId w:val="0"/>
        </w:numPr>
        <w:rPr>
          <w:lang w:val="en-US"/>
        </w:rPr>
      </w:pPr>
      <w:r>
        <w:rPr>
          <w:lang w:val="en-US"/>
        </w:rPr>
        <w:t xml:space="preserve">A criticism of the consultation outlined in a number of submissions and raised at </w:t>
      </w:r>
      <w:r w:rsidR="00557F05">
        <w:rPr>
          <w:lang w:val="en-US"/>
        </w:rPr>
        <w:t xml:space="preserve">several </w:t>
      </w:r>
      <w:r>
        <w:rPr>
          <w:lang w:val="en-US"/>
        </w:rPr>
        <w:t xml:space="preserve">public </w:t>
      </w:r>
      <w:r w:rsidR="00B85E82">
        <w:rPr>
          <w:lang w:val="en-US"/>
        </w:rPr>
        <w:t>meetings</w:t>
      </w:r>
      <w:r>
        <w:rPr>
          <w:lang w:val="en-US"/>
        </w:rPr>
        <w:t xml:space="preserve"> was</w:t>
      </w:r>
      <w:r w:rsidR="00317DDD">
        <w:rPr>
          <w:lang w:val="en-US"/>
        </w:rPr>
        <w:t xml:space="preserve"> why </w:t>
      </w:r>
      <w:r w:rsidR="00154572" w:rsidRPr="00154572">
        <w:rPr>
          <w:lang w:val="en-US"/>
        </w:rPr>
        <w:t xml:space="preserve">the national consultation </w:t>
      </w:r>
      <w:r w:rsidR="00692CAD" w:rsidRPr="00154572">
        <w:rPr>
          <w:lang w:val="en-US"/>
        </w:rPr>
        <w:t>focused</w:t>
      </w:r>
      <w:r w:rsidR="00692CAD">
        <w:rPr>
          <w:lang w:val="en-US"/>
        </w:rPr>
        <w:t xml:space="preserve"> </w:t>
      </w:r>
      <w:r>
        <w:rPr>
          <w:lang w:val="en-US"/>
        </w:rPr>
        <w:t xml:space="preserve">only </w:t>
      </w:r>
      <w:r w:rsidR="00692CAD">
        <w:rPr>
          <w:lang w:val="en-US"/>
        </w:rPr>
        <w:t xml:space="preserve">on the rights to freedom of expression, religion, </w:t>
      </w:r>
      <w:r w:rsidR="00E52A5A">
        <w:rPr>
          <w:lang w:val="en-US"/>
        </w:rPr>
        <w:t xml:space="preserve">association and property rights. </w:t>
      </w:r>
      <w:r w:rsidR="00956CE4">
        <w:rPr>
          <w:lang w:val="en-US"/>
        </w:rPr>
        <w:t xml:space="preserve">There was </w:t>
      </w:r>
      <w:r w:rsidR="00956CE4">
        <w:rPr>
          <w:lang w:val="en-US"/>
        </w:rPr>
        <w:lastRenderedPageBreak/>
        <w:t xml:space="preserve">particular </w:t>
      </w:r>
      <w:r>
        <w:rPr>
          <w:lang w:val="en-US"/>
        </w:rPr>
        <w:t xml:space="preserve">concern that the </w:t>
      </w:r>
      <w:r w:rsidRPr="006B7E8B">
        <w:rPr>
          <w:i/>
          <w:lang w:val="en-US"/>
        </w:rPr>
        <w:t>Rights &amp; Responsibilities 2014</w:t>
      </w:r>
      <w:r>
        <w:rPr>
          <w:lang w:val="en-US"/>
        </w:rPr>
        <w:t xml:space="preserve"> discussion paper did not </w:t>
      </w:r>
      <w:r w:rsidR="00297FFA">
        <w:rPr>
          <w:lang w:val="en-US"/>
        </w:rPr>
        <w:t xml:space="preserve">seek to consult on </w:t>
      </w:r>
      <w:r w:rsidR="00B85E82">
        <w:rPr>
          <w:lang w:val="en-US"/>
        </w:rPr>
        <w:t xml:space="preserve">the right to freedom from </w:t>
      </w:r>
      <w:r w:rsidR="00956CE4">
        <w:rPr>
          <w:lang w:val="en-US"/>
        </w:rPr>
        <w:t>arbitrary detention</w:t>
      </w:r>
      <w:r w:rsidR="00297FFA">
        <w:rPr>
          <w:lang w:val="en-US"/>
        </w:rPr>
        <w:t xml:space="preserve"> as it relates to people seeking asylum in Australia</w:t>
      </w:r>
      <w:r w:rsidR="00692CAD">
        <w:rPr>
          <w:lang w:val="en-US"/>
        </w:rPr>
        <w:t xml:space="preserve">. </w:t>
      </w:r>
    </w:p>
    <w:p w:rsidR="00956CE4" w:rsidRDefault="00C4521A" w:rsidP="00DD1319">
      <w:pPr>
        <w:pStyle w:val="SubmissionNormal"/>
        <w:numPr>
          <w:ilvl w:val="0"/>
          <w:numId w:val="0"/>
        </w:numPr>
        <w:rPr>
          <w:lang w:val="en-US"/>
        </w:rPr>
      </w:pPr>
      <w:r>
        <w:rPr>
          <w:lang w:val="en-US"/>
        </w:rPr>
        <w:t>T</w:t>
      </w:r>
      <w:r w:rsidR="00B85E82">
        <w:rPr>
          <w:lang w:val="en-US"/>
        </w:rPr>
        <w:t>he</w:t>
      </w:r>
      <w:r w:rsidR="00297FFA">
        <w:rPr>
          <w:lang w:val="en-US"/>
        </w:rPr>
        <w:t xml:space="preserve"> </w:t>
      </w:r>
      <w:r>
        <w:rPr>
          <w:lang w:val="en-US"/>
        </w:rPr>
        <w:t xml:space="preserve">consultation </w:t>
      </w:r>
      <w:r w:rsidR="00347504">
        <w:rPr>
          <w:lang w:val="en-US"/>
        </w:rPr>
        <w:t xml:space="preserve">deliberately </w:t>
      </w:r>
      <w:r w:rsidR="00297FFA">
        <w:rPr>
          <w:lang w:val="en-US"/>
        </w:rPr>
        <w:t>did not focus</w:t>
      </w:r>
      <w:r w:rsidR="00B85E82">
        <w:rPr>
          <w:lang w:val="en-US"/>
        </w:rPr>
        <w:t xml:space="preserve"> o</w:t>
      </w:r>
      <w:r w:rsidR="00B11E35">
        <w:rPr>
          <w:lang w:val="en-US"/>
        </w:rPr>
        <w:t xml:space="preserve">n </w:t>
      </w:r>
      <w:r w:rsidR="00043905">
        <w:rPr>
          <w:lang w:val="en-US"/>
        </w:rPr>
        <w:t xml:space="preserve">the right to </w:t>
      </w:r>
      <w:r w:rsidR="00B11E35">
        <w:rPr>
          <w:lang w:val="en-US"/>
        </w:rPr>
        <w:t>arbitrary d</w:t>
      </w:r>
      <w:r w:rsidR="00297FFA">
        <w:rPr>
          <w:lang w:val="en-US"/>
        </w:rPr>
        <w:t xml:space="preserve">etention </w:t>
      </w:r>
      <w:r w:rsidR="00956CE4">
        <w:rPr>
          <w:lang w:val="en-US"/>
        </w:rPr>
        <w:t>for the following reasons:</w:t>
      </w:r>
    </w:p>
    <w:p w:rsidR="00043905" w:rsidRDefault="005277B5" w:rsidP="008D3832">
      <w:pPr>
        <w:pStyle w:val="SubmissionNormal"/>
        <w:numPr>
          <w:ilvl w:val="0"/>
          <w:numId w:val="39"/>
        </w:numPr>
        <w:rPr>
          <w:lang w:val="en-US"/>
        </w:rPr>
      </w:pPr>
      <w:r>
        <w:rPr>
          <w:lang w:val="en-US"/>
        </w:rPr>
        <w:t xml:space="preserve">The </w:t>
      </w:r>
      <w:r w:rsidR="00043905">
        <w:rPr>
          <w:lang w:val="en-US"/>
        </w:rPr>
        <w:t xml:space="preserve">Commission has </w:t>
      </w:r>
      <w:r>
        <w:rPr>
          <w:lang w:val="en-US"/>
        </w:rPr>
        <w:t xml:space="preserve">an extensive work program relating to asylum seekers, under the leadership of the President. </w:t>
      </w:r>
      <w:r w:rsidR="00F86BC0">
        <w:rPr>
          <w:lang w:val="en-US"/>
        </w:rPr>
        <w:t xml:space="preserve">This includes a </w:t>
      </w:r>
      <w:r w:rsidR="00043905">
        <w:rPr>
          <w:lang w:val="en-US"/>
        </w:rPr>
        <w:t xml:space="preserve">complaints </w:t>
      </w:r>
      <w:r w:rsidR="00F86BC0">
        <w:rPr>
          <w:lang w:val="en-US"/>
        </w:rPr>
        <w:t>process.</w:t>
      </w:r>
    </w:p>
    <w:p w:rsidR="00043905" w:rsidRDefault="00F86BC0" w:rsidP="008D3832">
      <w:pPr>
        <w:pStyle w:val="SubmissionNormal"/>
        <w:numPr>
          <w:ilvl w:val="0"/>
          <w:numId w:val="39"/>
        </w:numPr>
        <w:rPr>
          <w:lang w:val="en-US"/>
        </w:rPr>
      </w:pPr>
      <w:r>
        <w:rPr>
          <w:lang w:val="en-US"/>
        </w:rPr>
        <w:t>T</w:t>
      </w:r>
      <w:r w:rsidR="000F0132">
        <w:rPr>
          <w:lang w:val="en-US"/>
        </w:rPr>
        <w:t>he consultation did not want</w:t>
      </w:r>
      <w:r w:rsidR="00043905">
        <w:rPr>
          <w:lang w:val="en-US"/>
        </w:rPr>
        <w:t xml:space="preserve"> to</w:t>
      </w:r>
      <w:r w:rsidR="000F0132">
        <w:rPr>
          <w:lang w:val="en-US"/>
        </w:rPr>
        <w:t xml:space="preserve"> </w:t>
      </w:r>
      <w:r w:rsidR="00B11E35">
        <w:rPr>
          <w:lang w:val="en-US"/>
        </w:rPr>
        <w:t>interfer</w:t>
      </w:r>
      <w:r w:rsidR="00C4521A">
        <w:rPr>
          <w:lang w:val="en-US"/>
        </w:rPr>
        <w:t>e</w:t>
      </w:r>
      <w:r w:rsidR="00B85E82">
        <w:rPr>
          <w:lang w:val="en-US"/>
        </w:rPr>
        <w:t xml:space="preserve"> with </w:t>
      </w:r>
      <w:r w:rsidR="007A2E4D">
        <w:rPr>
          <w:lang w:val="en-US"/>
        </w:rPr>
        <w:t>the</w:t>
      </w:r>
      <w:r w:rsidR="00317DDD">
        <w:rPr>
          <w:lang w:val="en-US"/>
        </w:rPr>
        <w:t xml:space="preserve"> </w:t>
      </w:r>
      <w:r w:rsidR="00B046BB" w:rsidRPr="00B046BB">
        <w:rPr>
          <w:i/>
          <w:lang w:val="en-US"/>
        </w:rPr>
        <w:t xml:space="preserve">National </w:t>
      </w:r>
      <w:r w:rsidR="00317DDD" w:rsidRPr="007A2E4D">
        <w:rPr>
          <w:i/>
          <w:lang w:val="en-US"/>
        </w:rPr>
        <w:t xml:space="preserve">Inquiry into Children in </w:t>
      </w:r>
      <w:r w:rsidR="00B046BB">
        <w:rPr>
          <w:i/>
          <w:lang w:val="en-US"/>
        </w:rPr>
        <w:t xml:space="preserve">Immigration </w:t>
      </w:r>
      <w:r w:rsidR="00317DDD" w:rsidRPr="007A2E4D">
        <w:rPr>
          <w:i/>
          <w:lang w:val="en-US"/>
        </w:rPr>
        <w:t>Detention</w:t>
      </w:r>
      <w:r w:rsidR="00317DDD">
        <w:rPr>
          <w:lang w:val="en-US"/>
        </w:rPr>
        <w:t xml:space="preserve"> being undertaken </w:t>
      </w:r>
      <w:r w:rsidR="007A2E4D">
        <w:rPr>
          <w:lang w:val="en-US"/>
        </w:rPr>
        <w:t xml:space="preserve">concurrently </w:t>
      </w:r>
      <w:r w:rsidR="00317DDD">
        <w:rPr>
          <w:lang w:val="en-US"/>
        </w:rPr>
        <w:t>by</w:t>
      </w:r>
      <w:r w:rsidR="00043905">
        <w:rPr>
          <w:lang w:val="en-US"/>
        </w:rPr>
        <w:t xml:space="preserve"> the President </w:t>
      </w:r>
      <w:r w:rsidR="000F0132">
        <w:rPr>
          <w:lang w:val="en-US"/>
        </w:rPr>
        <w:t>during</w:t>
      </w:r>
      <w:r w:rsidR="00043905">
        <w:rPr>
          <w:lang w:val="en-US"/>
        </w:rPr>
        <w:t xml:space="preserve"> 2014</w:t>
      </w:r>
      <w:r w:rsidR="00D60C3D">
        <w:rPr>
          <w:lang w:val="en-US"/>
        </w:rPr>
        <w:t>.</w:t>
      </w:r>
      <w:r w:rsidR="00B11E35">
        <w:rPr>
          <w:rStyle w:val="EndnoteReference"/>
          <w:lang w:val="en-US"/>
        </w:rPr>
        <w:endnoteReference w:id="8"/>
      </w:r>
      <w:r w:rsidR="00C4521A">
        <w:rPr>
          <w:lang w:val="en-US"/>
        </w:rPr>
        <w:t xml:space="preserve"> </w:t>
      </w:r>
    </w:p>
    <w:p w:rsidR="00692CAD" w:rsidRDefault="00F86BC0" w:rsidP="00043905">
      <w:pPr>
        <w:pStyle w:val="SubmissionNormal"/>
        <w:numPr>
          <w:ilvl w:val="0"/>
          <w:numId w:val="0"/>
        </w:numPr>
        <w:rPr>
          <w:lang w:val="en-US"/>
        </w:rPr>
      </w:pPr>
      <w:r>
        <w:rPr>
          <w:lang w:val="en-US"/>
        </w:rPr>
        <w:t>Issues raised</w:t>
      </w:r>
      <w:r w:rsidR="00D60C3D">
        <w:rPr>
          <w:lang w:val="en-US"/>
        </w:rPr>
        <w:t xml:space="preserve"> about </w:t>
      </w:r>
      <w:r w:rsidR="007A2E4D">
        <w:rPr>
          <w:lang w:val="en-US"/>
        </w:rPr>
        <w:t xml:space="preserve">human rights </w:t>
      </w:r>
      <w:r w:rsidR="00E03D68">
        <w:rPr>
          <w:lang w:val="en-US"/>
        </w:rPr>
        <w:t xml:space="preserve">and freedoms </w:t>
      </w:r>
      <w:r w:rsidR="007A2E4D">
        <w:rPr>
          <w:lang w:val="en-US"/>
        </w:rPr>
        <w:t>within</w:t>
      </w:r>
      <w:r w:rsidR="00C4521A">
        <w:rPr>
          <w:lang w:val="en-US"/>
        </w:rPr>
        <w:t xml:space="preserve"> </w:t>
      </w:r>
      <w:r w:rsidR="00D60C3D">
        <w:rPr>
          <w:lang w:val="en-US"/>
        </w:rPr>
        <w:t xml:space="preserve">the criminal justice </w:t>
      </w:r>
      <w:r w:rsidR="007A2E4D">
        <w:rPr>
          <w:lang w:val="en-US"/>
        </w:rPr>
        <w:t xml:space="preserve">and mental health </w:t>
      </w:r>
      <w:r w:rsidR="00D60C3D">
        <w:rPr>
          <w:lang w:val="en-US"/>
        </w:rPr>
        <w:t>system</w:t>
      </w:r>
      <w:r w:rsidR="007A2E4D">
        <w:rPr>
          <w:lang w:val="en-US"/>
        </w:rPr>
        <w:t>s</w:t>
      </w:r>
      <w:r w:rsidR="00D60C3D">
        <w:rPr>
          <w:lang w:val="en-US"/>
        </w:rPr>
        <w:t xml:space="preserve"> </w:t>
      </w:r>
      <w:r w:rsidR="00043905">
        <w:rPr>
          <w:lang w:val="en-US"/>
        </w:rPr>
        <w:t>– and potential implications for the right to arbitrary detention –</w:t>
      </w:r>
      <w:r>
        <w:rPr>
          <w:lang w:val="en-US"/>
        </w:rPr>
        <w:t xml:space="preserve"> </w:t>
      </w:r>
      <w:r w:rsidR="00692CAD">
        <w:rPr>
          <w:lang w:val="en-US"/>
        </w:rPr>
        <w:t>are set out in this report.</w:t>
      </w:r>
    </w:p>
    <w:p w:rsidR="00CB2A7E" w:rsidRDefault="00C643CE" w:rsidP="00DD1319">
      <w:pPr>
        <w:pStyle w:val="SubmissionNormal"/>
        <w:numPr>
          <w:ilvl w:val="0"/>
          <w:numId w:val="0"/>
        </w:numPr>
        <w:rPr>
          <w:lang w:val="en-US"/>
        </w:rPr>
      </w:pPr>
      <w:r>
        <w:rPr>
          <w:lang w:val="en-US"/>
        </w:rPr>
        <w:t>Other issues emerging</w:t>
      </w:r>
      <w:r w:rsidR="00093D4C" w:rsidRPr="00DD1319">
        <w:rPr>
          <w:lang w:val="en-US"/>
        </w:rPr>
        <w:t xml:space="preserve"> during the consultation </w:t>
      </w:r>
      <w:r>
        <w:rPr>
          <w:lang w:val="en-US"/>
        </w:rPr>
        <w:t xml:space="preserve">included the need for </w:t>
      </w:r>
      <w:r w:rsidR="00F552CE">
        <w:rPr>
          <w:lang w:val="en-US"/>
        </w:rPr>
        <w:t xml:space="preserve">further </w:t>
      </w:r>
      <w:r>
        <w:rPr>
          <w:lang w:val="en-US"/>
        </w:rPr>
        <w:t>education about human rights</w:t>
      </w:r>
      <w:r w:rsidR="00F552CE">
        <w:rPr>
          <w:lang w:val="en-US"/>
        </w:rPr>
        <w:t xml:space="preserve">. This was particularly highlighted because of </w:t>
      </w:r>
      <w:r w:rsidR="007A2E4D">
        <w:rPr>
          <w:lang w:val="en-US"/>
        </w:rPr>
        <w:t xml:space="preserve">the </w:t>
      </w:r>
      <w:r w:rsidR="00F92B63">
        <w:rPr>
          <w:lang w:val="en-US"/>
        </w:rPr>
        <w:t xml:space="preserve">upcoming </w:t>
      </w:r>
      <w:r w:rsidR="007A2E4D">
        <w:rPr>
          <w:lang w:val="en-US"/>
        </w:rPr>
        <w:t>800</w:t>
      </w:r>
      <w:r w:rsidR="007A2E4D" w:rsidRPr="007A2E4D">
        <w:rPr>
          <w:vertAlign w:val="superscript"/>
          <w:lang w:val="en-US"/>
        </w:rPr>
        <w:t>th</w:t>
      </w:r>
      <w:r w:rsidR="007A2E4D">
        <w:rPr>
          <w:lang w:val="en-US"/>
        </w:rPr>
        <w:t xml:space="preserve"> anniversary of the </w:t>
      </w:r>
      <w:r w:rsidR="007A2E4D" w:rsidRPr="00C643CE">
        <w:rPr>
          <w:i/>
          <w:lang w:val="en-US"/>
        </w:rPr>
        <w:t>Magna Carta</w:t>
      </w:r>
      <w:r w:rsidR="009C5AC6">
        <w:rPr>
          <w:lang w:val="en-US"/>
        </w:rPr>
        <w:t xml:space="preserve"> on 15 June </w:t>
      </w:r>
      <w:r>
        <w:rPr>
          <w:lang w:val="en-US"/>
        </w:rPr>
        <w:t xml:space="preserve">2015. </w:t>
      </w:r>
      <w:r w:rsidR="00425CA1">
        <w:rPr>
          <w:lang w:val="en-US"/>
        </w:rPr>
        <w:t>T</w:t>
      </w:r>
      <w:r w:rsidR="000F0132">
        <w:rPr>
          <w:lang w:val="en-US"/>
        </w:rPr>
        <w:t>his is</w:t>
      </w:r>
      <w:r w:rsidR="00E52A5A">
        <w:rPr>
          <w:lang w:val="en-US"/>
        </w:rPr>
        <w:t xml:space="preserve"> discussed in section </w:t>
      </w:r>
      <w:r w:rsidR="00BD136E">
        <w:rPr>
          <w:lang w:val="en-US"/>
        </w:rPr>
        <w:t>4</w:t>
      </w:r>
      <w:r w:rsidR="00E52A5A">
        <w:rPr>
          <w:lang w:val="en-US"/>
        </w:rPr>
        <w:t xml:space="preserve"> </w:t>
      </w:r>
      <w:r w:rsidR="00692CAD">
        <w:rPr>
          <w:lang w:val="en-US"/>
        </w:rPr>
        <w:t>of this report.</w:t>
      </w:r>
    </w:p>
    <w:p w:rsidR="006D10A3" w:rsidRPr="006D10A3" w:rsidRDefault="006D10A3" w:rsidP="00F60A7A">
      <w:pPr>
        <w:pStyle w:val="ListParagraph"/>
        <w:keepNext/>
        <w:keepLines/>
        <w:numPr>
          <w:ilvl w:val="0"/>
          <w:numId w:val="17"/>
        </w:numPr>
        <w:spacing w:before="360"/>
        <w:outlineLvl w:val="0"/>
        <w:rPr>
          <w:b/>
          <w:bCs/>
          <w:vanish/>
          <w:sz w:val="28"/>
          <w:szCs w:val="28"/>
        </w:rPr>
      </w:pPr>
      <w:bookmarkStart w:id="12" w:name="_Toc410736956"/>
      <w:bookmarkStart w:id="13" w:name="_Toc410740823"/>
      <w:bookmarkStart w:id="14" w:name="_Toc410740977"/>
      <w:bookmarkStart w:id="15" w:name="_Toc410740995"/>
      <w:bookmarkStart w:id="16" w:name="_Toc410801148"/>
      <w:bookmarkStart w:id="17" w:name="_Toc410808432"/>
      <w:bookmarkStart w:id="18" w:name="_Toc410810720"/>
      <w:bookmarkStart w:id="19" w:name="_Toc410823771"/>
      <w:bookmarkStart w:id="20" w:name="_Toc410827133"/>
      <w:bookmarkStart w:id="21" w:name="_Toc410904970"/>
      <w:bookmarkStart w:id="22" w:name="_Toc410909352"/>
      <w:bookmarkStart w:id="23" w:name="_Toc410983919"/>
      <w:bookmarkStart w:id="24" w:name="_Toc410990048"/>
      <w:bookmarkStart w:id="25" w:name="_Toc410993984"/>
      <w:bookmarkStart w:id="26" w:name="_Toc411083816"/>
      <w:bookmarkStart w:id="27" w:name="_Toc411242185"/>
      <w:bookmarkStart w:id="28" w:name="_Toc411254865"/>
      <w:bookmarkStart w:id="29" w:name="_Toc411255225"/>
      <w:bookmarkStart w:id="30" w:name="_Toc411333810"/>
      <w:bookmarkStart w:id="31" w:name="_Toc411429896"/>
      <w:bookmarkStart w:id="32" w:name="_Toc411430385"/>
      <w:bookmarkStart w:id="33" w:name="_Toc411608288"/>
      <w:bookmarkStart w:id="34" w:name="_Toc411613440"/>
      <w:bookmarkStart w:id="35" w:name="_Toc411761556"/>
      <w:bookmarkStart w:id="36" w:name="_Toc411766570"/>
      <w:bookmarkStart w:id="37" w:name="_Toc411767225"/>
      <w:bookmarkStart w:id="38" w:name="_Toc411771484"/>
      <w:bookmarkStart w:id="39" w:name="_Toc412114260"/>
      <w:bookmarkStart w:id="40" w:name="_Toc412114436"/>
      <w:bookmarkStart w:id="41" w:name="_Toc412125626"/>
      <w:bookmarkStart w:id="42" w:name="_Toc412198386"/>
      <w:bookmarkStart w:id="43" w:name="_Toc412204693"/>
      <w:bookmarkStart w:id="44" w:name="_Toc412205177"/>
      <w:bookmarkStart w:id="45" w:name="_Toc412208477"/>
      <w:bookmarkStart w:id="46" w:name="_Toc413145936"/>
      <w:bookmarkStart w:id="47" w:name="_Toc413300461"/>
      <w:bookmarkStart w:id="48" w:name="_Toc413304945"/>
      <w:bookmarkStart w:id="49" w:name="_Toc413321900"/>
      <w:bookmarkStart w:id="50" w:name="_Toc413324076"/>
      <w:bookmarkStart w:id="51" w:name="_Toc413415160"/>
      <w:bookmarkStart w:id="52" w:name="_Toc413420708"/>
      <w:bookmarkStart w:id="53" w:name="_Toc413421063"/>
      <w:bookmarkStart w:id="54" w:name="_Toc41393225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6D10A3" w:rsidRPr="006D10A3" w:rsidRDefault="006D10A3" w:rsidP="00F60A7A">
      <w:pPr>
        <w:pStyle w:val="ListParagraph"/>
        <w:keepNext/>
        <w:keepLines/>
        <w:numPr>
          <w:ilvl w:val="0"/>
          <w:numId w:val="17"/>
        </w:numPr>
        <w:spacing w:before="360"/>
        <w:outlineLvl w:val="0"/>
        <w:rPr>
          <w:b/>
          <w:bCs/>
          <w:vanish/>
          <w:sz w:val="28"/>
          <w:szCs w:val="28"/>
        </w:rPr>
      </w:pPr>
      <w:bookmarkStart w:id="55" w:name="_Toc410736957"/>
      <w:bookmarkStart w:id="56" w:name="_Toc410740824"/>
      <w:bookmarkStart w:id="57" w:name="_Toc410740978"/>
      <w:bookmarkStart w:id="58" w:name="_Toc410740996"/>
      <w:bookmarkStart w:id="59" w:name="_Toc410801149"/>
      <w:bookmarkStart w:id="60" w:name="_Toc410808433"/>
      <w:bookmarkStart w:id="61" w:name="_Toc410810721"/>
      <w:bookmarkStart w:id="62" w:name="_Toc410823772"/>
      <w:bookmarkStart w:id="63" w:name="_Toc410827134"/>
      <w:bookmarkStart w:id="64" w:name="_Toc410904971"/>
      <w:bookmarkStart w:id="65" w:name="_Toc410909353"/>
      <w:bookmarkStart w:id="66" w:name="_Toc410983920"/>
      <w:bookmarkStart w:id="67" w:name="_Toc410990049"/>
      <w:bookmarkStart w:id="68" w:name="_Toc410993985"/>
      <w:bookmarkStart w:id="69" w:name="_Toc411083817"/>
      <w:bookmarkStart w:id="70" w:name="_Toc411242186"/>
      <w:bookmarkStart w:id="71" w:name="_Toc411254866"/>
      <w:bookmarkStart w:id="72" w:name="_Toc411255226"/>
      <w:bookmarkStart w:id="73" w:name="_Toc411333811"/>
      <w:bookmarkStart w:id="74" w:name="_Toc411429897"/>
      <w:bookmarkStart w:id="75" w:name="_Toc411430386"/>
      <w:bookmarkStart w:id="76" w:name="_Toc411608289"/>
      <w:bookmarkStart w:id="77" w:name="_Toc411613441"/>
      <w:bookmarkStart w:id="78" w:name="_Toc411761557"/>
      <w:bookmarkStart w:id="79" w:name="_Toc411766571"/>
      <w:bookmarkStart w:id="80" w:name="_Toc411767226"/>
      <w:bookmarkStart w:id="81" w:name="_Toc411771485"/>
      <w:bookmarkStart w:id="82" w:name="_Toc412114261"/>
      <w:bookmarkStart w:id="83" w:name="_Toc412114437"/>
      <w:bookmarkStart w:id="84" w:name="_Toc412125627"/>
      <w:bookmarkStart w:id="85" w:name="_Toc412198387"/>
      <w:bookmarkStart w:id="86" w:name="_Toc412204694"/>
      <w:bookmarkStart w:id="87" w:name="_Toc412205178"/>
      <w:bookmarkStart w:id="88" w:name="_Toc412208478"/>
      <w:bookmarkStart w:id="89" w:name="_Toc413145937"/>
      <w:bookmarkStart w:id="90" w:name="_Toc413300462"/>
      <w:bookmarkStart w:id="91" w:name="_Toc413304946"/>
      <w:bookmarkStart w:id="92" w:name="_Toc413321901"/>
      <w:bookmarkStart w:id="93" w:name="_Toc413324077"/>
      <w:bookmarkStart w:id="94" w:name="_Toc413415161"/>
      <w:bookmarkStart w:id="95" w:name="_Toc413420709"/>
      <w:bookmarkStart w:id="96" w:name="_Toc413421064"/>
      <w:bookmarkStart w:id="97" w:name="_Toc41393225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D10A3" w:rsidRPr="006D10A3" w:rsidRDefault="006D10A3" w:rsidP="00F60A7A">
      <w:pPr>
        <w:pStyle w:val="ListParagraph"/>
        <w:keepNext/>
        <w:keepLines/>
        <w:numPr>
          <w:ilvl w:val="0"/>
          <w:numId w:val="17"/>
        </w:numPr>
        <w:spacing w:before="360"/>
        <w:outlineLvl w:val="0"/>
        <w:rPr>
          <w:b/>
          <w:bCs/>
          <w:vanish/>
          <w:sz w:val="28"/>
          <w:szCs w:val="28"/>
        </w:rPr>
      </w:pPr>
      <w:bookmarkStart w:id="98" w:name="_Toc410736958"/>
      <w:bookmarkStart w:id="99" w:name="_Toc410740825"/>
      <w:bookmarkStart w:id="100" w:name="_Toc410740979"/>
      <w:bookmarkStart w:id="101" w:name="_Toc410740997"/>
      <w:bookmarkStart w:id="102" w:name="_Toc410801150"/>
      <w:bookmarkStart w:id="103" w:name="_Toc410808434"/>
      <w:bookmarkStart w:id="104" w:name="_Toc410810722"/>
      <w:bookmarkStart w:id="105" w:name="_Toc410823773"/>
      <w:bookmarkStart w:id="106" w:name="_Toc410827135"/>
      <w:bookmarkStart w:id="107" w:name="_Toc410904972"/>
      <w:bookmarkStart w:id="108" w:name="_Toc410909354"/>
      <w:bookmarkStart w:id="109" w:name="_Toc410983921"/>
      <w:bookmarkStart w:id="110" w:name="_Toc410990050"/>
      <w:bookmarkStart w:id="111" w:name="_Toc410993986"/>
      <w:bookmarkStart w:id="112" w:name="_Toc411083818"/>
      <w:bookmarkStart w:id="113" w:name="_Toc411242187"/>
      <w:bookmarkStart w:id="114" w:name="_Toc411254867"/>
      <w:bookmarkStart w:id="115" w:name="_Toc411255227"/>
      <w:bookmarkStart w:id="116" w:name="_Toc411333812"/>
      <w:bookmarkStart w:id="117" w:name="_Toc411429898"/>
      <w:bookmarkStart w:id="118" w:name="_Toc411430387"/>
      <w:bookmarkStart w:id="119" w:name="_Toc411608290"/>
      <w:bookmarkStart w:id="120" w:name="_Toc411613442"/>
      <w:bookmarkStart w:id="121" w:name="_Toc411761558"/>
      <w:bookmarkStart w:id="122" w:name="_Toc411766572"/>
      <w:bookmarkStart w:id="123" w:name="_Toc411767227"/>
      <w:bookmarkStart w:id="124" w:name="_Toc411771486"/>
      <w:bookmarkStart w:id="125" w:name="_Toc412114262"/>
      <w:bookmarkStart w:id="126" w:name="_Toc412114438"/>
      <w:bookmarkStart w:id="127" w:name="_Toc412125628"/>
      <w:bookmarkStart w:id="128" w:name="_Toc412198388"/>
      <w:bookmarkStart w:id="129" w:name="_Toc412204695"/>
      <w:bookmarkStart w:id="130" w:name="_Toc412205179"/>
      <w:bookmarkStart w:id="131" w:name="_Toc412208479"/>
      <w:bookmarkStart w:id="132" w:name="_Toc413145938"/>
      <w:bookmarkStart w:id="133" w:name="_Toc413300463"/>
      <w:bookmarkStart w:id="134" w:name="_Toc413304947"/>
      <w:bookmarkStart w:id="135" w:name="_Toc413321902"/>
      <w:bookmarkStart w:id="136" w:name="_Toc413324078"/>
      <w:bookmarkStart w:id="137" w:name="_Toc413415162"/>
      <w:bookmarkStart w:id="138" w:name="_Toc413420710"/>
      <w:bookmarkStart w:id="139" w:name="_Toc413421065"/>
      <w:bookmarkStart w:id="140" w:name="_Toc41393226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6D10A3" w:rsidRPr="006D10A3" w:rsidRDefault="006D10A3" w:rsidP="00F60A7A">
      <w:pPr>
        <w:pStyle w:val="ListParagraph"/>
        <w:keepNext/>
        <w:keepLines/>
        <w:numPr>
          <w:ilvl w:val="0"/>
          <w:numId w:val="17"/>
        </w:numPr>
        <w:spacing w:before="360"/>
        <w:outlineLvl w:val="0"/>
        <w:rPr>
          <w:b/>
          <w:bCs/>
          <w:vanish/>
          <w:sz w:val="28"/>
          <w:szCs w:val="28"/>
        </w:rPr>
      </w:pPr>
      <w:bookmarkStart w:id="141" w:name="_Toc410736959"/>
      <w:bookmarkStart w:id="142" w:name="_Toc410740826"/>
      <w:bookmarkStart w:id="143" w:name="_Toc410740980"/>
      <w:bookmarkStart w:id="144" w:name="_Toc410740998"/>
      <w:bookmarkStart w:id="145" w:name="_Toc410801151"/>
      <w:bookmarkStart w:id="146" w:name="_Toc410808435"/>
      <w:bookmarkStart w:id="147" w:name="_Toc410810723"/>
      <w:bookmarkStart w:id="148" w:name="_Toc410823774"/>
      <w:bookmarkStart w:id="149" w:name="_Toc410827136"/>
      <w:bookmarkStart w:id="150" w:name="_Toc410904973"/>
      <w:bookmarkStart w:id="151" w:name="_Toc410909355"/>
      <w:bookmarkStart w:id="152" w:name="_Toc410983922"/>
      <w:bookmarkStart w:id="153" w:name="_Toc410990051"/>
      <w:bookmarkStart w:id="154" w:name="_Toc410993987"/>
      <w:bookmarkStart w:id="155" w:name="_Toc411083819"/>
      <w:bookmarkStart w:id="156" w:name="_Toc411242188"/>
      <w:bookmarkStart w:id="157" w:name="_Toc411254868"/>
      <w:bookmarkStart w:id="158" w:name="_Toc411255228"/>
      <w:bookmarkStart w:id="159" w:name="_Toc411333813"/>
      <w:bookmarkStart w:id="160" w:name="_Toc411429899"/>
      <w:bookmarkStart w:id="161" w:name="_Toc411430388"/>
      <w:bookmarkStart w:id="162" w:name="_Toc411608291"/>
      <w:bookmarkStart w:id="163" w:name="_Toc411613443"/>
      <w:bookmarkStart w:id="164" w:name="_Toc411761559"/>
      <w:bookmarkStart w:id="165" w:name="_Toc411766573"/>
      <w:bookmarkStart w:id="166" w:name="_Toc411767228"/>
      <w:bookmarkStart w:id="167" w:name="_Toc411771487"/>
      <w:bookmarkStart w:id="168" w:name="_Toc412114263"/>
      <w:bookmarkStart w:id="169" w:name="_Toc412114439"/>
      <w:bookmarkStart w:id="170" w:name="_Toc412125629"/>
      <w:bookmarkStart w:id="171" w:name="_Toc412198389"/>
      <w:bookmarkStart w:id="172" w:name="_Toc412204696"/>
      <w:bookmarkStart w:id="173" w:name="_Toc412205180"/>
      <w:bookmarkStart w:id="174" w:name="_Toc412208480"/>
      <w:bookmarkStart w:id="175" w:name="_Toc413145939"/>
      <w:bookmarkStart w:id="176" w:name="_Toc413300464"/>
      <w:bookmarkStart w:id="177" w:name="_Toc413304948"/>
      <w:bookmarkStart w:id="178" w:name="_Toc413321903"/>
      <w:bookmarkStart w:id="179" w:name="_Toc413324079"/>
      <w:bookmarkStart w:id="180" w:name="_Toc413415163"/>
      <w:bookmarkStart w:id="181" w:name="_Toc413420711"/>
      <w:bookmarkStart w:id="182" w:name="_Toc413421066"/>
      <w:bookmarkStart w:id="183" w:name="_Toc41393226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D10A3" w:rsidRPr="006D10A3" w:rsidRDefault="00E15E79" w:rsidP="00B307D3">
      <w:pPr>
        <w:pStyle w:val="Heading2"/>
        <w:numPr>
          <w:ilvl w:val="0"/>
          <w:numId w:val="0"/>
        </w:numPr>
      </w:pPr>
      <w:bookmarkStart w:id="184" w:name="_Toc413932262"/>
      <w:r>
        <w:t>Right to freedom of expression</w:t>
      </w:r>
      <w:bookmarkEnd w:id="184"/>
    </w:p>
    <w:p w:rsidR="00E15E79" w:rsidRPr="00A948F4" w:rsidRDefault="00E15E79" w:rsidP="001C5BF1">
      <w:pPr>
        <w:autoSpaceDE w:val="0"/>
        <w:autoSpaceDN w:val="0"/>
        <w:adjustRightInd w:val="0"/>
        <w:spacing w:before="0" w:after="0"/>
        <w:ind w:left="720"/>
        <w:rPr>
          <w:rFonts w:cs="Arial"/>
          <w:sz w:val="22"/>
          <w:szCs w:val="22"/>
        </w:rPr>
      </w:pPr>
      <w:r w:rsidRPr="00C40E35">
        <w:rPr>
          <w:rFonts w:cs="Arial"/>
          <w:i/>
          <w:color w:val="000000"/>
          <w:sz w:val="22"/>
          <w:szCs w:val="22"/>
        </w:rPr>
        <w:t>I have felt that too often in recent times we have confused views we disagree with to views that</w:t>
      </w:r>
      <w:r>
        <w:rPr>
          <w:rFonts w:cs="Arial"/>
          <w:i/>
          <w:color w:val="000000"/>
          <w:sz w:val="22"/>
          <w:szCs w:val="22"/>
        </w:rPr>
        <w:t xml:space="preserve"> should be illegal to verbalise. </w:t>
      </w:r>
    </w:p>
    <w:p w:rsidR="00E15E79" w:rsidRPr="001B6338" w:rsidRDefault="00E15E79" w:rsidP="00E15E79">
      <w:pPr>
        <w:autoSpaceDE w:val="0"/>
        <w:autoSpaceDN w:val="0"/>
        <w:adjustRightInd w:val="0"/>
        <w:spacing w:before="0" w:after="0"/>
        <w:ind w:left="720"/>
        <w:rPr>
          <w:rFonts w:cs="Arial"/>
          <w:color w:val="000000"/>
          <w:sz w:val="20"/>
          <w:szCs w:val="20"/>
        </w:rPr>
      </w:pPr>
    </w:p>
    <w:p w:rsidR="00E15E79" w:rsidRDefault="00E15E79" w:rsidP="00E15E79">
      <w:pPr>
        <w:autoSpaceDE w:val="0"/>
        <w:autoSpaceDN w:val="0"/>
        <w:adjustRightInd w:val="0"/>
        <w:spacing w:before="0" w:after="0"/>
        <w:ind w:left="720"/>
        <w:rPr>
          <w:rFonts w:cs="Arial"/>
          <w:sz w:val="22"/>
          <w:szCs w:val="22"/>
        </w:rPr>
      </w:pPr>
      <w:r>
        <w:rPr>
          <w:rFonts w:cs="Arial"/>
          <w:i/>
          <w:sz w:val="22"/>
          <w:szCs w:val="22"/>
        </w:rPr>
        <w:t xml:space="preserve">We must be free to speak robustly about issues with which we do not agree. </w:t>
      </w:r>
    </w:p>
    <w:p w:rsidR="00E15E79" w:rsidRDefault="00E15E79" w:rsidP="00E15E79">
      <w:pPr>
        <w:autoSpaceDE w:val="0"/>
        <w:autoSpaceDN w:val="0"/>
        <w:adjustRightInd w:val="0"/>
        <w:spacing w:before="0" w:after="0"/>
        <w:ind w:left="720"/>
        <w:rPr>
          <w:rFonts w:cs="Arial"/>
          <w:sz w:val="22"/>
          <w:szCs w:val="22"/>
        </w:rPr>
      </w:pPr>
    </w:p>
    <w:p w:rsidR="00E15E79" w:rsidRDefault="00E15E79" w:rsidP="00E15E79">
      <w:pPr>
        <w:autoSpaceDE w:val="0"/>
        <w:autoSpaceDN w:val="0"/>
        <w:adjustRightInd w:val="0"/>
        <w:spacing w:before="0" w:after="0"/>
        <w:ind w:left="720"/>
        <w:rPr>
          <w:rFonts w:cs="Arial"/>
          <w:i/>
          <w:sz w:val="22"/>
          <w:szCs w:val="22"/>
        </w:rPr>
      </w:pPr>
      <w:r>
        <w:rPr>
          <w:rFonts w:cs="Arial"/>
          <w:i/>
          <w:sz w:val="22"/>
          <w:szCs w:val="22"/>
        </w:rPr>
        <w:t xml:space="preserve">The right to express is not a right to abuse. The right to an opinion is not a right to force that opinion on others. </w:t>
      </w:r>
    </w:p>
    <w:p w:rsidR="00E15E79" w:rsidRDefault="00E15E79" w:rsidP="00E15E79">
      <w:pPr>
        <w:autoSpaceDE w:val="0"/>
        <w:autoSpaceDN w:val="0"/>
        <w:adjustRightInd w:val="0"/>
        <w:spacing w:before="0" w:after="0"/>
        <w:ind w:left="720"/>
        <w:rPr>
          <w:rFonts w:cs="Arial"/>
          <w:i/>
          <w:sz w:val="22"/>
          <w:szCs w:val="22"/>
        </w:rPr>
      </w:pPr>
    </w:p>
    <w:p w:rsidR="00E15E79" w:rsidRDefault="00E15E79" w:rsidP="00152ABB">
      <w:pPr>
        <w:autoSpaceDE w:val="0"/>
        <w:autoSpaceDN w:val="0"/>
        <w:adjustRightInd w:val="0"/>
        <w:spacing w:before="0" w:after="0"/>
        <w:ind w:left="2160" w:firstLine="720"/>
        <w:jc w:val="right"/>
        <w:rPr>
          <w:rFonts w:cs="Arial"/>
          <w:sz w:val="22"/>
          <w:szCs w:val="22"/>
        </w:rPr>
      </w:pPr>
      <w:r>
        <w:rPr>
          <w:rFonts w:cs="Arial"/>
          <w:sz w:val="22"/>
          <w:szCs w:val="22"/>
        </w:rPr>
        <w:t>O</w:t>
      </w:r>
      <w:r w:rsidRPr="001809CB">
        <w:rPr>
          <w:rFonts w:cs="Arial"/>
          <w:sz w:val="22"/>
          <w:szCs w:val="22"/>
        </w:rPr>
        <w:t>nline survey response</w:t>
      </w:r>
      <w:r w:rsidR="00152ABB">
        <w:rPr>
          <w:rFonts w:cs="Arial"/>
          <w:sz w:val="22"/>
          <w:szCs w:val="22"/>
        </w:rPr>
        <w:t>s</w:t>
      </w:r>
    </w:p>
    <w:p w:rsidR="00E15E79" w:rsidRPr="001B6338" w:rsidRDefault="00E15E79" w:rsidP="00E15E79">
      <w:pPr>
        <w:autoSpaceDE w:val="0"/>
        <w:autoSpaceDN w:val="0"/>
        <w:adjustRightInd w:val="0"/>
        <w:spacing w:before="0" w:after="0"/>
        <w:ind w:left="72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E15E79" w:rsidRPr="0073669B" w:rsidTr="00E15E79">
        <w:tc>
          <w:tcPr>
            <w:tcW w:w="9286" w:type="dxa"/>
            <w:shd w:val="clear" w:color="auto" w:fill="E0E0E0"/>
          </w:tcPr>
          <w:p w:rsidR="00E15E79" w:rsidRPr="00F552CE" w:rsidRDefault="00E15E79" w:rsidP="00E15E79">
            <w:pPr>
              <w:rPr>
                <w:b/>
                <w:sz w:val="22"/>
                <w:szCs w:val="22"/>
              </w:rPr>
            </w:pPr>
            <w:r w:rsidRPr="00414D03">
              <w:rPr>
                <w:b/>
                <w:sz w:val="22"/>
                <w:szCs w:val="22"/>
              </w:rPr>
              <w:t xml:space="preserve">The </w:t>
            </w:r>
            <w:r w:rsidR="00F552CE">
              <w:rPr>
                <w:b/>
                <w:sz w:val="22"/>
                <w:szCs w:val="22"/>
              </w:rPr>
              <w:t xml:space="preserve">right to freedom of expression </w:t>
            </w:r>
            <w:r w:rsidRPr="00414D03">
              <w:rPr>
                <w:rFonts w:cs="Arial"/>
                <w:sz w:val="22"/>
                <w:szCs w:val="22"/>
              </w:rPr>
              <w:t>provides the foundation for individual autonomy, the capacity for individuals to think for themselves and impart knowledge, and a strong democracy where opinions and ideas can be debated freely.</w:t>
            </w:r>
            <w:r w:rsidR="007E34DD">
              <w:rPr>
                <w:rStyle w:val="EndnoteReference"/>
                <w:rFonts w:cs="Arial"/>
                <w:szCs w:val="22"/>
              </w:rPr>
              <w:endnoteReference w:id="9"/>
            </w:r>
            <w:r w:rsidRPr="00414D03">
              <w:rPr>
                <w:rFonts w:cs="Arial"/>
                <w:sz w:val="22"/>
                <w:szCs w:val="22"/>
              </w:rPr>
              <w:t xml:space="preserve"> The right enables discussions and debates about political and social views, and in so doing, creates the basis for the effective exercise and defence of many other human rights and freedoms.</w:t>
            </w:r>
            <w:r w:rsidR="00211AF9">
              <w:rPr>
                <w:rStyle w:val="EndnoteReference"/>
                <w:rFonts w:cs="Arial"/>
                <w:szCs w:val="22"/>
              </w:rPr>
              <w:endnoteReference w:id="10"/>
            </w:r>
            <w:r w:rsidRPr="00414D03">
              <w:rPr>
                <w:rFonts w:cs="Arial"/>
                <w:sz w:val="22"/>
                <w:szCs w:val="22"/>
              </w:rPr>
              <w:t xml:space="preserve"> The right is: </w:t>
            </w:r>
          </w:p>
          <w:p w:rsidR="00E15E79" w:rsidRPr="00414D03" w:rsidRDefault="00E15E79" w:rsidP="00E15E79">
            <w:pPr>
              <w:pStyle w:val="SubmissionNormal"/>
              <w:numPr>
                <w:ilvl w:val="0"/>
                <w:numId w:val="0"/>
              </w:numPr>
              <w:ind w:left="709"/>
              <w:rPr>
                <w:sz w:val="20"/>
                <w:szCs w:val="20"/>
              </w:rPr>
            </w:pPr>
            <w:r w:rsidRPr="00414D03">
              <w:rPr>
                <w:sz w:val="20"/>
                <w:szCs w:val="20"/>
              </w:rPr>
              <w:t>closely linked to the rights to freedom of association, assembly, thought, conscience and religion, and participation in public affairs. It symbolizes, more than any other right, the indivisibility and interdependence of all human rights. As such, the effective enjoyment of this right is an important indicator with respect to the protection of other human rights and fundamental freedoms.</w:t>
            </w:r>
            <w:r w:rsidRPr="00414D03">
              <w:rPr>
                <w:rStyle w:val="EndnoteReference"/>
                <w:szCs w:val="20"/>
              </w:rPr>
              <w:endnoteReference w:id="11"/>
            </w:r>
          </w:p>
          <w:p w:rsidR="00E15E79" w:rsidRPr="00414D03" w:rsidRDefault="00E15E79" w:rsidP="00E15E79">
            <w:pPr>
              <w:rPr>
                <w:sz w:val="22"/>
                <w:szCs w:val="22"/>
              </w:rPr>
            </w:pPr>
            <w:r w:rsidRPr="00414D03">
              <w:rPr>
                <w:sz w:val="22"/>
                <w:szCs w:val="22"/>
              </w:rPr>
              <w:t xml:space="preserve">The right to freedom of expression </w:t>
            </w:r>
            <w:r w:rsidR="007F3C43">
              <w:rPr>
                <w:sz w:val="22"/>
                <w:szCs w:val="22"/>
              </w:rPr>
              <w:t xml:space="preserve">is an extension of the </w:t>
            </w:r>
            <w:r w:rsidRPr="00414D03">
              <w:rPr>
                <w:sz w:val="22"/>
                <w:szCs w:val="22"/>
              </w:rPr>
              <w:t>right of freedom to hold opinions without interference.</w:t>
            </w:r>
            <w:r w:rsidR="006B021E">
              <w:rPr>
                <w:rStyle w:val="EndnoteReference"/>
                <w:szCs w:val="22"/>
              </w:rPr>
              <w:endnoteReference w:id="12"/>
            </w:r>
            <w:r w:rsidRPr="00414D03">
              <w:rPr>
                <w:sz w:val="22"/>
                <w:szCs w:val="22"/>
              </w:rPr>
              <w:t xml:space="preserve"> </w:t>
            </w:r>
          </w:p>
          <w:p w:rsidR="00E15E79" w:rsidRPr="00414D03" w:rsidRDefault="00E15E79" w:rsidP="00E15E79">
            <w:pPr>
              <w:rPr>
                <w:rFonts w:cs="Arial"/>
                <w:sz w:val="22"/>
                <w:szCs w:val="22"/>
              </w:rPr>
            </w:pPr>
            <w:r w:rsidRPr="00414D03">
              <w:rPr>
                <w:rFonts w:cs="Arial"/>
                <w:sz w:val="22"/>
                <w:szCs w:val="22"/>
              </w:rPr>
              <w:t xml:space="preserve">Freedom of expression applies to any medium, including written and oral communications, the media, public protest, broadcasting, artistic works and commercial advertising. </w:t>
            </w:r>
          </w:p>
          <w:p w:rsidR="00E15E79" w:rsidRPr="00414D03" w:rsidRDefault="00BC1281" w:rsidP="00E15E79">
            <w:pPr>
              <w:rPr>
                <w:sz w:val="22"/>
                <w:szCs w:val="22"/>
              </w:rPr>
            </w:pPr>
            <w:r>
              <w:rPr>
                <w:rFonts w:cs="Arial"/>
                <w:sz w:val="22"/>
                <w:szCs w:val="22"/>
              </w:rPr>
              <w:lastRenderedPageBreak/>
              <w:t>Based on interpretations of international human rights treaties, f</w:t>
            </w:r>
            <w:r w:rsidR="00E15E79" w:rsidRPr="00414D03">
              <w:rPr>
                <w:rFonts w:cs="Arial"/>
                <w:sz w:val="22"/>
                <w:szCs w:val="22"/>
              </w:rPr>
              <w:t xml:space="preserve">reedom of expression </w:t>
            </w:r>
            <w:r w:rsidR="00F86BC0">
              <w:rPr>
                <w:rFonts w:cs="Arial"/>
                <w:sz w:val="22"/>
                <w:szCs w:val="22"/>
              </w:rPr>
              <w:t>can be restricted in a</w:t>
            </w:r>
            <w:r w:rsidR="00E15E79" w:rsidRPr="00414D03">
              <w:rPr>
                <w:rFonts w:cs="Arial"/>
                <w:sz w:val="22"/>
                <w:szCs w:val="22"/>
              </w:rPr>
              <w:t xml:space="preserve"> limited </w:t>
            </w:r>
            <w:r w:rsidR="00F86BC0">
              <w:rPr>
                <w:rFonts w:cs="Arial"/>
                <w:sz w:val="22"/>
                <w:szCs w:val="22"/>
              </w:rPr>
              <w:t xml:space="preserve">range of circumstances. Such restrictions must be </w:t>
            </w:r>
            <w:r w:rsidR="00E15E79" w:rsidRPr="00414D03">
              <w:rPr>
                <w:rFonts w:cs="Arial"/>
                <w:sz w:val="22"/>
                <w:szCs w:val="22"/>
              </w:rPr>
              <w:t xml:space="preserve">prescribed by law </w:t>
            </w:r>
            <w:r w:rsidR="00E15E79" w:rsidRPr="00F86BC0">
              <w:rPr>
                <w:rFonts w:cs="Arial"/>
                <w:i/>
                <w:sz w:val="22"/>
                <w:szCs w:val="22"/>
              </w:rPr>
              <w:t>and</w:t>
            </w:r>
            <w:r w:rsidR="00E15E79" w:rsidRPr="00414D03">
              <w:rPr>
                <w:rFonts w:cs="Arial"/>
                <w:sz w:val="22"/>
                <w:szCs w:val="22"/>
              </w:rPr>
              <w:t xml:space="preserve"> </w:t>
            </w:r>
            <w:r w:rsidR="00F86BC0">
              <w:rPr>
                <w:rFonts w:cs="Arial"/>
                <w:sz w:val="22"/>
                <w:szCs w:val="22"/>
              </w:rPr>
              <w:t xml:space="preserve">be </w:t>
            </w:r>
            <w:r w:rsidR="00E15E79" w:rsidRPr="00414D03">
              <w:rPr>
                <w:rFonts w:cs="Arial"/>
                <w:sz w:val="22"/>
                <w:szCs w:val="22"/>
              </w:rPr>
              <w:t>deemed nec</w:t>
            </w:r>
            <w:r w:rsidR="00C816F8">
              <w:rPr>
                <w:rFonts w:cs="Arial"/>
                <w:sz w:val="22"/>
                <w:szCs w:val="22"/>
              </w:rPr>
              <w:t>essary on the ground that it</w:t>
            </w:r>
            <w:r w:rsidR="00E15E79" w:rsidRPr="00414D03">
              <w:rPr>
                <w:rFonts w:cs="Arial"/>
                <w:sz w:val="22"/>
                <w:szCs w:val="22"/>
              </w:rPr>
              <w:t xml:space="preserve"> protect</w:t>
            </w:r>
            <w:r w:rsidR="00C816F8">
              <w:rPr>
                <w:rFonts w:cs="Arial"/>
                <w:sz w:val="22"/>
                <w:szCs w:val="22"/>
              </w:rPr>
              <w:t>s</w:t>
            </w:r>
            <w:r w:rsidR="00E15E79" w:rsidRPr="00414D03">
              <w:rPr>
                <w:rFonts w:cs="Arial"/>
                <w:sz w:val="22"/>
                <w:szCs w:val="22"/>
              </w:rPr>
              <w:t xml:space="preserve"> the rights or reputations of others, national security, public order, or public health or morals. A mandatory limitation also applies to the right to freedom of expression in relation to ‘any advocacy of national, racial or religious hatred that constitutes incitement to discrimination, hostility or violence’</w:t>
            </w:r>
            <w:r w:rsidR="00E15E79">
              <w:rPr>
                <w:rFonts w:cs="Arial"/>
              </w:rPr>
              <w:t>.</w:t>
            </w:r>
            <w:r w:rsidR="00E15E79">
              <w:rPr>
                <w:rStyle w:val="EndnoteReference"/>
                <w:rFonts w:cs="Arial"/>
              </w:rPr>
              <w:endnoteReference w:id="13"/>
            </w:r>
          </w:p>
        </w:tc>
      </w:tr>
    </w:tbl>
    <w:p w:rsidR="00E15E79" w:rsidRPr="006C4228" w:rsidRDefault="00E15E79" w:rsidP="00BC1281">
      <w:pPr>
        <w:pStyle w:val="Heading3"/>
        <w:numPr>
          <w:ilvl w:val="0"/>
          <w:numId w:val="0"/>
        </w:numPr>
        <w:rPr>
          <w:b/>
        </w:rPr>
      </w:pPr>
      <w:bookmarkStart w:id="185" w:name="_Toc402873789"/>
      <w:bookmarkStart w:id="186" w:name="_Toc413932263"/>
      <w:r w:rsidRPr="006C4228">
        <w:rPr>
          <w:b/>
        </w:rPr>
        <w:lastRenderedPageBreak/>
        <w:t>Freedom of expression in Australia</w:t>
      </w:r>
      <w:bookmarkEnd w:id="185"/>
      <w:bookmarkEnd w:id="186"/>
    </w:p>
    <w:p w:rsidR="00170347" w:rsidRDefault="00DB27C3" w:rsidP="00570003">
      <w:pPr>
        <w:jc w:val="center"/>
      </w:pPr>
      <w:r w:rsidRPr="00DB27C3">
        <w:rPr>
          <w:noProof/>
        </w:rPr>
        <w:drawing>
          <wp:inline distT="0" distB="0" distL="0" distR="0" wp14:anchorId="123D21C8" wp14:editId="1D7247B6">
            <wp:extent cx="4621122" cy="3156641"/>
            <wp:effectExtent l="0" t="0" r="8255" b="5715"/>
            <wp:docPr id="11" name="Picture 11" descr="S:\External Projects\2014-15 projects\HR Scrutiny\HR Scrutiny - Rights &amp; Freedoms\Rights &amp; Responsibilities 2014\Report\Report\Mind maps\Expr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xternal Projects\2014-15 projects\HR Scrutiny\HR Scrutiny - Rights &amp; Freedoms\Rights &amp; Responsibilities 2014\Report\Report\Mind maps\Express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4608" cy="3193176"/>
                    </a:xfrm>
                    <a:prstGeom prst="rect">
                      <a:avLst/>
                    </a:prstGeom>
                    <a:noFill/>
                    <a:ln>
                      <a:noFill/>
                    </a:ln>
                  </pic:spPr>
                </pic:pic>
              </a:graphicData>
            </a:graphic>
          </wp:inline>
        </w:drawing>
      </w:r>
    </w:p>
    <w:p w:rsidR="006F4E0F" w:rsidRPr="006C4228" w:rsidRDefault="006F4E0F" w:rsidP="00DB27C3">
      <w:pPr>
        <w:pStyle w:val="Heading4"/>
        <w:numPr>
          <w:ilvl w:val="0"/>
          <w:numId w:val="0"/>
        </w:numPr>
        <w:rPr>
          <w:i/>
        </w:rPr>
      </w:pPr>
      <w:bookmarkStart w:id="187" w:name="_Toc413932264"/>
      <w:r w:rsidRPr="006C4228">
        <w:rPr>
          <w:i/>
        </w:rPr>
        <w:t>Survey results</w:t>
      </w:r>
      <w:bookmarkEnd w:id="187"/>
    </w:p>
    <w:p w:rsidR="00A80483" w:rsidRDefault="001E439B" w:rsidP="0054504E">
      <w:pPr>
        <w:pStyle w:val="SubmissionNormal"/>
        <w:numPr>
          <w:ilvl w:val="0"/>
          <w:numId w:val="0"/>
        </w:numPr>
        <w:rPr>
          <w:rFonts w:cs="Arial"/>
        </w:rPr>
      </w:pPr>
      <w:r>
        <w:rPr>
          <w:rFonts w:cs="Arial"/>
        </w:rPr>
        <w:t xml:space="preserve">The survey asked respondents </w:t>
      </w:r>
      <w:r w:rsidR="0044541F">
        <w:rPr>
          <w:rFonts w:cs="Arial"/>
        </w:rPr>
        <w:t xml:space="preserve">how well they think </w:t>
      </w:r>
      <w:r>
        <w:rPr>
          <w:rFonts w:cs="Arial"/>
        </w:rPr>
        <w:t xml:space="preserve">the right to freedom of expression </w:t>
      </w:r>
      <w:r w:rsidR="00C816F8">
        <w:rPr>
          <w:rFonts w:cs="Arial"/>
        </w:rPr>
        <w:t xml:space="preserve">(commonly referred to as free speech) </w:t>
      </w:r>
      <w:r>
        <w:rPr>
          <w:rFonts w:cs="Arial"/>
        </w:rPr>
        <w:t xml:space="preserve">is protected in Australia. </w:t>
      </w:r>
    </w:p>
    <w:p w:rsidR="00637249" w:rsidRDefault="00637249" w:rsidP="0054504E">
      <w:pPr>
        <w:pStyle w:val="SubmissionNormal"/>
        <w:numPr>
          <w:ilvl w:val="0"/>
          <w:numId w:val="0"/>
        </w:numPr>
        <w:rPr>
          <w:rFonts w:cs="Arial"/>
        </w:rPr>
      </w:pPr>
      <w:r>
        <w:rPr>
          <w:rFonts w:cs="Arial"/>
        </w:rPr>
        <w:t>As shown in Figure 1:</w:t>
      </w:r>
    </w:p>
    <w:p w:rsidR="00637249" w:rsidRDefault="00DD2C51" w:rsidP="00637249">
      <w:pPr>
        <w:numPr>
          <w:ilvl w:val="0"/>
          <w:numId w:val="18"/>
        </w:numPr>
        <w:rPr>
          <w:rFonts w:cs="Arial"/>
        </w:rPr>
      </w:pPr>
      <w:r>
        <w:rPr>
          <w:rFonts w:cs="Arial"/>
        </w:rPr>
        <w:t xml:space="preserve">28% of survey respondents believe the right to freedom of </w:t>
      </w:r>
      <w:r w:rsidR="00E6649A">
        <w:rPr>
          <w:rFonts w:cs="Arial"/>
        </w:rPr>
        <w:t>expression is extremely well or</w:t>
      </w:r>
      <w:r>
        <w:rPr>
          <w:rFonts w:cs="Arial"/>
        </w:rPr>
        <w:t xml:space="preserve"> well </w:t>
      </w:r>
      <w:r w:rsidR="00637249">
        <w:rPr>
          <w:rFonts w:cs="Arial"/>
        </w:rPr>
        <w:t>protected</w:t>
      </w:r>
    </w:p>
    <w:p w:rsidR="00637249" w:rsidRDefault="00E6649A" w:rsidP="00637249">
      <w:pPr>
        <w:numPr>
          <w:ilvl w:val="0"/>
          <w:numId w:val="18"/>
        </w:numPr>
        <w:rPr>
          <w:rFonts w:cs="Arial"/>
        </w:rPr>
      </w:pPr>
      <w:r>
        <w:rPr>
          <w:rFonts w:cs="Arial"/>
        </w:rPr>
        <w:t>30% view the right to freedom of expression</w:t>
      </w:r>
      <w:r w:rsidR="00637249">
        <w:rPr>
          <w:rFonts w:cs="Arial"/>
        </w:rPr>
        <w:t xml:space="preserve"> as moderately protected</w:t>
      </w:r>
    </w:p>
    <w:p w:rsidR="00DD2C51" w:rsidRDefault="00343B1B" w:rsidP="00637249">
      <w:pPr>
        <w:numPr>
          <w:ilvl w:val="0"/>
          <w:numId w:val="18"/>
        </w:numPr>
        <w:rPr>
          <w:rFonts w:cs="Arial"/>
        </w:rPr>
      </w:pPr>
      <w:r>
        <w:rPr>
          <w:rFonts w:cs="Arial"/>
        </w:rPr>
        <w:t>37</w:t>
      </w:r>
      <w:r w:rsidR="0044541F">
        <w:rPr>
          <w:rFonts w:cs="Arial"/>
        </w:rPr>
        <w:t>% think</w:t>
      </w:r>
      <w:r w:rsidR="00DD2C51">
        <w:rPr>
          <w:rFonts w:cs="Arial"/>
        </w:rPr>
        <w:t xml:space="preserve"> the right to freedom of expression is </w:t>
      </w:r>
      <w:r>
        <w:rPr>
          <w:rFonts w:cs="Arial"/>
        </w:rPr>
        <w:t xml:space="preserve">slightly or </w:t>
      </w:r>
      <w:r w:rsidR="00C11DA9">
        <w:rPr>
          <w:rFonts w:cs="Arial"/>
        </w:rPr>
        <w:t>not at all protected.</w:t>
      </w:r>
    </w:p>
    <w:p w:rsidR="00EE15AD" w:rsidRPr="006F4E0F" w:rsidRDefault="006F4E0F" w:rsidP="00DE053A">
      <w:pPr>
        <w:rPr>
          <w:lang w:val="en-US"/>
        </w:rPr>
      </w:pPr>
      <w:r w:rsidRPr="006B2419">
        <w:rPr>
          <w:lang w:val="en-US"/>
        </w:rPr>
        <w:t>These results</w:t>
      </w:r>
      <w:r w:rsidR="00513124" w:rsidRPr="006B2419">
        <w:rPr>
          <w:lang w:val="en-US"/>
        </w:rPr>
        <w:t xml:space="preserve"> – </w:t>
      </w:r>
      <w:r w:rsidRPr="006B2419">
        <w:rPr>
          <w:lang w:val="en-US"/>
        </w:rPr>
        <w:t>show</w:t>
      </w:r>
      <w:r w:rsidR="00513124" w:rsidRPr="006B2419">
        <w:rPr>
          <w:lang w:val="en-US"/>
        </w:rPr>
        <w:t>ing</w:t>
      </w:r>
      <w:r w:rsidR="0031062B" w:rsidRPr="006B2419">
        <w:rPr>
          <w:lang w:val="en-US"/>
        </w:rPr>
        <w:t xml:space="preserve"> that 67% of participants view the right to freedom of</w:t>
      </w:r>
      <w:r w:rsidRPr="006B2419">
        <w:rPr>
          <w:lang w:val="en-US"/>
        </w:rPr>
        <w:t xml:space="preserve"> expression as being moderately, slightly or </w:t>
      </w:r>
      <w:r w:rsidR="0031062B" w:rsidRPr="006B2419">
        <w:rPr>
          <w:lang w:val="en-US"/>
        </w:rPr>
        <w:t>not at all protected</w:t>
      </w:r>
      <w:r w:rsidR="00513124" w:rsidRPr="006B2419">
        <w:rPr>
          <w:lang w:val="en-US"/>
        </w:rPr>
        <w:t xml:space="preserve"> –</w:t>
      </w:r>
      <w:r w:rsidR="0031062B" w:rsidRPr="006B2419">
        <w:rPr>
          <w:lang w:val="en-US"/>
        </w:rPr>
        <w:t xml:space="preserve"> s</w:t>
      </w:r>
      <w:r w:rsidR="000A0D2A" w:rsidRPr="006B2419">
        <w:rPr>
          <w:lang w:val="en-US"/>
        </w:rPr>
        <w:t>uggest</w:t>
      </w:r>
      <w:r w:rsidR="0031062B" w:rsidRPr="006B2419">
        <w:rPr>
          <w:lang w:val="en-US"/>
        </w:rPr>
        <w:t xml:space="preserve"> that</w:t>
      </w:r>
      <w:r w:rsidRPr="006B2419">
        <w:rPr>
          <w:lang w:val="en-US"/>
        </w:rPr>
        <w:t xml:space="preserve"> there are concerns about the extent to which this right is protected in Australia.</w:t>
      </w:r>
      <w:r w:rsidR="0031062B" w:rsidRPr="006F4E0F">
        <w:rPr>
          <w:lang w:val="en-US"/>
        </w:rPr>
        <w:t xml:space="preserve"> </w:t>
      </w:r>
    </w:p>
    <w:p w:rsidR="007950DA" w:rsidRPr="0083286A" w:rsidRDefault="00DD2C51" w:rsidP="0083286A">
      <w:pPr>
        <w:pStyle w:val="Heading4"/>
        <w:numPr>
          <w:ilvl w:val="0"/>
          <w:numId w:val="0"/>
        </w:numPr>
        <w:ind w:left="851" w:hanging="851"/>
        <w:rPr>
          <w:i/>
          <w:lang w:val="en-US"/>
        </w:rPr>
      </w:pPr>
      <w:bookmarkStart w:id="188" w:name="_Toc413932265"/>
      <w:r w:rsidRPr="0083286A">
        <w:rPr>
          <w:i/>
        </w:rPr>
        <w:lastRenderedPageBreak/>
        <w:t>Figure</w:t>
      </w:r>
      <w:r w:rsidRPr="0083286A">
        <w:rPr>
          <w:i/>
          <w:lang w:val="en-US"/>
        </w:rPr>
        <w:t xml:space="preserve"> 1: How well do Australians think the right to free</w:t>
      </w:r>
      <w:r w:rsidR="00246230" w:rsidRPr="0083286A">
        <w:rPr>
          <w:i/>
          <w:lang w:val="en-US"/>
        </w:rPr>
        <w:t xml:space="preserve">dom of expression is </w:t>
      </w:r>
      <w:r w:rsidR="006C4228" w:rsidRPr="0083286A">
        <w:rPr>
          <w:i/>
          <w:lang w:val="en-US"/>
        </w:rPr>
        <w:t>protected?</w:t>
      </w:r>
      <w:bookmarkEnd w:id="188"/>
    </w:p>
    <w:p w:rsidR="00293051" w:rsidRDefault="00DE6397" w:rsidP="00DE5294">
      <w:pPr>
        <w:jc w:val="center"/>
        <w:rPr>
          <w:b/>
          <w:noProof/>
        </w:rPr>
      </w:pPr>
      <w:r>
        <w:rPr>
          <w:b/>
          <w:noProof/>
        </w:rPr>
        <w:drawing>
          <wp:inline distT="0" distB="0" distL="0" distR="0" wp14:anchorId="0D7BCBC1" wp14:editId="614457D8">
            <wp:extent cx="4046855" cy="31527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5E20" w:rsidRDefault="005B5011" w:rsidP="001E439B">
      <w:pPr>
        <w:pStyle w:val="SubmissionNormal"/>
        <w:numPr>
          <w:ilvl w:val="0"/>
          <w:numId w:val="0"/>
        </w:numPr>
        <w:rPr>
          <w:rFonts w:cs="Arial"/>
        </w:rPr>
      </w:pPr>
      <w:r>
        <w:rPr>
          <w:lang w:val="en-US"/>
        </w:rPr>
        <w:t>The ability to exercise our right to freedom of expression</w:t>
      </w:r>
      <w:r>
        <w:rPr>
          <w:rFonts w:cs="Arial"/>
        </w:rPr>
        <w:t xml:space="preserve"> – and to open and informed debate – is a keystone to Australia’s democratic system. </w:t>
      </w:r>
    </w:p>
    <w:p w:rsidR="009A4CD8" w:rsidRDefault="00E6649A" w:rsidP="001E439B">
      <w:pPr>
        <w:pStyle w:val="SubmissionNormal"/>
        <w:numPr>
          <w:ilvl w:val="0"/>
          <w:numId w:val="0"/>
        </w:numPr>
        <w:rPr>
          <w:rFonts w:cs="Arial"/>
        </w:rPr>
      </w:pPr>
      <w:r>
        <w:t xml:space="preserve">The right to freedom of expression is not enshrined in federal legislation in Australia, be it through a </w:t>
      </w:r>
      <w:r w:rsidR="00DB2EBD">
        <w:t xml:space="preserve">charter of rights </w:t>
      </w:r>
      <w:r>
        <w:t>or otherwise</w:t>
      </w:r>
      <w:r w:rsidR="004079EC">
        <w:t>.</w:t>
      </w:r>
      <w:r w:rsidR="00DB2EBD">
        <w:t xml:space="preserve"> </w:t>
      </w:r>
      <w:r w:rsidR="00CF610F">
        <w:rPr>
          <w:rFonts w:cs="Arial"/>
        </w:rPr>
        <w:t>While</w:t>
      </w:r>
      <w:r w:rsidR="00DB2EBD">
        <w:t xml:space="preserve"> the </w:t>
      </w:r>
      <w:r w:rsidR="00DB2EBD" w:rsidRPr="006D7572">
        <w:rPr>
          <w:rFonts w:cs="Arial"/>
        </w:rPr>
        <w:t>High Court</w:t>
      </w:r>
      <w:r w:rsidR="00DB2EBD">
        <w:rPr>
          <w:rFonts w:cs="Arial"/>
        </w:rPr>
        <w:t xml:space="preserve"> of Australia</w:t>
      </w:r>
      <w:r w:rsidR="00DB2EBD" w:rsidRPr="006D7572">
        <w:rPr>
          <w:rFonts w:cs="Arial"/>
        </w:rPr>
        <w:t xml:space="preserve"> has </w:t>
      </w:r>
      <w:r>
        <w:rPr>
          <w:rFonts w:cs="Arial"/>
        </w:rPr>
        <w:t xml:space="preserve">found that an implied </w:t>
      </w:r>
      <w:r w:rsidR="00D46E86">
        <w:rPr>
          <w:rFonts w:cs="Arial"/>
        </w:rPr>
        <w:t xml:space="preserve">right to </w:t>
      </w:r>
      <w:r w:rsidR="00DB2EBD" w:rsidRPr="006D7572">
        <w:rPr>
          <w:rFonts w:cs="Arial"/>
        </w:rPr>
        <w:t>freedom of po</w:t>
      </w:r>
      <w:r w:rsidR="00DB2EBD">
        <w:rPr>
          <w:rFonts w:cs="Arial"/>
        </w:rPr>
        <w:t xml:space="preserve">litical communication </w:t>
      </w:r>
      <w:r>
        <w:rPr>
          <w:rFonts w:cs="Arial"/>
        </w:rPr>
        <w:t>exists in</w:t>
      </w:r>
      <w:r w:rsidR="00DB2EBD" w:rsidRPr="006D7572">
        <w:rPr>
          <w:rFonts w:cs="Arial"/>
        </w:rPr>
        <w:t xml:space="preserve"> the </w:t>
      </w:r>
      <w:r w:rsidR="00DB2EBD">
        <w:rPr>
          <w:rFonts w:cs="Arial"/>
        </w:rPr>
        <w:t xml:space="preserve">Australian </w:t>
      </w:r>
      <w:r w:rsidR="00DB2EBD" w:rsidRPr="006D7572">
        <w:rPr>
          <w:rFonts w:cs="Arial"/>
          <w:iCs/>
        </w:rPr>
        <w:t>Constitution</w:t>
      </w:r>
      <w:r w:rsidR="00CF610F">
        <w:rPr>
          <w:rFonts w:cs="Arial"/>
        </w:rPr>
        <w:t>, t</w:t>
      </w:r>
      <w:r w:rsidR="00876D70">
        <w:rPr>
          <w:rFonts w:cs="Arial"/>
        </w:rPr>
        <w:t>his protection of freedom of communication is ‘limited to what is necessary for the effective operation of [the] system of representative and responsible government’.</w:t>
      </w:r>
      <w:r w:rsidR="00876D70">
        <w:rPr>
          <w:rStyle w:val="EndnoteReference"/>
          <w:rFonts w:cs="Arial"/>
        </w:rPr>
        <w:endnoteReference w:id="14"/>
      </w:r>
    </w:p>
    <w:p w:rsidR="001E439B" w:rsidRDefault="0044541F" w:rsidP="001E439B">
      <w:pPr>
        <w:pStyle w:val="SubmissionNormal"/>
        <w:numPr>
          <w:ilvl w:val="0"/>
          <w:numId w:val="0"/>
        </w:numPr>
        <w:rPr>
          <w:rFonts w:cs="Arial"/>
        </w:rPr>
      </w:pPr>
      <w:r>
        <w:rPr>
          <w:rFonts w:cs="Arial"/>
        </w:rPr>
        <w:t>In survey</w:t>
      </w:r>
      <w:r w:rsidR="00D25979">
        <w:rPr>
          <w:rFonts w:cs="Arial"/>
        </w:rPr>
        <w:t>s</w:t>
      </w:r>
      <w:r>
        <w:rPr>
          <w:rFonts w:cs="Arial"/>
        </w:rPr>
        <w:t xml:space="preserve">, submissions and </w:t>
      </w:r>
      <w:r w:rsidR="00AB5906">
        <w:rPr>
          <w:rFonts w:cs="Arial"/>
        </w:rPr>
        <w:t xml:space="preserve">at </w:t>
      </w:r>
      <w:r>
        <w:rPr>
          <w:rFonts w:cs="Arial"/>
        </w:rPr>
        <w:t>meetings</w:t>
      </w:r>
      <w:r w:rsidR="004079EC">
        <w:rPr>
          <w:rFonts w:cs="Arial"/>
        </w:rPr>
        <w:t>, people across the country not</w:t>
      </w:r>
      <w:r>
        <w:rPr>
          <w:rFonts w:cs="Arial"/>
        </w:rPr>
        <w:t>ed concerns</w:t>
      </w:r>
      <w:r w:rsidR="001E439B">
        <w:rPr>
          <w:rFonts w:cs="Arial"/>
        </w:rPr>
        <w:t xml:space="preserve"> about the ways in which the federal and state/territory governments are infringing on people’s capacity to exercise free speech and participate in </w:t>
      </w:r>
      <w:r w:rsidR="0077573F">
        <w:rPr>
          <w:rFonts w:cs="Arial"/>
        </w:rPr>
        <w:t>public policy debate</w:t>
      </w:r>
      <w:r w:rsidR="001E439B">
        <w:rPr>
          <w:rFonts w:cs="Arial"/>
        </w:rPr>
        <w:t>.</w:t>
      </w:r>
    </w:p>
    <w:p w:rsidR="001E439B" w:rsidRDefault="001E439B" w:rsidP="001E439B">
      <w:pPr>
        <w:ind w:left="720"/>
        <w:rPr>
          <w:rFonts w:cs="Arial"/>
          <w:i/>
          <w:color w:val="000000"/>
          <w:sz w:val="22"/>
          <w:szCs w:val="22"/>
        </w:rPr>
      </w:pPr>
      <w:r>
        <w:rPr>
          <w:rFonts w:cs="Arial"/>
          <w:i/>
          <w:color w:val="000000"/>
          <w:sz w:val="22"/>
          <w:szCs w:val="22"/>
        </w:rPr>
        <w:t>Dissent, dialogue and even disagreement are cherished hallmarks of democracy but they are not always welcomed and encouraged. In recent years governments, aided and abetted by powerful interests, have consistently eroded freedom of expression in Australia.</w:t>
      </w:r>
      <w:r>
        <w:rPr>
          <w:rFonts w:cs="Arial"/>
          <w:color w:val="000000"/>
          <w:sz w:val="22"/>
          <w:szCs w:val="22"/>
        </w:rPr>
        <w:t xml:space="preserve"> O</w:t>
      </w:r>
      <w:r w:rsidRPr="00A71414">
        <w:rPr>
          <w:rFonts w:cs="Arial"/>
          <w:color w:val="000000"/>
          <w:sz w:val="22"/>
          <w:szCs w:val="22"/>
        </w:rPr>
        <w:t>nline survey</w:t>
      </w:r>
      <w:r>
        <w:rPr>
          <w:rFonts w:cs="Arial"/>
          <w:color w:val="000000"/>
          <w:sz w:val="22"/>
          <w:szCs w:val="22"/>
        </w:rPr>
        <w:t xml:space="preserve"> response</w:t>
      </w:r>
    </w:p>
    <w:p w:rsidR="001E439B" w:rsidRPr="00063662" w:rsidRDefault="001E439B" w:rsidP="00063662">
      <w:pPr>
        <w:autoSpaceDE w:val="0"/>
        <w:autoSpaceDN w:val="0"/>
        <w:adjustRightInd w:val="0"/>
        <w:spacing w:before="0" w:after="0"/>
        <w:ind w:left="720"/>
        <w:rPr>
          <w:rFonts w:ascii="ArialMT" w:eastAsia="Times New Roman" w:hAnsi="ArialMT" w:cs="ArialMT"/>
          <w:sz w:val="22"/>
          <w:szCs w:val="22"/>
        </w:rPr>
      </w:pPr>
      <w:r w:rsidRPr="009658EF">
        <w:rPr>
          <w:rFonts w:cs="Arial"/>
          <w:i/>
          <w:sz w:val="22"/>
          <w:szCs w:val="22"/>
        </w:rPr>
        <w:t xml:space="preserve">In [some] contexts, there may be restrictions on the exercise of freedom of expression that cannot be justified. This is particularly so when freedom of expression </w:t>
      </w:r>
      <w:r w:rsidRPr="00063662">
        <w:rPr>
          <w:rFonts w:cs="Arial"/>
          <w:i/>
          <w:sz w:val="22"/>
          <w:szCs w:val="22"/>
        </w:rPr>
        <w:t>is not just viewed as the simple right to speak, but as inextricably linked to the right to participate in public affairs</w:t>
      </w:r>
      <w:r w:rsidR="00063662" w:rsidRPr="00063662">
        <w:rPr>
          <w:rFonts w:cs="Arial"/>
          <w:i/>
          <w:sz w:val="22"/>
          <w:szCs w:val="22"/>
        </w:rPr>
        <w:t>…</w:t>
      </w:r>
      <w:r w:rsidR="00921F84" w:rsidRPr="00063662">
        <w:rPr>
          <w:rFonts w:ascii="ArialMT" w:eastAsia="Times New Roman" w:hAnsi="ArialMT" w:cs="ArialMT"/>
          <w:i/>
          <w:sz w:val="22"/>
          <w:szCs w:val="22"/>
        </w:rPr>
        <w:t xml:space="preserve"> For those who are homeless and at risk of homelessness, the ability to exercise their freedom of</w:t>
      </w:r>
      <w:r w:rsidR="00063662" w:rsidRPr="00063662">
        <w:rPr>
          <w:rFonts w:ascii="ArialMT" w:eastAsia="Times New Roman" w:hAnsi="ArialMT" w:cs="ArialMT"/>
          <w:i/>
          <w:sz w:val="22"/>
          <w:szCs w:val="22"/>
        </w:rPr>
        <w:t xml:space="preserve"> </w:t>
      </w:r>
      <w:r w:rsidR="00921F84" w:rsidRPr="00063662">
        <w:rPr>
          <w:rFonts w:ascii="ArialMT" w:eastAsia="Times New Roman" w:hAnsi="ArialMT" w:cs="ArialMT"/>
          <w:i/>
          <w:sz w:val="22"/>
          <w:szCs w:val="22"/>
        </w:rPr>
        <w:t xml:space="preserve">speech in order to fully participate in Australian democracy </w:t>
      </w:r>
      <w:r w:rsidR="00063662" w:rsidRPr="00063662">
        <w:rPr>
          <w:rFonts w:ascii="ArialMT" w:eastAsia="Times New Roman" w:hAnsi="ArialMT" w:cs="ArialMT"/>
          <w:i/>
          <w:sz w:val="22"/>
          <w:szCs w:val="22"/>
        </w:rPr>
        <w:t xml:space="preserve">is severely restricted by their </w:t>
      </w:r>
      <w:r w:rsidR="0083286A">
        <w:rPr>
          <w:rFonts w:ascii="ArialMT" w:eastAsia="Times New Roman" w:hAnsi="ArialMT" w:cs="ArialMT"/>
          <w:i/>
          <w:sz w:val="22"/>
          <w:szCs w:val="22"/>
        </w:rPr>
        <w:t xml:space="preserve">disadvantage. </w:t>
      </w:r>
      <w:r w:rsidR="00921F84" w:rsidRPr="00063662">
        <w:rPr>
          <w:rFonts w:ascii="ArialMT" w:eastAsia="Times New Roman" w:hAnsi="ArialMT" w:cs="ArialMT"/>
          <w:i/>
          <w:sz w:val="22"/>
          <w:szCs w:val="22"/>
        </w:rPr>
        <w:t>Being excluded from mass media opportunities a</w:t>
      </w:r>
      <w:r w:rsidR="00063662" w:rsidRPr="00063662">
        <w:rPr>
          <w:rFonts w:ascii="ArialMT" w:eastAsia="Times New Roman" w:hAnsi="ArialMT" w:cs="ArialMT"/>
          <w:i/>
          <w:sz w:val="22"/>
          <w:szCs w:val="22"/>
        </w:rPr>
        <w:t xml:space="preserve">nd from policy-making processes </w:t>
      </w:r>
      <w:r w:rsidR="00921F84" w:rsidRPr="00063662">
        <w:rPr>
          <w:rFonts w:ascii="ArialMT" w:eastAsia="Times New Roman" w:hAnsi="ArialMT" w:cs="ArialMT"/>
          <w:i/>
          <w:sz w:val="22"/>
          <w:szCs w:val="22"/>
        </w:rPr>
        <w:t>means that the voices of this group are effectively silenced whe</w:t>
      </w:r>
      <w:r w:rsidR="00063662" w:rsidRPr="00063662">
        <w:rPr>
          <w:rFonts w:ascii="ArialMT" w:eastAsia="Times New Roman" w:hAnsi="ArialMT" w:cs="ArialMT"/>
          <w:i/>
          <w:sz w:val="22"/>
          <w:szCs w:val="22"/>
        </w:rPr>
        <w:t xml:space="preserve">n it comes to developing policy </w:t>
      </w:r>
      <w:r w:rsidR="00921F84" w:rsidRPr="00063662">
        <w:rPr>
          <w:rFonts w:ascii="ArialMT" w:eastAsia="Times New Roman" w:hAnsi="ArialMT" w:cs="ArialMT"/>
          <w:i/>
          <w:sz w:val="22"/>
          <w:szCs w:val="22"/>
        </w:rPr>
        <w:t>that will have a significant impact on their lives.</w:t>
      </w:r>
      <w:r>
        <w:rPr>
          <w:rFonts w:cs="Arial"/>
          <w:sz w:val="22"/>
          <w:szCs w:val="22"/>
        </w:rPr>
        <w:t xml:space="preserve"> Public Interest Advocacy Centre submission</w:t>
      </w:r>
    </w:p>
    <w:p w:rsidR="004A2CE6" w:rsidRDefault="00662686" w:rsidP="00D25979">
      <w:pPr>
        <w:rPr>
          <w:rFonts w:cs="Arial"/>
        </w:rPr>
      </w:pPr>
      <w:r>
        <w:rPr>
          <w:rFonts w:cs="Arial"/>
        </w:rPr>
        <w:lastRenderedPageBreak/>
        <w:t xml:space="preserve">The </w:t>
      </w:r>
      <w:r w:rsidR="004A2CE6">
        <w:rPr>
          <w:rFonts w:cs="Arial"/>
        </w:rPr>
        <w:t>fol</w:t>
      </w:r>
      <w:r>
        <w:rPr>
          <w:rFonts w:cs="Arial"/>
        </w:rPr>
        <w:t>lowing issues were identified as encroaching on people’s right to freedom of expression in Australia:</w:t>
      </w:r>
    </w:p>
    <w:p w:rsidR="00374207" w:rsidRDefault="00D25723" w:rsidP="004A2CE6">
      <w:pPr>
        <w:numPr>
          <w:ilvl w:val="0"/>
          <w:numId w:val="18"/>
        </w:numPr>
        <w:rPr>
          <w:rFonts w:cs="Arial"/>
        </w:rPr>
      </w:pPr>
      <w:r>
        <w:rPr>
          <w:rFonts w:cs="Arial"/>
        </w:rPr>
        <w:t>anti-</w:t>
      </w:r>
      <w:r w:rsidR="00662686">
        <w:rPr>
          <w:rFonts w:cs="Arial"/>
        </w:rPr>
        <w:t>protest</w:t>
      </w:r>
      <w:r>
        <w:rPr>
          <w:rFonts w:cs="Arial"/>
        </w:rPr>
        <w:t xml:space="preserve"> laws</w:t>
      </w:r>
    </w:p>
    <w:p w:rsidR="00662686" w:rsidRDefault="000A0D2A" w:rsidP="004A2CE6">
      <w:pPr>
        <w:numPr>
          <w:ilvl w:val="0"/>
          <w:numId w:val="18"/>
        </w:numPr>
        <w:rPr>
          <w:rFonts w:cs="Arial"/>
        </w:rPr>
      </w:pPr>
      <w:r>
        <w:rPr>
          <w:rFonts w:cs="Arial"/>
        </w:rPr>
        <w:t>changes to</w:t>
      </w:r>
      <w:r w:rsidR="00513124">
        <w:rPr>
          <w:rFonts w:cs="Arial"/>
        </w:rPr>
        <w:t xml:space="preserve"> </w:t>
      </w:r>
      <w:r>
        <w:rPr>
          <w:rFonts w:cs="Arial"/>
        </w:rPr>
        <w:t xml:space="preserve">federal </w:t>
      </w:r>
      <w:r w:rsidR="00D25723">
        <w:rPr>
          <w:rFonts w:cs="Arial"/>
        </w:rPr>
        <w:t xml:space="preserve">and state </w:t>
      </w:r>
      <w:r w:rsidR="00513124">
        <w:rPr>
          <w:rFonts w:cs="Arial"/>
        </w:rPr>
        <w:t xml:space="preserve">government policies and funding </w:t>
      </w:r>
      <w:r>
        <w:rPr>
          <w:rFonts w:cs="Arial"/>
        </w:rPr>
        <w:t xml:space="preserve">that impact on </w:t>
      </w:r>
      <w:r w:rsidR="003869A5">
        <w:rPr>
          <w:rFonts w:cs="Arial"/>
        </w:rPr>
        <w:t>the capacity of the community sector to participa</w:t>
      </w:r>
      <w:r>
        <w:rPr>
          <w:rFonts w:cs="Arial"/>
        </w:rPr>
        <w:t>te in public policy discussions</w:t>
      </w:r>
    </w:p>
    <w:p w:rsidR="00872ED6" w:rsidRDefault="009610FD" w:rsidP="004A2CE6">
      <w:pPr>
        <w:numPr>
          <w:ilvl w:val="0"/>
          <w:numId w:val="18"/>
        </w:numPr>
        <w:rPr>
          <w:rFonts w:cs="Arial"/>
        </w:rPr>
      </w:pPr>
      <w:r>
        <w:rPr>
          <w:rFonts w:cs="Arial"/>
        </w:rPr>
        <w:t xml:space="preserve">laws </w:t>
      </w:r>
      <w:r w:rsidR="00BC1281">
        <w:rPr>
          <w:rFonts w:cs="Arial"/>
        </w:rPr>
        <w:t xml:space="preserve">that limit speech and then prescribe the lawful basis </w:t>
      </w:r>
      <w:r w:rsidR="0016021C">
        <w:rPr>
          <w:rFonts w:cs="Arial"/>
        </w:rPr>
        <w:t>for</w:t>
      </w:r>
      <w:r w:rsidR="00BC1281">
        <w:rPr>
          <w:rFonts w:cs="Arial"/>
        </w:rPr>
        <w:t xml:space="preserve"> expression</w:t>
      </w:r>
    </w:p>
    <w:p w:rsidR="00A9524D" w:rsidRPr="00063662" w:rsidRDefault="009C5AC6" w:rsidP="00063662">
      <w:pPr>
        <w:numPr>
          <w:ilvl w:val="0"/>
          <w:numId w:val="18"/>
        </w:numPr>
        <w:rPr>
          <w:rFonts w:cs="Arial"/>
        </w:rPr>
      </w:pPr>
      <w:r>
        <w:rPr>
          <w:rFonts w:cs="Arial"/>
        </w:rPr>
        <w:t>laws affecting</w:t>
      </w:r>
      <w:r w:rsidR="003A03AD">
        <w:rPr>
          <w:rFonts w:cs="Arial"/>
        </w:rPr>
        <w:t xml:space="preserve"> freedom of the media</w:t>
      </w:r>
      <w:r w:rsidR="00A9524D" w:rsidRPr="00063662">
        <w:rPr>
          <w:rFonts w:cs="Arial"/>
        </w:rPr>
        <w:t>.</w:t>
      </w:r>
    </w:p>
    <w:p w:rsidR="007C45E0" w:rsidRPr="00A9524D" w:rsidRDefault="007C45E0" w:rsidP="007C45E0">
      <w:pPr>
        <w:rPr>
          <w:rFonts w:cs="Arial"/>
        </w:rPr>
      </w:pPr>
      <w:r>
        <w:rPr>
          <w:rFonts w:cs="Arial"/>
        </w:rPr>
        <w:t xml:space="preserve">Discussions also focused on </w:t>
      </w:r>
      <w:r w:rsidR="00063662">
        <w:rPr>
          <w:rFonts w:cs="Arial"/>
        </w:rPr>
        <w:t xml:space="preserve">privacy and </w:t>
      </w:r>
      <w:r w:rsidR="007A3BE4">
        <w:rPr>
          <w:rFonts w:cs="Arial"/>
        </w:rPr>
        <w:t>ways in which</w:t>
      </w:r>
      <w:r w:rsidR="00E433FA">
        <w:rPr>
          <w:rFonts w:cs="Arial"/>
        </w:rPr>
        <w:t xml:space="preserve"> </w:t>
      </w:r>
      <w:r>
        <w:rPr>
          <w:rFonts w:cs="Arial"/>
        </w:rPr>
        <w:t xml:space="preserve">the internet </w:t>
      </w:r>
      <w:r w:rsidR="00E433FA">
        <w:rPr>
          <w:rFonts w:cs="Arial"/>
        </w:rPr>
        <w:t xml:space="preserve">is used </w:t>
      </w:r>
      <w:r w:rsidR="00C437B8">
        <w:rPr>
          <w:rFonts w:cs="Arial"/>
        </w:rPr>
        <w:t>as an instrument to promote</w:t>
      </w:r>
      <w:r>
        <w:rPr>
          <w:rFonts w:cs="Arial"/>
        </w:rPr>
        <w:t xml:space="preserve"> </w:t>
      </w:r>
      <w:r w:rsidR="00E433FA">
        <w:rPr>
          <w:rFonts w:cs="Arial"/>
        </w:rPr>
        <w:t>the right to freedom of expression</w:t>
      </w:r>
      <w:r>
        <w:rPr>
          <w:rFonts w:cs="Arial"/>
        </w:rPr>
        <w:t>.</w:t>
      </w:r>
    </w:p>
    <w:p w:rsidR="00425CA1" w:rsidRPr="00425CA1" w:rsidRDefault="00D25723" w:rsidP="00425CA1">
      <w:pPr>
        <w:pStyle w:val="Heading4"/>
        <w:numPr>
          <w:ilvl w:val="0"/>
          <w:numId w:val="0"/>
        </w:numPr>
        <w:ind w:left="851" w:hanging="851"/>
        <w:rPr>
          <w:i/>
        </w:rPr>
      </w:pPr>
      <w:bookmarkStart w:id="189" w:name="_Toc413932266"/>
      <w:r>
        <w:rPr>
          <w:i/>
        </w:rPr>
        <w:t>Anti-</w:t>
      </w:r>
      <w:r w:rsidR="00425CA1" w:rsidRPr="00425CA1">
        <w:rPr>
          <w:i/>
        </w:rPr>
        <w:t>protest</w:t>
      </w:r>
      <w:r>
        <w:rPr>
          <w:i/>
        </w:rPr>
        <w:t xml:space="preserve"> laws</w:t>
      </w:r>
      <w:bookmarkEnd w:id="189"/>
    </w:p>
    <w:p w:rsidR="004A0140" w:rsidRDefault="001C33AE" w:rsidP="00D25979">
      <w:pPr>
        <w:rPr>
          <w:rFonts w:cs="Arial"/>
        </w:rPr>
      </w:pPr>
      <w:r>
        <w:rPr>
          <w:rFonts w:cs="Arial"/>
        </w:rPr>
        <w:t>At meetings in South Australia, Tasmania, Queensland and Victoria, c</w:t>
      </w:r>
      <w:r w:rsidR="00626543">
        <w:rPr>
          <w:rFonts w:cs="Arial"/>
        </w:rPr>
        <w:t xml:space="preserve">oncerns were raised about </w:t>
      </w:r>
      <w:r w:rsidR="00FA5493">
        <w:rPr>
          <w:rFonts w:cs="Arial"/>
        </w:rPr>
        <w:t>anti-protest laws</w:t>
      </w:r>
      <w:r w:rsidR="00BA4E45">
        <w:rPr>
          <w:rFonts w:cs="Arial"/>
        </w:rPr>
        <w:t>. As noted in the Human Rights Law Centre’s submission, ‘many</w:t>
      </w:r>
      <w:r>
        <w:rPr>
          <w:rFonts w:cs="Arial"/>
        </w:rPr>
        <w:t xml:space="preserve"> of these anti-protest laws …</w:t>
      </w:r>
      <w:r w:rsidR="00BA4E45">
        <w:rPr>
          <w:rFonts w:cs="Arial"/>
        </w:rPr>
        <w:t xml:space="preserve"> impact on freedom of speech’ and the right</w:t>
      </w:r>
      <w:r w:rsidR="004A0140">
        <w:rPr>
          <w:rFonts w:cs="Arial"/>
        </w:rPr>
        <w:t>s</w:t>
      </w:r>
      <w:r w:rsidR="00BA4E45">
        <w:rPr>
          <w:rFonts w:cs="Arial"/>
        </w:rPr>
        <w:t xml:space="preserve"> to freedom of peaceful assembly</w:t>
      </w:r>
      <w:r w:rsidR="004A0140">
        <w:rPr>
          <w:rFonts w:cs="Arial"/>
        </w:rPr>
        <w:t xml:space="preserve"> and association</w:t>
      </w:r>
      <w:r w:rsidR="00BA4E45">
        <w:rPr>
          <w:rFonts w:cs="Arial"/>
        </w:rPr>
        <w:t>.</w:t>
      </w:r>
      <w:r w:rsidR="004A0140">
        <w:rPr>
          <w:rFonts w:cs="Arial"/>
        </w:rPr>
        <w:t xml:space="preserve"> In particular, these laws restrict the capacity for people to </w:t>
      </w:r>
      <w:r w:rsidR="00626543">
        <w:rPr>
          <w:rFonts w:cs="Arial"/>
        </w:rPr>
        <w:t xml:space="preserve">debate and disagree on public policy matters, as well as </w:t>
      </w:r>
      <w:r w:rsidR="004A0140">
        <w:rPr>
          <w:rFonts w:cs="Arial"/>
        </w:rPr>
        <w:t xml:space="preserve">limit </w:t>
      </w:r>
      <w:r w:rsidR="00AF11B6">
        <w:rPr>
          <w:rFonts w:cs="Arial"/>
        </w:rPr>
        <w:t xml:space="preserve">the ability </w:t>
      </w:r>
      <w:r w:rsidR="004A0140">
        <w:rPr>
          <w:rFonts w:cs="Arial"/>
        </w:rPr>
        <w:t xml:space="preserve">for people </w:t>
      </w:r>
      <w:r w:rsidR="00AF11B6">
        <w:rPr>
          <w:rFonts w:cs="Arial"/>
        </w:rPr>
        <w:t>to express these views as a group</w:t>
      </w:r>
      <w:r w:rsidR="00B0575F">
        <w:rPr>
          <w:rFonts w:cs="Arial"/>
        </w:rPr>
        <w:t xml:space="preserve">. </w:t>
      </w:r>
    </w:p>
    <w:p w:rsidR="00D25979" w:rsidRDefault="00626286" w:rsidP="00D25979">
      <w:pPr>
        <w:rPr>
          <w:rFonts w:cs="Arial"/>
        </w:rPr>
      </w:pPr>
      <w:r>
        <w:rPr>
          <w:rFonts w:cs="Arial"/>
        </w:rPr>
        <w:t>E</w:t>
      </w:r>
      <w:r w:rsidR="00E03416">
        <w:rPr>
          <w:rFonts w:cs="Arial"/>
        </w:rPr>
        <w:t xml:space="preserve">xamples </w:t>
      </w:r>
      <w:r w:rsidR="000903A9">
        <w:rPr>
          <w:rFonts w:cs="Arial"/>
        </w:rPr>
        <w:t xml:space="preserve">of </w:t>
      </w:r>
      <w:r w:rsidR="00080033">
        <w:rPr>
          <w:rFonts w:cs="Arial"/>
        </w:rPr>
        <w:t>anti-protest laws that were identified during</w:t>
      </w:r>
      <w:r w:rsidR="00E03416">
        <w:rPr>
          <w:rFonts w:cs="Arial"/>
        </w:rPr>
        <w:t xml:space="preserve"> the consultation were:</w:t>
      </w:r>
    </w:p>
    <w:p w:rsidR="00D25979" w:rsidRDefault="00760E07" w:rsidP="00D25979">
      <w:pPr>
        <w:numPr>
          <w:ilvl w:val="0"/>
          <w:numId w:val="16"/>
        </w:numPr>
        <w:rPr>
          <w:rFonts w:cs="Arial"/>
        </w:rPr>
      </w:pPr>
      <w:r w:rsidRPr="00E03416">
        <w:rPr>
          <w:rFonts w:cs="Arial"/>
          <w:i/>
        </w:rPr>
        <w:t>Workplaces (Protection from Protesters) Bill 2014</w:t>
      </w:r>
      <w:r w:rsidR="00E03416">
        <w:rPr>
          <w:rFonts w:cs="Arial"/>
          <w:i/>
        </w:rPr>
        <w:t xml:space="preserve"> </w:t>
      </w:r>
      <w:r w:rsidR="00E03416" w:rsidRPr="00E03416">
        <w:rPr>
          <w:rFonts w:cs="Arial"/>
        </w:rPr>
        <w:t>(Tasmania)</w:t>
      </w:r>
      <w:r w:rsidR="002913B5">
        <w:rPr>
          <w:rFonts w:cs="Arial"/>
        </w:rPr>
        <w:t xml:space="preserve"> – </w:t>
      </w:r>
      <w:r w:rsidR="002913B5" w:rsidRPr="002E0270">
        <w:rPr>
          <w:rFonts w:cs="Arial"/>
        </w:rPr>
        <w:t>anti-protest laws criminalising legitimate forms of</w:t>
      </w:r>
      <w:r w:rsidR="002913B5">
        <w:rPr>
          <w:rFonts w:cs="Arial"/>
        </w:rPr>
        <w:t xml:space="preserve"> peaceful protest</w:t>
      </w:r>
      <w:r w:rsidR="0077573F">
        <w:rPr>
          <w:rFonts w:cs="Arial"/>
        </w:rPr>
        <w:t>.</w:t>
      </w:r>
    </w:p>
    <w:p w:rsidR="000903A9" w:rsidRDefault="00FE677F" w:rsidP="00D25979">
      <w:pPr>
        <w:numPr>
          <w:ilvl w:val="0"/>
          <w:numId w:val="16"/>
        </w:numPr>
        <w:rPr>
          <w:rFonts w:cs="Arial"/>
        </w:rPr>
      </w:pPr>
      <w:r w:rsidRPr="00FE677F">
        <w:rPr>
          <w:rFonts w:cs="Arial"/>
          <w:i/>
        </w:rPr>
        <w:t>Reproductive Health (Access to Terminations) Act 2013</w:t>
      </w:r>
      <w:r>
        <w:rPr>
          <w:rFonts w:cs="Arial"/>
        </w:rPr>
        <w:t xml:space="preserve"> (Tasmania) –</w:t>
      </w:r>
      <w:r w:rsidR="004024C6">
        <w:rPr>
          <w:rFonts w:cs="Arial"/>
        </w:rPr>
        <w:t xml:space="preserve"> access </w:t>
      </w:r>
      <w:r>
        <w:rPr>
          <w:rFonts w:cs="Arial"/>
        </w:rPr>
        <w:t xml:space="preserve">laws preventing persons from </w:t>
      </w:r>
      <w:r w:rsidR="004024C6">
        <w:rPr>
          <w:rFonts w:cs="Arial"/>
        </w:rPr>
        <w:t>protesting within 150 metres of an abortion clinic</w:t>
      </w:r>
      <w:r w:rsidR="0077573F">
        <w:rPr>
          <w:rFonts w:cs="Arial"/>
        </w:rPr>
        <w:t>.</w:t>
      </w:r>
    </w:p>
    <w:p w:rsidR="00D25979" w:rsidRDefault="002913B5" w:rsidP="00D25979">
      <w:pPr>
        <w:numPr>
          <w:ilvl w:val="0"/>
          <w:numId w:val="16"/>
        </w:numPr>
        <w:rPr>
          <w:rFonts w:cs="Arial"/>
        </w:rPr>
      </w:pPr>
      <w:r>
        <w:rPr>
          <w:rFonts w:cs="Arial"/>
        </w:rPr>
        <w:t>Amendments</w:t>
      </w:r>
      <w:r w:rsidR="00080033">
        <w:rPr>
          <w:rFonts w:cs="Arial"/>
        </w:rPr>
        <w:t xml:space="preserve"> in 2014 </w:t>
      </w:r>
      <w:r>
        <w:rPr>
          <w:rFonts w:cs="Arial"/>
        </w:rPr>
        <w:t xml:space="preserve">to the </w:t>
      </w:r>
      <w:r w:rsidRPr="00080033">
        <w:rPr>
          <w:rFonts w:cs="Arial"/>
          <w:i/>
        </w:rPr>
        <w:t>Summary Offences Act</w:t>
      </w:r>
      <w:r w:rsidR="00080033">
        <w:rPr>
          <w:rFonts w:cs="Arial"/>
          <w:i/>
        </w:rPr>
        <w:t xml:space="preserve"> 1966</w:t>
      </w:r>
      <w:r>
        <w:rPr>
          <w:rFonts w:cs="Arial"/>
        </w:rPr>
        <w:t xml:space="preserve"> (</w:t>
      </w:r>
      <w:r w:rsidR="00D25979" w:rsidRPr="002E0270">
        <w:rPr>
          <w:rFonts w:cs="Arial"/>
        </w:rPr>
        <w:t>Victoria</w:t>
      </w:r>
      <w:r>
        <w:rPr>
          <w:rFonts w:cs="Arial"/>
        </w:rPr>
        <w:t>) –</w:t>
      </w:r>
      <w:r w:rsidR="00D25979" w:rsidRPr="002E0270">
        <w:rPr>
          <w:rFonts w:cs="Arial"/>
        </w:rPr>
        <w:t xml:space="preserve"> </w:t>
      </w:r>
      <w:r w:rsidR="00425CA1">
        <w:rPr>
          <w:rFonts w:cs="Arial"/>
        </w:rPr>
        <w:t>a</w:t>
      </w:r>
      <w:r w:rsidR="00080033">
        <w:rPr>
          <w:rFonts w:cs="Arial"/>
        </w:rPr>
        <w:t>nti-protest laws</w:t>
      </w:r>
      <w:r w:rsidR="00425CA1">
        <w:rPr>
          <w:rFonts w:cs="Arial"/>
        </w:rPr>
        <w:t xml:space="preserve"> </w:t>
      </w:r>
      <w:r w:rsidR="00D25979">
        <w:rPr>
          <w:rFonts w:cs="Arial"/>
        </w:rPr>
        <w:t>expand</w:t>
      </w:r>
      <w:r w:rsidR="00080033">
        <w:rPr>
          <w:rFonts w:cs="Arial"/>
        </w:rPr>
        <w:t>ing</w:t>
      </w:r>
      <w:r w:rsidR="00D25979">
        <w:rPr>
          <w:rFonts w:cs="Arial"/>
        </w:rPr>
        <w:t xml:space="preserve"> broad police powers to m</w:t>
      </w:r>
      <w:r w:rsidR="008E3D0E">
        <w:rPr>
          <w:rFonts w:cs="Arial"/>
        </w:rPr>
        <w:t>ove people on from public space</w:t>
      </w:r>
      <w:r w:rsidR="0077573F">
        <w:rPr>
          <w:rFonts w:cs="Arial"/>
        </w:rPr>
        <w:t>.</w:t>
      </w:r>
      <w:r w:rsidR="00F400C6">
        <w:rPr>
          <w:rStyle w:val="EndnoteReference"/>
          <w:rFonts w:cs="Arial"/>
        </w:rPr>
        <w:endnoteReference w:id="15"/>
      </w:r>
    </w:p>
    <w:p w:rsidR="00D25979" w:rsidRDefault="00BD7751" w:rsidP="00D25979">
      <w:pPr>
        <w:numPr>
          <w:ilvl w:val="0"/>
          <w:numId w:val="16"/>
        </w:numPr>
        <w:rPr>
          <w:rFonts w:cs="Arial"/>
        </w:rPr>
      </w:pPr>
      <w:r>
        <w:rPr>
          <w:rFonts w:cs="Arial"/>
        </w:rPr>
        <w:t xml:space="preserve">G20 </w:t>
      </w:r>
      <w:r w:rsidR="00D25979">
        <w:rPr>
          <w:rFonts w:cs="Arial"/>
        </w:rPr>
        <w:t>l</w:t>
      </w:r>
      <w:r>
        <w:rPr>
          <w:rFonts w:cs="Arial"/>
        </w:rPr>
        <w:t xml:space="preserve">egislation enacted in Queensland </w:t>
      </w:r>
      <w:r w:rsidR="00626286">
        <w:rPr>
          <w:rFonts w:cs="Arial"/>
        </w:rPr>
        <w:t>giving police broad powers to control protesters during the G20 summit in Brisbane in November 2014</w:t>
      </w:r>
      <w:r w:rsidR="006C7E69">
        <w:rPr>
          <w:rFonts w:cs="Arial"/>
        </w:rPr>
        <w:t>.</w:t>
      </w:r>
    </w:p>
    <w:p w:rsidR="00D25979" w:rsidRDefault="00A3114E" w:rsidP="00A3114E">
      <w:pPr>
        <w:rPr>
          <w:rFonts w:cs="Arial"/>
        </w:rPr>
      </w:pPr>
      <w:r>
        <w:rPr>
          <w:rFonts w:cs="Arial"/>
        </w:rPr>
        <w:t xml:space="preserve">Mark Parnell MLC (South Australia) also highlighted the </w:t>
      </w:r>
      <w:r w:rsidR="00241878">
        <w:rPr>
          <w:rFonts w:cs="Arial"/>
        </w:rPr>
        <w:t xml:space="preserve">detrimental impact </w:t>
      </w:r>
      <w:r>
        <w:rPr>
          <w:rFonts w:cs="Arial"/>
        </w:rPr>
        <w:t>of Strategic Litigation Against Public Participation (</w:t>
      </w:r>
      <w:r w:rsidR="00C67108">
        <w:rPr>
          <w:rFonts w:cs="Arial"/>
        </w:rPr>
        <w:t>SLAPP</w:t>
      </w:r>
      <w:r>
        <w:rPr>
          <w:rFonts w:cs="Arial"/>
        </w:rPr>
        <w:t>)</w:t>
      </w:r>
      <w:r w:rsidR="00241878">
        <w:rPr>
          <w:rFonts w:cs="Arial"/>
        </w:rPr>
        <w:t xml:space="preserve"> practices </w:t>
      </w:r>
      <w:r w:rsidR="001F28A3">
        <w:rPr>
          <w:rFonts w:cs="Arial"/>
        </w:rPr>
        <w:t xml:space="preserve">on free speech </w:t>
      </w:r>
      <w:r w:rsidR="00241878">
        <w:rPr>
          <w:rFonts w:cs="Arial"/>
        </w:rPr>
        <w:t xml:space="preserve">in </w:t>
      </w:r>
      <w:r w:rsidR="00001154">
        <w:rPr>
          <w:rFonts w:cs="Arial"/>
        </w:rPr>
        <w:t>South Australia</w:t>
      </w:r>
      <w:r w:rsidR="001F28A3">
        <w:rPr>
          <w:rFonts w:cs="Arial"/>
        </w:rPr>
        <w:t xml:space="preserve">. SLAPP occurs where civil litigation is initiated in relation to a political issue in order to suppress community debate or </w:t>
      </w:r>
      <w:r w:rsidR="004A2B8B">
        <w:rPr>
          <w:rFonts w:cs="Arial"/>
        </w:rPr>
        <w:t>stifle political activity.</w:t>
      </w:r>
      <w:r w:rsidR="00001154">
        <w:rPr>
          <w:rFonts w:cs="Arial"/>
        </w:rPr>
        <w:t xml:space="preserve"> </w:t>
      </w:r>
      <w:r w:rsidR="004A2B8B">
        <w:rPr>
          <w:rFonts w:cs="Arial"/>
        </w:rPr>
        <w:t>These practices effectively use litigation to stop people from exercising their right to protest.</w:t>
      </w:r>
    </w:p>
    <w:p w:rsidR="00DE53C4" w:rsidRDefault="00DE53C4" w:rsidP="00B0575F">
      <w:pPr>
        <w:rPr>
          <w:rFonts w:cs="Arial"/>
        </w:rPr>
      </w:pPr>
      <w:r>
        <w:rPr>
          <w:rFonts w:cs="Arial"/>
        </w:rPr>
        <w:t>Exercising the right to freedom of peaceful assembly should only be curtailed when necessary, with any restrictions proportionate to the legitimate</w:t>
      </w:r>
      <w:r w:rsidR="00E00F1F">
        <w:rPr>
          <w:rFonts w:cs="Arial"/>
        </w:rPr>
        <w:t xml:space="preserve"> aims of assembly.</w:t>
      </w:r>
      <w:r>
        <w:rPr>
          <w:rFonts w:cs="Arial"/>
        </w:rPr>
        <w:t xml:space="preserve"> </w:t>
      </w:r>
      <w:r w:rsidR="00E00F1F">
        <w:rPr>
          <w:rFonts w:cs="Arial"/>
        </w:rPr>
        <w:t>In this respect, freedom should be ‘considered the rule and its restriction the exception.’</w:t>
      </w:r>
      <w:r w:rsidR="00E00F1F">
        <w:rPr>
          <w:rStyle w:val="EndnoteReference"/>
          <w:rFonts w:cs="Arial"/>
        </w:rPr>
        <w:endnoteReference w:id="16"/>
      </w:r>
    </w:p>
    <w:p w:rsidR="008F2E08" w:rsidRDefault="00FA5493" w:rsidP="00B0575F">
      <w:pPr>
        <w:rPr>
          <w:rFonts w:cs="Arial"/>
        </w:rPr>
      </w:pPr>
      <w:r>
        <w:rPr>
          <w:rFonts w:cs="Arial"/>
        </w:rPr>
        <w:lastRenderedPageBreak/>
        <w:t>A</w:t>
      </w:r>
      <w:r w:rsidR="00861303">
        <w:rPr>
          <w:rFonts w:cs="Arial"/>
        </w:rPr>
        <w:t xml:space="preserve">nti-protest laws </w:t>
      </w:r>
      <w:r w:rsidR="00F868E7">
        <w:rPr>
          <w:rFonts w:cs="Arial"/>
        </w:rPr>
        <w:t>d</w:t>
      </w:r>
      <w:r w:rsidR="00861303">
        <w:rPr>
          <w:rFonts w:cs="Arial"/>
        </w:rPr>
        <w:t>iminish</w:t>
      </w:r>
      <w:r w:rsidR="00F868E7">
        <w:rPr>
          <w:rFonts w:cs="Arial"/>
        </w:rPr>
        <w:t xml:space="preserve"> our </w:t>
      </w:r>
      <w:r w:rsidR="00457815">
        <w:rPr>
          <w:rFonts w:cs="Arial"/>
        </w:rPr>
        <w:t xml:space="preserve">right to </w:t>
      </w:r>
      <w:r w:rsidR="00F868E7">
        <w:rPr>
          <w:rFonts w:cs="Arial"/>
        </w:rPr>
        <w:t xml:space="preserve">freely express our views </w:t>
      </w:r>
      <w:r w:rsidR="008F2E08">
        <w:rPr>
          <w:rFonts w:cs="Arial"/>
        </w:rPr>
        <w:t>with others. Restrictions on this require serious justification, and must be limited to only what is necessary.</w:t>
      </w:r>
    </w:p>
    <w:p w:rsidR="00457815" w:rsidRDefault="00DA28FE" w:rsidP="00B0575F">
      <w:pPr>
        <w:rPr>
          <w:rFonts w:cs="Arial"/>
        </w:rPr>
      </w:pPr>
      <w:r>
        <w:rPr>
          <w:rFonts w:cs="Arial"/>
        </w:rPr>
        <w:t xml:space="preserve">Hindering </w:t>
      </w:r>
      <w:r w:rsidR="005B0FFE">
        <w:rPr>
          <w:rFonts w:cs="Arial"/>
        </w:rPr>
        <w:t xml:space="preserve">the expression of </w:t>
      </w:r>
      <w:r>
        <w:rPr>
          <w:rFonts w:cs="Arial"/>
        </w:rPr>
        <w:t>views</w:t>
      </w:r>
      <w:r w:rsidR="00861303">
        <w:rPr>
          <w:rFonts w:cs="Arial"/>
        </w:rPr>
        <w:t xml:space="preserve"> </w:t>
      </w:r>
      <w:r w:rsidR="00F868E7">
        <w:rPr>
          <w:rFonts w:cs="Arial"/>
        </w:rPr>
        <w:t>–</w:t>
      </w:r>
      <w:r w:rsidR="00861303">
        <w:rPr>
          <w:rFonts w:cs="Arial"/>
        </w:rPr>
        <w:t xml:space="preserve"> even</w:t>
      </w:r>
      <w:r w:rsidR="00F868E7">
        <w:rPr>
          <w:rFonts w:cs="Arial"/>
        </w:rPr>
        <w:t xml:space="preserve"> </w:t>
      </w:r>
      <w:r>
        <w:rPr>
          <w:rFonts w:cs="Arial"/>
        </w:rPr>
        <w:t xml:space="preserve">where </w:t>
      </w:r>
      <w:r w:rsidR="00F868E7">
        <w:rPr>
          <w:rFonts w:cs="Arial"/>
        </w:rPr>
        <w:t xml:space="preserve">others may strongly disagree with those beliefs – </w:t>
      </w:r>
      <w:r w:rsidR="007324D3">
        <w:rPr>
          <w:rFonts w:cs="Arial"/>
        </w:rPr>
        <w:t>undermines the strength of Australia’s liberal democracy.</w:t>
      </w:r>
      <w:r w:rsidR="00CE06B9">
        <w:rPr>
          <w:rFonts w:cs="Arial"/>
        </w:rPr>
        <w:t xml:space="preserve"> Indeed, concern was voic</w:t>
      </w:r>
      <w:r w:rsidR="000A68B1">
        <w:rPr>
          <w:rFonts w:cs="Arial"/>
        </w:rPr>
        <w:t>ed in several public meetings that adhering to ‘political correctness’ meant that people had lost the right to dissent from prevailing social and cultural opinions.</w:t>
      </w:r>
    </w:p>
    <w:p w:rsidR="008D7BB7" w:rsidRPr="009C703D" w:rsidRDefault="009C703D" w:rsidP="009C703D">
      <w:pPr>
        <w:pStyle w:val="Heading4"/>
        <w:numPr>
          <w:ilvl w:val="0"/>
          <w:numId w:val="0"/>
        </w:numPr>
        <w:ind w:left="851" w:hanging="851"/>
        <w:rPr>
          <w:i/>
        </w:rPr>
      </w:pPr>
      <w:bookmarkStart w:id="190" w:name="_Toc413932267"/>
      <w:r>
        <w:rPr>
          <w:i/>
        </w:rPr>
        <w:t>C</w:t>
      </w:r>
      <w:r w:rsidR="00063662">
        <w:rPr>
          <w:i/>
        </w:rPr>
        <w:t>ommunity sector participation</w:t>
      </w:r>
      <w:r w:rsidR="00E3518B" w:rsidRPr="009C703D">
        <w:rPr>
          <w:i/>
        </w:rPr>
        <w:t xml:space="preserve"> in public policy</w:t>
      </w:r>
      <w:r w:rsidR="00063662">
        <w:rPr>
          <w:i/>
        </w:rPr>
        <w:t xml:space="preserve"> debate</w:t>
      </w:r>
      <w:bookmarkEnd w:id="190"/>
    </w:p>
    <w:p w:rsidR="00333935" w:rsidRDefault="00333935" w:rsidP="00333935">
      <w:pPr>
        <w:ind w:left="720"/>
        <w:rPr>
          <w:sz w:val="22"/>
          <w:szCs w:val="22"/>
          <w:lang w:val="en-US"/>
        </w:rPr>
      </w:pPr>
      <w:r w:rsidRPr="001E0BF3">
        <w:rPr>
          <w:rFonts w:cs="Arial"/>
          <w:i/>
          <w:color w:val="000000"/>
          <w:sz w:val="22"/>
          <w:szCs w:val="22"/>
        </w:rPr>
        <w:t>In a participatory democracy all people should be able to have a voice. This includes people in service delivery such as community legal centres and others in the community sector being able to advocate and voice their experiences on the impacts of policy and laws on their client groups</w:t>
      </w:r>
      <w:r>
        <w:rPr>
          <w:rFonts w:cs="Arial"/>
          <w:color w:val="000000"/>
          <w:sz w:val="22"/>
          <w:szCs w:val="22"/>
        </w:rPr>
        <w:t>.</w:t>
      </w:r>
      <w:r>
        <w:rPr>
          <w:sz w:val="22"/>
          <w:szCs w:val="22"/>
          <w:lang w:val="en-US"/>
        </w:rPr>
        <w:t xml:space="preserve"> O</w:t>
      </w:r>
      <w:r w:rsidRPr="001E0BF3">
        <w:rPr>
          <w:sz w:val="22"/>
          <w:szCs w:val="22"/>
          <w:lang w:val="en-US"/>
        </w:rPr>
        <w:t>nline survey response</w:t>
      </w:r>
    </w:p>
    <w:p w:rsidR="00FD070F" w:rsidRDefault="008D0068" w:rsidP="00D25979">
      <w:pPr>
        <w:autoSpaceDE w:val="0"/>
        <w:autoSpaceDN w:val="0"/>
        <w:adjustRightInd w:val="0"/>
        <w:rPr>
          <w:rFonts w:cs="Arial"/>
        </w:rPr>
      </w:pPr>
      <w:r>
        <w:rPr>
          <w:rFonts w:cs="Arial"/>
        </w:rPr>
        <w:t>At meetings with community legal centres and</w:t>
      </w:r>
      <w:r w:rsidR="00784637">
        <w:rPr>
          <w:rFonts w:cs="Arial"/>
        </w:rPr>
        <w:t xml:space="preserve"> in s</w:t>
      </w:r>
      <w:r w:rsidR="00D25979" w:rsidRPr="00245805">
        <w:rPr>
          <w:rFonts w:cs="Arial"/>
        </w:rPr>
        <w:t>ubmissions from the community sector</w:t>
      </w:r>
      <w:r w:rsidR="00784637">
        <w:rPr>
          <w:rFonts w:cs="Arial"/>
        </w:rPr>
        <w:t>, concerns were</w:t>
      </w:r>
      <w:r w:rsidR="00D25979" w:rsidRPr="00245805">
        <w:rPr>
          <w:rFonts w:cs="Arial"/>
        </w:rPr>
        <w:t xml:space="preserve"> exp</w:t>
      </w:r>
      <w:r w:rsidR="00D25979">
        <w:rPr>
          <w:rFonts w:cs="Arial"/>
        </w:rPr>
        <w:t>resse</w:t>
      </w:r>
      <w:r w:rsidR="00784637">
        <w:rPr>
          <w:rFonts w:cs="Arial"/>
        </w:rPr>
        <w:t xml:space="preserve">d </w:t>
      </w:r>
      <w:r w:rsidR="00D25979">
        <w:rPr>
          <w:rFonts w:cs="Arial"/>
        </w:rPr>
        <w:t xml:space="preserve">about </w:t>
      </w:r>
      <w:r w:rsidR="00784637">
        <w:rPr>
          <w:rFonts w:cs="Arial"/>
        </w:rPr>
        <w:t>changes to f</w:t>
      </w:r>
      <w:r w:rsidR="00D25979">
        <w:rPr>
          <w:rFonts w:cs="Arial"/>
        </w:rPr>
        <w:t>ederal government</w:t>
      </w:r>
      <w:r w:rsidR="00E71EFD">
        <w:rPr>
          <w:rFonts w:cs="Arial"/>
        </w:rPr>
        <w:t xml:space="preserve"> funding of legal centres. In particular, representatives from c</w:t>
      </w:r>
      <w:r w:rsidR="00D25979" w:rsidRPr="00245805">
        <w:rPr>
          <w:rFonts w:cs="Arial"/>
        </w:rPr>
        <w:t xml:space="preserve">ommunity </w:t>
      </w:r>
      <w:r w:rsidR="00D25979">
        <w:rPr>
          <w:rFonts w:cs="Arial"/>
        </w:rPr>
        <w:t xml:space="preserve">legal centres </w:t>
      </w:r>
      <w:r w:rsidR="00784637">
        <w:rPr>
          <w:rFonts w:cs="Arial"/>
        </w:rPr>
        <w:t xml:space="preserve">claimed that being prohibited </w:t>
      </w:r>
      <w:r w:rsidR="00D25979">
        <w:rPr>
          <w:rFonts w:cs="Arial"/>
        </w:rPr>
        <w:t>from using government</w:t>
      </w:r>
      <w:r w:rsidR="00D25979" w:rsidRPr="00245805">
        <w:rPr>
          <w:rFonts w:cs="Arial"/>
        </w:rPr>
        <w:t xml:space="preserve"> funding to undertak</w:t>
      </w:r>
      <w:r w:rsidR="00784637">
        <w:rPr>
          <w:rFonts w:cs="Arial"/>
        </w:rPr>
        <w:t>e law reform and advocacy work would severely restrict</w:t>
      </w:r>
      <w:r w:rsidR="00D25979" w:rsidRPr="00245805">
        <w:rPr>
          <w:rFonts w:cs="Arial"/>
        </w:rPr>
        <w:t xml:space="preserve"> their ability to speak out on critical sys</w:t>
      </w:r>
      <w:r w:rsidR="00D25979">
        <w:rPr>
          <w:rFonts w:cs="Arial"/>
        </w:rPr>
        <w:t>temic work on access to justice.</w:t>
      </w:r>
      <w:r w:rsidR="00333935">
        <w:rPr>
          <w:rFonts w:cs="Arial"/>
        </w:rPr>
        <w:t xml:space="preserve"> </w:t>
      </w:r>
    </w:p>
    <w:p w:rsidR="00D25979" w:rsidRPr="00245805" w:rsidRDefault="00D204A1" w:rsidP="00D25979">
      <w:pPr>
        <w:autoSpaceDE w:val="0"/>
        <w:autoSpaceDN w:val="0"/>
        <w:adjustRightInd w:val="0"/>
        <w:rPr>
          <w:rFonts w:cs="Arial"/>
        </w:rPr>
      </w:pPr>
      <w:r>
        <w:rPr>
          <w:rFonts w:cs="Arial"/>
        </w:rPr>
        <w:t>T</w:t>
      </w:r>
      <w:r w:rsidR="00F90904">
        <w:rPr>
          <w:rFonts w:cs="Arial"/>
        </w:rPr>
        <w:t xml:space="preserve">he </w:t>
      </w:r>
      <w:r>
        <w:rPr>
          <w:rFonts w:cs="Arial"/>
          <w:color w:val="000000"/>
        </w:rPr>
        <w:t>National Association</w:t>
      </w:r>
      <w:r w:rsidR="00F90904">
        <w:rPr>
          <w:rFonts w:cs="Arial"/>
          <w:color w:val="000000"/>
        </w:rPr>
        <w:t xml:space="preserve"> of Community Legal Centres </w:t>
      </w:r>
      <w:r>
        <w:rPr>
          <w:rFonts w:cs="Arial"/>
          <w:color w:val="000000"/>
        </w:rPr>
        <w:t xml:space="preserve">(NACLC) </w:t>
      </w:r>
      <w:r w:rsidR="00A41A23">
        <w:rPr>
          <w:rFonts w:cs="Arial"/>
          <w:color w:val="000000"/>
        </w:rPr>
        <w:t>observed</w:t>
      </w:r>
      <w:r>
        <w:rPr>
          <w:rFonts w:cs="Arial"/>
          <w:color w:val="000000"/>
        </w:rPr>
        <w:t xml:space="preserve"> in its submission</w:t>
      </w:r>
      <w:r w:rsidR="00F90904">
        <w:rPr>
          <w:rFonts w:cs="Arial"/>
          <w:color w:val="000000"/>
        </w:rPr>
        <w:t xml:space="preserve"> that additional </w:t>
      </w:r>
      <w:r w:rsidR="00FD070F">
        <w:rPr>
          <w:rFonts w:cs="Arial"/>
        </w:rPr>
        <w:t xml:space="preserve">cuts </w:t>
      </w:r>
      <w:r w:rsidR="00F90904">
        <w:rPr>
          <w:rFonts w:cs="Arial"/>
        </w:rPr>
        <w:t xml:space="preserve">and changes </w:t>
      </w:r>
      <w:r w:rsidR="00FD070F">
        <w:rPr>
          <w:rFonts w:cs="Arial"/>
        </w:rPr>
        <w:t xml:space="preserve">to </w:t>
      </w:r>
      <w:r w:rsidR="00333935">
        <w:rPr>
          <w:rFonts w:cs="Arial"/>
        </w:rPr>
        <w:t xml:space="preserve">funding of </w:t>
      </w:r>
      <w:r w:rsidR="00FD070F">
        <w:rPr>
          <w:rFonts w:cs="Arial"/>
        </w:rPr>
        <w:t>the National Aboriginal and Torres Strait Islander Legal Services</w:t>
      </w:r>
      <w:r>
        <w:rPr>
          <w:rFonts w:cs="Arial"/>
        </w:rPr>
        <w:t xml:space="preserve"> (NATSILS)</w:t>
      </w:r>
      <w:r w:rsidR="00F90904">
        <w:rPr>
          <w:rFonts w:cs="Arial"/>
        </w:rPr>
        <w:t xml:space="preserve">, Legal Aid Commissions and Family Violence </w:t>
      </w:r>
      <w:r>
        <w:rPr>
          <w:rFonts w:cs="Arial"/>
        </w:rPr>
        <w:t>Prevention and Legal Services</w:t>
      </w:r>
      <w:r w:rsidR="006A2CFC">
        <w:rPr>
          <w:rFonts w:cs="Arial"/>
        </w:rPr>
        <w:t xml:space="preserve"> (FV</w:t>
      </w:r>
      <w:r>
        <w:rPr>
          <w:rFonts w:cs="Arial"/>
        </w:rPr>
        <w:t>PLS):</w:t>
      </w:r>
      <w:r w:rsidR="00FD070F">
        <w:rPr>
          <w:rFonts w:cs="Arial"/>
        </w:rPr>
        <w:t xml:space="preserve"> </w:t>
      </w:r>
    </w:p>
    <w:p w:rsidR="00D25979" w:rsidRDefault="00F90904" w:rsidP="00F90904">
      <w:pPr>
        <w:ind w:left="720"/>
        <w:rPr>
          <w:rFonts w:cs="Arial"/>
          <w:color w:val="000000"/>
          <w:sz w:val="22"/>
          <w:szCs w:val="22"/>
        </w:rPr>
      </w:pPr>
      <w:r>
        <w:rPr>
          <w:rFonts w:cs="Arial"/>
          <w:i/>
          <w:color w:val="000000"/>
          <w:sz w:val="22"/>
          <w:szCs w:val="22"/>
        </w:rPr>
        <w:t>…</w:t>
      </w:r>
      <w:r w:rsidR="008F4775">
        <w:rPr>
          <w:rFonts w:cs="Arial"/>
          <w:i/>
          <w:color w:val="000000"/>
          <w:sz w:val="22"/>
          <w:szCs w:val="22"/>
        </w:rPr>
        <w:t xml:space="preserve"> </w:t>
      </w:r>
      <w:r w:rsidR="00E27525">
        <w:rPr>
          <w:rFonts w:cs="Arial"/>
          <w:i/>
          <w:color w:val="000000"/>
          <w:sz w:val="22"/>
          <w:szCs w:val="22"/>
        </w:rPr>
        <w:t>[W]</w:t>
      </w:r>
      <w:r w:rsidR="00333935">
        <w:rPr>
          <w:rFonts w:cs="Arial"/>
          <w:i/>
          <w:color w:val="000000"/>
          <w:sz w:val="22"/>
          <w:szCs w:val="22"/>
        </w:rPr>
        <w:t>ill have signif</w:t>
      </w:r>
      <w:r>
        <w:rPr>
          <w:rFonts w:cs="Arial"/>
          <w:i/>
          <w:color w:val="000000"/>
          <w:sz w:val="22"/>
          <w:szCs w:val="22"/>
        </w:rPr>
        <w:t>icant effects as the law reform</w:t>
      </w:r>
      <w:r w:rsidR="00D204A1">
        <w:rPr>
          <w:rFonts w:cs="Arial"/>
          <w:i/>
          <w:color w:val="000000"/>
          <w:sz w:val="22"/>
          <w:szCs w:val="22"/>
        </w:rPr>
        <w:t xml:space="preserve">, policy advocacy and lobbying work of </w:t>
      </w:r>
      <w:r w:rsidR="006A2CFC">
        <w:rPr>
          <w:rFonts w:cs="Arial"/>
          <w:i/>
          <w:color w:val="000000"/>
          <w:sz w:val="22"/>
          <w:szCs w:val="22"/>
        </w:rPr>
        <w:t>legal a</w:t>
      </w:r>
      <w:r w:rsidR="00E27525">
        <w:rPr>
          <w:rFonts w:cs="Arial"/>
          <w:i/>
          <w:color w:val="000000"/>
          <w:sz w:val="22"/>
          <w:szCs w:val="22"/>
        </w:rPr>
        <w:t xml:space="preserve">ssistance providers is crucial </w:t>
      </w:r>
      <w:r w:rsidR="006A2CFC">
        <w:rPr>
          <w:rFonts w:cs="Arial"/>
          <w:i/>
          <w:color w:val="000000"/>
          <w:sz w:val="22"/>
          <w:szCs w:val="22"/>
        </w:rPr>
        <w:t>in identifying and encouraging reform of laws, policies and practices that adversely or inequitably impact on disadvantaged people and vulnerable groups in the community</w:t>
      </w:r>
      <w:r>
        <w:rPr>
          <w:rFonts w:cs="Arial"/>
          <w:i/>
          <w:color w:val="000000"/>
          <w:sz w:val="22"/>
          <w:szCs w:val="22"/>
        </w:rPr>
        <w:t>.</w:t>
      </w:r>
      <w:r w:rsidR="006A2CFC">
        <w:rPr>
          <w:rFonts w:cs="Arial"/>
          <w:i/>
          <w:color w:val="000000"/>
          <w:sz w:val="22"/>
          <w:szCs w:val="22"/>
        </w:rPr>
        <w:t xml:space="preserve"> In addition, these changes raise concerns with respect to freedom of opinion and expression in Australia.</w:t>
      </w:r>
      <w:r>
        <w:rPr>
          <w:rFonts w:cs="Arial"/>
          <w:i/>
          <w:color w:val="000000"/>
          <w:sz w:val="22"/>
          <w:szCs w:val="22"/>
        </w:rPr>
        <w:t xml:space="preserve"> </w:t>
      </w:r>
      <w:r>
        <w:rPr>
          <w:rFonts w:cs="Arial"/>
          <w:color w:val="000000"/>
          <w:sz w:val="22"/>
          <w:szCs w:val="22"/>
        </w:rPr>
        <w:t>NACLC submission</w:t>
      </w:r>
    </w:p>
    <w:p w:rsidR="00266816" w:rsidRDefault="00266816" w:rsidP="00266816">
      <w:pPr>
        <w:rPr>
          <w:rFonts w:cs="Arial"/>
          <w:color w:val="000000"/>
          <w:szCs w:val="22"/>
        </w:rPr>
      </w:pPr>
      <w:r>
        <w:rPr>
          <w:rFonts w:cs="Arial"/>
          <w:color w:val="000000"/>
          <w:szCs w:val="22"/>
        </w:rPr>
        <w:t>This issue highlights that</w:t>
      </w:r>
      <w:r w:rsidRPr="00044F3A">
        <w:rPr>
          <w:rFonts w:cs="Arial"/>
          <w:color w:val="000000"/>
          <w:szCs w:val="22"/>
        </w:rPr>
        <w:t xml:space="preserve"> there is a difference between having the freedom to express an opinion, and </w:t>
      </w:r>
      <w:r w:rsidR="008F2E08">
        <w:rPr>
          <w:rFonts w:cs="Arial"/>
          <w:color w:val="000000"/>
          <w:szCs w:val="22"/>
        </w:rPr>
        <w:t>hav</w:t>
      </w:r>
      <w:r w:rsidR="00406F41">
        <w:rPr>
          <w:rFonts w:cs="Arial"/>
          <w:color w:val="000000"/>
          <w:szCs w:val="22"/>
        </w:rPr>
        <w:t xml:space="preserve">ing </w:t>
      </w:r>
      <w:r w:rsidRPr="00044F3A">
        <w:rPr>
          <w:rFonts w:cs="Arial"/>
          <w:color w:val="000000"/>
          <w:szCs w:val="22"/>
        </w:rPr>
        <w:t xml:space="preserve">the resources to develop </w:t>
      </w:r>
      <w:r w:rsidR="00986E20">
        <w:rPr>
          <w:rFonts w:cs="Arial"/>
          <w:color w:val="000000"/>
          <w:szCs w:val="22"/>
        </w:rPr>
        <w:t xml:space="preserve">an opinion </w:t>
      </w:r>
      <w:r w:rsidRPr="00044F3A">
        <w:rPr>
          <w:rFonts w:cs="Arial"/>
          <w:color w:val="000000"/>
          <w:szCs w:val="22"/>
        </w:rPr>
        <w:t xml:space="preserve">and </w:t>
      </w:r>
      <w:r>
        <w:rPr>
          <w:rFonts w:cs="Arial"/>
          <w:color w:val="000000"/>
          <w:szCs w:val="22"/>
        </w:rPr>
        <w:t>give it a platform.</w:t>
      </w:r>
    </w:p>
    <w:p w:rsidR="007E3FFB" w:rsidRPr="007E3FFB" w:rsidRDefault="00BC1281" w:rsidP="007E3FFB">
      <w:pPr>
        <w:pStyle w:val="Heading4"/>
        <w:numPr>
          <w:ilvl w:val="0"/>
          <w:numId w:val="0"/>
        </w:numPr>
        <w:ind w:left="851" w:hanging="851"/>
        <w:rPr>
          <w:i/>
        </w:rPr>
      </w:pPr>
      <w:bookmarkStart w:id="191" w:name="_Toc413932268"/>
      <w:r>
        <w:rPr>
          <w:i/>
        </w:rPr>
        <w:t>Laws that limit</w:t>
      </w:r>
      <w:r w:rsidRPr="00BC1281">
        <w:rPr>
          <w:rFonts w:cs="Arial"/>
        </w:rPr>
        <w:t xml:space="preserve"> </w:t>
      </w:r>
      <w:r w:rsidRPr="00BC1281">
        <w:rPr>
          <w:rFonts w:cs="Arial"/>
          <w:i/>
        </w:rPr>
        <w:t xml:space="preserve">speech and then prescribe the lawful basis </w:t>
      </w:r>
      <w:r w:rsidR="0016021C">
        <w:rPr>
          <w:rFonts w:cs="Arial"/>
          <w:i/>
        </w:rPr>
        <w:t>for</w:t>
      </w:r>
      <w:r w:rsidRPr="00BC1281">
        <w:rPr>
          <w:rFonts w:cs="Arial"/>
          <w:i/>
        </w:rPr>
        <w:t xml:space="preserve"> expression</w:t>
      </w:r>
      <w:bookmarkEnd w:id="191"/>
    </w:p>
    <w:p w:rsidR="007E3FFB" w:rsidRDefault="007E3FFB" w:rsidP="00266816">
      <w:r>
        <w:t xml:space="preserve">Questions about where we draw the line of acceptable language were raised throughout the consultation, especially in view of the debate about proposed amendments to section 18C of the </w:t>
      </w:r>
      <w:r w:rsidRPr="00802F6E">
        <w:rPr>
          <w:i/>
        </w:rPr>
        <w:t>Racial Discrimination Act 1975</w:t>
      </w:r>
      <w:r>
        <w:t xml:space="preserve"> (Cth)</w:t>
      </w:r>
      <w:r w:rsidR="00725770">
        <w:t xml:space="preserve"> (RDA)</w:t>
      </w:r>
      <w:r>
        <w:t xml:space="preserve">. </w:t>
      </w:r>
    </w:p>
    <w:p w:rsidR="00665303" w:rsidRDefault="00507C57" w:rsidP="00266816">
      <w:r>
        <w:rPr>
          <w:rFonts w:eastAsia="Times New Roman"/>
        </w:rPr>
        <w:t>The v</w:t>
      </w:r>
      <w:r w:rsidR="00665303">
        <w:rPr>
          <w:rFonts w:eastAsia="Times New Roman"/>
        </w:rPr>
        <w:t xml:space="preserve">iews </w:t>
      </w:r>
      <w:r>
        <w:rPr>
          <w:rFonts w:eastAsia="Times New Roman"/>
        </w:rPr>
        <w:t>of participants were diverse, with some people wanting or accepting</w:t>
      </w:r>
      <w:r w:rsidR="00665303">
        <w:rPr>
          <w:rFonts w:eastAsia="Times New Roman"/>
        </w:rPr>
        <w:t xml:space="preserve"> some cha</w:t>
      </w:r>
      <w:r>
        <w:rPr>
          <w:rFonts w:eastAsia="Times New Roman"/>
        </w:rPr>
        <w:t>nge in the law, and some opposing</w:t>
      </w:r>
      <w:r w:rsidR="00665303">
        <w:rPr>
          <w:rFonts w:eastAsia="Times New Roman"/>
        </w:rPr>
        <w:t xml:space="preserve"> change entirely.</w:t>
      </w:r>
    </w:p>
    <w:p w:rsidR="008F184D" w:rsidRDefault="00507C57" w:rsidP="00266816">
      <w:r>
        <w:t>Most of the debates focused on</w:t>
      </w:r>
      <w:r w:rsidR="007E3FFB">
        <w:t xml:space="preserve"> how to ensure that all groups in our society are protected from intimidating language and behaviour, while still enabling open discussion about controversial topics.</w:t>
      </w:r>
      <w:r w:rsidR="00725770">
        <w:t xml:space="preserve"> </w:t>
      </w:r>
    </w:p>
    <w:p w:rsidR="007E3FFB" w:rsidRDefault="00725770" w:rsidP="00266816">
      <w:r>
        <w:lastRenderedPageBreak/>
        <w:t xml:space="preserve">A number of participants in the consultation also </w:t>
      </w:r>
      <w:r w:rsidR="0083286A">
        <w:t>rais</w:t>
      </w:r>
      <w:r>
        <w:t>ed</w:t>
      </w:r>
      <w:r w:rsidR="007E3FFB">
        <w:t xml:space="preserve"> whether protections</w:t>
      </w:r>
      <w:r w:rsidR="00CF3003">
        <w:t>,</w:t>
      </w:r>
      <w:r w:rsidR="0083286A">
        <w:t xml:space="preserve"> similar to </w:t>
      </w:r>
      <w:r w:rsidR="008D3832">
        <w:t>section 18C of</w:t>
      </w:r>
      <w:r>
        <w:t xml:space="preserve"> the RDA, should also be extended to groups of people on the basis of their sexual orientation and gender identity, and/or their religion.</w:t>
      </w:r>
      <w:r w:rsidR="008D3832">
        <w:t xml:space="preserve"> There was acknowledgement that the standard would have to be higher than ‘offend’, ‘insult’ and probably ‘humiliate’ to achieve public support for such a proposition.</w:t>
      </w:r>
    </w:p>
    <w:p w:rsidR="00BC1281" w:rsidRDefault="00BC1281" w:rsidP="00266816">
      <w:r>
        <w:t xml:space="preserve">There was also concern that the law over-reaches to restrict offensive expressions and then details the lawful basis </w:t>
      </w:r>
      <w:r w:rsidR="008438A0">
        <w:t>for</w:t>
      </w:r>
      <w:r>
        <w:t xml:space="preserve"> people </w:t>
      </w:r>
      <w:r w:rsidR="008438A0">
        <w:t>to express views. Concerns were raised that the design of such a law leave</w:t>
      </w:r>
      <w:r w:rsidR="0016021C">
        <w:t>s</w:t>
      </w:r>
      <w:r w:rsidR="008438A0">
        <w:t xml:space="preserve"> ambiguity about what is permissible expression.</w:t>
      </w:r>
    </w:p>
    <w:p w:rsidR="00E3518B" w:rsidRPr="009C703D" w:rsidRDefault="009C703D" w:rsidP="00E3518B">
      <w:pPr>
        <w:pStyle w:val="Heading4"/>
        <w:numPr>
          <w:ilvl w:val="0"/>
          <w:numId w:val="0"/>
        </w:numPr>
        <w:ind w:left="851" w:hanging="851"/>
        <w:rPr>
          <w:i/>
        </w:rPr>
      </w:pPr>
      <w:bookmarkStart w:id="192" w:name="_Toc413932269"/>
      <w:r w:rsidRPr="009C703D">
        <w:rPr>
          <w:i/>
        </w:rPr>
        <w:t xml:space="preserve">Freedom of the </w:t>
      </w:r>
      <w:r w:rsidR="00A06F65">
        <w:rPr>
          <w:i/>
        </w:rPr>
        <w:t>media</w:t>
      </w:r>
      <w:bookmarkEnd w:id="192"/>
    </w:p>
    <w:p w:rsidR="00055043" w:rsidRDefault="00D51F9D" w:rsidP="00684109">
      <w:pPr>
        <w:rPr>
          <w:rFonts w:cs="Arial"/>
        </w:rPr>
      </w:pPr>
      <w:r>
        <w:rPr>
          <w:rFonts w:cs="Arial"/>
        </w:rPr>
        <w:t>Media plays a key role to enable Australians to exercise their right to freedom of expression</w:t>
      </w:r>
      <w:r w:rsidR="00055043">
        <w:rPr>
          <w:rFonts w:cs="Arial"/>
        </w:rPr>
        <w:t>, including the freedom to both expres</w:t>
      </w:r>
      <w:r w:rsidR="00A41A23">
        <w:rPr>
          <w:rFonts w:cs="Arial"/>
        </w:rPr>
        <w:t>s and receive information. As sta</w:t>
      </w:r>
      <w:r w:rsidR="00055043">
        <w:rPr>
          <w:rFonts w:cs="Arial"/>
        </w:rPr>
        <w:t>ted by Free TV Australia:</w:t>
      </w:r>
    </w:p>
    <w:p w:rsidR="00055043" w:rsidRPr="00055043" w:rsidRDefault="00E27525" w:rsidP="00055043">
      <w:pPr>
        <w:ind w:left="720"/>
        <w:rPr>
          <w:rFonts w:cs="Arial"/>
          <w:sz w:val="22"/>
          <w:szCs w:val="22"/>
        </w:rPr>
      </w:pPr>
      <w:r>
        <w:rPr>
          <w:rFonts w:cs="Arial"/>
          <w:i/>
          <w:sz w:val="22"/>
          <w:szCs w:val="22"/>
        </w:rPr>
        <w:t>T</w:t>
      </w:r>
      <w:r w:rsidR="00055043" w:rsidRPr="00055043">
        <w:rPr>
          <w:rFonts w:cs="Arial"/>
          <w:i/>
          <w:sz w:val="22"/>
          <w:szCs w:val="22"/>
        </w:rPr>
        <w:t>he information rights of the media and individuals are inherently related, and ensuring that the media is not unreasonably constrained in reporting is critical to maintaining a robust democracy.</w:t>
      </w:r>
      <w:r w:rsidR="00055043" w:rsidRPr="00055043">
        <w:rPr>
          <w:rFonts w:cs="Arial"/>
          <w:sz w:val="22"/>
          <w:szCs w:val="22"/>
        </w:rPr>
        <w:t xml:space="preserve"> Free TV Australia submission</w:t>
      </w:r>
    </w:p>
    <w:p w:rsidR="00D51F9D" w:rsidRDefault="00D25979" w:rsidP="00684109">
      <w:pPr>
        <w:rPr>
          <w:rFonts w:cs="Arial"/>
        </w:rPr>
      </w:pPr>
      <w:r w:rsidRPr="006D3449">
        <w:rPr>
          <w:rFonts w:cs="Arial"/>
        </w:rPr>
        <w:t xml:space="preserve">Submissions from </w:t>
      </w:r>
      <w:r w:rsidR="001A5747">
        <w:rPr>
          <w:rFonts w:cs="Arial"/>
        </w:rPr>
        <w:t xml:space="preserve">Free TV Australia and </w:t>
      </w:r>
      <w:r w:rsidRPr="006D3449">
        <w:rPr>
          <w:rFonts w:cs="Arial"/>
        </w:rPr>
        <w:t>the</w:t>
      </w:r>
      <w:r w:rsidR="001A5747">
        <w:rPr>
          <w:rFonts w:cs="Arial"/>
        </w:rPr>
        <w:t xml:space="preserve"> Australian Subscription Television and Radio Association (ASTRA)</w:t>
      </w:r>
      <w:r w:rsidRPr="006D3449">
        <w:rPr>
          <w:rFonts w:cs="Arial"/>
        </w:rPr>
        <w:t xml:space="preserve"> </w:t>
      </w:r>
      <w:r w:rsidR="00B305BD">
        <w:rPr>
          <w:rFonts w:cs="Arial"/>
        </w:rPr>
        <w:t xml:space="preserve">identified </w:t>
      </w:r>
      <w:r w:rsidR="00D51F9D">
        <w:rPr>
          <w:rFonts w:cs="Arial"/>
        </w:rPr>
        <w:t>the following laws</w:t>
      </w:r>
      <w:r w:rsidR="00BB5A2E">
        <w:rPr>
          <w:rFonts w:cs="Arial"/>
        </w:rPr>
        <w:t xml:space="preserve"> that encroach upon the </w:t>
      </w:r>
      <w:r w:rsidRPr="006D3449">
        <w:rPr>
          <w:rFonts w:cs="Arial"/>
        </w:rPr>
        <w:t>right to f</w:t>
      </w:r>
      <w:r w:rsidR="00D51F9D">
        <w:rPr>
          <w:rFonts w:cs="Arial"/>
        </w:rPr>
        <w:t>reedom of expression</w:t>
      </w:r>
      <w:r w:rsidR="00055043">
        <w:rPr>
          <w:rFonts w:cs="Arial"/>
        </w:rPr>
        <w:t>:</w:t>
      </w:r>
    </w:p>
    <w:p w:rsidR="00D51F9D" w:rsidRDefault="00D25979" w:rsidP="008D3832">
      <w:pPr>
        <w:numPr>
          <w:ilvl w:val="0"/>
          <w:numId w:val="30"/>
        </w:numPr>
        <w:rPr>
          <w:rFonts w:cs="Arial"/>
        </w:rPr>
      </w:pPr>
      <w:r w:rsidRPr="006D3449">
        <w:rPr>
          <w:rFonts w:cs="Arial"/>
        </w:rPr>
        <w:t>national s</w:t>
      </w:r>
      <w:r w:rsidR="00B305BD">
        <w:rPr>
          <w:rFonts w:cs="Arial"/>
        </w:rPr>
        <w:t xml:space="preserve">ecurity </w:t>
      </w:r>
      <w:r w:rsidR="001A5747">
        <w:rPr>
          <w:rFonts w:cs="Arial"/>
        </w:rPr>
        <w:t xml:space="preserve">and counter-terrorism </w:t>
      </w:r>
      <w:r w:rsidR="00D51F9D">
        <w:rPr>
          <w:rFonts w:cs="Arial"/>
        </w:rPr>
        <w:t>laws</w:t>
      </w:r>
      <w:r w:rsidR="00D27BF4">
        <w:rPr>
          <w:rFonts w:cs="Arial"/>
        </w:rPr>
        <w:t xml:space="preserve"> that </w:t>
      </w:r>
      <w:r w:rsidR="008D1836">
        <w:rPr>
          <w:rFonts w:cs="Arial"/>
        </w:rPr>
        <w:t xml:space="preserve">restrict the content of material the media can report on and </w:t>
      </w:r>
      <w:r w:rsidR="00D27BF4">
        <w:rPr>
          <w:rFonts w:cs="Arial"/>
        </w:rPr>
        <w:t xml:space="preserve">create </w:t>
      </w:r>
      <w:r w:rsidR="00A80A24">
        <w:rPr>
          <w:rFonts w:cs="Arial"/>
        </w:rPr>
        <w:t>penalties for journalists if these restrictions are breached</w:t>
      </w:r>
    </w:p>
    <w:p w:rsidR="00D51F9D" w:rsidRDefault="00D51F9D" w:rsidP="008D3832">
      <w:pPr>
        <w:numPr>
          <w:ilvl w:val="0"/>
          <w:numId w:val="30"/>
        </w:numPr>
        <w:rPr>
          <w:rFonts w:cs="Arial"/>
        </w:rPr>
      </w:pPr>
      <w:r>
        <w:rPr>
          <w:rFonts w:cs="Arial"/>
        </w:rPr>
        <w:t>defamation laws</w:t>
      </w:r>
      <w:r w:rsidR="00D27BF4">
        <w:rPr>
          <w:rFonts w:cs="Arial"/>
        </w:rPr>
        <w:t xml:space="preserve"> that can be used to </w:t>
      </w:r>
      <w:r w:rsidR="001E60F8">
        <w:rPr>
          <w:rFonts w:cs="Arial"/>
        </w:rPr>
        <w:t>force media outlets to remove material rather than be subject to lengthy legal procedures</w:t>
      </w:r>
    </w:p>
    <w:p w:rsidR="00D25979" w:rsidRPr="00E6525D" w:rsidRDefault="00BB5A2E" w:rsidP="00E6525D">
      <w:pPr>
        <w:numPr>
          <w:ilvl w:val="0"/>
          <w:numId w:val="30"/>
        </w:numPr>
        <w:rPr>
          <w:rFonts w:cs="Arial"/>
        </w:rPr>
      </w:pPr>
      <w:r>
        <w:rPr>
          <w:rFonts w:cs="Arial"/>
        </w:rPr>
        <w:t xml:space="preserve">while </w:t>
      </w:r>
      <w:r w:rsidR="00B305BD">
        <w:rPr>
          <w:rFonts w:cs="Arial"/>
        </w:rPr>
        <w:t>freedom of i</w:t>
      </w:r>
      <w:r w:rsidR="00D25979">
        <w:rPr>
          <w:rFonts w:cs="Arial"/>
        </w:rPr>
        <w:t xml:space="preserve">nformation (FoI) </w:t>
      </w:r>
      <w:r w:rsidR="003E3814">
        <w:rPr>
          <w:rFonts w:cs="Arial"/>
        </w:rPr>
        <w:t>laws enable</w:t>
      </w:r>
      <w:r w:rsidR="00E6525D">
        <w:rPr>
          <w:rFonts w:cs="Arial"/>
        </w:rPr>
        <w:t xml:space="preserve"> access to documents that would o</w:t>
      </w:r>
      <w:r w:rsidR="003E3814">
        <w:rPr>
          <w:rFonts w:cs="Arial"/>
        </w:rPr>
        <w:t>therwise be unavailable, protracted</w:t>
      </w:r>
      <w:r w:rsidR="00E6525D">
        <w:rPr>
          <w:rFonts w:cs="Arial"/>
        </w:rPr>
        <w:t xml:space="preserve"> FoI processes </w:t>
      </w:r>
      <w:r w:rsidR="001E60F8">
        <w:rPr>
          <w:rFonts w:cs="Arial"/>
        </w:rPr>
        <w:t>can delay the media’s capacity to access information and report on issues in a timely manner</w:t>
      </w:r>
      <w:r w:rsidR="00684109" w:rsidRPr="00E6525D">
        <w:rPr>
          <w:rFonts w:cs="Arial"/>
        </w:rPr>
        <w:t>.</w:t>
      </w:r>
    </w:p>
    <w:p w:rsidR="00DB2EBD" w:rsidRPr="00A80A24" w:rsidRDefault="003E3814" w:rsidP="00DB2EBD">
      <w:pPr>
        <w:rPr>
          <w:rFonts w:cs="Arial"/>
        </w:rPr>
      </w:pPr>
      <w:r>
        <w:rPr>
          <w:rFonts w:cs="Arial"/>
        </w:rPr>
        <w:t>These issue</w:t>
      </w:r>
      <w:r w:rsidR="00F96FD0">
        <w:rPr>
          <w:rFonts w:cs="Arial"/>
        </w:rPr>
        <w:t>s are expected to</w:t>
      </w:r>
      <w:r w:rsidR="00DB2EBD">
        <w:rPr>
          <w:rFonts w:cs="Arial"/>
        </w:rPr>
        <w:t xml:space="preserve"> be considered by the Australian Law Reform Commission in its current inquiry into </w:t>
      </w:r>
      <w:r w:rsidR="00DB2EBD">
        <w:t xml:space="preserve">legislation that unreasonably </w:t>
      </w:r>
      <w:r w:rsidR="006550BA">
        <w:t>encroaches</w:t>
      </w:r>
      <w:r w:rsidR="00DB2EBD">
        <w:t xml:space="preserve"> upon traditional rights, freedoms and privileges</w:t>
      </w:r>
      <w:r w:rsidR="00F96FD0">
        <w:t>.</w:t>
      </w:r>
      <w:r w:rsidR="00F96FD0">
        <w:rPr>
          <w:rStyle w:val="EndnoteReference"/>
        </w:rPr>
        <w:endnoteReference w:id="17"/>
      </w:r>
    </w:p>
    <w:p w:rsidR="009C703D" w:rsidRDefault="009C703D" w:rsidP="00E3518B">
      <w:pPr>
        <w:pStyle w:val="Heading4"/>
        <w:numPr>
          <w:ilvl w:val="0"/>
          <w:numId w:val="0"/>
        </w:numPr>
        <w:ind w:left="851" w:hanging="851"/>
        <w:rPr>
          <w:lang w:val="en-US"/>
        </w:rPr>
      </w:pPr>
      <w:bookmarkStart w:id="193" w:name="_Toc413932270"/>
      <w:r w:rsidRPr="00D55B8D">
        <w:rPr>
          <w:i/>
          <w:lang w:val="en-US"/>
        </w:rPr>
        <w:t>Privacy</w:t>
      </w:r>
      <w:bookmarkEnd w:id="193"/>
    </w:p>
    <w:p w:rsidR="00B55E20" w:rsidRPr="0061752C" w:rsidRDefault="00701406" w:rsidP="00B55E20">
      <w:pPr>
        <w:pStyle w:val="SubmissionNormal"/>
        <w:numPr>
          <w:ilvl w:val="0"/>
          <w:numId w:val="0"/>
        </w:numPr>
        <w:rPr>
          <w:lang w:val="en-US"/>
        </w:rPr>
      </w:pPr>
      <w:r>
        <w:rPr>
          <w:lang w:val="en-US"/>
        </w:rPr>
        <w:t>Concerns were outlined about t</w:t>
      </w:r>
      <w:r w:rsidR="00B55E20" w:rsidRPr="0061752C">
        <w:rPr>
          <w:lang w:val="en-US"/>
        </w:rPr>
        <w:t xml:space="preserve">he extent to which </w:t>
      </w:r>
      <w:r w:rsidR="009113A0">
        <w:rPr>
          <w:lang w:val="en-US"/>
        </w:rPr>
        <w:t xml:space="preserve">changes to </w:t>
      </w:r>
      <w:r w:rsidR="00511ADD">
        <w:rPr>
          <w:lang w:val="en-US"/>
        </w:rPr>
        <w:t>technology (for example, the development of</w:t>
      </w:r>
      <w:r w:rsidR="009113A0">
        <w:rPr>
          <w:lang w:val="en-US"/>
        </w:rPr>
        <w:t xml:space="preserve"> surveillance devices) and government processes</w:t>
      </w:r>
      <w:r w:rsidR="00B55E20" w:rsidRPr="0061752C">
        <w:rPr>
          <w:lang w:val="en-US"/>
        </w:rPr>
        <w:t xml:space="preserve"> </w:t>
      </w:r>
      <w:r w:rsidR="009113A0">
        <w:rPr>
          <w:lang w:val="en-US"/>
        </w:rPr>
        <w:t xml:space="preserve">that seek to collect and retain personal information can </w:t>
      </w:r>
      <w:r w:rsidR="00B55E20" w:rsidRPr="0061752C">
        <w:rPr>
          <w:lang w:val="en-US"/>
        </w:rPr>
        <w:t>imping</w:t>
      </w:r>
      <w:r w:rsidR="00B86F5A" w:rsidRPr="0061752C">
        <w:rPr>
          <w:lang w:val="en-US"/>
        </w:rPr>
        <w:t>e</w:t>
      </w:r>
      <w:r w:rsidR="00B55E20" w:rsidRPr="0061752C">
        <w:rPr>
          <w:lang w:val="en-US"/>
        </w:rPr>
        <w:t xml:space="preserve"> on our privacy</w:t>
      </w:r>
      <w:r w:rsidR="00B86F5A" w:rsidRPr="0061752C">
        <w:rPr>
          <w:lang w:val="en-US"/>
        </w:rPr>
        <w:t>.</w:t>
      </w:r>
    </w:p>
    <w:p w:rsidR="00D55B8D" w:rsidRDefault="009113A0" w:rsidP="007D6DA5">
      <w:pPr>
        <w:pStyle w:val="SubmissionNormal"/>
        <w:numPr>
          <w:ilvl w:val="0"/>
          <w:numId w:val="0"/>
        </w:numPr>
        <w:rPr>
          <w:lang w:val="en-US"/>
        </w:rPr>
      </w:pPr>
      <w:r>
        <w:rPr>
          <w:lang w:val="en-US"/>
        </w:rPr>
        <w:t xml:space="preserve">These issues have been extensively addressed in the recent </w:t>
      </w:r>
      <w:r w:rsidR="00C04559">
        <w:rPr>
          <w:lang w:val="en-US"/>
        </w:rPr>
        <w:t xml:space="preserve">inquiry by the </w:t>
      </w:r>
      <w:r w:rsidR="0061752C" w:rsidRPr="0061752C">
        <w:rPr>
          <w:lang w:val="en-US"/>
        </w:rPr>
        <w:t>Australian Law Reform Commission into serious invasions of privacy</w:t>
      </w:r>
      <w:r w:rsidR="00AB0436">
        <w:rPr>
          <w:lang w:val="en-US"/>
        </w:rPr>
        <w:t>.</w:t>
      </w:r>
      <w:r w:rsidR="0061752C" w:rsidRPr="0061752C">
        <w:rPr>
          <w:rStyle w:val="EndnoteReference"/>
          <w:lang w:val="en-US"/>
        </w:rPr>
        <w:endnoteReference w:id="18"/>
      </w:r>
      <w:r w:rsidR="00AB0436">
        <w:rPr>
          <w:lang w:val="en-US"/>
        </w:rPr>
        <w:t xml:space="preserve"> A submission by t</w:t>
      </w:r>
      <w:r w:rsidR="00B55E20" w:rsidRPr="0061752C">
        <w:rPr>
          <w:lang w:val="en-US"/>
        </w:rPr>
        <w:t>he Office of the Australia</w:t>
      </w:r>
      <w:r w:rsidR="0061752C" w:rsidRPr="0061752C">
        <w:rPr>
          <w:lang w:val="en-US"/>
        </w:rPr>
        <w:t>n Information Commissioner</w:t>
      </w:r>
      <w:r w:rsidR="007D6DA5">
        <w:rPr>
          <w:lang w:val="en-US"/>
        </w:rPr>
        <w:t xml:space="preserve"> </w:t>
      </w:r>
      <w:r w:rsidR="00EE15AD">
        <w:rPr>
          <w:lang w:val="en-US"/>
        </w:rPr>
        <w:t>(OAIC) also set out</w:t>
      </w:r>
      <w:r w:rsidR="00AB0436">
        <w:rPr>
          <w:lang w:val="en-US"/>
        </w:rPr>
        <w:t xml:space="preserve"> </w:t>
      </w:r>
      <w:r w:rsidR="002E7C61">
        <w:rPr>
          <w:lang w:val="en-US"/>
        </w:rPr>
        <w:t xml:space="preserve">the regulatory and enforcement powers of the Privacy </w:t>
      </w:r>
      <w:r w:rsidR="00200D6B">
        <w:rPr>
          <w:lang w:val="en-US"/>
        </w:rPr>
        <w:t>Commissioner,</w:t>
      </w:r>
      <w:r w:rsidR="002E7C61">
        <w:rPr>
          <w:lang w:val="en-US"/>
        </w:rPr>
        <w:t xml:space="preserve"> and </w:t>
      </w:r>
      <w:r w:rsidR="00AB0436">
        <w:rPr>
          <w:lang w:val="en-US"/>
        </w:rPr>
        <w:t xml:space="preserve">the role of the OAIC in </w:t>
      </w:r>
      <w:r w:rsidR="005D5E51">
        <w:rPr>
          <w:lang w:val="en-US"/>
        </w:rPr>
        <w:t>develop</w:t>
      </w:r>
      <w:r w:rsidR="00AB0436">
        <w:rPr>
          <w:lang w:val="en-US"/>
        </w:rPr>
        <w:t>ing</w:t>
      </w:r>
      <w:r w:rsidR="005D5E51">
        <w:rPr>
          <w:lang w:val="en-US"/>
        </w:rPr>
        <w:t xml:space="preserve"> educational programs to promote a culture of respect for privacy.</w:t>
      </w:r>
    </w:p>
    <w:p w:rsidR="00E3518B" w:rsidRPr="00D55B8D" w:rsidRDefault="00D55B8D" w:rsidP="00E3518B">
      <w:pPr>
        <w:pStyle w:val="Heading4"/>
        <w:numPr>
          <w:ilvl w:val="0"/>
          <w:numId w:val="0"/>
        </w:numPr>
        <w:ind w:left="851" w:hanging="851"/>
        <w:rPr>
          <w:i/>
          <w:lang w:val="en-US"/>
        </w:rPr>
      </w:pPr>
      <w:bookmarkStart w:id="194" w:name="_Toc413932271"/>
      <w:r>
        <w:rPr>
          <w:i/>
          <w:lang w:val="en-US"/>
        </w:rPr>
        <w:lastRenderedPageBreak/>
        <w:t xml:space="preserve">The internet and </w:t>
      </w:r>
      <w:r w:rsidR="002D677B">
        <w:rPr>
          <w:i/>
          <w:lang w:val="en-US"/>
        </w:rPr>
        <w:t>social media</w:t>
      </w:r>
      <w:bookmarkEnd w:id="194"/>
    </w:p>
    <w:p w:rsidR="0054037F" w:rsidRDefault="0054037F" w:rsidP="00D25979">
      <w:pPr>
        <w:rPr>
          <w:lang w:val="en-US"/>
        </w:rPr>
      </w:pPr>
      <w:r>
        <w:rPr>
          <w:lang w:val="en-US"/>
        </w:rPr>
        <w:t xml:space="preserve">Access to information is a pre-requisite for </w:t>
      </w:r>
      <w:r w:rsidR="0013441B">
        <w:rPr>
          <w:lang w:val="en-US"/>
        </w:rPr>
        <w:t xml:space="preserve">the </w:t>
      </w:r>
      <w:r>
        <w:rPr>
          <w:lang w:val="en-US"/>
        </w:rPr>
        <w:t>development and expression of ideas and opinions. In</w:t>
      </w:r>
      <w:r w:rsidR="00ED3204">
        <w:rPr>
          <w:lang w:val="en-US"/>
        </w:rPr>
        <w:t xml:space="preserve"> contemporary Australia, we are i</w:t>
      </w:r>
      <w:r w:rsidR="00770951">
        <w:rPr>
          <w:lang w:val="en-US"/>
        </w:rPr>
        <w:t xml:space="preserve">ncreasingly accessing information through </w:t>
      </w:r>
      <w:r w:rsidR="00F25692">
        <w:rPr>
          <w:lang w:val="en-US"/>
        </w:rPr>
        <w:t>the internet and so</w:t>
      </w:r>
      <w:r w:rsidR="00770951">
        <w:rPr>
          <w:lang w:val="en-US"/>
        </w:rPr>
        <w:t>cial media</w:t>
      </w:r>
      <w:r>
        <w:rPr>
          <w:lang w:val="en-US"/>
        </w:rPr>
        <w:t xml:space="preserve">. </w:t>
      </w:r>
    </w:p>
    <w:p w:rsidR="00D25979" w:rsidRDefault="00770951" w:rsidP="00D25979">
      <w:pPr>
        <w:rPr>
          <w:lang w:val="en-US"/>
        </w:rPr>
      </w:pPr>
      <w:r>
        <w:rPr>
          <w:lang w:val="en-US"/>
        </w:rPr>
        <w:t>The ways in which</w:t>
      </w:r>
      <w:r w:rsidR="00D25979">
        <w:rPr>
          <w:lang w:val="en-US"/>
        </w:rPr>
        <w:t xml:space="preserve"> we exercise our right to freedom of expression through </w:t>
      </w:r>
      <w:r w:rsidR="00F25692">
        <w:rPr>
          <w:lang w:val="en-US"/>
        </w:rPr>
        <w:t xml:space="preserve">the internet and </w:t>
      </w:r>
      <w:r w:rsidR="009E03B7">
        <w:rPr>
          <w:lang w:val="en-US"/>
        </w:rPr>
        <w:t xml:space="preserve">social media platforms – and where </w:t>
      </w:r>
      <w:r w:rsidR="00200D6B">
        <w:rPr>
          <w:lang w:val="en-US"/>
        </w:rPr>
        <w:t>there should be limits</w:t>
      </w:r>
      <w:r w:rsidR="009E03B7">
        <w:rPr>
          <w:lang w:val="en-US"/>
        </w:rPr>
        <w:t xml:space="preserve"> – were</w:t>
      </w:r>
      <w:r w:rsidR="007D6DA5">
        <w:rPr>
          <w:lang w:val="en-US"/>
        </w:rPr>
        <w:t xml:space="preserve"> discussed in almost all public meetings</w:t>
      </w:r>
      <w:r w:rsidR="00D25979">
        <w:rPr>
          <w:lang w:val="en-US"/>
        </w:rPr>
        <w:t xml:space="preserve">. </w:t>
      </w:r>
      <w:r w:rsidR="002D677B">
        <w:rPr>
          <w:lang w:val="en-US"/>
        </w:rPr>
        <w:t>Parti</w:t>
      </w:r>
      <w:r w:rsidR="00F25692">
        <w:rPr>
          <w:lang w:val="en-US"/>
        </w:rPr>
        <w:t>cipants outlined issues</w:t>
      </w:r>
      <w:r w:rsidR="00CB0A18">
        <w:rPr>
          <w:lang w:val="en-US"/>
        </w:rPr>
        <w:t xml:space="preserve"> about</w:t>
      </w:r>
      <w:r w:rsidR="00D25979">
        <w:rPr>
          <w:lang w:val="en-US"/>
        </w:rPr>
        <w:t>:</w:t>
      </w:r>
    </w:p>
    <w:p w:rsidR="00D25979" w:rsidRDefault="00050B3C" w:rsidP="00D25979">
      <w:pPr>
        <w:numPr>
          <w:ilvl w:val="0"/>
          <w:numId w:val="16"/>
        </w:numPr>
        <w:rPr>
          <w:lang w:val="en-US"/>
        </w:rPr>
      </w:pPr>
      <w:r>
        <w:rPr>
          <w:lang w:val="en-US"/>
        </w:rPr>
        <w:t>ways to</w:t>
      </w:r>
      <w:r w:rsidR="00CB0A18">
        <w:rPr>
          <w:lang w:val="en-US"/>
        </w:rPr>
        <w:t xml:space="preserve"> balance the </w:t>
      </w:r>
      <w:r w:rsidR="00D25979" w:rsidRPr="00B267F9">
        <w:rPr>
          <w:lang w:val="en-US"/>
        </w:rPr>
        <w:t xml:space="preserve">right to </w:t>
      </w:r>
      <w:r w:rsidR="00CB0A18">
        <w:rPr>
          <w:lang w:val="en-US"/>
        </w:rPr>
        <w:t xml:space="preserve">free </w:t>
      </w:r>
      <w:r w:rsidR="00D25979" w:rsidRPr="00B267F9">
        <w:rPr>
          <w:lang w:val="en-US"/>
        </w:rPr>
        <w:t>speech an</w:t>
      </w:r>
      <w:r w:rsidR="002D677B">
        <w:rPr>
          <w:lang w:val="en-US"/>
        </w:rPr>
        <w:t xml:space="preserve">d the </w:t>
      </w:r>
      <w:r w:rsidR="00986E20">
        <w:rPr>
          <w:lang w:val="en-US"/>
        </w:rPr>
        <w:t xml:space="preserve">perception that people should be free of offensive </w:t>
      </w:r>
      <w:r w:rsidR="003E3D87">
        <w:rPr>
          <w:lang w:val="en-US"/>
        </w:rPr>
        <w:t>expression</w:t>
      </w:r>
    </w:p>
    <w:p w:rsidR="00D25979" w:rsidRDefault="002D677B" w:rsidP="00D25979">
      <w:pPr>
        <w:numPr>
          <w:ilvl w:val="0"/>
          <w:numId w:val="16"/>
        </w:numPr>
        <w:rPr>
          <w:lang w:val="en-US"/>
        </w:rPr>
      </w:pPr>
      <w:r>
        <w:rPr>
          <w:lang w:val="en-US"/>
        </w:rPr>
        <w:t>w</w:t>
      </w:r>
      <w:r w:rsidR="00D25979" w:rsidRPr="00B267F9">
        <w:rPr>
          <w:lang w:val="en-US"/>
        </w:rPr>
        <w:t xml:space="preserve">here legislation </w:t>
      </w:r>
      <w:r w:rsidR="00CB0A18">
        <w:rPr>
          <w:lang w:val="en-US"/>
        </w:rPr>
        <w:t xml:space="preserve">should </w:t>
      </w:r>
      <w:r w:rsidR="00D25979" w:rsidRPr="00B267F9">
        <w:rPr>
          <w:lang w:val="en-US"/>
        </w:rPr>
        <w:t xml:space="preserve">draw </w:t>
      </w:r>
      <w:r>
        <w:rPr>
          <w:lang w:val="en-US"/>
        </w:rPr>
        <w:t>the line regarding free speech</w:t>
      </w:r>
    </w:p>
    <w:p w:rsidR="00D25979" w:rsidRPr="00B267F9" w:rsidRDefault="003E3D87" w:rsidP="00D25979">
      <w:pPr>
        <w:numPr>
          <w:ilvl w:val="0"/>
          <w:numId w:val="16"/>
        </w:numPr>
        <w:rPr>
          <w:lang w:val="en-US"/>
        </w:rPr>
      </w:pPr>
      <w:r>
        <w:rPr>
          <w:lang w:val="en-US"/>
        </w:rPr>
        <w:t xml:space="preserve">a </w:t>
      </w:r>
      <w:r w:rsidR="008438A0">
        <w:rPr>
          <w:lang w:val="en-US"/>
        </w:rPr>
        <w:t>definition</w:t>
      </w:r>
      <w:r>
        <w:rPr>
          <w:lang w:val="en-US"/>
        </w:rPr>
        <w:t xml:space="preserve"> of public harassment</w:t>
      </w:r>
      <w:r w:rsidR="00CB0A18">
        <w:rPr>
          <w:lang w:val="en-US"/>
        </w:rPr>
        <w:t>.</w:t>
      </w:r>
    </w:p>
    <w:p w:rsidR="00D25979" w:rsidRDefault="00CE6938" w:rsidP="00D25979">
      <w:pPr>
        <w:rPr>
          <w:lang w:val="en-US"/>
        </w:rPr>
      </w:pPr>
      <w:r>
        <w:rPr>
          <w:lang w:val="en-US"/>
        </w:rPr>
        <w:t>A submission from YMCA NSW articulated the</w:t>
      </w:r>
      <w:r w:rsidR="005F19D1">
        <w:rPr>
          <w:lang w:val="en-US"/>
        </w:rPr>
        <w:t xml:space="preserve"> </w:t>
      </w:r>
      <w:r w:rsidR="00F45D71">
        <w:rPr>
          <w:lang w:val="en-US"/>
        </w:rPr>
        <w:t>potential</w:t>
      </w:r>
      <w:r w:rsidR="005F19D1">
        <w:rPr>
          <w:lang w:val="en-US"/>
        </w:rPr>
        <w:t xml:space="preserve"> of the internet to support </w:t>
      </w:r>
      <w:r w:rsidR="00D25979">
        <w:rPr>
          <w:lang w:val="en-US"/>
        </w:rPr>
        <w:t xml:space="preserve">free </w:t>
      </w:r>
      <w:r w:rsidR="005F19D1">
        <w:rPr>
          <w:lang w:val="en-US"/>
        </w:rPr>
        <w:t xml:space="preserve">speech </w:t>
      </w:r>
      <w:r>
        <w:rPr>
          <w:lang w:val="en-US"/>
        </w:rPr>
        <w:t>by</w:t>
      </w:r>
      <w:r w:rsidR="00F45D71">
        <w:rPr>
          <w:lang w:val="en-US"/>
        </w:rPr>
        <w:t xml:space="preserve"> </w:t>
      </w:r>
      <w:r w:rsidR="005F19D1">
        <w:rPr>
          <w:lang w:val="en-US"/>
        </w:rPr>
        <w:t>empower</w:t>
      </w:r>
      <w:r>
        <w:rPr>
          <w:lang w:val="en-US"/>
        </w:rPr>
        <w:t>ing</w:t>
      </w:r>
      <w:r w:rsidR="00D25979">
        <w:rPr>
          <w:lang w:val="en-US"/>
        </w:rPr>
        <w:t xml:space="preserve"> younger generations to challenge </w:t>
      </w:r>
      <w:r w:rsidR="00E27525">
        <w:rPr>
          <w:lang w:val="en-US"/>
        </w:rPr>
        <w:t xml:space="preserve">the </w:t>
      </w:r>
      <w:r w:rsidR="00D25979">
        <w:rPr>
          <w:lang w:val="en-US"/>
        </w:rPr>
        <w:t xml:space="preserve">acceptability of </w:t>
      </w:r>
      <w:r w:rsidR="00511ADD">
        <w:rPr>
          <w:lang w:val="en-US"/>
        </w:rPr>
        <w:t xml:space="preserve">changes to </w:t>
      </w:r>
      <w:r w:rsidR="00D25979">
        <w:rPr>
          <w:lang w:val="en-US"/>
        </w:rPr>
        <w:t>language:</w:t>
      </w:r>
    </w:p>
    <w:p w:rsidR="00D25979" w:rsidRDefault="00D25979" w:rsidP="00D25979">
      <w:pPr>
        <w:ind w:left="720"/>
        <w:rPr>
          <w:rFonts w:cs="Arial"/>
          <w:color w:val="000000"/>
          <w:sz w:val="20"/>
          <w:szCs w:val="20"/>
        </w:rPr>
      </w:pPr>
      <w:r>
        <w:rPr>
          <w:rFonts w:cs="Arial"/>
          <w:i/>
          <w:color w:val="000000"/>
          <w:sz w:val="22"/>
          <w:szCs w:val="22"/>
        </w:rPr>
        <w:t>…</w:t>
      </w:r>
      <w:r w:rsidR="008F4775">
        <w:rPr>
          <w:rFonts w:cs="Arial"/>
          <w:i/>
          <w:color w:val="000000"/>
          <w:sz w:val="22"/>
          <w:szCs w:val="22"/>
        </w:rPr>
        <w:t xml:space="preserve"> </w:t>
      </w:r>
      <w:r w:rsidR="00E27525">
        <w:rPr>
          <w:rFonts w:cs="Arial"/>
          <w:i/>
          <w:color w:val="000000"/>
          <w:sz w:val="22"/>
          <w:szCs w:val="22"/>
        </w:rPr>
        <w:t>[L]</w:t>
      </w:r>
      <w:r w:rsidRPr="00C972CE">
        <w:rPr>
          <w:rFonts w:cs="Arial"/>
          <w:i/>
          <w:color w:val="000000"/>
          <w:sz w:val="22"/>
          <w:szCs w:val="22"/>
        </w:rPr>
        <w:t>angu</w:t>
      </w:r>
      <w:r>
        <w:rPr>
          <w:rFonts w:cs="Arial"/>
          <w:i/>
          <w:color w:val="000000"/>
          <w:sz w:val="22"/>
          <w:szCs w:val="22"/>
        </w:rPr>
        <w:t>age change across generations [i</w:t>
      </w:r>
      <w:r w:rsidRPr="00C972CE">
        <w:rPr>
          <w:rFonts w:cs="Arial"/>
          <w:i/>
          <w:color w:val="000000"/>
          <w:sz w:val="22"/>
          <w:szCs w:val="22"/>
        </w:rPr>
        <w:t>s</w:t>
      </w:r>
      <w:r>
        <w:rPr>
          <w:rFonts w:cs="Arial"/>
          <w:i/>
          <w:color w:val="000000"/>
          <w:sz w:val="22"/>
          <w:szCs w:val="22"/>
        </w:rPr>
        <w:t>]</w:t>
      </w:r>
      <w:r w:rsidRPr="00C972CE">
        <w:rPr>
          <w:rFonts w:cs="Arial"/>
          <w:i/>
          <w:color w:val="000000"/>
          <w:sz w:val="22"/>
          <w:szCs w:val="22"/>
        </w:rPr>
        <w:t xml:space="preserve"> posing a challenge as to what is acceptable and unacceptable and therefore what</w:t>
      </w:r>
      <w:r>
        <w:rPr>
          <w:rFonts w:cs="Arial"/>
          <w:i/>
          <w:color w:val="000000"/>
          <w:sz w:val="22"/>
          <w:szCs w:val="22"/>
        </w:rPr>
        <w:t xml:space="preserve"> might be considered offensive</w:t>
      </w:r>
      <w:r w:rsidRPr="00C972CE">
        <w:rPr>
          <w:rFonts w:cs="Arial"/>
          <w:i/>
          <w:color w:val="000000"/>
          <w:sz w:val="22"/>
          <w:szCs w:val="22"/>
        </w:rPr>
        <w:t>…</w:t>
      </w:r>
      <w:r w:rsidRPr="00C972CE">
        <w:rPr>
          <w:i/>
          <w:sz w:val="22"/>
          <w:szCs w:val="22"/>
        </w:rPr>
        <w:t xml:space="preserve"> </w:t>
      </w:r>
      <w:r w:rsidRPr="00C972CE">
        <w:rPr>
          <w:rFonts w:cs="Arial"/>
          <w:i/>
          <w:color w:val="000000"/>
          <w:sz w:val="22"/>
          <w:szCs w:val="22"/>
        </w:rPr>
        <w:t>In terms of advancin</w:t>
      </w:r>
      <w:r>
        <w:rPr>
          <w:rFonts w:cs="Arial"/>
          <w:i/>
          <w:color w:val="000000"/>
          <w:sz w:val="22"/>
          <w:szCs w:val="22"/>
        </w:rPr>
        <w:t>g this right</w:t>
      </w:r>
      <w:r w:rsidR="007C07B6">
        <w:rPr>
          <w:rFonts w:cs="Arial"/>
          <w:i/>
          <w:color w:val="000000"/>
          <w:sz w:val="22"/>
          <w:szCs w:val="22"/>
        </w:rPr>
        <w:t xml:space="preserve"> </w:t>
      </w:r>
      <w:r>
        <w:rPr>
          <w:rFonts w:cs="Arial"/>
          <w:i/>
          <w:color w:val="000000"/>
          <w:sz w:val="22"/>
          <w:szCs w:val="22"/>
        </w:rPr>
        <w:t>…</w:t>
      </w:r>
      <w:r w:rsidR="007C07B6">
        <w:rPr>
          <w:rFonts w:cs="Arial"/>
          <w:i/>
          <w:color w:val="000000"/>
          <w:sz w:val="22"/>
          <w:szCs w:val="22"/>
        </w:rPr>
        <w:t xml:space="preserve"> </w:t>
      </w:r>
      <w:r w:rsidRPr="00C972CE">
        <w:rPr>
          <w:rFonts w:cs="Arial"/>
          <w:i/>
          <w:color w:val="000000"/>
          <w:sz w:val="22"/>
          <w:szCs w:val="22"/>
        </w:rPr>
        <w:t>young people feel particularly empowered to execute this right given the role of technology in modern society</w:t>
      </w:r>
      <w:r>
        <w:rPr>
          <w:rFonts w:cs="Arial"/>
          <w:color w:val="000000"/>
          <w:sz w:val="20"/>
          <w:szCs w:val="20"/>
        </w:rPr>
        <w:t>. YMCA NSW submission</w:t>
      </w:r>
    </w:p>
    <w:p w:rsidR="00D25979" w:rsidRDefault="00F25692" w:rsidP="00D25979">
      <w:pPr>
        <w:rPr>
          <w:rFonts w:cs="Arial"/>
          <w:color w:val="000000"/>
          <w:sz w:val="20"/>
          <w:szCs w:val="20"/>
        </w:rPr>
      </w:pPr>
      <w:r>
        <w:rPr>
          <w:lang w:val="en-US"/>
        </w:rPr>
        <w:t>Conversely, a number of participants</w:t>
      </w:r>
      <w:r w:rsidR="00CE6938">
        <w:rPr>
          <w:lang w:val="en-US"/>
        </w:rPr>
        <w:t xml:space="preserve"> outlined </w:t>
      </w:r>
      <w:r w:rsidR="00D25979">
        <w:rPr>
          <w:lang w:val="en-US"/>
        </w:rPr>
        <w:t xml:space="preserve">concerns about </w:t>
      </w:r>
      <w:r w:rsidR="00D552A9">
        <w:rPr>
          <w:lang w:val="en-US"/>
        </w:rPr>
        <w:t xml:space="preserve">the prevalence of cyber-bullying and </w:t>
      </w:r>
      <w:r w:rsidR="008810D5">
        <w:rPr>
          <w:lang w:val="en-US"/>
        </w:rPr>
        <w:t>its</w:t>
      </w:r>
      <w:r w:rsidR="00D552A9">
        <w:rPr>
          <w:lang w:val="en-US"/>
        </w:rPr>
        <w:t xml:space="preserve"> relationship to </w:t>
      </w:r>
      <w:r w:rsidR="00CE6938">
        <w:rPr>
          <w:lang w:val="en-US"/>
        </w:rPr>
        <w:t>fr</w:t>
      </w:r>
      <w:r w:rsidR="00D552A9">
        <w:rPr>
          <w:lang w:val="en-US"/>
        </w:rPr>
        <w:t>eedom of expression</w:t>
      </w:r>
      <w:r>
        <w:rPr>
          <w:lang w:val="en-US"/>
        </w:rPr>
        <w:t xml:space="preserve">. </w:t>
      </w:r>
      <w:r w:rsidR="00386614">
        <w:rPr>
          <w:lang w:val="en-US"/>
        </w:rPr>
        <w:t xml:space="preserve">At many meetings across the country, people shared stories about the detrimental impact of cyber-bullying on their personal and professional lives. </w:t>
      </w:r>
      <w:r w:rsidR="00D552A9">
        <w:rPr>
          <w:lang w:val="en-US"/>
        </w:rPr>
        <w:t xml:space="preserve">The following quote </w:t>
      </w:r>
      <w:r w:rsidR="00D552A9" w:rsidRPr="00D552A9">
        <w:t>summarises</w:t>
      </w:r>
      <w:r w:rsidR="00D552A9">
        <w:rPr>
          <w:lang w:val="en-US"/>
        </w:rPr>
        <w:t xml:space="preserve"> the issue</w:t>
      </w:r>
      <w:r w:rsidR="00D25979">
        <w:rPr>
          <w:lang w:val="en-US"/>
        </w:rPr>
        <w:t>:</w:t>
      </w:r>
    </w:p>
    <w:p w:rsidR="00D25979" w:rsidRPr="00CE6938" w:rsidRDefault="00D25979" w:rsidP="00D552A9">
      <w:pPr>
        <w:ind w:left="720"/>
        <w:rPr>
          <w:rFonts w:cs="Arial"/>
          <w:sz w:val="22"/>
          <w:szCs w:val="22"/>
        </w:rPr>
      </w:pPr>
      <w:r w:rsidRPr="00FD09B2">
        <w:rPr>
          <w:rFonts w:cs="Arial"/>
          <w:i/>
          <w:sz w:val="22"/>
          <w:szCs w:val="22"/>
        </w:rPr>
        <w:t>Australians feel very strongly that they are free to express their opinions… However, when bullying and targeting arises as a reaction to that freedom of expression, it does impact on the sense of freedom the original person felt. Particularly online, threats and ‘trolling’ can deprive a person of the feeling of freedom to safely express themselves. This is complex because of course the ‘troll’ is exercising their right to freedom of expression, and in doing so limiting that of the other</w:t>
      </w:r>
      <w:r>
        <w:rPr>
          <w:rFonts w:cs="Arial"/>
          <w:sz w:val="22"/>
          <w:szCs w:val="22"/>
        </w:rPr>
        <w:t>. O</w:t>
      </w:r>
      <w:r w:rsidRPr="00FD09B2">
        <w:rPr>
          <w:rFonts w:cs="Arial"/>
          <w:sz w:val="22"/>
          <w:szCs w:val="22"/>
        </w:rPr>
        <w:t>nline survey response</w:t>
      </w:r>
    </w:p>
    <w:p w:rsidR="00D552A9" w:rsidRDefault="00246513" w:rsidP="00D25979">
      <w:pPr>
        <w:rPr>
          <w:lang w:val="en-US"/>
        </w:rPr>
      </w:pPr>
      <w:r>
        <w:rPr>
          <w:lang w:val="en-US"/>
        </w:rPr>
        <w:t xml:space="preserve">These alternate views about the use of social media demonstrate the requirement for individuals to </w:t>
      </w:r>
      <w:r w:rsidRPr="00246513">
        <w:rPr>
          <w:i/>
          <w:lang w:val="en-US"/>
        </w:rPr>
        <w:t>responsibly</w:t>
      </w:r>
      <w:r>
        <w:rPr>
          <w:lang w:val="en-US"/>
        </w:rPr>
        <w:t xml:space="preserve"> exercise their right to free speech. </w:t>
      </w:r>
      <w:r w:rsidR="00D25979">
        <w:rPr>
          <w:lang w:val="en-US"/>
        </w:rPr>
        <w:t xml:space="preserve">The view was expressed at </w:t>
      </w:r>
      <w:r>
        <w:rPr>
          <w:lang w:val="en-US"/>
        </w:rPr>
        <w:t>several public meetings</w:t>
      </w:r>
      <w:r w:rsidR="00D25979">
        <w:rPr>
          <w:lang w:val="en-US"/>
        </w:rPr>
        <w:t xml:space="preserve"> that anti-social </w:t>
      </w:r>
      <w:r w:rsidR="00D25979" w:rsidRPr="00F20AA3">
        <w:t>behaviour</w:t>
      </w:r>
      <w:r w:rsidR="00D25979">
        <w:rPr>
          <w:lang w:val="en-US"/>
        </w:rPr>
        <w:t xml:space="preserve"> such as cyber-bullying and ‘trolling’ occurred </w:t>
      </w:r>
      <w:r>
        <w:rPr>
          <w:lang w:val="en-US"/>
        </w:rPr>
        <w:t xml:space="preserve">largely </w:t>
      </w:r>
      <w:r w:rsidR="00D25979">
        <w:rPr>
          <w:lang w:val="en-US"/>
        </w:rPr>
        <w:t>becau</w:t>
      </w:r>
      <w:r>
        <w:rPr>
          <w:lang w:val="en-US"/>
        </w:rPr>
        <w:t xml:space="preserve">se </w:t>
      </w:r>
      <w:r w:rsidR="00993E4A">
        <w:rPr>
          <w:lang w:val="en-US"/>
        </w:rPr>
        <w:t xml:space="preserve">anonymity allows </w:t>
      </w:r>
      <w:r>
        <w:rPr>
          <w:lang w:val="en-US"/>
        </w:rPr>
        <w:t xml:space="preserve">people </w:t>
      </w:r>
      <w:r w:rsidR="00993E4A">
        <w:rPr>
          <w:lang w:val="en-US"/>
        </w:rPr>
        <w:t xml:space="preserve">to </w:t>
      </w:r>
      <w:r>
        <w:rPr>
          <w:lang w:val="en-US"/>
        </w:rPr>
        <w:t>not</w:t>
      </w:r>
      <w:r w:rsidR="00D25979">
        <w:rPr>
          <w:lang w:val="en-US"/>
        </w:rPr>
        <w:t xml:space="preserve"> </w:t>
      </w:r>
      <w:r w:rsidR="00993E4A">
        <w:rPr>
          <w:lang w:val="en-US"/>
        </w:rPr>
        <w:t xml:space="preserve">be </w:t>
      </w:r>
      <w:r w:rsidR="00D25979">
        <w:rPr>
          <w:lang w:val="en-US"/>
        </w:rPr>
        <w:t xml:space="preserve">responsible for their </w:t>
      </w:r>
      <w:r w:rsidR="00D25979" w:rsidRPr="00567022">
        <w:t>behaviour</w:t>
      </w:r>
      <w:r>
        <w:rPr>
          <w:lang w:val="en-US"/>
        </w:rPr>
        <w:t>.</w:t>
      </w:r>
    </w:p>
    <w:p w:rsidR="008438A0" w:rsidRDefault="003A6D38" w:rsidP="0016021C">
      <w:pPr>
        <w:rPr>
          <w:lang w:val="en-US"/>
        </w:rPr>
      </w:pPr>
      <w:r>
        <w:rPr>
          <w:lang w:val="en-US"/>
        </w:rPr>
        <w:t xml:space="preserve">A case study demonstrating policies, tools and education resources developed by </w:t>
      </w:r>
      <w:r w:rsidR="00D25979">
        <w:rPr>
          <w:lang w:val="en-US"/>
        </w:rPr>
        <w:t>digital players to assist people engaging with social media platforms</w:t>
      </w:r>
      <w:r>
        <w:rPr>
          <w:lang w:val="en-US"/>
        </w:rPr>
        <w:t xml:space="preserve"> is outlined in the text box below</w:t>
      </w:r>
      <w:r w:rsidR="00D25979">
        <w:rPr>
          <w:lang w:val="en-US"/>
        </w:rPr>
        <w:t>.</w:t>
      </w:r>
      <w:r w:rsidR="008438A0">
        <w:rPr>
          <w:lang w:val="en-US"/>
        </w:rPr>
        <w:br w:type="page"/>
      </w:r>
    </w:p>
    <w:p w:rsidR="008438A0" w:rsidRPr="00E90E0A" w:rsidRDefault="008438A0" w:rsidP="00D2597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D25979" w:rsidRPr="0073669B" w:rsidTr="00D25979">
        <w:tc>
          <w:tcPr>
            <w:tcW w:w="9286" w:type="dxa"/>
            <w:shd w:val="clear" w:color="auto" w:fill="E0E0E0"/>
          </w:tcPr>
          <w:p w:rsidR="00D25979" w:rsidRPr="00785590" w:rsidRDefault="00452B6C" w:rsidP="00D25979">
            <w:pPr>
              <w:rPr>
                <w:b/>
                <w:sz w:val="22"/>
                <w:szCs w:val="22"/>
                <w:lang w:val="en-US"/>
              </w:rPr>
            </w:pPr>
            <w:r>
              <w:rPr>
                <w:rFonts w:cs="Arial"/>
                <w:b/>
                <w:sz w:val="22"/>
                <w:szCs w:val="22"/>
              </w:rPr>
              <w:t>Members of t</w:t>
            </w:r>
            <w:r w:rsidR="00D25979" w:rsidRPr="00C40CA7">
              <w:rPr>
                <w:rFonts w:cs="Arial"/>
                <w:b/>
                <w:sz w:val="22"/>
                <w:szCs w:val="22"/>
              </w:rPr>
              <w:t>he Australian</w:t>
            </w:r>
            <w:r w:rsidR="00D25979" w:rsidRPr="00C40CA7">
              <w:rPr>
                <w:rFonts w:cs="Arial"/>
                <w:b/>
                <w:sz w:val="22"/>
                <w:szCs w:val="22"/>
                <w:lang w:val="en-US"/>
              </w:rPr>
              <w:t xml:space="preserve"> Interactive Media Industry Association (</w:t>
            </w:r>
            <w:r w:rsidR="00D25979" w:rsidRPr="00C40CA7">
              <w:rPr>
                <w:b/>
                <w:sz w:val="22"/>
                <w:szCs w:val="22"/>
                <w:lang w:val="en-US"/>
              </w:rPr>
              <w:t>AIMIA)</w:t>
            </w:r>
            <w:r w:rsidR="00D25979">
              <w:rPr>
                <w:b/>
                <w:sz w:val="22"/>
                <w:szCs w:val="22"/>
                <w:lang w:val="en-US"/>
              </w:rPr>
              <w:t xml:space="preserve"> Digital Policy Group</w:t>
            </w:r>
            <w:r w:rsidR="00D25979">
              <w:rPr>
                <w:rStyle w:val="EndnoteReference"/>
                <w:b/>
                <w:szCs w:val="22"/>
                <w:lang w:val="en-US"/>
              </w:rPr>
              <w:endnoteReference w:id="19"/>
            </w:r>
            <w:r w:rsidR="00D25979">
              <w:rPr>
                <w:b/>
                <w:sz w:val="22"/>
                <w:szCs w:val="22"/>
                <w:lang w:val="en-US"/>
              </w:rPr>
              <w:t xml:space="preserve"> – developing t</w:t>
            </w:r>
            <w:r w:rsidR="00D25979" w:rsidRPr="00B67519">
              <w:rPr>
                <w:b/>
                <w:sz w:val="22"/>
                <w:szCs w:val="22"/>
                <w:lang w:val="en-US"/>
              </w:rPr>
              <w:t xml:space="preserve">ools to </w:t>
            </w:r>
            <w:r w:rsidR="008E2A6F">
              <w:rPr>
                <w:b/>
                <w:sz w:val="22"/>
                <w:szCs w:val="22"/>
                <w:lang w:val="en-US"/>
              </w:rPr>
              <w:t xml:space="preserve">assist consumers who use </w:t>
            </w:r>
            <w:r w:rsidR="00D25979" w:rsidRPr="00B67519">
              <w:rPr>
                <w:b/>
                <w:sz w:val="22"/>
                <w:szCs w:val="22"/>
                <w:lang w:val="en-US"/>
              </w:rPr>
              <w:t>social media</w:t>
            </w:r>
            <w:r w:rsidR="00D25979">
              <w:rPr>
                <w:b/>
                <w:sz w:val="22"/>
                <w:szCs w:val="22"/>
                <w:lang w:val="en-US"/>
              </w:rPr>
              <w:t xml:space="preserve"> services</w:t>
            </w:r>
          </w:p>
          <w:p w:rsidR="00D25979" w:rsidRPr="005A0B83" w:rsidRDefault="00D25979" w:rsidP="00D25979">
            <w:pPr>
              <w:pStyle w:val="ListParagraph"/>
              <w:ind w:left="0"/>
              <w:rPr>
                <w:sz w:val="22"/>
                <w:szCs w:val="22"/>
              </w:rPr>
            </w:pPr>
            <w:r>
              <w:rPr>
                <w:sz w:val="22"/>
                <w:szCs w:val="22"/>
                <w:lang w:val="en-US"/>
              </w:rPr>
              <w:t xml:space="preserve">The digital industry </w:t>
            </w:r>
            <w:r w:rsidRPr="00B22D23">
              <w:rPr>
                <w:rFonts w:eastAsia="Verdana" w:cs="Arial"/>
                <w:sz w:val="22"/>
                <w:szCs w:val="22"/>
              </w:rPr>
              <w:t>seek</w:t>
            </w:r>
            <w:r>
              <w:rPr>
                <w:rFonts w:eastAsia="Verdana" w:cs="Arial"/>
                <w:sz w:val="22"/>
                <w:szCs w:val="22"/>
              </w:rPr>
              <w:t>s</w:t>
            </w:r>
            <w:r w:rsidRPr="00B22D23">
              <w:rPr>
                <w:rFonts w:eastAsia="Verdana" w:cs="Arial"/>
                <w:sz w:val="22"/>
                <w:szCs w:val="22"/>
              </w:rPr>
              <w:t xml:space="preserve"> to provide platforms where people ca</w:t>
            </w:r>
            <w:r w:rsidR="008E3D0E">
              <w:rPr>
                <w:rFonts w:eastAsia="Verdana" w:cs="Arial"/>
                <w:sz w:val="22"/>
                <w:szCs w:val="22"/>
              </w:rPr>
              <w:t xml:space="preserve">n share </w:t>
            </w:r>
            <w:r w:rsidRPr="00B22D23">
              <w:rPr>
                <w:rFonts w:eastAsia="Verdana" w:cs="Arial"/>
                <w:sz w:val="22"/>
                <w:szCs w:val="22"/>
              </w:rPr>
              <w:t xml:space="preserve">content, </w:t>
            </w:r>
            <w:r w:rsidRPr="00B22D23">
              <w:rPr>
                <w:sz w:val="22"/>
                <w:szCs w:val="22"/>
                <w:lang w:val="en-US"/>
              </w:rPr>
              <w:t>messages</w:t>
            </w:r>
            <w:r w:rsidRPr="00B22D23">
              <w:rPr>
                <w:rFonts w:eastAsia="Verdana" w:cs="Arial"/>
                <w:sz w:val="22"/>
                <w:szCs w:val="22"/>
              </w:rPr>
              <w:t xml:space="preserve"> </w:t>
            </w:r>
            <w:r w:rsidRPr="00B22D23">
              <w:rPr>
                <w:sz w:val="22"/>
                <w:szCs w:val="22"/>
                <w:lang w:val="en-US"/>
              </w:rPr>
              <w:t>and</w:t>
            </w:r>
            <w:r w:rsidRPr="00B22D23">
              <w:rPr>
                <w:rFonts w:eastAsia="Verdana" w:cs="Arial"/>
                <w:sz w:val="22"/>
                <w:szCs w:val="22"/>
              </w:rPr>
              <w:t xml:space="preserve"> ideas freely, while still respecting the rights of others. They work to achieve this balance by setting policies, investing in reporting infrastructure and liaising with governments, community groups and the public to help promote online safety. </w:t>
            </w:r>
          </w:p>
          <w:p w:rsidR="00D25979" w:rsidRPr="00B67519" w:rsidRDefault="00D25979" w:rsidP="00D25979">
            <w:pPr>
              <w:pStyle w:val="ListParagraph"/>
              <w:ind w:left="0"/>
              <w:rPr>
                <w:rFonts w:cs="Arial"/>
                <w:sz w:val="22"/>
                <w:szCs w:val="22"/>
              </w:rPr>
            </w:pPr>
            <w:r>
              <w:rPr>
                <w:sz w:val="22"/>
                <w:szCs w:val="22"/>
                <w:lang w:val="en-US"/>
              </w:rPr>
              <w:t xml:space="preserve">Online service providers have </w:t>
            </w:r>
            <w:r w:rsidRPr="00B67519">
              <w:rPr>
                <w:sz w:val="22"/>
                <w:szCs w:val="22"/>
                <w:lang w:val="en-US"/>
              </w:rPr>
              <w:t>developed initiatives to provide for the safety of people who use social networking services. These initiatives focus on:</w:t>
            </w:r>
          </w:p>
          <w:p w:rsidR="00D25979" w:rsidRPr="001824DB" w:rsidRDefault="00D25979" w:rsidP="00D25979">
            <w:pPr>
              <w:pStyle w:val="ListParagraph"/>
              <w:numPr>
                <w:ilvl w:val="0"/>
                <w:numId w:val="19"/>
              </w:numPr>
              <w:contextualSpacing/>
              <w:rPr>
                <w:rFonts w:cs="Arial"/>
              </w:rPr>
            </w:pPr>
            <w:r w:rsidRPr="00B67519">
              <w:rPr>
                <w:sz w:val="22"/>
                <w:szCs w:val="22"/>
                <w:lang w:val="en-US"/>
              </w:rPr>
              <w:t>Policies which outline what people can and cannot do on platforms</w:t>
            </w:r>
            <w:r>
              <w:rPr>
                <w:sz w:val="22"/>
                <w:szCs w:val="22"/>
                <w:lang w:val="en-US"/>
              </w:rPr>
              <w:t xml:space="preserve"> in clear, short and relevant language.</w:t>
            </w:r>
            <w:r w:rsidRPr="008B5B37">
              <w:rPr>
                <w:sz w:val="22"/>
                <w:szCs w:val="22"/>
                <w:lang w:val="en-US"/>
              </w:rPr>
              <w:t xml:space="preserve"> </w:t>
            </w:r>
            <w:r w:rsidRPr="008B5B37">
              <w:rPr>
                <w:rFonts w:eastAsia="Verdana" w:cs="Arial"/>
                <w:sz w:val="22"/>
                <w:szCs w:val="22"/>
              </w:rPr>
              <w:t>Examples include</w:t>
            </w:r>
            <w:r>
              <w:rPr>
                <w:rFonts w:eastAsia="Verdana" w:cs="Arial"/>
                <w:sz w:val="22"/>
                <w:szCs w:val="22"/>
              </w:rPr>
              <w:t xml:space="preserve"> </w:t>
            </w:r>
            <w:r w:rsidRPr="001824DB">
              <w:rPr>
                <w:rFonts w:eastAsia="Verdana" w:cs="Arial"/>
                <w:i/>
                <w:sz w:val="22"/>
                <w:szCs w:val="22"/>
              </w:rPr>
              <w:t>The Twitter Rules</w:t>
            </w:r>
            <w:r>
              <w:rPr>
                <w:rStyle w:val="EndnoteReference"/>
                <w:rFonts w:eastAsia="Verdana" w:cs="Arial"/>
                <w:szCs w:val="22"/>
              </w:rPr>
              <w:endnoteReference w:id="20"/>
            </w:r>
            <w:r>
              <w:rPr>
                <w:rFonts w:eastAsia="Verdana" w:cs="Arial"/>
                <w:sz w:val="22"/>
                <w:szCs w:val="22"/>
              </w:rPr>
              <w:t xml:space="preserve"> </w:t>
            </w:r>
            <w:r w:rsidRPr="008B5B37">
              <w:rPr>
                <w:rFonts w:eastAsia="Verdana" w:cs="Arial"/>
                <w:sz w:val="22"/>
                <w:szCs w:val="22"/>
              </w:rPr>
              <w:t>and</w:t>
            </w:r>
            <w:r>
              <w:rPr>
                <w:rFonts w:eastAsia="Verdana" w:cs="Arial"/>
                <w:sz w:val="22"/>
                <w:szCs w:val="22"/>
              </w:rPr>
              <w:t xml:space="preserve"> </w:t>
            </w:r>
            <w:r w:rsidRPr="001824DB">
              <w:rPr>
                <w:rFonts w:eastAsia="Verdana" w:cs="Arial"/>
                <w:i/>
                <w:sz w:val="22"/>
                <w:szCs w:val="22"/>
              </w:rPr>
              <w:t>Microsoft’s Terms of Use</w:t>
            </w:r>
            <w:r w:rsidRPr="001824DB">
              <w:rPr>
                <w:rFonts w:eastAsia="Verdana" w:cs="Arial"/>
                <w:sz w:val="22"/>
                <w:szCs w:val="22"/>
              </w:rPr>
              <w:t>.</w:t>
            </w:r>
            <w:r>
              <w:rPr>
                <w:rStyle w:val="EndnoteReference"/>
                <w:rFonts w:eastAsia="Verdana" w:cs="Arial"/>
                <w:szCs w:val="22"/>
              </w:rPr>
              <w:endnoteReference w:id="21"/>
            </w:r>
            <w:r w:rsidRPr="001824DB">
              <w:rPr>
                <w:rFonts w:eastAsia="Verdana" w:cs="Arial"/>
                <w:sz w:val="22"/>
                <w:szCs w:val="22"/>
              </w:rPr>
              <w:t xml:space="preserve"> Many sites help bring terms of use to life by providing shorter mo</w:t>
            </w:r>
            <w:r w:rsidR="00E27525">
              <w:rPr>
                <w:rFonts w:eastAsia="Verdana" w:cs="Arial"/>
                <w:sz w:val="22"/>
                <w:szCs w:val="22"/>
              </w:rPr>
              <w:t xml:space="preserve">re succinct explanations of </w:t>
            </w:r>
            <w:r w:rsidRPr="001824DB">
              <w:rPr>
                <w:rFonts w:eastAsia="Verdana" w:cs="Arial"/>
                <w:sz w:val="22"/>
                <w:szCs w:val="22"/>
              </w:rPr>
              <w:t>community standards</w:t>
            </w:r>
            <w:r w:rsidR="00E27525">
              <w:rPr>
                <w:rFonts w:eastAsia="Verdana" w:cs="Arial"/>
                <w:sz w:val="22"/>
                <w:szCs w:val="22"/>
              </w:rPr>
              <w:t xml:space="preserve">. Examples </w:t>
            </w:r>
            <w:r w:rsidRPr="001824DB">
              <w:rPr>
                <w:rFonts w:eastAsia="Verdana" w:cs="Arial"/>
                <w:sz w:val="22"/>
                <w:szCs w:val="22"/>
              </w:rPr>
              <w:t>include</w:t>
            </w:r>
            <w:r>
              <w:rPr>
                <w:rFonts w:eastAsia="Verdana" w:cs="Arial"/>
                <w:sz w:val="22"/>
                <w:szCs w:val="22"/>
              </w:rPr>
              <w:t xml:space="preserve"> </w:t>
            </w:r>
            <w:r w:rsidRPr="005E5138">
              <w:rPr>
                <w:rFonts w:eastAsia="Verdana" w:cs="Arial"/>
                <w:i/>
                <w:sz w:val="22"/>
                <w:szCs w:val="22"/>
              </w:rPr>
              <w:t xml:space="preserve">Facebook’s Community </w:t>
            </w:r>
            <w:r w:rsidRPr="00F20AA3">
              <w:rPr>
                <w:rFonts w:eastAsia="Verdana" w:cs="Arial"/>
                <w:i/>
                <w:sz w:val="22"/>
                <w:szCs w:val="22"/>
              </w:rPr>
              <w:t>Standards</w:t>
            </w:r>
            <w:r w:rsidRPr="006265FE">
              <w:rPr>
                <w:rStyle w:val="EndnoteReference"/>
                <w:rFonts w:eastAsia="Verdana" w:cs="Arial"/>
                <w:szCs w:val="22"/>
              </w:rPr>
              <w:endnoteReference w:id="22"/>
            </w:r>
            <w:r>
              <w:rPr>
                <w:rFonts w:eastAsia="Verdana" w:cs="Arial"/>
                <w:sz w:val="22"/>
                <w:szCs w:val="22"/>
              </w:rPr>
              <w:t xml:space="preserve"> </w:t>
            </w:r>
            <w:r w:rsidRPr="001824DB">
              <w:rPr>
                <w:rFonts w:eastAsia="Verdana" w:cs="Arial"/>
                <w:sz w:val="22"/>
                <w:szCs w:val="22"/>
              </w:rPr>
              <w:t xml:space="preserve">and </w:t>
            </w:r>
            <w:r w:rsidRPr="001824DB">
              <w:rPr>
                <w:rFonts w:eastAsia="Verdana" w:cs="Arial"/>
                <w:i/>
                <w:sz w:val="22"/>
                <w:szCs w:val="22"/>
              </w:rPr>
              <w:t>YouTube’s</w:t>
            </w:r>
            <w:r>
              <w:rPr>
                <w:rFonts w:eastAsia="Verdana" w:cs="Arial"/>
                <w:sz w:val="22"/>
                <w:szCs w:val="22"/>
              </w:rPr>
              <w:t xml:space="preserve"> </w:t>
            </w:r>
            <w:r w:rsidRPr="000B0575">
              <w:rPr>
                <w:rFonts w:eastAsia="Verdana" w:cs="Arial"/>
                <w:i/>
                <w:sz w:val="22"/>
                <w:szCs w:val="22"/>
              </w:rPr>
              <w:t>C</w:t>
            </w:r>
            <w:r>
              <w:rPr>
                <w:rFonts w:eastAsia="Verdana" w:cs="Arial"/>
                <w:i/>
                <w:sz w:val="22"/>
                <w:szCs w:val="22"/>
              </w:rPr>
              <w:t>ommunity Guideline</w:t>
            </w:r>
            <w:r w:rsidRPr="000B0575">
              <w:rPr>
                <w:rFonts w:eastAsia="Verdana" w:cs="Arial"/>
                <w:i/>
                <w:sz w:val="22"/>
                <w:szCs w:val="22"/>
              </w:rPr>
              <w:t>s</w:t>
            </w:r>
            <w:r w:rsidR="005819A0">
              <w:rPr>
                <w:rFonts w:eastAsia="Verdana" w:cs="Arial"/>
                <w:sz w:val="22"/>
                <w:szCs w:val="22"/>
              </w:rPr>
              <w:t>.</w:t>
            </w:r>
            <w:r w:rsidRPr="006265FE">
              <w:rPr>
                <w:rStyle w:val="EndnoteReference"/>
                <w:rFonts w:eastAsia="Verdana" w:cs="Arial"/>
                <w:szCs w:val="22"/>
              </w:rPr>
              <w:endnoteReference w:id="23"/>
            </w:r>
          </w:p>
          <w:p w:rsidR="00D25979" w:rsidRPr="005F288A" w:rsidRDefault="00D25979" w:rsidP="00D25979">
            <w:pPr>
              <w:pStyle w:val="ListParagraph"/>
              <w:numPr>
                <w:ilvl w:val="0"/>
                <w:numId w:val="19"/>
              </w:numPr>
              <w:contextualSpacing/>
              <w:rPr>
                <w:rFonts w:cs="Arial"/>
                <w:sz w:val="22"/>
                <w:szCs w:val="22"/>
              </w:rPr>
            </w:pPr>
            <w:r w:rsidRPr="00B67519">
              <w:rPr>
                <w:sz w:val="22"/>
                <w:szCs w:val="22"/>
                <w:lang w:val="en-US"/>
              </w:rPr>
              <w:t xml:space="preserve">Tools that allow people using services to </w:t>
            </w:r>
            <w:r>
              <w:rPr>
                <w:sz w:val="22"/>
                <w:szCs w:val="22"/>
                <w:lang w:val="en-US"/>
              </w:rPr>
              <w:t>make informed decisions about how they want to interact online and to help identify content that violates these policies</w:t>
            </w:r>
            <w:r w:rsidRPr="00B67519">
              <w:rPr>
                <w:sz w:val="22"/>
                <w:szCs w:val="22"/>
                <w:lang w:val="en-US"/>
              </w:rPr>
              <w:t>.</w:t>
            </w:r>
            <w:r>
              <w:rPr>
                <w:sz w:val="22"/>
                <w:szCs w:val="22"/>
                <w:lang w:val="en-US"/>
              </w:rPr>
              <w:t xml:space="preserve"> </w:t>
            </w:r>
            <w:r w:rsidR="000C3FC8">
              <w:rPr>
                <w:rFonts w:eastAsia="Verdana" w:cs="Arial"/>
                <w:sz w:val="22"/>
                <w:szCs w:val="22"/>
              </w:rPr>
              <w:t xml:space="preserve">Some tools allow people </w:t>
            </w:r>
            <w:r w:rsidRPr="009F6D85">
              <w:rPr>
                <w:rFonts w:eastAsia="Verdana" w:cs="Arial"/>
                <w:sz w:val="22"/>
                <w:szCs w:val="22"/>
              </w:rPr>
              <w:t xml:space="preserve">to exercise choice about who they interact with online. These tools can include privacy settings for online profiles or tools to delete content, untag, block or mute others online. These tools also include tools to report content to the provider for review and removal where it violates the service’s content policies. </w:t>
            </w:r>
            <w:r w:rsidRPr="006265FE">
              <w:rPr>
                <w:rFonts w:eastAsia="Verdana" w:cs="Arial"/>
                <w:sz w:val="22"/>
                <w:szCs w:val="22"/>
              </w:rPr>
              <w:t>For example</w:t>
            </w:r>
            <w:r w:rsidR="005819A0">
              <w:rPr>
                <w:rFonts w:eastAsia="Verdana" w:cs="Arial"/>
                <w:sz w:val="22"/>
                <w:szCs w:val="22"/>
              </w:rPr>
              <w:t>,</w:t>
            </w:r>
            <w:r w:rsidRPr="006265FE">
              <w:rPr>
                <w:rFonts w:eastAsia="Verdana" w:cs="Arial"/>
                <w:sz w:val="22"/>
                <w:szCs w:val="22"/>
              </w:rPr>
              <w:t xml:space="preserve"> Yahoo7 provides tools to assist in reporting inappropriate </w:t>
            </w:r>
            <w:r>
              <w:rPr>
                <w:rFonts w:eastAsia="Verdana" w:cs="Arial"/>
                <w:sz w:val="22"/>
                <w:szCs w:val="22"/>
              </w:rPr>
              <w:t>or harmful behaviour via their ‘Report Abuse’</w:t>
            </w:r>
            <w:r w:rsidRPr="006265FE">
              <w:rPr>
                <w:rFonts w:eastAsia="Verdana" w:cs="Arial"/>
                <w:sz w:val="22"/>
                <w:szCs w:val="22"/>
              </w:rPr>
              <w:t xml:space="preserve"> flags and the Abuse Help Form</w:t>
            </w:r>
            <w:r w:rsidR="000C3FC8">
              <w:rPr>
                <w:rFonts w:eastAsia="Verdana" w:cs="Arial"/>
                <w:sz w:val="22"/>
                <w:szCs w:val="22"/>
              </w:rPr>
              <w:t>.</w:t>
            </w:r>
            <w:r>
              <w:rPr>
                <w:rStyle w:val="EndnoteReference"/>
                <w:rFonts w:eastAsia="Verdana" w:cs="Arial"/>
                <w:szCs w:val="22"/>
              </w:rPr>
              <w:endnoteReference w:id="24"/>
            </w:r>
            <w:r w:rsidR="000C3FC8">
              <w:rPr>
                <w:rFonts w:eastAsia="Verdana" w:cs="Arial"/>
                <w:sz w:val="22"/>
                <w:szCs w:val="22"/>
              </w:rPr>
              <w:t xml:space="preserve"> </w:t>
            </w:r>
            <w:r w:rsidRPr="006265FE">
              <w:rPr>
                <w:rFonts w:eastAsia="Verdana" w:cs="Arial"/>
                <w:sz w:val="22"/>
                <w:szCs w:val="22"/>
              </w:rPr>
              <w:t>Facebook has developed a Support</w:t>
            </w:r>
            <w:r>
              <w:rPr>
                <w:rFonts w:eastAsia="Verdana" w:cs="Arial"/>
                <w:sz w:val="22"/>
                <w:szCs w:val="22"/>
              </w:rPr>
              <w:t xml:space="preserve"> Dashboard</w:t>
            </w:r>
            <w:r w:rsidR="000C3FC8">
              <w:rPr>
                <w:rFonts w:eastAsia="Verdana" w:cs="Arial"/>
                <w:sz w:val="22"/>
                <w:szCs w:val="22"/>
              </w:rPr>
              <w:t>,</w:t>
            </w:r>
            <w:r>
              <w:rPr>
                <w:rStyle w:val="EndnoteReference"/>
                <w:rFonts w:eastAsia="Verdana" w:cs="Arial"/>
                <w:szCs w:val="22"/>
              </w:rPr>
              <w:endnoteReference w:id="25"/>
            </w:r>
            <w:r w:rsidRPr="006265FE">
              <w:rPr>
                <w:rFonts w:eastAsia="Verdana" w:cs="Arial"/>
                <w:sz w:val="22"/>
                <w:szCs w:val="22"/>
              </w:rPr>
              <w:t xml:space="preserve"> so that people who report content can see </w:t>
            </w:r>
            <w:r w:rsidR="000C3FC8">
              <w:rPr>
                <w:rFonts w:eastAsia="Verdana" w:cs="Arial"/>
                <w:sz w:val="22"/>
                <w:szCs w:val="22"/>
              </w:rPr>
              <w:t>the progress and</w:t>
            </w:r>
            <w:r w:rsidRPr="006265FE">
              <w:rPr>
                <w:rFonts w:eastAsia="Verdana" w:cs="Arial"/>
                <w:sz w:val="22"/>
                <w:szCs w:val="22"/>
              </w:rPr>
              <w:t xml:space="preserve"> outcome of the report.</w:t>
            </w:r>
          </w:p>
          <w:p w:rsidR="00D25979" w:rsidRPr="005F288A" w:rsidRDefault="00D25979" w:rsidP="00D25979">
            <w:pPr>
              <w:pStyle w:val="ListParagraph"/>
              <w:numPr>
                <w:ilvl w:val="0"/>
                <w:numId w:val="19"/>
              </w:numPr>
              <w:contextualSpacing/>
              <w:rPr>
                <w:rFonts w:cs="Arial"/>
                <w:sz w:val="22"/>
                <w:szCs w:val="22"/>
              </w:rPr>
            </w:pPr>
            <w:r w:rsidRPr="005F288A">
              <w:rPr>
                <w:rFonts w:eastAsia="Verdana" w:cs="Arial"/>
                <w:sz w:val="22"/>
                <w:szCs w:val="22"/>
              </w:rPr>
              <w:t>Education</w:t>
            </w:r>
            <w:r>
              <w:rPr>
                <w:sz w:val="22"/>
                <w:szCs w:val="22"/>
                <w:lang w:val="en-US"/>
              </w:rPr>
              <w:t xml:space="preserve"> and awareness resources. </w:t>
            </w:r>
            <w:r w:rsidRPr="00150DE3">
              <w:rPr>
                <w:rFonts w:eastAsia="Verdana" w:cs="Arial"/>
                <w:sz w:val="22"/>
                <w:szCs w:val="22"/>
              </w:rPr>
              <w:t xml:space="preserve">Online safety </w:t>
            </w:r>
            <w:r>
              <w:rPr>
                <w:rFonts w:eastAsia="Verdana" w:cs="Arial"/>
                <w:sz w:val="22"/>
                <w:szCs w:val="22"/>
              </w:rPr>
              <w:t>requires</w:t>
            </w:r>
            <w:r w:rsidRPr="00150DE3">
              <w:rPr>
                <w:rFonts w:eastAsia="Verdana" w:cs="Arial"/>
                <w:sz w:val="22"/>
                <w:szCs w:val="22"/>
              </w:rPr>
              <w:t xml:space="preserve"> community wide conversation</w:t>
            </w:r>
            <w:r>
              <w:rPr>
                <w:rFonts w:eastAsia="Verdana" w:cs="Arial"/>
                <w:sz w:val="22"/>
                <w:szCs w:val="22"/>
              </w:rPr>
              <w:t>s</w:t>
            </w:r>
            <w:r w:rsidRPr="00150DE3">
              <w:rPr>
                <w:rFonts w:eastAsia="Verdana" w:cs="Arial"/>
                <w:sz w:val="22"/>
                <w:szCs w:val="22"/>
              </w:rPr>
              <w:t>. Digital platforms contribute to that conversation by providing education and awareness resources. Examples include the Google</w:t>
            </w:r>
            <w:r>
              <w:rPr>
                <w:rFonts w:eastAsia="Verdana" w:cs="Arial"/>
                <w:sz w:val="22"/>
                <w:szCs w:val="22"/>
              </w:rPr>
              <w:t xml:space="preserve"> </w:t>
            </w:r>
            <w:r w:rsidRPr="005F288A">
              <w:rPr>
                <w:rFonts w:eastAsia="Verdana" w:cs="Arial"/>
                <w:i/>
                <w:sz w:val="22"/>
                <w:szCs w:val="22"/>
              </w:rPr>
              <w:t>Good to Know</w:t>
            </w:r>
            <w:r>
              <w:rPr>
                <w:rStyle w:val="EndnoteReference"/>
                <w:rFonts w:eastAsia="Verdana" w:cs="Arial"/>
                <w:i/>
                <w:szCs w:val="22"/>
              </w:rPr>
              <w:endnoteReference w:id="26"/>
            </w:r>
            <w:r>
              <w:rPr>
                <w:rFonts w:eastAsia="Verdana" w:cs="Arial"/>
                <w:sz w:val="22"/>
                <w:szCs w:val="22"/>
              </w:rPr>
              <w:t xml:space="preserve"> </w:t>
            </w:r>
            <w:r w:rsidRPr="00150DE3">
              <w:rPr>
                <w:rFonts w:eastAsia="Verdana" w:cs="Arial"/>
                <w:sz w:val="22"/>
                <w:szCs w:val="22"/>
              </w:rPr>
              <w:t>website as well as</w:t>
            </w:r>
            <w:r>
              <w:rPr>
                <w:rFonts w:eastAsia="Verdana" w:cs="Arial"/>
                <w:sz w:val="22"/>
                <w:szCs w:val="22"/>
              </w:rPr>
              <w:t xml:space="preserve"> Yahoo7’s specialised safety website</w:t>
            </w:r>
            <w:r w:rsidRPr="00150DE3">
              <w:rPr>
                <w:rFonts w:eastAsia="Verdana" w:cs="Arial"/>
                <w:sz w:val="22"/>
                <w:szCs w:val="22"/>
              </w:rPr>
              <w:t>.</w:t>
            </w:r>
            <w:r>
              <w:rPr>
                <w:rStyle w:val="EndnoteReference"/>
                <w:rFonts w:eastAsia="Verdana" w:cs="Arial"/>
                <w:szCs w:val="22"/>
              </w:rPr>
              <w:endnoteReference w:id="27"/>
            </w:r>
            <w:r w:rsidR="000C3FC8">
              <w:rPr>
                <w:rFonts w:eastAsia="Verdana" w:cs="Arial"/>
                <w:sz w:val="22"/>
                <w:szCs w:val="22"/>
              </w:rPr>
              <w:t xml:space="preserve"> T</w:t>
            </w:r>
            <w:r w:rsidRPr="00150DE3">
              <w:rPr>
                <w:rFonts w:eastAsia="Verdana" w:cs="Arial"/>
                <w:sz w:val="22"/>
                <w:szCs w:val="22"/>
              </w:rPr>
              <w:t xml:space="preserve">he leading platforms have also come together to develop the </w:t>
            </w:r>
            <w:r w:rsidRPr="005F288A">
              <w:rPr>
                <w:rFonts w:eastAsia="Verdana" w:cs="Arial"/>
                <w:i/>
                <w:sz w:val="22"/>
                <w:szCs w:val="22"/>
              </w:rPr>
              <w:t>Keeping Australians Safe Online</w:t>
            </w:r>
            <w:r w:rsidRPr="00150DE3">
              <w:rPr>
                <w:rFonts w:eastAsia="Verdana" w:cs="Arial"/>
                <w:sz w:val="22"/>
                <w:szCs w:val="22"/>
              </w:rPr>
              <w:t xml:space="preserve"> resource</w:t>
            </w:r>
            <w:r>
              <w:rPr>
                <w:rFonts w:eastAsia="Verdana" w:cs="Arial"/>
                <w:sz w:val="22"/>
                <w:szCs w:val="22"/>
              </w:rPr>
              <w:t>.</w:t>
            </w:r>
            <w:r>
              <w:rPr>
                <w:rStyle w:val="EndnoteReference"/>
                <w:rFonts w:eastAsia="Verdana" w:cs="Arial"/>
                <w:szCs w:val="22"/>
              </w:rPr>
              <w:endnoteReference w:id="28"/>
            </w:r>
          </w:p>
        </w:tc>
      </w:tr>
    </w:tbl>
    <w:p w:rsidR="00A13E8A" w:rsidRPr="00823CF7" w:rsidRDefault="00823CF7" w:rsidP="00823CF7">
      <w:pPr>
        <w:pStyle w:val="Heading4"/>
        <w:numPr>
          <w:ilvl w:val="0"/>
          <w:numId w:val="0"/>
        </w:numPr>
        <w:ind w:left="851" w:hanging="851"/>
        <w:rPr>
          <w:i/>
        </w:rPr>
      </w:pPr>
      <w:bookmarkStart w:id="195" w:name="_Toc413932272"/>
      <w:r w:rsidRPr="00823CF7">
        <w:rPr>
          <w:i/>
        </w:rPr>
        <w:t>Summary</w:t>
      </w:r>
      <w:bookmarkEnd w:id="195"/>
    </w:p>
    <w:p w:rsidR="00823CF7" w:rsidRDefault="00E6525D" w:rsidP="00CD74CE">
      <w:pPr>
        <w:rPr>
          <w:rFonts w:cs="Arial"/>
        </w:rPr>
      </w:pPr>
      <w:r>
        <w:rPr>
          <w:rFonts w:cs="Arial"/>
        </w:rPr>
        <w:t>F</w:t>
      </w:r>
      <w:r w:rsidR="006550BA">
        <w:rPr>
          <w:rFonts w:cs="Arial"/>
        </w:rPr>
        <w:t>r</w:t>
      </w:r>
      <w:r w:rsidR="00A26509">
        <w:rPr>
          <w:rFonts w:cs="Arial"/>
        </w:rPr>
        <w:t>eedom of expression is a</w:t>
      </w:r>
      <w:r>
        <w:rPr>
          <w:rFonts w:cs="Arial"/>
        </w:rPr>
        <w:t xml:space="preserve">n essential component of </w:t>
      </w:r>
      <w:r w:rsidR="00CD74CE">
        <w:rPr>
          <w:rFonts w:cs="Arial"/>
        </w:rPr>
        <w:t xml:space="preserve">Australia’s liberal democratic system. However, there was significant concern throughout the consultation about </w:t>
      </w:r>
      <w:r w:rsidR="004639EA">
        <w:rPr>
          <w:rFonts w:cs="Arial"/>
        </w:rPr>
        <w:t>governme</w:t>
      </w:r>
      <w:r w:rsidR="00CD74CE">
        <w:rPr>
          <w:rFonts w:cs="Arial"/>
        </w:rPr>
        <w:t>nt legislation and policies that</w:t>
      </w:r>
      <w:r w:rsidR="004639EA">
        <w:rPr>
          <w:rFonts w:cs="Arial"/>
        </w:rPr>
        <w:t xml:space="preserve"> undermin</w:t>
      </w:r>
      <w:r w:rsidR="00CD74CE">
        <w:rPr>
          <w:rFonts w:cs="Arial"/>
        </w:rPr>
        <w:t>e</w:t>
      </w:r>
      <w:r w:rsidR="004639EA">
        <w:rPr>
          <w:rFonts w:cs="Arial"/>
        </w:rPr>
        <w:t xml:space="preserve"> the capacity of </w:t>
      </w:r>
      <w:r w:rsidR="009B6BED">
        <w:rPr>
          <w:rFonts w:cs="Arial"/>
        </w:rPr>
        <w:t xml:space="preserve">individuals, </w:t>
      </w:r>
      <w:r w:rsidR="004639EA">
        <w:rPr>
          <w:rFonts w:cs="Arial"/>
        </w:rPr>
        <w:t>the media and community to exercise the</w:t>
      </w:r>
      <w:r w:rsidR="00CD74CE">
        <w:rPr>
          <w:rFonts w:cs="Arial"/>
        </w:rPr>
        <w:t>ir</w:t>
      </w:r>
      <w:r w:rsidR="004639EA">
        <w:rPr>
          <w:rFonts w:cs="Arial"/>
        </w:rPr>
        <w:t xml:space="preserve"> right to freedom of expre</w:t>
      </w:r>
      <w:r w:rsidR="00CD74CE">
        <w:rPr>
          <w:rFonts w:cs="Arial"/>
        </w:rPr>
        <w:t>ssion.</w:t>
      </w:r>
    </w:p>
    <w:p w:rsidR="00C36605" w:rsidRDefault="00CD74CE" w:rsidP="00007AB8">
      <w:pPr>
        <w:rPr>
          <w:rFonts w:cs="Arial"/>
        </w:rPr>
      </w:pPr>
      <w:r>
        <w:rPr>
          <w:rFonts w:cs="Arial"/>
        </w:rPr>
        <w:t xml:space="preserve">There was also concern that this resulted in </w:t>
      </w:r>
      <w:r w:rsidR="00865682">
        <w:rPr>
          <w:rFonts w:cs="Arial"/>
        </w:rPr>
        <w:t>the</w:t>
      </w:r>
      <w:r>
        <w:rPr>
          <w:rFonts w:cs="Arial"/>
        </w:rPr>
        <w:t xml:space="preserve"> right to freedom of expression</w:t>
      </w:r>
      <w:r w:rsidR="00C36605">
        <w:rPr>
          <w:rFonts w:cs="Arial"/>
        </w:rPr>
        <w:t xml:space="preserve"> </w:t>
      </w:r>
      <w:r w:rsidR="00865682">
        <w:rPr>
          <w:rFonts w:cs="Arial"/>
        </w:rPr>
        <w:t>not</w:t>
      </w:r>
      <w:r>
        <w:rPr>
          <w:rFonts w:cs="Arial"/>
        </w:rPr>
        <w:t xml:space="preserve"> being</w:t>
      </w:r>
      <w:r w:rsidR="00865682">
        <w:rPr>
          <w:rFonts w:cs="Arial"/>
        </w:rPr>
        <w:t xml:space="preserve"> </w:t>
      </w:r>
      <w:r w:rsidR="00C36605">
        <w:rPr>
          <w:rFonts w:cs="Arial"/>
        </w:rPr>
        <w:t xml:space="preserve">enjoyed and exercised equally by </w:t>
      </w:r>
      <w:r>
        <w:rPr>
          <w:rFonts w:cs="Arial"/>
        </w:rPr>
        <w:t xml:space="preserve">all </w:t>
      </w:r>
      <w:r w:rsidR="003E3D87">
        <w:rPr>
          <w:rFonts w:cs="Arial"/>
        </w:rPr>
        <w:t>individuals</w:t>
      </w:r>
      <w:r w:rsidR="00865682">
        <w:rPr>
          <w:rFonts w:cs="Arial"/>
        </w:rPr>
        <w:t xml:space="preserve"> in </w:t>
      </w:r>
      <w:r>
        <w:rPr>
          <w:rFonts w:cs="Arial"/>
        </w:rPr>
        <w:t xml:space="preserve">our </w:t>
      </w:r>
      <w:r w:rsidR="00865682">
        <w:rPr>
          <w:rFonts w:cs="Arial"/>
        </w:rPr>
        <w:t>society</w:t>
      </w:r>
      <w:r w:rsidR="00592A52">
        <w:rPr>
          <w:rFonts w:cs="Arial"/>
        </w:rPr>
        <w:t xml:space="preserve">. Particularly, there was a view </w:t>
      </w:r>
      <w:r w:rsidR="00865682">
        <w:rPr>
          <w:rFonts w:cs="Arial"/>
        </w:rPr>
        <w:t>that minority and more vulne</w:t>
      </w:r>
      <w:r w:rsidR="003E3D87">
        <w:rPr>
          <w:rFonts w:cs="Arial"/>
        </w:rPr>
        <w:t>rable individuals</w:t>
      </w:r>
      <w:r w:rsidR="00592A52">
        <w:rPr>
          <w:rFonts w:cs="Arial"/>
        </w:rPr>
        <w:t xml:space="preserve"> do not have an</w:t>
      </w:r>
      <w:r w:rsidR="009B6BED">
        <w:rPr>
          <w:rFonts w:cs="Arial"/>
        </w:rPr>
        <w:t xml:space="preserve"> ‘equal’ platform to fr</w:t>
      </w:r>
      <w:r w:rsidR="003E3D87">
        <w:rPr>
          <w:rFonts w:cs="Arial"/>
        </w:rPr>
        <w:t>eely exercise their expression.</w:t>
      </w:r>
    </w:p>
    <w:p w:rsidR="00007AB8" w:rsidRPr="008F184D" w:rsidRDefault="006E29B7" w:rsidP="00007AB8">
      <w:r>
        <w:t>Potential</w:t>
      </w:r>
      <w:r w:rsidR="008074FE">
        <w:t xml:space="preserve"> ways to reform current legislative restrictions about freedom of expression were considered as part of the </w:t>
      </w:r>
      <w:r w:rsidR="008074FE" w:rsidRPr="00133552">
        <w:rPr>
          <w:i/>
        </w:rPr>
        <w:t>Free Speech 2014</w:t>
      </w:r>
      <w:r w:rsidR="008074FE">
        <w:rPr>
          <w:i/>
        </w:rPr>
        <w:t xml:space="preserve"> </w:t>
      </w:r>
      <w:r w:rsidR="008074FE">
        <w:t>symposium</w:t>
      </w:r>
      <w:r w:rsidR="00815A49">
        <w:t>.</w:t>
      </w:r>
      <w:r w:rsidR="008074FE">
        <w:rPr>
          <w:rStyle w:val="EndnoteReference"/>
        </w:rPr>
        <w:endnoteReference w:id="29"/>
      </w:r>
      <w:r w:rsidR="00815A49">
        <w:t xml:space="preserve"> </w:t>
      </w:r>
      <w:r w:rsidR="006B2419">
        <w:t xml:space="preserve">Following from the discussion generated at the symposium and concerns outlined during the consultation, </w:t>
      </w:r>
      <w:r w:rsidR="00815A49">
        <w:rPr>
          <w:rFonts w:cs="Arial"/>
        </w:rPr>
        <w:t xml:space="preserve">the Human Rights Commissioner will continue to explore </w:t>
      </w:r>
      <w:r w:rsidR="00815A49">
        <w:t>potential reforms in relation to current laws that restrict the right to freedom of expression.</w:t>
      </w:r>
    </w:p>
    <w:p w:rsidR="0081731B" w:rsidRDefault="004D12E4" w:rsidP="00B307D3">
      <w:pPr>
        <w:pStyle w:val="Heading2"/>
        <w:numPr>
          <w:ilvl w:val="0"/>
          <w:numId w:val="0"/>
        </w:numPr>
        <w:ind w:left="851" w:hanging="851"/>
        <w:rPr>
          <w:lang w:val="en-US"/>
        </w:rPr>
      </w:pPr>
      <w:bookmarkStart w:id="196" w:name="_Toc413932273"/>
      <w:r>
        <w:rPr>
          <w:lang w:val="en-US"/>
        </w:rPr>
        <w:lastRenderedPageBreak/>
        <w:t>Right to freedom of thought, conscience and religion</w:t>
      </w:r>
      <w:bookmarkEnd w:id="196"/>
    </w:p>
    <w:p w:rsidR="00CF6FFF" w:rsidRDefault="00CF6FFF" w:rsidP="00CF6FFF">
      <w:pPr>
        <w:pStyle w:val="SubmissionNormal"/>
        <w:numPr>
          <w:ilvl w:val="0"/>
          <w:numId w:val="0"/>
        </w:numPr>
        <w:ind w:left="720"/>
        <w:rPr>
          <w:i/>
          <w:sz w:val="22"/>
          <w:szCs w:val="22"/>
          <w:lang w:val="en-US"/>
        </w:rPr>
      </w:pPr>
      <w:r w:rsidRPr="00B500A0">
        <w:rPr>
          <w:i/>
          <w:sz w:val="22"/>
          <w:szCs w:val="22"/>
          <w:lang w:val="en-US"/>
        </w:rPr>
        <w:t>The value of protecting and promoting religious freedom is an essential and indivisible part of a broader program to safeguard fundamental freedoms for Australian society.</w:t>
      </w:r>
      <w:r w:rsidRPr="00BE09C5">
        <w:rPr>
          <w:i/>
          <w:sz w:val="22"/>
          <w:szCs w:val="22"/>
          <w:lang w:val="en-US"/>
        </w:rPr>
        <w:t xml:space="preserve"> </w:t>
      </w:r>
      <w:r w:rsidRPr="00B500A0">
        <w:rPr>
          <w:sz w:val="22"/>
          <w:szCs w:val="22"/>
          <w:lang w:val="en-US"/>
        </w:rPr>
        <w:t>Freedom 4 Faith</w:t>
      </w:r>
      <w:r>
        <w:rPr>
          <w:sz w:val="22"/>
          <w:szCs w:val="22"/>
          <w:lang w:val="en-US"/>
        </w:rPr>
        <w:t xml:space="preserve"> submission</w:t>
      </w:r>
    </w:p>
    <w:p w:rsidR="00CF6FFF" w:rsidRDefault="00CF6FFF" w:rsidP="00127E33">
      <w:pPr>
        <w:pStyle w:val="SubmissionNormal"/>
        <w:numPr>
          <w:ilvl w:val="0"/>
          <w:numId w:val="0"/>
        </w:numPr>
        <w:ind w:left="720"/>
        <w:rPr>
          <w:sz w:val="22"/>
          <w:szCs w:val="22"/>
          <w:lang w:val="en-US"/>
        </w:rPr>
      </w:pPr>
      <w:r w:rsidRPr="00B500A0">
        <w:rPr>
          <w:i/>
          <w:sz w:val="22"/>
          <w:szCs w:val="22"/>
          <w:lang w:val="en-US"/>
        </w:rPr>
        <w:t xml:space="preserve">We need to have an understanding of different religions as [otherwise] we don’t know how to interpret </w:t>
      </w:r>
      <w:r w:rsidRPr="00B500A0">
        <w:rPr>
          <w:i/>
          <w:sz w:val="22"/>
          <w:szCs w:val="22"/>
        </w:rPr>
        <w:t>behaviours</w:t>
      </w:r>
      <w:r w:rsidRPr="00B500A0">
        <w:rPr>
          <w:i/>
          <w:sz w:val="22"/>
          <w:szCs w:val="22"/>
          <w:lang w:val="en-US"/>
        </w:rPr>
        <w:t>.</w:t>
      </w:r>
      <w:r w:rsidRPr="00B500A0">
        <w:rPr>
          <w:sz w:val="22"/>
          <w:szCs w:val="22"/>
          <w:lang w:val="en-US"/>
        </w:rPr>
        <w:t xml:space="preserve"> Attendee at meeting with Multicultural Community Services of Cen</w:t>
      </w:r>
      <w:r>
        <w:rPr>
          <w:sz w:val="22"/>
          <w:szCs w:val="22"/>
          <w:lang w:val="en-US"/>
        </w:rPr>
        <w:t>tral Australia, Alice Springs</w:t>
      </w:r>
    </w:p>
    <w:p w:rsidR="000B1146" w:rsidRPr="00BF0493" w:rsidRDefault="000B1146" w:rsidP="00127E33">
      <w:pPr>
        <w:pStyle w:val="SubmissionNormal"/>
        <w:numPr>
          <w:ilvl w:val="0"/>
          <w:numId w:val="0"/>
        </w:numPr>
        <w:ind w:left="720"/>
        <w:rPr>
          <w:sz w:val="22"/>
          <w:szCs w:val="22"/>
          <w:lang w:val="en-US"/>
        </w:rPr>
      </w:pPr>
      <w:r w:rsidRPr="00BF0493">
        <w:rPr>
          <w:i/>
          <w:sz w:val="22"/>
          <w:szCs w:val="22"/>
          <w:lang w:val="en-US"/>
        </w:rPr>
        <w:t xml:space="preserve">The freedom to hold beliefs of one’s choosing, to practice them and to change them is central to </w:t>
      </w:r>
      <w:r w:rsidR="00BF0493" w:rsidRPr="00BF0493">
        <w:rPr>
          <w:i/>
          <w:sz w:val="22"/>
          <w:szCs w:val="22"/>
          <w:lang w:val="en-US"/>
        </w:rPr>
        <w:t>human development… We believe this freedom has a special place in safeguarding the dignity of the human being.</w:t>
      </w:r>
      <w:r w:rsidR="00BF0493">
        <w:rPr>
          <w:sz w:val="22"/>
          <w:szCs w:val="22"/>
          <w:lang w:val="en-US"/>
        </w:rPr>
        <w:t xml:space="preserve"> Australian Baha’i Community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CF6FFF" w:rsidRPr="0073669B" w:rsidTr="00B86F5A">
        <w:tc>
          <w:tcPr>
            <w:tcW w:w="9286" w:type="dxa"/>
            <w:shd w:val="clear" w:color="auto" w:fill="E0E0E0"/>
          </w:tcPr>
          <w:p w:rsidR="00CF6FFF" w:rsidRPr="00225A5F" w:rsidRDefault="00CF6FFF" w:rsidP="00B86F5A">
            <w:pPr>
              <w:rPr>
                <w:rFonts w:cs="Arial"/>
                <w:sz w:val="22"/>
                <w:szCs w:val="22"/>
                <w:lang w:val="en"/>
              </w:rPr>
            </w:pPr>
            <w:r w:rsidRPr="00225A5F">
              <w:rPr>
                <w:b/>
                <w:sz w:val="22"/>
                <w:szCs w:val="22"/>
                <w:lang w:val="en-US"/>
              </w:rPr>
              <w:t>The</w:t>
            </w:r>
            <w:r w:rsidRPr="00225A5F">
              <w:rPr>
                <w:rFonts w:cs="Arial"/>
                <w:b/>
                <w:sz w:val="22"/>
                <w:szCs w:val="22"/>
                <w:lang w:val="en"/>
              </w:rPr>
              <w:t xml:space="preserve"> right to freedom of t</w:t>
            </w:r>
            <w:r w:rsidR="00C05475">
              <w:rPr>
                <w:rFonts w:cs="Arial"/>
                <w:b/>
                <w:sz w:val="22"/>
                <w:szCs w:val="22"/>
                <w:lang w:val="en"/>
              </w:rPr>
              <w:t xml:space="preserve">hought, conscience and religion </w:t>
            </w:r>
            <w:r w:rsidRPr="00225A5F">
              <w:rPr>
                <w:rFonts w:cs="Arial"/>
                <w:sz w:val="22"/>
                <w:szCs w:val="22"/>
                <w:lang w:val="en"/>
              </w:rPr>
              <w:t xml:space="preserve">encompasses the beliefs of all religions, non-theistic and atheistic beliefs, as well as the right not to profess </w:t>
            </w:r>
            <w:r w:rsidRPr="00225A5F">
              <w:rPr>
                <w:rFonts w:cs="Arial"/>
                <w:iCs/>
                <w:sz w:val="22"/>
                <w:szCs w:val="22"/>
                <w:lang w:val="en"/>
              </w:rPr>
              <w:t>any</w:t>
            </w:r>
            <w:r w:rsidRPr="00225A5F">
              <w:rPr>
                <w:rFonts w:cs="Arial"/>
                <w:i/>
                <w:iCs/>
                <w:sz w:val="22"/>
                <w:szCs w:val="22"/>
                <w:lang w:val="en"/>
              </w:rPr>
              <w:t xml:space="preserve"> </w:t>
            </w:r>
            <w:r w:rsidRPr="00225A5F">
              <w:rPr>
                <w:rFonts w:cs="Arial"/>
                <w:sz w:val="22"/>
                <w:szCs w:val="22"/>
                <w:lang w:val="en"/>
              </w:rPr>
              <w:t>religion or belief.</w:t>
            </w:r>
            <w:r w:rsidR="00072CF9">
              <w:rPr>
                <w:rStyle w:val="EndnoteReference"/>
                <w:rFonts w:cs="Arial"/>
                <w:szCs w:val="22"/>
                <w:lang w:val="en"/>
              </w:rPr>
              <w:endnoteReference w:id="30"/>
            </w:r>
            <w:r w:rsidR="00072CF9">
              <w:rPr>
                <w:rFonts w:cs="Arial"/>
                <w:sz w:val="22"/>
                <w:szCs w:val="22"/>
                <w:lang w:val="en"/>
              </w:rPr>
              <w:t xml:space="preserve"> K</w:t>
            </w:r>
            <w:r w:rsidRPr="00225A5F">
              <w:rPr>
                <w:rFonts w:cs="Arial"/>
                <w:sz w:val="22"/>
                <w:szCs w:val="22"/>
                <w:lang w:val="en"/>
              </w:rPr>
              <w:t>ey elements of the right include the freedom to:</w:t>
            </w:r>
          </w:p>
          <w:p w:rsidR="00CF6FFF" w:rsidRPr="00225A5F" w:rsidRDefault="00CF6FFF" w:rsidP="00A45E1B">
            <w:pPr>
              <w:pStyle w:val="SubmissionNormal"/>
              <w:numPr>
                <w:ilvl w:val="0"/>
                <w:numId w:val="20"/>
              </w:numPr>
              <w:rPr>
                <w:rFonts w:cs="Arial"/>
                <w:sz w:val="22"/>
                <w:szCs w:val="22"/>
                <w:lang w:val="en"/>
              </w:rPr>
            </w:pPr>
            <w:r w:rsidRPr="00225A5F">
              <w:rPr>
                <w:rFonts w:cs="Arial"/>
                <w:sz w:val="22"/>
                <w:szCs w:val="22"/>
                <w:lang w:val="en"/>
              </w:rPr>
              <w:t>choose and change religion or belief</w:t>
            </w:r>
          </w:p>
          <w:p w:rsidR="00CF6FFF" w:rsidRPr="00225A5F" w:rsidRDefault="00CF6FFF" w:rsidP="00A45E1B">
            <w:pPr>
              <w:pStyle w:val="SubmissionNormal"/>
              <w:numPr>
                <w:ilvl w:val="0"/>
                <w:numId w:val="20"/>
              </w:numPr>
              <w:rPr>
                <w:rFonts w:cs="Arial"/>
                <w:sz w:val="22"/>
                <w:szCs w:val="22"/>
                <w:lang w:val="en"/>
              </w:rPr>
            </w:pPr>
            <w:r w:rsidRPr="00225A5F">
              <w:rPr>
                <w:rFonts w:cs="Arial"/>
                <w:sz w:val="22"/>
                <w:szCs w:val="22"/>
                <w:lang w:val="en"/>
              </w:rPr>
              <w:t>exercise religion or belief publicly or privately, alone or with others</w:t>
            </w:r>
          </w:p>
          <w:p w:rsidR="00CF6FFF" w:rsidRPr="00225A5F" w:rsidRDefault="00CF6FFF" w:rsidP="00A45E1B">
            <w:pPr>
              <w:pStyle w:val="SubmissionNormal"/>
              <w:numPr>
                <w:ilvl w:val="0"/>
                <w:numId w:val="20"/>
              </w:numPr>
              <w:rPr>
                <w:rFonts w:cs="Arial"/>
                <w:sz w:val="22"/>
                <w:szCs w:val="22"/>
                <w:lang w:val="en"/>
              </w:rPr>
            </w:pPr>
            <w:r w:rsidRPr="00225A5F">
              <w:rPr>
                <w:rFonts w:cs="Arial"/>
                <w:sz w:val="22"/>
                <w:szCs w:val="22"/>
                <w:lang w:val="en"/>
              </w:rPr>
              <w:t>exercise religion or belief in worship, teaching, practice and observance.</w:t>
            </w:r>
          </w:p>
          <w:p w:rsidR="00CF6FFF" w:rsidRPr="00225A5F" w:rsidRDefault="00CF6FFF" w:rsidP="00B86F5A">
            <w:pPr>
              <w:rPr>
                <w:rFonts w:cs="Arial"/>
                <w:sz w:val="22"/>
                <w:szCs w:val="22"/>
                <w:lang w:val="en"/>
              </w:rPr>
            </w:pPr>
            <w:r w:rsidRPr="00225A5F">
              <w:rPr>
                <w:rFonts w:cs="Arial"/>
                <w:sz w:val="22"/>
                <w:szCs w:val="22"/>
                <w:lang w:val="en"/>
              </w:rPr>
              <w:t>Thus, freedom of religion is an individual right</w:t>
            </w:r>
            <w:r w:rsidR="008438A0">
              <w:rPr>
                <w:rFonts w:cs="Arial"/>
                <w:sz w:val="22"/>
                <w:szCs w:val="22"/>
                <w:lang w:val="en"/>
              </w:rPr>
              <w:t>, but can also be exercised collectively</w:t>
            </w:r>
            <w:r w:rsidRPr="00225A5F">
              <w:rPr>
                <w:rFonts w:cs="Arial"/>
                <w:sz w:val="22"/>
                <w:szCs w:val="22"/>
                <w:lang w:val="en"/>
              </w:rPr>
              <w:t xml:space="preserve">. </w:t>
            </w:r>
          </w:p>
          <w:p w:rsidR="00CF6FFF" w:rsidRPr="00225A5F" w:rsidRDefault="00CF6FFF" w:rsidP="00072CF9">
            <w:pPr>
              <w:rPr>
                <w:rFonts w:cs="Arial"/>
                <w:lang w:val="en"/>
              </w:rPr>
            </w:pPr>
            <w:r w:rsidRPr="00225A5F">
              <w:rPr>
                <w:rFonts w:cs="Arial"/>
                <w:sz w:val="22"/>
                <w:szCs w:val="22"/>
                <w:lang w:val="en"/>
              </w:rPr>
              <w:t xml:space="preserve">The internal </w:t>
            </w:r>
            <w:r w:rsidR="006114BC">
              <w:rPr>
                <w:rFonts w:cs="Arial"/>
                <w:sz w:val="22"/>
                <w:szCs w:val="22"/>
                <w:lang w:val="en"/>
              </w:rPr>
              <w:t xml:space="preserve">(private) </w:t>
            </w:r>
            <w:r w:rsidRPr="00225A5F">
              <w:rPr>
                <w:rFonts w:cs="Arial"/>
                <w:sz w:val="22"/>
                <w:szCs w:val="22"/>
                <w:lang w:val="en"/>
              </w:rPr>
              <w:t xml:space="preserve">dimension of the right – the freedom to </w:t>
            </w:r>
            <w:r w:rsidRPr="00225A5F">
              <w:rPr>
                <w:rFonts w:cs="Arial"/>
                <w:iCs/>
                <w:sz w:val="22"/>
                <w:szCs w:val="22"/>
                <w:lang w:val="en"/>
              </w:rPr>
              <w:t xml:space="preserve">adopt </w:t>
            </w:r>
            <w:r w:rsidRPr="00225A5F">
              <w:rPr>
                <w:rFonts w:cs="Arial"/>
                <w:sz w:val="22"/>
                <w:szCs w:val="22"/>
                <w:lang w:val="en"/>
              </w:rPr>
              <w:t xml:space="preserve">or </w:t>
            </w:r>
            <w:r w:rsidRPr="00225A5F">
              <w:rPr>
                <w:rFonts w:cs="Arial"/>
                <w:iCs/>
                <w:sz w:val="22"/>
                <w:szCs w:val="22"/>
                <w:lang w:val="en"/>
              </w:rPr>
              <w:t xml:space="preserve">hold </w:t>
            </w:r>
            <w:r w:rsidRPr="00225A5F">
              <w:rPr>
                <w:rFonts w:cs="Arial"/>
                <w:sz w:val="22"/>
                <w:szCs w:val="22"/>
                <w:lang w:val="en"/>
              </w:rPr>
              <w:t>a belief – is absolute.</w:t>
            </w:r>
            <w:r w:rsidR="007F3C43">
              <w:rPr>
                <w:rStyle w:val="EndnoteReference"/>
                <w:rFonts w:cs="Arial"/>
                <w:szCs w:val="22"/>
                <w:lang w:val="en"/>
              </w:rPr>
              <w:endnoteReference w:id="31"/>
            </w:r>
            <w:r w:rsidRPr="00225A5F">
              <w:rPr>
                <w:rFonts w:cs="Arial"/>
                <w:sz w:val="22"/>
                <w:szCs w:val="22"/>
                <w:lang w:val="en"/>
              </w:rPr>
              <w:t xml:space="preserve"> However,</w:t>
            </w:r>
            <w:r w:rsidRPr="00225A5F">
              <w:rPr>
                <w:rFonts w:cs="Arial"/>
                <w:sz w:val="22"/>
                <w:szCs w:val="22"/>
              </w:rPr>
              <w:t xml:space="preserve"> the external </w:t>
            </w:r>
            <w:r w:rsidR="006114BC">
              <w:rPr>
                <w:rFonts w:cs="Arial"/>
                <w:sz w:val="22"/>
                <w:szCs w:val="22"/>
              </w:rPr>
              <w:t xml:space="preserve">(public) </w:t>
            </w:r>
            <w:r w:rsidRPr="00225A5F">
              <w:rPr>
                <w:rFonts w:cs="Arial"/>
                <w:sz w:val="22"/>
                <w:szCs w:val="22"/>
              </w:rPr>
              <w:t xml:space="preserve">dimension – </w:t>
            </w:r>
            <w:r w:rsidRPr="00225A5F">
              <w:rPr>
                <w:rFonts w:cs="Arial"/>
                <w:sz w:val="22"/>
                <w:szCs w:val="22"/>
                <w:lang w:val="en"/>
              </w:rPr>
              <w:t xml:space="preserve">the freedom to </w:t>
            </w:r>
            <w:r w:rsidRPr="00225A5F">
              <w:rPr>
                <w:rFonts w:cs="Arial"/>
                <w:iCs/>
                <w:sz w:val="22"/>
                <w:szCs w:val="22"/>
                <w:lang w:val="en"/>
              </w:rPr>
              <w:t xml:space="preserve">manifest </w:t>
            </w:r>
            <w:r w:rsidRPr="00225A5F">
              <w:rPr>
                <w:rFonts w:cs="Arial"/>
                <w:sz w:val="22"/>
                <w:szCs w:val="22"/>
                <w:lang w:val="en"/>
              </w:rPr>
              <w:t>that belief in worship, observance, practice or teaching</w:t>
            </w:r>
            <w:r w:rsidRPr="00225A5F">
              <w:rPr>
                <w:rFonts w:cs="Arial"/>
                <w:sz w:val="22"/>
                <w:szCs w:val="22"/>
              </w:rPr>
              <w:t xml:space="preserve"> – may be limited by law when deemed necessary to protect the public safety, order, health or morals, or the fundamental rights and freedoms of others.</w:t>
            </w:r>
          </w:p>
        </w:tc>
      </w:tr>
    </w:tbl>
    <w:p w:rsidR="00CF6FFF" w:rsidRDefault="00CF6FFF" w:rsidP="00CF6FFF">
      <w:pPr>
        <w:pStyle w:val="Heading3"/>
        <w:numPr>
          <w:ilvl w:val="0"/>
          <w:numId w:val="0"/>
        </w:numPr>
        <w:rPr>
          <w:b/>
        </w:rPr>
      </w:pPr>
      <w:bookmarkStart w:id="197" w:name="_Toc402873791"/>
      <w:bookmarkStart w:id="198" w:name="_Toc413932274"/>
      <w:r w:rsidRPr="004C1B28">
        <w:rPr>
          <w:b/>
        </w:rPr>
        <w:t>Freedom of religion in Australia</w:t>
      </w:r>
      <w:bookmarkEnd w:id="197"/>
      <w:bookmarkEnd w:id="198"/>
    </w:p>
    <w:p w:rsidR="00DE5294" w:rsidRDefault="003E3D87" w:rsidP="007E7040">
      <w:pPr>
        <w:jc w:val="center"/>
      </w:pPr>
      <w:r w:rsidRPr="003E3D87">
        <w:rPr>
          <w:noProof/>
        </w:rPr>
        <w:drawing>
          <wp:inline distT="0" distB="0" distL="0" distR="0" wp14:anchorId="7C2BBFB8" wp14:editId="45B79A0E">
            <wp:extent cx="4462888" cy="2792392"/>
            <wp:effectExtent l="0" t="0" r="0" b="8255"/>
            <wp:docPr id="4" name="Picture 4" descr="S:\External Projects\2014-15 projects\HR Scrutiny\HR Scrutiny - Rights &amp; Freedoms\Rights &amp; Responsibilities 2014\Report\Report\Mind maps\Reli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xternal Projects\2014-15 projects\HR Scrutiny\HR Scrutiny - Rights &amp; Freedoms\Rights &amp; Responsibilities 2014\Report\Report\Mind maps\Relig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9924" cy="2803051"/>
                    </a:xfrm>
                    <a:prstGeom prst="rect">
                      <a:avLst/>
                    </a:prstGeom>
                    <a:noFill/>
                    <a:ln>
                      <a:noFill/>
                    </a:ln>
                  </pic:spPr>
                </pic:pic>
              </a:graphicData>
            </a:graphic>
          </wp:inline>
        </w:drawing>
      </w:r>
    </w:p>
    <w:p w:rsidR="000B3EDE" w:rsidRPr="000B3EDE" w:rsidRDefault="000B3EDE" w:rsidP="00DE5294">
      <w:pPr>
        <w:pStyle w:val="Heading4"/>
        <w:numPr>
          <w:ilvl w:val="0"/>
          <w:numId w:val="0"/>
        </w:numPr>
        <w:ind w:left="851" w:hanging="851"/>
        <w:rPr>
          <w:i/>
        </w:rPr>
      </w:pPr>
      <w:bookmarkStart w:id="199" w:name="_Toc413932275"/>
      <w:r w:rsidRPr="000B3EDE">
        <w:rPr>
          <w:i/>
        </w:rPr>
        <w:lastRenderedPageBreak/>
        <w:t>Survey results</w:t>
      </w:r>
      <w:bookmarkEnd w:id="199"/>
    </w:p>
    <w:p w:rsidR="005E190A" w:rsidRDefault="00A523F8" w:rsidP="00CF6FFF">
      <w:pPr>
        <w:rPr>
          <w:rFonts w:cs="Arial"/>
        </w:rPr>
      </w:pPr>
      <w:r>
        <w:rPr>
          <w:rFonts w:cs="Arial"/>
        </w:rPr>
        <w:t xml:space="preserve">The survey asked </w:t>
      </w:r>
      <w:r w:rsidR="005B0FFE">
        <w:rPr>
          <w:rFonts w:cs="Arial"/>
        </w:rPr>
        <w:t xml:space="preserve">how well respondents thought the right to freedom of religion is protected in Australia. </w:t>
      </w:r>
    </w:p>
    <w:p w:rsidR="00A13E8A" w:rsidRDefault="005B0FFE" w:rsidP="00CF6FFF">
      <w:pPr>
        <w:rPr>
          <w:rFonts w:cs="Arial"/>
        </w:rPr>
      </w:pPr>
      <w:r>
        <w:rPr>
          <w:rFonts w:cs="Arial"/>
        </w:rPr>
        <w:t>As illustrated in Figure 2:</w:t>
      </w:r>
    </w:p>
    <w:p w:rsidR="00A9329C" w:rsidRDefault="00CF6FFF" w:rsidP="00E550E9">
      <w:pPr>
        <w:numPr>
          <w:ilvl w:val="0"/>
          <w:numId w:val="21"/>
        </w:numPr>
        <w:rPr>
          <w:rFonts w:cs="Arial"/>
        </w:rPr>
      </w:pPr>
      <w:r>
        <w:rPr>
          <w:rFonts w:cs="Arial"/>
        </w:rPr>
        <w:t>37% of respondents viewed the right to freedom of religion as ext</w:t>
      </w:r>
      <w:r w:rsidR="006E3B3C">
        <w:rPr>
          <w:rFonts w:cs="Arial"/>
        </w:rPr>
        <w:t>remely well or</w:t>
      </w:r>
      <w:r w:rsidR="00A9329C">
        <w:rPr>
          <w:rFonts w:cs="Arial"/>
        </w:rPr>
        <w:t xml:space="preserve"> well protected</w:t>
      </w:r>
    </w:p>
    <w:p w:rsidR="00A9329C" w:rsidRDefault="00C6287E" w:rsidP="00E550E9">
      <w:pPr>
        <w:numPr>
          <w:ilvl w:val="0"/>
          <w:numId w:val="21"/>
        </w:numPr>
        <w:rPr>
          <w:rFonts w:cs="Arial"/>
        </w:rPr>
      </w:pPr>
      <w:r>
        <w:rPr>
          <w:rFonts w:cs="Arial"/>
        </w:rPr>
        <w:t>44% thought religious freedom</w:t>
      </w:r>
      <w:r w:rsidR="00CF6FFF">
        <w:rPr>
          <w:rFonts w:cs="Arial"/>
        </w:rPr>
        <w:t xml:space="preserve"> is </w:t>
      </w:r>
      <w:r>
        <w:rPr>
          <w:rFonts w:cs="Arial"/>
        </w:rPr>
        <w:t xml:space="preserve">either </w:t>
      </w:r>
      <w:r w:rsidR="00CF6FFF">
        <w:rPr>
          <w:rFonts w:cs="Arial"/>
        </w:rPr>
        <w:t>mod</w:t>
      </w:r>
      <w:r w:rsidR="00A9329C">
        <w:rPr>
          <w:rFonts w:cs="Arial"/>
        </w:rPr>
        <w:t xml:space="preserve">erately </w:t>
      </w:r>
      <w:r>
        <w:rPr>
          <w:rFonts w:cs="Arial"/>
        </w:rPr>
        <w:t>or</w:t>
      </w:r>
      <w:r w:rsidR="00A9329C">
        <w:rPr>
          <w:rFonts w:cs="Arial"/>
        </w:rPr>
        <w:t xml:space="preserve"> slightly protected</w:t>
      </w:r>
    </w:p>
    <w:p w:rsidR="00EE15AD" w:rsidRPr="00D711EA" w:rsidRDefault="00CF6FFF" w:rsidP="00EE15AD">
      <w:pPr>
        <w:numPr>
          <w:ilvl w:val="0"/>
          <w:numId w:val="21"/>
        </w:numPr>
        <w:rPr>
          <w:rFonts w:cs="Arial"/>
        </w:rPr>
      </w:pPr>
      <w:r>
        <w:rPr>
          <w:rFonts w:cs="Arial"/>
        </w:rPr>
        <w:t>10% believe that religious freedom is not at all protect</w:t>
      </w:r>
      <w:r w:rsidR="00A9329C">
        <w:rPr>
          <w:rFonts w:cs="Arial"/>
        </w:rPr>
        <w:t>ed in Australia</w:t>
      </w:r>
      <w:r w:rsidR="00A13E8A">
        <w:rPr>
          <w:rFonts w:cs="Arial"/>
        </w:rPr>
        <w:t>.</w:t>
      </w:r>
    </w:p>
    <w:p w:rsidR="00CF6FFF" w:rsidRDefault="00CF6FFF" w:rsidP="007D6D86">
      <w:pPr>
        <w:pStyle w:val="Heading4"/>
        <w:numPr>
          <w:ilvl w:val="0"/>
          <w:numId w:val="0"/>
        </w:numPr>
        <w:ind w:left="851" w:hanging="851"/>
        <w:rPr>
          <w:lang w:val="en-US"/>
        </w:rPr>
      </w:pPr>
      <w:bookmarkStart w:id="200" w:name="_Toc413932276"/>
      <w:r w:rsidRPr="007D6D86">
        <w:rPr>
          <w:i/>
        </w:rPr>
        <w:t>Figure</w:t>
      </w:r>
      <w:r w:rsidRPr="008D6280">
        <w:rPr>
          <w:lang w:val="en-US"/>
        </w:rPr>
        <w:t xml:space="preserve"> </w:t>
      </w:r>
      <w:r w:rsidRPr="007D6D86">
        <w:rPr>
          <w:i/>
          <w:lang w:val="en-US"/>
        </w:rPr>
        <w:t>2: How well do Australians think the right to freedom of religion is protected?</w:t>
      </w:r>
      <w:bookmarkEnd w:id="200"/>
    </w:p>
    <w:p w:rsidR="00CF6FFF" w:rsidRDefault="002B0958" w:rsidP="00DE5294">
      <w:pPr>
        <w:jc w:val="center"/>
      </w:pPr>
      <w:r>
        <w:rPr>
          <w:noProof/>
        </w:rPr>
        <w:drawing>
          <wp:inline distT="0" distB="0" distL="0" distR="0" wp14:anchorId="0809DA4E" wp14:editId="7D0891E9">
            <wp:extent cx="4067175" cy="3190875"/>
            <wp:effectExtent l="0" t="0" r="0" b="0"/>
            <wp:docPr id="19"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4A4A" w:rsidRPr="00374A4A" w:rsidRDefault="000808BC" w:rsidP="00872889">
      <w:pPr>
        <w:rPr>
          <w:rFonts w:cs="Arial"/>
        </w:rPr>
      </w:pPr>
      <w:r>
        <w:rPr>
          <w:rFonts w:cs="Arial"/>
        </w:rPr>
        <w:t>Freedom of religion has</w:t>
      </w:r>
      <w:r w:rsidR="00374A4A">
        <w:rPr>
          <w:rFonts w:cs="Arial"/>
        </w:rPr>
        <w:t xml:space="preserve"> limited protection in the Australian Constitution.</w:t>
      </w:r>
      <w:r w:rsidR="0052777D">
        <w:rPr>
          <w:rFonts w:cs="Arial"/>
        </w:rPr>
        <w:t xml:space="preserve"> S</w:t>
      </w:r>
      <w:r w:rsidR="00374A4A">
        <w:rPr>
          <w:rFonts w:cs="Arial"/>
          <w:bCs/>
        </w:rPr>
        <w:t xml:space="preserve">ection 116 of the </w:t>
      </w:r>
      <w:r w:rsidR="00374A4A" w:rsidRPr="006D7572">
        <w:rPr>
          <w:rFonts w:cs="Arial"/>
          <w:bCs/>
        </w:rPr>
        <w:t xml:space="preserve">Constitution </w:t>
      </w:r>
      <w:r w:rsidR="00374A4A">
        <w:rPr>
          <w:rFonts w:cs="Arial"/>
        </w:rPr>
        <w:t xml:space="preserve">restrains the </w:t>
      </w:r>
      <w:r w:rsidR="00374A4A" w:rsidRPr="006D7572">
        <w:rPr>
          <w:rFonts w:cs="Arial"/>
        </w:rPr>
        <w:t xml:space="preserve">legislative power </w:t>
      </w:r>
      <w:r w:rsidR="00374A4A">
        <w:rPr>
          <w:rFonts w:cs="Arial"/>
        </w:rPr>
        <w:t xml:space="preserve">of the federal government </w:t>
      </w:r>
      <w:r w:rsidR="00374A4A" w:rsidRPr="006D7572">
        <w:rPr>
          <w:rFonts w:cs="Arial"/>
        </w:rPr>
        <w:t>and p</w:t>
      </w:r>
      <w:r w:rsidR="00374A4A">
        <w:rPr>
          <w:rFonts w:cs="Arial"/>
        </w:rPr>
        <w:t>revents one religion having</w:t>
      </w:r>
      <w:r w:rsidR="00374A4A" w:rsidRPr="006D7572">
        <w:rPr>
          <w:rFonts w:cs="Arial"/>
        </w:rPr>
        <w:t xml:space="preserve"> pre-eminence</w:t>
      </w:r>
      <w:r w:rsidR="00374A4A">
        <w:rPr>
          <w:rFonts w:cs="Arial"/>
        </w:rPr>
        <w:t xml:space="preserve"> over other beliefs.</w:t>
      </w:r>
      <w:r w:rsidR="00374A4A">
        <w:rPr>
          <w:rStyle w:val="EndnoteReference"/>
          <w:rFonts w:cs="Arial"/>
        </w:rPr>
        <w:endnoteReference w:id="32"/>
      </w:r>
    </w:p>
    <w:p w:rsidR="00A90884" w:rsidRDefault="00FE63CE" w:rsidP="00872889">
      <w:pPr>
        <w:rPr>
          <w:rFonts w:cs="Arial"/>
          <w:lang w:val="en"/>
        </w:rPr>
      </w:pPr>
      <w:r>
        <w:rPr>
          <w:rFonts w:cs="Arial"/>
          <w:lang w:val="en"/>
        </w:rPr>
        <w:t>Consultation on the right to freedom of religion in Australia – a</w:t>
      </w:r>
      <w:r w:rsidR="001B053E">
        <w:rPr>
          <w:rFonts w:cs="Arial"/>
          <w:lang w:val="en"/>
        </w:rPr>
        <w:t>nd how it is exercised – revealed</w:t>
      </w:r>
      <w:r w:rsidR="00F46B63">
        <w:rPr>
          <w:rFonts w:cs="Arial"/>
          <w:lang w:val="en"/>
        </w:rPr>
        <w:t xml:space="preserve"> </w:t>
      </w:r>
      <w:r w:rsidR="001C27A3">
        <w:rPr>
          <w:rFonts w:cs="Arial"/>
          <w:lang w:val="en"/>
        </w:rPr>
        <w:t>differing</w:t>
      </w:r>
      <w:r>
        <w:rPr>
          <w:rFonts w:cs="Arial"/>
          <w:lang w:val="en"/>
        </w:rPr>
        <w:t xml:space="preserve"> </w:t>
      </w:r>
      <w:r w:rsidR="001C27A3">
        <w:rPr>
          <w:rFonts w:cs="Arial"/>
          <w:lang w:val="en"/>
        </w:rPr>
        <w:t>perspectives</w:t>
      </w:r>
      <w:r w:rsidR="000C1541">
        <w:rPr>
          <w:rFonts w:cs="Arial"/>
          <w:lang w:val="en"/>
        </w:rPr>
        <w:t xml:space="preserve"> about the </w:t>
      </w:r>
      <w:r w:rsidR="001C27A3">
        <w:rPr>
          <w:rFonts w:cs="Arial"/>
          <w:lang w:val="en"/>
        </w:rPr>
        <w:t>internal/</w:t>
      </w:r>
      <w:r w:rsidR="000C1541">
        <w:rPr>
          <w:rFonts w:cs="Arial"/>
          <w:lang w:val="en"/>
        </w:rPr>
        <w:t xml:space="preserve">private and </w:t>
      </w:r>
      <w:r w:rsidR="001C27A3">
        <w:rPr>
          <w:rFonts w:cs="Arial"/>
          <w:lang w:val="en"/>
        </w:rPr>
        <w:t>external/</w:t>
      </w:r>
      <w:r w:rsidR="000C1541">
        <w:rPr>
          <w:rFonts w:cs="Arial"/>
          <w:lang w:val="en"/>
        </w:rPr>
        <w:t>public dimensions to religious freedom</w:t>
      </w:r>
      <w:r w:rsidR="00F46B63">
        <w:rPr>
          <w:rFonts w:cs="Arial"/>
          <w:lang w:val="en"/>
        </w:rPr>
        <w:t>.</w:t>
      </w:r>
    </w:p>
    <w:p w:rsidR="000C1541" w:rsidRDefault="00A90884" w:rsidP="00872889">
      <w:pPr>
        <w:rPr>
          <w:rFonts w:cs="Arial"/>
        </w:rPr>
      </w:pPr>
      <w:r>
        <w:rPr>
          <w:rFonts w:cs="Arial"/>
          <w:lang w:val="en"/>
        </w:rPr>
        <w:t>S</w:t>
      </w:r>
      <w:r w:rsidR="000C1541">
        <w:rPr>
          <w:rFonts w:cs="Arial"/>
          <w:lang w:val="en"/>
        </w:rPr>
        <w:t>everal submissions</w:t>
      </w:r>
      <w:r w:rsidR="00872889">
        <w:rPr>
          <w:rFonts w:cs="Arial"/>
          <w:lang w:val="en"/>
        </w:rPr>
        <w:t xml:space="preserve"> </w:t>
      </w:r>
      <w:r w:rsidR="000028F5">
        <w:rPr>
          <w:rFonts w:cs="Arial"/>
        </w:rPr>
        <w:t xml:space="preserve">cautioned against the use of </w:t>
      </w:r>
      <w:r w:rsidR="000028F5">
        <w:rPr>
          <w:rFonts w:cs="Arial"/>
          <w:lang w:val="en"/>
        </w:rPr>
        <w:t xml:space="preserve">‘freedom of worship’ </w:t>
      </w:r>
      <w:r w:rsidR="000028F5">
        <w:rPr>
          <w:rFonts w:cs="Arial"/>
        </w:rPr>
        <w:t xml:space="preserve">in </w:t>
      </w:r>
      <w:r w:rsidR="00872889">
        <w:rPr>
          <w:rFonts w:cs="Arial"/>
          <w:lang w:val="en"/>
        </w:rPr>
        <w:t xml:space="preserve">the </w:t>
      </w:r>
      <w:r w:rsidR="001061E5" w:rsidRPr="001061E5">
        <w:rPr>
          <w:rFonts w:cs="Arial"/>
          <w:i/>
          <w:lang w:val="en"/>
        </w:rPr>
        <w:t>Rights &amp; Responsibilities 2014</w:t>
      </w:r>
      <w:r w:rsidR="001061E5">
        <w:rPr>
          <w:rFonts w:cs="Arial"/>
          <w:lang w:val="en"/>
        </w:rPr>
        <w:t xml:space="preserve"> </w:t>
      </w:r>
      <w:r w:rsidR="00872889">
        <w:rPr>
          <w:rFonts w:cs="Arial"/>
          <w:lang w:val="en"/>
        </w:rPr>
        <w:t xml:space="preserve">discussion paper </w:t>
      </w:r>
      <w:r w:rsidR="000028F5">
        <w:rPr>
          <w:rFonts w:cs="Arial"/>
          <w:lang w:val="en"/>
        </w:rPr>
        <w:t xml:space="preserve">as this term </w:t>
      </w:r>
      <w:r w:rsidR="00872889">
        <w:rPr>
          <w:rFonts w:cs="Arial"/>
          <w:lang w:val="en"/>
        </w:rPr>
        <w:t>constrains the right to freedom of religion</w:t>
      </w:r>
      <w:r w:rsidR="00236F54">
        <w:rPr>
          <w:rFonts w:cs="Arial"/>
          <w:lang w:val="en"/>
        </w:rPr>
        <w:t xml:space="preserve"> to the private sphere:</w:t>
      </w:r>
    </w:p>
    <w:p w:rsidR="000C1541" w:rsidRDefault="000C1541" w:rsidP="000C1541">
      <w:pPr>
        <w:ind w:left="720"/>
        <w:rPr>
          <w:sz w:val="22"/>
          <w:szCs w:val="22"/>
          <w:lang w:val="en-US"/>
        </w:rPr>
      </w:pPr>
      <w:r w:rsidRPr="00E80CFE">
        <w:rPr>
          <w:rFonts w:cs="Arial"/>
          <w:i/>
          <w:sz w:val="22"/>
          <w:szCs w:val="22"/>
        </w:rPr>
        <w:t xml:space="preserve">We note that Tim Wilson has sometimes used the term “freedom of worship” rather than “freedom of religion”, as if the two were synonymous. With respect, this appears to limit religious liberty to the private, or even semi-private sphere of private or congregational worship, and it is precisely this reduction in the scope of freedom of </w:t>
      </w:r>
      <w:r w:rsidRPr="00E80CFE">
        <w:rPr>
          <w:rFonts w:cs="Arial"/>
          <w:i/>
          <w:sz w:val="22"/>
          <w:szCs w:val="22"/>
        </w:rPr>
        <w:lastRenderedPageBreak/>
        <w:t>religion that is of concern to Freedom 4 Faith and other religious liberty advocates around the world.</w:t>
      </w:r>
      <w:r w:rsidRPr="00E80CFE">
        <w:rPr>
          <w:rFonts w:cs="Arial"/>
          <w:b/>
          <w:sz w:val="22"/>
          <w:szCs w:val="22"/>
        </w:rPr>
        <w:t xml:space="preserve"> </w:t>
      </w:r>
      <w:r w:rsidRPr="00E80CFE">
        <w:rPr>
          <w:sz w:val="22"/>
          <w:szCs w:val="22"/>
          <w:lang w:val="en-US"/>
        </w:rPr>
        <w:t>Freedom 4 Faith</w:t>
      </w:r>
      <w:r>
        <w:rPr>
          <w:sz w:val="22"/>
          <w:szCs w:val="22"/>
          <w:lang w:val="en-US"/>
        </w:rPr>
        <w:t xml:space="preserve"> submission</w:t>
      </w:r>
    </w:p>
    <w:p w:rsidR="000C1541" w:rsidRDefault="000C1541" w:rsidP="000C1541">
      <w:pPr>
        <w:ind w:left="720"/>
        <w:rPr>
          <w:sz w:val="22"/>
          <w:szCs w:val="22"/>
          <w:lang w:val="en-US"/>
        </w:rPr>
      </w:pPr>
      <w:r w:rsidRPr="00146A4E">
        <w:rPr>
          <w:rFonts w:cs="Arial"/>
          <w:i/>
          <w:sz w:val="22"/>
          <w:szCs w:val="22"/>
        </w:rPr>
        <w:t xml:space="preserve">Freedom of religion is </w:t>
      </w:r>
      <w:r w:rsidR="00E13688">
        <w:rPr>
          <w:rFonts w:cs="Arial"/>
          <w:i/>
          <w:sz w:val="22"/>
          <w:szCs w:val="22"/>
        </w:rPr>
        <w:t>constrained when restricted to “freedom of worship”</w:t>
      </w:r>
      <w:r w:rsidRPr="00146A4E">
        <w:rPr>
          <w:rFonts w:cs="Arial"/>
          <w:i/>
          <w:sz w:val="22"/>
          <w:szCs w:val="22"/>
        </w:rPr>
        <w:t>.</w:t>
      </w:r>
      <w:r w:rsidRPr="00146A4E">
        <w:rPr>
          <w:i/>
          <w:sz w:val="22"/>
          <w:szCs w:val="22"/>
          <w:lang w:val="en-US"/>
        </w:rPr>
        <w:t xml:space="preserve"> This restricts religion to Church, Synagogues</w:t>
      </w:r>
      <w:r w:rsidR="00E13688">
        <w:rPr>
          <w:i/>
          <w:sz w:val="22"/>
          <w:szCs w:val="22"/>
          <w:lang w:val="en-US"/>
        </w:rPr>
        <w:t xml:space="preserve"> or Mosques etc. To reject the “freedom of conscience”</w:t>
      </w:r>
      <w:r w:rsidRPr="00146A4E">
        <w:rPr>
          <w:i/>
          <w:sz w:val="22"/>
          <w:szCs w:val="22"/>
          <w:lang w:val="en-US"/>
        </w:rPr>
        <w:t xml:space="preserve"> is to take away the right of a person to his/her religious beliefs…</w:t>
      </w:r>
      <w:r>
        <w:rPr>
          <w:sz w:val="22"/>
          <w:szCs w:val="22"/>
          <w:lang w:val="en-US"/>
        </w:rPr>
        <w:t xml:space="preserve"> Catholic Women’s League of Victoria and Wagga Wagga submission</w:t>
      </w:r>
    </w:p>
    <w:p w:rsidR="000C1541" w:rsidRPr="00872889" w:rsidRDefault="001B053E" w:rsidP="000C1541">
      <w:pPr>
        <w:rPr>
          <w:lang w:val="en-US"/>
        </w:rPr>
      </w:pPr>
      <w:r>
        <w:rPr>
          <w:lang w:val="en-US"/>
        </w:rPr>
        <w:t>As outlin</w:t>
      </w:r>
      <w:r w:rsidR="00872889" w:rsidRPr="00872889">
        <w:rPr>
          <w:lang w:val="en-US"/>
        </w:rPr>
        <w:t>ed by the Australian Christian Lobby</w:t>
      </w:r>
      <w:r w:rsidR="001061E5">
        <w:rPr>
          <w:lang w:val="en-US"/>
        </w:rPr>
        <w:t xml:space="preserve"> (ACL)</w:t>
      </w:r>
      <w:r w:rsidR="000C1541" w:rsidRPr="00872889">
        <w:rPr>
          <w:lang w:val="en-US"/>
        </w:rPr>
        <w:t>:</w:t>
      </w:r>
    </w:p>
    <w:p w:rsidR="000C1541" w:rsidRPr="007100BB" w:rsidRDefault="000C1541" w:rsidP="000C1541">
      <w:pPr>
        <w:ind w:left="720"/>
        <w:rPr>
          <w:sz w:val="22"/>
          <w:szCs w:val="22"/>
          <w:lang w:val="en-US"/>
        </w:rPr>
      </w:pPr>
      <w:r w:rsidRPr="007100BB">
        <w:rPr>
          <w:i/>
          <w:sz w:val="22"/>
          <w:szCs w:val="22"/>
          <w:lang w:val="en-US"/>
        </w:rPr>
        <w:t>Th</w:t>
      </w:r>
      <w:r w:rsidR="00E13688">
        <w:rPr>
          <w:i/>
          <w:sz w:val="22"/>
          <w:szCs w:val="22"/>
          <w:lang w:val="en-US"/>
        </w:rPr>
        <w:t>e concern about the concept of “freedom of worship”</w:t>
      </w:r>
      <w:r w:rsidRPr="007100BB">
        <w:rPr>
          <w:i/>
          <w:sz w:val="22"/>
          <w:szCs w:val="22"/>
          <w:lang w:val="en-US"/>
        </w:rPr>
        <w:t xml:space="preserve"> is that worship is an essentially private exercise. It is but one aspect of a person’s faith, and one that is largely exercised either individually or in the privacy of a congregational gathering. It fails to capture a large range of activity outside of w</w:t>
      </w:r>
      <w:r w:rsidR="0015332F">
        <w:rPr>
          <w:i/>
          <w:sz w:val="22"/>
          <w:szCs w:val="22"/>
          <w:lang w:val="en-US"/>
        </w:rPr>
        <w:t>orship. The much broader term</w:t>
      </w:r>
      <w:r w:rsidR="00E13688">
        <w:rPr>
          <w:i/>
          <w:sz w:val="22"/>
          <w:szCs w:val="22"/>
          <w:lang w:val="en-US"/>
        </w:rPr>
        <w:t xml:space="preserve"> “</w:t>
      </w:r>
      <w:r w:rsidRPr="007100BB">
        <w:rPr>
          <w:i/>
          <w:sz w:val="22"/>
          <w:szCs w:val="22"/>
          <w:lang w:val="en-US"/>
        </w:rPr>
        <w:t>freedom of relig</w:t>
      </w:r>
      <w:r w:rsidR="00E13688">
        <w:rPr>
          <w:i/>
          <w:sz w:val="22"/>
          <w:szCs w:val="22"/>
          <w:lang w:val="en-US"/>
        </w:rPr>
        <w:t>ion”</w:t>
      </w:r>
      <w:r w:rsidRPr="007100BB">
        <w:rPr>
          <w:i/>
          <w:sz w:val="22"/>
          <w:szCs w:val="22"/>
          <w:lang w:val="en-US"/>
        </w:rPr>
        <w:t xml:space="preserve"> allows for the reality that a person’s religious faith encompasses not only their private worship but their whole being, including their public activity.</w:t>
      </w:r>
      <w:r w:rsidR="001061E5">
        <w:rPr>
          <w:sz w:val="22"/>
          <w:szCs w:val="22"/>
          <w:lang w:val="en-US"/>
        </w:rPr>
        <w:t xml:space="preserve"> ACL</w:t>
      </w:r>
      <w:r w:rsidRPr="007100BB">
        <w:rPr>
          <w:sz w:val="22"/>
          <w:szCs w:val="22"/>
          <w:lang w:val="en-US"/>
        </w:rPr>
        <w:t xml:space="preserve"> submission</w:t>
      </w:r>
    </w:p>
    <w:p w:rsidR="008438A0" w:rsidRDefault="008438A0" w:rsidP="00CF6FFF">
      <w:pPr>
        <w:rPr>
          <w:rFonts w:cs="Arial"/>
          <w:lang w:val="en"/>
        </w:rPr>
      </w:pPr>
      <w:r>
        <w:rPr>
          <w:rFonts w:cs="Arial"/>
          <w:lang w:val="en"/>
        </w:rPr>
        <w:t>While the Human Rights Commissioner views ‘worship’ as more than just a private exercise, the intent of the use of this phrase was never designed to narrow discussion on religious freedom.</w:t>
      </w:r>
    </w:p>
    <w:p w:rsidR="001061E5" w:rsidRDefault="00872889" w:rsidP="00CF6FFF">
      <w:pPr>
        <w:rPr>
          <w:rFonts w:cs="Arial"/>
          <w:lang w:val="en"/>
        </w:rPr>
      </w:pPr>
      <w:r>
        <w:rPr>
          <w:rFonts w:cs="Arial"/>
          <w:lang w:val="en"/>
        </w:rPr>
        <w:t xml:space="preserve">This tension between </w:t>
      </w:r>
      <w:r w:rsidR="0025378D">
        <w:rPr>
          <w:rFonts w:cs="Arial"/>
          <w:lang w:val="en"/>
        </w:rPr>
        <w:t xml:space="preserve">the </w:t>
      </w:r>
      <w:r w:rsidR="0076558D">
        <w:rPr>
          <w:rFonts w:cs="Arial"/>
          <w:lang w:val="en"/>
        </w:rPr>
        <w:t xml:space="preserve">extent to which the </w:t>
      </w:r>
      <w:r w:rsidR="0025378D">
        <w:rPr>
          <w:rFonts w:cs="Arial"/>
          <w:lang w:val="en"/>
        </w:rPr>
        <w:t xml:space="preserve">private </w:t>
      </w:r>
      <w:r w:rsidR="0076558D">
        <w:rPr>
          <w:rFonts w:cs="Arial"/>
          <w:lang w:val="en"/>
        </w:rPr>
        <w:t xml:space="preserve">right to worship extends into the </w:t>
      </w:r>
      <w:r w:rsidR="0025378D">
        <w:rPr>
          <w:rFonts w:cs="Arial"/>
          <w:lang w:val="en"/>
        </w:rPr>
        <w:t>public</w:t>
      </w:r>
      <w:r w:rsidR="0076558D">
        <w:rPr>
          <w:rFonts w:cs="Arial"/>
          <w:lang w:val="en"/>
        </w:rPr>
        <w:t xml:space="preserve"> conduct of religious </w:t>
      </w:r>
      <w:r w:rsidR="0076558D" w:rsidRPr="0076558D">
        <w:rPr>
          <w:rFonts w:cs="Arial"/>
        </w:rPr>
        <w:t>organisations</w:t>
      </w:r>
      <w:r w:rsidR="0025378D">
        <w:rPr>
          <w:rFonts w:cs="Arial"/>
          <w:lang w:val="en"/>
        </w:rPr>
        <w:t xml:space="preserve"> </w:t>
      </w:r>
      <w:r w:rsidR="00A25C13">
        <w:rPr>
          <w:rFonts w:cs="Arial"/>
          <w:lang w:val="en"/>
        </w:rPr>
        <w:t xml:space="preserve">and/or the public expression of religious beliefs </w:t>
      </w:r>
      <w:r w:rsidR="00630EA0">
        <w:rPr>
          <w:rFonts w:cs="Arial"/>
          <w:lang w:val="en"/>
        </w:rPr>
        <w:t xml:space="preserve">was a consistent theme in discussions about religious freedom in </w:t>
      </w:r>
      <w:r w:rsidR="007D44B1">
        <w:rPr>
          <w:rFonts w:cs="Arial"/>
          <w:lang w:val="en"/>
        </w:rPr>
        <w:t>Australia’s pluralist</w:t>
      </w:r>
      <w:r w:rsidR="00723246">
        <w:rPr>
          <w:rFonts w:cs="Arial"/>
          <w:lang w:val="en"/>
        </w:rPr>
        <w:t xml:space="preserve">, multi-faith </w:t>
      </w:r>
      <w:r w:rsidR="007D44B1">
        <w:rPr>
          <w:rFonts w:cs="Arial"/>
          <w:lang w:val="en"/>
        </w:rPr>
        <w:t>society</w:t>
      </w:r>
      <w:r w:rsidR="00630EA0">
        <w:rPr>
          <w:rFonts w:cs="Arial"/>
          <w:lang w:val="en"/>
        </w:rPr>
        <w:t xml:space="preserve">. </w:t>
      </w:r>
    </w:p>
    <w:p w:rsidR="00872889" w:rsidRDefault="00630EA0" w:rsidP="00CF6FFF">
      <w:pPr>
        <w:rPr>
          <w:rFonts w:cs="Arial"/>
          <w:lang w:val="en"/>
        </w:rPr>
      </w:pPr>
      <w:r>
        <w:rPr>
          <w:rFonts w:cs="Arial"/>
          <w:lang w:val="en"/>
        </w:rPr>
        <w:t>T</w:t>
      </w:r>
      <w:r w:rsidR="0025378D">
        <w:rPr>
          <w:rFonts w:cs="Arial"/>
          <w:lang w:val="en"/>
        </w:rPr>
        <w:t>he following issues identified during the consultation process</w:t>
      </w:r>
      <w:r>
        <w:rPr>
          <w:rFonts w:cs="Arial"/>
          <w:lang w:val="en"/>
        </w:rPr>
        <w:t xml:space="preserve"> depict various ways in which the right to freedom of religion interacts with </w:t>
      </w:r>
      <w:r w:rsidR="002E2035">
        <w:rPr>
          <w:rFonts w:cs="Arial"/>
          <w:lang w:val="en"/>
        </w:rPr>
        <w:t xml:space="preserve">legislation and </w:t>
      </w:r>
      <w:r w:rsidR="007D44B1">
        <w:rPr>
          <w:rFonts w:cs="Arial"/>
          <w:lang w:val="en"/>
        </w:rPr>
        <w:t>public policy</w:t>
      </w:r>
      <w:r w:rsidR="0025378D">
        <w:rPr>
          <w:rFonts w:cs="Arial"/>
          <w:lang w:val="en"/>
        </w:rPr>
        <w:t>:</w:t>
      </w:r>
    </w:p>
    <w:p w:rsidR="009D2CC8" w:rsidRDefault="00C458BD" w:rsidP="008D3832">
      <w:pPr>
        <w:numPr>
          <w:ilvl w:val="0"/>
          <w:numId w:val="29"/>
        </w:numPr>
        <w:rPr>
          <w:rFonts w:cs="Arial"/>
        </w:rPr>
      </w:pPr>
      <w:r>
        <w:rPr>
          <w:rFonts w:cs="Arial"/>
        </w:rPr>
        <w:t>a</w:t>
      </w:r>
      <w:r w:rsidR="009E03B7">
        <w:rPr>
          <w:rFonts w:cs="Arial"/>
        </w:rPr>
        <w:t>nti-discrimination laws</w:t>
      </w:r>
    </w:p>
    <w:p w:rsidR="00C458BD" w:rsidRDefault="00C458BD" w:rsidP="008D3832">
      <w:pPr>
        <w:numPr>
          <w:ilvl w:val="0"/>
          <w:numId w:val="29"/>
        </w:numPr>
        <w:rPr>
          <w:rFonts w:cs="Arial"/>
        </w:rPr>
      </w:pPr>
      <w:r>
        <w:rPr>
          <w:rFonts w:cs="Arial"/>
        </w:rPr>
        <w:t xml:space="preserve">government funding for religious organisations </w:t>
      </w:r>
    </w:p>
    <w:p w:rsidR="00785B98" w:rsidRDefault="00785B98" w:rsidP="008D3832">
      <w:pPr>
        <w:numPr>
          <w:ilvl w:val="0"/>
          <w:numId w:val="29"/>
        </w:numPr>
        <w:rPr>
          <w:rFonts w:cs="Arial"/>
        </w:rPr>
      </w:pPr>
      <w:r>
        <w:rPr>
          <w:rFonts w:cs="Arial"/>
        </w:rPr>
        <w:t>freedom of religion and equality before the law</w:t>
      </w:r>
    </w:p>
    <w:p w:rsidR="00AB7C8B" w:rsidRPr="004E5951" w:rsidRDefault="00AB7C8B" w:rsidP="008D3832">
      <w:pPr>
        <w:numPr>
          <w:ilvl w:val="0"/>
          <w:numId w:val="29"/>
        </w:numPr>
        <w:rPr>
          <w:rFonts w:cs="Arial"/>
        </w:rPr>
      </w:pPr>
      <w:r w:rsidRPr="004E5951">
        <w:rPr>
          <w:rFonts w:cs="Arial"/>
        </w:rPr>
        <w:t xml:space="preserve">discrimination on the basis of </w:t>
      </w:r>
      <w:r w:rsidR="00C65B93">
        <w:rPr>
          <w:rFonts w:cs="Arial"/>
        </w:rPr>
        <w:t>religion</w:t>
      </w:r>
      <w:r w:rsidR="004E5951" w:rsidRPr="004E5951">
        <w:rPr>
          <w:rFonts w:cs="Arial"/>
        </w:rPr>
        <w:t>.</w:t>
      </w:r>
    </w:p>
    <w:p w:rsidR="00AB7C8B" w:rsidRPr="009C770E" w:rsidRDefault="00AB7C8B" w:rsidP="009C770E">
      <w:pPr>
        <w:pStyle w:val="Heading4"/>
        <w:numPr>
          <w:ilvl w:val="0"/>
          <w:numId w:val="0"/>
        </w:numPr>
        <w:ind w:left="851" w:hanging="851"/>
        <w:rPr>
          <w:i/>
        </w:rPr>
      </w:pPr>
      <w:bookmarkStart w:id="201" w:name="_Toc413932277"/>
      <w:r w:rsidRPr="009C770E">
        <w:rPr>
          <w:i/>
        </w:rPr>
        <w:t>Anti-discrimination l</w:t>
      </w:r>
      <w:r w:rsidR="009E03B7">
        <w:rPr>
          <w:i/>
        </w:rPr>
        <w:t>aws</w:t>
      </w:r>
      <w:bookmarkEnd w:id="201"/>
    </w:p>
    <w:p w:rsidR="006114BC" w:rsidRDefault="0076558D" w:rsidP="00CF6FFF">
      <w:pPr>
        <w:rPr>
          <w:rFonts w:cs="Arial"/>
        </w:rPr>
      </w:pPr>
      <w:r>
        <w:rPr>
          <w:rFonts w:cs="Arial"/>
        </w:rPr>
        <w:t>Anti-discrimination laws were identified as</w:t>
      </w:r>
      <w:r w:rsidR="00A25C13">
        <w:rPr>
          <w:rFonts w:cs="Arial"/>
        </w:rPr>
        <w:t xml:space="preserve"> either failing to </w:t>
      </w:r>
      <w:r w:rsidR="0017549B">
        <w:rPr>
          <w:rFonts w:cs="Arial"/>
        </w:rPr>
        <w:t xml:space="preserve">prevent discrimination </w:t>
      </w:r>
      <w:r w:rsidR="00B835BE">
        <w:rPr>
          <w:rFonts w:cs="Arial"/>
        </w:rPr>
        <w:t>against LGBTI peop</w:t>
      </w:r>
      <w:r w:rsidR="00C43322">
        <w:rPr>
          <w:rFonts w:cs="Arial"/>
        </w:rPr>
        <w:t>le</w:t>
      </w:r>
      <w:r w:rsidR="008741A5">
        <w:rPr>
          <w:rFonts w:cs="Arial"/>
        </w:rPr>
        <w:t xml:space="preserve"> </w:t>
      </w:r>
      <w:r w:rsidR="0017549B">
        <w:rPr>
          <w:rFonts w:cs="Arial"/>
        </w:rPr>
        <w:t xml:space="preserve">or </w:t>
      </w:r>
      <w:r w:rsidR="00A25C13">
        <w:rPr>
          <w:rFonts w:cs="Arial"/>
        </w:rPr>
        <w:t>impinging on the right to freedom of religion in Australia</w:t>
      </w:r>
      <w:r w:rsidR="0017549B">
        <w:rPr>
          <w:rFonts w:cs="Arial"/>
        </w:rPr>
        <w:t xml:space="preserve">. </w:t>
      </w:r>
      <w:r w:rsidR="00897089">
        <w:rPr>
          <w:rFonts w:cs="Arial"/>
        </w:rPr>
        <w:t>For example,</w:t>
      </w:r>
      <w:r w:rsidR="00B835BE">
        <w:rPr>
          <w:rFonts w:cs="Arial"/>
        </w:rPr>
        <w:t xml:space="preserve"> amendments made </w:t>
      </w:r>
      <w:r w:rsidR="00C43322">
        <w:rPr>
          <w:rFonts w:cs="Arial"/>
        </w:rPr>
        <w:t xml:space="preserve">in 2013 </w:t>
      </w:r>
      <w:r w:rsidR="00B835BE">
        <w:rPr>
          <w:rFonts w:cs="Arial"/>
        </w:rPr>
        <w:t xml:space="preserve">to the </w:t>
      </w:r>
      <w:r w:rsidR="00B835BE" w:rsidRPr="00DA0A5A">
        <w:rPr>
          <w:rFonts w:cs="Arial"/>
          <w:i/>
        </w:rPr>
        <w:t>Sex Discrimination Act 1984</w:t>
      </w:r>
      <w:r w:rsidR="00C43322">
        <w:rPr>
          <w:rFonts w:cs="Arial"/>
        </w:rPr>
        <w:t xml:space="preserve"> (Cth) that</w:t>
      </w:r>
      <w:r w:rsidR="00B835BE">
        <w:rPr>
          <w:rFonts w:cs="Arial"/>
        </w:rPr>
        <w:t xml:space="preserve"> prohibit</w:t>
      </w:r>
      <w:r w:rsidR="00B835BE" w:rsidRPr="006D7572">
        <w:rPr>
          <w:rFonts w:cs="Arial"/>
        </w:rPr>
        <w:t xml:space="preserve"> discrimination on the basis of sexual orient</w:t>
      </w:r>
      <w:r w:rsidR="00B835BE">
        <w:rPr>
          <w:rFonts w:cs="Arial"/>
        </w:rPr>
        <w:t>ation, gender identity</w:t>
      </w:r>
      <w:r w:rsidR="00B835BE" w:rsidRPr="006D7572">
        <w:rPr>
          <w:rFonts w:cs="Arial"/>
        </w:rPr>
        <w:t xml:space="preserve"> and intersex status in </w:t>
      </w:r>
      <w:r w:rsidR="00B835BE">
        <w:rPr>
          <w:rFonts w:cs="Arial"/>
        </w:rPr>
        <w:t>a range of areas of public life,</w:t>
      </w:r>
      <w:r w:rsidR="00897089">
        <w:rPr>
          <w:rFonts w:cs="Arial"/>
        </w:rPr>
        <w:t xml:space="preserve"> also include</w:t>
      </w:r>
      <w:r w:rsidR="00B835BE">
        <w:rPr>
          <w:rFonts w:cs="Arial"/>
        </w:rPr>
        <w:t xml:space="preserve"> </w:t>
      </w:r>
      <w:r w:rsidR="00B835BE" w:rsidRPr="006D7572">
        <w:rPr>
          <w:rFonts w:cs="Arial"/>
        </w:rPr>
        <w:t>exception</w:t>
      </w:r>
      <w:r w:rsidR="00B835BE">
        <w:rPr>
          <w:rFonts w:cs="Arial"/>
        </w:rPr>
        <w:t>s</w:t>
      </w:r>
      <w:r w:rsidR="00B835BE" w:rsidRPr="006D7572">
        <w:rPr>
          <w:rFonts w:cs="Arial"/>
        </w:rPr>
        <w:t xml:space="preserve"> for ‘religious bodies’ </w:t>
      </w:r>
      <w:r w:rsidR="00B835BE">
        <w:rPr>
          <w:rFonts w:cs="Arial"/>
        </w:rPr>
        <w:t xml:space="preserve">and </w:t>
      </w:r>
      <w:r w:rsidR="00B835BE" w:rsidRPr="006D7572">
        <w:rPr>
          <w:rFonts w:cs="Arial"/>
        </w:rPr>
        <w:t>‘educational institutions established for r</w:t>
      </w:r>
      <w:r w:rsidR="00B835BE">
        <w:rPr>
          <w:rFonts w:cs="Arial"/>
        </w:rPr>
        <w:t>eligious purposes’</w:t>
      </w:r>
      <w:r w:rsidR="00B835BE" w:rsidRPr="006D7572">
        <w:rPr>
          <w:rFonts w:cs="Arial"/>
        </w:rPr>
        <w:t>.</w:t>
      </w:r>
      <w:r w:rsidR="00B835BE">
        <w:rPr>
          <w:rStyle w:val="EndnoteReference"/>
          <w:rFonts w:cs="Arial"/>
        </w:rPr>
        <w:endnoteReference w:id="33"/>
      </w:r>
    </w:p>
    <w:p w:rsidR="008A2DDD" w:rsidRDefault="00CF6FFF" w:rsidP="00CF6FFF">
      <w:pPr>
        <w:rPr>
          <w:rFonts w:cs="Arial"/>
        </w:rPr>
      </w:pPr>
      <w:r w:rsidRPr="00CC07D6">
        <w:rPr>
          <w:rFonts w:cs="Arial"/>
        </w:rPr>
        <w:t xml:space="preserve">Several submissions </w:t>
      </w:r>
      <w:r w:rsidR="004F7460">
        <w:rPr>
          <w:rFonts w:cs="Arial"/>
        </w:rPr>
        <w:t>not</w:t>
      </w:r>
      <w:r w:rsidR="00C47BF4">
        <w:rPr>
          <w:rFonts w:cs="Arial"/>
        </w:rPr>
        <w:t>e</w:t>
      </w:r>
      <w:r w:rsidR="00DF515E">
        <w:rPr>
          <w:rFonts w:cs="Arial"/>
        </w:rPr>
        <w:t>d</w:t>
      </w:r>
      <w:r w:rsidR="0017549B">
        <w:rPr>
          <w:rFonts w:cs="Arial"/>
        </w:rPr>
        <w:t xml:space="preserve"> </w:t>
      </w:r>
      <w:r w:rsidR="004F7460">
        <w:rPr>
          <w:rFonts w:cs="Arial"/>
        </w:rPr>
        <w:t xml:space="preserve">that </w:t>
      </w:r>
      <w:r w:rsidR="004F7460" w:rsidRPr="00CC07D6">
        <w:rPr>
          <w:rFonts w:cs="Arial"/>
        </w:rPr>
        <w:t xml:space="preserve">federal and state anti-discrimination laws </w:t>
      </w:r>
      <w:r w:rsidR="0057007B">
        <w:rPr>
          <w:rFonts w:cs="Arial"/>
        </w:rPr>
        <w:t xml:space="preserve">did not appropriately </w:t>
      </w:r>
      <w:r w:rsidR="004F7460">
        <w:rPr>
          <w:rFonts w:cs="Arial"/>
        </w:rPr>
        <w:t xml:space="preserve">balance </w:t>
      </w:r>
      <w:r w:rsidR="001C27A3">
        <w:rPr>
          <w:rFonts w:cs="Arial"/>
        </w:rPr>
        <w:t xml:space="preserve">the prohibition of </w:t>
      </w:r>
      <w:r w:rsidRPr="00CC07D6">
        <w:rPr>
          <w:rFonts w:cs="Arial"/>
        </w:rPr>
        <w:t xml:space="preserve">discrimination against </w:t>
      </w:r>
      <w:r w:rsidR="0076558D">
        <w:rPr>
          <w:rFonts w:cs="Arial"/>
        </w:rPr>
        <w:t>LGBTI</w:t>
      </w:r>
      <w:r>
        <w:rPr>
          <w:rFonts w:cs="Arial"/>
        </w:rPr>
        <w:t xml:space="preserve"> </w:t>
      </w:r>
      <w:r w:rsidRPr="00CC07D6">
        <w:rPr>
          <w:rFonts w:cs="Arial"/>
        </w:rPr>
        <w:t>people</w:t>
      </w:r>
      <w:r>
        <w:rPr>
          <w:rFonts w:cs="Arial"/>
        </w:rPr>
        <w:t xml:space="preserve"> and </w:t>
      </w:r>
      <w:r w:rsidR="001C27A3">
        <w:rPr>
          <w:rFonts w:cs="Arial"/>
        </w:rPr>
        <w:t>the protection of</w:t>
      </w:r>
      <w:r>
        <w:rPr>
          <w:rFonts w:cs="Arial"/>
        </w:rPr>
        <w:t xml:space="preserve"> the right to freedom of religion. </w:t>
      </w:r>
      <w:r w:rsidR="008A2DDD">
        <w:rPr>
          <w:rFonts w:cs="Arial"/>
        </w:rPr>
        <w:t>For example:</w:t>
      </w:r>
    </w:p>
    <w:p w:rsidR="008A2DDD" w:rsidRPr="008A2DDD" w:rsidRDefault="008A2DDD" w:rsidP="008A2DDD">
      <w:pPr>
        <w:ind w:left="720"/>
        <w:rPr>
          <w:rFonts w:cs="Arial"/>
          <w:sz w:val="22"/>
          <w:szCs w:val="22"/>
        </w:rPr>
      </w:pPr>
      <w:r w:rsidRPr="003C2259">
        <w:rPr>
          <w:rFonts w:cs="Arial"/>
          <w:i/>
          <w:sz w:val="22"/>
          <w:szCs w:val="22"/>
        </w:rPr>
        <w:t xml:space="preserve">Many state and federal anti-discrimination laws include permanent carve-outs for religious organisations and individuals </w:t>
      </w:r>
      <w:r>
        <w:rPr>
          <w:rFonts w:cs="Arial"/>
          <w:i/>
          <w:sz w:val="22"/>
          <w:szCs w:val="22"/>
        </w:rPr>
        <w:t>–</w:t>
      </w:r>
      <w:r w:rsidRPr="003C2259">
        <w:rPr>
          <w:rFonts w:cs="Arial"/>
          <w:i/>
          <w:sz w:val="22"/>
          <w:szCs w:val="22"/>
        </w:rPr>
        <w:t xml:space="preserve"> including those that provide public services using public money – and permit discrimination that would otherwise be unlawful. </w:t>
      </w:r>
      <w:r w:rsidRPr="003C2259">
        <w:rPr>
          <w:rFonts w:cs="Arial"/>
          <w:i/>
          <w:sz w:val="22"/>
          <w:szCs w:val="22"/>
        </w:rPr>
        <w:lastRenderedPageBreak/>
        <w:t>Such carve-outs fail to achieve an appropriate balance between the rights to religious freedom and non-discrimination.</w:t>
      </w:r>
      <w:r>
        <w:rPr>
          <w:rFonts w:cs="Arial"/>
          <w:sz w:val="22"/>
          <w:szCs w:val="22"/>
        </w:rPr>
        <w:t xml:space="preserve"> Human Rights Law Centre</w:t>
      </w:r>
      <w:r w:rsidR="00CC1106">
        <w:rPr>
          <w:rFonts w:cs="Arial"/>
          <w:sz w:val="22"/>
          <w:szCs w:val="22"/>
        </w:rPr>
        <w:t xml:space="preserve"> submission </w:t>
      </w:r>
    </w:p>
    <w:p w:rsidR="008A2DDD" w:rsidRPr="003C2259" w:rsidRDefault="00822217" w:rsidP="008A2DDD">
      <w:pPr>
        <w:ind w:left="720"/>
        <w:rPr>
          <w:sz w:val="22"/>
          <w:szCs w:val="22"/>
        </w:rPr>
      </w:pPr>
      <w:r>
        <w:rPr>
          <w:i/>
          <w:sz w:val="22"/>
          <w:szCs w:val="22"/>
        </w:rPr>
        <w:t>We</w:t>
      </w:r>
      <w:r w:rsidR="008A2DDD" w:rsidRPr="003C2259">
        <w:rPr>
          <w:i/>
          <w:sz w:val="22"/>
          <w:szCs w:val="22"/>
        </w:rPr>
        <w:t xml:space="preserve"> do not believe that Australian law currently strikes the right balance between respecting the right to freedom of religious worship, and the harms caused by breaches of the right to non-discrimination on the basis of sexual orientation, gender identity and intersex status. </w:t>
      </w:r>
      <w:r>
        <w:rPr>
          <w:sz w:val="22"/>
          <w:szCs w:val="22"/>
        </w:rPr>
        <w:t>Gay and Lesbian Rights Lobby</w:t>
      </w:r>
      <w:r w:rsidR="00CC1106">
        <w:rPr>
          <w:sz w:val="22"/>
          <w:szCs w:val="22"/>
        </w:rPr>
        <w:t xml:space="preserve"> submission</w:t>
      </w:r>
    </w:p>
    <w:p w:rsidR="00577406" w:rsidRDefault="00577406" w:rsidP="00577406">
      <w:pPr>
        <w:rPr>
          <w:rFonts w:cs="Arial"/>
        </w:rPr>
      </w:pPr>
      <w:r>
        <w:rPr>
          <w:rFonts w:cs="Arial"/>
        </w:rPr>
        <w:t>Conversely</w:t>
      </w:r>
      <w:r w:rsidRPr="00CC07D6">
        <w:rPr>
          <w:rFonts w:cs="Arial"/>
        </w:rPr>
        <w:t xml:space="preserve">, </w:t>
      </w:r>
      <w:r w:rsidR="000B3124">
        <w:rPr>
          <w:rFonts w:cs="Arial"/>
        </w:rPr>
        <w:t>submissions from some</w:t>
      </w:r>
      <w:r>
        <w:rPr>
          <w:rFonts w:cs="Arial"/>
        </w:rPr>
        <w:t xml:space="preserve"> religious organisations </w:t>
      </w:r>
      <w:r w:rsidR="00C956F3">
        <w:rPr>
          <w:rFonts w:cs="Arial"/>
        </w:rPr>
        <w:t>argued</w:t>
      </w:r>
      <w:r>
        <w:rPr>
          <w:rFonts w:cs="Arial"/>
        </w:rPr>
        <w:t xml:space="preserve"> that anti-discrimination laws encroach on f</w:t>
      </w:r>
      <w:r w:rsidR="00C47BF4">
        <w:rPr>
          <w:rFonts w:cs="Arial"/>
        </w:rPr>
        <w:t xml:space="preserve">reedom of religion. The </w:t>
      </w:r>
      <w:r w:rsidR="00C47BF4" w:rsidRPr="00CC07D6">
        <w:rPr>
          <w:rFonts w:cs="Arial"/>
        </w:rPr>
        <w:t>A</w:t>
      </w:r>
      <w:r w:rsidR="001061E5">
        <w:rPr>
          <w:rFonts w:cs="Arial"/>
        </w:rPr>
        <w:t>CL</w:t>
      </w:r>
      <w:r w:rsidR="001B053E">
        <w:rPr>
          <w:rFonts w:cs="Arial"/>
        </w:rPr>
        <w:t xml:space="preserve"> asserted</w:t>
      </w:r>
      <w:r w:rsidR="00C47BF4">
        <w:rPr>
          <w:rFonts w:cs="Arial"/>
        </w:rPr>
        <w:t xml:space="preserve"> that:</w:t>
      </w:r>
    </w:p>
    <w:p w:rsidR="0023646B" w:rsidRPr="0023646B" w:rsidRDefault="0023646B" w:rsidP="0023646B">
      <w:pPr>
        <w:ind w:left="720"/>
        <w:rPr>
          <w:sz w:val="22"/>
          <w:szCs w:val="22"/>
          <w:lang w:val="en-US"/>
        </w:rPr>
      </w:pPr>
      <w:r w:rsidRPr="009A78A1">
        <w:rPr>
          <w:i/>
          <w:sz w:val="22"/>
          <w:szCs w:val="22"/>
          <w:lang w:val="en-US"/>
        </w:rPr>
        <w:t>Because a hierarchy of rights is not widely recognized or defined in Australia, it is increasingly the case that conflicts are resolved at the expense of fundamental rights such as religion, conscience, speech and association</w:t>
      </w:r>
      <w:r>
        <w:rPr>
          <w:i/>
          <w:sz w:val="22"/>
          <w:szCs w:val="22"/>
          <w:lang w:val="en-US"/>
        </w:rPr>
        <w:t>…</w:t>
      </w:r>
    </w:p>
    <w:p w:rsidR="00C47BF4" w:rsidRPr="00C47BF4" w:rsidRDefault="00C47BF4" w:rsidP="00C47BF4">
      <w:pPr>
        <w:ind w:left="720"/>
        <w:rPr>
          <w:rFonts w:cs="Arial"/>
          <w:sz w:val="22"/>
          <w:szCs w:val="22"/>
        </w:rPr>
      </w:pPr>
      <w:r w:rsidRPr="00C47BF4">
        <w:rPr>
          <w:rFonts w:cs="Arial"/>
          <w:i/>
          <w:sz w:val="22"/>
          <w:szCs w:val="22"/>
        </w:rPr>
        <w:t>Without adequate safeguards [anti-discrimination law] can result in the right to non-discrimination trumping other fundamental rights, including freedom of religion and freedom of speech.</w:t>
      </w:r>
      <w:r w:rsidR="001C27A3">
        <w:rPr>
          <w:rFonts w:cs="Arial"/>
          <w:sz w:val="22"/>
          <w:szCs w:val="22"/>
        </w:rPr>
        <w:t xml:space="preserve"> ACL</w:t>
      </w:r>
      <w:r w:rsidRPr="00C47BF4">
        <w:rPr>
          <w:rFonts w:cs="Arial"/>
          <w:sz w:val="22"/>
          <w:szCs w:val="22"/>
        </w:rPr>
        <w:t xml:space="preserve"> submission</w:t>
      </w:r>
    </w:p>
    <w:p w:rsidR="008A2DDD" w:rsidRDefault="0052777D" w:rsidP="00CF6FFF">
      <w:pPr>
        <w:rPr>
          <w:rFonts w:cs="Arial"/>
        </w:rPr>
      </w:pPr>
      <w:r>
        <w:rPr>
          <w:rFonts w:cs="Arial"/>
        </w:rPr>
        <w:t>FamilyVoice Australia submitted</w:t>
      </w:r>
      <w:r w:rsidR="00577406" w:rsidRPr="00CC07D6">
        <w:rPr>
          <w:rFonts w:cs="Arial"/>
        </w:rPr>
        <w:t xml:space="preserve"> that religious exemptions i</w:t>
      </w:r>
      <w:r w:rsidR="006F3AC4">
        <w:rPr>
          <w:rFonts w:cs="Arial"/>
        </w:rPr>
        <w:t xml:space="preserve">n anti-discrimination laws are </w:t>
      </w:r>
      <w:r w:rsidR="004942F4">
        <w:rPr>
          <w:rFonts w:cs="Arial"/>
        </w:rPr>
        <w:t>‘</w:t>
      </w:r>
      <w:r w:rsidR="006F3AC4">
        <w:rPr>
          <w:rFonts w:cs="Arial"/>
        </w:rPr>
        <w:t>limited</w:t>
      </w:r>
      <w:r w:rsidR="004942F4">
        <w:rPr>
          <w:rFonts w:cs="Arial"/>
        </w:rPr>
        <w:t xml:space="preserve">’ and </w:t>
      </w:r>
      <w:r w:rsidR="00577406" w:rsidRPr="00CC07D6">
        <w:rPr>
          <w:rFonts w:cs="Arial"/>
        </w:rPr>
        <w:t xml:space="preserve">have </w:t>
      </w:r>
      <w:r w:rsidR="00897089">
        <w:rPr>
          <w:rFonts w:cs="Arial"/>
        </w:rPr>
        <w:t>not</w:t>
      </w:r>
      <w:r w:rsidR="004942F4">
        <w:rPr>
          <w:rFonts w:cs="Arial"/>
        </w:rPr>
        <w:t xml:space="preserve"> protect</w:t>
      </w:r>
      <w:r w:rsidR="00897089">
        <w:rPr>
          <w:rFonts w:cs="Arial"/>
        </w:rPr>
        <w:t>ed</w:t>
      </w:r>
      <w:r w:rsidR="004942F4">
        <w:rPr>
          <w:rFonts w:cs="Arial"/>
        </w:rPr>
        <w:t xml:space="preserve"> religious organisations</w:t>
      </w:r>
      <w:r w:rsidR="00774C0A">
        <w:rPr>
          <w:rFonts w:cs="Arial"/>
        </w:rPr>
        <w:t xml:space="preserve"> from the cost and disruption</w:t>
      </w:r>
      <w:r w:rsidR="00577406" w:rsidRPr="00CC07D6">
        <w:rPr>
          <w:rFonts w:cs="Arial"/>
        </w:rPr>
        <w:t xml:space="preserve"> involved in dealing with complaints of discrimination</w:t>
      </w:r>
      <w:r w:rsidR="00E02B90">
        <w:rPr>
          <w:rFonts w:cs="Arial"/>
        </w:rPr>
        <w:t>.</w:t>
      </w:r>
    </w:p>
    <w:p w:rsidR="004C080A" w:rsidRDefault="008E4E47" w:rsidP="004C080A">
      <w:pPr>
        <w:rPr>
          <w:rFonts w:cs="Arial"/>
        </w:rPr>
      </w:pPr>
      <w:r>
        <w:rPr>
          <w:rFonts w:cs="Arial"/>
        </w:rPr>
        <w:t xml:space="preserve">Others argue that a balance of the competing </w:t>
      </w:r>
      <w:r w:rsidR="00491F3F">
        <w:rPr>
          <w:rFonts w:cs="Arial"/>
        </w:rPr>
        <w:t xml:space="preserve">rights to freedom of religion and freedom from discrimination </w:t>
      </w:r>
      <w:r w:rsidR="003249DD">
        <w:rPr>
          <w:rFonts w:cs="Arial"/>
        </w:rPr>
        <w:t>reflec</w:t>
      </w:r>
      <w:r w:rsidR="004C080A">
        <w:rPr>
          <w:rFonts w:cs="Arial"/>
        </w:rPr>
        <w:t>ts the responsible exercise of the right to freedom of religion:</w:t>
      </w:r>
    </w:p>
    <w:p w:rsidR="004C080A" w:rsidRDefault="004C080A" w:rsidP="004C080A">
      <w:pPr>
        <w:pStyle w:val="SubmissionNormal"/>
        <w:numPr>
          <w:ilvl w:val="0"/>
          <w:numId w:val="0"/>
        </w:numPr>
        <w:ind w:left="720"/>
        <w:rPr>
          <w:sz w:val="22"/>
          <w:szCs w:val="22"/>
          <w:lang w:val="en-US"/>
        </w:rPr>
      </w:pPr>
      <w:r w:rsidRPr="00DE6097">
        <w:rPr>
          <w:i/>
          <w:sz w:val="22"/>
          <w:szCs w:val="22"/>
          <w:lang w:val="en-US"/>
        </w:rPr>
        <w:t>A freedom of religious expression and respect for ethno-religious or religious affinity does not mean a freedom from scrutiny and freedom from responsibility.</w:t>
      </w:r>
      <w:r>
        <w:rPr>
          <w:sz w:val="22"/>
          <w:szCs w:val="22"/>
          <w:lang w:val="en-US"/>
        </w:rPr>
        <w:t xml:space="preserve"> Bruce Arnold and Susan Priest submission</w:t>
      </w:r>
    </w:p>
    <w:p w:rsidR="004C080A" w:rsidRPr="00482B71" w:rsidRDefault="004C080A" w:rsidP="00482B71">
      <w:pPr>
        <w:pStyle w:val="SubmissionNormal"/>
        <w:numPr>
          <w:ilvl w:val="0"/>
          <w:numId w:val="0"/>
        </w:numPr>
        <w:ind w:left="720"/>
        <w:rPr>
          <w:sz w:val="22"/>
          <w:szCs w:val="22"/>
          <w:lang w:val="en-US"/>
        </w:rPr>
      </w:pPr>
      <w:r w:rsidRPr="00E16517">
        <w:rPr>
          <w:i/>
          <w:sz w:val="22"/>
          <w:szCs w:val="22"/>
          <w:lang w:val="en-US"/>
        </w:rPr>
        <w:t>The enjoyment of a freedom should never be used to justify unacceptable discrimination. In return for being allowed to discriminate broadly against employees and students, religious educational institutions need to take seriously their responsibility not to do so unless absolutely necessary…</w:t>
      </w:r>
      <w:r>
        <w:rPr>
          <w:sz w:val="22"/>
          <w:szCs w:val="22"/>
          <w:lang w:val="en-US"/>
        </w:rPr>
        <w:t xml:space="preserve"> WA Commissioner for Equal Opportunity submission</w:t>
      </w:r>
    </w:p>
    <w:p w:rsidR="00E02B90" w:rsidRPr="009C770E" w:rsidRDefault="00E02B90" w:rsidP="00E02B90">
      <w:pPr>
        <w:pStyle w:val="Heading4"/>
        <w:numPr>
          <w:ilvl w:val="0"/>
          <w:numId w:val="0"/>
        </w:numPr>
        <w:ind w:left="851" w:hanging="851"/>
        <w:rPr>
          <w:i/>
        </w:rPr>
      </w:pPr>
      <w:bookmarkStart w:id="202" w:name="_Toc413932278"/>
      <w:r w:rsidRPr="009C770E">
        <w:rPr>
          <w:i/>
        </w:rPr>
        <w:t>Government funding for religious organisations</w:t>
      </w:r>
      <w:bookmarkEnd w:id="202"/>
    </w:p>
    <w:p w:rsidR="00E02B90" w:rsidRDefault="00E263F2" w:rsidP="00E02B90">
      <w:pPr>
        <w:rPr>
          <w:rFonts w:cs="Arial"/>
        </w:rPr>
      </w:pPr>
      <w:r>
        <w:rPr>
          <w:rFonts w:cs="Arial"/>
        </w:rPr>
        <w:t>The interaction between anti-discrimination laws and religious freedom was also raised during the consultation in relation to government funding religious organisations to provide services:</w:t>
      </w:r>
    </w:p>
    <w:p w:rsidR="00E263F2" w:rsidRDefault="00E263F2" w:rsidP="00E263F2">
      <w:pPr>
        <w:autoSpaceDE w:val="0"/>
        <w:autoSpaceDN w:val="0"/>
        <w:adjustRightInd w:val="0"/>
        <w:spacing w:before="0" w:after="0"/>
        <w:ind w:left="720"/>
        <w:rPr>
          <w:rFonts w:cs="Arial"/>
          <w:sz w:val="22"/>
          <w:szCs w:val="22"/>
        </w:rPr>
      </w:pPr>
      <w:r w:rsidRPr="003C2259">
        <w:rPr>
          <w:rFonts w:cs="Arial"/>
          <w:i/>
          <w:sz w:val="22"/>
          <w:szCs w:val="22"/>
        </w:rPr>
        <w:t>Religious organisations play a large and important role in public life in Australia; for example, in the provision of education, aged care and other services. The extent to which they are allowed to discriminate affects a significant number of people, including potential and existing employees and recipients of these services. PIAC believes that in this context, particularly where in receipt of public funding and where performing a service on behalf of government, religious organisations should not be permitted to discriminate in a way that would otherwise be unlawful. The wide-ranging permanent exceptions for religious organisations in federal anti-discrimination law allow for on-going discrimination in this context. Blanket religious exception from anti-discrimination law also means that in many cases the right of individuals is not properly considered vis-à-vis the right to freedom of religion.</w:t>
      </w:r>
      <w:r>
        <w:rPr>
          <w:rFonts w:cs="Arial"/>
          <w:i/>
          <w:sz w:val="22"/>
          <w:szCs w:val="22"/>
        </w:rPr>
        <w:t xml:space="preserve"> </w:t>
      </w:r>
      <w:r>
        <w:rPr>
          <w:rFonts w:cs="Arial"/>
          <w:sz w:val="22"/>
          <w:szCs w:val="22"/>
        </w:rPr>
        <w:t>Public Interest Advocacy Centre</w:t>
      </w:r>
      <w:r w:rsidR="006E29B7">
        <w:rPr>
          <w:rFonts w:cs="Arial"/>
          <w:sz w:val="22"/>
          <w:szCs w:val="22"/>
        </w:rPr>
        <w:t xml:space="preserve"> submission</w:t>
      </w:r>
    </w:p>
    <w:p w:rsidR="0072243A" w:rsidRDefault="0072243A" w:rsidP="00E263F2">
      <w:pPr>
        <w:autoSpaceDE w:val="0"/>
        <w:autoSpaceDN w:val="0"/>
        <w:adjustRightInd w:val="0"/>
        <w:spacing w:before="0" w:after="0"/>
        <w:ind w:left="720"/>
        <w:rPr>
          <w:rFonts w:cs="Arial"/>
          <w:sz w:val="22"/>
          <w:szCs w:val="22"/>
        </w:rPr>
      </w:pPr>
    </w:p>
    <w:p w:rsidR="0072243A" w:rsidRPr="00996EAA" w:rsidRDefault="0072243A" w:rsidP="00E263F2">
      <w:pPr>
        <w:autoSpaceDE w:val="0"/>
        <w:autoSpaceDN w:val="0"/>
        <w:adjustRightInd w:val="0"/>
        <w:spacing w:before="0" w:after="0"/>
        <w:ind w:left="720"/>
        <w:rPr>
          <w:rFonts w:cs="Arial"/>
          <w:sz w:val="22"/>
          <w:szCs w:val="22"/>
        </w:rPr>
      </w:pPr>
      <w:r w:rsidRPr="0072243A">
        <w:rPr>
          <w:rFonts w:cs="Arial"/>
          <w:i/>
          <w:sz w:val="22"/>
          <w:szCs w:val="22"/>
        </w:rPr>
        <w:t>By allowing publically funded organisations to discriminate against certain groups, the Government sends a message that discrimination is acceptable in our community. This has the effect of entrenching systemic discrimination against vulnerable groups in our society.</w:t>
      </w:r>
      <w:r>
        <w:rPr>
          <w:rFonts w:cs="Arial"/>
          <w:sz w:val="22"/>
          <w:szCs w:val="22"/>
        </w:rPr>
        <w:t xml:space="preserve"> Kingsford Legal Centre, University of New South Wales submission</w:t>
      </w:r>
    </w:p>
    <w:p w:rsidR="00E02B90" w:rsidRPr="00E02B90" w:rsidRDefault="00DE5B22" w:rsidP="00E02B90">
      <w:pPr>
        <w:rPr>
          <w:rFonts w:cs="Arial"/>
        </w:rPr>
      </w:pPr>
      <w:r>
        <w:rPr>
          <w:rFonts w:cs="Arial"/>
        </w:rPr>
        <w:t xml:space="preserve">A particular concern raised in almost all public meetings was about the government funding of the </w:t>
      </w:r>
      <w:r w:rsidR="00E02B90">
        <w:rPr>
          <w:rFonts w:cs="Arial"/>
        </w:rPr>
        <w:t>National School Chaplaincy Program</w:t>
      </w:r>
      <w:r w:rsidR="00872B29">
        <w:rPr>
          <w:rFonts w:cs="Arial"/>
        </w:rPr>
        <w:t>.</w:t>
      </w:r>
      <w:r w:rsidR="00E02B90">
        <w:rPr>
          <w:rStyle w:val="EndnoteReference"/>
          <w:rFonts w:cs="Arial"/>
        </w:rPr>
        <w:endnoteReference w:id="34"/>
      </w:r>
      <w:r>
        <w:rPr>
          <w:lang w:val="en-US"/>
        </w:rPr>
        <w:t xml:space="preserve"> </w:t>
      </w:r>
      <w:r w:rsidR="001B27CA">
        <w:rPr>
          <w:lang w:val="en-US"/>
        </w:rPr>
        <w:t>While t</w:t>
      </w:r>
      <w:r w:rsidR="006B1A7A">
        <w:rPr>
          <w:lang w:val="en-US"/>
        </w:rPr>
        <w:t xml:space="preserve">here was </w:t>
      </w:r>
      <w:r w:rsidR="001B27CA">
        <w:rPr>
          <w:lang w:val="en-US"/>
        </w:rPr>
        <w:t xml:space="preserve">general </w:t>
      </w:r>
      <w:r w:rsidR="006B1A7A">
        <w:rPr>
          <w:lang w:val="en-US"/>
        </w:rPr>
        <w:t xml:space="preserve">acknowledgement that </w:t>
      </w:r>
      <w:r w:rsidR="00D652A7">
        <w:rPr>
          <w:lang w:val="en-US"/>
        </w:rPr>
        <w:t xml:space="preserve">the </w:t>
      </w:r>
      <w:r w:rsidR="00872B29">
        <w:rPr>
          <w:lang w:val="en-US"/>
        </w:rPr>
        <w:t xml:space="preserve">practice of the Program varied between schools, </w:t>
      </w:r>
      <w:r w:rsidR="00D652A7">
        <w:rPr>
          <w:lang w:val="en-US"/>
        </w:rPr>
        <w:t xml:space="preserve">the issue was about </w:t>
      </w:r>
      <w:r w:rsidR="00872B29">
        <w:rPr>
          <w:lang w:val="en-US"/>
        </w:rPr>
        <w:t>the implications of governm</w:t>
      </w:r>
      <w:r w:rsidR="00D652A7">
        <w:rPr>
          <w:lang w:val="en-US"/>
        </w:rPr>
        <w:t>ent pay</w:t>
      </w:r>
      <w:r w:rsidR="00872B29">
        <w:rPr>
          <w:lang w:val="en-US"/>
        </w:rPr>
        <w:t xml:space="preserve">ing religious </w:t>
      </w:r>
      <w:r w:rsidR="00872B29" w:rsidRPr="00872B29">
        <w:t>organisations</w:t>
      </w:r>
      <w:r w:rsidR="00872B29">
        <w:rPr>
          <w:lang w:val="en-US"/>
        </w:rPr>
        <w:t xml:space="preserve"> to provide </w:t>
      </w:r>
      <w:r w:rsidR="008E4E47">
        <w:rPr>
          <w:lang w:val="en-US"/>
        </w:rPr>
        <w:t xml:space="preserve">chaplaincy </w:t>
      </w:r>
      <w:r w:rsidR="00D652A7">
        <w:rPr>
          <w:lang w:val="en-US"/>
        </w:rPr>
        <w:t>services in</w:t>
      </w:r>
      <w:r w:rsidR="00872B29">
        <w:rPr>
          <w:lang w:val="en-US"/>
        </w:rPr>
        <w:t xml:space="preserve"> public </w:t>
      </w:r>
      <w:r w:rsidR="001061E5">
        <w:rPr>
          <w:lang w:val="en-US"/>
        </w:rPr>
        <w:t>schools that w</w:t>
      </w:r>
      <w:r w:rsidR="00D652A7">
        <w:rPr>
          <w:lang w:val="en-US"/>
        </w:rPr>
        <w:t>ould otherwise be provided free at a place of worship</w:t>
      </w:r>
      <w:r w:rsidR="00E02B90">
        <w:rPr>
          <w:lang w:val="en-US"/>
        </w:rPr>
        <w:t xml:space="preserve">: </w:t>
      </w:r>
    </w:p>
    <w:p w:rsidR="00E02B90" w:rsidRDefault="00E02B90" w:rsidP="00E02B90">
      <w:pPr>
        <w:pStyle w:val="ListParagraph"/>
        <w:autoSpaceDE w:val="0"/>
        <w:autoSpaceDN w:val="0"/>
        <w:adjustRightInd w:val="0"/>
        <w:spacing w:before="0" w:after="0"/>
        <w:ind w:left="644"/>
        <w:rPr>
          <w:sz w:val="22"/>
          <w:szCs w:val="22"/>
        </w:rPr>
      </w:pPr>
      <w:r w:rsidRPr="00A92D32">
        <w:rPr>
          <w:i/>
          <w:sz w:val="22"/>
          <w:szCs w:val="22"/>
        </w:rPr>
        <w:t xml:space="preserve">The </w:t>
      </w:r>
      <w:r w:rsidRPr="00A92D32">
        <w:rPr>
          <w:rFonts w:cs="Arial"/>
          <w:i/>
          <w:sz w:val="22"/>
          <w:szCs w:val="22"/>
        </w:rPr>
        <w:t>chaplaincy</w:t>
      </w:r>
      <w:r w:rsidR="00DE5B22">
        <w:rPr>
          <w:i/>
          <w:sz w:val="22"/>
          <w:szCs w:val="22"/>
        </w:rPr>
        <w:t xml:space="preserve"> program</w:t>
      </w:r>
      <w:r w:rsidR="005B7348">
        <w:rPr>
          <w:i/>
          <w:sz w:val="22"/>
          <w:szCs w:val="22"/>
        </w:rPr>
        <w:t xml:space="preserve"> </w:t>
      </w:r>
      <w:r w:rsidR="00DE5B22">
        <w:rPr>
          <w:i/>
          <w:sz w:val="22"/>
          <w:szCs w:val="22"/>
        </w:rPr>
        <w:t>…</w:t>
      </w:r>
      <w:r w:rsidR="005B7348">
        <w:rPr>
          <w:i/>
          <w:sz w:val="22"/>
          <w:szCs w:val="22"/>
        </w:rPr>
        <w:t xml:space="preserve"> </w:t>
      </w:r>
      <w:r w:rsidR="00DE5B22">
        <w:rPr>
          <w:i/>
          <w:sz w:val="22"/>
          <w:szCs w:val="22"/>
        </w:rPr>
        <w:t>restricts</w:t>
      </w:r>
      <w:r w:rsidRPr="00A92D32">
        <w:rPr>
          <w:i/>
          <w:sz w:val="22"/>
          <w:szCs w:val="22"/>
        </w:rPr>
        <w:t xml:space="preserve"> freedom FROM religion. A democratic government should be secular yet it has imposed a religious preference on all children regardless of their background. </w:t>
      </w:r>
      <w:r>
        <w:rPr>
          <w:sz w:val="22"/>
          <w:szCs w:val="22"/>
        </w:rPr>
        <w:t xml:space="preserve">Online survey </w:t>
      </w:r>
      <w:r w:rsidR="002867E4">
        <w:rPr>
          <w:sz w:val="22"/>
          <w:szCs w:val="22"/>
        </w:rPr>
        <w:t xml:space="preserve">response </w:t>
      </w:r>
      <w:r>
        <w:rPr>
          <w:sz w:val="22"/>
          <w:szCs w:val="22"/>
        </w:rPr>
        <w:t>[emphasis in original]</w:t>
      </w:r>
    </w:p>
    <w:p w:rsidR="00E02B90" w:rsidRPr="008B648C" w:rsidRDefault="00E02B90" w:rsidP="00E02B90">
      <w:pPr>
        <w:pStyle w:val="ListParagraph"/>
        <w:autoSpaceDE w:val="0"/>
        <w:autoSpaceDN w:val="0"/>
        <w:adjustRightInd w:val="0"/>
        <w:spacing w:before="0" w:after="0"/>
        <w:ind w:left="0"/>
        <w:rPr>
          <w:sz w:val="22"/>
          <w:szCs w:val="22"/>
        </w:rPr>
      </w:pPr>
    </w:p>
    <w:p w:rsidR="00C66B70" w:rsidRDefault="00E02B90" w:rsidP="00C66B70">
      <w:pPr>
        <w:pStyle w:val="ListParagraph"/>
        <w:autoSpaceDE w:val="0"/>
        <w:autoSpaceDN w:val="0"/>
        <w:adjustRightInd w:val="0"/>
        <w:spacing w:before="0" w:after="0"/>
        <w:ind w:left="644"/>
        <w:rPr>
          <w:sz w:val="22"/>
          <w:szCs w:val="22"/>
          <w:lang w:val="en-US"/>
        </w:rPr>
      </w:pPr>
      <w:r w:rsidRPr="00B500A0">
        <w:rPr>
          <w:i/>
          <w:sz w:val="22"/>
          <w:szCs w:val="22"/>
          <w:lang w:val="en-US"/>
        </w:rPr>
        <w:t xml:space="preserve">Harm is caused when the State supports one form of religious expression over </w:t>
      </w:r>
      <w:r w:rsidRPr="008B648C">
        <w:rPr>
          <w:i/>
          <w:sz w:val="22"/>
          <w:szCs w:val="22"/>
        </w:rPr>
        <w:t>another</w:t>
      </w:r>
      <w:r w:rsidRPr="00B500A0">
        <w:rPr>
          <w:i/>
          <w:sz w:val="22"/>
          <w:szCs w:val="22"/>
          <w:lang w:val="en-US"/>
        </w:rPr>
        <w:t xml:space="preserve"> and when the State provides more </w:t>
      </w:r>
      <w:r w:rsidRPr="00B500A0">
        <w:rPr>
          <w:i/>
          <w:sz w:val="22"/>
          <w:szCs w:val="22"/>
        </w:rPr>
        <w:t>favourable</w:t>
      </w:r>
      <w:r w:rsidRPr="00B500A0">
        <w:rPr>
          <w:i/>
          <w:sz w:val="22"/>
          <w:szCs w:val="22"/>
          <w:lang w:val="en-US"/>
        </w:rPr>
        <w:t xml:space="preserve"> treatment to one form of religious expression over another. </w:t>
      </w:r>
      <w:r w:rsidRPr="00B500A0">
        <w:rPr>
          <w:sz w:val="22"/>
          <w:szCs w:val="22"/>
          <w:lang w:val="en-US"/>
        </w:rPr>
        <w:t>Rationalist Society of Australia</w:t>
      </w:r>
      <w:r>
        <w:rPr>
          <w:sz w:val="22"/>
          <w:szCs w:val="22"/>
          <w:lang w:val="en-US"/>
        </w:rPr>
        <w:t xml:space="preserve"> submission</w:t>
      </w:r>
    </w:p>
    <w:p w:rsidR="000077B7" w:rsidRDefault="00C66B70" w:rsidP="00C66B70">
      <w:pPr>
        <w:rPr>
          <w:iCs/>
          <w:szCs w:val="26"/>
          <w:lang w:val="en-US"/>
        </w:rPr>
      </w:pPr>
      <w:r w:rsidRPr="00C66B70">
        <w:rPr>
          <w:lang w:val="en-US"/>
        </w:rPr>
        <w:t>These</w:t>
      </w:r>
      <w:r>
        <w:rPr>
          <w:iCs/>
          <w:szCs w:val="26"/>
          <w:lang w:val="en-US"/>
        </w:rPr>
        <w:t xml:space="preserve"> concerns </w:t>
      </w:r>
      <w:r w:rsidR="00852D50">
        <w:rPr>
          <w:iCs/>
          <w:szCs w:val="26"/>
          <w:lang w:val="en-US"/>
        </w:rPr>
        <w:t>also raise</w:t>
      </w:r>
      <w:r w:rsidR="007A355D">
        <w:rPr>
          <w:iCs/>
          <w:szCs w:val="26"/>
          <w:lang w:val="en-US"/>
        </w:rPr>
        <w:t>d</w:t>
      </w:r>
      <w:r w:rsidR="00852D50">
        <w:rPr>
          <w:iCs/>
          <w:szCs w:val="26"/>
          <w:lang w:val="en-US"/>
        </w:rPr>
        <w:t xml:space="preserve"> questions</w:t>
      </w:r>
      <w:r w:rsidR="00CD6563">
        <w:rPr>
          <w:iCs/>
          <w:szCs w:val="26"/>
          <w:lang w:val="en-US"/>
        </w:rPr>
        <w:t xml:space="preserve"> about </w:t>
      </w:r>
      <w:r w:rsidR="00852D50">
        <w:rPr>
          <w:iCs/>
          <w:szCs w:val="26"/>
          <w:lang w:val="en-US"/>
        </w:rPr>
        <w:t>the</w:t>
      </w:r>
      <w:r w:rsidR="00CD6563">
        <w:rPr>
          <w:iCs/>
          <w:szCs w:val="26"/>
          <w:lang w:val="en-US"/>
        </w:rPr>
        <w:t xml:space="preserve"> </w:t>
      </w:r>
      <w:r w:rsidR="002117E4">
        <w:rPr>
          <w:iCs/>
          <w:szCs w:val="26"/>
          <w:lang w:val="en-US"/>
        </w:rPr>
        <w:t>extent</w:t>
      </w:r>
      <w:r w:rsidR="002117E4" w:rsidRPr="00C66B70">
        <w:rPr>
          <w:i/>
          <w:iCs/>
          <w:szCs w:val="26"/>
          <w:lang w:val="en-US"/>
        </w:rPr>
        <w:t xml:space="preserve"> </w:t>
      </w:r>
      <w:r w:rsidR="002117E4">
        <w:rPr>
          <w:iCs/>
          <w:szCs w:val="26"/>
          <w:lang w:val="en-US"/>
        </w:rPr>
        <w:t xml:space="preserve">to which religious </w:t>
      </w:r>
      <w:r w:rsidR="002117E4" w:rsidRPr="00CD6563">
        <w:rPr>
          <w:iCs/>
          <w:szCs w:val="26"/>
        </w:rPr>
        <w:t>organisations</w:t>
      </w:r>
      <w:r w:rsidR="002117E4">
        <w:rPr>
          <w:iCs/>
          <w:szCs w:val="26"/>
          <w:lang w:val="en-US"/>
        </w:rPr>
        <w:t xml:space="preserve"> are able to enforce their beliefs when providing services that </w:t>
      </w:r>
      <w:r w:rsidR="0052777D">
        <w:rPr>
          <w:iCs/>
          <w:szCs w:val="26"/>
          <w:lang w:val="en-US"/>
        </w:rPr>
        <w:t xml:space="preserve">are </w:t>
      </w:r>
      <w:r w:rsidR="007A355D">
        <w:rPr>
          <w:iCs/>
          <w:szCs w:val="26"/>
          <w:lang w:val="en-US"/>
        </w:rPr>
        <w:t>funded by government</w:t>
      </w:r>
      <w:r w:rsidR="00852D50">
        <w:rPr>
          <w:iCs/>
          <w:szCs w:val="26"/>
          <w:lang w:val="en-US"/>
        </w:rPr>
        <w:t>.</w:t>
      </w:r>
      <w:r w:rsidR="007A355D">
        <w:rPr>
          <w:iCs/>
          <w:szCs w:val="26"/>
          <w:lang w:val="en-US"/>
        </w:rPr>
        <w:t xml:space="preserve"> </w:t>
      </w:r>
      <w:r w:rsidR="0052777D">
        <w:rPr>
          <w:iCs/>
          <w:szCs w:val="26"/>
          <w:lang w:val="en-US"/>
        </w:rPr>
        <w:t>Examples discussed included</w:t>
      </w:r>
      <w:r w:rsidR="002117E4">
        <w:rPr>
          <w:iCs/>
          <w:szCs w:val="26"/>
          <w:lang w:val="en-US"/>
        </w:rPr>
        <w:t xml:space="preserve"> whether</w:t>
      </w:r>
      <w:r w:rsidR="001D6EC5">
        <w:rPr>
          <w:iCs/>
          <w:szCs w:val="26"/>
          <w:lang w:val="en-US"/>
        </w:rPr>
        <w:t xml:space="preserve"> religious </w:t>
      </w:r>
      <w:r w:rsidR="001D6EC5" w:rsidRPr="001D6EC5">
        <w:rPr>
          <w:iCs/>
          <w:szCs w:val="26"/>
        </w:rPr>
        <w:t>organisation</w:t>
      </w:r>
      <w:r w:rsidR="00660994">
        <w:rPr>
          <w:iCs/>
          <w:szCs w:val="26"/>
        </w:rPr>
        <w:t>s</w:t>
      </w:r>
      <w:r w:rsidR="001D6EC5">
        <w:rPr>
          <w:iCs/>
          <w:szCs w:val="26"/>
          <w:lang w:val="en-US"/>
        </w:rPr>
        <w:t xml:space="preserve"> providing government funded education </w:t>
      </w:r>
      <w:r w:rsidR="00660994">
        <w:rPr>
          <w:iCs/>
          <w:szCs w:val="26"/>
          <w:lang w:val="en-US"/>
        </w:rPr>
        <w:t>and/</w:t>
      </w:r>
      <w:r w:rsidR="001D6EC5">
        <w:rPr>
          <w:iCs/>
          <w:szCs w:val="26"/>
          <w:lang w:val="en-US"/>
        </w:rPr>
        <w:t>or health services should be able to</w:t>
      </w:r>
      <w:r w:rsidR="000077B7">
        <w:rPr>
          <w:iCs/>
          <w:szCs w:val="26"/>
          <w:lang w:val="en-US"/>
        </w:rPr>
        <w:t>:</w:t>
      </w:r>
    </w:p>
    <w:p w:rsidR="001D6EC5" w:rsidRDefault="00660994" w:rsidP="008D3832">
      <w:pPr>
        <w:numPr>
          <w:ilvl w:val="0"/>
          <w:numId w:val="44"/>
        </w:numPr>
        <w:rPr>
          <w:iCs/>
          <w:szCs w:val="26"/>
          <w:lang w:val="en-US"/>
        </w:rPr>
      </w:pPr>
      <w:r>
        <w:rPr>
          <w:iCs/>
          <w:szCs w:val="26"/>
          <w:lang w:val="en-US"/>
        </w:rPr>
        <w:t xml:space="preserve">only </w:t>
      </w:r>
      <w:r w:rsidR="001D6EC5">
        <w:rPr>
          <w:iCs/>
          <w:szCs w:val="26"/>
          <w:lang w:val="en-US"/>
        </w:rPr>
        <w:t>employ</w:t>
      </w:r>
      <w:r w:rsidR="007A355D">
        <w:rPr>
          <w:iCs/>
          <w:szCs w:val="26"/>
          <w:lang w:val="en-US"/>
        </w:rPr>
        <w:t xml:space="preserve"> staff </w:t>
      </w:r>
      <w:r w:rsidR="001D6EC5">
        <w:rPr>
          <w:iCs/>
          <w:szCs w:val="26"/>
          <w:lang w:val="en-US"/>
        </w:rPr>
        <w:t>who adhere to the religious</w:t>
      </w:r>
      <w:r w:rsidR="007A355D">
        <w:rPr>
          <w:iCs/>
          <w:szCs w:val="26"/>
          <w:lang w:val="en-US"/>
        </w:rPr>
        <w:t xml:space="preserve"> beliefs</w:t>
      </w:r>
      <w:r w:rsidR="001D6EC5">
        <w:rPr>
          <w:iCs/>
          <w:szCs w:val="26"/>
          <w:lang w:val="en-US"/>
        </w:rPr>
        <w:t xml:space="preserve"> of the </w:t>
      </w:r>
      <w:r w:rsidR="001D6EC5" w:rsidRPr="001D6EC5">
        <w:rPr>
          <w:iCs/>
          <w:szCs w:val="26"/>
        </w:rPr>
        <w:t>organisation</w:t>
      </w:r>
    </w:p>
    <w:p w:rsidR="00C66B70" w:rsidRPr="00CD6563" w:rsidRDefault="001D6EC5" w:rsidP="008D3832">
      <w:pPr>
        <w:numPr>
          <w:ilvl w:val="0"/>
          <w:numId w:val="44"/>
        </w:numPr>
        <w:rPr>
          <w:iCs/>
          <w:szCs w:val="26"/>
          <w:lang w:val="en-US"/>
        </w:rPr>
      </w:pPr>
      <w:r>
        <w:rPr>
          <w:iCs/>
          <w:szCs w:val="26"/>
          <w:lang w:val="en-US"/>
        </w:rPr>
        <w:t>preference the provision of services to people of the religious faith.</w:t>
      </w:r>
    </w:p>
    <w:p w:rsidR="00952A22" w:rsidRPr="00952A22" w:rsidRDefault="00952A22" w:rsidP="00952A22">
      <w:pPr>
        <w:pStyle w:val="Heading4"/>
        <w:numPr>
          <w:ilvl w:val="0"/>
          <w:numId w:val="0"/>
        </w:numPr>
        <w:ind w:left="851" w:hanging="851"/>
        <w:rPr>
          <w:i/>
          <w:lang w:val="en-US"/>
        </w:rPr>
      </w:pPr>
      <w:bookmarkStart w:id="203" w:name="_Toc413932279"/>
      <w:r w:rsidRPr="00952A22">
        <w:rPr>
          <w:i/>
          <w:lang w:val="en-US"/>
        </w:rPr>
        <w:t>Religious freedom and equality before the law</w:t>
      </w:r>
      <w:bookmarkEnd w:id="203"/>
    </w:p>
    <w:p w:rsidR="00BA56C1" w:rsidRDefault="00BB6ADF" w:rsidP="00010954">
      <w:pPr>
        <w:rPr>
          <w:rFonts w:cs="Arial"/>
        </w:rPr>
      </w:pPr>
      <w:r>
        <w:rPr>
          <w:rFonts w:cs="Arial"/>
        </w:rPr>
        <w:t>Equality before the law is a fundamental principle of human rights.</w:t>
      </w:r>
      <w:r>
        <w:rPr>
          <w:rStyle w:val="EndnoteReference"/>
          <w:rFonts w:cs="Arial"/>
        </w:rPr>
        <w:endnoteReference w:id="35"/>
      </w:r>
      <w:r w:rsidR="00660994">
        <w:rPr>
          <w:rFonts w:cs="Arial"/>
        </w:rPr>
        <w:t xml:space="preserve"> I</w:t>
      </w:r>
      <w:r w:rsidR="00B85C5B">
        <w:rPr>
          <w:rFonts w:cs="Arial"/>
        </w:rPr>
        <w:t>n Australia</w:t>
      </w:r>
      <w:r w:rsidR="00010954">
        <w:rPr>
          <w:rFonts w:cs="Arial"/>
        </w:rPr>
        <w:t xml:space="preserve">, the </w:t>
      </w:r>
      <w:r w:rsidR="00010954" w:rsidRPr="00010954">
        <w:rPr>
          <w:rFonts w:cs="Arial"/>
          <w:i/>
        </w:rPr>
        <w:t>Marriage Act 1961</w:t>
      </w:r>
      <w:r w:rsidR="00010954">
        <w:rPr>
          <w:rFonts w:cs="Arial"/>
        </w:rPr>
        <w:t xml:space="preserve"> (Cth) </w:t>
      </w:r>
      <w:r w:rsidR="00660994">
        <w:rPr>
          <w:rFonts w:cs="Arial"/>
        </w:rPr>
        <w:t>defines</w:t>
      </w:r>
      <w:r w:rsidR="00BA56C1">
        <w:rPr>
          <w:rFonts w:cs="Arial"/>
        </w:rPr>
        <w:t xml:space="preserve"> marriage </w:t>
      </w:r>
      <w:r w:rsidR="003B0BD9">
        <w:rPr>
          <w:rFonts w:cs="Arial"/>
        </w:rPr>
        <w:t>as ‘the union of a man and woman’</w:t>
      </w:r>
      <w:r w:rsidR="00660994">
        <w:rPr>
          <w:rFonts w:cs="Arial"/>
        </w:rPr>
        <w:t>, which</w:t>
      </w:r>
      <w:r w:rsidR="001D6EC5">
        <w:rPr>
          <w:rFonts w:cs="Arial"/>
        </w:rPr>
        <w:t xml:space="preserve"> </w:t>
      </w:r>
      <w:r w:rsidR="00010954" w:rsidRPr="001D6EC5">
        <w:rPr>
          <w:rFonts w:cs="Arial"/>
        </w:rPr>
        <w:t>excludes same-sex couples and may also exclude people of intersex or diverse gender identity.</w:t>
      </w:r>
      <w:r w:rsidR="0030276F">
        <w:rPr>
          <w:rStyle w:val="EndnoteReference"/>
          <w:rFonts w:cs="Arial"/>
        </w:rPr>
        <w:endnoteReference w:id="36"/>
      </w:r>
    </w:p>
    <w:p w:rsidR="004667AF" w:rsidRDefault="004667AF" w:rsidP="00010954">
      <w:pPr>
        <w:rPr>
          <w:rFonts w:cs="Arial"/>
        </w:rPr>
      </w:pPr>
      <w:r>
        <w:rPr>
          <w:rFonts w:cs="Arial"/>
        </w:rPr>
        <w:t>A number of submissions highlighted the need for</w:t>
      </w:r>
      <w:r w:rsidR="00236526">
        <w:rPr>
          <w:rFonts w:cs="Arial"/>
        </w:rPr>
        <w:t xml:space="preserve"> legislative reform</w:t>
      </w:r>
      <w:r>
        <w:rPr>
          <w:rFonts w:cs="Arial"/>
        </w:rPr>
        <w:t>:</w:t>
      </w:r>
    </w:p>
    <w:p w:rsidR="00010954" w:rsidRPr="004667AF" w:rsidRDefault="0052777D" w:rsidP="004667AF">
      <w:pPr>
        <w:ind w:left="720"/>
        <w:rPr>
          <w:rFonts w:cs="Arial"/>
          <w:sz w:val="22"/>
          <w:szCs w:val="22"/>
        </w:rPr>
      </w:pPr>
      <w:r>
        <w:rPr>
          <w:rFonts w:cs="Arial"/>
          <w:i/>
          <w:sz w:val="22"/>
          <w:szCs w:val="22"/>
        </w:rPr>
        <w:t>…</w:t>
      </w:r>
      <w:r w:rsidR="005B7348">
        <w:rPr>
          <w:rFonts w:cs="Arial"/>
          <w:i/>
          <w:sz w:val="22"/>
          <w:szCs w:val="22"/>
        </w:rPr>
        <w:t xml:space="preserve"> </w:t>
      </w:r>
      <w:r>
        <w:rPr>
          <w:rFonts w:cs="Arial"/>
          <w:i/>
          <w:sz w:val="22"/>
          <w:szCs w:val="22"/>
        </w:rPr>
        <w:t>[T]</w:t>
      </w:r>
      <w:r w:rsidR="004667AF" w:rsidRPr="004667AF">
        <w:rPr>
          <w:rFonts w:cs="Arial"/>
          <w:i/>
          <w:sz w:val="22"/>
          <w:szCs w:val="22"/>
        </w:rPr>
        <w:t>o create marriage equality and bring an end to the discrimination currently faced by certain people in the community who would like to marry their partner, but are unable to do so simply because of their non-heterosexual status.</w:t>
      </w:r>
      <w:r w:rsidR="004667AF" w:rsidRPr="004667AF">
        <w:rPr>
          <w:rFonts w:cs="Arial"/>
          <w:sz w:val="22"/>
          <w:szCs w:val="22"/>
        </w:rPr>
        <w:t xml:space="preserve"> Law Council of Australia submission</w:t>
      </w:r>
    </w:p>
    <w:p w:rsidR="00BC4944" w:rsidRDefault="00236526" w:rsidP="00143362">
      <w:pPr>
        <w:rPr>
          <w:rFonts w:cs="Arial"/>
        </w:rPr>
      </w:pPr>
      <w:r>
        <w:rPr>
          <w:rFonts w:cs="Arial"/>
        </w:rPr>
        <w:t>During the c</w:t>
      </w:r>
      <w:r w:rsidR="0030276F">
        <w:rPr>
          <w:rFonts w:cs="Arial"/>
        </w:rPr>
        <w:t>onsultation, some members of religious organisations</w:t>
      </w:r>
      <w:r>
        <w:rPr>
          <w:rFonts w:cs="Arial"/>
        </w:rPr>
        <w:t xml:space="preserve"> articulated concerns about the consequences for religious freedom if the federal government legislates marriage for same-sex couples. </w:t>
      </w:r>
      <w:r w:rsidR="00D61774">
        <w:rPr>
          <w:rFonts w:cs="Arial"/>
        </w:rPr>
        <w:t>It is clear that a</w:t>
      </w:r>
      <w:r w:rsidR="00D971DE">
        <w:rPr>
          <w:rFonts w:cs="Arial"/>
        </w:rPr>
        <w:t>ny legislative reform needs to balance:</w:t>
      </w:r>
    </w:p>
    <w:p w:rsidR="00236526" w:rsidRDefault="00D3149B" w:rsidP="008D3832">
      <w:pPr>
        <w:numPr>
          <w:ilvl w:val="0"/>
          <w:numId w:val="40"/>
        </w:numPr>
        <w:rPr>
          <w:rFonts w:cs="Arial"/>
        </w:rPr>
      </w:pPr>
      <w:r w:rsidRPr="00D971DE">
        <w:rPr>
          <w:rFonts w:cs="Arial"/>
        </w:rPr>
        <w:t>equality before the law for same-sex couples to marry</w:t>
      </w:r>
      <w:r w:rsidR="00D971DE">
        <w:rPr>
          <w:rFonts w:cs="Arial"/>
        </w:rPr>
        <w:t>,</w:t>
      </w:r>
      <w:r w:rsidRPr="00D971DE">
        <w:rPr>
          <w:rFonts w:cs="Arial"/>
        </w:rPr>
        <w:t xml:space="preserve"> and </w:t>
      </w:r>
    </w:p>
    <w:p w:rsidR="00D971DE" w:rsidRDefault="009605F2" w:rsidP="008D3832">
      <w:pPr>
        <w:numPr>
          <w:ilvl w:val="0"/>
          <w:numId w:val="40"/>
        </w:numPr>
        <w:rPr>
          <w:rFonts w:cs="Arial"/>
        </w:rPr>
      </w:pPr>
      <w:r>
        <w:rPr>
          <w:rFonts w:cs="Arial"/>
        </w:rPr>
        <w:t xml:space="preserve">the </w:t>
      </w:r>
      <w:r w:rsidR="00D61774">
        <w:rPr>
          <w:rFonts w:cs="Arial"/>
        </w:rPr>
        <w:t xml:space="preserve">human </w:t>
      </w:r>
      <w:r>
        <w:rPr>
          <w:rFonts w:cs="Arial"/>
        </w:rPr>
        <w:t>right to freedom of religion.</w:t>
      </w:r>
    </w:p>
    <w:p w:rsidR="008E4E47" w:rsidRDefault="003A0C02" w:rsidP="008E4E47">
      <w:pPr>
        <w:rPr>
          <w:rFonts w:cs="Arial"/>
        </w:rPr>
      </w:pPr>
      <w:r>
        <w:rPr>
          <w:rFonts w:cs="Arial"/>
        </w:rPr>
        <w:lastRenderedPageBreak/>
        <w:t xml:space="preserve">Concerns were raised from </w:t>
      </w:r>
      <w:r w:rsidR="00665303">
        <w:rPr>
          <w:rFonts w:cs="Arial"/>
        </w:rPr>
        <w:t xml:space="preserve">various </w:t>
      </w:r>
      <w:r>
        <w:rPr>
          <w:rFonts w:cs="Arial"/>
        </w:rPr>
        <w:t>religious communities</w:t>
      </w:r>
      <w:r w:rsidR="008E4E47">
        <w:rPr>
          <w:rFonts w:cs="Arial"/>
        </w:rPr>
        <w:t xml:space="preserve"> that</w:t>
      </w:r>
      <w:r>
        <w:rPr>
          <w:rFonts w:cs="Arial"/>
        </w:rPr>
        <w:t>,</w:t>
      </w:r>
      <w:r w:rsidR="008E4E47">
        <w:rPr>
          <w:rFonts w:cs="Arial"/>
        </w:rPr>
        <w:t xml:space="preserve"> should marriage for same-sex couples be</w:t>
      </w:r>
      <w:r w:rsidR="00BE6C80">
        <w:rPr>
          <w:rFonts w:cs="Arial"/>
        </w:rPr>
        <w:t>come lawful</w:t>
      </w:r>
      <w:r>
        <w:rPr>
          <w:rFonts w:cs="Arial"/>
        </w:rPr>
        <w:t>,</w:t>
      </w:r>
      <w:r w:rsidR="00665303">
        <w:rPr>
          <w:rFonts w:cs="Arial"/>
        </w:rPr>
        <w:t xml:space="preserve"> some</w:t>
      </w:r>
      <w:r w:rsidR="008E4E47">
        <w:rPr>
          <w:rFonts w:cs="Arial"/>
        </w:rPr>
        <w:t xml:space="preserve"> people may be compelled to act in a manner inconsistent with their faith.</w:t>
      </w:r>
    </w:p>
    <w:p w:rsidR="008E4E47" w:rsidRPr="00D971DE" w:rsidRDefault="008E4E47" w:rsidP="003A0C02">
      <w:pPr>
        <w:rPr>
          <w:rFonts w:cs="Arial"/>
        </w:rPr>
      </w:pPr>
      <w:r>
        <w:rPr>
          <w:rFonts w:cs="Arial"/>
        </w:rPr>
        <w:t xml:space="preserve">As both the Human Rights Commissioner and the Commissioner responsible for SOGII, the future work of the Commissioner will involve on-going discussions with relevant people and organisations seeking to progress, amongst other relevant issues, equality before law for same-sex couples </w:t>
      </w:r>
      <w:r w:rsidRPr="007039F8">
        <w:rPr>
          <w:rFonts w:cs="Arial"/>
          <w:i/>
        </w:rPr>
        <w:t>and</w:t>
      </w:r>
      <w:r>
        <w:rPr>
          <w:rFonts w:cs="Arial"/>
        </w:rPr>
        <w:t xml:space="preserve"> advancing religious freedom.</w:t>
      </w:r>
    </w:p>
    <w:p w:rsidR="009C770E" w:rsidRPr="009C770E" w:rsidRDefault="009C770E" w:rsidP="001615B6">
      <w:pPr>
        <w:keepNext/>
        <w:autoSpaceDE w:val="0"/>
        <w:autoSpaceDN w:val="0"/>
        <w:adjustRightInd w:val="0"/>
        <w:spacing w:before="0" w:after="0"/>
        <w:rPr>
          <w:i/>
        </w:rPr>
      </w:pPr>
      <w:bookmarkStart w:id="204" w:name="_Toc413932280"/>
      <w:r w:rsidRPr="00D306EA">
        <w:rPr>
          <w:rStyle w:val="Heading4Char"/>
          <w:i/>
        </w:rPr>
        <w:t>Discrimination</w:t>
      </w:r>
      <w:bookmarkEnd w:id="204"/>
      <w:r w:rsidRPr="00D306EA">
        <w:rPr>
          <w:rStyle w:val="Heading4Char"/>
          <w:i/>
        </w:rPr>
        <w:t xml:space="preserve"> </w:t>
      </w:r>
      <w:r w:rsidRPr="009C770E">
        <w:rPr>
          <w:i/>
        </w:rPr>
        <w:t>on the basis of religio</w:t>
      </w:r>
      <w:r w:rsidR="0043351D">
        <w:rPr>
          <w:i/>
        </w:rPr>
        <w:t>n</w:t>
      </w:r>
    </w:p>
    <w:p w:rsidR="00920FD8" w:rsidRDefault="00CF6FFF" w:rsidP="00CF6FFF">
      <w:pPr>
        <w:rPr>
          <w:rFonts w:cs="Arial"/>
        </w:rPr>
      </w:pPr>
      <w:r w:rsidRPr="00CC07D6">
        <w:rPr>
          <w:rFonts w:cs="Arial"/>
        </w:rPr>
        <w:t xml:space="preserve">Several submissions </w:t>
      </w:r>
      <w:r w:rsidR="0005677D">
        <w:rPr>
          <w:rFonts w:cs="Arial"/>
        </w:rPr>
        <w:t>outl</w:t>
      </w:r>
      <w:r w:rsidR="00E65200">
        <w:rPr>
          <w:rFonts w:cs="Arial"/>
        </w:rPr>
        <w:t>ine</w:t>
      </w:r>
      <w:r w:rsidR="00DF515E">
        <w:rPr>
          <w:rFonts w:cs="Arial"/>
        </w:rPr>
        <w:t>d concerns about laws</w:t>
      </w:r>
      <w:r w:rsidR="0005677D">
        <w:rPr>
          <w:rFonts w:cs="Arial"/>
        </w:rPr>
        <w:t>, polici</w:t>
      </w:r>
      <w:r w:rsidR="00B746FA">
        <w:rPr>
          <w:rFonts w:cs="Arial"/>
        </w:rPr>
        <w:t xml:space="preserve">es and practices that have </w:t>
      </w:r>
      <w:r w:rsidR="00DF515E">
        <w:rPr>
          <w:rFonts w:cs="Arial"/>
        </w:rPr>
        <w:t>restricted</w:t>
      </w:r>
      <w:r w:rsidR="0005677D">
        <w:rPr>
          <w:rFonts w:cs="Arial"/>
        </w:rPr>
        <w:t xml:space="preserve"> freedom o</w:t>
      </w:r>
      <w:r w:rsidR="00B746FA">
        <w:rPr>
          <w:rFonts w:cs="Arial"/>
        </w:rPr>
        <w:t xml:space="preserve">f </w:t>
      </w:r>
      <w:r w:rsidR="001B27CA">
        <w:rPr>
          <w:rFonts w:cs="Arial"/>
        </w:rPr>
        <w:t>religious wors</w:t>
      </w:r>
      <w:r w:rsidR="00DF515E">
        <w:rPr>
          <w:rFonts w:cs="Arial"/>
        </w:rPr>
        <w:t>hip. A view was expressed that</w:t>
      </w:r>
      <w:r w:rsidR="00920FD8">
        <w:rPr>
          <w:rFonts w:cs="Arial"/>
        </w:rPr>
        <w:t>:</w:t>
      </w:r>
    </w:p>
    <w:p w:rsidR="00920FD8" w:rsidRPr="00920FD8" w:rsidRDefault="005B1CD8" w:rsidP="00920FD8">
      <w:pPr>
        <w:ind w:left="720"/>
        <w:rPr>
          <w:rFonts w:cs="Arial"/>
          <w:sz w:val="22"/>
          <w:szCs w:val="22"/>
        </w:rPr>
      </w:pPr>
      <w:r>
        <w:rPr>
          <w:rFonts w:cs="Arial"/>
          <w:i/>
          <w:sz w:val="22"/>
          <w:szCs w:val="22"/>
        </w:rPr>
        <w:t>…</w:t>
      </w:r>
      <w:r w:rsidR="005B7348">
        <w:rPr>
          <w:rFonts w:cs="Arial"/>
          <w:i/>
          <w:sz w:val="22"/>
          <w:szCs w:val="22"/>
        </w:rPr>
        <w:t xml:space="preserve"> </w:t>
      </w:r>
      <w:r>
        <w:rPr>
          <w:rFonts w:cs="Arial"/>
          <w:i/>
          <w:sz w:val="22"/>
          <w:szCs w:val="22"/>
        </w:rPr>
        <w:t>[F]</w:t>
      </w:r>
      <w:r w:rsidR="00920FD8" w:rsidRPr="00920FD8">
        <w:rPr>
          <w:rFonts w:cs="Arial"/>
          <w:i/>
          <w:sz w:val="22"/>
          <w:szCs w:val="22"/>
        </w:rPr>
        <w:t>ederal anti-terrorism and security laws introduced since 2001 have had a disproportionate and long-term discriminatory impact on Australia’s Islamic community.</w:t>
      </w:r>
      <w:r w:rsidR="00920FD8" w:rsidRPr="00920FD8">
        <w:rPr>
          <w:rFonts w:cs="Arial"/>
          <w:sz w:val="22"/>
          <w:szCs w:val="22"/>
        </w:rPr>
        <w:t xml:space="preserve"> UnitingJustice submission</w:t>
      </w:r>
    </w:p>
    <w:p w:rsidR="00DF515E" w:rsidRPr="00DA5597" w:rsidRDefault="00DA5597" w:rsidP="00CF6FFF">
      <w:pPr>
        <w:rPr>
          <w:rFonts w:cs="Arial"/>
        </w:rPr>
      </w:pPr>
      <w:r>
        <w:rPr>
          <w:rFonts w:cs="Arial"/>
        </w:rPr>
        <w:t>The particular impact of anti-terrorism laws on Muslim women is demonstrated by the ‘Ban the Burqa’ campaign</w:t>
      </w:r>
      <w:r w:rsidR="005F2097">
        <w:rPr>
          <w:rFonts w:cs="Arial"/>
        </w:rPr>
        <w:t xml:space="preserve"> in October 2014, which perpetuated</w:t>
      </w:r>
      <w:r w:rsidR="00AE5BDC">
        <w:rPr>
          <w:rFonts w:cs="Arial"/>
        </w:rPr>
        <w:t xml:space="preserve"> a</w:t>
      </w:r>
      <w:r w:rsidR="005B1CD8">
        <w:rPr>
          <w:rFonts w:cs="Arial"/>
        </w:rPr>
        <w:t xml:space="preserve">n assumption </w:t>
      </w:r>
      <w:r>
        <w:rPr>
          <w:rFonts w:cs="Arial"/>
        </w:rPr>
        <w:t xml:space="preserve">that Muslim women are potential terrorists. </w:t>
      </w:r>
      <w:r w:rsidR="00977533">
        <w:rPr>
          <w:rFonts w:cs="Arial"/>
        </w:rPr>
        <w:t>The effect of this on Muslim women was</w:t>
      </w:r>
      <w:r>
        <w:rPr>
          <w:rFonts w:cs="Arial"/>
        </w:rPr>
        <w:t xml:space="preserve"> </w:t>
      </w:r>
      <w:r w:rsidR="00DF515E">
        <w:rPr>
          <w:rFonts w:cs="Arial"/>
        </w:rPr>
        <w:t xml:space="preserve">articulated in the </w:t>
      </w:r>
      <w:r w:rsidR="00DF515E">
        <w:t>United Muslim Women’s Association’s submission:</w:t>
      </w:r>
    </w:p>
    <w:p w:rsidR="00152ABB" w:rsidRDefault="00DA5597" w:rsidP="00DA5597">
      <w:pPr>
        <w:ind w:left="720"/>
        <w:rPr>
          <w:i/>
          <w:sz w:val="22"/>
          <w:szCs w:val="22"/>
        </w:rPr>
      </w:pPr>
      <w:r>
        <w:rPr>
          <w:i/>
          <w:sz w:val="22"/>
          <w:szCs w:val="22"/>
        </w:rPr>
        <w:t>…</w:t>
      </w:r>
      <w:r w:rsidR="005B7348">
        <w:rPr>
          <w:i/>
          <w:sz w:val="22"/>
          <w:szCs w:val="22"/>
        </w:rPr>
        <w:t xml:space="preserve"> </w:t>
      </w:r>
      <w:r w:rsidR="005B1CD8">
        <w:rPr>
          <w:i/>
          <w:sz w:val="22"/>
          <w:szCs w:val="22"/>
        </w:rPr>
        <w:t>[D]</w:t>
      </w:r>
      <w:r w:rsidRPr="00A95B3E">
        <w:rPr>
          <w:i/>
          <w:sz w:val="22"/>
          <w:szCs w:val="22"/>
        </w:rPr>
        <w:t xml:space="preserve">iscrimination against Arab and Muslim Australians </w:t>
      </w:r>
      <w:r>
        <w:rPr>
          <w:i/>
          <w:sz w:val="22"/>
          <w:szCs w:val="22"/>
        </w:rPr>
        <w:t xml:space="preserve">[is] </w:t>
      </w:r>
      <w:r w:rsidRPr="00A95B3E">
        <w:rPr>
          <w:i/>
          <w:sz w:val="22"/>
          <w:szCs w:val="22"/>
        </w:rPr>
        <w:t>most intensely felt by women</w:t>
      </w:r>
      <w:r w:rsidR="005B7348">
        <w:rPr>
          <w:i/>
          <w:sz w:val="22"/>
          <w:szCs w:val="22"/>
        </w:rPr>
        <w:t xml:space="preserve"> </w:t>
      </w:r>
      <w:r w:rsidRPr="00A95B3E">
        <w:rPr>
          <w:i/>
          <w:sz w:val="22"/>
          <w:szCs w:val="22"/>
        </w:rPr>
        <w:t>…</w:t>
      </w:r>
      <w:r w:rsidR="005B7348">
        <w:rPr>
          <w:i/>
          <w:sz w:val="22"/>
          <w:szCs w:val="22"/>
        </w:rPr>
        <w:t xml:space="preserve"> </w:t>
      </w:r>
      <w:r w:rsidRPr="00A95B3E">
        <w:rPr>
          <w:i/>
          <w:sz w:val="22"/>
          <w:szCs w:val="22"/>
        </w:rPr>
        <w:t>due to the fact that Muslim women can easily be identified if they adhere to Islamic dress</w:t>
      </w:r>
      <w:r w:rsidR="00152ABB">
        <w:rPr>
          <w:i/>
          <w:sz w:val="22"/>
          <w:szCs w:val="22"/>
        </w:rPr>
        <w:t>.</w:t>
      </w:r>
    </w:p>
    <w:p w:rsidR="00DA5597" w:rsidRDefault="00977533" w:rsidP="00DA5597">
      <w:pPr>
        <w:ind w:left="720"/>
        <w:rPr>
          <w:i/>
          <w:sz w:val="22"/>
          <w:szCs w:val="22"/>
        </w:rPr>
      </w:pPr>
      <w:r>
        <w:rPr>
          <w:i/>
          <w:sz w:val="22"/>
          <w:szCs w:val="22"/>
        </w:rPr>
        <w:t>…</w:t>
      </w:r>
    </w:p>
    <w:p w:rsidR="00343468" w:rsidRPr="00AE5BDC" w:rsidRDefault="00343468" w:rsidP="00A95B3E">
      <w:pPr>
        <w:pStyle w:val="CommentText"/>
        <w:ind w:left="720"/>
        <w:rPr>
          <w:i/>
          <w:sz w:val="22"/>
          <w:szCs w:val="22"/>
        </w:rPr>
      </w:pPr>
      <w:r w:rsidRPr="00AE5BDC">
        <w:rPr>
          <w:i/>
          <w:sz w:val="22"/>
          <w:szCs w:val="22"/>
        </w:rPr>
        <w:t>We are concerned that the rhetoric in public discourse and call for prohibitions against Muslim women’s dress is impinging on a Muslim woman’s right to freedom of religion. We are also concerned that fear in relation to safety concerns as a result of such treatment will further compromise the right to freedom of movement for Muslim women…</w:t>
      </w:r>
      <w:r w:rsidR="00AE5BDC" w:rsidRPr="00AE5BDC">
        <w:rPr>
          <w:i/>
          <w:sz w:val="22"/>
          <w:szCs w:val="22"/>
        </w:rPr>
        <w:t xml:space="preserve"> </w:t>
      </w:r>
      <w:r w:rsidR="00AE5BDC" w:rsidRPr="00AE5BDC">
        <w:rPr>
          <w:sz w:val="22"/>
          <w:szCs w:val="22"/>
        </w:rPr>
        <w:t>United Muslim Women’s Association submission</w:t>
      </w:r>
    </w:p>
    <w:p w:rsidR="004549EB" w:rsidRDefault="00977533" w:rsidP="00D7119D">
      <w:pPr>
        <w:pStyle w:val="CommentText"/>
        <w:rPr>
          <w:sz w:val="24"/>
          <w:szCs w:val="24"/>
        </w:rPr>
      </w:pPr>
      <w:r>
        <w:rPr>
          <w:sz w:val="24"/>
          <w:szCs w:val="24"/>
        </w:rPr>
        <w:t>There were examples given of d</w:t>
      </w:r>
      <w:r w:rsidR="00AE5BDC">
        <w:rPr>
          <w:sz w:val="24"/>
          <w:szCs w:val="24"/>
        </w:rPr>
        <w:t>iscrimina</w:t>
      </w:r>
      <w:r w:rsidR="00AD4F5E">
        <w:rPr>
          <w:sz w:val="24"/>
          <w:szCs w:val="24"/>
        </w:rPr>
        <w:t xml:space="preserve">tion on the basis of religion </w:t>
      </w:r>
      <w:r>
        <w:rPr>
          <w:sz w:val="24"/>
          <w:szCs w:val="24"/>
        </w:rPr>
        <w:t>also occurring</w:t>
      </w:r>
      <w:r w:rsidR="000F2DFA">
        <w:rPr>
          <w:sz w:val="24"/>
          <w:szCs w:val="24"/>
        </w:rPr>
        <w:t xml:space="preserve"> in the context of</w:t>
      </w:r>
      <w:r w:rsidR="00227204">
        <w:rPr>
          <w:sz w:val="24"/>
          <w:szCs w:val="24"/>
        </w:rPr>
        <w:t xml:space="preserve"> local council planning </w:t>
      </w:r>
      <w:r w:rsidR="000F2DFA">
        <w:rPr>
          <w:sz w:val="24"/>
          <w:szCs w:val="24"/>
        </w:rPr>
        <w:t>when mem</w:t>
      </w:r>
      <w:r w:rsidR="00BE6C80">
        <w:rPr>
          <w:sz w:val="24"/>
          <w:szCs w:val="24"/>
        </w:rPr>
        <w:t>bers of the Muslim community seek</w:t>
      </w:r>
      <w:r w:rsidR="000F2DFA">
        <w:rPr>
          <w:sz w:val="24"/>
          <w:szCs w:val="24"/>
        </w:rPr>
        <w:t xml:space="preserve"> </w:t>
      </w:r>
      <w:r w:rsidR="00E13452">
        <w:rPr>
          <w:sz w:val="24"/>
          <w:szCs w:val="24"/>
        </w:rPr>
        <w:t>to build</w:t>
      </w:r>
      <w:r w:rsidR="00E52BD0">
        <w:rPr>
          <w:sz w:val="24"/>
          <w:szCs w:val="24"/>
        </w:rPr>
        <w:t xml:space="preserve"> mosque</w:t>
      </w:r>
      <w:r w:rsidR="00E13452">
        <w:rPr>
          <w:sz w:val="24"/>
          <w:szCs w:val="24"/>
        </w:rPr>
        <w:t>s and/or Islamic schools</w:t>
      </w:r>
      <w:r w:rsidR="00E52BD0">
        <w:rPr>
          <w:sz w:val="24"/>
          <w:szCs w:val="24"/>
        </w:rPr>
        <w:t>.</w:t>
      </w:r>
    </w:p>
    <w:p w:rsidR="00152ABB" w:rsidRDefault="004549EB" w:rsidP="003649C7">
      <w:pPr>
        <w:pStyle w:val="CommentText"/>
        <w:ind w:left="720"/>
        <w:rPr>
          <w:i/>
          <w:sz w:val="22"/>
          <w:szCs w:val="22"/>
        </w:rPr>
      </w:pPr>
      <w:r w:rsidRPr="003649C7">
        <w:rPr>
          <w:i/>
          <w:sz w:val="22"/>
          <w:szCs w:val="22"/>
        </w:rPr>
        <w:t>There have been many instances in which planning applications for mosques (and Islamic schools) have been made to local councils and refused, es</w:t>
      </w:r>
      <w:r w:rsidR="00BE6C80">
        <w:rPr>
          <w:i/>
          <w:sz w:val="22"/>
          <w:szCs w:val="22"/>
        </w:rPr>
        <w:t>pecially after public outcry. It</w:t>
      </w:r>
      <w:r w:rsidRPr="003649C7">
        <w:rPr>
          <w:i/>
          <w:sz w:val="22"/>
          <w:szCs w:val="22"/>
        </w:rPr>
        <w:t xml:space="preserve"> is concerning that the opposition to mosque building proposals </w:t>
      </w:r>
      <w:r w:rsidR="003649C7" w:rsidRPr="003649C7">
        <w:rPr>
          <w:i/>
          <w:sz w:val="22"/>
          <w:szCs w:val="22"/>
        </w:rPr>
        <w:t>has seen the expression of religious and racially discriminative views and vilification</w:t>
      </w:r>
      <w:r w:rsidR="00152ABB">
        <w:rPr>
          <w:i/>
          <w:sz w:val="22"/>
          <w:szCs w:val="22"/>
        </w:rPr>
        <w:t>.</w:t>
      </w:r>
    </w:p>
    <w:p w:rsidR="004549EB" w:rsidRPr="003649C7" w:rsidRDefault="003649C7" w:rsidP="003649C7">
      <w:pPr>
        <w:pStyle w:val="CommentText"/>
        <w:ind w:left="720"/>
        <w:rPr>
          <w:i/>
          <w:sz w:val="22"/>
          <w:szCs w:val="22"/>
        </w:rPr>
      </w:pPr>
      <w:r w:rsidRPr="003649C7">
        <w:rPr>
          <w:i/>
          <w:sz w:val="22"/>
          <w:szCs w:val="22"/>
        </w:rPr>
        <w:t>…</w:t>
      </w:r>
    </w:p>
    <w:p w:rsidR="003649C7" w:rsidRPr="003649C7" w:rsidRDefault="003649C7" w:rsidP="003649C7">
      <w:pPr>
        <w:pStyle w:val="CommentText"/>
        <w:ind w:left="720"/>
        <w:rPr>
          <w:sz w:val="22"/>
          <w:szCs w:val="22"/>
        </w:rPr>
      </w:pPr>
      <w:r w:rsidRPr="003649C7">
        <w:rPr>
          <w:i/>
          <w:sz w:val="22"/>
          <w:szCs w:val="22"/>
        </w:rPr>
        <w:t>These cases highlight the insufficient protections for the right to freedom of religion and the complexity of intersectionality, in this instance, freedom of religion, the right to property and freedom of expression.</w:t>
      </w:r>
      <w:r w:rsidRPr="003649C7">
        <w:rPr>
          <w:sz w:val="22"/>
          <w:szCs w:val="22"/>
        </w:rPr>
        <w:t xml:space="preserve"> UnitingJustice submission</w:t>
      </w:r>
    </w:p>
    <w:p w:rsidR="00D7119D" w:rsidRPr="00D7119D" w:rsidRDefault="00D7119D" w:rsidP="00D7119D">
      <w:pPr>
        <w:pStyle w:val="Heading4"/>
        <w:numPr>
          <w:ilvl w:val="0"/>
          <w:numId w:val="0"/>
        </w:numPr>
        <w:ind w:left="851" w:hanging="851"/>
        <w:rPr>
          <w:i/>
        </w:rPr>
      </w:pPr>
      <w:bookmarkStart w:id="205" w:name="_Toc413932281"/>
      <w:r w:rsidRPr="00D7119D">
        <w:rPr>
          <w:i/>
        </w:rPr>
        <w:t>Summary</w:t>
      </w:r>
      <w:bookmarkEnd w:id="205"/>
    </w:p>
    <w:p w:rsidR="004D2112" w:rsidRDefault="00485AF9" w:rsidP="005036AE">
      <w:r>
        <w:t>T</w:t>
      </w:r>
      <w:r w:rsidR="00852D50">
        <w:t>he survey results</w:t>
      </w:r>
      <w:r>
        <w:t xml:space="preserve"> suggest that</w:t>
      </w:r>
      <w:r w:rsidR="00852D50">
        <w:t xml:space="preserve"> </w:t>
      </w:r>
      <w:r w:rsidR="0077260F">
        <w:t xml:space="preserve">the right to freedom of </w:t>
      </w:r>
      <w:r w:rsidR="00D53381">
        <w:t>religio</w:t>
      </w:r>
      <w:r w:rsidR="0077260F">
        <w:t xml:space="preserve">n </w:t>
      </w:r>
      <w:r w:rsidR="00D53381">
        <w:t>is relativ</w:t>
      </w:r>
      <w:r w:rsidR="00261C27">
        <w:t>ely well protected</w:t>
      </w:r>
      <w:r>
        <w:t xml:space="preserve">, with only 10% of </w:t>
      </w:r>
      <w:r w:rsidR="0077260F">
        <w:t xml:space="preserve">participants stating that religious freedom is not protected </w:t>
      </w:r>
      <w:r w:rsidR="0077260F">
        <w:lastRenderedPageBreak/>
        <w:t>in Australia</w:t>
      </w:r>
      <w:r w:rsidR="00852D50">
        <w:t xml:space="preserve">. </w:t>
      </w:r>
      <w:r w:rsidR="0018376D">
        <w:t xml:space="preserve">Nonetheless, as described in this section, there are a number of areas where tension arises between </w:t>
      </w:r>
      <w:r w:rsidR="00E007DA">
        <w:t xml:space="preserve">the public expression of </w:t>
      </w:r>
      <w:r w:rsidR="005036AE">
        <w:t>religious beliefs</w:t>
      </w:r>
      <w:r w:rsidR="0018376D">
        <w:t xml:space="preserve"> </w:t>
      </w:r>
      <w:r w:rsidR="00E007DA">
        <w:t>in a multi-faith,</w:t>
      </w:r>
      <w:r w:rsidR="004D2112">
        <w:t xml:space="preserve"> pluralist society</w:t>
      </w:r>
      <w:r w:rsidR="00E007DA">
        <w:t>,</w:t>
      </w:r>
      <w:r w:rsidR="003A0C02">
        <w:t xml:space="preserve"> </w:t>
      </w:r>
      <w:r w:rsidR="00E007DA">
        <w:t>and</w:t>
      </w:r>
      <w:r w:rsidR="003A0C02">
        <w:t xml:space="preserve"> </w:t>
      </w:r>
      <w:r w:rsidR="00E007DA">
        <w:t xml:space="preserve">its interaction </w:t>
      </w:r>
      <w:r w:rsidR="003A0C02">
        <w:t>with public policy</w:t>
      </w:r>
      <w:r w:rsidR="005036AE">
        <w:t>.</w:t>
      </w:r>
    </w:p>
    <w:p w:rsidR="00297199" w:rsidRPr="008F184D" w:rsidRDefault="00C14406" w:rsidP="00297199">
      <w:pPr>
        <w:rPr>
          <w:lang w:val="en-US"/>
        </w:rPr>
      </w:pPr>
      <w:r>
        <w:t>As part of his future work priorities, t</w:t>
      </w:r>
      <w:r w:rsidR="004D2112">
        <w:t xml:space="preserve">he </w:t>
      </w:r>
      <w:r w:rsidR="00AB608A">
        <w:t xml:space="preserve">Human Rights </w:t>
      </w:r>
      <w:r w:rsidR="002A7D42">
        <w:t>Commissioner</w:t>
      </w:r>
      <w:r w:rsidR="0021713F">
        <w:t xml:space="preserve"> </w:t>
      </w:r>
      <w:r w:rsidR="005036AE">
        <w:rPr>
          <w:lang w:val="en-US"/>
        </w:rPr>
        <w:t>will</w:t>
      </w:r>
      <w:r w:rsidR="00D56F95">
        <w:rPr>
          <w:lang w:val="en-US"/>
        </w:rPr>
        <w:t xml:space="preserve"> </w:t>
      </w:r>
      <w:r w:rsidR="00CD41D5">
        <w:rPr>
          <w:lang w:val="en-US"/>
        </w:rPr>
        <w:t>form</w:t>
      </w:r>
      <w:r w:rsidR="0021713F">
        <w:rPr>
          <w:lang w:val="en-US"/>
        </w:rPr>
        <w:t xml:space="preserve"> a </w:t>
      </w:r>
      <w:r w:rsidR="004D2112">
        <w:rPr>
          <w:lang w:val="en-US"/>
        </w:rPr>
        <w:t>religious freedom</w:t>
      </w:r>
      <w:r w:rsidR="00D7119D" w:rsidRPr="005413C0">
        <w:rPr>
          <w:lang w:val="en-US"/>
        </w:rPr>
        <w:t xml:space="preserve"> roundtable</w:t>
      </w:r>
      <w:r>
        <w:rPr>
          <w:lang w:val="en-US"/>
        </w:rPr>
        <w:t xml:space="preserve"> to</w:t>
      </w:r>
      <w:r w:rsidR="00F715F0">
        <w:rPr>
          <w:lang w:val="en-US"/>
        </w:rPr>
        <w:t xml:space="preserve"> bring together </w:t>
      </w:r>
      <w:r>
        <w:rPr>
          <w:lang w:val="en-US"/>
        </w:rPr>
        <w:t>representatives of</w:t>
      </w:r>
      <w:r w:rsidR="00626026">
        <w:rPr>
          <w:lang w:val="en-US"/>
        </w:rPr>
        <w:t xml:space="preserve"> different</w:t>
      </w:r>
      <w:r w:rsidR="00AB608A">
        <w:rPr>
          <w:lang w:val="en-US"/>
        </w:rPr>
        <w:t xml:space="preserve"> faiths to facilitate</w:t>
      </w:r>
      <w:r w:rsidR="00F715F0">
        <w:rPr>
          <w:lang w:val="en-US"/>
        </w:rPr>
        <w:t xml:space="preserve"> </w:t>
      </w:r>
      <w:r w:rsidR="0077260F">
        <w:rPr>
          <w:lang w:val="en-US"/>
        </w:rPr>
        <w:t>how to advance</w:t>
      </w:r>
      <w:r w:rsidR="00CD41D5">
        <w:rPr>
          <w:lang w:val="en-US"/>
        </w:rPr>
        <w:t xml:space="preserve"> religious </w:t>
      </w:r>
      <w:r w:rsidR="0077260F">
        <w:rPr>
          <w:lang w:val="en-US"/>
        </w:rPr>
        <w:t>freedom within</w:t>
      </w:r>
      <w:r w:rsidR="00CD41D5">
        <w:rPr>
          <w:lang w:val="en-US"/>
        </w:rPr>
        <w:t xml:space="preserve"> </w:t>
      </w:r>
      <w:r w:rsidR="00F715F0">
        <w:rPr>
          <w:lang w:val="en-US"/>
        </w:rPr>
        <w:t xml:space="preserve">public policy </w:t>
      </w:r>
      <w:r w:rsidR="0077260F">
        <w:rPr>
          <w:lang w:val="en-US"/>
        </w:rPr>
        <w:t xml:space="preserve">debate </w:t>
      </w:r>
      <w:r w:rsidR="00F715F0">
        <w:rPr>
          <w:lang w:val="en-US"/>
        </w:rPr>
        <w:t>in</w:t>
      </w:r>
      <w:r w:rsidR="00CD41D5">
        <w:rPr>
          <w:lang w:val="en-US"/>
        </w:rPr>
        <w:t xml:space="preserve"> </w:t>
      </w:r>
      <w:r w:rsidR="00203F42">
        <w:rPr>
          <w:lang w:val="en-US"/>
        </w:rPr>
        <w:t>Australia</w:t>
      </w:r>
      <w:r w:rsidR="00297199">
        <w:rPr>
          <w:lang w:val="en-US"/>
        </w:rPr>
        <w:t>.</w:t>
      </w:r>
    </w:p>
    <w:p w:rsidR="0044769C" w:rsidRDefault="0044769C" w:rsidP="0044769C">
      <w:pPr>
        <w:pStyle w:val="Heading2"/>
        <w:numPr>
          <w:ilvl w:val="0"/>
          <w:numId w:val="0"/>
        </w:numPr>
        <w:ind w:left="851" w:hanging="851"/>
        <w:rPr>
          <w:lang w:val="en-US"/>
        </w:rPr>
      </w:pPr>
      <w:bookmarkStart w:id="206" w:name="_Toc413932282"/>
      <w:r w:rsidRPr="00971F79">
        <w:rPr>
          <w:lang w:val="en-US"/>
        </w:rPr>
        <w:t>Right to freedom of association</w:t>
      </w:r>
      <w:bookmarkEnd w:id="206"/>
    </w:p>
    <w:p w:rsidR="00DE053A" w:rsidRDefault="00DE053A" w:rsidP="00B41A2E">
      <w:pPr>
        <w:pStyle w:val="SubmissionNormal"/>
        <w:numPr>
          <w:ilvl w:val="0"/>
          <w:numId w:val="0"/>
        </w:numPr>
        <w:ind w:left="720"/>
        <w:rPr>
          <w:i/>
          <w:sz w:val="22"/>
          <w:szCs w:val="22"/>
          <w:lang w:val="en-US"/>
        </w:rPr>
      </w:pPr>
      <w:r w:rsidRPr="008E563E">
        <w:rPr>
          <w:i/>
          <w:sz w:val="22"/>
          <w:szCs w:val="22"/>
          <w:lang w:val="en-US"/>
        </w:rPr>
        <w:t>Freedom of association cannot be simply a passive ‘right to belong’ to an organization.</w:t>
      </w:r>
      <w:r w:rsidRPr="008E563E">
        <w:rPr>
          <w:i/>
          <w:sz w:val="22"/>
          <w:szCs w:val="22"/>
        </w:rPr>
        <w:t xml:space="preserve"> To be a meaningful right it needs to be an affirmative right. In the case of trade union membership, it must mean that workers can collectively pursue their rights and interests through their association with each other.</w:t>
      </w:r>
      <w:r>
        <w:rPr>
          <w:sz w:val="22"/>
          <w:szCs w:val="22"/>
        </w:rPr>
        <w:t xml:space="preserve"> Unions WA submission</w:t>
      </w:r>
    </w:p>
    <w:p w:rsidR="008E563E" w:rsidRPr="00DE053A" w:rsidRDefault="00B41A2E" w:rsidP="00DE053A">
      <w:pPr>
        <w:pStyle w:val="SubmissionNormal"/>
        <w:numPr>
          <w:ilvl w:val="0"/>
          <w:numId w:val="0"/>
        </w:numPr>
        <w:ind w:left="720"/>
        <w:rPr>
          <w:sz w:val="22"/>
          <w:szCs w:val="22"/>
          <w:lang w:val="en-US"/>
        </w:rPr>
      </w:pPr>
      <w:r w:rsidRPr="00B41A2E">
        <w:rPr>
          <w:i/>
          <w:sz w:val="22"/>
          <w:szCs w:val="22"/>
          <w:lang w:val="en-US"/>
        </w:rPr>
        <w:t>These consorting laws, which prevent sex workers from working together</w:t>
      </w:r>
      <w:r w:rsidR="005B7348">
        <w:rPr>
          <w:i/>
          <w:sz w:val="22"/>
          <w:szCs w:val="22"/>
          <w:lang w:val="en-US"/>
        </w:rPr>
        <w:t xml:space="preserve"> </w:t>
      </w:r>
      <w:r w:rsidRPr="00B41A2E">
        <w:rPr>
          <w:i/>
          <w:sz w:val="22"/>
          <w:szCs w:val="22"/>
          <w:lang w:val="en-US"/>
        </w:rPr>
        <w:t>…</w:t>
      </w:r>
      <w:r w:rsidR="005B7348">
        <w:rPr>
          <w:i/>
          <w:sz w:val="22"/>
          <w:szCs w:val="22"/>
          <w:lang w:val="en-US"/>
        </w:rPr>
        <w:t xml:space="preserve"> </w:t>
      </w:r>
      <w:r w:rsidRPr="00B41A2E">
        <w:rPr>
          <w:i/>
          <w:sz w:val="22"/>
          <w:szCs w:val="22"/>
          <w:lang w:val="en-US"/>
        </w:rPr>
        <w:t>deny sex workers the right to freedom of association and have obvious impacts on</w:t>
      </w:r>
      <w:r w:rsidR="005B7348">
        <w:rPr>
          <w:i/>
          <w:sz w:val="22"/>
          <w:szCs w:val="22"/>
          <w:lang w:val="en-US"/>
        </w:rPr>
        <w:t xml:space="preserve"> </w:t>
      </w:r>
      <w:r w:rsidRPr="00B41A2E">
        <w:rPr>
          <w:i/>
          <w:sz w:val="22"/>
          <w:szCs w:val="22"/>
          <w:lang w:val="en-US"/>
        </w:rPr>
        <w:t>…</w:t>
      </w:r>
      <w:r w:rsidR="005B7348">
        <w:rPr>
          <w:i/>
          <w:sz w:val="22"/>
          <w:szCs w:val="22"/>
          <w:lang w:val="en-US"/>
        </w:rPr>
        <w:t xml:space="preserve"> </w:t>
      </w:r>
      <w:r w:rsidRPr="00B41A2E">
        <w:rPr>
          <w:i/>
          <w:sz w:val="22"/>
          <w:szCs w:val="22"/>
          <w:lang w:val="en-US"/>
        </w:rPr>
        <w:t xml:space="preserve">our access to mentoring, support networks and opportunities for advocacy and </w:t>
      </w:r>
      <w:r w:rsidRPr="00B41A2E">
        <w:rPr>
          <w:i/>
          <w:sz w:val="22"/>
          <w:szCs w:val="22"/>
        </w:rPr>
        <w:t>unionising</w:t>
      </w:r>
      <w:r w:rsidRPr="00B41A2E">
        <w:rPr>
          <w:i/>
          <w:sz w:val="22"/>
          <w:szCs w:val="22"/>
          <w:lang w:val="en-US"/>
        </w:rPr>
        <w:t>.</w:t>
      </w:r>
      <w:r>
        <w:rPr>
          <w:sz w:val="22"/>
          <w:szCs w:val="22"/>
          <w:lang w:val="en-US"/>
        </w:rPr>
        <w:t xml:space="preserve"> Scarlett Alliance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44769C" w:rsidRPr="0073669B" w:rsidTr="00FE4131">
        <w:tc>
          <w:tcPr>
            <w:tcW w:w="9286" w:type="dxa"/>
            <w:shd w:val="clear" w:color="auto" w:fill="E0E0E0"/>
          </w:tcPr>
          <w:p w:rsidR="0044769C" w:rsidRPr="005B1CD8" w:rsidRDefault="0044769C" w:rsidP="00FE4131">
            <w:pPr>
              <w:rPr>
                <w:rFonts w:cs="Arial"/>
                <w:b/>
                <w:sz w:val="22"/>
                <w:szCs w:val="22"/>
              </w:rPr>
            </w:pPr>
            <w:r w:rsidRPr="00D74467">
              <w:rPr>
                <w:rFonts w:cs="Arial"/>
                <w:b/>
                <w:sz w:val="22"/>
                <w:szCs w:val="22"/>
              </w:rPr>
              <w:t>The r</w:t>
            </w:r>
            <w:r w:rsidR="005B1CD8">
              <w:rPr>
                <w:rFonts w:cs="Arial"/>
                <w:b/>
                <w:sz w:val="22"/>
                <w:szCs w:val="22"/>
              </w:rPr>
              <w:t xml:space="preserve">ight to freedom of association </w:t>
            </w:r>
            <w:r w:rsidRPr="00D74467">
              <w:rPr>
                <w:rFonts w:cs="Arial"/>
                <w:sz w:val="22"/>
                <w:szCs w:val="22"/>
              </w:rPr>
              <w:t xml:space="preserve">includes </w:t>
            </w:r>
            <w:r w:rsidRPr="00D74467">
              <w:rPr>
                <w:sz w:val="22"/>
                <w:szCs w:val="22"/>
                <w:lang w:val="en"/>
              </w:rPr>
              <w:t xml:space="preserve">the right to form </w:t>
            </w:r>
            <w:r w:rsidRPr="00D74467">
              <w:rPr>
                <w:rFonts w:cs="Arial"/>
                <w:sz w:val="22"/>
                <w:szCs w:val="22"/>
              </w:rPr>
              <w:t>and join associations to pursue common goals</w:t>
            </w:r>
            <w:r w:rsidRPr="00D74467">
              <w:rPr>
                <w:sz w:val="22"/>
                <w:szCs w:val="22"/>
                <w:lang w:val="en"/>
              </w:rPr>
              <w:t xml:space="preserve"> and protect interests.</w:t>
            </w:r>
            <w:r w:rsidR="008B648C">
              <w:rPr>
                <w:rStyle w:val="EndnoteReference"/>
                <w:szCs w:val="22"/>
                <w:lang w:val="en"/>
              </w:rPr>
              <w:endnoteReference w:id="37"/>
            </w:r>
            <w:r w:rsidRPr="00D74467">
              <w:rPr>
                <w:sz w:val="22"/>
                <w:szCs w:val="22"/>
                <w:lang w:val="en"/>
              </w:rPr>
              <w:t xml:space="preserve"> </w:t>
            </w:r>
            <w:r w:rsidRPr="00D74467">
              <w:rPr>
                <w:rFonts w:cs="Arial"/>
                <w:sz w:val="22"/>
                <w:szCs w:val="22"/>
              </w:rPr>
              <w:t>Associations comprise a diverse range of interests such as political parties, professional and sporting clubs, non-governmental organisations and trade unions.</w:t>
            </w:r>
          </w:p>
          <w:p w:rsidR="0044769C" w:rsidRPr="00D74467" w:rsidRDefault="0044769C" w:rsidP="00FE4131">
            <w:pPr>
              <w:rPr>
                <w:sz w:val="22"/>
                <w:szCs w:val="22"/>
                <w:lang w:val="en"/>
              </w:rPr>
            </w:pPr>
            <w:r w:rsidRPr="00D74467">
              <w:rPr>
                <w:rFonts w:cs="Arial"/>
                <w:sz w:val="22"/>
                <w:szCs w:val="22"/>
              </w:rPr>
              <w:t>Freedom</w:t>
            </w:r>
            <w:r w:rsidRPr="00D74467">
              <w:rPr>
                <w:sz w:val="22"/>
                <w:szCs w:val="22"/>
                <w:lang w:val="en"/>
              </w:rPr>
              <w:t xml:space="preserve"> of association supports other rights such as freedom of expression, religion, assembly and political rights, because the effectiveness of these rights and freedoms would be significantly diminished without the right to freedom of association.</w:t>
            </w:r>
          </w:p>
          <w:p w:rsidR="0044769C" w:rsidRPr="00D74467" w:rsidRDefault="0044769C" w:rsidP="00FE4131">
            <w:pPr>
              <w:rPr>
                <w:rFonts w:cs="Arial"/>
                <w:sz w:val="22"/>
                <w:szCs w:val="22"/>
              </w:rPr>
            </w:pPr>
            <w:r w:rsidRPr="00D74467">
              <w:rPr>
                <w:rFonts w:cs="Arial"/>
                <w:sz w:val="22"/>
                <w:szCs w:val="22"/>
              </w:rPr>
              <w:t>The right limits the imposition of unreasonable and disproportionate restrictions by governments, including:</w:t>
            </w:r>
          </w:p>
          <w:p w:rsidR="0044769C" w:rsidRPr="00D74467" w:rsidRDefault="0044769C" w:rsidP="00E550E9">
            <w:pPr>
              <w:pStyle w:val="SubmissionNormal"/>
              <w:numPr>
                <w:ilvl w:val="0"/>
                <w:numId w:val="22"/>
              </w:numPr>
              <w:rPr>
                <w:rFonts w:cs="Arial"/>
                <w:sz w:val="22"/>
                <w:szCs w:val="22"/>
              </w:rPr>
            </w:pPr>
            <w:r w:rsidRPr="00D74467">
              <w:rPr>
                <w:rFonts w:cs="Arial"/>
                <w:sz w:val="22"/>
                <w:szCs w:val="22"/>
              </w:rPr>
              <w:t>preventing people from joining or forming an association</w:t>
            </w:r>
          </w:p>
          <w:p w:rsidR="0044769C" w:rsidRPr="00D74467" w:rsidRDefault="0044769C" w:rsidP="00E550E9">
            <w:pPr>
              <w:pStyle w:val="SubmissionNormal"/>
              <w:numPr>
                <w:ilvl w:val="0"/>
                <w:numId w:val="22"/>
              </w:numPr>
              <w:rPr>
                <w:rFonts w:cs="Arial"/>
                <w:sz w:val="22"/>
                <w:szCs w:val="22"/>
              </w:rPr>
            </w:pPr>
            <w:r w:rsidRPr="00D74467">
              <w:rPr>
                <w:rFonts w:cs="Arial"/>
                <w:sz w:val="22"/>
                <w:szCs w:val="22"/>
              </w:rPr>
              <w:t>imposing procedures for the formal recognition of associations that effectively prevent or discourage people from forming an association</w:t>
            </w:r>
          </w:p>
          <w:p w:rsidR="0044769C" w:rsidRPr="00D74467" w:rsidRDefault="0044769C" w:rsidP="00E550E9">
            <w:pPr>
              <w:pStyle w:val="SubmissionNormal"/>
              <w:numPr>
                <w:ilvl w:val="0"/>
                <w:numId w:val="22"/>
              </w:numPr>
              <w:rPr>
                <w:rFonts w:cs="Arial"/>
                <w:sz w:val="22"/>
                <w:szCs w:val="22"/>
              </w:rPr>
            </w:pPr>
            <w:r w:rsidRPr="00D74467">
              <w:rPr>
                <w:rFonts w:cs="Arial"/>
                <w:sz w:val="22"/>
                <w:szCs w:val="22"/>
              </w:rPr>
              <w:t>punishing people for their membership of a group.</w:t>
            </w:r>
            <w:r w:rsidRPr="00D74467">
              <w:rPr>
                <w:rStyle w:val="EndnoteReference"/>
                <w:szCs w:val="20"/>
              </w:rPr>
              <w:endnoteReference w:id="38"/>
            </w:r>
          </w:p>
          <w:p w:rsidR="0044769C" w:rsidRPr="00D74467" w:rsidRDefault="0044769C" w:rsidP="00FE4131">
            <w:pPr>
              <w:rPr>
                <w:rFonts w:cs="Arial"/>
                <w:sz w:val="22"/>
                <w:szCs w:val="22"/>
              </w:rPr>
            </w:pPr>
            <w:r w:rsidRPr="00D74467">
              <w:rPr>
                <w:rFonts w:cs="Arial"/>
                <w:sz w:val="22"/>
                <w:szCs w:val="22"/>
                <w:lang w:val="en"/>
              </w:rPr>
              <w:t>The right to form and join trade unions is specifically protected in international human rights treaties, which also articulate that the right to</w:t>
            </w:r>
            <w:r w:rsidRPr="00D74467">
              <w:rPr>
                <w:sz w:val="22"/>
                <w:szCs w:val="22"/>
                <w:lang w:val="en"/>
              </w:rPr>
              <w:t xml:space="preserve"> association includes the right to participate in the lawful activities of an association.</w:t>
            </w:r>
            <w:r w:rsidR="00050B3C">
              <w:rPr>
                <w:rStyle w:val="EndnoteReference"/>
                <w:szCs w:val="22"/>
                <w:lang w:val="en"/>
              </w:rPr>
              <w:endnoteReference w:id="39"/>
            </w:r>
            <w:r w:rsidRPr="00D74467">
              <w:rPr>
                <w:sz w:val="22"/>
                <w:szCs w:val="22"/>
                <w:lang w:val="en"/>
              </w:rPr>
              <w:t xml:space="preserve"> However, t</w:t>
            </w:r>
            <w:r w:rsidRPr="00D74467">
              <w:rPr>
                <w:rFonts w:cs="Arial"/>
                <w:sz w:val="22"/>
                <w:szCs w:val="22"/>
              </w:rPr>
              <w:t>here is no settled</w:t>
            </w:r>
            <w:r w:rsidR="00012047">
              <w:rPr>
                <w:rFonts w:cs="Arial"/>
                <w:sz w:val="22"/>
                <w:szCs w:val="22"/>
              </w:rPr>
              <w:t xml:space="preserve"> interpretation of international treaties</w:t>
            </w:r>
            <w:r w:rsidRPr="00D74467">
              <w:rPr>
                <w:rFonts w:cs="Arial"/>
                <w:sz w:val="22"/>
                <w:szCs w:val="22"/>
              </w:rPr>
              <w:t xml:space="preserve"> on whether the right to freedom of association encompasses the right not to be compelled to join an association, such as a trade union or professional association.</w:t>
            </w:r>
            <w:r w:rsidRPr="00D74467">
              <w:rPr>
                <w:rStyle w:val="EndnoteReference"/>
                <w:szCs w:val="20"/>
              </w:rPr>
              <w:endnoteReference w:id="40"/>
            </w:r>
          </w:p>
          <w:p w:rsidR="0044769C" w:rsidRPr="00D74467" w:rsidRDefault="0044769C" w:rsidP="00FE4131">
            <w:pPr>
              <w:rPr>
                <w:rFonts w:cs="Arial"/>
                <w:sz w:val="22"/>
                <w:szCs w:val="22"/>
              </w:rPr>
            </w:pPr>
            <w:r w:rsidRPr="00D74467">
              <w:rPr>
                <w:rFonts w:cs="Arial"/>
                <w:sz w:val="22"/>
                <w:szCs w:val="22"/>
              </w:rPr>
              <w:t>Any limits to freedom of association must be prescribed by laws that are necessary in a democratic society in the interests of national security or public safety, public order, the protection of public health or morals, or the protection of the rights and freedoms of others.</w:t>
            </w:r>
            <w:r w:rsidR="003F05FD">
              <w:rPr>
                <w:rStyle w:val="EndnoteReference"/>
                <w:rFonts w:cs="Arial"/>
                <w:szCs w:val="22"/>
              </w:rPr>
              <w:endnoteReference w:id="41"/>
            </w:r>
          </w:p>
        </w:tc>
      </w:tr>
    </w:tbl>
    <w:p w:rsidR="0044769C" w:rsidRDefault="0044769C" w:rsidP="0044769C">
      <w:pPr>
        <w:pStyle w:val="Heading3"/>
        <w:numPr>
          <w:ilvl w:val="0"/>
          <w:numId w:val="0"/>
        </w:numPr>
        <w:rPr>
          <w:b/>
        </w:rPr>
      </w:pPr>
      <w:bookmarkStart w:id="207" w:name="_Toc402873793"/>
      <w:bookmarkStart w:id="208" w:name="_Toc413932283"/>
      <w:r w:rsidRPr="00072CF9">
        <w:rPr>
          <w:b/>
        </w:rPr>
        <w:lastRenderedPageBreak/>
        <w:t>Freedom of association in Australia</w:t>
      </w:r>
      <w:bookmarkEnd w:id="207"/>
      <w:bookmarkEnd w:id="208"/>
    </w:p>
    <w:p w:rsidR="00DE5294" w:rsidRDefault="00F2133E" w:rsidP="00570003">
      <w:pPr>
        <w:jc w:val="center"/>
      </w:pPr>
      <w:r w:rsidRPr="00F2133E">
        <w:rPr>
          <w:noProof/>
        </w:rPr>
        <w:drawing>
          <wp:inline distT="0" distB="0" distL="0" distR="0" wp14:anchorId="037402E5" wp14:editId="3BADFA8D">
            <wp:extent cx="4740249" cy="2606002"/>
            <wp:effectExtent l="0" t="0" r="3810" b="4445"/>
            <wp:docPr id="14" name="Picture 14" descr="S:\External Projects\2014-15 projects\HR Scrutiny\HR Scrutiny - Rights &amp; Freedoms\Rights &amp; Responsibilities 2014\Report\Report\Mind maps\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xternal Projects\2014-15 projects\HR Scrutiny\HR Scrutiny - Rights &amp; Freedoms\Rights &amp; Responsibilities 2014\Report\Report\Mind maps\Associati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6828" cy="2626112"/>
                    </a:xfrm>
                    <a:prstGeom prst="rect">
                      <a:avLst/>
                    </a:prstGeom>
                    <a:noFill/>
                    <a:ln>
                      <a:noFill/>
                    </a:ln>
                  </pic:spPr>
                </pic:pic>
              </a:graphicData>
            </a:graphic>
          </wp:inline>
        </w:drawing>
      </w:r>
    </w:p>
    <w:p w:rsidR="0044769C" w:rsidRPr="00072CF9" w:rsidRDefault="00072CF9" w:rsidP="00072CF9">
      <w:pPr>
        <w:pStyle w:val="Heading4"/>
        <w:numPr>
          <w:ilvl w:val="0"/>
          <w:numId w:val="0"/>
        </w:numPr>
        <w:ind w:left="851" w:hanging="851"/>
        <w:rPr>
          <w:i/>
        </w:rPr>
      </w:pPr>
      <w:bookmarkStart w:id="209" w:name="_Toc413932284"/>
      <w:r w:rsidRPr="00072CF9">
        <w:rPr>
          <w:i/>
        </w:rPr>
        <w:t>Survey results</w:t>
      </w:r>
      <w:bookmarkEnd w:id="209"/>
    </w:p>
    <w:p w:rsidR="006B03A2" w:rsidRDefault="00434C0D" w:rsidP="0044769C">
      <w:pPr>
        <w:rPr>
          <w:rFonts w:cs="Arial"/>
        </w:rPr>
      </w:pPr>
      <w:r>
        <w:rPr>
          <w:rFonts w:cs="Arial"/>
        </w:rPr>
        <w:t xml:space="preserve">In the </w:t>
      </w:r>
      <w:r w:rsidRPr="00434C0D">
        <w:rPr>
          <w:rFonts w:cs="Arial"/>
          <w:i/>
        </w:rPr>
        <w:t>Rights &amp; Responsibilities 2014</w:t>
      </w:r>
      <w:r w:rsidR="00976146">
        <w:rPr>
          <w:rFonts w:cs="Arial"/>
        </w:rPr>
        <w:t xml:space="preserve"> survey, participant</w:t>
      </w:r>
      <w:r>
        <w:rPr>
          <w:rFonts w:cs="Arial"/>
        </w:rPr>
        <w:t>s were asked their view about how well they think the right to freedom of association is protected in Australia.</w:t>
      </w:r>
    </w:p>
    <w:p w:rsidR="0044769C" w:rsidRDefault="00434C0D" w:rsidP="0044769C">
      <w:pPr>
        <w:rPr>
          <w:rFonts w:cs="Arial"/>
        </w:rPr>
      </w:pPr>
      <w:r>
        <w:rPr>
          <w:rFonts w:cs="Arial"/>
        </w:rPr>
        <w:t>Results from the survey are</w:t>
      </w:r>
      <w:r w:rsidR="00ED2C27">
        <w:rPr>
          <w:rFonts w:cs="Arial"/>
        </w:rPr>
        <w:t xml:space="preserve"> shown </w:t>
      </w:r>
      <w:r w:rsidR="0044769C">
        <w:rPr>
          <w:rFonts w:cs="Arial"/>
        </w:rPr>
        <w:t>in Figure 3</w:t>
      </w:r>
      <w:r>
        <w:rPr>
          <w:rFonts w:cs="Arial"/>
        </w:rPr>
        <w:t xml:space="preserve"> and highlight that</w:t>
      </w:r>
      <w:r w:rsidR="0044769C">
        <w:rPr>
          <w:rFonts w:cs="Arial"/>
        </w:rPr>
        <w:t xml:space="preserve">: </w:t>
      </w:r>
    </w:p>
    <w:p w:rsidR="0044769C" w:rsidRDefault="0044769C" w:rsidP="00E550E9">
      <w:pPr>
        <w:numPr>
          <w:ilvl w:val="0"/>
          <w:numId w:val="23"/>
        </w:numPr>
        <w:rPr>
          <w:rFonts w:cs="Arial"/>
        </w:rPr>
      </w:pPr>
      <w:r>
        <w:rPr>
          <w:rFonts w:cs="Arial"/>
        </w:rPr>
        <w:t>24% of survey respondents consider that freedom of association is extremely well to well protected</w:t>
      </w:r>
    </w:p>
    <w:p w:rsidR="00ED2C27" w:rsidRDefault="00536434" w:rsidP="00E550E9">
      <w:pPr>
        <w:numPr>
          <w:ilvl w:val="0"/>
          <w:numId w:val="23"/>
        </w:numPr>
        <w:rPr>
          <w:rFonts w:cs="Arial"/>
        </w:rPr>
      </w:pPr>
      <w:r>
        <w:rPr>
          <w:rFonts w:cs="Arial"/>
        </w:rPr>
        <w:t>39</w:t>
      </w:r>
      <w:r w:rsidR="00ED2C27">
        <w:rPr>
          <w:rFonts w:cs="Arial"/>
        </w:rPr>
        <w:t>% believe that the right to freedom of association is moderately or slightly protected</w:t>
      </w:r>
    </w:p>
    <w:p w:rsidR="00ED2C27" w:rsidRPr="00ED2C27" w:rsidRDefault="0044769C" w:rsidP="00E550E9">
      <w:pPr>
        <w:numPr>
          <w:ilvl w:val="0"/>
          <w:numId w:val="23"/>
        </w:numPr>
        <w:rPr>
          <w:rFonts w:cs="Arial"/>
        </w:rPr>
      </w:pPr>
      <w:r w:rsidRPr="0044769C">
        <w:rPr>
          <w:rFonts w:cs="Arial"/>
        </w:rPr>
        <w:t xml:space="preserve">16% view the right as not at all protected. </w:t>
      </w:r>
    </w:p>
    <w:p w:rsidR="005B1CD8" w:rsidRPr="00976146" w:rsidRDefault="00ED4C20" w:rsidP="0044769C">
      <w:pPr>
        <w:rPr>
          <w:lang w:val="en-US"/>
        </w:rPr>
      </w:pPr>
      <w:r>
        <w:rPr>
          <w:lang w:val="en-US"/>
        </w:rPr>
        <w:t xml:space="preserve">63% of participants responded that </w:t>
      </w:r>
      <w:r>
        <w:t>there is some level of protection of the right to freedom of association</w:t>
      </w:r>
      <w:r w:rsidR="00A56A37">
        <w:t xml:space="preserve"> in Australia</w:t>
      </w:r>
      <w:r>
        <w:t xml:space="preserve">. </w:t>
      </w:r>
      <w:r w:rsidR="00800CB1">
        <w:rPr>
          <w:lang w:val="en-US"/>
        </w:rPr>
        <w:t xml:space="preserve">Also, </w:t>
      </w:r>
      <w:r w:rsidR="00976146">
        <w:rPr>
          <w:lang w:val="en-US"/>
        </w:rPr>
        <w:t>21% of participants either were unsure o</w:t>
      </w:r>
      <w:r w:rsidR="00D711EA">
        <w:rPr>
          <w:lang w:val="en-US"/>
        </w:rPr>
        <w:t>r did not answer this question.</w:t>
      </w:r>
    </w:p>
    <w:p w:rsidR="0044769C" w:rsidRPr="007D6D86" w:rsidRDefault="0044769C" w:rsidP="007D6D86">
      <w:pPr>
        <w:pStyle w:val="Heading4"/>
        <w:numPr>
          <w:ilvl w:val="0"/>
          <w:numId w:val="0"/>
        </w:numPr>
        <w:ind w:left="851" w:hanging="851"/>
        <w:rPr>
          <w:i/>
          <w:lang w:val="en-US"/>
        </w:rPr>
      </w:pPr>
      <w:bookmarkStart w:id="210" w:name="_Toc413932285"/>
      <w:r w:rsidRPr="007D6D86">
        <w:rPr>
          <w:i/>
        </w:rPr>
        <w:lastRenderedPageBreak/>
        <w:t>Figure</w:t>
      </w:r>
      <w:r w:rsidRPr="007D6D86">
        <w:rPr>
          <w:i/>
          <w:lang w:val="en-US"/>
        </w:rPr>
        <w:t xml:space="preserve"> 3: How well do Australians think the right to freedom of association is protected?</w:t>
      </w:r>
      <w:bookmarkEnd w:id="210"/>
    </w:p>
    <w:p w:rsidR="0044769C" w:rsidRDefault="002B0958" w:rsidP="00DE5294">
      <w:pPr>
        <w:jc w:val="center"/>
        <w:rPr>
          <w:lang w:val="en-US"/>
        </w:rPr>
      </w:pPr>
      <w:r>
        <w:rPr>
          <w:noProof/>
        </w:rPr>
        <w:drawing>
          <wp:inline distT="0" distB="0" distL="0" distR="0" wp14:anchorId="0B581DDD" wp14:editId="4E7E621A">
            <wp:extent cx="4086225" cy="3362325"/>
            <wp:effectExtent l="0" t="0" r="0" b="0"/>
            <wp:docPr id="20"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22E5" w:rsidRDefault="00A222E5" w:rsidP="00A222E5">
      <w:pPr>
        <w:rPr>
          <w:rFonts w:cs="Arial"/>
          <w:lang w:val="en"/>
        </w:rPr>
      </w:pPr>
      <w:r>
        <w:rPr>
          <w:rFonts w:cs="Arial"/>
        </w:rPr>
        <w:t xml:space="preserve">In Australia, there is no federal legislation </w:t>
      </w:r>
      <w:r w:rsidR="006B03A2">
        <w:rPr>
          <w:rFonts w:cs="Arial"/>
        </w:rPr>
        <w:t xml:space="preserve">that </w:t>
      </w:r>
      <w:r w:rsidR="005B1CD8">
        <w:rPr>
          <w:rFonts w:cs="Arial"/>
        </w:rPr>
        <w:t>guarantee</w:t>
      </w:r>
      <w:r w:rsidR="006B03A2">
        <w:rPr>
          <w:rFonts w:cs="Arial"/>
        </w:rPr>
        <w:t>s</w:t>
      </w:r>
      <w:r w:rsidR="005B1CD8">
        <w:rPr>
          <w:rFonts w:cs="Arial"/>
        </w:rPr>
        <w:t xml:space="preserve"> </w:t>
      </w:r>
      <w:r>
        <w:rPr>
          <w:rFonts w:cs="Arial"/>
        </w:rPr>
        <w:t>the right to freedom of associatio</w:t>
      </w:r>
      <w:r w:rsidR="006B03A2">
        <w:rPr>
          <w:rFonts w:cs="Arial"/>
        </w:rPr>
        <w:t>n in all circumstances. There are, however, laws that protect elements of this right – such as industrial relations laws.</w:t>
      </w:r>
      <w:r>
        <w:rPr>
          <w:rFonts w:cs="Arial"/>
        </w:rPr>
        <w:t xml:space="preserve"> </w:t>
      </w:r>
      <w:r w:rsidR="006B03A2">
        <w:rPr>
          <w:rFonts w:cs="Arial"/>
          <w:lang w:val="en"/>
        </w:rPr>
        <w:t>T</w:t>
      </w:r>
      <w:r>
        <w:rPr>
          <w:rFonts w:cs="Arial"/>
          <w:lang w:val="en"/>
        </w:rPr>
        <w:t>he importance of freedom of association for a democratic society was recently reaffirmed by the High Court of Australia.</w:t>
      </w:r>
      <w:r>
        <w:rPr>
          <w:rStyle w:val="EndnoteReference"/>
          <w:lang w:val="en"/>
        </w:rPr>
        <w:endnoteReference w:id="42"/>
      </w:r>
    </w:p>
    <w:p w:rsidR="00BE6C80" w:rsidRDefault="00BE6C80" w:rsidP="00A222E5">
      <w:pPr>
        <w:pStyle w:val="SubmissionNormal"/>
        <w:numPr>
          <w:ilvl w:val="0"/>
          <w:numId w:val="0"/>
        </w:numPr>
        <w:tabs>
          <w:tab w:val="left" w:pos="720"/>
        </w:tabs>
        <w:rPr>
          <w:rFonts w:cs="Arial"/>
        </w:rPr>
      </w:pPr>
      <w:r>
        <w:rPr>
          <w:rFonts w:cs="Arial"/>
        </w:rPr>
        <w:t xml:space="preserve">The </w:t>
      </w:r>
      <w:r>
        <w:rPr>
          <w:rFonts w:cs="Arial"/>
          <w:i/>
          <w:iCs/>
        </w:rPr>
        <w:t xml:space="preserve">Fair Work Act 2009 </w:t>
      </w:r>
      <w:r>
        <w:rPr>
          <w:rFonts w:cs="Arial"/>
          <w:iCs/>
        </w:rPr>
        <w:t>(Cth)</w:t>
      </w:r>
      <w:r>
        <w:rPr>
          <w:rFonts w:cs="Arial"/>
          <w:i/>
          <w:iCs/>
        </w:rPr>
        <w:t xml:space="preserve"> </w:t>
      </w:r>
      <w:r w:rsidR="00464A74">
        <w:rPr>
          <w:rFonts w:cs="Arial"/>
          <w:iCs/>
        </w:rPr>
        <w:t xml:space="preserve">(Fair Work Act) </w:t>
      </w:r>
      <w:r>
        <w:rPr>
          <w:rFonts w:cs="Arial"/>
        </w:rPr>
        <w:t>protects freedom of association in the workplace by ensuring that persons are free to become, or not become, members of industrial associations.</w:t>
      </w:r>
      <w:r w:rsidR="00740FC5">
        <w:rPr>
          <w:rStyle w:val="EndnoteReference"/>
          <w:rFonts w:cs="Arial"/>
        </w:rPr>
        <w:endnoteReference w:id="43"/>
      </w:r>
      <w:r>
        <w:rPr>
          <w:rFonts w:cs="Arial"/>
        </w:rPr>
        <w:t xml:space="preserve"> This overcomes the gap in the international treaties concerning the absence of a right to not be compelled to join a trade union or professional association.</w:t>
      </w:r>
      <w:r>
        <w:rPr>
          <w:rStyle w:val="EndnoteReference"/>
          <w:rFonts w:cs="Arial"/>
        </w:rPr>
        <w:endnoteReference w:id="44"/>
      </w:r>
    </w:p>
    <w:p w:rsidR="00A222E5" w:rsidRDefault="00A222E5" w:rsidP="00A222E5">
      <w:pPr>
        <w:pStyle w:val="SubmissionNormal"/>
        <w:numPr>
          <w:ilvl w:val="0"/>
          <w:numId w:val="0"/>
        </w:numPr>
        <w:tabs>
          <w:tab w:val="left" w:pos="720"/>
        </w:tabs>
        <w:rPr>
          <w:rFonts w:cs="Arial"/>
        </w:rPr>
      </w:pPr>
      <w:r>
        <w:rPr>
          <w:rFonts w:cs="Arial"/>
        </w:rPr>
        <w:t xml:space="preserve">The </w:t>
      </w:r>
      <w:r>
        <w:rPr>
          <w:rFonts w:cs="Arial"/>
          <w:i/>
          <w:iCs/>
        </w:rPr>
        <w:t xml:space="preserve">Australian Human Rights Commission Regulations 1989 </w:t>
      </w:r>
      <w:r w:rsidR="0036611E">
        <w:rPr>
          <w:rFonts w:cs="Arial"/>
          <w:iCs/>
        </w:rPr>
        <w:t>(Cth) also prescribe</w:t>
      </w:r>
      <w:r>
        <w:rPr>
          <w:rFonts w:cs="Arial"/>
          <w:iCs/>
        </w:rPr>
        <w:t xml:space="preserve"> ‘t</w:t>
      </w:r>
      <w:r>
        <w:rPr>
          <w:rFonts w:cs="Arial"/>
        </w:rPr>
        <w:t xml:space="preserve">rade union activity’ as a ground for discrimination in employment. This means that, under the </w:t>
      </w:r>
      <w:r>
        <w:rPr>
          <w:rFonts w:cs="Arial"/>
          <w:i/>
          <w:iCs/>
        </w:rPr>
        <w:t xml:space="preserve">Australian Human Rights Commission Act 1986 </w:t>
      </w:r>
      <w:r>
        <w:rPr>
          <w:rFonts w:cs="Arial"/>
          <w:iCs/>
        </w:rPr>
        <w:t>(Cth)</w:t>
      </w:r>
      <w:r>
        <w:rPr>
          <w:rFonts w:cs="Arial"/>
        </w:rPr>
        <w:t>, the Commission can investigate complaints about discrimination in employment based on trade union activity.</w:t>
      </w:r>
      <w:r>
        <w:rPr>
          <w:rStyle w:val="EndnoteReference"/>
          <w:rFonts w:cs="Arial"/>
        </w:rPr>
        <w:endnoteReference w:id="45"/>
      </w:r>
      <w:r w:rsidR="00704817">
        <w:rPr>
          <w:rFonts w:cs="Arial"/>
        </w:rPr>
        <w:t xml:space="preserve"> This includes discrimination in circumstances where someone chooses to not be a member of a trade union.</w:t>
      </w:r>
    </w:p>
    <w:p w:rsidR="0044769C" w:rsidRDefault="000F0036" w:rsidP="000F0036">
      <w:pPr>
        <w:keepNext/>
        <w:rPr>
          <w:rFonts w:cs="Arial"/>
        </w:rPr>
      </w:pPr>
      <w:r>
        <w:rPr>
          <w:rFonts w:cs="Arial"/>
        </w:rPr>
        <w:t xml:space="preserve">The key issues </w:t>
      </w:r>
      <w:r w:rsidR="003F0305">
        <w:rPr>
          <w:rFonts w:cs="Arial"/>
        </w:rPr>
        <w:t>that arose from the consultation in relation to the right to freedom of association were</w:t>
      </w:r>
      <w:r w:rsidR="00ED4C20">
        <w:rPr>
          <w:rFonts w:cs="Arial"/>
        </w:rPr>
        <w:t>:</w:t>
      </w:r>
    </w:p>
    <w:p w:rsidR="00ED4C20" w:rsidRDefault="00ED4C20" w:rsidP="008D3832">
      <w:pPr>
        <w:numPr>
          <w:ilvl w:val="0"/>
          <w:numId w:val="31"/>
        </w:numPr>
        <w:rPr>
          <w:rFonts w:cs="Arial"/>
        </w:rPr>
      </w:pPr>
      <w:r>
        <w:rPr>
          <w:rFonts w:cs="Arial"/>
        </w:rPr>
        <w:t>anti-consorting laws</w:t>
      </w:r>
    </w:p>
    <w:p w:rsidR="00ED4C20" w:rsidRDefault="00ED4C20" w:rsidP="008D3832">
      <w:pPr>
        <w:numPr>
          <w:ilvl w:val="0"/>
          <w:numId w:val="31"/>
        </w:numPr>
        <w:rPr>
          <w:rFonts w:cs="Arial"/>
        </w:rPr>
      </w:pPr>
      <w:r>
        <w:rPr>
          <w:rFonts w:cs="Arial"/>
        </w:rPr>
        <w:t>trade unions and freedom of association in the workplace</w:t>
      </w:r>
      <w:r w:rsidR="000441E1">
        <w:rPr>
          <w:rFonts w:cs="Arial"/>
        </w:rPr>
        <w:t>.</w:t>
      </w:r>
    </w:p>
    <w:p w:rsidR="003F0305" w:rsidRPr="003F0305" w:rsidRDefault="003F0305" w:rsidP="003F0305">
      <w:pPr>
        <w:pStyle w:val="Heading4"/>
        <w:numPr>
          <w:ilvl w:val="0"/>
          <w:numId w:val="0"/>
        </w:numPr>
        <w:ind w:left="851" w:hanging="851"/>
        <w:rPr>
          <w:i/>
        </w:rPr>
      </w:pPr>
      <w:bookmarkStart w:id="211" w:name="_Toc413932286"/>
      <w:r w:rsidRPr="003F0305">
        <w:rPr>
          <w:i/>
        </w:rPr>
        <w:lastRenderedPageBreak/>
        <w:t>Anti-consorting laws</w:t>
      </w:r>
      <w:bookmarkEnd w:id="211"/>
    </w:p>
    <w:p w:rsidR="00384030" w:rsidRDefault="003F0305" w:rsidP="00384030">
      <w:pPr>
        <w:rPr>
          <w:rFonts w:cs="Arial"/>
        </w:rPr>
      </w:pPr>
      <w:r w:rsidRPr="00592066">
        <w:rPr>
          <w:rFonts w:cs="Arial"/>
        </w:rPr>
        <w:t>Several</w:t>
      </w:r>
      <w:r w:rsidR="00384030">
        <w:rPr>
          <w:rFonts w:cs="Arial"/>
        </w:rPr>
        <w:t xml:space="preserve"> submissions express</w:t>
      </w:r>
      <w:r w:rsidR="00A56A37">
        <w:rPr>
          <w:rFonts w:cs="Arial"/>
        </w:rPr>
        <w:t>ed</w:t>
      </w:r>
      <w:r w:rsidR="00384030">
        <w:rPr>
          <w:rFonts w:cs="Arial"/>
        </w:rPr>
        <w:t xml:space="preserve"> concern about</w:t>
      </w:r>
      <w:r w:rsidRPr="00592066">
        <w:rPr>
          <w:rFonts w:cs="Arial"/>
        </w:rPr>
        <w:t xml:space="preserve"> the </w:t>
      </w:r>
      <w:r w:rsidR="00A56A37">
        <w:rPr>
          <w:rFonts w:cs="Arial"/>
        </w:rPr>
        <w:t xml:space="preserve">extent to which </w:t>
      </w:r>
      <w:r w:rsidR="00384030">
        <w:rPr>
          <w:rFonts w:cs="Arial"/>
        </w:rPr>
        <w:t xml:space="preserve">consorting offences </w:t>
      </w:r>
      <w:r w:rsidRPr="00592066">
        <w:rPr>
          <w:rFonts w:cs="Arial"/>
        </w:rPr>
        <w:t>curtail the right to freedom of association</w:t>
      </w:r>
      <w:r w:rsidR="00384030">
        <w:rPr>
          <w:rFonts w:cs="Arial"/>
        </w:rPr>
        <w:t xml:space="preserve">. </w:t>
      </w:r>
      <w:r w:rsidR="00B65C34">
        <w:rPr>
          <w:rFonts w:cs="Arial"/>
        </w:rPr>
        <w:t>The main area of concern was:</w:t>
      </w:r>
    </w:p>
    <w:p w:rsidR="00906E28" w:rsidRPr="00C4579C" w:rsidRDefault="0036611E" w:rsidP="00C4579C">
      <w:pPr>
        <w:ind w:left="720"/>
        <w:rPr>
          <w:rFonts w:cs="Arial"/>
          <w:sz w:val="22"/>
          <w:szCs w:val="22"/>
        </w:rPr>
      </w:pPr>
      <w:r>
        <w:rPr>
          <w:rFonts w:cs="Arial"/>
          <w:i/>
          <w:sz w:val="22"/>
          <w:szCs w:val="22"/>
        </w:rPr>
        <w:t>… [T]</w:t>
      </w:r>
      <w:r w:rsidR="00384030" w:rsidRPr="00906E28">
        <w:rPr>
          <w:rFonts w:cs="Arial"/>
          <w:i/>
          <w:sz w:val="22"/>
          <w:szCs w:val="22"/>
        </w:rPr>
        <w:t>he emergence of new laws that increasingly criminalise association with people, rather than criminalise acts themselves.</w:t>
      </w:r>
      <w:r w:rsidR="00384030">
        <w:rPr>
          <w:rFonts w:cs="Arial"/>
          <w:sz w:val="22"/>
          <w:szCs w:val="22"/>
        </w:rPr>
        <w:t xml:space="preserve"> Human Rights Law Centre submission</w:t>
      </w:r>
    </w:p>
    <w:p w:rsidR="00906E28" w:rsidRDefault="005C208C" w:rsidP="003F0305">
      <w:pPr>
        <w:rPr>
          <w:rFonts w:cs="Arial"/>
        </w:rPr>
      </w:pPr>
      <w:r>
        <w:rPr>
          <w:rFonts w:cs="Arial"/>
        </w:rPr>
        <w:t>A</w:t>
      </w:r>
      <w:r w:rsidR="00906E28">
        <w:rPr>
          <w:rFonts w:cs="Arial"/>
        </w:rPr>
        <w:t xml:space="preserve">nti-consorting laws that </w:t>
      </w:r>
      <w:r w:rsidR="00F77351">
        <w:rPr>
          <w:rFonts w:cs="Arial"/>
        </w:rPr>
        <w:t>were repeatedly</w:t>
      </w:r>
      <w:r>
        <w:rPr>
          <w:rFonts w:cs="Arial"/>
        </w:rPr>
        <w:t xml:space="preserve"> mention</w:t>
      </w:r>
      <w:r w:rsidR="00F77351">
        <w:rPr>
          <w:rFonts w:cs="Arial"/>
        </w:rPr>
        <w:t>ed</w:t>
      </w:r>
      <w:r>
        <w:rPr>
          <w:rFonts w:cs="Arial"/>
        </w:rPr>
        <w:t xml:space="preserve"> during the </w:t>
      </w:r>
      <w:r w:rsidR="00906E28">
        <w:rPr>
          <w:rFonts w:cs="Arial"/>
        </w:rPr>
        <w:t>consultation include:</w:t>
      </w:r>
    </w:p>
    <w:p w:rsidR="00887C52" w:rsidRDefault="00384030" w:rsidP="008D3832">
      <w:pPr>
        <w:numPr>
          <w:ilvl w:val="0"/>
          <w:numId w:val="35"/>
        </w:numPr>
        <w:rPr>
          <w:rFonts w:cs="Arial"/>
        </w:rPr>
      </w:pPr>
      <w:r>
        <w:rPr>
          <w:rFonts w:cs="Arial"/>
        </w:rPr>
        <w:t xml:space="preserve">amendments to the </w:t>
      </w:r>
      <w:r w:rsidRPr="0035730E">
        <w:rPr>
          <w:rFonts w:cs="Arial"/>
          <w:i/>
        </w:rPr>
        <w:t>Crimes Act 1900</w:t>
      </w:r>
      <w:r>
        <w:rPr>
          <w:rFonts w:cs="Arial"/>
        </w:rPr>
        <w:t xml:space="preserve"> (NSW) on 9 April 2012 that place restrictions on ‘consorting’ with people who are convicted</w:t>
      </w:r>
      <w:r w:rsidR="00887C52">
        <w:rPr>
          <w:rFonts w:cs="Arial"/>
        </w:rPr>
        <w:t xml:space="preserve"> of an indictable offence</w:t>
      </w:r>
    </w:p>
    <w:p w:rsidR="00906E28" w:rsidRDefault="00887C52" w:rsidP="008D3832">
      <w:pPr>
        <w:numPr>
          <w:ilvl w:val="0"/>
          <w:numId w:val="35"/>
        </w:numPr>
        <w:rPr>
          <w:rFonts w:cs="Arial"/>
        </w:rPr>
      </w:pPr>
      <w:r>
        <w:rPr>
          <w:rFonts w:cs="Arial"/>
        </w:rPr>
        <w:t xml:space="preserve">the </w:t>
      </w:r>
      <w:r w:rsidR="00012262" w:rsidRPr="00012262">
        <w:rPr>
          <w:rFonts w:cs="Arial"/>
          <w:i/>
        </w:rPr>
        <w:t>Vicious Lawless Association Disestablishment Act 2013</w:t>
      </w:r>
      <w:r w:rsidR="00012262">
        <w:rPr>
          <w:rFonts w:cs="Arial"/>
        </w:rPr>
        <w:t xml:space="preserve"> (Qld) and associated reforms that provide </w:t>
      </w:r>
      <w:r>
        <w:rPr>
          <w:rFonts w:cs="Arial"/>
        </w:rPr>
        <w:t xml:space="preserve">mandatory minimum sentences for </w:t>
      </w:r>
      <w:r w:rsidR="00012262">
        <w:rPr>
          <w:rFonts w:cs="Arial"/>
        </w:rPr>
        <w:t>members and associates of criminal gangs who commit offences as part of their participation in</w:t>
      </w:r>
      <w:r w:rsidR="005C208C">
        <w:rPr>
          <w:rFonts w:cs="Arial"/>
        </w:rPr>
        <w:t xml:space="preserve"> a gang</w:t>
      </w:r>
    </w:p>
    <w:p w:rsidR="0071612F" w:rsidRDefault="0071612F" w:rsidP="008D3832">
      <w:pPr>
        <w:numPr>
          <w:ilvl w:val="0"/>
          <w:numId w:val="35"/>
        </w:numPr>
        <w:rPr>
          <w:rFonts w:cs="Arial"/>
        </w:rPr>
      </w:pPr>
      <w:r>
        <w:rPr>
          <w:rFonts w:cs="Arial"/>
        </w:rPr>
        <w:t xml:space="preserve">the </w:t>
      </w:r>
      <w:r w:rsidRPr="00C03A91">
        <w:rPr>
          <w:rFonts w:cs="Arial"/>
          <w:i/>
        </w:rPr>
        <w:t>Criminal Organisation</w:t>
      </w:r>
      <w:r w:rsidR="00C03A91" w:rsidRPr="00C03A91">
        <w:rPr>
          <w:rFonts w:cs="Arial"/>
          <w:i/>
        </w:rPr>
        <w:t>s Control Act 2012</w:t>
      </w:r>
      <w:r>
        <w:rPr>
          <w:rFonts w:cs="Arial"/>
        </w:rPr>
        <w:t xml:space="preserve"> (Western Australia) designed to give </w:t>
      </w:r>
      <w:r w:rsidR="002E7337">
        <w:rPr>
          <w:rFonts w:cs="Arial"/>
        </w:rPr>
        <w:t>police and courts additional powers to deal with organised crime, including the ability to have a court declare an organisation to be a criminal organisation allowing for additional sanctions against its members</w:t>
      </w:r>
      <w:r w:rsidR="005C208C">
        <w:rPr>
          <w:rFonts w:cs="Arial"/>
        </w:rPr>
        <w:t>.</w:t>
      </w:r>
    </w:p>
    <w:p w:rsidR="00C040D2" w:rsidRDefault="00F918FE" w:rsidP="00887C52">
      <w:pPr>
        <w:rPr>
          <w:rFonts w:cs="Arial"/>
        </w:rPr>
      </w:pPr>
      <w:r>
        <w:rPr>
          <w:rFonts w:cs="Arial"/>
        </w:rPr>
        <w:t>Notably, the High Court</w:t>
      </w:r>
      <w:r w:rsidR="00C040D2">
        <w:rPr>
          <w:rFonts w:cs="Arial"/>
        </w:rPr>
        <w:t xml:space="preserve"> confirmed </w:t>
      </w:r>
      <w:r>
        <w:rPr>
          <w:rFonts w:cs="Arial"/>
        </w:rPr>
        <w:t xml:space="preserve">in October 2014 </w:t>
      </w:r>
      <w:r w:rsidR="002E7439">
        <w:rPr>
          <w:rFonts w:cs="Arial"/>
        </w:rPr>
        <w:t>that the Australian Constitution does not protect against the enactment of these laws.</w:t>
      </w:r>
      <w:r w:rsidR="002E7439">
        <w:rPr>
          <w:rStyle w:val="EndnoteReference"/>
          <w:rFonts w:cs="Arial"/>
        </w:rPr>
        <w:endnoteReference w:id="46"/>
      </w:r>
      <w:r w:rsidR="002E7439">
        <w:rPr>
          <w:rFonts w:cs="Arial"/>
        </w:rPr>
        <w:t xml:space="preserve"> </w:t>
      </w:r>
    </w:p>
    <w:p w:rsidR="007405FC" w:rsidRDefault="00A440E6" w:rsidP="00887C52">
      <w:pPr>
        <w:rPr>
          <w:rFonts w:cs="Arial"/>
        </w:rPr>
      </w:pPr>
      <w:r>
        <w:rPr>
          <w:rFonts w:cs="Arial"/>
        </w:rPr>
        <w:t xml:space="preserve">The Public Interest Advocacy Centre highlighted in its submission that all state and </w:t>
      </w:r>
      <w:r w:rsidR="00790124">
        <w:rPr>
          <w:rFonts w:cs="Arial"/>
        </w:rPr>
        <w:t>territory jurisdictions</w:t>
      </w:r>
      <w:r w:rsidR="00F77351">
        <w:rPr>
          <w:rFonts w:cs="Arial"/>
        </w:rPr>
        <w:t xml:space="preserve"> (except the ACT) have</w:t>
      </w:r>
      <w:r>
        <w:rPr>
          <w:rFonts w:cs="Arial"/>
        </w:rPr>
        <w:t xml:space="preserve"> some form of anti-consorting laws. It highlighted the </w:t>
      </w:r>
      <w:r w:rsidR="00790124">
        <w:rPr>
          <w:rFonts w:cs="Arial"/>
        </w:rPr>
        <w:t>broader, national significance of these laws</w:t>
      </w:r>
      <w:r w:rsidR="007405FC">
        <w:rPr>
          <w:rFonts w:cs="Arial"/>
        </w:rPr>
        <w:t>:</w:t>
      </w:r>
    </w:p>
    <w:p w:rsidR="00887C52" w:rsidRPr="006D3D8D" w:rsidRDefault="007405FC" w:rsidP="00790124">
      <w:pPr>
        <w:ind w:left="720"/>
        <w:rPr>
          <w:rFonts w:cs="Arial"/>
          <w:sz w:val="22"/>
          <w:szCs w:val="22"/>
        </w:rPr>
      </w:pPr>
      <w:r w:rsidRPr="006D3D8D">
        <w:rPr>
          <w:rFonts w:cs="Arial"/>
          <w:i/>
          <w:sz w:val="22"/>
          <w:szCs w:val="22"/>
        </w:rPr>
        <w:t>Anti-consorting laws by their very nature go beyond state and territory</w:t>
      </w:r>
      <w:r w:rsidR="006D3D8D" w:rsidRPr="006D3D8D">
        <w:rPr>
          <w:rFonts w:cs="Arial"/>
          <w:i/>
          <w:sz w:val="22"/>
          <w:szCs w:val="22"/>
        </w:rPr>
        <w:t xml:space="preserve"> boundaries, not least because the acts constituting consorting will frequently involve interstate activities and actors.</w:t>
      </w:r>
      <w:r w:rsidR="006D3D8D" w:rsidRPr="006D3D8D">
        <w:rPr>
          <w:rFonts w:cs="Arial"/>
          <w:sz w:val="22"/>
          <w:szCs w:val="22"/>
        </w:rPr>
        <w:t xml:space="preserve"> Public Interest Advocacy Centre submission</w:t>
      </w:r>
    </w:p>
    <w:p w:rsidR="0079237D" w:rsidRDefault="0079237D" w:rsidP="0044769C">
      <w:pPr>
        <w:rPr>
          <w:rFonts w:cs="Arial"/>
        </w:rPr>
      </w:pPr>
      <w:r>
        <w:rPr>
          <w:rFonts w:cs="Arial"/>
        </w:rPr>
        <w:t xml:space="preserve">NACLC also raise concerns that </w:t>
      </w:r>
      <w:r w:rsidR="00343781">
        <w:rPr>
          <w:rFonts w:cs="Arial"/>
        </w:rPr>
        <w:t>anti-consorting legislation</w:t>
      </w:r>
      <w:r>
        <w:rPr>
          <w:rFonts w:cs="Arial"/>
        </w:rPr>
        <w:t xml:space="preserve"> in NSW </w:t>
      </w:r>
      <w:r w:rsidR="00343781">
        <w:rPr>
          <w:rFonts w:cs="Arial"/>
        </w:rPr>
        <w:t>is</w:t>
      </w:r>
      <w:r>
        <w:rPr>
          <w:rFonts w:cs="Arial"/>
        </w:rPr>
        <w:t>:</w:t>
      </w:r>
    </w:p>
    <w:p w:rsidR="00921144" w:rsidRPr="00921144" w:rsidRDefault="0079237D" w:rsidP="00921144">
      <w:pPr>
        <w:ind w:left="720"/>
        <w:rPr>
          <w:rFonts w:cs="Arial"/>
          <w:sz w:val="22"/>
          <w:szCs w:val="22"/>
        </w:rPr>
      </w:pPr>
      <w:r w:rsidRPr="00343781">
        <w:rPr>
          <w:rFonts w:cs="Arial"/>
          <w:i/>
          <w:sz w:val="22"/>
          <w:szCs w:val="22"/>
        </w:rPr>
        <w:t>…</w:t>
      </w:r>
      <w:r w:rsidR="0082063D">
        <w:rPr>
          <w:rFonts w:cs="Arial"/>
          <w:i/>
          <w:sz w:val="22"/>
          <w:szCs w:val="22"/>
        </w:rPr>
        <w:t xml:space="preserve"> </w:t>
      </w:r>
      <w:r w:rsidRPr="00343781">
        <w:rPr>
          <w:rFonts w:cs="Arial"/>
          <w:i/>
          <w:sz w:val="22"/>
          <w:szCs w:val="22"/>
        </w:rPr>
        <w:t>unduly broad</w:t>
      </w:r>
      <w:r w:rsidR="00343781" w:rsidRPr="00343781">
        <w:rPr>
          <w:rFonts w:cs="Arial"/>
          <w:i/>
          <w:sz w:val="22"/>
          <w:szCs w:val="22"/>
        </w:rPr>
        <w:t>, and that it has a “net widening effect” with unintended consequences for the most disadvantaged and marginalised people in NSW, including Aboriginal and Torres Strait Islander people and people experiencing homelessness.</w:t>
      </w:r>
      <w:r w:rsidR="00343781" w:rsidRPr="00343781">
        <w:rPr>
          <w:rFonts w:cs="Arial"/>
          <w:sz w:val="22"/>
          <w:szCs w:val="22"/>
        </w:rPr>
        <w:t xml:space="preserve"> NACLC submission</w:t>
      </w:r>
    </w:p>
    <w:p w:rsidR="00790124" w:rsidRDefault="007C45F2" w:rsidP="0044769C">
      <w:pPr>
        <w:rPr>
          <w:rFonts w:cs="Arial"/>
        </w:rPr>
      </w:pPr>
      <w:r>
        <w:rPr>
          <w:rFonts w:cs="Arial"/>
        </w:rPr>
        <w:t>Scarle</w:t>
      </w:r>
      <w:r w:rsidR="00790124">
        <w:rPr>
          <w:rFonts w:cs="Arial"/>
        </w:rPr>
        <w:t>t Alliance</w:t>
      </w:r>
      <w:r>
        <w:rPr>
          <w:rFonts w:cs="Arial"/>
        </w:rPr>
        <w:t>, the Australian Sex Workers Association</w:t>
      </w:r>
      <w:r w:rsidR="00921144">
        <w:rPr>
          <w:rFonts w:cs="Arial"/>
        </w:rPr>
        <w:t>,</w:t>
      </w:r>
      <w:r w:rsidR="00FF22E2">
        <w:rPr>
          <w:rFonts w:cs="Arial"/>
        </w:rPr>
        <w:t xml:space="preserve"> </w:t>
      </w:r>
      <w:r>
        <w:rPr>
          <w:rFonts w:cs="Arial"/>
        </w:rPr>
        <w:t xml:space="preserve">outlined </w:t>
      </w:r>
      <w:r w:rsidR="00D41F25">
        <w:rPr>
          <w:rFonts w:cs="Arial"/>
        </w:rPr>
        <w:t>how</w:t>
      </w:r>
      <w:r w:rsidR="00CB453C">
        <w:rPr>
          <w:rFonts w:cs="Arial"/>
        </w:rPr>
        <w:t xml:space="preserve"> </w:t>
      </w:r>
      <w:r w:rsidR="00790124">
        <w:rPr>
          <w:rFonts w:cs="Arial"/>
        </w:rPr>
        <w:t>legislation</w:t>
      </w:r>
      <w:r w:rsidR="00CB453C">
        <w:rPr>
          <w:rFonts w:cs="Arial"/>
        </w:rPr>
        <w:t xml:space="preserve"> – including anti-consorting laws –</w:t>
      </w:r>
      <w:r w:rsidR="00790124">
        <w:rPr>
          <w:rFonts w:cs="Arial"/>
        </w:rPr>
        <w:t xml:space="preserve"> </w:t>
      </w:r>
      <w:r w:rsidR="00467993">
        <w:rPr>
          <w:rFonts w:cs="Arial"/>
        </w:rPr>
        <w:t>adversely impacts</w:t>
      </w:r>
      <w:r w:rsidR="001E7702">
        <w:rPr>
          <w:rFonts w:cs="Arial"/>
        </w:rPr>
        <w:t xml:space="preserve"> the </w:t>
      </w:r>
      <w:r w:rsidR="00467993">
        <w:rPr>
          <w:rFonts w:cs="Arial"/>
        </w:rPr>
        <w:t xml:space="preserve">association and </w:t>
      </w:r>
      <w:r w:rsidR="001E7702">
        <w:rPr>
          <w:rFonts w:cs="Arial"/>
        </w:rPr>
        <w:t xml:space="preserve">employment conditions of </w:t>
      </w:r>
      <w:r w:rsidR="00790124">
        <w:rPr>
          <w:rFonts w:cs="Arial"/>
        </w:rPr>
        <w:t>sex workers</w:t>
      </w:r>
      <w:r w:rsidR="00921144">
        <w:rPr>
          <w:rFonts w:cs="Arial"/>
        </w:rPr>
        <w:t>:</w:t>
      </w:r>
    </w:p>
    <w:p w:rsidR="003F0305" w:rsidRPr="00784FA8" w:rsidRDefault="001E7702" w:rsidP="00784FA8">
      <w:pPr>
        <w:ind w:left="720"/>
        <w:rPr>
          <w:rFonts w:cs="Arial"/>
          <w:sz w:val="22"/>
          <w:szCs w:val="22"/>
        </w:rPr>
      </w:pPr>
      <w:r w:rsidRPr="001E7702">
        <w:rPr>
          <w:rFonts w:cs="Arial"/>
          <w:i/>
          <w:sz w:val="22"/>
          <w:szCs w:val="22"/>
        </w:rPr>
        <w:t>Criminal and licensing laws prevent association between sex workers and restrict our abilities to organise and engage in political, industrial and collective advocacy. In some state</w:t>
      </w:r>
      <w:r w:rsidR="0036611E">
        <w:rPr>
          <w:rFonts w:cs="Arial"/>
          <w:i/>
          <w:sz w:val="22"/>
          <w:szCs w:val="22"/>
        </w:rPr>
        <w:t>s</w:t>
      </w:r>
      <w:r w:rsidRPr="001E7702">
        <w:rPr>
          <w:rFonts w:cs="Arial"/>
          <w:i/>
          <w:sz w:val="22"/>
          <w:szCs w:val="22"/>
        </w:rPr>
        <w:t>, laws require private sex workers to work alone. These consorting laws, which prevent sex workers from working together, making referrals or hiring drivers, receptionists or security, deny sex workers the right to freedom of association and have obvious impacts on the safety of sex workers and our access to mentoring support networks and opportunities for advocacy and unionising.</w:t>
      </w:r>
      <w:r>
        <w:rPr>
          <w:rFonts w:cs="Arial"/>
          <w:sz w:val="22"/>
          <w:szCs w:val="22"/>
        </w:rPr>
        <w:t xml:space="preserve"> Scarlet Alliance submission</w:t>
      </w:r>
    </w:p>
    <w:p w:rsidR="003F0305" w:rsidRPr="003F0305" w:rsidRDefault="003F0305" w:rsidP="003F0305">
      <w:pPr>
        <w:pStyle w:val="Heading4"/>
        <w:numPr>
          <w:ilvl w:val="0"/>
          <w:numId w:val="0"/>
        </w:numPr>
        <w:ind w:left="851" w:hanging="851"/>
        <w:rPr>
          <w:i/>
        </w:rPr>
      </w:pPr>
      <w:bookmarkStart w:id="212" w:name="_Toc413932287"/>
      <w:r w:rsidRPr="003F0305">
        <w:rPr>
          <w:i/>
        </w:rPr>
        <w:lastRenderedPageBreak/>
        <w:t>Trade unions and freedom of association in the workplace</w:t>
      </w:r>
      <w:bookmarkEnd w:id="212"/>
    </w:p>
    <w:p w:rsidR="00BF6490" w:rsidRDefault="0044769C" w:rsidP="0044769C">
      <w:pPr>
        <w:rPr>
          <w:rFonts w:cs="Arial"/>
        </w:rPr>
      </w:pPr>
      <w:r>
        <w:rPr>
          <w:rFonts w:cs="Arial"/>
          <w:lang w:val="en"/>
        </w:rPr>
        <w:t xml:space="preserve">Freedom of association in the workplace </w:t>
      </w:r>
      <w:r w:rsidR="003F0305">
        <w:rPr>
          <w:rFonts w:cs="Arial"/>
          <w:lang w:val="en"/>
        </w:rPr>
        <w:t xml:space="preserve">is </w:t>
      </w:r>
      <w:r w:rsidR="00464A74">
        <w:rPr>
          <w:rFonts w:cs="Arial"/>
          <w:iCs/>
        </w:rPr>
        <w:t>protected in the Fair Work Act</w:t>
      </w:r>
      <w:r>
        <w:rPr>
          <w:rFonts w:cs="Arial"/>
        </w:rPr>
        <w:t xml:space="preserve">. </w:t>
      </w:r>
      <w:r w:rsidR="00784FA8">
        <w:rPr>
          <w:rFonts w:cs="Arial"/>
        </w:rPr>
        <w:t>T</w:t>
      </w:r>
      <w:r w:rsidR="0020528F">
        <w:rPr>
          <w:rFonts w:cs="Arial"/>
        </w:rPr>
        <w:t xml:space="preserve">he right of entry </w:t>
      </w:r>
      <w:r w:rsidR="00784FA8">
        <w:rPr>
          <w:rFonts w:cs="Arial"/>
        </w:rPr>
        <w:t>provisions of the Fa</w:t>
      </w:r>
      <w:r w:rsidR="00EA7C96">
        <w:rPr>
          <w:rFonts w:cs="Arial"/>
        </w:rPr>
        <w:t xml:space="preserve">ir Work Act, which regulate trade union officials </w:t>
      </w:r>
      <w:r w:rsidR="00784FA8">
        <w:rPr>
          <w:rFonts w:cs="Arial"/>
        </w:rPr>
        <w:t>enter</w:t>
      </w:r>
      <w:r w:rsidR="00EA7C96">
        <w:rPr>
          <w:rFonts w:cs="Arial"/>
        </w:rPr>
        <w:t>ing</w:t>
      </w:r>
      <w:r w:rsidR="00784FA8">
        <w:rPr>
          <w:rFonts w:cs="Arial"/>
        </w:rPr>
        <w:t xml:space="preserve"> a workplace premises</w:t>
      </w:r>
      <w:r w:rsidR="00BF6490">
        <w:rPr>
          <w:rFonts w:cs="Arial"/>
        </w:rPr>
        <w:t xml:space="preserve">, were discussed in a number of meetings. </w:t>
      </w:r>
      <w:r w:rsidR="00EA7C96">
        <w:rPr>
          <w:rFonts w:cs="Arial"/>
        </w:rPr>
        <w:t xml:space="preserve">The right of trade unions to enter premises can directly impact on the right of workers to join a trade union and assert their right to freedom of association in the workplace. </w:t>
      </w:r>
      <w:r w:rsidR="00BF6490">
        <w:rPr>
          <w:rFonts w:cs="Arial"/>
        </w:rPr>
        <w:t>The issue for both the business community and trade unions was about balancing</w:t>
      </w:r>
      <w:r w:rsidR="0019103E">
        <w:rPr>
          <w:rFonts w:cs="Arial"/>
        </w:rPr>
        <w:t xml:space="preserve"> the rights of</w:t>
      </w:r>
      <w:r w:rsidR="00BF6490">
        <w:rPr>
          <w:rFonts w:cs="Arial"/>
        </w:rPr>
        <w:t>:</w:t>
      </w:r>
    </w:p>
    <w:p w:rsidR="00BF6490" w:rsidRDefault="00BF6490" w:rsidP="008D3832">
      <w:pPr>
        <w:numPr>
          <w:ilvl w:val="0"/>
          <w:numId w:val="35"/>
        </w:numPr>
        <w:rPr>
          <w:rFonts w:cs="Arial"/>
        </w:rPr>
      </w:pPr>
      <w:r>
        <w:rPr>
          <w:rFonts w:cs="Arial"/>
        </w:rPr>
        <w:t xml:space="preserve">unions to represent their members in the workplace, hold discussions with </w:t>
      </w:r>
      <w:r w:rsidR="0019103E">
        <w:rPr>
          <w:rFonts w:cs="Arial"/>
        </w:rPr>
        <w:t>potential members, and investigate contraventions of workplace laws and instruments</w:t>
      </w:r>
      <w:r>
        <w:rPr>
          <w:rFonts w:cs="Arial"/>
        </w:rPr>
        <w:t xml:space="preserve"> </w:t>
      </w:r>
    </w:p>
    <w:p w:rsidR="0019103E" w:rsidRDefault="0019103E" w:rsidP="008D3832">
      <w:pPr>
        <w:numPr>
          <w:ilvl w:val="0"/>
          <w:numId w:val="35"/>
        </w:numPr>
        <w:rPr>
          <w:rFonts w:cs="Arial"/>
        </w:rPr>
      </w:pPr>
      <w:r>
        <w:rPr>
          <w:rFonts w:cs="Arial"/>
        </w:rPr>
        <w:t>employers to continue business without undue inconvenience</w:t>
      </w:r>
    </w:p>
    <w:p w:rsidR="00D41F25" w:rsidRDefault="0019103E" w:rsidP="008D3832">
      <w:pPr>
        <w:numPr>
          <w:ilvl w:val="0"/>
          <w:numId w:val="35"/>
        </w:numPr>
        <w:rPr>
          <w:rFonts w:cs="Arial"/>
        </w:rPr>
      </w:pPr>
      <w:r>
        <w:rPr>
          <w:rFonts w:cs="Arial"/>
        </w:rPr>
        <w:t>employees to receive, at work, information and representation from union officials.</w:t>
      </w:r>
    </w:p>
    <w:p w:rsidR="007274BF" w:rsidRPr="00D41F25" w:rsidRDefault="007274BF" w:rsidP="007274BF">
      <w:pPr>
        <w:rPr>
          <w:rFonts w:cs="Arial"/>
        </w:rPr>
      </w:pPr>
      <w:r>
        <w:rPr>
          <w:rFonts w:cs="Arial"/>
        </w:rPr>
        <w:t>Amendments to the Fair Work Act that include changes to the right of entry framework are currently before the Senate.</w:t>
      </w:r>
      <w:r>
        <w:rPr>
          <w:rStyle w:val="EndnoteReference"/>
          <w:rFonts w:cs="Arial"/>
        </w:rPr>
        <w:endnoteReference w:id="47"/>
      </w:r>
    </w:p>
    <w:p w:rsidR="00EA7C96" w:rsidRDefault="008F0B11" w:rsidP="0044769C">
      <w:pPr>
        <w:rPr>
          <w:rFonts w:cs="Arial"/>
        </w:rPr>
      </w:pPr>
      <w:r>
        <w:rPr>
          <w:rFonts w:cs="Arial"/>
        </w:rPr>
        <w:t>A related issue that was outlined during the consultation was t</w:t>
      </w:r>
      <w:r w:rsidRPr="008A7551">
        <w:rPr>
          <w:rFonts w:cs="Arial"/>
        </w:rPr>
        <w:t>he capacity for union enterprise agreements to specify an industry superannuation fund for employers to make contributions o</w:t>
      </w:r>
      <w:r>
        <w:rPr>
          <w:rFonts w:cs="Arial"/>
        </w:rPr>
        <w:t>n behalf of their workers. The question was asked as to whether these agreements contravene</w:t>
      </w:r>
      <w:r w:rsidRPr="008A7551">
        <w:rPr>
          <w:rFonts w:cs="Arial"/>
        </w:rPr>
        <w:t xml:space="preserve"> the intent of the </w:t>
      </w:r>
      <w:r w:rsidRPr="0029346E">
        <w:rPr>
          <w:rFonts w:cs="Arial"/>
          <w:i/>
          <w:lang w:val="en"/>
        </w:rPr>
        <w:t>Super</w:t>
      </w:r>
      <w:r w:rsidRPr="0029346E">
        <w:rPr>
          <w:rFonts w:cs="Arial"/>
          <w:i/>
          <w:lang w:val="en"/>
        </w:rPr>
        <w:softHyphen/>
        <w:t>annuation Legislation Amendment (Choice of Superannuation Funds) Act 2004</w:t>
      </w:r>
      <w:r w:rsidRPr="008A7551">
        <w:rPr>
          <w:rFonts w:cs="Arial"/>
          <w:lang w:val="en"/>
        </w:rPr>
        <w:t xml:space="preserve"> (Cth), which provides for employees to select their preferred superannuation fund</w:t>
      </w:r>
      <w:r>
        <w:rPr>
          <w:rFonts w:cs="Arial"/>
          <w:lang w:val="en"/>
        </w:rPr>
        <w:t>.</w:t>
      </w:r>
      <w:r>
        <w:rPr>
          <w:rStyle w:val="EndnoteReference"/>
          <w:rFonts w:cs="Arial"/>
          <w:lang w:val="en"/>
        </w:rPr>
        <w:endnoteReference w:id="48"/>
      </w:r>
    </w:p>
    <w:p w:rsidR="00DA7C14" w:rsidRPr="00A91F00" w:rsidRDefault="00796D3D" w:rsidP="0044769C">
      <w:pPr>
        <w:rPr>
          <w:lang w:val="en-US"/>
        </w:rPr>
      </w:pPr>
      <w:r>
        <w:rPr>
          <w:rFonts w:cs="Arial"/>
        </w:rPr>
        <w:t>The</w:t>
      </w:r>
      <w:r w:rsidR="00303449">
        <w:rPr>
          <w:rFonts w:cs="Arial"/>
        </w:rPr>
        <w:t xml:space="preserve"> imp</w:t>
      </w:r>
      <w:r w:rsidR="00D41F25">
        <w:rPr>
          <w:rFonts w:cs="Arial"/>
        </w:rPr>
        <w:t xml:space="preserve">ortance of upholding the right to </w:t>
      </w:r>
      <w:r w:rsidR="00303449">
        <w:rPr>
          <w:rFonts w:cs="Arial"/>
        </w:rPr>
        <w:t>freedom of association in the workplace is outlined in the textbox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44769C" w:rsidRPr="0073669B" w:rsidTr="00FE4131">
        <w:tc>
          <w:tcPr>
            <w:tcW w:w="9286" w:type="dxa"/>
            <w:shd w:val="clear" w:color="auto" w:fill="E0E0E0"/>
          </w:tcPr>
          <w:p w:rsidR="0044769C" w:rsidRPr="004C5656" w:rsidRDefault="0044769C" w:rsidP="00FE4131">
            <w:pPr>
              <w:rPr>
                <w:rFonts w:cs="Arial"/>
                <w:b/>
                <w:sz w:val="22"/>
                <w:szCs w:val="22"/>
              </w:rPr>
            </w:pPr>
            <w:r w:rsidRPr="004C5656">
              <w:rPr>
                <w:rFonts w:cs="Arial"/>
                <w:b/>
                <w:sz w:val="22"/>
                <w:szCs w:val="22"/>
              </w:rPr>
              <w:t>Cleaning Services Guidelines – United Voice and freedom of a</w:t>
            </w:r>
            <w:r>
              <w:rPr>
                <w:rFonts w:cs="Arial"/>
                <w:b/>
                <w:sz w:val="22"/>
                <w:szCs w:val="22"/>
              </w:rPr>
              <w:t>ssociation</w:t>
            </w:r>
          </w:p>
          <w:p w:rsidR="0044769C" w:rsidRDefault="0044769C" w:rsidP="00FE4131">
            <w:pPr>
              <w:rPr>
                <w:rFonts w:cs="Arial"/>
                <w:sz w:val="22"/>
                <w:szCs w:val="22"/>
              </w:rPr>
            </w:pPr>
            <w:r>
              <w:rPr>
                <w:rFonts w:cs="Arial"/>
                <w:sz w:val="22"/>
                <w:szCs w:val="22"/>
              </w:rPr>
              <w:t>C</w:t>
            </w:r>
            <w:r w:rsidRPr="00D15310">
              <w:rPr>
                <w:rFonts w:cs="Arial"/>
                <w:sz w:val="22"/>
                <w:szCs w:val="22"/>
              </w:rPr>
              <w:t>leaners</w:t>
            </w:r>
            <w:r>
              <w:rPr>
                <w:rFonts w:cs="Arial"/>
                <w:sz w:val="22"/>
                <w:szCs w:val="22"/>
              </w:rPr>
              <w:t xml:space="preserve"> who are members of United Voice</w:t>
            </w:r>
            <w:r w:rsidRPr="00D15310">
              <w:rPr>
                <w:rFonts w:cs="Arial"/>
                <w:sz w:val="22"/>
                <w:szCs w:val="22"/>
              </w:rPr>
              <w:t xml:space="preserve"> raised concerns about their lack of access to freedom of ass</w:t>
            </w:r>
            <w:r w:rsidR="00931A01">
              <w:rPr>
                <w:rFonts w:cs="Arial"/>
                <w:sz w:val="22"/>
                <w:szCs w:val="22"/>
              </w:rPr>
              <w:t>ociation following the repeal</w:t>
            </w:r>
            <w:r w:rsidRPr="00D15310">
              <w:rPr>
                <w:rFonts w:cs="Arial"/>
                <w:sz w:val="22"/>
                <w:szCs w:val="22"/>
              </w:rPr>
              <w:t xml:space="preserve"> of the </w:t>
            </w:r>
            <w:r w:rsidRPr="00877A6A">
              <w:rPr>
                <w:rFonts w:cs="Arial"/>
                <w:i/>
                <w:sz w:val="22"/>
                <w:szCs w:val="22"/>
              </w:rPr>
              <w:t xml:space="preserve">Commonwealth Cleaning Services Guidelines </w:t>
            </w:r>
            <w:r w:rsidRPr="00877A6A">
              <w:rPr>
                <w:rFonts w:cs="Arial"/>
                <w:sz w:val="22"/>
                <w:szCs w:val="22"/>
              </w:rPr>
              <w:t>(the Guidelines)</w:t>
            </w:r>
            <w:r w:rsidRPr="00877A6A">
              <w:rPr>
                <w:rFonts w:cs="Arial"/>
                <w:i/>
                <w:sz w:val="22"/>
                <w:szCs w:val="22"/>
              </w:rPr>
              <w:t xml:space="preserve"> </w:t>
            </w:r>
            <w:r>
              <w:rPr>
                <w:rFonts w:cs="Arial"/>
                <w:sz w:val="22"/>
                <w:szCs w:val="22"/>
              </w:rPr>
              <w:t>on 1 July 2014.</w:t>
            </w:r>
            <w:r w:rsidR="00931A01">
              <w:rPr>
                <w:rStyle w:val="EndnoteReference"/>
                <w:rFonts w:cs="Arial"/>
                <w:szCs w:val="22"/>
              </w:rPr>
              <w:endnoteReference w:id="49"/>
            </w:r>
          </w:p>
          <w:p w:rsidR="0044769C" w:rsidRDefault="0044769C" w:rsidP="00FE4131">
            <w:pPr>
              <w:rPr>
                <w:rFonts w:cs="Arial"/>
                <w:sz w:val="22"/>
                <w:szCs w:val="22"/>
              </w:rPr>
            </w:pPr>
            <w:r w:rsidRPr="00D15310">
              <w:rPr>
                <w:rFonts w:cs="Arial"/>
                <w:sz w:val="22"/>
                <w:szCs w:val="22"/>
              </w:rPr>
              <w:t>The Guidelines we</w:t>
            </w:r>
            <w:r>
              <w:rPr>
                <w:rFonts w:cs="Arial"/>
                <w:sz w:val="22"/>
                <w:szCs w:val="22"/>
              </w:rPr>
              <w:t>re established in 2011 to combat</w:t>
            </w:r>
            <w:r w:rsidRPr="00D15310">
              <w:rPr>
                <w:rFonts w:cs="Arial"/>
                <w:sz w:val="22"/>
                <w:szCs w:val="22"/>
              </w:rPr>
              <w:t xml:space="preserve"> </w:t>
            </w:r>
            <w:r>
              <w:rPr>
                <w:rFonts w:cs="Arial"/>
                <w:sz w:val="22"/>
                <w:szCs w:val="22"/>
              </w:rPr>
              <w:t>the poor</w:t>
            </w:r>
            <w:r w:rsidRPr="00D15310">
              <w:rPr>
                <w:rFonts w:cs="Arial"/>
                <w:sz w:val="22"/>
                <w:szCs w:val="22"/>
              </w:rPr>
              <w:t xml:space="preserve"> record of employers in the cleaning sector.</w:t>
            </w:r>
            <w:r>
              <w:rPr>
                <w:rFonts w:cs="Arial"/>
                <w:sz w:val="22"/>
                <w:szCs w:val="22"/>
              </w:rPr>
              <w:t xml:space="preserve"> </w:t>
            </w:r>
            <w:r w:rsidR="00DA7C14">
              <w:rPr>
                <w:rFonts w:cs="Arial"/>
                <w:sz w:val="22"/>
                <w:szCs w:val="22"/>
              </w:rPr>
              <w:t>The Guidelines prescribed</w:t>
            </w:r>
            <w:r w:rsidR="00877A6A">
              <w:rPr>
                <w:rFonts w:cs="Arial"/>
                <w:sz w:val="22"/>
                <w:szCs w:val="22"/>
              </w:rPr>
              <w:t xml:space="preserve"> </w:t>
            </w:r>
            <w:r w:rsidRPr="00D15310">
              <w:rPr>
                <w:rFonts w:cs="Arial"/>
                <w:sz w:val="22"/>
                <w:szCs w:val="22"/>
              </w:rPr>
              <w:t>that companies who provided cleaning services to the government pa</w:t>
            </w:r>
            <w:r w:rsidR="00197989">
              <w:rPr>
                <w:rFonts w:cs="Arial"/>
                <w:sz w:val="22"/>
                <w:szCs w:val="22"/>
              </w:rPr>
              <w:t>id their cleaners above award</w:t>
            </w:r>
            <w:r>
              <w:rPr>
                <w:rFonts w:cs="Arial"/>
                <w:sz w:val="22"/>
                <w:szCs w:val="22"/>
              </w:rPr>
              <w:t xml:space="preserve"> </w:t>
            </w:r>
            <w:r w:rsidR="00197989">
              <w:rPr>
                <w:rFonts w:cs="Arial"/>
                <w:sz w:val="22"/>
                <w:szCs w:val="22"/>
              </w:rPr>
              <w:t>rates of pay,</w:t>
            </w:r>
            <w:r>
              <w:rPr>
                <w:rFonts w:cs="Arial"/>
                <w:sz w:val="22"/>
                <w:szCs w:val="22"/>
              </w:rPr>
              <w:t xml:space="preserve"> and included</w:t>
            </w:r>
            <w:r w:rsidRPr="00D15310">
              <w:rPr>
                <w:rFonts w:cs="Arial"/>
                <w:sz w:val="22"/>
                <w:szCs w:val="22"/>
              </w:rPr>
              <w:t xml:space="preserve"> mandatory practices for induction training, on the job training, safety</w:t>
            </w:r>
            <w:r>
              <w:rPr>
                <w:rFonts w:cs="Arial"/>
                <w:sz w:val="22"/>
                <w:szCs w:val="22"/>
              </w:rPr>
              <w:t>,</w:t>
            </w:r>
            <w:r w:rsidRPr="00D15310">
              <w:rPr>
                <w:rFonts w:cs="Arial"/>
                <w:sz w:val="22"/>
                <w:szCs w:val="22"/>
              </w:rPr>
              <w:t xml:space="preserve"> and</w:t>
            </w:r>
            <w:r>
              <w:rPr>
                <w:rFonts w:cs="Arial"/>
                <w:sz w:val="22"/>
                <w:szCs w:val="22"/>
              </w:rPr>
              <w:t xml:space="preserve"> fair and reasonable workloads.</w:t>
            </w:r>
            <w:r w:rsidR="00197989">
              <w:rPr>
                <w:rStyle w:val="EndnoteReference"/>
                <w:rFonts w:cs="Arial"/>
                <w:szCs w:val="22"/>
              </w:rPr>
              <w:endnoteReference w:id="50"/>
            </w:r>
          </w:p>
          <w:p w:rsidR="0044769C" w:rsidRPr="00D15310" w:rsidRDefault="0044769C" w:rsidP="00FE4131">
            <w:pPr>
              <w:rPr>
                <w:rFonts w:cs="Arial"/>
                <w:sz w:val="22"/>
                <w:szCs w:val="22"/>
              </w:rPr>
            </w:pPr>
            <w:r w:rsidRPr="00D15310">
              <w:rPr>
                <w:rFonts w:cs="Arial"/>
                <w:sz w:val="22"/>
                <w:szCs w:val="22"/>
              </w:rPr>
              <w:t xml:space="preserve">The Guidelines also mandated practices for acknowledging and supporting freedom of association and </w:t>
            </w:r>
            <w:r>
              <w:rPr>
                <w:rFonts w:cs="Arial"/>
                <w:sz w:val="22"/>
                <w:szCs w:val="22"/>
              </w:rPr>
              <w:t>representation of employees. Employers were</w:t>
            </w:r>
            <w:r w:rsidRPr="00D15310">
              <w:rPr>
                <w:rFonts w:cs="Arial"/>
                <w:sz w:val="22"/>
                <w:szCs w:val="22"/>
              </w:rPr>
              <w:t xml:space="preserve"> required to inform new employees about their choice regarding representation in the workplace and provide information about union membership and ri</w:t>
            </w:r>
            <w:r>
              <w:rPr>
                <w:rFonts w:cs="Arial"/>
                <w:sz w:val="22"/>
                <w:szCs w:val="22"/>
              </w:rPr>
              <w:t>ghts to collective bargaining. Employers were</w:t>
            </w:r>
            <w:r w:rsidRPr="00D15310">
              <w:rPr>
                <w:rFonts w:cs="Arial"/>
                <w:sz w:val="22"/>
                <w:szCs w:val="22"/>
              </w:rPr>
              <w:t xml:space="preserve"> also required to make employees </w:t>
            </w:r>
            <w:r>
              <w:rPr>
                <w:rFonts w:cs="Arial"/>
                <w:sz w:val="22"/>
                <w:szCs w:val="22"/>
              </w:rPr>
              <w:t>aware of consultation processes,</w:t>
            </w:r>
            <w:r w:rsidRPr="00D15310">
              <w:rPr>
                <w:rFonts w:cs="Arial"/>
                <w:sz w:val="22"/>
                <w:szCs w:val="22"/>
              </w:rPr>
              <w:t xml:space="preserve"> dispute resolution processes</w:t>
            </w:r>
            <w:r>
              <w:rPr>
                <w:rFonts w:cs="Arial"/>
                <w:sz w:val="22"/>
                <w:szCs w:val="22"/>
              </w:rPr>
              <w:t>, and</w:t>
            </w:r>
            <w:r w:rsidRPr="00D15310">
              <w:rPr>
                <w:rFonts w:cs="Arial"/>
                <w:sz w:val="22"/>
                <w:szCs w:val="22"/>
              </w:rPr>
              <w:t xml:space="preserve"> the employee’s rights to have a repr</w:t>
            </w:r>
            <w:r>
              <w:rPr>
                <w:rFonts w:cs="Arial"/>
                <w:sz w:val="22"/>
                <w:szCs w:val="22"/>
              </w:rPr>
              <w:t xml:space="preserve">esentative of their choice in a </w:t>
            </w:r>
            <w:r w:rsidRPr="00D15310">
              <w:rPr>
                <w:rFonts w:cs="Arial"/>
                <w:sz w:val="22"/>
                <w:szCs w:val="22"/>
              </w:rPr>
              <w:t>dispute resolution process</w:t>
            </w:r>
            <w:r>
              <w:rPr>
                <w:rFonts w:cs="Arial"/>
                <w:sz w:val="22"/>
                <w:szCs w:val="22"/>
              </w:rPr>
              <w:t xml:space="preserve"> to deal with workplace issues.</w:t>
            </w:r>
            <w:r w:rsidR="00F52602">
              <w:rPr>
                <w:rStyle w:val="EndnoteReference"/>
                <w:rFonts w:cs="Arial"/>
                <w:szCs w:val="22"/>
              </w:rPr>
              <w:endnoteReference w:id="51"/>
            </w:r>
          </w:p>
          <w:p w:rsidR="0044769C" w:rsidRPr="00D15310" w:rsidRDefault="0044769C" w:rsidP="00FE4131">
            <w:pPr>
              <w:rPr>
                <w:rFonts w:cs="Arial"/>
                <w:sz w:val="22"/>
                <w:szCs w:val="22"/>
              </w:rPr>
            </w:pPr>
            <w:r w:rsidRPr="00D15310">
              <w:rPr>
                <w:rFonts w:cs="Arial"/>
                <w:sz w:val="22"/>
                <w:szCs w:val="22"/>
              </w:rPr>
              <w:t xml:space="preserve">The </w:t>
            </w:r>
            <w:r w:rsidR="00931A01">
              <w:rPr>
                <w:rFonts w:cs="Arial"/>
                <w:sz w:val="22"/>
                <w:szCs w:val="22"/>
              </w:rPr>
              <w:t>Guidelines were revoked</w:t>
            </w:r>
            <w:r w:rsidRPr="00D15310">
              <w:rPr>
                <w:rFonts w:cs="Arial"/>
                <w:sz w:val="22"/>
                <w:szCs w:val="22"/>
              </w:rPr>
              <w:t xml:space="preserve"> by the government on 1 July 2014 a</w:t>
            </w:r>
            <w:r>
              <w:rPr>
                <w:rFonts w:cs="Arial"/>
                <w:sz w:val="22"/>
                <w:szCs w:val="22"/>
              </w:rPr>
              <w:t xml:space="preserve">s part of its red tape </w:t>
            </w:r>
            <w:r>
              <w:rPr>
                <w:rFonts w:cs="Arial"/>
                <w:sz w:val="22"/>
                <w:szCs w:val="22"/>
              </w:rPr>
              <w:lastRenderedPageBreak/>
              <w:t>repeals.</w:t>
            </w:r>
            <w:r>
              <w:rPr>
                <w:rStyle w:val="EndnoteReference"/>
                <w:rFonts w:cs="Arial"/>
                <w:szCs w:val="22"/>
              </w:rPr>
              <w:endnoteReference w:id="52"/>
            </w:r>
          </w:p>
          <w:p w:rsidR="0044769C" w:rsidRPr="00D15310" w:rsidRDefault="0044769C" w:rsidP="00FE4131">
            <w:pPr>
              <w:rPr>
                <w:rFonts w:cs="Arial"/>
                <w:sz w:val="22"/>
                <w:szCs w:val="22"/>
              </w:rPr>
            </w:pPr>
            <w:r w:rsidRPr="00D15310">
              <w:rPr>
                <w:rFonts w:cs="Arial"/>
                <w:sz w:val="22"/>
                <w:szCs w:val="22"/>
              </w:rPr>
              <w:t>A</w:t>
            </w:r>
            <w:r w:rsidR="003157B6">
              <w:rPr>
                <w:rFonts w:cs="Arial"/>
                <w:sz w:val="22"/>
                <w:szCs w:val="22"/>
              </w:rPr>
              <w:t xml:space="preserve">t the Canberra </w:t>
            </w:r>
            <w:r w:rsidR="003157B6" w:rsidRPr="003157B6">
              <w:rPr>
                <w:rFonts w:cs="Arial"/>
                <w:i/>
                <w:sz w:val="22"/>
                <w:szCs w:val="22"/>
              </w:rPr>
              <w:t>Rights &amp; Responsibilities</w:t>
            </w:r>
            <w:r w:rsidR="003157B6">
              <w:rPr>
                <w:rFonts w:cs="Arial"/>
                <w:sz w:val="22"/>
                <w:szCs w:val="22"/>
              </w:rPr>
              <w:t xml:space="preserve"> public meeting</w:t>
            </w:r>
            <w:r>
              <w:rPr>
                <w:rFonts w:cs="Arial"/>
                <w:sz w:val="22"/>
                <w:szCs w:val="22"/>
              </w:rPr>
              <w:t>, a cleaner who was</w:t>
            </w:r>
            <w:r w:rsidRPr="00D15310">
              <w:rPr>
                <w:rFonts w:cs="Arial"/>
                <w:sz w:val="22"/>
                <w:szCs w:val="22"/>
              </w:rPr>
              <w:t xml:space="preserve"> originally from Ango</w:t>
            </w:r>
            <w:r>
              <w:rPr>
                <w:rFonts w:cs="Arial"/>
                <w:sz w:val="22"/>
                <w:szCs w:val="22"/>
              </w:rPr>
              <w:t>la told of her experience cleaning a C</w:t>
            </w:r>
            <w:r w:rsidRPr="00D15310">
              <w:rPr>
                <w:rFonts w:cs="Arial"/>
                <w:sz w:val="22"/>
                <w:szCs w:val="22"/>
              </w:rPr>
              <w:t xml:space="preserve">ommonwealth building for over 30 years.  She </w:t>
            </w:r>
            <w:r>
              <w:rPr>
                <w:rFonts w:cs="Arial"/>
                <w:sz w:val="22"/>
                <w:szCs w:val="22"/>
              </w:rPr>
              <w:t xml:space="preserve">explained </w:t>
            </w:r>
            <w:r w:rsidR="002F662C">
              <w:rPr>
                <w:rFonts w:cs="Arial"/>
                <w:sz w:val="22"/>
                <w:szCs w:val="22"/>
              </w:rPr>
              <w:t>that during</w:t>
            </w:r>
            <w:r w:rsidRPr="00D15310">
              <w:rPr>
                <w:rFonts w:cs="Arial"/>
                <w:sz w:val="22"/>
                <w:szCs w:val="22"/>
              </w:rPr>
              <w:t xml:space="preserve"> this time she had seen </w:t>
            </w:r>
            <w:r w:rsidR="002F662C">
              <w:rPr>
                <w:rFonts w:cs="Arial"/>
                <w:sz w:val="22"/>
                <w:szCs w:val="22"/>
              </w:rPr>
              <w:t xml:space="preserve">the treatment of </w:t>
            </w:r>
            <w:r w:rsidRPr="00D15310">
              <w:rPr>
                <w:rFonts w:cs="Arial"/>
                <w:sz w:val="22"/>
                <w:szCs w:val="22"/>
              </w:rPr>
              <w:t>clean</w:t>
            </w:r>
            <w:r w:rsidR="002F662C">
              <w:rPr>
                <w:rFonts w:cs="Arial"/>
                <w:sz w:val="22"/>
                <w:szCs w:val="22"/>
              </w:rPr>
              <w:t>ers</w:t>
            </w:r>
            <w:r w:rsidRPr="00D15310">
              <w:rPr>
                <w:rFonts w:cs="Arial"/>
                <w:sz w:val="22"/>
                <w:szCs w:val="22"/>
              </w:rPr>
              <w:t xml:space="preserve"> get much worse</w:t>
            </w:r>
            <w:r>
              <w:rPr>
                <w:rFonts w:cs="Arial"/>
                <w:sz w:val="22"/>
                <w:szCs w:val="22"/>
              </w:rPr>
              <w:t>, particularly in terms of knowing and understanding their rig</w:t>
            </w:r>
            <w:r w:rsidR="005B7B3A">
              <w:rPr>
                <w:rFonts w:cs="Arial"/>
                <w:sz w:val="22"/>
                <w:szCs w:val="22"/>
              </w:rPr>
              <w:t>ht</w:t>
            </w:r>
            <w:r w:rsidR="002F662C">
              <w:rPr>
                <w:rFonts w:cs="Arial"/>
                <w:sz w:val="22"/>
                <w:szCs w:val="22"/>
              </w:rPr>
              <w:t xml:space="preserve"> to join a union.</w:t>
            </w:r>
            <w:r w:rsidR="005B7B3A">
              <w:rPr>
                <w:rFonts w:cs="Arial"/>
                <w:sz w:val="22"/>
                <w:szCs w:val="22"/>
              </w:rPr>
              <w:t xml:space="preserve"> Cleaners attending the meeting also stressed the importance of having this right set out in the Guidelines. This was especially important as </w:t>
            </w:r>
            <w:r w:rsidR="002F662C">
              <w:rPr>
                <w:rFonts w:cs="Arial"/>
                <w:sz w:val="22"/>
                <w:szCs w:val="22"/>
              </w:rPr>
              <w:t>many</w:t>
            </w:r>
            <w:r w:rsidRPr="00D15310">
              <w:rPr>
                <w:rFonts w:cs="Arial"/>
                <w:sz w:val="22"/>
                <w:szCs w:val="22"/>
              </w:rPr>
              <w:t xml:space="preserve"> cleaners are women from culturally and ling</w:t>
            </w:r>
            <w:r>
              <w:rPr>
                <w:rFonts w:cs="Arial"/>
                <w:sz w:val="22"/>
                <w:szCs w:val="22"/>
              </w:rPr>
              <w:t xml:space="preserve">uistically diverse </w:t>
            </w:r>
            <w:r w:rsidRPr="00D15310">
              <w:rPr>
                <w:rFonts w:cs="Arial"/>
                <w:sz w:val="22"/>
                <w:szCs w:val="22"/>
              </w:rPr>
              <w:t>backgrounds who work at the bottom of the labour market and do not have ready access to informat</w:t>
            </w:r>
            <w:r>
              <w:rPr>
                <w:rFonts w:cs="Arial"/>
                <w:sz w:val="22"/>
                <w:szCs w:val="22"/>
              </w:rPr>
              <w:t>ion about freedom of association.</w:t>
            </w:r>
          </w:p>
          <w:p w:rsidR="0044769C" w:rsidRPr="004C5656" w:rsidRDefault="003157B6" w:rsidP="003157B6">
            <w:pPr>
              <w:rPr>
                <w:rFonts w:cs="Arial"/>
                <w:sz w:val="22"/>
                <w:szCs w:val="22"/>
              </w:rPr>
            </w:pPr>
            <w:r>
              <w:rPr>
                <w:rFonts w:cs="Arial"/>
                <w:sz w:val="22"/>
                <w:szCs w:val="22"/>
                <w:lang w:val="en"/>
              </w:rPr>
              <w:t xml:space="preserve">As noted by United Voice, </w:t>
            </w:r>
            <w:r w:rsidR="0044769C">
              <w:rPr>
                <w:rFonts w:cs="Arial"/>
                <w:sz w:val="22"/>
                <w:szCs w:val="22"/>
              </w:rPr>
              <w:t>while</w:t>
            </w:r>
            <w:r w:rsidR="0044769C" w:rsidRPr="00D15310">
              <w:rPr>
                <w:rFonts w:cs="Arial"/>
                <w:sz w:val="22"/>
                <w:szCs w:val="22"/>
              </w:rPr>
              <w:t xml:space="preserve"> </w:t>
            </w:r>
            <w:r w:rsidR="0044769C">
              <w:rPr>
                <w:rFonts w:cs="Arial"/>
                <w:sz w:val="22"/>
                <w:szCs w:val="22"/>
              </w:rPr>
              <w:t>‘</w:t>
            </w:r>
            <w:r w:rsidR="0044769C" w:rsidRPr="00D15310">
              <w:rPr>
                <w:rFonts w:cs="Arial"/>
                <w:sz w:val="22"/>
                <w:szCs w:val="22"/>
              </w:rPr>
              <w:t>rights may exist they are useless if they are not accessible rights</w:t>
            </w:r>
            <w:r w:rsidR="0044769C">
              <w:rPr>
                <w:rFonts w:cs="Arial"/>
                <w:sz w:val="22"/>
                <w:szCs w:val="22"/>
              </w:rPr>
              <w:t>’</w:t>
            </w:r>
            <w:r w:rsidR="005B7B3A">
              <w:rPr>
                <w:rFonts w:cs="Arial"/>
                <w:sz w:val="22"/>
                <w:szCs w:val="22"/>
              </w:rPr>
              <w:t>.</w:t>
            </w:r>
          </w:p>
        </w:tc>
      </w:tr>
    </w:tbl>
    <w:p w:rsidR="00127E33" w:rsidRPr="003157B6" w:rsidRDefault="00DA7C14" w:rsidP="003157B6">
      <w:pPr>
        <w:pStyle w:val="Heading4"/>
        <w:numPr>
          <w:ilvl w:val="0"/>
          <w:numId w:val="0"/>
        </w:numPr>
        <w:ind w:left="851" w:hanging="851"/>
        <w:rPr>
          <w:i/>
          <w:lang w:val="en-US"/>
        </w:rPr>
      </w:pPr>
      <w:bookmarkStart w:id="213" w:name="_Toc413932288"/>
      <w:r w:rsidRPr="00DA7C14">
        <w:rPr>
          <w:i/>
          <w:lang w:val="en-US"/>
        </w:rPr>
        <w:lastRenderedPageBreak/>
        <w:t>Summary</w:t>
      </w:r>
      <w:bookmarkEnd w:id="213"/>
    </w:p>
    <w:p w:rsidR="00127E33" w:rsidRPr="007C278C" w:rsidRDefault="00265B11" w:rsidP="007C278C">
      <w:pPr>
        <w:rPr>
          <w:lang w:val="en-US"/>
        </w:rPr>
      </w:pPr>
      <w:r>
        <w:rPr>
          <w:lang w:val="en-US"/>
        </w:rPr>
        <w:t>The central</w:t>
      </w:r>
      <w:r w:rsidR="00957E95">
        <w:rPr>
          <w:lang w:val="en-US"/>
        </w:rPr>
        <w:t xml:space="preserve"> </w:t>
      </w:r>
      <w:r>
        <w:rPr>
          <w:lang w:val="en-US"/>
        </w:rPr>
        <w:t xml:space="preserve">issue </w:t>
      </w:r>
      <w:r w:rsidR="00B906F9">
        <w:rPr>
          <w:lang w:val="en-US"/>
        </w:rPr>
        <w:t xml:space="preserve">in relation to the right to freedom of association is </w:t>
      </w:r>
      <w:r w:rsidR="00957E95">
        <w:rPr>
          <w:lang w:val="en-US"/>
        </w:rPr>
        <w:t>anti-</w:t>
      </w:r>
      <w:r w:rsidR="00B906F9">
        <w:rPr>
          <w:lang w:val="en-US"/>
        </w:rPr>
        <w:t>consorting laws</w:t>
      </w:r>
      <w:r w:rsidR="00957E95">
        <w:rPr>
          <w:lang w:val="en-US"/>
        </w:rPr>
        <w:t xml:space="preserve"> that </w:t>
      </w:r>
      <w:r w:rsidR="00957E95" w:rsidRPr="00957E95">
        <w:t>criminalise</w:t>
      </w:r>
      <w:r w:rsidR="00957E95">
        <w:rPr>
          <w:lang w:val="en-US"/>
        </w:rPr>
        <w:t xml:space="preserve"> </w:t>
      </w:r>
      <w:r>
        <w:rPr>
          <w:lang w:val="en-US"/>
        </w:rPr>
        <w:t xml:space="preserve">the act of </w:t>
      </w:r>
      <w:r w:rsidR="00957E95">
        <w:rPr>
          <w:lang w:val="en-US"/>
        </w:rPr>
        <w:t xml:space="preserve">people associating </w:t>
      </w:r>
      <w:r>
        <w:rPr>
          <w:lang w:val="en-US"/>
        </w:rPr>
        <w:t xml:space="preserve">with each other </w:t>
      </w:r>
      <w:r w:rsidR="00957E95">
        <w:rPr>
          <w:lang w:val="en-US"/>
        </w:rPr>
        <w:t xml:space="preserve">rather than </w:t>
      </w:r>
      <w:r>
        <w:rPr>
          <w:lang w:val="en-US"/>
        </w:rPr>
        <w:t xml:space="preserve">their </w:t>
      </w:r>
      <w:r w:rsidR="00957E95">
        <w:rPr>
          <w:lang w:val="en-US"/>
        </w:rPr>
        <w:t>criminal activities</w:t>
      </w:r>
      <w:r w:rsidR="001A173E">
        <w:rPr>
          <w:lang w:val="en-US"/>
        </w:rPr>
        <w:t>.</w:t>
      </w:r>
    </w:p>
    <w:p w:rsidR="009447E2" w:rsidRPr="00127E33" w:rsidRDefault="009447E2" w:rsidP="00127E33">
      <w:pPr>
        <w:pStyle w:val="Heading2"/>
        <w:numPr>
          <w:ilvl w:val="0"/>
          <w:numId w:val="0"/>
        </w:numPr>
        <w:ind w:left="851" w:hanging="851"/>
      </w:pPr>
      <w:bookmarkStart w:id="214" w:name="_Toc413932289"/>
      <w:r w:rsidRPr="00127E33">
        <w:t>Property rights</w:t>
      </w:r>
      <w:bookmarkEnd w:id="214"/>
    </w:p>
    <w:p w:rsidR="003C7700" w:rsidRPr="003C7700" w:rsidRDefault="003C7700" w:rsidP="003C7700">
      <w:pPr>
        <w:autoSpaceDE w:val="0"/>
        <w:autoSpaceDN w:val="0"/>
        <w:adjustRightInd w:val="0"/>
        <w:spacing w:before="0" w:after="0"/>
        <w:ind w:left="720"/>
        <w:rPr>
          <w:rFonts w:cs="Arial"/>
          <w:i/>
          <w:sz w:val="22"/>
          <w:szCs w:val="22"/>
        </w:rPr>
      </w:pPr>
      <w:r>
        <w:rPr>
          <w:rFonts w:cs="Arial"/>
          <w:i/>
          <w:sz w:val="22"/>
          <w:szCs w:val="22"/>
        </w:rPr>
        <w:t>Central to the debate [about intellectual property rights] is the recognition of the importance of artists’ right to choose how, when and the manner in which their creative output will be made available to their fans – and how they can take steps to protect their rights when their choices are not respected…</w:t>
      </w:r>
      <w:r w:rsidRPr="003C7700">
        <w:rPr>
          <w:rFonts w:cs="Arial"/>
          <w:sz w:val="22"/>
          <w:szCs w:val="22"/>
        </w:rPr>
        <w:t xml:space="preserve"> </w:t>
      </w:r>
      <w:r w:rsidRPr="00542301">
        <w:rPr>
          <w:rFonts w:cs="Arial"/>
          <w:sz w:val="22"/>
          <w:szCs w:val="22"/>
        </w:rPr>
        <w:t>Music Rights Australia submission</w:t>
      </w:r>
    </w:p>
    <w:p w:rsidR="00E7459B" w:rsidRPr="00857A30" w:rsidRDefault="006E18C3" w:rsidP="00857A30">
      <w:pPr>
        <w:pStyle w:val="SubmissionNormal"/>
        <w:numPr>
          <w:ilvl w:val="0"/>
          <w:numId w:val="0"/>
        </w:numPr>
        <w:ind w:left="720"/>
        <w:rPr>
          <w:sz w:val="22"/>
          <w:szCs w:val="22"/>
        </w:rPr>
      </w:pPr>
      <w:r w:rsidRPr="006E18C3">
        <w:rPr>
          <w:i/>
          <w:sz w:val="22"/>
          <w:szCs w:val="22"/>
          <w:lang w:val="en-US"/>
        </w:rPr>
        <w:t>…</w:t>
      </w:r>
      <w:r w:rsidR="0082063D">
        <w:rPr>
          <w:i/>
          <w:sz w:val="22"/>
          <w:szCs w:val="22"/>
          <w:lang w:val="en-US"/>
        </w:rPr>
        <w:t xml:space="preserve"> [T]</w:t>
      </w:r>
      <w:r w:rsidRPr="006E18C3">
        <w:rPr>
          <w:i/>
          <w:sz w:val="22"/>
          <w:szCs w:val="22"/>
          <w:lang w:val="en-US"/>
        </w:rPr>
        <w:t>he definition of the right to property should encompass a consi</w:t>
      </w:r>
      <w:r w:rsidR="00F01B1D">
        <w:rPr>
          <w:i/>
          <w:sz w:val="22"/>
          <w:szCs w:val="22"/>
          <w:lang w:val="en-US"/>
        </w:rPr>
        <w:t>deration of</w:t>
      </w:r>
      <w:r w:rsidR="003C7700">
        <w:rPr>
          <w:i/>
          <w:sz w:val="22"/>
          <w:szCs w:val="22"/>
          <w:lang w:val="en-US"/>
        </w:rPr>
        <w:t xml:space="preserve"> </w:t>
      </w:r>
      <w:r w:rsidR="00F01B1D">
        <w:rPr>
          <w:i/>
          <w:sz w:val="22"/>
          <w:szCs w:val="22"/>
          <w:lang w:val="en-US"/>
        </w:rPr>
        <w:t>…</w:t>
      </w:r>
      <w:r w:rsidR="003C7700">
        <w:rPr>
          <w:i/>
          <w:sz w:val="22"/>
          <w:szCs w:val="22"/>
          <w:lang w:val="en-US"/>
        </w:rPr>
        <w:t xml:space="preserve"> </w:t>
      </w:r>
      <w:r w:rsidRPr="006E18C3">
        <w:rPr>
          <w:i/>
          <w:sz w:val="22"/>
          <w:szCs w:val="22"/>
          <w:lang w:val="en-US"/>
        </w:rPr>
        <w:t>marginalized sections of society and their right to housing and an adequate standard of living in particular.</w:t>
      </w:r>
      <w:r w:rsidRPr="006E18C3">
        <w:rPr>
          <w:sz w:val="22"/>
          <w:szCs w:val="22"/>
          <w:lang w:val="en-US"/>
        </w:rPr>
        <w:t xml:space="preserve"> </w:t>
      </w:r>
      <w:r w:rsidRPr="006E18C3">
        <w:rPr>
          <w:sz w:val="22"/>
          <w:szCs w:val="22"/>
        </w:rPr>
        <w:t>NSW Young Lawyers Human Rights Committee</w:t>
      </w:r>
      <w:r w:rsidR="0082063D">
        <w:rPr>
          <w:sz w:val="22"/>
          <w:szCs w:val="22"/>
        </w:rPr>
        <w:t xml:space="preserv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447E2" w:rsidRPr="0073669B" w:rsidTr="00FE4131">
        <w:tc>
          <w:tcPr>
            <w:tcW w:w="9286" w:type="dxa"/>
            <w:shd w:val="clear" w:color="auto" w:fill="E0E0E0"/>
          </w:tcPr>
          <w:p w:rsidR="009447E2" w:rsidRPr="007A6F06" w:rsidRDefault="009447E2" w:rsidP="00FE4131">
            <w:pPr>
              <w:rPr>
                <w:rFonts w:cs="Arial"/>
                <w:b/>
                <w:sz w:val="22"/>
                <w:szCs w:val="22"/>
                <w:lang w:val="en"/>
              </w:rPr>
            </w:pPr>
            <w:r w:rsidRPr="007A6F06">
              <w:rPr>
                <w:b/>
                <w:sz w:val="22"/>
                <w:szCs w:val="22"/>
                <w:lang w:val="en-US"/>
              </w:rPr>
              <w:t>The</w:t>
            </w:r>
            <w:r w:rsidRPr="007A6F06">
              <w:rPr>
                <w:rFonts w:cs="Arial"/>
                <w:b/>
                <w:sz w:val="22"/>
                <w:szCs w:val="22"/>
                <w:lang w:val="en"/>
              </w:rPr>
              <w:t xml:space="preserve"> right </w:t>
            </w:r>
            <w:r w:rsidR="00BD136E">
              <w:rPr>
                <w:rFonts w:cs="Arial"/>
                <w:b/>
                <w:sz w:val="22"/>
                <w:szCs w:val="22"/>
                <w:lang w:val="en"/>
              </w:rPr>
              <w:t>to property</w:t>
            </w:r>
            <w:r w:rsidRPr="007A6F06">
              <w:rPr>
                <w:rFonts w:cs="Arial"/>
                <w:sz w:val="22"/>
                <w:szCs w:val="22"/>
                <w:lang w:val="en"/>
              </w:rPr>
              <w:t xml:space="preserve"> includes ownership and use </w:t>
            </w:r>
            <w:r w:rsidRPr="007A6F06">
              <w:rPr>
                <w:sz w:val="22"/>
                <w:szCs w:val="22"/>
                <w:lang w:val="en"/>
              </w:rPr>
              <w:t xml:space="preserve">of physical property, individuals’ ownership of their own bodies, and intellectual property. </w:t>
            </w:r>
            <w:r w:rsidRPr="007A6F06">
              <w:rPr>
                <w:rFonts w:cs="Adobe Garamond Pro"/>
                <w:sz w:val="22"/>
                <w:szCs w:val="22"/>
              </w:rPr>
              <w:t xml:space="preserve">In modern </w:t>
            </w:r>
            <w:r w:rsidRPr="007A6F06">
              <w:rPr>
                <w:sz w:val="22"/>
                <w:szCs w:val="22"/>
                <w:lang w:val="en"/>
              </w:rPr>
              <w:t>legal</w:t>
            </w:r>
            <w:r w:rsidRPr="007A6F06">
              <w:rPr>
                <w:rFonts w:cs="Adobe Garamond Pro"/>
                <w:sz w:val="22"/>
                <w:szCs w:val="22"/>
              </w:rPr>
              <w:t xml:space="preserve"> systems, ‘property’ embraces every possible interest recognised by law which a person can have in anything and includes all valuable rights.</w:t>
            </w:r>
          </w:p>
          <w:p w:rsidR="009447E2" w:rsidRPr="007A6F06" w:rsidRDefault="009447E2" w:rsidP="00FE4131">
            <w:pPr>
              <w:rPr>
                <w:rFonts w:cs="Arial"/>
                <w:sz w:val="22"/>
                <w:szCs w:val="22"/>
                <w:lang w:val="en"/>
              </w:rPr>
            </w:pPr>
            <w:r w:rsidRPr="007A6F06">
              <w:rPr>
                <w:rFonts w:cs="Arial"/>
                <w:sz w:val="22"/>
                <w:szCs w:val="22"/>
                <w:lang w:val="en"/>
              </w:rPr>
              <w:t>The right to own property includes the right:</w:t>
            </w:r>
          </w:p>
          <w:p w:rsidR="009447E2" w:rsidRPr="007A6F06" w:rsidRDefault="009447E2" w:rsidP="008D3832">
            <w:pPr>
              <w:pStyle w:val="SubmissionNormal"/>
              <w:numPr>
                <w:ilvl w:val="0"/>
                <w:numId w:val="24"/>
              </w:numPr>
              <w:rPr>
                <w:rFonts w:cs="Arial"/>
                <w:sz w:val="22"/>
                <w:szCs w:val="22"/>
                <w:lang w:val="en"/>
              </w:rPr>
            </w:pPr>
            <w:r w:rsidRPr="007A6F06">
              <w:rPr>
                <w:rFonts w:cs="Arial"/>
                <w:sz w:val="22"/>
                <w:szCs w:val="22"/>
                <w:lang w:val="en"/>
              </w:rPr>
              <w:t>to own property alone as well as in association with others</w:t>
            </w:r>
          </w:p>
          <w:p w:rsidR="009447E2" w:rsidRPr="007A6F06" w:rsidRDefault="009447E2" w:rsidP="008D3832">
            <w:pPr>
              <w:pStyle w:val="SubmissionNormal"/>
              <w:numPr>
                <w:ilvl w:val="0"/>
                <w:numId w:val="24"/>
              </w:numPr>
              <w:rPr>
                <w:rFonts w:cs="Arial"/>
                <w:sz w:val="22"/>
                <w:szCs w:val="22"/>
                <w:lang w:val="en"/>
              </w:rPr>
            </w:pPr>
            <w:r w:rsidRPr="007A6F06">
              <w:rPr>
                <w:rFonts w:cs="Arial"/>
                <w:sz w:val="22"/>
                <w:szCs w:val="22"/>
                <w:lang w:val="en"/>
              </w:rPr>
              <w:t>to acquire or dispose of property</w:t>
            </w:r>
          </w:p>
          <w:p w:rsidR="009447E2" w:rsidRPr="007A6F06" w:rsidRDefault="009447E2" w:rsidP="008D3832">
            <w:pPr>
              <w:pStyle w:val="SubmissionNormal"/>
              <w:numPr>
                <w:ilvl w:val="0"/>
                <w:numId w:val="24"/>
              </w:numPr>
              <w:rPr>
                <w:rFonts w:cs="Arial"/>
                <w:lang w:val="en"/>
              </w:rPr>
            </w:pPr>
            <w:r w:rsidRPr="007A6F06">
              <w:rPr>
                <w:rFonts w:cs="Arial"/>
                <w:sz w:val="22"/>
                <w:szCs w:val="22"/>
                <w:lang w:val="en"/>
              </w:rPr>
              <w:t>not to be arbitrarily deprived of their property.</w:t>
            </w:r>
            <w:r w:rsidR="00261C27">
              <w:rPr>
                <w:rStyle w:val="EndnoteReference"/>
                <w:rFonts w:cs="Arial"/>
                <w:szCs w:val="22"/>
                <w:lang w:val="en"/>
              </w:rPr>
              <w:endnoteReference w:id="53"/>
            </w:r>
          </w:p>
        </w:tc>
      </w:tr>
    </w:tbl>
    <w:p w:rsidR="009447E2" w:rsidRDefault="009447E2" w:rsidP="009447E2">
      <w:pPr>
        <w:pStyle w:val="Heading3"/>
        <w:numPr>
          <w:ilvl w:val="0"/>
          <w:numId w:val="0"/>
        </w:numPr>
        <w:ind w:left="851" w:hanging="851"/>
        <w:rPr>
          <w:b/>
          <w:lang w:val="en"/>
        </w:rPr>
      </w:pPr>
      <w:bookmarkStart w:id="215" w:name="_Toc402867780"/>
      <w:bookmarkStart w:id="216" w:name="_Toc402873795"/>
      <w:bookmarkStart w:id="217" w:name="_Toc413932290"/>
      <w:r w:rsidRPr="00072CF9">
        <w:rPr>
          <w:b/>
          <w:lang w:val="en"/>
        </w:rPr>
        <w:lastRenderedPageBreak/>
        <w:t>Property rights in Australia</w:t>
      </w:r>
      <w:bookmarkEnd w:id="215"/>
      <w:bookmarkEnd w:id="216"/>
      <w:bookmarkEnd w:id="217"/>
    </w:p>
    <w:p w:rsidR="00DE5294" w:rsidRPr="00F2133E" w:rsidRDefault="00F2133E" w:rsidP="00BF6C25">
      <w:pPr>
        <w:jc w:val="center"/>
      </w:pPr>
      <w:r w:rsidRPr="00F2133E">
        <w:rPr>
          <w:noProof/>
        </w:rPr>
        <w:drawing>
          <wp:inline distT="0" distB="0" distL="0" distR="0" wp14:anchorId="2C631D92" wp14:editId="11A1894F">
            <wp:extent cx="4756357" cy="2435962"/>
            <wp:effectExtent l="0" t="0" r="6350" b="2540"/>
            <wp:docPr id="15" name="Picture 15" descr="S:\External Projects\2014-15 projects\HR Scrutiny\HR Scrutiny - Rights &amp; Freedoms\Rights &amp; Responsibilities 2014\Report\Report\Mind maps\Prop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xternal Projects\2014-15 projects\HR Scrutiny\HR Scrutiny - Rights &amp; Freedoms\Rights &amp; Responsibilities 2014\Report\Report\Mind maps\Propert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134" cy="2448652"/>
                    </a:xfrm>
                    <a:prstGeom prst="rect">
                      <a:avLst/>
                    </a:prstGeom>
                    <a:noFill/>
                    <a:ln>
                      <a:noFill/>
                    </a:ln>
                  </pic:spPr>
                </pic:pic>
              </a:graphicData>
            </a:graphic>
          </wp:inline>
        </w:drawing>
      </w:r>
    </w:p>
    <w:p w:rsidR="009447E2" w:rsidRPr="00072CF9" w:rsidRDefault="00072CF9" w:rsidP="00F2133E">
      <w:pPr>
        <w:pStyle w:val="Heading4"/>
        <w:numPr>
          <w:ilvl w:val="0"/>
          <w:numId w:val="0"/>
        </w:numPr>
        <w:rPr>
          <w:i/>
        </w:rPr>
      </w:pPr>
      <w:bookmarkStart w:id="218" w:name="_Toc413932291"/>
      <w:r w:rsidRPr="00072CF9">
        <w:rPr>
          <w:i/>
        </w:rPr>
        <w:t>Survey results</w:t>
      </w:r>
      <w:bookmarkEnd w:id="218"/>
    </w:p>
    <w:p w:rsidR="00C21F93" w:rsidRDefault="00A73C71" w:rsidP="009447E2">
      <w:pPr>
        <w:rPr>
          <w:rFonts w:cs="Arial"/>
        </w:rPr>
      </w:pPr>
      <w:r>
        <w:rPr>
          <w:rFonts w:cs="Arial"/>
        </w:rPr>
        <w:t xml:space="preserve">The survey for </w:t>
      </w:r>
      <w:r w:rsidRPr="009F588D">
        <w:rPr>
          <w:rFonts w:cs="Arial"/>
          <w:i/>
        </w:rPr>
        <w:t>Rights &amp; Responsibilities 2014</w:t>
      </w:r>
      <w:r>
        <w:rPr>
          <w:rFonts w:cs="Arial"/>
        </w:rPr>
        <w:t xml:space="preserve"> asked the question: how well do you think</w:t>
      </w:r>
      <w:r w:rsidR="009F588D">
        <w:rPr>
          <w:rFonts w:cs="Arial"/>
        </w:rPr>
        <w:t xml:space="preserve"> the right to property is protected in Australia? </w:t>
      </w:r>
    </w:p>
    <w:p w:rsidR="00877A6A" w:rsidRDefault="00DB3224" w:rsidP="009447E2">
      <w:pPr>
        <w:rPr>
          <w:rFonts w:cs="Arial"/>
        </w:rPr>
      </w:pPr>
      <w:r>
        <w:rPr>
          <w:rFonts w:cs="Arial"/>
        </w:rPr>
        <w:t>The surv</w:t>
      </w:r>
      <w:r w:rsidR="00252CF7">
        <w:rPr>
          <w:rFonts w:cs="Arial"/>
        </w:rPr>
        <w:t>ey results shown in Figure 4 show that</w:t>
      </w:r>
      <w:r>
        <w:rPr>
          <w:rFonts w:cs="Arial"/>
        </w:rPr>
        <w:t>:</w:t>
      </w:r>
      <w:r w:rsidR="009447E2">
        <w:rPr>
          <w:rFonts w:cs="Arial"/>
        </w:rPr>
        <w:t xml:space="preserve"> </w:t>
      </w:r>
    </w:p>
    <w:p w:rsidR="00877A6A" w:rsidRDefault="009447E2" w:rsidP="008D3832">
      <w:pPr>
        <w:numPr>
          <w:ilvl w:val="0"/>
          <w:numId w:val="28"/>
        </w:numPr>
        <w:rPr>
          <w:rFonts w:cs="Arial"/>
        </w:rPr>
      </w:pPr>
      <w:r>
        <w:rPr>
          <w:rFonts w:cs="Arial"/>
        </w:rPr>
        <w:t xml:space="preserve">32% </w:t>
      </w:r>
      <w:r w:rsidR="00252CF7">
        <w:rPr>
          <w:rFonts w:cs="Arial"/>
        </w:rPr>
        <w:t xml:space="preserve">of survey respondents </w:t>
      </w:r>
      <w:r>
        <w:rPr>
          <w:rFonts w:cs="Arial"/>
        </w:rPr>
        <w:t>believe that property rights are extrem</w:t>
      </w:r>
      <w:r w:rsidR="00877A6A">
        <w:rPr>
          <w:rFonts w:cs="Arial"/>
        </w:rPr>
        <w:t xml:space="preserve">ely </w:t>
      </w:r>
      <w:r w:rsidR="003466B3">
        <w:rPr>
          <w:rFonts w:cs="Arial"/>
        </w:rPr>
        <w:t>well or</w:t>
      </w:r>
      <w:r w:rsidR="00877A6A">
        <w:rPr>
          <w:rFonts w:cs="Arial"/>
        </w:rPr>
        <w:t xml:space="preserve"> well protected</w:t>
      </w:r>
    </w:p>
    <w:p w:rsidR="00A73C71" w:rsidRDefault="00DB3224" w:rsidP="008D3832">
      <w:pPr>
        <w:numPr>
          <w:ilvl w:val="0"/>
          <w:numId w:val="28"/>
        </w:numPr>
        <w:rPr>
          <w:rFonts w:cs="Arial"/>
        </w:rPr>
      </w:pPr>
      <w:r>
        <w:rPr>
          <w:rFonts w:cs="Arial"/>
        </w:rPr>
        <w:t>31% view property rights as either moderately or slightly protected</w:t>
      </w:r>
    </w:p>
    <w:p w:rsidR="00DB3224" w:rsidRDefault="00DB3224" w:rsidP="008D3832">
      <w:pPr>
        <w:numPr>
          <w:ilvl w:val="0"/>
          <w:numId w:val="28"/>
        </w:numPr>
        <w:rPr>
          <w:rFonts w:cs="Arial"/>
        </w:rPr>
      </w:pPr>
      <w:r>
        <w:rPr>
          <w:rFonts w:cs="Arial"/>
        </w:rPr>
        <w:t>7% state that property rights are not at all protected</w:t>
      </w:r>
    </w:p>
    <w:p w:rsidR="00877A6A" w:rsidRDefault="009447E2" w:rsidP="008D3832">
      <w:pPr>
        <w:numPr>
          <w:ilvl w:val="0"/>
          <w:numId w:val="28"/>
        </w:numPr>
        <w:rPr>
          <w:rFonts w:cs="Arial"/>
        </w:rPr>
      </w:pPr>
      <w:r>
        <w:rPr>
          <w:rFonts w:cs="Arial"/>
        </w:rPr>
        <w:t>30% of respondents were either unsure or didn’t</w:t>
      </w:r>
      <w:r w:rsidR="00DB3224">
        <w:rPr>
          <w:rFonts w:cs="Arial"/>
        </w:rPr>
        <w:t xml:space="preserve"> answer.</w:t>
      </w:r>
      <w:r w:rsidR="008B5895">
        <w:rPr>
          <w:rFonts w:cs="Arial"/>
        </w:rPr>
        <w:t xml:space="preserve"> </w:t>
      </w:r>
    </w:p>
    <w:p w:rsidR="00252CF7" w:rsidRDefault="00FB69B9" w:rsidP="0029346E">
      <w:pPr>
        <w:rPr>
          <w:rFonts w:cs="Arial"/>
        </w:rPr>
      </w:pPr>
      <w:r>
        <w:rPr>
          <w:rFonts w:cs="Arial"/>
        </w:rPr>
        <w:t xml:space="preserve">While 63% of respondents believe there is some protection of property rights, almost a third of </w:t>
      </w:r>
      <w:r w:rsidR="000827E1">
        <w:rPr>
          <w:rFonts w:cs="Arial"/>
        </w:rPr>
        <w:t xml:space="preserve">survey participants </w:t>
      </w:r>
      <w:r>
        <w:rPr>
          <w:rFonts w:cs="Arial"/>
        </w:rPr>
        <w:t>were either unsure or didn’t answer the survey question. I</w:t>
      </w:r>
      <w:r w:rsidR="000827E1">
        <w:rPr>
          <w:rFonts w:cs="Arial"/>
        </w:rPr>
        <w:t xml:space="preserve">n contrast, at public and strategic meetings, participants actively engaged in </w:t>
      </w:r>
      <w:r w:rsidR="00857A30">
        <w:rPr>
          <w:rFonts w:cs="Arial"/>
        </w:rPr>
        <w:t>issues regarding their</w:t>
      </w:r>
      <w:r w:rsidR="000827E1">
        <w:rPr>
          <w:rFonts w:cs="Arial"/>
        </w:rPr>
        <w:t xml:space="preserve"> property</w:t>
      </w:r>
      <w:r w:rsidR="00857A30">
        <w:rPr>
          <w:rFonts w:cs="Arial"/>
        </w:rPr>
        <w:t xml:space="preserve"> rights</w:t>
      </w:r>
      <w:r w:rsidR="000827E1">
        <w:rPr>
          <w:rFonts w:cs="Arial"/>
        </w:rPr>
        <w:t>.</w:t>
      </w:r>
    </w:p>
    <w:p w:rsidR="009447E2" w:rsidRPr="007D6D86" w:rsidRDefault="009447E2" w:rsidP="007D6D86">
      <w:pPr>
        <w:pStyle w:val="Heading4"/>
        <w:numPr>
          <w:ilvl w:val="0"/>
          <w:numId w:val="0"/>
        </w:numPr>
        <w:ind w:left="851" w:hanging="851"/>
        <w:rPr>
          <w:i/>
          <w:lang w:val="en-US"/>
        </w:rPr>
      </w:pPr>
      <w:bookmarkStart w:id="219" w:name="_Toc413932292"/>
      <w:r w:rsidRPr="007D6D86">
        <w:rPr>
          <w:i/>
          <w:lang w:val="en-US"/>
        </w:rPr>
        <w:lastRenderedPageBreak/>
        <w:t>Figure 4: How well do Australians think property rights are protected?</w:t>
      </w:r>
      <w:bookmarkEnd w:id="219"/>
    </w:p>
    <w:p w:rsidR="009447E2" w:rsidRDefault="00824FAC" w:rsidP="00824FAC">
      <w:pPr>
        <w:jc w:val="center"/>
        <w:rPr>
          <w:rFonts w:cs="Arial"/>
        </w:rPr>
      </w:pPr>
      <w:r>
        <w:rPr>
          <w:noProof/>
        </w:rPr>
        <w:drawing>
          <wp:inline distT="0" distB="0" distL="0" distR="0" wp14:anchorId="4B7D0D48" wp14:editId="17734F36">
            <wp:extent cx="4114800" cy="3352800"/>
            <wp:effectExtent l="0" t="0" r="0" b="0"/>
            <wp:docPr id="21"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1B1D" w:rsidRDefault="00F01B1D" w:rsidP="00F01B1D">
      <w:pPr>
        <w:rPr>
          <w:lang w:val="en-US"/>
        </w:rPr>
      </w:pPr>
      <w:r>
        <w:rPr>
          <w:lang w:val="en-US"/>
        </w:rPr>
        <w:t>The r</w:t>
      </w:r>
      <w:r w:rsidRPr="00A12DDA">
        <w:rPr>
          <w:lang w:val="en-US"/>
        </w:rPr>
        <w:t xml:space="preserve">ight to property </w:t>
      </w:r>
      <w:r w:rsidR="00252CF7">
        <w:rPr>
          <w:lang w:val="en-US"/>
        </w:rPr>
        <w:t>provide</w:t>
      </w:r>
      <w:r w:rsidR="00D7337E">
        <w:rPr>
          <w:lang w:val="en-US"/>
        </w:rPr>
        <w:t>s</w:t>
      </w:r>
      <w:r w:rsidRPr="00A12DDA">
        <w:rPr>
          <w:lang w:val="en-US"/>
        </w:rPr>
        <w:t xml:space="preserve"> security</w:t>
      </w:r>
      <w:r w:rsidR="00D7337E">
        <w:rPr>
          <w:lang w:val="en-US"/>
        </w:rPr>
        <w:t>,</w:t>
      </w:r>
      <w:r w:rsidRPr="00A12DDA">
        <w:rPr>
          <w:lang w:val="en-US"/>
        </w:rPr>
        <w:t xml:space="preserve"> and </w:t>
      </w:r>
      <w:r w:rsidR="00D7337E">
        <w:rPr>
          <w:lang w:val="en-US"/>
        </w:rPr>
        <w:t xml:space="preserve">enables </w:t>
      </w:r>
      <w:r w:rsidRPr="00A12DDA">
        <w:rPr>
          <w:lang w:val="en-US"/>
        </w:rPr>
        <w:t>opportun</w:t>
      </w:r>
      <w:r>
        <w:rPr>
          <w:lang w:val="en-US"/>
        </w:rPr>
        <w:t xml:space="preserve">ities </w:t>
      </w:r>
      <w:r w:rsidR="00D7337E">
        <w:rPr>
          <w:lang w:val="en-US"/>
        </w:rPr>
        <w:t>for economic and social development</w:t>
      </w:r>
      <w:r>
        <w:rPr>
          <w:lang w:val="en-US"/>
        </w:rPr>
        <w:t>.</w:t>
      </w:r>
    </w:p>
    <w:p w:rsidR="0028203E" w:rsidRDefault="0028203E" w:rsidP="00F01B1D">
      <w:pPr>
        <w:rPr>
          <w:lang w:val="en-US"/>
        </w:rPr>
      </w:pPr>
      <w:r w:rsidRPr="005A7E34">
        <w:rPr>
          <w:rFonts w:cs="Arial"/>
        </w:rPr>
        <w:t>Private prop</w:t>
      </w:r>
      <w:r>
        <w:rPr>
          <w:rFonts w:cs="Arial"/>
        </w:rPr>
        <w:t>erty rights</w:t>
      </w:r>
      <w:r w:rsidRPr="005A7E34">
        <w:rPr>
          <w:rFonts w:cs="Arial"/>
        </w:rPr>
        <w:t xml:space="preserve"> are recognised in section 51(xxxi) of the </w:t>
      </w:r>
      <w:r>
        <w:rPr>
          <w:rFonts w:cs="Arial"/>
        </w:rPr>
        <w:t xml:space="preserve">Australian </w:t>
      </w:r>
      <w:r w:rsidRPr="005A7E34">
        <w:rPr>
          <w:rFonts w:cs="Arial"/>
        </w:rPr>
        <w:t xml:space="preserve">Constitution, which guarantees </w:t>
      </w:r>
      <w:r w:rsidR="005C4536">
        <w:rPr>
          <w:rFonts w:cs="Arial"/>
        </w:rPr>
        <w:t xml:space="preserve">that if property is acquired then </w:t>
      </w:r>
      <w:r w:rsidRPr="005A7E34">
        <w:rPr>
          <w:rFonts w:cs="Arial"/>
        </w:rPr>
        <w:t xml:space="preserve">just terms </w:t>
      </w:r>
      <w:r w:rsidR="005C4536">
        <w:rPr>
          <w:rFonts w:cs="Arial"/>
        </w:rPr>
        <w:t xml:space="preserve">compensation will be paid </w:t>
      </w:r>
      <w:r w:rsidRPr="005A7E34">
        <w:rPr>
          <w:rFonts w:cs="Arial"/>
        </w:rPr>
        <w:t>by the federal government.</w:t>
      </w:r>
      <w:r w:rsidR="00976A4D">
        <w:rPr>
          <w:rFonts w:cs="Arial"/>
        </w:rPr>
        <w:t xml:space="preserve"> Similar provisions do not exist at a state level.</w:t>
      </w:r>
    </w:p>
    <w:p w:rsidR="00706FD1" w:rsidRDefault="00D7337E" w:rsidP="009447E2">
      <w:pPr>
        <w:rPr>
          <w:rFonts w:cs="Arial"/>
        </w:rPr>
      </w:pPr>
      <w:r>
        <w:rPr>
          <w:rFonts w:cs="Arial"/>
        </w:rPr>
        <w:t xml:space="preserve">The consultation exposed </w:t>
      </w:r>
      <w:r w:rsidR="008E53E1">
        <w:rPr>
          <w:rFonts w:cs="Arial"/>
        </w:rPr>
        <w:t>the following themes</w:t>
      </w:r>
      <w:r w:rsidR="00073137">
        <w:rPr>
          <w:rFonts w:cs="Arial"/>
        </w:rPr>
        <w:t xml:space="preserve"> </w:t>
      </w:r>
      <w:r w:rsidR="00DD0610">
        <w:rPr>
          <w:rFonts w:cs="Arial"/>
        </w:rPr>
        <w:t>about how property rights affect</w:t>
      </w:r>
      <w:r w:rsidR="008E53E1">
        <w:rPr>
          <w:rFonts w:cs="Arial"/>
        </w:rPr>
        <w:t xml:space="preserve"> the lives of Australians</w:t>
      </w:r>
      <w:r w:rsidR="00706FD1">
        <w:rPr>
          <w:rFonts w:cs="Arial"/>
        </w:rPr>
        <w:t>:</w:t>
      </w:r>
    </w:p>
    <w:p w:rsidR="00C923E1" w:rsidRPr="00264406" w:rsidRDefault="00C923E1" w:rsidP="008D3832">
      <w:pPr>
        <w:numPr>
          <w:ilvl w:val="0"/>
          <w:numId w:val="37"/>
        </w:numPr>
        <w:rPr>
          <w:rFonts w:cs="Arial"/>
        </w:rPr>
      </w:pPr>
      <w:r>
        <w:rPr>
          <w:rFonts w:cs="Arial"/>
        </w:rPr>
        <w:t>access to affordable housing and homelessness</w:t>
      </w:r>
    </w:p>
    <w:p w:rsidR="009447E2" w:rsidRDefault="00581937" w:rsidP="008D3832">
      <w:pPr>
        <w:numPr>
          <w:ilvl w:val="0"/>
          <w:numId w:val="37"/>
        </w:numPr>
        <w:rPr>
          <w:rFonts w:cs="Arial"/>
        </w:rPr>
      </w:pPr>
      <w:r>
        <w:rPr>
          <w:rFonts w:cs="Arial"/>
        </w:rPr>
        <w:t>g</w:t>
      </w:r>
      <w:r w:rsidRPr="00581937">
        <w:rPr>
          <w:rFonts w:cs="Arial"/>
        </w:rPr>
        <w:t>overnment acquisition of land or regulation of land use</w:t>
      </w:r>
    </w:p>
    <w:p w:rsidR="00B9353E" w:rsidRPr="00B9353E" w:rsidRDefault="00976A4D" w:rsidP="008D3832">
      <w:pPr>
        <w:numPr>
          <w:ilvl w:val="0"/>
          <w:numId w:val="37"/>
        </w:numPr>
        <w:rPr>
          <w:rFonts w:cs="Arial"/>
        </w:rPr>
      </w:pPr>
      <w:r>
        <w:rPr>
          <w:rFonts w:cs="Arial"/>
        </w:rPr>
        <w:t xml:space="preserve">the freedom to exercise </w:t>
      </w:r>
      <w:r w:rsidR="00B9353E">
        <w:rPr>
          <w:rFonts w:cs="Arial"/>
        </w:rPr>
        <w:t xml:space="preserve">native </w:t>
      </w:r>
      <w:r>
        <w:rPr>
          <w:rFonts w:cs="Arial"/>
        </w:rPr>
        <w:t>title</w:t>
      </w:r>
    </w:p>
    <w:p w:rsidR="00B9353E" w:rsidRDefault="00264406" w:rsidP="008D3832">
      <w:pPr>
        <w:numPr>
          <w:ilvl w:val="0"/>
          <w:numId w:val="37"/>
        </w:numPr>
        <w:rPr>
          <w:rFonts w:cs="Arial"/>
        </w:rPr>
      </w:pPr>
      <w:r>
        <w:rPr>
          <w:rFonts w:cs="Arial"/>
        </w:rPr>
        <w:t>intellectual property rights</w:t>
      </w:r>
    </w:p>
    <w:p w:rsidR="009447E2" w:rsidRPr="005164CC" w:rsidRDefault="00D23C5B" w:rsidP="008D3832">
      <w:pPr>
        <w:numPr>
          <w:ilvl w:val="0"/>
          <w:numId w:val="37"/>
        </w:numPr>
        <w:rPr>
          <w:rFonts w:cs="Arial"/>
        </w:rPr>
      </w:pPr>
      <w:r>
        <w:rPr>
          <w:rFonts w:cs="Arial"/>
        </w:rPr>
        <w:t>criminal confiscation laws</w:t>
      </w:r>
      <w:r w:rsidR="00264406">
        <w:rPr>
          <w:rFonts w:cs="Arial"/>
        </w:rPr>
        <w:t>.</w:t>
      </w:r>
    </w:p>
    <w:p w:rsidR="009447E2" w:rsidRPr="00475986" w:rsidRDefault="009447E2" w:rsidP="00475986">
      <w:pPr>
        <w:pStyle w:val="Heading4"/>
        <w:numPr>
          <w:ilvl w:val="0"/>
          <w:numId w:val="0"/>
        </w:numPr>
        <w:ind w:left="851" w:hanging="851"/>
        <w:rPr>
          <w:i/>
        </w:rPr>
      </w:pPr>
      <w:bookmarkStart w:id="220" w:name="_Toc413932293"/>
      <w:r w:rsidRPr="00475986">
        <w:rPr>
          <w:i/>
        </w:rPr>
        <w:t>Access to affordable housing and homelessness</w:t>
      </w:r>
      <w:bookmarkEnd w:id="220"/>
    </w:p>
    <w:p w:rsidR="009447E2" w:rsidRDefault="00D908AB" w:rsidP="009447E2">
      <w:pPr>
        <w:rPr>
          <w:rFonts w:cs="Arial"/>
        </w:rPr>
      </w:pPr>
      <w:r>
        <w:rPr>
          <w:rFonts w:cs="Arial"/>
        </w:rPr>
        <w:t>Problems with a</w:t>
      </w:r>
      <w:r w:rsidR="009447E2">
        <w:rPr>
          <w:rFonts w:cs="Arial"/>
        </w:rPr>
        <w:t xml:space="preserve">ccess to affordable housing and the </w:t>
      </w:r>
      <w:r w:rsidR="00AA749C">
        <w:rPr>
          <w:rFonts w:cs="Arial"/>
        </w:rPr>
        <w:t>consequent</w:t>
      </w:r>
      <w:r>
        <w:rPr>
          <w:rFonts w:cs="Arial"/>
        </w:rPr>
        <w:t xml:space="preserve"> increase in the number</w:t>
      </w:r>
      <w:r w:rsidR="009447E2">
        <w:rPr>
          <w:rFonts w:cs="Arial"/>
        </w:rPr>
        <w:t xml:space="preserve"> of </w:t>
      </w:r>
      <w:r>
        <w:rPr>
          <w:rFonts w:cs="Arial"/>
        </w:rPr>
        <w:t>homeless people</w:t>
      </w:r>
      <w:r w:rsidR="00D711EA">
        <w:rPr>
          <w:rFonts w:cs="Arial"/>
        </w:rPr>
        <w:t>,</w:t>
      </w:r>
      <w:r w:rsidR="009447E2">
        <w:rPr>
          <w:rStyle w:val="EndnoteReference"/>
          <w:rFonts w:cs="Arial"/>
        </w:rPr>
        <w:endnoteReference w:id="54"/>
      </w:r>
      <w:r w:rsidR="00D04351">
        <w:rPr>
          <w:rFonts w:cs="Arial"/>
        </w:rPr>
        <w:t xml:space="preserve"> were</w:t>
      </w:r>
      <w:r w:rsidR="009447E2">
        <w:rPr>
          <w:rFonts w:cs="Arial"/>
        </w:rPr>
        <w:t xml:space="preserve"> raised consistently throughout the consultation.</w:t>
      </w:r>
    </w:p>
    <w:p w:rsidR="009447E2" w:rsidRDefault="00455FFD" w:rsidP="009447E2">
      <w:pPr>
        <w:rPr>
          <w:rFonts w:cs="Arial"/>
        </w:rPr>
      </w:pPr>
      <w:r>
        <w:rPr>
          <w:rFonts w:cs="Arial"/>
        </w:rPr>
        <w:t>W</w:t>
      </w:r>
      <w:r w:rsidR="009447E2">
        <w:rPr>
          <w:rFonts w:cs="Arial"/>
        </w:rPr>
        <w:t xml:space="preserve">hile personal factors such as domestic or family violence and/or financial difficulties </w:t>
      </w:r>
      <w:r>
        <w:rPr>
          <w:rFonts w:cs="Arial"/>
        </w:rPr>
        <w:t xml:space="preserve">may </w:t>
      </w:r>
      <w:r w:rsidR="009447E2">
        <w:rPr>
          <w:rFonts w:cs="Arial"/>
        </w:rPr>
        <w:t xml:space="preserve">contribute to homelessness, </w:t>
      </w:r>
      <w:r w:rsidR="00247FBD">
        <w:rPr>
          <w:rFonts w:cs="Arial"/>
        </w:rPr>
        <w:t>an increase in</w:t>
      </w:r>
      <w:r w:rsidR="009447E2">
        <w:rPr>
          <w:rFonts w:cs="Arial"/>
        </w:rPr>
        <w:t xml:space="preserve"> </w:t>
      </w:r>
      <w:r w:rsidR="009447E2" w:rsidRPr="00BF1236">
        <w:rPr>
          <w:rFonts w:cs="Arial"/>
        </w:rPr>
        <w:t>housing stress</w:t>
      </w:r>
      <w:r w:rsidR="009447E2">
        <w:rPr>
          <w:rFonts w:cs="Arial"/>
        </w:rPr>
        <w:t xml:space="preserve"> is </w:t>
      </w:r>
      <w:r w:rsidR="00247FBD">
        <w:rPr>
          <w:rFonts w:cs="Arial"/>
        </w:rPr>
        <w:t xml:space="preserve">also </w:t>
      </w:r>
      <w:r w:rsidR="009447E2">
        <w:rPr>
          <w:rFonts w:cs="Arial"/>
        </w:rPr>
        <w:t xml:space="preserve">occurring in all states and territories due to </w:t>
      </w:r>
      <w:r w:rsidR="006740E6">
        <w:rPr>
          <w:rFonts w:cs="Arial"/>
        </w:rPr>
        <w:t xml:space="preserve">an </w:t>
      </w:r>
      <w:r w:rsidR="009447E2" w:rsidRPr="00BF1236">
        <w:rPr>
          <w:rFonts w:cs="Arial"/>
        </w:rPr>
        <w:t>undersupply of affordable housing</w:t>
      </w:r>
      <w:r w:rsidR="009447E2">
        <w:rPr>
          <w:rFonts w:cs="Arial"/>
        </w:rPr>
        <w:t>.</w:t>
      </w:r>
      <w:r w:rsidR="00A6527A">
        <w:rPr>
          <w:rStyle w:val="EndnoteReference"/>
          <w:rFonts w:cs="Arial"/>
        </w:rPr>
        <w:endnoteReference w:id="55"/>
      </w:r>
    </w:p>
    <w:p w:rsidR="00EF03F4" w:rsidRDefault="00E46563" w:rsidP="009447E2">
      <w:pPr>
        <w:rPr>
          <w:rFonts w:cs="Arial"/>
        </w:rPr>
      </w:pPr>
      <w:r>
        <w:rPr>
          <w:rFonts w:cs="Arial"/>
        </w:rPr>
        <w:lastRenderedPageBreak/>
        <w:t>Issues</w:t>
      </w:r>
      <w:r w:rsidR="00EF03F4">
        <w:rPr>
          <w:rFonts w:cs="Arial"/>
        </w:rPr>
        <w:t xml:space="preserve"> about acc</w:t>
      </w:r>
      <w:r>
        <w:rPr>
          <w:rFonts w:cs="Arial"/>
        </w:rPr>
        <w:t>es</w:t>
      </w:r>
      <w:r w:rsidR="00455FFD">
        <w:rPr>
          <w:rFonts w:cs="Arial"/>
        </w:rPr>
        <w:t xml:space="preserve">s to affordable housing and </w:t>
      </w:r>
      <w:r>
        <w:rPr>
          <w:rFonts w:cs="Arial"/>
        </w:rPr>
        <w:t>homelessness included</w:t>
      </w:r>
      <w:r w:rsidR="00956D53">
        <w:rPr>
          <w:rFonts w:cs="Arial"/>
        </w:rPr>
        <w:t xml:space="preserve"> concerns about</w:t>
      </w:r>
      <w:r w:rsidR="00362B38">
        <w:rPr>
          <w:rFonts w:cs="Arial"/>
        </w:rPr>
        <w:t xml:space="preserve"> the vulnerability of</w:t>
      </w:r>
      <w:r w:rsidR="00EF03F4">
        <w:rPr>
          <w:rFonts w:cs="Arial"/>
        </w:rPr>
        <w:t>:</w:t>
      </w:r>
    </w:p>
    <w:p w:rsidR="00EF03F4" w:rsidRDefault="00EF03F4" w:rsidP="008D3832">
      <w:pPr>
        <w:numPr>
          <w:ilvl w:val="0"/>
          <w:numId w:val="38"/>
        </w:numPr>
        <w:rPr>
          <w:rFonts w:cs="Arial"/>
        </w:rPr>
      </w:pPr>
      <w:r>
        <w:rPr>
          <w:rFonts w:cs="Arial"/>
        </w:rPr>
        <w:t xml:space="preserve">younger </w:t>
      </w:r>
      <w:r w:rsidR="00956D53">
        <w:rPr>
          <w:rFonts w:cs="Arial"/>
        </w:rPr>
        <w:t>people who fear they will never</w:t>
      </w:r>
      <w:r>
        <w:rPr>
          <w:rFonts w:cs="Arial"/>
        </w:rPr>
        <w:t xml:space="preserve"> be able to afford </w:t>
      </w:r>
      <w:r w:rsidR="00E46563">
        <w:rPr>
          <w:rFonts w:cs="Arial"/>
        </w:rPr>
        <w:t>to purchase a home</w:t>
      </w:r>
    </w:p>
    <w:p w:rsidR="00EF03F4" w:rsidRDefault="00EF03F4" w:rsidP="008D3832">
      <w:pPr>
        <w:numPr>
          <w:ilvl w:val="0"/>
          <w:numId w:val="38"/>
        </w:numPr>
        <w:rPr>
          <w:rFonts w:cs="Arial"/>
        </w:rPr>
      </w:pPr>
      <w:r>
        <w:rPr>
          <w:rFonts w:cs="Arial"/>
        </w:rPr>
        <w:t>people living in caravan parks</w:t>
      </w:r>
      <w:r w:rsidR="00956D53">
        <w:rPr>
          <w:rFonts w:cs="Arial"/>
        </w:rPr>
        <w:t xml:space="preserve"> who own their caravan but have</w:t>
      </w:r>
      <w:r>
        <w:rPr>
          <w:rFonts w:cs="Arial"/>
        </w:rPr>
        <w:t xml:space="preserve"> no recourse to property rights if/when the caravan </w:t>
      </w:r>
      <w:r w:rsidR="00E46563">
        <w:rPr>
          <w:rFonts w:cs="Arial"/>
        </w:rPr>
        <w:t xml:space="preserve">park owner </w:t>
      </w:r>
      <w:r w:rsidR="00956D53">
        <w:rPr>
          <w:rFonts w:cs="Arial"/>
        </w:rPr>
        <w:t>decides to sell</w:t>
      </w:r>
      <w:r w:rsidR="00E46563">
        <w:rPr>
          <w:rFonts w:cs="Arial"/>
        </w:rPr>
        <w:t xml:space="preserve"> the </w:t>
      </w:r>
      <w:r w:rsidR="00956D53">
        <w:rPr>
          <w:rFonts w:cs="Arial"/>
        </w:rPr>
        <w:t xml:space="preserve">land </w:t>
      </w:r>
      <w:r w:rsidR="00455FFD">
        <w:rPr>
          <w:rFonts w:cs="Arial"/>
        </w:rPr>
        <w:t>holding</w:t>
      </w:r>
      <w:r w:rsidR="00247FBD">
        <w:rPr>
          <w:rFonts w:cs="Arial"/>
        </w:rPr>
        <w:t xml:space="preserve"> their caravan</w:t>
      </w:r>
    </w:p>
    <w:p w:rsidR="00EF03F4" w:rsidRDefault="00EF03F4" w:rsidP="008D3832">
      <w:pPr>
        <w:numPr>
          <w:ilvl w:val="0"/>
          <w:numId w:val="38"/>
        </w:numPr>
        <w:rPr>
          <w:rFonts w:cs="Arial"/>
        </w:rPr>
      </w:pPr>
      <w:r>
        <w:rPr>
          <w:rFonts w:cs="Arial"/>
        </w:rPr>
        <w:t>older people living in aged-care facil</w:t>
      </w:r>
      <w:r w:rsidR="00956D53">
        <w:rPr>
          <w:rFonts w:cs="Arial"/>
        </w:rPr>
        <w:t xml:space="preserve">ities </w:t>
      </w:r>
      <w:r w:rsidR="009E3B32">
        <w:rPr>
          <w:rFonts w:cs="Arial"/>
        </w:rPr>
        <w:t xml:space="preserve">where </w:t>
      </w:r>
      <w:r w:rsidR="00247FBD">
        <w:rPr>
          <w:rFonts w:cs="Arial"/>
        </w:rPr>
        <w:t xml:space="preserve">these </w:t>
      </w:r>
      <w:r w:rsidR="009E3B32">
        <w:rPr>
          <w:rFonts w:cs="Arial"/>
        </w:rPr>
        <w:t xml:space="preserve">facilities and/or families undermine </w:t>
      </w:r>
      <w:r>
        <w:rPr>
          <w:rFonts w:cs="Arial"/>
        </w:rPr>
        <w:t>the</w:t>
      </w:r>
      <w:r w:rsidR="00E46563">
        <w:rPr>
          <w:rFonts w:cs="Arial"/>
        </w:rPr>
        <w:t>ir property rights and liberty</w:t>
      </w:r>
    </w:p>
    <w:p w:rsidR="00B41407" w:rsidRDefault="00B41407" w:rsidP="008D3832">
      <w:pPr>
        <w:numPr>
          <w:ilvl w:val="0"/>
          <w:numId w:val="38"/>
        </w:numPr>
        <w:rPr>
          <w:rFonts w:cs="Arial"/>
        </w:rPr>
      </w:pPr>
      <w:r>
        <w:rPr>
          <w:rFonts w:cs="Arial"/>
        </w:rPr>
        <w:t>people from refugee backgrounds who face discrimination in accessing rental properties</w:t>
      </w:r>
    </w:p>
    <w:p w:rsidR="00AA749C" w:rsidRDefault="00362B38" w:rsidP="008D3832">
      <w:pPr>
        <w:numPr>
          <w:ilvl w:val="0"/>
          <w:numId w:val="38"/>
        </w:numPr>
        <w:rPr>
          <w:rFonts w:cs="Arial"/>
        </w:rPr>
      </w:pPr>
      <w:r>
        <w:rPr>
          <w:rFonts w:cs="Arial"/>
        </w:rPr>
        <w:t xml:space="preserve">older </w:t>
      </w:r>
      <w:r w:rsidR="00E46563">
        <w:rPr>
          <w:rFonts w:cs="Arial"/>
        </w:rPr>
        <w:t>peopl</w:t>
      </w:r>
      <w:r>
        <w:rPr>
          <w:rFonts w:cs="Arial"/>
        </w:rPr>
        <w:t xml:space="preserve">e who are long-term renters and have their rental lease </w:t>
      </w:r>
      <w:r w:rsidR="00E46563">
        <w:rPr>
          <w:rFonts w:cs="Arial"/>
        </w:rPr>
        <w:t>terminated.</w:t>
      </w:r>
    </w:p>
    <w:p w:rsidR="009447E2" w:rsidRPr="00ED73D7" w:rsidRDefault="009447E2" w:rsidP="009447E2">
      <w:pPr>
        <w:rPr>
          <w:rFonts w:cs="Arial"/>
        </w:rPr>
      </w:pPr>
      <w:r>
        <w:rPr>
          <w:rFonts w:cs="Arial"/>
        </w:rPr>
        <w:t>Recognising</w:t>
      </w:r>
      <w:r w:rsidR="00ED7D14">
        <w:rPr>
          <w:rFonts w:cs="Arial"/>
        </w:rPr>
        <w:t xml:space="preserve"> that employment underpins a person’s capacity to earn an income that </w:t>
      </w:r>
      <w:r w:rsidR="009E3B32">
        <w:rPr>
          <w:rFonts w:cs="Arial"/>
        </w:rPr>
        <w:t>enables them to</w:t>
      </w:r>
      <w:r w:rsidR="00ED7D14">
        <w:rPr>
          <w:rFonts w:cs="Arial"/>
        </w:rPr>
        <w:t xml:space="preserve"> afford a property, t</w:t>
      </w:r>
      <w:r>
        <w:rPr>
          <w:rFonts w:cs="Arial"/>
        </w:rPr>
        <w:t>he Hutt St Centre in Adelaide has developed education and employment programs to su</w:t>
      </w:r>
      <w:r w:rsidR="00A963B4">
        <w:rPr>
          <w:rFonts w:cs="Arial"/>
        </w:rPr>
        <w:t xml:space="preserve">pport people who are homeless – </w:t>
      </w:r>
      <w:r>
        <w:rPr>
          <w:rFonts w:cs="Arial"/>
        </w:rPr>
        <w:t>s</w:t>
      </w:r>
      <w:r w:rsidR="00A963B4">
        <w:rPr>
          <w:rFonts w:cs="Arial"/>
        </w:rPr>
        <w:t>ee textbox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447E2" w:rsidRPr="0073669B" w:rsidTr="00FE4131">
        <w:tc>
          <w:tcPr>
            <w:tcW w:w="9286" w:type="dxa"/>
            <w:shd w:val="clear" w:color="auto" w:fill="E0E0E0"/>
          </w:tcPr>
          <w:p w:rsidR="009447E2" w:rsidRPr="00B67519" w:rsidRDefault="009447E2" w:rsidP="00FE4131">
            <w:pPr>
              <w:rPr>
                <w:b/>
                <w:sz w:val="22"/>
                <w:szCs w:val="22"/>
                <w:lang w:val="en-US"/>
              </w:rPr>
            </w:pPr>
            <w:r>
              <w:rPr>
                <w:b/>
                <w:sz w:val="22"/>
                <w:szCs w:val="22"/>
                <w:lang w:val="en-US"/>
              </w:rPr>
              <w:t xml:space="preserve">Hutt St Centre – tackling homelessness and the </w:t>
            </w:r>
            <w:r w:rsidRPr="00E36CDE">
              <w:rPr>
                <w:b/>
                <w:i/>
                <w:sz w:val="22"/>
                <w:szCs w:val="22"/>
                <w:lang w:val="en-US"/>
              </w:rPr>
              <w:t>Pathways to Employment</w:t>
            </w:r>
            <w:r>
              <w:rPr>
                <w:b/>
                <w:sz w:val="22"/>
                <w:szCs w:val="22"/>
                <w:lang w:val="en-US"/>
              </w:rPr>
              <w:t xml:space="preserve"> initiative</w:t>
            </w:r>
            <w:r w:rsidR="003901B6">
              <w:rPr>
                <w:rStyle w:val="EndnoteReference"/>
                <w:b/>
                <w:szCs w:val="22"/>
                <w:lang w:val="en-US"/>
              </w:rPr>
              <w:endnoteReference w:id="56"/>
            </w:r>
          </w:p>
          <w:p w:rsidR="009447E2" w:rsidRPr="00E90E0A" w:rsidRDefault="009447E2" w:rsidP="00FE4131">
            <w:pPr>
              <w:rPr>
                <w:rFonts w:cs="Arial"/>
                <w:sz w:val="22"/>
                <w:szCs w:val="22"/>
              </w:rPr>
            </w:pPr>
            <w:r>
              <w:rPr>
                <w:rFonts w:cs="Arial"/>
                <w:sz w:val="22"/>
                <w:szCs w:val="22"/>
              </w:rPr>
              <w:t xml:space="preserve">The Hutt St Centre </w:t>
            </w:r>
            <w:r w:rsidR="00B87CBA">
              <w:rPr>
                <w:rFonts w:cs="Arial"/>
                <w:sz w:val="22"/>
                <w:szCs w:val="22"/>
              </w:rPr>
              <w:t xml:space="preserve">(HSC) </w:t>
            </w:r>
            <w:r>
              <w:rPr>
                <w:rFonts w:cs="Arial"/>
                <w:sz w:val="22"/>
                <w:szCs w:val="22"/>
              </w:rPr>
              <w:t xml:space="preserve">in Adelaide assists people </w:t>
            </w:r>
            <w:r w:rsidRPr="00E90E0A">
              <w:rPr>
                <w:rFonts w:cs="Arial"/>
                <w:sz w:val="22"/>
                <w:szCs w:val="22"/>
              </w:rPr>
              <w:t>to realise their rig</w:t>
            </w:r>
            <w:r>
              <w:rPr>
                <w:rFonts w:cs="Arial"/>
                <w:sz w:val="22"/>
                <w:szCs w:val="22"/>
              </w:rPr>
              <w:t>ht to property by helping them</w:t>
            </w:r>
            <w:r w:rsidRPr="00E90E0A">
              <w:rPr>
                <w:rFonts w:cs="Arial"/>
                <w:sz w:val="22"/>
                <w:szCs w:val="22"/>
              </w:rPr>
              <w:t xml:space="preserve"> access an</w:t>
            </w:r>
            <w:r w:rsidR="00B87CBA">
              <w:rPr>
                <w:rFonts w:cs="Arial"/>
                <w:sz w:val="22"/>
                <w:szCs w:val="22"/>
              </w:rPr>
              <w:t>d move into their own homes. M</w:t>
            </w:r>
            <w:r w:rsidRPr="00E90E0A">
              <w:rPr>
                <w:rFonts w:cs="Arial"/>
                <w:sz w:val="22"/>
                <w:szCs w:val="22"/>
              </w:rPr>
              <w:t>ore recently</w:t>
            </w:r>
            <w:r w:rsidR="00B87CBA">
              <w:rPr>
                <w:rFonts w:cs="Arial"/>
                <w:sz w:val="22"/>
                <w:szCs w:val="22"/>
              </w:rPr>
              <w:t>, the HSC</w:t>
            </w:r>
            <w:r w:rsidRPr="00E90E0A">
              <w:rPr>
                <w:rFonts w:cs="Arial"/>
                <w:sz w:val="22"/>
                <w:szCs w:val="22"/>
              </w:rPr>
              <w:t xml:space="preserve"> </w:t>
            </w:r>
            <w:r>
              <w:rPr>
                <w:rFonts w:cs="Arial"/>
                <w:sz w:val="22"/>
                <w:szCs w:val="22"/>
              </w:rPr>
              <w:t xml:space="preserve">has </w:t>
            </w:r>
            <w:r w:rsidRPr="00E90E0A">
              <w:rPr>
                <w:rFonts w:cs="Arial"/>
                <w:sz w:val="22"/>
                <w:szCs w:val="22"/>
              </w:rPr>
              <w:t xml:space="preserve">introduced </w:t>
            </w:r>
            <w:r w:rsidRPr="00E36CDE">
              <w:rPr>
                <w:rFonts w:cs="Arial"/>
                <w:i/>
                <w:sz w:val="22"/>
                <w:szCs w:val="22"/>
              </w:rPr>
              <w:t>Pathway Programs (Education &amp; Employment)</w:t>
            </w:r>
            <w:r w:rsidRPr="00E90E0A">
              <w:rPr>
                <w:rFonts w:cs="Arial"/>
                <w:sz w:val="22"/>
                <w:szCs w:val="22"/>
              </w:rPr>
              <w:t xml:space="preserve"> to help build employability skills and job prospects</w:t>
            </w:r>
            <w:r w:rsidR="00A5291A">
              <w:rPr>
                <w:rFonts w:cs="Arial"/>
                <w:sz w:val="22"/>
                <w:szCs w:val="22"/>
              </w:rPr>
              <w:t xml:space="preserve"> leading to improved social and economic participation and prosperity</w:t>
            </w:r>
            <w:r w:rsidRPr="00E90E0A">
              <w:rPr>
                <w:rFonts w:cs="Arial"/>
                <w:sz w:val="22"/>
                <w:szCs w:val="22"/>
              </w:rPr>
              <w:t>.</w:t>
            </w:r>
          </w:p>
          <w:p w:rsidR="009447E2" w:rsidRPr="009876CC" w:rsidRDefault="009447E2" w:rsidP="00FE4131">
            <w:pPr>
              <w:rPr>
                <w:rFonts w:cs="Arial"/>
                <w:sz w:val="22"/>
                <w:szCs w:val="22"/>
              </w:rPr>
            </w:pPr>
            <w:r w:rsidRPr="009876CC">
              <w:rPr>
                <w:rFonts w:cs="Arial"/>
                <w:sz w:val="22"/>
                <w:szCs w:val="22"/>
              </w:rPr>
              <w:t>The</w:t>
            </w:r>
            <w:r w:rsidR="00A5291A">
              <w:rPr>
                <w:rFonts w:cs="Arial"/>
                <w:sz w:val="22"/>
                <w:szCs w:val="22"/>
              </w:rPr>
              <w:t xml:space="preserve"> HSC</w:t>
            </w:r>
            <w:r>
              <w:rPr>
                <w:rFonts w:cs="Arial"/>
                <w:sz w:val="22"/>
                <w:szCs w:val="22"/>
              </w:rPr>
              <w:t xml:space="preserve"> has</w:t>
            </w:r>
            <w:r w:rsidRPr="009876CC">
              <w:rPr>
                <w:rFonts w:cs="Arial"/>
                <w:sz w:val="22"/>
                <w:szCs w:val="22"/>
              </w:rPr>
              <w:t xml:space="preserve"> found that people who have access to stable housing </w:t>
            </w:r>
            <w:r>
              <w:rPr>
                <w:rFonts w:cs="Arial"/>
                <w:sz w:val="22"/>
                <w:szCs w:val="22"/>
              </w:rPr>
              <w:t xml:space="preserve">are able </w:t>
            </w:r>
            <w:r w:rsidRPr="009876CC">
              <w:rPr>
                <w:rFonts w:cs="Arial"/>
                <w:sz w:val="22"/>
                <w:szCs w:val="22"/>
              </w:rPr>
              <w:t>to undertake and complete studies</w:t>
            </w:r>
            <w:r>
              <w:rPr>
                <w:rFonts w:cs="Arial"/>
                <w:sz w:val="22"/>
                <w:szCs w:val="22"/>
              </w:rPr>
              <w:t>,</w:t>
            </w:r>
            <w:r w:rsidRPr="009876CC">
              <w:rPr>
                <w:rFonts w:cs="Arial"/>
                <w:sz w:val="22"/>
                <w:szCs w:val="22"/>
              </w:rPr>
              <w:t xml:space="preserve"> as well as obtain and maintain employment.  </w:t>
            </w:r>
          </w:p>
          <w:p w:rsidR="009447E2" w:rsidRPr="00E90E0A" w:rsidRDefault="009447E2" w:rsidP="00FE4131">
            <w:pPr>
              <w:rPr>
                <w:rFonts w:cs="Arial"/>
                <w:sz w:val="22"/>
                <w:szCs w:val="22"/>
              </w:rPr>
            </w:pPr>
            <w:r>
              <w:rPr>
                <w:rFonts w:cs="Arial"/>
                <w:sz w:val="22"/>
                <w:szCs w:val="22"/>
              </w:rPr>
              <w:t>The</w:t>
            </w:r>
            <w:r w:rsidR="00A5291A">
              <w:rPr>
                <w:rFonts w:cs="Arial"/>
                <w:sz w:val="22"/>
                <w:szCs w:val="22"/>
              </w:rPr>
              <w:t xml:space="preserve"> HSC</w:t>
            </w:r>
            <w:r>
              <w:rPr>
                <w:rFonts w:cs="Arial"/>
                <w:sz w:val="22"/>
                <w:szCs w:val="22"/>
              </w:rPr>
              <w:t xml:space="preserve"> also delivers social, recreational</w:t>
            </w:r>
            <w:r w:rsidRPr="00E90E0A">
              <w:rPr>
                <w:rFonts w:cs="Arial"/>
                <w:sz w:val="22"/>
                <w:szCs w:val="22"/>
              </w:rPr>
              <w:t xml:space="preserve"> and education courses to people who have experienced </w:t>
            </w:r>
            <w:r>
              <w:rPr>
                <w:rFonts w:cs="Arial"/>
                <w:sz w:val="22"/>
                <w:szCs w:val="22"/>
              </w:rPr>
              <w:t>homelessness. This assists people to build</w:t>
            </w:r>
            <w:r w:rsidRPr="00E90E0A">
              <w:rPr>
                <w:rFonts w:cs="Arial"/>
                <w:sz w:val="22"/>
                <w:szCs w:val="22"/>
              </w:rPr>
              <w:t xml:space="preserve"> life skills such as cooking</w:t>
            </w:r>
            <w:r>
              <w:rPr>
                <w:rFonts w:cs="Arial"/>
                <w:sz w:val="22"/>
                <w:szCs w:val="22"/>
              </w:rPr>
              <w:t xml:space="preserve"> and </w:t>
            </w:r>
            <w:r w:rsidRPr="00E90E0A">
              <w:rPr>
                <w:rFonts w:cs="Arial"/>
                <w:sz w:val="22"/>
                <w:szCs w:val="22"/>
              </w:rPr>
              <w:t xml:space="preserve">budgeting, </w:t>
            </w:r>
            <w:r>
              <w:rPr>
                <w:rFonts w:cs="Arial"/>
                <w:sz w:val="22"/>
                <w:szCs w:val="22"/>
              </w:rPr>
              <w:t xml:space="preserve">to develop </w:t>
            </w:r>
            <w:r w:rsidRPr="00E90E0A">
              <w:rPr>
                <w:rFonts w:cs="Arial"/>
                <w:sz w:val="22"/>
                <w:szCs w:val="22"/>
              </w:rPr>
              <w:t xml:space="preserve">IT skills and </w:t>
            </w:r>
            <w:r>
              <w:rPr>
                <w:rFonts w:cs="Arial"/>
                <w:sz w:val="22"/>
                <w:szCs w:val="22"/>
              </w:rPr>
              <w:t xml:space="preserve">to </w:t>
            </w:r>
            <w:r w:rsidRPr="00E90E0A">
              <w:rPr>
                <w:rFonts w:cs="Arial"/>
                <w:sz w:val="22"/>
                <w:szCs w:val="22"/>
              </w:rPr>
              <w:t>undertake further education.  In 2013-14</w:t>
            </w:r>
            <w:r>
              <w:rPr>
                <w:rFonts w:cs="Arial"/>
                <w:sz w:val="22"/>
                <w:szCs w:val="22"/>
              </w:rPr>
              <w:t>,</w:t>
            </w:r>
            <w:r w:rsidRPr="00E90E0A">
              <w:rPr>
                <w:rFonts w:cs="Arial"/>
                <w:sz w:val="22"/>
                <w:szCs w:val="22"/>
              </w:rPr>
              <w:t xml:space="preserve"> </w:t>
            </w:r>
            <w:r w:rsidR="00A5291A">
              <w:rPr>
                <w:rFonts w:cs="Arial"/>
                <w:sz w:val="22"/>
                <w:szCs w:val="22"/>
              </w:rPr>
              <w:t>the HSC</w:t>
            </w:r>
            <w:r>
              <w:rPr>
                <w:rFonts w:cs="Arial"/>
                <w:sz w:val="22"/>
                <w:szCs w:val="22"/>
              </w:rPr>
              <w:t xml:space="preserve"> assisted </w:t>
            </w:r>
            <w:r w:rsidRPr="00E90E0A">
              <w:rPr>
                <w:rFonts w:cs="Arial"/>
                <w:sz w:val="22"/>
                <w:szCs w:val="22"/>
              </w:rPr>
              <w:t xml:space="preserve">more than 40 participants </w:t>
            </w:r>
            <w:r>
              <w:rPr>
                <w:rFonts w:cs="Arial"/>
                <w:sz w:val="22"/>
                <w:szCs w:val="22"/>
              </w:rPr>
              <w:t xml:space="preserve">to </w:t>
            </w:r>
            <w:r w:rsidRPr="00E90E0A">
              <w:rPr>
                <w:rFonts w:cs="Arial"/>
                <w:sz w:val="22"/>
                <w:szCs w:val="22"/>
              </w:rPr>
              <w:t xml:space="preserve">undertake further qualifications, from unaccredited courses </w:t>
            </w:r>
            <w:r>
              <w:rPr>
                <w:rFonts w:cs="Arial"/>
                <w:sz w:val="22"/>
                <w:szCs w:val="22"/>
              </w:rPr>
              <w:t>to diploma and university courses.</w:t>
            </w:r>
          </w:p>
          <w:p w:rsidR="009447E2" w:rsidRPr="00ED73D7" w:rsidRDefault="009447E2" w:rsidP="00FE4131">
            <w:pPr>
              <w:rPr>
                <w:rFonts w:cs="Arial"/>
                <w:sz w:val="22"/>
                <w:szCs w:val="22"/>
              </w:rPr>
            </w:pPr>
            <w:r w:rsidRPr="00E36CDE">
              <w:rPr>
                <w:rFonts w:cs="Arial"/>
                <w:i/>
                <w:sz w:val="22"/>
                <w:szCs w:val="22"/>
              </w:rPr>
              <w:t>Pathways to Employment</w:t>
            </w:r>
            <w:r w:rsidRPr="00E90E0A">
              <w:rPr>
                <w:rFonts w:cs="Arial"/>
                <w:sz w:val="22"/>
                <w:szCs w:val="22"/>
              </w:rPr>
              <w:t xml:space="preserve"> is </w:t>
            </w:r>
            <w:r>
              <w:rPr>
                <w:rFonts w:cs="Arial"/>
                <w:sz w:val="22"/>
                <w:szCs w:val="22"/>
              </w:rPr>
              <w:t>the</w:t>
            </w:r>
            <w:r w:rsidR="00A5291A">
              <w:rPr>
                <w:rFonts w:cs="Arial"/>
                <w:sz w:val="22"/>
                <w:szCs w:val="22"/>
              </w:rPr>
              <w:t xml:space="preserve"> HSC</w:t>
            </w:r>
            <w:r w:rsidRPr="00E90E0A">
              <w:rPr>
                <w:rFonts w:cs="Arial"/>
                <w:sz w:val="22"/>
                <w:szCs w:val="22"/>
              </w:rPr>
              <w:t xml:space="preserve">’s employment program that </w:t>
            </w:r>
            <w:r>
              <w:rPr>
                <w:rFonts w:cs="Arial"/>
                <w:sz w:val="22"/>
                <w:szCs w:val="22"/>
              </w:rPr>
              <w:t>assists</w:t>
            </w:r>
            <w:r w:rsidRPr="00E90E0A">
              <w:rPr>
                <w:rFonts w:cs="Arial"/>
                <w:sz w:val="22"/>
                <w:szCs w:val="22"/>
              </w:rPr>
              <w:t xml:space="preserve"> participan</w:t>
            </w:r>
            <w:r w:rsidR="00A5291A">
              <w:rPr>
                <w:rFonts w:cs="Arial"/>
                <w:sz w:val="22"/>
                <w:szCs w:val="22"/>
              </w:rPr>
              <w:t xml:space="preserve">ts to access employment. </w:t>
            </w:r>
            <w:r>
              <w:rPr>
                <w:rFonts w:cs="Arial"/>
                <w:sz w:val="22"/>
                <w:szCs w:val="22"/>
              </w:rPr>
              <w:t>This eight</w:t>
            </w:r>
            <w:r w:rsidRPr="00E90E0A">
              <w:rPr>
                <w:rFonts w:cs="Arial"/>
                <w:sz w:val="22"/>
                <w:szCs w:val="22"/>
              </w:rPr>
              <w:t xml:space="preserve"> week program supports participants to identify </w:t>
            </w:r>
            <w:r>
              <w:rPr>
                <w:rFonts w:cs="Arial"/>
                <w:sz w:val="22"/>
                <w:szCs w:val="22"/>
              </w:rPr>
              <w:t xml:space="preserve">and achieve </w:t>
            </w:r>
            <w:r w:rsidRPr="00E90E0A">
              <w:rPr>
                <w:rFonts w:cs="Arial"/>
                <w:sz w:val="22"/>
                <w:szCs w:val="22"/>
              </w:rPr>
              <w:t>their emp</w:t>
            </w:r>
            <w:r>
              <w:rPr>
                <w:rFonts w:cs="Arial"/>
                <w:sz w:val="22"/>
                <w:szCs w:val="22"/>
              </w:rPr>
              <w:t xml:space="preserve">loyment goals by </w:t>
            </w:r>
            <w:r w:rsidRPr="00E90E0A">
              <w:rPr>
                <w:rFonts w:cs="Arial"/>
                <w:sz w:val="22"/>
                <w:szCs w:val="22"/>
              </w:rPr>
              <w:t>break</w:t>
            </w:r>
            <w:r>
              <w:rPr>
                <w:rFonts w:cs="Arial"/>
                <w:sz w:val="22"/>
                <w:szCs w:val="22"/>
              </w:rPr>
              <w:t>ing</w:t>
            </w:r>
            <w:r w:rsidRPr="00E90E0A">
              <w:rPr>
                <w:rFonts w:cs="Arial"/>
                <w:sz w:val="22"/>
                <w:szCs w:val="22"/>
              </w:rPr>
              <w:t xml:space="preserve"> these down into s</w:t>
            </w:r>
            <w:r>
              <w:rPr>
                <w:rFonts w:cs="Arial"/>
                <w:sz w:val="22"/>
                <w:szCs w:val="22"/>
              </w:rPr>
              <w:t>mall steps. For example, p</w:t>
            </w:r>
            <w:r w:rsidRPr="00E90E0A">
              <w:rPr>
                <w:rFonts w:cs="Arial"/>
                <w:sz w:val="22"/>
                <w:szCs w:val="22"/>
              </w:rPr>
              <w:t>articipants develop a resume, cover letter, obtain identification, undertake education such as forklift lic</w:t>
            </w:r>
            <w:r>
              <w:rPr>
                <w:rFonts w:cs="Arial"/>
                <w:sz w:val="22"/>
                <w:szCs w:val="22"/>
              </w:rPr>
              <w:t>enses or first aid; they are</w:t>
            </w:r>
            <w:r w:rsidRPr="00E90E0A">
              <w:rPr>
                <w:rFonts w:cs="Arial"/>
                <w:sz w:val="22"/>
                <w:szCs w:val="22"/>
              </w:rPr>
              <w:t xml:space="preserve"> supported </w:t>
            </w:r>
            <w:r w:rsidRPr="00ED73D7">
              <w:rPr>
                <w:rFonts w:cs="Arial"/>
                <w:sz w:val="22"/>
                <w:szCs w:val="22"/>
              </w:rPr>
              <w:t xml:space="preserve">through the job application process, coached through the interview, and then </w:t>
            </w:r>
            <w:r>
              <w:rPr>
                <w:rFonts w:cs="Arial"/>
                <w:sz w:val="22"/>
                <w:szCs w:val="22"/>
              </w:rPr>
              <w:t>supported to maintain their position</w:t>
            </w:r>
            <w:r w:rsidRPr="00ED73D7">
              <w:rPr>
                <w:rFonts w:cs="Arial"/>
                <w:sz w:val="22"/>
                <w:szCs w:val="22"/>
              </w:rPr>
              <w:t>.</w:t>
            </w:r>
          </w:p>
          <w:p w:rsidR="009447E2" w:rsidRPr="0073669B" w:rsidRDefault="009447E2" w:rsidP="00FE4131">
            <w:pPr>
              <w:rPr>
                <w:rFonts w:cs="Arial"/>
                <w:sz w:val="22"/>
                <w:szCs w:val="22"/>
              </w:rPr>
            </w:pPr>
            <w:r>
              <w:rPr>
                <w:rFonts w:cs="Arial"/>
                <w:sz w:val="22"/>
                <w:szCs w:val="22"/>
              </w:rPr>
              <w:t>Since</w:t>
            </w:r>
            <w:r w:rsidRPr="00ED73D7">
              <w:rPr>
                <w:rFonts w:cs="Arial"/>
                <w:sz w:val="22"/>
                <w:szCs w:val="22"/>
              </w:rPr>
              <w:t xml:space="preserve"> </w:t>
            </w:r>
            <w:r w:rsidRPr="00AE7D1F">
              <w:rPr>
                <w:rFonts w:cs="Arial"/>
                <w:i/>
                <w:sz w:val="22"/>
                <w:szCs w:val="22"/>
              </w:rPr>
              <w:t>Pathways to Employment</w:t>
            </w:r>
            <w:r>
              <w:rPr>
                <w:rFonts w:cs="Arial"/>
                <w:sz w:val="22"/>
                <w:szCs w:val="22"/>
              </w:rPr>
              <w:t xml:space="preserve"> started </w:t>
            </w:r>
            <w:r w:rsidR="00A5291A">
              <w:rPr>
                <w:rFonts w:cs="Arial"/>
                <w:sz w:val="22"/>
                <w:szCs w:val="22"/>
              </w:rPr>
              <w:t>in 2013, 65</w:t>
            </w:r>
            <w:r w:rsidRPr="00ED73D7">
              <w:rPr>
                <w:rFonts w:cs="Arial"/>
                <w:sz w:val="22"/>
                <w:szCs w:val="22"/>
              </w:rPr>
              <w:t xml:space="preserve"> participants have obtained employment, k</w:t>
            </w:r>
            <w:r>
              <w:rPr>
                <w:rFonts w:cs="Arial"/>
                <w:sz w:val="22"/>
                <w:szCs w:val="22"/>
              </w:rPr>
              <w:t>eeping them out of homelessness</w:t>
            </w:r>
            <w:r w:rsidRPr="00ED73D7">
              <w:rPr>
                <w:rFonts w:cs="Arial"/>
                <w:sz w:val="22"/>
                <w:szCs w:val="22"/>
              </w:rPr>
              <w:t xml:space="preserve"> and enabling them to earn a sufficient income to af</w:t>
            </w:r>
            <w:r>
              <w:rPr>
                <w:rFonts w:cs="Arial"/>
                <w:sz w:val="22"/>
                <w:szCs w:val="22"/>
              </w:rPr>
              <w:t>ford</w:t>
            </w:r>
            <w:r w:rsidRPr="00ED73D7">
              <w:rPr>
                <w:rFonts w:cs="Arial"/>
                <w:sz w:val="22"/>
                <w:szCs w:val="22"/>
              </w:rPr>
              <w:t xml:space="preserve"> long term, stable accommoda</w:t>
            </w:r>
            <w:r>
              <w:rPr>
                <w:rFonts w:cs="Arial"/>
                <w:sz w:val="22"/>
                <w:szCs w:val="22"/>
              </w:rPr>
              <w:t>tion.</w:t>
            </w:r>
          </w:p>
        </w:tc>
      </w:tr>
    </w:tbl>
    <w:p w:rsidR="006740E6" w:rsidRDefault="000F4834" w:rsidP="006740E6">
      <w:r>
        <w:t>During his term, t</w:t>
      </w:r>
      <w:r w:rsidR="00D264CE">
        <w:t xml:space="preserve">he </w:t>
      </w:r>
      <w:r w:rsidR="00247FBD">
        <w:t xml:space="preserve">Human Rights </w:t>
      </w:r>
      <w:r w:rsidR="00D264CE">
        <w:t xml:space="preserve">Commissioner </w:t>
      </w:r>
      <w:r>
        <w:t xml:space="preserve">will </w:t>
      </w:r>
      <w:r w:rsidR="009476F6">
        <w:t>undertake</w:t>
      </w:r>
      <w:r w:rsidR="00D264CE">
        <w:t xml:space="preserve"> </w:t>
      </w:r>
      <w:r w:rsidR="009476F6">
        <w:t>further</w:t>
      </w:r>
      <w:r w:rsidR="00DC18C4">
        <w:t xml:space="preserve"> work examining</w:t>
      </w:r>
      <w:r w:rsidR="00247FBD">
        <w:t xml:space="preserve"> </w:t>
      </w:r>
      <w:r>
        <w:t xml:space="preserve">access </w:t>
      </w:r>
      <w:r w:rsidR="00963EDC">
        <w:t xml:space="preserve">to </w:t>
      </w:r>
      <w:r>
        <w:t xml:space="preserve">affordable housing in Australia. </w:t>
      </w:r>
    </w:p>
    <w:p w:rsidR="00651178" w:rsidRPr="00681DD0" w:rsidRDefault="00681DD0" w:rsidP="00681DD0">
      <w:pPr>
        <w:pStyle w:val="Heading4"/>
        <w:numPr>
          <w:ilvl w:val="0"/>
          <w:numId w:val="0"/>
        </w:numPr>
        <w:ind w:left="851" w:hanging="851"/>
        <w:rPr>
          <w:i/>
        </w:rPr>
      </w:pPr>
      <w:bookmarkStart w:id="221" w:name="_Toc413932294"/>
      <w:r w:rsidRPr="00681DD0">
        <w:rPr>
          <w:i/>
        </w:rPr>
        <w:lastRenderedPageBreak/>
        <w:t>Government acquisition of land or regulation of land use</w:t>
      </w:r>
      <w:bookmarkEnd w:id="221"/>
    </w:p>
    <w:p w:rsidR="005164CC" w:rsidRDefault="00750047" w:rsidP="00750047">
      <w:pPr>
        <w:rPr>
          <w:lang w:val="en-US"/>
        </w:rPr>
      </w:pPr>
      <w:r>
        <w:rPr>
          <w:lang w:val="en-US"/>
        </w:rPr>
        <w:t>A r</w:t>
      </w:r>
      <w:r w:rsidR="005164CC" w:rsidRPr="002F11F5">
        <w:rPr>
          <w:lang w:val="en-US"/>
        </w:rPr>
        <w:t xml:space="preserve">ecurring theme from the consultations was </w:t>
      </w:r>
      <w:r>
        <w:rPr>
          <w:lang w:val="en-US"/>
        </w:rPr>
        <w:t xml:space="preserve">the way in which </w:t>
      </w:r>
      <w:r w:rsidR="00C11F09">
        <w:rPr>
          <w:lang w:val="en-US"/>
        </w:rPr>
        <w:t>state/</w:t>
      </w:r>
      <w:r w:rsidR="002F162F">
        <w:rPr>
          <w:lang w:val="en-US"/>
        </w:rPr>
        <w:t xml:space="preserve">territory </w:t>
      </w:r>
      <w:r w:rsidR="005164CC">
        <w:rPr>
          <w:lang w:val="en-US"/>
        </w:rPr>
        <w:t xml:space="preserve">government </w:t>
      </w:r>
      <w:r>
        <w:rPr>
          <w:lang w:val="en-US"/>
        </w:rPr>
        <w:t xml:space="preserve">policies </w:t>
      </w:r>
      <w:r w:rsidR="009C5A59">
        <w:rPr>
          <w:lang w:val="en-US"/>
        </w:rPr>
        <w:t xml:space="preserve">and </w:t>
      </w:r>
      <w:r>
        <w:rPr>
          <w:lang w:val="en-US"/>
        </w:rPr>
        <w:t>legislation</w:t>
      </w:r>
      <w:r w:rsidR="005164CC">
        <w:rPr>
          <w:lang w:val="en-US"/>
        </w:rPr>
        <w:t xml:space="preserve"> </w:t>
      </w:r>
      <w:r w:rsidR="005B4CE4">
        <w:rPr>
          <w:lang w:val="en-US"/>
        </w:rPr>
        <w:t>impact on the property rights of</w:t>
      </w:r>
      <w:r w:rsidR="009C6449">
        <w:rPr>
          <w:lang w:val="en-US"/>
        </w:rPr>
        <w:t xml:space="preserve"> individual</w:t>
      </w:r>
      <w:r w:rsidR="00C11F09">
        <w:rPr>
          <w:lang w:val="en-US"/>
        </w:rPr>
        <w:t>s</w:t>
      </w:r>
      <w:r w:rsidR="005164CC" w:rsidRPr="002F11F5">
        <w:rPr>
          <w:lang w:val="en-US"/>
        </w:rPr>
        <w:t>.</w:t>
      </w:r>
      <w:r w:rsidR="00D1745E">
        <w:rPr>
          <w:lang w:val="en-US"/>
        </w:rPr>
        <w:t xml:space="preserve"> Con</w:t>
      </w:r>
      <w:r w:rsidR="00C11F09">
        <w:rPr>
          <w:lang w:val="en-US"/>
        </w:rPr>
        <w:t xml:space="preserve">cerns generally reflected </w:t>
      </w:r>
      <w:r w:rsidR="002F162F">
        <w:rPr>
          <w:lang w:val="en-US"/>
        </w:rPr>
        <w:t>government</w:t>
      </w:r>
      <w:r w:rsidR="00C11F09">
        <w:rPr>
          <w:lang w:val="en-US"/>
        </w:rPr>
        <w:t>s either</w:t>
      </w:r>
      <w:r w:rsidR="00D1745E">
        <w:rPr>
          <w:lang w:val="en-US"/>
        </w:rPr>
        <w:t>:</w:t>
      </w:r>
    </w:p>
    <w:p w:rsidR="00D1745E" w:rsidRDefault="00D1745E" w:rsidP="008D3832">
      <w:pPr>
        <w:numPr>
          <w:ilvl w:val="0"/>
          <w:numId w:val="41"/>
        </w:numPr>
        <w:rPr>
          <w:lang w:val="en-US"/>
        </w:rPr>
      </w:pPr>
      <w:r>
        <w:rPr>
          <w:lang w:val="en-US"/>
        </w:rPr>
        <w:t xml:space="preserve">permitting access to land without adequate </w:t>
      </w:r>
      <w:r w:rsidR="008D7B7F">
        <w:rPr>
          <w:lang w:val="en-US"/>
        </w:rPr>
        <w:t xml:space="preserve">consultation or </w:t>
      </w:r>
      <w:r>
        <w:rPr>
          <w:lang w:val="en-US"/>
        </w:rPr>
        <w:t>compensation</w:t>
      </w:r>
      <w:r w:rsidR="00C11F09">
        <w:rPr>
          <w:lang w:val="en-US"/>
        </w:rPr>
        <w:t>, or</w:t>
      </w:r>
    </w:p>
    <w:p w:rsidR="00D1745E" w:rsidRDefault="00F3099E" w:rsidP="008D3832">
      <w:pPr>
        <w:numPr>
          <w:ilvl w:val="0"/>
          <w:numId w:val="41"/>
        </w:numPr>
        <w:rPr>
          <w:lang w:val="en-US"/>
        </w:rPr>
      </w:pPr>
      <w:r>
        <w:rPr>
          <w:lang w:val="en-US"/>
        </w:rPr>
        <w:t>limit</w:t>
      </w:r>
      <w:r w:rsidR="00475722">
        <w:rPr>
          <w:lang w:val="en-US"/>
        </w:rPr>
        <w:t xml:space="preserve">ing how individuals may </w:t>
      </w:r>
      <w:r w:rsidR="008D7B7F">
        <w:rPr>
          <w:lang w:val="en-US"/>
        </w:rPr>
        <w:t>us</w:t>
      </w:r>
      <w:r w:rsidR="00475722">
        <w:rPr>
          <w:lang w:val="en-US"/>
        </w:rPr>
        <w:t>e</w:t>
      </w:r>
      <w:r w:rsidR="008D7B7F">
        <w:rPr>
          <w:lang w:val="en-US"/>
        </w:rPr>
        <w:t xml:space="preserve"> their</w:t>
      </w:r>
      <w:r w:rsidR="002F162F">
        <w:rPr>
          <w:lang w:val="en-US"/>
        </w:rPr>
        <w:t xml:space="preserve"> private proper</w:t>
      </w:r>
      <w:r w:rsidR="008D7B7F">
        <w:rPr>
          <w:lang w:val="en-US"/>
        </w:rPr>
        <w:t>ty</w:t>
      </w:r>
      <w:r w:rsidR="002F162F">
        <w:rPr>
          <w:lang w:val="en-US"/>
        </w:rPr>
        <w:t>.</w:t>
      </w:r>
      <w:r w:rsidR="00D1745E">
        <w:rPr>
          <w:lang w:val="en-US"/>
        </w:rPr>
        <w:t xml:space="preserve"> </w:t>
      </w:r>
    </w:p>
    <w:p w:rsidR="006D082F" w:rsidRDefault="00637615" w:rsidP="00750047">
      <w:pPr>
        <w:rPr>
          <w:lang w:val="en-US"/>
        </w:rPr>
      </w:pPr>
      <w:r>
        <w:rPr>
          <w:lang w:val="en-US"/>
        </w:rPr>
        <w:t xml:space="preserve">In meetings in Western Australia, Queensland and NSW, </w:t>
      </w:r>
      <w:r w:rsidR="00225014">
        <w:rPr>
          <w:lang w:val="en-US"/>
        </w:rPr>
        <w:t>landholder</w:t>
      </w:r>
      <w:r w:rsidR="00267C25">
        <w:rPr>
          <w:lang w:val="en-US"/>
        </w:rPr>
        <w:t xml:space="preserve">s and coal seam gas mining companies described their </w:t>
      </w:r>
      <w:r>
        <w:rPr>
          <w:lang w:val="en-US"/>
        </w:rPr>
        <w:t xml:space="preserve">competing rights to </w:t>
      </w:r>
      <w:r w:rsidR="00267C25">
        <w:rPr>
          <w:lang w:val="en-US"/>
        </w:rPr>
        <w:t xml:space="preserve">surface and sub-surface </w:t>
      </w:r>
      <w:r>
        <w:rPr>
          <w:lang w:val="en-US"/>
        </w:rPr>
        <w:t>property</w:t>
      </w:r>
      <w:r w:rsidR="00267C25">
        <w:rPr>
          <w:lang w:val="en-US"/>
        </w:rPr>
        <w:t>. Tensions occurred when state governments</w:t>
      </w:r>
      <w:r>
        <w:rPr>
          <w:lang w:val="en-US"/>
        </w:rPr>
        <w:t xml:space="preserve"> </w:t>
      </w:r>
      <w:r w:rsidR="00267C25">
        <w:rPr>
          <w:lang w:val="en-US"/>
        </w:rPr>
        <w:t xml:space="preserve">permitted mining </w:t>
      </w:r>
      <w:r w:rsidR="00DF4765">
        <w:rPr>
          <w:lang w:val="en-US"/>
        </w:rPr>
        <w:t xml:space="preserve">interests access to sub-surface resources (coal seam gas) without considering </w:t>
      </w:r>
      <w:r w:rsidR="00225014">
        <w:rPr>
          <w:lang w:val="en-US"/>
        </w:rPr>
        <w:t>the interests of the landholder</w:t>
      </w:r>
      <w:r w:rsidR="00DF4765">
        <w:rPr>
          <w:lang w:val="en-US"/>
        </w:rPr>
        <w:t xml:space="preserve">s using the surface property. Meetings in Roma and Singleton </w:t>
      </w:r>
      <w:r w:rsidR="006D082F">
        <w:rPr>
          <w:lang w:val="en-US"/>
        </w:rPr>
        <w:t>highlighted the importance of government and mining interests:</w:t>
      </w:r>
    </w:p>
    <w:p w:rsidR="006D082F" w:rsidRDefault="006D082F" w:rsidP="008D3832">
      <w:pPr>
        <w:numPr>
          <w:ilvl w:val="0"/>
          <w:numId w:val="43"/>
        </w:numPr>
        <w:rPr>
          <w:lang w:val="en-US"/>
        </w:rPr>
      </w:pPr>
      <w:r>
        <w:rPr>
          <w:lang w:val="en-US"/>
        </w:rPr>
        <w:t>engaging with local communities and consulting landholders</w:t>
      </w:r>
    </w:p>
    <w:p w:rsidR="00B40BDE" w:rsidRDefault="006D082F" w:rsidP="008D3832">
      <w:pPr>
        <w:numPr>
          <w:ilvl w:val="0"/>
          <w:numId w:val="43"/>
        </w:numPr>
        <w:rPr>
          <w:lang w:val="en-US"/>
        </w:rPr>
      </w:pPr>
      <w:r w:rsidRPr="006D082F">
        <w:t>recognising</w:t>
      </w:r>
      <w:r>
        <w:rPr>
          <w:lang w:val="en-US"/>
        </w:rPr>
        <w:t xml:space="preserve"> </w:t>
      </w:r>
      <w:r w:rsidR="00225014">
        <w:rPr>
          <w:lang w:val="en-US"/>
        </w:rPr>
        <w:t>landholders</w:t>
      </w:r>
      <w:r w:rsidR="001F34CD">
        <w:rPr>
          <w:lang w:val="en-US"/>
        </w:rPr>
        <w:t xml:space="preserve">’ </w:t>
      </w:r>
      <w:r w:rsidR="00B40BDE">
        <w:rPr>
          <w:lang w:val="en-US"/>
        </w:rPr>
        <w:t>property rights</w:t>
      </w:r>
    </w:p>
    <w:p w:rsidR="00D1745E" w:rsidRPr="00B40BDE" w:rsidRDefault="00B40BDE" w:rsidP="008D3832">
      <w:pPr>
        <w:numPr>
          <w:ilvl w:val="0"/>
          <w:numId w:val="43"/>
        </w:numPr>
        <w:rPr>
          <w:lang w:val="en-US"/>
        </w:rPr>
      </w:pPr>
      <w:r w:rsidRPr="00B40BDE">
        <w:rPr>
          <w:lang w:val="en-US"/>
        </w:rPr>
        <w:t xml:space="preserve">providing adequate compensation </w:t>
      </w:r>
      <w:r w:rsidR="00225014">
        <w:rPr>
          <w:lang w:val="en-US"/>
        </w:rPr>
        <w:t>to landholder</w:t>
      </w:r>
      <w:r w:rsidRPr="00B40BDE">
        <w:rPr>
          <w:lang w:val="en-US"/>
        </w:rPr>
        <w:t xml:space="preserve">s where there are </w:t>
      </w:r>
      <w:r w:rsidR="001F34CD" w:rsidRPr="00B40BDE">
        <w:rPr>
          <w:lang w:val="en-US"/>
        </w:rPr>
        <w:t>adverse impact</w:t>
      </w:r>
      <w:r w:rsidRPr="00B40BDE">
        <w:rPr>
          <w:lang w:val="en-US"/>
        </w:rPr>
        <w:t>s</w:t>
      </w:r>
      <w:r w:rsidR="006D082F" w:rsidRPr="00B40BDE">
        <w:rPr>
          <w:lang w:val="en-US"/>
        </w:rPr>
        <w:t xml:space="preserve"> </w:t>
      </w:r>
      <w:r w:rsidRPr="00B40BDE">
        <w:rPr>
          <w:lang w:val="en-US"/>
        </w:rPr>
        <w:t>on property</w:t>
      </w:r>
      <w:r w:rsidR="001F34CD" w:rsidRPr="00B40BDE">
        <w:rPr>
          <w:lang w:val="en-US"/>
        </w:rPr>
        <w:t xml:space="preserve"> rights.</w:t>
      </w:r>
    </w:p>
    <w:p w:rsidR="00E550E9" w:rsidRPr="00C11F09" w:rsidRDefault="001F34CD" w:rsidP="00D1745E">
      <w:pPr>
        <w:rPr>
          <w:rFonts w:cs="Arial"/>
        </w:rPr>
      </w:pPr>
      <w:r>
        <w:rPr>
          <w:rFonts w:cs="Arial"/>
        </w:rPr>
        <w:t xml:space="preserve">In Western Australia, concerns were raised about government regulations hindering people’s capacity to use their </w:t>
      </w:r>
      <w:r w:rsidR="00C11F09">
        <w:rPr>
          <w:rFonts w:cs="Arial"/>
        </w:rPr>
        <w:t xml:space="preserve">private property. For example, </w:t>
      </w:r>
      <w:r w:rsidR="00D711EA">
        <w:rPr>
          <w:rFonts w:cs="Arial"/>
        </w:rPr>
        <w:t>participants raised</w:t>
      </w:r>
      <w:r w:rsidR="009476F6">
        <w:rPr>
          <w:rFonts w:cs="Arial"/>
        </w:rPr>
        <w:t xml:space="preserve"> issues with </w:t>
      </w:r>
      <w:r w:rsidR="00FE5F4D">
        <w:rPr>
          <w:rFonts w:cs="Arial"/>
        </w:rPr>
        <w:t>provisions of</w:t>
      </w:r>
      <w:r w:rsidR="00097D39">
        <w:rPr>
          <w:rFonts w:cs="Arial"/>
        </w:rPr>
        <w:t xml:space="preserve"> the </w:t>
      </w:r>
      <w:r w:rsidR="00097D39" w:rsidRPr="00097D39">
        <w:rPr>
          <w:rFonts w:cs="Arial"/>
          <w:i/>
        </w:rPr>
        <w:t>Environmental Protection Act 1986</w:t>
      </w:r>
      <w:r w:rsidR="00097D39">
        <w:rPr>
          <w:rFonts w:cs="Arial"/>
        </w:rPr>
        <w:t xml:space="preserve"> (WA)</w:t>
      </w:r>
      <w:r w:rsidR="00E81915">
        <w:rPr>
          <w:rFonts w:cs="Arial"/>
        </w:rPr>
        <w:t>. These provisions, which</w:t>
      </w:r>
      <w:r w:rsidR="00097D39">
        <w:rPr>
          <w:rFonts w:cs="Arial"/>
        </w:rPr>
        <w:t xml:space="preserve"> restrict land clearance</w:t>
      </w:r>
      <w:r w:rsidR="00E81915">
        <w:rPr>
          <w:rFonts w:cs="Arial"/>
        </w:rPr>
        <w:t>,</w:t>
      </w:r>
      <w:r w:rsidR="00C11F09" w:rsidRPr="008F12F8">
        <w:rPr>
          <w:lang w:val="en-US"/>
        </w:rPr>
        <w:t xml:space="preserve"> </w:t>
      </w:r>
      <w:r w:rsidR="00097D39">
        <w:rPr>
          <w:lang w:val="en-US"/>
        </w:rPr>
        <w:t>adverse</w:t>
      </w:r>
      <w:r w:rsidR="00E81915">
        <w:rPr>
          <w:lang w:val="en-US"/>
        </w:rPr>
        <w:t>ly affect</w:t>
      </w:r>
      <w:r w:rsidR="00225014">
        <w:rPr>
          <w:lang w:val="en-US"/>
        </w:rPr>
        <w:t xml:space="preserve"> the capacity of land</w:t>
      </w:r>
      <w:r w:rsidR="00097D39">
        <w:rPr>
          <w:lang w:val="en-US"/>
        </w:rPr>
        <w:t>holders to farm the</w:t>
      </w:r>
      <w:r w:rsidR="00E81915">
        <w:rPr>
          <w:lang w:val="en-US"/>
        </w:rPr>
        <w:t>ir</w:t>
      </w:r>
      <w:r w:rsidR="00097D39">
        <w:rPr>
          <w:lang w:val="en-US"/>
        </w:rPr>
        <w:t xml:space="preserve"> land but </w:t>
      </w:r>
      <w:r w:rsidR="00E81915">
        <w:rPr>
          <w:lang w:val="en-US"/>
        </w:rPr>
        <w:t>do</w:t>
      </w:r>
      <w:r w:rsidR="0071118F">
        <w:rPr>
          <w:lang w:val="en-US"/>
        </w:rPr>
        <w:t xml:space="preserve"> not provide any </w:t>
      </w:r>
      <w:r w:rsidR="00C9416B">
        <w:rPr>
          <w:lang w:val="en-US"/>
        </w:rPr>
        <w:t>compensation.</w:t>
      </w:r>
      <w:r w:rsidR="00D44DF6">
        <w:rPr>
          <w:rStyle w:val="EndnoteReference"/>
          <w:lang w:val="en-US"/>
        </w:rPr>
        <w:endnoteReference w:id="57"/>
      </w:r>
      <w:r w:rsidR="00C9416B">
        <w:rPr>
          <w:lang w:val="en-US"/>
        </w:rPr>
        <w:t xml:space="preserve"> In a number of meetings</w:t>
      </w:r>
      <w:r w:rsidR="0071118F">
        <w:rPr>
          <w:lang w:val="en-US"/>
        </w:rPr>
        <w:t xml:space="preserve">, </w:t>
      </w:r>
      <w:r w:rsidR="009476F6">
        <w:rPr>
          <w:lang w:val="en-US"/>
        </w:rPr>
        <w:t xml:space="preserve">there were </w:t>
      </w:r>
      <w:r w:rsidR="00FE5F4D">
        <w:rPr>
          <w:lang w:val="en-US"/>
        </w:rPr>
        <w:t xml:space="preserve">also </w:t>
      </w:r>
      <w:r w:rsidR="009476F6">
        <w:rPr>
          <w:lang w:val="en-US"/>
        </w:rPr>
        <w:t xml:space="preserve">reports about </w:t>
      </w:r>
      <w:r w:rsidR="00E81915">
        <w:rPr>
          <w:lang w:val="en-US"/>
        </w:rPr>
        <w:t xml:space="preserve">the impact on </w:t>
      </w:r>
      <w:r w:rsidR="009476F6">
        <w:rPr>
          <w:lang w:val="en-US"/>
        </w:rPr>
        <w:t>landholder</w:t>
      </w:r>
      <w:r w:rsidR="00C9416B">
        <w:rPr>
          <w:lang w:val="en-US"/>
        </w:rPr>
        <w:t xml:space="preserve">s affected by </w:t>
      </w:r>
      <w:r w:rsidR="00681DD0" w:rsidRPr="002F11F5">
        <w:rPr>
          <w:lang w:val="en-US"/>
        </w:rPr>
        <w:t xml:space="preserve">arbitrary </w:t>
      </w:r>
      <w:r w:rsidR="00C9416B">
        <w:rPr>
          <w:lang w:val="en-US"/>
        </w:rPr>
        <w:t xml:space="preserve">land clearance </w:t>
      </w:r>
      <w:r w:rsidR="0071118F">
        <w:rPr>
          <w:lang w:val="en-US"/>
        </w:rPr>
        <w:t xml:space="preserve">decisions </w:t>
      </w:r>
      <w:r w:rsidR="00C9416B">
        <w:rPr>
          <w:lang w:val="en-US"/>
        </w:rPr>
        <w:t xml:space="preserve">who then had </w:t>
      </w:r>
      <w:r w:rsidR="00681DD0" w:rsidRPr="002F11F5">
        <w:rPr>
          <w:lang w:val="en-US"/>
        </w:rPr>
        <w:t>limited recourse to i</w:t>
      </w:r>
      <w:r w:rsidR="0071118F">
        <w:rPr>
          <w:lang w:val="en-US"/>
        </w:rPr>
        <w:t xml:space="preserve">ndependent review of </w:t>
      </w:r>
      <w:r w:rsidR="00C9416B">
        <w:rPr>
          <w:lang w:val="en-US"/>
        </w:rPr>
        <w:t>these</w:t>
      </w:r>
      <w:r w:rsidR="00681DD0" w:rsidRPr="002F11F5">
        <w:rPr>
          <w:lang w:val="en-US"/>
        </w:rPr>
        <w:t xml:space="preserve"> decisions</w:t>
      </w:r>
      <w:r w:rsidR="0071118F">
        <w:rPr>
          <w:lang w:val="en-US"/>
        </w:rPr>
        <w:t xml:space="preserve">. </w:t>
      </w:r>
      <w:r w:rsidR="00C9416B">
        <w:rPr>
          <w:lang w:val="en-US"/>
        </w:rPr>
        <w:t>These stories demonstrated not only</w:t>
      </w:r>
      <w:r w:rsidR="00FE5F4D">
        <w:rPr>
          <w:lang w:val="en-US"/>
        </w:rPr>
        <w:t xml:space="preserve"> potential</w:t>
      </w:r>
      <w:r w:rsidR="00C9416B">
        <w:rPr>
          <w:lang w:val="en-US"/>
        </w:rPr>
        <w:t xml:space="preserve"> problems about processes of natural justice</w:t>
      </w:r>
      <w:r w:rsidR="0071118F">
        <w:rPr>
          <w:rFonts w:cs="Arial"/>
        </w:rPr>
        <w:t xml:space="preserve">, but </w:t>
      </w:r>
      <w:r w:rsidR="00D44DF6">
        <w:rPr>
          <w:rFonts w:cs="Arial"/>
        </w:rPr>
        <w:t xml:space="preserve">also the devastating </w:t>
      </w:r>
      <w:r w:rsidR="00C9416B">
        <w:rPr>
          <w:rFonts w:cs="Arial"/>
        </w:rPr>
        <w:t xml:space="preserve">social and economic </w:t>
      </w:r>
      <w:r w:rsidR="00D44DF6">
        <w:rPr>
          <w:rFonts w:cs="Arial"/>
        </w:rPr>
        <w:t>consequences for</w:t>
      </w:r>
      <w:r w:rsidR="0071118F">
        <w:rPr>
          <w:rFonts w:cs="Arial"/>
        </w:rPr>
        <w:t xml:space="preserve"> </w:t>
      </w:r>
      <w:r w:rsidR="00D44DF6">
        <w:rPr>
          <w:rFonts w:cs="Arial"/>
        </w:rPr>
        <w:t>farmers unable to earn a living from their property.</w:t>
      </w:r>
    </w:p>
    <w:p w:rsidR="00DD77D3" w:rsidRDefault="001F34CD" w:rsidP="001F34CD">
      <w:pPr>
        <w:rPr>
          <w:rFonts w:cs="Arial"/>
        </w:rPr>
      </w:pPr>
      <w:r>
        <w:rPr>
          <w:rFonts w:cs="Arial"/>
        </w:rPr>
        <w:t xml:space="preserve">At a number </w:t>
      </w:r>
      <w:r w:rsidR="001D3B31">
        <w:rPr>
          <w:rFonts w:cs="Arial"/>
        </w:rPr>
        <w:t xml:space="preserve">of public meetings, individual </w:t>
      </w:r>
      <w:r>
        <w:rPr>
          <w:rFonts w:cs="Arial"/>
        </w:rPr>
        <w:t>property rights</w:t>
      </w:r>
      <w:r w:rsidR="001D3B31">
        <w:rPr>
          <w:rFonts w:cs="Arial"/>
        </w:rPr>
        <w:t xml:space="preserve"> were contrasted with</w:t>
      </w:r>
      <w:r>
        <w:rPr>
          <w:rFonts w:cs="Arial"/>
        </w:rPr>
        <w:t xml:space="preserve"> </w:t>
      </w:r>
      <w:r w:rsidR="001D3B31">
        <w:rPr>
          <w:rFonts w:cs="Arial"/>
        </w:rPr>
        <w:t xml:space="preserve">a </w:t>
      </w:r>
      <w:r w:rsidR="00976A4D">
        <w:rPr>
          <w:rFonts w:cs="Arial"/>
        </w:rPr>
        <w:t xml:space="preserve">claimed </w:t>
      </w:r>
      <w:r w:rsidR="001D3B31">
        <w:rPr>
          <w:rFonts w:cs="Arial"/>
        </w:rPr>
        <w:t xml:space="preserve">community ‘right to a healthy environment’ (for example, see </w:t>
      </w:r>
      <w:r>
        <w:rPr>
          <w:rFonts w:cs="Arial"/>
        </w:rPr>
        <w:t>the</w:t>
      </w:r>
      <w:r w:rsidR="001D3B31">
        <w:rPr>
          <w:rFonts w:cs="Arial"/>
        </w:rPr>
        <w:t xml:space="preserve"> EDO Tasmania submission).</w:t>
      </w:r>
      <w:r w:rsidR="00E550E9">
        <w:rPr>
          <w:rFonts w:cs="Arial"/>
        </w:rPr>
        <w:t xml:space="preserve"> </w:t>
      </w:r>
      <w:r w:rsidR="00DD77D3">
        <w:rPr>
          <w:rFonts w:cs="Arial"/>
        </w:rPr>
        <w:t xml:space="preserve">The submission from the </w:t>
      </w:r>
      <w:r w:rsidR="00E550E9">
        <w:rPr>
          <w:rFonts w:cs="Arial"/>
        </w:rPr>
        <w:t xml:space="preserve">Law Society of </w:t>
      </w:r>
      <w:r w:rsidR="00DD77D3">
        <w:rPr>
          <w:rFonts w:cs="Arial"/>
        </w:rPr>
        <w:t>NSW Young L</w:t>
      </w:r>
      <w:r w:rsidR="00E550E9">
        <w:rPr>
          <w:rFonts w:cs="Arial"/>
        </w:rPr>
        <w:t>awy</w:t>
      </w:r>
      <w:r w:rsidR="00DD77D3">
        <w:rPr>
          <w:rFonts w:cs="Arial"/>
        </w:rPr>
        <w:t xml:space="preserve">ers offered </w:t>
      </w:r>
      <w:r w:rsidR="00323A4F">
        <w:rPr>
          <w:rFonts w:cs="Arial"/>
        </w:rPr>
        <w:t>support</w:t>
      </w:r>
      <w:r w:rsidR="00FE5F4D">
        <w:rPr>
          <w:rFonts w:cs="Arial"/>
        </w:rPr>
        <w:t xml:space="preserve"> for a balance between private property rights and environmental protection</w:t>
      </w:r>
      <w:r w:rsidR="00323A4F">
        <w:rPr>
          <w:rFonts w:cs="Arial"/>
        </w:rPr>
        <w:t xml:space="preserve">: </w:t>
      </w:r>
    </w:p>
    <w:p w:rsidR="00651178" w:rsidRPr="00922C99" w:rsidRDefault="00747380" w:rsidP="00922C99">
      <w:pPr>
        <w:ind w:left="720"/>
        <w:rPr>
          <w:rFonts w:cs="Arial"/>
          <w:sz w:val="22"/>
          <w:szCs w:val="22"/>
        </w:rPr>
      </w:pPr>
      <w:r>
        <w:rPr>
          <w:rFonts w:cs="Arial"/>
          <w:i/>
          <w:sz w:val="22"/>
          <w:szCs w:val="22"/>
        </w:rPr>
        <w:t>… [</w:t>
      </w:r>
      <w:r w:rsidR="00323A4F" w:rsidRPr="00922C99">
        <w:rPr>
          <w:rFonts w:cs="Arial"/>
          <w:i/>
          <w:sz w:val="22"/>
          <w:szCs w:val="22"/>
        </w:rPr>
        <w:t>F</w:t>
      </w:r>
      <w:r>
        <w:rPr>
          <w:rFonts w:cs="Arial"/>
          <w:i/>
          <w:sz w:val="22"/>
          <w:szCs w:val="22"/>
        </w:rPr>
        <w:t>]</w:t>
      </w:r>
      <w:r w:rsidR="00323A4F" w:rsidRPr="00922C99">
        <w:rPr>
          <w:rFonts w:cs="Arial"/>
          <w:i/>
          <w:sz w:val="22"/>
          <w:szCs w:val="22"/>
        </w:rPr>
        <w:t>or instance, the ability of government to respond to the very real threat of climate change and the need for the protection of our natural environment, which affects numerous human rights, would be hampered were the right to property to be int</w:t>
      </w:r>
      <w:r w:rsidR="009410A3">
        <w:rPr>
          <w:rFonts w:cs="Arial"/>
          <w:i/>
          <w:sz w:val="22"/>
          <w:szCs w:val="22"/>
        </w:rPr>
        <w:t>erpreted in such a</w:t>
      </w:r>
      <w:r w:rsidR="00323A4F" w:rsidRPr="00922C99">
        <w:rPr>
          <w:rFonts w:cs="Arial"/>
          <w:i/>
          <w:sz w:val="22"/>
          <w:szCs w:val="22"/>
        </w:rPr>
        <w:t xml:space="preserve"> way that limited the ability of government to respond to these pressing environmental issues of our time.</w:t>
      </w:r>
      <w:r w:rsidR="00323A4F" w:rsidRPr="00922C99">
        <w:rPr>
          <w:rFonts w:cs="Arial"/>
          <w:sz w:val="22"/>
          <w:szCs w:val="22"/>
        </w:rPr>
        <w:t xml:space="preserve"> Human Rights Committee</w:t>
      </w:r>
      <w:r w:rsidR="00922C99" w:rsidRPr="00922C99">
        <w:rPr>
          <w:rFonts w:cs="Arial"/>
          <w:sz w:val="22"/>
          <w:szCs w:val="22"/>
        </w:rPr>
        <w:t>,</w:t>
      </w:r>
      <w:r w:rsidR="00323A4F" w:rsidRPr="00922C99">
        <w:rPr>
          <w:rFonts w:cs="Arial"/>
          <w:sz w:val="22"/>
          <w:szCs w:val="22"/>
        </w:rPr>
        <w:t xml:space="preserve"> Law Society of NSW Young Lawyers</w:t>
      </w:r>
      <w:r w:rsidR="00922C99" w:rsidRPr="00922C99">
        <w:rPr>
          <w:rFonts w:cs="Arial"/>
          <w:sz w:val="22"/>
          <w:szCs w:val="22"/>
        </w:rPr>
        <w:t xml:space="preserve"> submission</w:t>
      </w:r>
    </w:p>
    <w:p w:rsidR="00475986" w:rsidRPr="00475986" w:rsidRDefault="00976A4D" w:rsidP="00475986">
      <w:pPr>
        <w:pStyle w:val="Heading4"/>
        <w:numPr>
          <w:ilvl w:val="0"/>
          <w:numId w:val="0"/>
        </w:numPr>
        <w:ind w:left="851" w:hanging="851"/>
        <w:rPr>
          <w:i/>
        </w:rPr>
      </w:pPr>
      <w:bookmarkStart w:id="222" w:name="_Toc413932295"/>
      <w:r>
        <w:rPr>
          <w:i/>
        </w:rPr>
        <w:t>The freedom to exercise n</w:t>
      </w:r>
      <w:r w:rsidR="00475986" w:rsidRPr="00475986">
        <w:rPr>
          <w:i/>
        </w:rPr>
        <w:t>ative title</w:t>
      </w:r>
      <w:bookmarkEnd w:id="222"/>
    </w:p>
    <w:p w:rsidR="00E63AA4" w:rsidRDefault="009447E2" w:rsidP="009447E2">
      <w:pPr>
        <w:rPr>
          <w:lang w:val="en-US"/>
        </w:rPr>
      </w:pPr>
      <w:r w:rsidRPr="00BB36CE">
        <w:rPr>
          <w:lang w:val="en-US"/>
        </w:rPr>
        <w:t xml:space="preserve">Native title </w:t>
      </w:r>
      <w:r w:rsidR="00E63AA4" w:rsidRPr="00E63AA4">
        <w:t>recognises</w:t>
      </w:r>
      <w:r w:rsidR="00E63AA4">
        <w:rPr>
          <w:lang w:val="en-US"/>
        </w:rPr>
        <w:t xml:space="preserve"> </w:t>
      </w:r>
      <w:r w:rsidRPr="00BB36CE">
        <w:rPr>
          <w:lang w:val="en-US"/>
        </w:rPr>
        <w:t>the rights and interests in lands and waters of Aboriginal and Torres Stra</w:t>
      </w:r>
      <w:r w:rsidR="00592F63">
        <w:rPr>
          <w:lang w:val="en-US"/>
        </w:rPr>
        <w:t>it Islander peoples</w:t>
      </w:r>
      <w:r w:rsidRPr="00BB36CE">
        <w:rPr>
          <w:lang w:val="en-US"/>
        </w:rPr>
        <w:t>.</w:t>
      </w:r>
      <w:r w:rsidR="00B802D5">
        <w:rPr>
          <w:lang w:val="en-US"/>
        </w:rPr>
        <w:t xml:space="preserve"> </w:t>
      </w:r>
      <w:r w:rsidR="00E63AA4">
        <w:rPr>
          <w:lang w:val="en-US"/>
        </w:rPr>
        <w:t xml:space="preserve">Native title is inalienable, meaning that it cannot be </w:t>
      </w:r>
      <w:r w:rsidR="00E63AA4">
        <w:rPr>
          <w:lang w:val="en-US"/>
        </w:rPr>
        <w:lastRenderedPageBreak/>
        <w:t xml:space="preserve">traded or sold – unlike freehold title. The </w:t>
      </w:r>
      <w:r w:rsidR="00E63AA4" w:rsidRPr="00AE4470">
        <w:rPr>
          <w:i/>
          <w:lang w:val="en-US"/>
        </w:rPr>
        <w:t>Native Title Act 1993</w:t>
      </w:r>
      <w:r w:rsidR="00E63AA4">
        <w:rPr>
          <w:lang w:val="en-US"/>
        </w:rPr>
        <w:t xml:space="preserve"> (Cth) does, however, enable native title holders to negotiate agreements that can include the surrender of native title, access to other forms of title or compensation.</w:t>
      </w:r>
    </w:p>
    <w:p w:rsidR="00035A75" w:rsidRDefault="00B802D5" w:rsidP="009447E2">
      <w:pPr>
        <w:rPr>
          <w:lang w:val="en-US"/>
        </w:rPr>
      </w:pPr>
      <w:r>
        <w:rPr>
          <w:lang w:val="en-US"/>
        </w:rPr>
        <w:t>C</w:t>
      </w:r>
      <w:r w:rsidR="00E1751F">
        <w:rPr>
          <w:lang w:val="en-US"/>
        </w:rPr>
        <w:t xml:space="preserve">onsultations with </w:t>
      </w:r>
      <w:r w:rsidR="00592F63">
        <w:rPr>
          <w:lang w:val="en-US"/>
        </w:rPr>
        <w:t>native title holders</w:t>
      </w:r>
      <w:r w:rsidR="00E1751F">
        <w:rPr>
          <w:lang w:val="en-US"/>
        </w:rPr>
        <w:t xml:space="preserve"> </w:t>
      </w:r>
      <w:r>
        <w:rPr>
          <w:lang w:val="en-US"/>
        </w:rPr>
        <w:t xml:space="preserve">revealed </w:t>
      </w:r>
      <w:r w:rsidR="00E1751F">
        <w:rPr>
          <w:lang w:val="en-US"/>
        </w:rPr>
        <w:t>that they</w:t>
      </w:r>
      <w:r w:rsidR="00592F63">
        <w:rPr>
          <w:lang w:val="en-US"/>
        </w:rPr>
        <w:t xml:space="preserve"> </w:t>
      </w:r>
      <w:r w:rsidR="003933F8">
        <w:rPr>
          <w:lang w:val="en-US"/>
        </w:rPr>
        <w:t xml:space="preserve">face </w:t>
      </w:r>
      <w:r w:rsidR="00035A75">
        <w:rPr>
          <w:lang w:val="en-US"/>
        </w:rPr>
        <w:t>complex</w:t>
      </w:r>
      <w:r w:rsidR="00F552C5">
        <w:rPr>
          <w:lang w:val="en-US"/>
        </w:rPr>
        <w:t xml:space="preserve"> </w:t>
      </w:r>
      <w:r w:rsidR="00035A75">
        <w:rPr>
          <w:lang w:val="en-US"/>
        </w:rPr>
        <w:t xml:space="preserve">legislative and bureaucratic </w:t>
      </w:r>
      <w:r w:rsidR="003933F8">
        <w:rPr>
          <w:lang w:val="en-US"/>
        </w:rPr>
        <w:t xml:space="preserve">regulations that </w:t>
      </w:r>
      <w:r w:rsidR="00F552C5">
        <w:rPr>
          <w:lang w:val="en-US"/>
        </w:rPr>
        <w:t>imped</w:t>
      </w:r>
      <w:r w:rsidR="00035A75">
        <w:rPr>
          <w:lang w:val="en-US"/>
        </w:rPr>
        <w:t>e their capacity</w:t>
      </w:r>
      <w:r w:rsidR="00F552C5">
        <w:rPr>
          <w:lang w:val="en-US"/>
        </w:rPr>
        <w:t xml:space="preserve"> to </w:t>
      </w:r>
      <w:r w:rsidR="003933F8">
        <w:rPr>
          <w:lang w:val="en-US"/>
        </w:rPr>
        <w:t xml:space="preserve">use their native title to </w:t>
      </w:r>
      <w:r w:rsidR="00035A75">
        <w:rPr>
          <w:lang w:val="en-US"/>
        </w:rPr>
        <w:t>achieve</w:t>
      </w:r>
      <w:r w:rsidR="00E1751F">
        <w:rPr>
          <w:lang w:val="en-US"/>
        </w:rPr>
        <w:t xml:space="preserve"> </w:t>
      </w:r>
      <w:r w:rsidR="009447E2">
        <w:rPr>
          <w:lang w:val="en-US"/>
        </w:rPr>
        <w:t>ec</w:t>
      </w:r>
      <w:r w:rsidR="003933F8">
        <w:rPr>
          <w:lang w:val="en-US"/>
        </w:rPr>
        <w:t>onomic development</w:t>
      </w:r>
      <w:r w:rsidR="009447E2">
        <w:rPr>
          <w:lang w:val="en-US"/>
        </w:rPr>
        <w:t xml:space="preserve">. </w:t>
      </w:r>
      <w:r w:rsidR="00896B69">
        <w:rPr>
          <w:lang w:val="en-US"/>
        </w:rPr>
        <w:t>These barriers obstruct the potential for Aboriginal and Torres Strait Islander peoples to build and own houses on their native title la</w:t>
      </w:r>
      <w:r w:rsidR="00DF3C9A">
        <w:rPr>
          <w:lang w:val="en-US"/>
        </w:rPr>
        <w:t xml:space="preserve">nds, and use their native title as a foundation </w:t>
      </w:r>
      <w:r w:rsidR="00896B69">
        <w:rPr>
          <w:lang w:val="en-US"/>
        </w:rPr>
        <w:t xml:space="preserve">to create and participate in businesses. </w:t>
      </w:r>
      <w:r w:rsidR="00DF3C9A">
        <w:rPr>
          <w:lang w:val="en-US"/>
        </w:rPr>
        <w:t>Many</w:t>
      </w:r>
      <w:r w:rsidR="00781809">
        <w:rPr>
          <w:lang w:val="en-US"/>
        </w:rPr>
        <w:t xml:space="preserve"> of these issues have been set out in the Aboriginal and Torres Strait Islander Social Justice Commissioner’s annual native title reports to the federal Parliament.</w:t>
      </w:r>
      <w:r w:rsidR="00781809">
        <w:rPr>
          <w:rStyle w:val="EndnoteReference"/>
          <w:lang w:val="en-US"/>
        </w:rPr>
        <w:endnoteReference w:id="58"/>
      </w:r>
    </w:p>
    <w:p w:rsidR="009447E2" w:rsidRPr="00AE7D1F" w:rsidRDefault="003977D8" w:rsidP="009447E2">
      <w:pPr>
        <w:rPr>
          <w:lang w:val="en-US"/>
        </w:rPr>
      </w:pPr>
      <w:r>
        <w:rPr>
          <w:lang w:val="en-US"/>
        </w:rPr>
        <w:t>Some of the barriers</w:t>
      </w:r>
      <w:r w:rsidR="00301D41">
        <w:rPr>
          <w:lang w:val="en-US"/>
        </w:rPr>
        <w:t xml:space="preserve"> facing native title holders seeking to use their native title to create opportunities for economic development </w:t>
      </w:r>
      <w:r w:rsidR="00E043E6">
        <w:rPr>
          <w:lang w:val="en-US"/>
        </w:rPr>
        <w:t>are outlined</w:t>
      </w:r>
      <w:r w:rsidR="009447E2">
        <w:rPr>
          <w:lang w:val="en-US"/>
        </w:rPr>
        <w:t xml:space="preserve"> in the case stud</w:t>
      </w:r>
      <w:r w:rsidR="000D3779">
        <w:rPr>
          <w:lang w:val="en-US"/>
        </w:rPr>
        <w:t>y on the Yawuru P</w:t>
      </w:r>
      <w:r w:rsidR="009447E2">
        <w:rPr>
          <w:lang w:val="en-US"/>
        </w:rPr>
        <w:t>eop</w:t>
      </w:r>
      <w:r w:rsidR="00592F63">
        <w:rPr>
          <w:lang w:val="en-US"/>
        </w:rPr>
        <w:t>le’s native title determination in the textbox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447E2" w:rsidRPr="0073669B" w:rsidTr="00FE4131">
        <w:tc>
          <w:tcPr>
            <w:tcW w:w="9286" w:type="dxa"/>
            <w:shd w:val="clear" w:color="auto" w:fill="E0E0E0"/>
          </w:tcPr>
          <w:p w:rsidR="009447E2" w:rsidRPr="000B4B87" w:rsidRDefault="009447E2" w:rsidP="00FE4131">
            <w:pPr>
              <w:rPr>
                <w:rFonts w:cs="Arial"/>
                <w:b/>
                <w:bCs/>
                <w:sz w:val="22"/>
                <w:szCs w:val="22"/>
                <w:lang w:val="en-US"/>
              </w:rPr>
            </w:pPr>
            <w:r w:rsidRPr="000B4B87">
              <w:rPr>
                <w:rFonts w:cs="Arial"/>
                <w:b/>
                <w:bCs/>
                <w:sz w:val="22"/>
                <w:szCs w:val="22"/>
                <w:lang w:val="en-US"/>
              </w:rPr>
              <w:t xml:space="preserve">Yawuru Peoples – native title and economic development  </w:t>
            </w:r>
          </w:p>
          <w:p w:rsidR="009447E2" w:rsidRPr="000B4B87" w:rsidRDefault="009447E2" w:rsidP="00FE4131">
            <w:pPr>
              <w:rPr>
                <w:rFonts w:cs="Arial"/>
                <w:sz w:val="22"/>
                <w:szCs w:val="22"/>
                <w:lang w:val="en-US"/>
              </w:rPr>
            </w:pPr>
            <w:r w:rsidRPr="000B4B87">
              <w:rPr>
                <w:rFonts w:cs="Arial"/>
                <w:sz w:val="22"/>
                <w:szCs w:val="22"/>
                <w:lang w:val="en-US"/>
              </w:rPr>
              <w:t>The 2006 Yawuru native title determination provides the cultural foundation for the Yawuru people to participate in the local and global economy.</w:t>
            </w:r>
            <w:r w:rsidRPr="000B4B87">
              <w:rPr>
                <w:rStyle w:val="EndnoteReference"/>
                <w:szCs w:val="20"/>
                <w:lang w:val="en-US"/>
              </w:rPr>
              <w:endnoteReference w:id="59"/>
            </w:r>
            <w:r w:rsidRPr="000B4B87">
              <w:rPr>
                <w:rFonts w:cs="Arial"/>
                <w:sz w:val="22"/>
                <w:szCs w:val="22"/>
                <w:lang w:val="en-US"/>
              </w:rPr>
              <w:t xml:space="preserve"> The subsequent Yawuru Native Title Global Agreement (2010) (Yawuru Agreement) enables the Yawuru to generate income from developable land as well as return social and economic benefits to native title holders and other Indigenous people in the Broome region.</w:t>
            </w:r>
          </w:p>
          <w:p w:rsidR="009447E2" w:rsidRDefault="009447E2" w:rsidP="00FE4131">
            <w:pPr>
              <w:rPr>
                <w:rFonts w:cs="Arial"/>
                <w:sz w:val="22"/>
                <w:szCs w:val="22"/>
                <w:lang w:val="en-US"/>
              </w:rPr>
            </w:pPr>
            <w:r w:rsidRPr="000B4B87">
              <w:rPr>
                <w:rFonts w:cs="Arial"/>
                <w:sz w:val="22"/>
                <w:szCs w:val="22"/>
                <w:lang w:val="en-US"/>
              </w:rPr>
              <w:t>In accordance with the Yawuru Agreement, the Yawuru consented to extinguish their native title rights over significant parts of their traditional land estate to enable the urban and commercial expansion of the Broome region. As compensation for this and other past acts of extinguishment, the Yawuru gained substantial freehold title in and around Broome as a basis for future income generation</w:t>
            </w:r>
            <w:r>
              <w:rPr>
                <w:rFonts w:cs="Arial"/>
                <w:sz w:val="22"/>
                <w:szCs w:val="22"/>
                <w:lang w:val="en-US"/>
              </w:rPr>
              <w:t>,</w:t>
            </w:r>
            <w:r w:rsidRPr="000B4B87">
              <w:rPr>
                <w:rFonts w:cs="Arial"/>
                <w:sz w:val="22"/>
                <w:szCs w:val="22"/>
                <w:lang w:val="en-US"/>
              </w:rPr>
              <w:t xml:space="preserve"> and other lands for cultural and conservation purposes.</w:t>
            </w:r>
          </w:p>
          <w:p w:rsidR="009447E2" w:rsidRPr="000B4B87" w:rsidRDefault="009447E2" w:rsidP="00FE4131">
            <w:pPr>
              <w:rPr>
                <w:rFonts w:cs="Arial"/>
                <w:sz w:val="22"/>
                <w:szCs w:val="22"/>
                <w:lang w:val="en-US"/>
              </w:rPr>
            </w:pPr>
            <w:r>
              <w:rPr>
                <w:rFonts w:cs="Arial"/>
                <w:sz w:val="22"/>
                <w:szCs w:val="22"/>
                <w:lang w:val="en-US"/>
              </w:rPr>
              <w:t xml:space="preserve">This was to create </w:t>
            </w:r>
            <w:r w:rsidRPr="000B4B87">
              <w:rPr>
                <w:rFonts w:cs="Arial"/>
                <w:sz w:val="22"/>
                <w:szCs w:val="22"/>
                <w:lang w:val="en-US"/>
              </w:rPr>
              <w:t>opportunities for Yawuru and other Indigenous people in the Broome region to dramatically improve their social and economic position through innovative housing development on Yawuru land; employment in the rapidly growing energy industry; enterprise engagement in cultural and ecological tourism; a range of land and marine management initiatives; and participation in delivering social services.</w:t>
            </w:r>
          </w:p>
          <w:p w:rsidR="009447E2" w:rsidRPr="000B4B87" w:rsidRDefault="00747380" w:rsidP="00FE4131">
            <w:pPr>
              <w:rPr>
                <w:rFonts w:cs="Arial"/>
                <w:sz w:val="22"/>
                <w:szCs w:val="22"/>
                <w:lang w:val="en-US"/>
              </w:rPr>
            </w:pPr>
            <w:r>
              <w:rPr>
                <w:rFonts w:cs="Arial"/>
                <w:sz w:val="22"/>
                <w:szCs w:val="22"/>
                <w:lang w:val="en-US"/>
              </w:rPr>
              <w:t>However</w:t>
            </w:r>
            <w:r w:rsidR="009447E2">
              <w:rPr>
                <w:rFonts w:cs="Arial"/>
                <w:sz w:val="22"/>
                <w:szCs w:val="22"/>
                <w:lang w:val="en-US"/>
              </w:rPr>
              <w:t xml:space="preserve">, the Yawuru and other Indigenous people have not </w:t>
            </w:r>
            <w:r w:rsidR="007C07B6">
              <w:rPr>
                <w:rFonts w:cs="Arial"/>
                <w:sz w:val="22"/>
                <w:szCs w:val="22"/>
                <w:lang w:val="en-US"/>
              </w:rPr>
              <w:t xml:space="preserve">been able to fully </w:t>
            </w:r>
            <w:r w:rsidR="007C07B6">
              <w:rPr>
                <w:rFonts w:cs="Arial"/>
                <w:sz w:val="22"/>
                <w:szCs w:val="22"/>
              </w:rPr>
              <w:t>realise</w:t>
            </w:r>
            <w:r w:rsidR="009447E2">
              <w:rPr>
                <w:rFonts w:cs="Arial"/>
                <w:sz w:val="22"/>
                <w:szCs w:val="22"/>
                <w:lang w:val="en-US"/>
              </w:rPr>
              <w:t xml:space="preserve"> these economic development opportunities from their native title. </w:t>
            </w:r>
            <w:r w:rsidR="009447E2" w:rsidRPr="000B4B87">
              <w:rPr>
                <w:rFonts w:cs="Arial"/>
                <w:sz w:val="22"/>
                <w:szCs w:val="22"/>
                <w:lang w:val="en-US"/>
              </w:rPr>
              <w:t>There have been two main impediments:</w:t>
            </w:r>
          </w:p>
          <w:p w:rsidR="009447E2" w:rsidRPr="000B4B87" w:rsidRDefault="009447E2" w:rsidP="008D3832">
            <w:pPr>
              <w:pStyle w:val="ListParagraph"/>
              <w:numPr>
                <w:ilvl w:val="0"/>
                <w:numId w:val="26"/>
              </w:numPr>
              <w:contextualSpacing/>
              <w:rPr>
                <w:rFonts w:cs="Arial"/>
                <w:sz w:val="22"/>
                <w:szCs w:val="22"/>
                <w:lang w:val="en-US"/>
              </w:rPr>
            </w:pPr>
            <w:r w:rsidRPr="000B4B87">
              <w:rPr>
                <w:sz w:val="22"/>
                <w:szCs w:val="22"/>
                <w:lang w:val="en-US"/>
              </w:rPr>
              <w:t xml:space="preserve">The Yawuru Agreement has placed a substantial burden on the Yawuru in terms of a range of imposts such as land tax, local government rates and development costs that have significantly eroded </w:t>
            </w:r>
            <w:r w:rsidR="000A5CCB">
              <w:rPr>
                <w:sz w:val="22"/>
                <w:szCs w:val="22"/>
                <w:lang w:val="en-US"/>
              </w:rPr>
              <w:t xml:space="preserve">the </w:t>
            </w:r>
            <w:r w:rsidRPr="000B4B87">
              <w:rPr>
                <w:sz w:val="22"/>
                <w:szCs w:val="22"/>
                <w:lang w:val="en-US"/>
              </w:rPr>
              <w:t>Yawuru’s development capacity.</w:t>
            </w:r>
          </w:p>
          <w:p w:rsidR="009447E2" w:rsidRPr="00651178" w:rsidRDefault="009447E2" w:rsidP="008D3832">
            <w:pPr>
              <w:pStyle w:val="ListParagraph"/>
              <w:numPr>
                <w:ilvl w:val="0"/>
                <w:numId w:val="26"/>
              </w:numPr>
              <w:contextualSpacing/>
              <w:rPr>
                <w:sz w:val="22"/>
                <w:szCs w:val="22"/>
                <w:lang w:val="en-US"/>
              </w:rPr>
            </w:pPr>
            <w:r w:rsidRPr="000B4B87">
              <w:rPr>
                <w:sz w:val="22"/>
                <w:szCs w:val="22"/>
                <w:lang w:val="en-US"/>
              </w:rPr>
              <w:t xml:space="preserve">Despite broad philosophical support by federal, state and local governments for partnership building with the Yawuru, there has been limited capacity to forge partnerships with public and private capital. </w:t>
            </w:r>
            <w:r>
              <w:rPr>
                <w:sz w:val="22"/>
                <w:szCs w:val="22"/>
                <w:lang w:val="en-US"/>
              </w:rPr>
              <w:t>T</w:t>
            </w:r>
            <w:r w:rsidRPr="000B4B87">
              <w:rPr>
                <w:sz w:val="22"/>
                <w:szCs w:val="22"/>
                <w:lang w:val="en-US"/>
              </w:rPr>
              <w:t xml:space="preserve">he complexity of the native title system has </w:t>
            </w:r>
            <w:r>
              <w:rPr>
                <w:sz w:val="22"/>
                <w:szCs w:val="22"/>
                <w:lang w:val="en-US"/>
              </w:rPr>
              <w:t xml:space="preserve">caused </w:t>
            </w:r>
            <w:r w:rsidRPr="000B4B87">
              <w:rPr>
                <w:sz w:val="22"/>
                <w:szCs w:val="22"/>
                <w:lang w:val="en-US"/>
              </w:rPr>
              <w:t>difficult</w:t>
            </w:r>
            <w:r>
              <w:rPr>
                <w:sz w:val="22"/>
                <w:szCs w:val="22"/>
                <w:lang w:val="en-US"/>
              </w:rPr>
              <w:t xml:space="preserve">ies in </w:t>
            </w:r>
            <w:r w:rsidRPr="000B4B87">
              <w:rPr>
                <w:sz w:val="22"/>
                <w:szCs w:val="22"/>
                <w:lang w:val="en-US"/>
              </w:rPr>
              <w:t>negotiat</w:t>
            </w:r>
            <w:r>
              <w:rPr>
                <w:sz w:val="22"/>
                <w:szCs w:val="22"/>
                <w:lang w:val="en-US"/>
              </w:rPr>
              <w:t>ing</w:t>
            </w:r>
            <w:r w:rsidRPr="000B4B87">
              <w:rPr>
                <w:sz w:val="22"/>
                <w:szCs w:val="22"/>
                <w:lang w:val="en-US"/>
              </w:rPr>
              <w:t xml:space="preserve"> mutual beneficial partnerships with all levels of government and industry in the areas of housing, employment, enterprise creation</w:t>
            </w:r>
            <w:r w:rsidR="009410A3">
              <w:rPr>
                <w:sz w:val="22"/>
                <w:szCs w:val="22"/>
                <w:lang w:val="en-US"/>
              </w:rPr>
              <w:t>,</w:t>
            </w:r>
            <w:r w:rsidRPr="000B4B87">
              <w:rPr>
                <w:sz w:val="22"/>
                <w:szCs w:val="22"/>
                <w:lang w:val="en-US"/>
              </w:rPr>
              <w:t xml:space="preserve"> and individual and community capability development.</w:t>
            </w:r>
          </w:p>
        </w:tc>
      </w:tr>
    </w:tbl>
    <w:p w:rsidR="009447E2" w:rsidRPr="00651178" w:rsidRDefault="00A769F8" w:rsidP="009447E2">
      <w:pPr>
        <w:rPr>
          <w:rFonts w:cs="Arial"/>
        </w:rPr>
      </w:pPr>
      <w:r>
        <w:rPr>
          <w:lang w:val="en-US"/>
        </w:rPr>
        <w:t>T</w:t>
      </w:r>
      <w:r w:rsidR="00035A75">
        <w:rPr>
          <w:lang w:val="en-US"/>
        </w:rPr>
        <w:t xml:space="preserve">he </w:t>
      </w:r>
      <w:r w:rsidR="001349F0">
        <w:rPr>
          <w:lang w:val="en-US"/>
        </w:rPr>
        <w:t xml:space="preserve">Human Rights </w:t>
      </w:r>
      <w:r w:rsidR="00035A75">
        <w:rPr>
          <w:lang w:val="en-US"/>
        </w:rPr>
        <w:t>Commiss</w:t>
      </w:r>
      <w:r w:rsidR="000F4834">
        <w:rPr>
          <w:lang w:val="en-US"/>
        </w:rPr>
        <w:t xml:space="preserve">ioner will </w:t>
      </w:r>
      <w:r>
        <w:rPr>
          <w:lang w:val="en-US"/>
        </w:rPr>
        <w:t xml:space="preserve">jointly </w:t>
      </w:r>
      <w:r w:rsidR="000F4834">
        <w:rPr>
          <w:lang w:val="en-US"/>
        </w:rPr>
        <w:t>facilitate</w:t>
      </w:r>
      <w:r w:rsidR="00035A75">
        <w:rPr>
          <w:lang w:val="en-US"/>
        </w:rPr>
        <w:t xml:space="preserve"> a</w:t>
      </w:r>
      <w:r w:rsidR="00B802D5">
        <w:rPr>
          <w:rFonts w:cs="Arial"/>
          <w:lang w:val="en-US"/>
        </w:rPr>
        <w:t xml:space="preserve"> </w:t>
      </w:r>
      <w:r w:rsidR="003933F8">
        <w:rPr>
          <w:rFonts w:cs="Arial"/>
          <w:lang w:val="en-US"/>
        </w:rPr>
        <w:t>high-level forum</w:t>
      </w:r>
      <w:r w:rsidR="00035A75">
        <w:rPr>
          <w:rFonts w:cs="Arial"/>
          <w:lang w:val="en-US"/>
        </w:rPr>
        <w:t xml:space="preserve"> </w:t>
      </w:r>
      <w:r>
        <w:rPr>
          <w:rFonts w:cs="Arial"/>
          <w:lang w:val="en-US"/>
        </w:rPr>
        <w:t xml:space="preserve">with the </w:t>
      </w:r>
      <w:r w:rsidR="00B914C0">
        <w:rPr>
          <w:rFonts w:cs="Arial"/>
          <w:lang w:val="en-US"/>
        </w:rPr>
        <w:t xml:space="preserve">Aboriginal and Torres Strait Islander </w:t>
      </w:r>
      <w:r>
        <w:rPr>
          <w:rFonts w:cs="Arial"/>
          <w:lang w:val="en-US"/>
        </w:rPr>
        <w:t xml:space="preserve">Social Justice Commissioner </w:t>
      </w:r>
      <w:r w:rsidR="00566158">
        <w:rPr>
          <w:rFonts w:cs="Arial"/>
          <w:lang w:val="en-US"/>
        </w:rPr>
        <w:t>to discu</w:t>
      </w:r>
      <w:r w:rsidR="003933F8">
        <w:rPr>
          <w:rFonts w:cs="Arial"/>
          <w:lang w:val="en-US"/>
        </w:rPr>
        <w:t>ss</w:t>
      </w:r>
      <w:r w:rsidR="00566158">
        <w:rPr>
          <w:rFonts w:cs="Arial"/>
          <w:lang w:val="en-US"/>
        </w:rPr>
        <w:t xml:space="preserve"> </w:t>
      </w:r>
      <w:r w:rsidR="003933F8">
        <w:rPr>
          <w:rFonts w:cs="Arial"/>
          <w:lang w:val="en-US"/>
        </w:rPr>
        <w:t>reform</w:t>
      </w:r>
      <w:r w:rsidR="00566158">
        <w:rPr>
          <w:rFonts w:cs="Arial"/>
          <w:lang w:val="en-US"/>
        </w:rPr>
        <w:t xml:space="preserve">s </w:t>
      </w:r>
      <w:r w:rsidR="001349F0">
        <w:rPr>
          <w:rFonts w:cs="Arial"/>
          <w:lang w:val="en-US"/>
        </w:rPr>
        <w:lastRenderedPageBreak/>
        <w:t>that</w:t>
      </w:r>
      <w:r w:rsidR="003933F8">
        <w:rPr>
          <w:rFonts w:cs="Arial"/>
          <w:lang w:val="en-US"/>
        </w:rPr>
        <w:t xml:space="preserve"> remove legal and regulatory</w:t>
      </w:r>
      <w:r w:rsidR="001349F0">
        <w:rPr>
          <w:rFonts w:cs="Arial"/>
          <w:lang w:val="en-US"/>
        </w:rPr>
        <w:t xml:space="preserve"> barriers</w:t>
      </w:r>
      <w:r w:rsidR="00D91A57">
        <w:rPr>
          <w:rFonts w:cs="Arial"/>
          <w:lang w:val="en-US"/>
        </w:rPr>
        <w:t xml:space="preserve"> faced by</w:t>
      </w:r>
      <w:r w:rsidR="00566158">
        <w:rPr>
          <w:rFonts w:cs="Arial"/>
          <w:lang w:val="en-US"/>
        </w:rPr>
        <w:t xml:space="preserve"> native title holders </w:t>
      </w:r>
      <w:r w:rsidR="001349F0">
        <w:rPr>
          <w:rFonts w:cs="Arial"/>
          <w:lang w:val="en-US"/>
        </w:rPr>
        <w:t xml:space="preserve">seeking </w:t>
      </w:r>
      <w:r w:rsidR="00566158">
        <w:rPr>
          <w:rFonts w:cs="Arial"/>
          <w:lang w:val="en-US"/>
        </w:rPr>
        <w:t xml:space="preserve">economic </w:t>
      </w:r>
      <w:r w:rsidR="00014249">
        <w:rPr>
          <w:rFonts w:cs="Arial"/>
          <w:lang w:val="en-US"/>
        </w:rPr>
        <w:t>development</w:t>
      </w:r>
      <w:r w:rsidR="00035A75">
        <w:rPr>
          <w:rFonts w:cs="Arial"/>
          <w:lang w:val="en-US"/>
        </w:rPr>
        <w:t>.</w:t>
      </w:r>
      <w:r w:rsidR="0045135C">
        <w:rPr>
          <w:rStyle w:val="EndnoteReference"/>
          <w:rFonts w:cs="Arial"/>
          <w:lang w:val="en-US"/>
        </w:rPr>
        <w:endnoteReference w:id="60"/>
      </w:r>
    </w:p>
    <w:p w:rsidR="00475986" w:rsidRPr="00475986" w:rsidRDefault="009447E2" w:rsidP="00475986">
      <w:pPr>
        <w:pStyle w:val="Heading4"/>
        <w:numPr>
          <w:ilvl w:val="0"/>
          <w:numId w:val="0"/>
        </w:numPr>
        <w:ind w:left="851" w:hanging="851"/>
        <w:rPr>
          <w:i/>
        </w:rPr>
      </w:pPr>
      <w:bookmarkStart w:id="223" w:name="_Toc413932296"/>
      <w:r w:rsidRPr="00475986">
        <w:rPr>
          <w:i/>
        </w:rPr>
        <w:t>Intellectual property rights</w:t>
      </w:r>
      <w:bookmarkEnd w:id="223"/>
    </w:p>
    <w:p w:rsidR="00651178" w:rsidRPr="00651178" w:rsidRDefault="00651178" w:rsidP="00651178">
      <w:pPr>
        <w:rPr>
          <w:rFonts w:cs="Arial"/>
        </w:rPr>
      </w:pPr>
      <w:r>
        <w:rPr>
          <w:rFonts w:cs="Arial"/>
        </w:rPr>
        <w:t xml:space="preserve">The extent to which intellectual property </w:t>
      </w:r>
      <w:r w:rsidR="00762825">
        <w:rPr>
          <w:rFonts w:cs="Arial"/>
        </w:rPr>
        <w:t xml:space="preserve">rights are protected in Australia </w:t>
      </w:r>
      <w:r>
        <w:rPr>
          <w:rFonts w:cs="Arial"/>
        </w:rPr>
        <w:t>was</w:t>
      </w:r>
      <w:r w:rsidR="00762825">
        <w:rPr>
          <w:rFonts w:cs="Arial"/>
        </w:rPr>
        <w:t xml:space="preserve"> </w:t>
      </w:r>
      <w:r w:rsidR="009447E2">
        <w:rPr>
          <w:rFonts w:cs="Arial"/>
        </w:rPr>
        <w:t>dis</w:t>
      </w:r>
      <w:r>
        <w:rPr>
          <w:rFonts w:cs="Arial"/>
        </w:rPr>
        <w:t>cussed during t</w:t>
      </w:r>
      <w:r w:rsidR="00762825">
        <w:rPr>
          <w:rFonts w:cs="Arial"/>
        </w:rPr>
        <w:t>he consultation. For example, the following comments were made in relation to</w:t>
      </w:r>
      <w:r>
        <w:rPr>
          <w:lang w:val="en-US"/>
        </w:rPr>
        <w:t xml:space="preserve"> protection from music theft </w:t>
      </w:r>
      <w:r w:rsidRPr="00B41D74">
        <w:rPr>
          <w:lang w:val="en-US"/>
        </w:rPr>
        <w:t>legislation</w:t>
      </w:r>
      <w:r>
        <w:rPr>
          <w:lang w:val="en-US"/>
        </w:rPr>
        <w:t xml:space="preserve"> and online copyright infringement:</w:t>
      </w:r>
    </w:p>
    <w:p w:rsidR="00651178" w:rsidRDefault="00651178" w:rsidP="00651178">
      <w:pPr>
        <w:autoSpaceDE w:val="0"/>
        <w:autoSpaceDN w:val="0"/>
        <w:adjustRightInd w:val="0"/>
        <w:spacing w:before="0" w:after="0"/>
        <w:ind w:left="720"/>
        <w:rPr>
          <w:rFonts w:cs="Arial"/>
          <w:sz w:val="22"/>
          <w:szCs w:val="22"/>
        </w:rPr>
      </w:pPr>
      <w:r>
        <w:rPr>
          <w:rFonts w:cs="Arial"/>
          <w:i/>
          <w:sz w:val="22"/>
          <w:szCs w:val="22"/>
        </w:rPr>
        <w:t>Current copyright laws do not contain adequate protections for fair use for comment and artistic expression.</w:t>
      </w:r>
      <w:r>
        <w:rPr>
          <w:rFonts w:cs="Arial"/>
          <w:sz w:val="22"/>
          <w:szCs w:val="22"/>
        </w:rPr>
        <w:t xml:space="preserve"> Online survey response</w:t>
      </w:r>
    </w:p>
    <w:p w:rsidR="00651178" w:rsidRDefault="00651178" w:rsidP="00651178">
      <w:pPr>
        <w:autoSpaceDE w:val="0"/>
        <w:autoSpaceDN w:val="0"/>
        <w:adjustRightInd w:val="0"/>
        <w:spacing w:before="0" w:after="0"/>
        <w:ind w:left="720"/>
        <w:rPr>
          <w:rFonts w:cs="Arial"/>
          <w:sz w:val="22"/>
          <w:szCs w:val="22"/>
        </w:rPr>
      </w:pPr>
    </w:p>
    <w:p w:rsidR="00651178" w:rsidRDefault="00651178" w:rsidP="00EB4EC4">
      <w:pPr>
        <w:autoSpaceDE w:val="0"/>
        <w:autoSpaceDN w:val="0"/>
        <w:adjustRightInd w:val="0"/>
        <w:spacing w:before="0" w:after="0"/>
        <w:ind w:left="720"/>
        <w:rPr>
          <w:rFonts w:cs="Arial"/>
          <w:sz w:val="22"/>
          <w:szCs w:val="22"/>
        </w:rPr>
      </w:pPr>
      <w:r w:rsidRPr="003639E1">
        <w:rPr>
          <w:rFonts w:cs="Arial"/>
          <w:i/>
          <w:sz w:val="22"/>
          <w:szCs w:val="22"/>
        </w:rPr>
        <w:t xml:space="preserve">The internet is central to the music industry and offers artists new exciting avenues to find new audiences and connect with their fans but it should not also be allowed to stop them getting a fair return for their artist output. </w:t>
      </w:r>
      <w:r w:rsidRPr="003639E1">
        <w:rPr>
          <w:rFonts w:cs="Arial"/>
          <w:sz w:val="22"/>
          <w:szCs w:val="22"/>
        </w:rPr>
        <w:t>Ross Wilson</w:t>
      </w:r>
      <w:r>
        <w:rPr>
          <w:rFonts w:cs="Arial"/>
          <w:sz w:val="22"/>
          <w:szCs w:val="22"/>
        </w:rPr>
        <w:t xml:space="preserve"> submission</w:t>
      </w:r>
    </w:p>
    <w:p w:rsidR="00FF01EF" w:rsidRDefault="00FF01EF" w:rsidP="003C7700">
      <w:pPr>
        <w:autoSpaceDE w:val="0"/>
        <w:autoSpaceDN w:val="0"/>
        <w:adjustRightInd w:val="0"/>
        <w:spacing w:before="0" w:after="0"/>
        <w:rPr>
          <w:rFonts w:cs="Arial"/>
          <w:i/>
          <w:sz w:val="22"/>
          <w:szCs w:val="22"/>
        </w:rPr>
      </w:pPr>
    </w:p>
    <w:p w:rsidR="00FF01EF" w:rsidRDefault="00542301" w:rsidP="00B40BDE">
      <w:pPr>
        <w:autoSpaceDE w:val="0"/>
        <w:autoSpaceDN w:val="0"/>
        <w:adjustRightInd w:val="0"/>
        <w:spacing w:before="0" w:after="0"/>
        <w:ind w:left="720"/>
        <w:rPr>
          <w:rFonts w:cs="Arial"/>
          <w:sz w:val="22"/>
          <w:szCs w:val="22"/>
        </w:rPr>
      </w:pPr>
      <w:r>
        <w:rPr>
          <w:rFonts w:cs="Arial"/>
          <w:i/>
          <w:sz w:val="22"/>
          <w:szCs w:val="22"/>
        </w:rPr>
        <w:t xml:space="preserve">In Australia today there is no efficient or practical way for a copyright owner to protect their music online if someone wants to take it without respecting their choice about how it will be made available to the public. </w:t>
      </w:r>
      <w:r w:rsidRPr="00542301">
        <w:rPr>
          <w:rFonts w:cs="Arial"/>
          <w:sz w:val="22"/>
          <w:szCs w:val="22"/>
        </w:rPr>
        <w:t>Music Rights Australia submission</w:t>
      </w:r>
    </w:p>
    <w:p w:rsidR="00D20093" w:rsidRDefault="00D20093" w:rsidP="00B40BDE">
      <w:pPr>
        <w:autoSpaceDE w:val="0"/>
        <w:autoSpaceDN w:val="0"/>
        <w:adjustRightInd w:val="0"/>
        <w:spacing w:before="0" w:after="0"/>
        <w:ind w:left="720"/>
        <w:rPr>
          <w:rFonts w:cs="Arial"/>
          <w:i/>
          <w:sz w:val="22"/>
          <w:szCs w:val="22"/>
        </w:rPr>
      </w:pPr>
    </w:p>
    <w:p w:rsidR="00D20093" w:rsidRPr="00EB4EC4" w:rsidRDefault="00D20093" w:rsidP="00D20093">
      <w:pPr>
        <w:autoSpaceDE w:val="0"/>
        <w:autoSpaceDN w:val="0"/>
        <w:adjustRightInd w:val="0"/>
        <w:spacing w:before="0" w:after="0"/>
        <w:ind w:left="720"/>
        <w:rPr>
          <w:rFonts w:cs="Arial"/>
          <w:i/>
          <w:sz w:val="22"/>
          <w:szCs w:val="22"/>
        </w:rPr>
      </w:pPr>
      <w:r>
        <w:rPr>
          <w:rFonts w:cs="Arial"/>
          <w:i/>
          <w:sz w:val="22"/>
          <w:szCs w:val="22"/>
        </w:rPr>
        <w:t xml:space="preserve">I also expect the government to protect my work from theft, the same way they protect every other retail product that I can think of. </w:t>
      </w:r>
      <w:r w:rsidRPr="00D20093">
        <w:rPr>
          <w:rFonts w:cs="Arial"/>
          <w:sz w:val="22"/>
          <w:szCs w:val="22"/>
        </w:rPr>
        <w:t>Tina Arena submission</w:t>
      </w:r>
    </w:p>
    <w:p w:rsidR="00476242" w:rsidRDefault="000072E5" w:rsidP="00BB19A3">
      <w:pPr>
        <w:rPr>
          <w:rFonts w:cs="Arial"/>
        </w:rPr>
      </w:pPr>
      <w:r>
        <w:rPr>
          <w:rFonts w:cs="Arial"/>
        </w:rPr>
        <w:t xml:space="preserve">Intellectual property rights were also raised in Alice Springs in relation to </w:t>
      </w:r>
      <w:r w:rsidR="0084582A">
        <w:rPr>
          <w:rFonts w:cs="Arial"/>
        </w:rPr>
        <w:t>recognising a</w:t>
      </w:r>
      <w:r w:rsidR="009409D1">
        <w:rPr>
          <w:rFonts w:cs="Arial"/>
        </w:rPr>
        <w:t>nd protecting Aboriginal people</w:t>
      </w:r>
      <w:r w:rsidR="00F4106D">
        <w:rPr>
          <w:rFonts w:cs="Arial"/>
        </w:rPr>
        <w:t>s</w:t>
      </w:r>
      <w:r w:rsidR="009409D1">
        <w:rPr>
          <w:rFonts w:cs="Arial"/>
        </w:rPr>
        <w:t>’</w:t>
      </w:r>
      <w:r w:rsidR="00F4106D">
        <w:rPr>
          <w:rFonts w:cs="Arial"/>
        </w:rPr>
        <w:t xml:space="preserve"> traditional knowledge:</w:t>
      </w:r>
      <w:r w:rsidR="0084582A">
        <w:rPr>
          <w:rFonts w:cs="Arial"/>
        </w:rPr>
        <w:t xml:space="preserve"> </w:t>
      </w:r>
    </w:p>
    <w:p w:rsidR="00476242" w:rsidRDefault="009447E2" w:rsidP="008D3832">
      <w:pPr>
        <w:numPr>
          <w:ilvl w:val="0"/>
          <w:numId w:val="42"/>
        </w:numPr>
        <w:rPr>
          <w:rFonts w:cs="Arial"/>
        </w:rPr>
      </w:pPr>
      <w:r>
        <w:rPr>
          <w:rFonts w:cs="Arial"/>
        </w:rPr>
        <w:t xml:space="preserve">Papunya Tula </w:t>
      </w:r>
      <w:r w:rsidR="0084582A">
        <w:rPr>
          <w:rFonts w:cs="Arial"/>
        </w:rPr>
        <w:t>Artists</w:t>
      </w:r>
      <w:r w:rsidR="000A5CCB">
        <w:rPr>
          <w:rFonts w:cs="Arial"/>
        </w:rPr>
        <w:t>,</w:t>
      </w:r>
      <w:r w:rsidR="00476242">
        <w:rPr>
          <w:rStyle w:val="EndnoteReference"/>
          <w:rFonts w:cs="Arial"/>
        </w:rPr>
        <w:endnoteReference w:id="61"/>
      </w:r>
      <w:r w:rsidR="0084582A">
        <w:rPr>
          <w:rFonts w:cs="Arial"/>
        </w:rPr>
        <w:t xml:space="preserve"> demonstrates the benefits </w:t>
      </w:r>
      <w:r w:rsidR="00B3484D">
        <w:rPr>
          <w:rFonts w:cs="Arial"/>
        </w:rPr>
        <w:t>of Aboriginal artists having a</w:t>
      </w:r>
      <w:r w:rsidR="0084582A">
        <w:rPr>
          <w:rFonts w:cs="Arial"/>
        </w:rPr>
        <w:t xml:space="preserve"> </w:t>
      </w:r>
      <w:r>
        <w:rPr>
          <w:rFonts w:cs="Arial"/>
        </w:rPr>
        <w:t>coo</w:t>
      </w:r>
      <w:r w:rsidR="00B3484D">
        <w:rPr>
          <w:rFonts w:cs="Arial"/>
        </w:rPr>
        <w:t>perative and community approach to producing and selling their art</w:t>
      </w:r>
      <w:r>
        <w:rPr>
          <w:rFonts w:cs="Arial"/>
        </w:rPr>
        <w:t xml:space="preserve">. </w:t>
      </w:r>
      <w:r w:rsidR="00B3484D">
        <w:rPr>
          <w:rFonts w:cs="Arial"/>
        </w:rPr>
        <w:t>T</w:t>
      </w:r>
      <w:r>
        <w:rPr>
          <w:rFonts w:cs="Arial"/>
        </w:rPr>
        <w:t>he Royalty Resale Scheme,</w:t>
      </w:r>
      <w:r>
        <w:rPr>
          <w:rStyle w:val="EndnoteReference"/>
          <w:rFonts w:cs="Arial"/>
        </w:rPr>
        <w:endnoteReference w:id="62"/>
      </w:r>
      <w:r>
        <w:rPr>
          <w:rFonts w:cs="Arial"/>
        </w:rPr>
        <w:t xml:space="preserve"> which enables </w:t>
      </w:r>
      <w:r>
        <w:rPr>
          <w:rFonts w:ascii="ArialMT" w:hAnsi="ArialMT" w:cs="ArialMT"/>
        </w:rPr>
        <w:t>artists to receive royalties on certain resales of their work,</w:t>
      </w:r>
      <w:r>
        <w:rPr>
          <w:rFonts w:cs="Arial"/>
        </w:rPr>
        <w:t xml:space="preserve"> </w:t>
      </w:r>
      <w:r w:rsidR="00B3484D">
        <w:rPr>
          <w:rFonts w:cs="Arial"/>
        </w:rPr>
        <w:t>also recognises the long-term value of artwork and provides</w:t>
      </w:r>
      <w:r>
        <w:rPr>
          <w:rFonts w:cs="Arial"/>
        </w:rPr>
        <w:t xml:space="preserve"> money to ar</w:t>
      </w:r>
      <w:r w:rsidR="00B3484D">
        <w:rPr>
          <w:rFonts w:cs="Arial"/>
        </w:rPr>
        <w:t>tists that would otherwise not occur</w:t>
      </w:r>
      <w:r w:rsidR="00BB19A3">
        <w:rPr>
          <w:rFonts w:cs="Arial"/>
        </w:rPr>
        <w:t>.</w:t>
      </w:r>
      <w:r w:rsidR="00B3484D">
        <w:rPr>
          <w:rFonts w:cs="Arial"/>
        </w:rPr>
        <w:t xml:space="preserve"> </w:t>
      </w:r>
    </w:p>
    <w:p w:rsidR="009447E2" w:rsidRPr="00F4106D" w:rsidRDefault="00476242" w:rsidP="008D3832">
      <w:pPr>
        <w:numPr>
          <w:ilvl w:val="0"/>
          <w:numId w:val="42"/>
        </w:numPr>
        <w:rPr>
          <w:rFonts w:cs="Arial"/>
        </w:rPr>
      </w:pPr>
      <w:r w:rsidRPr="00F4106D">
        <w:rPr>
          <w:rFonts w:cs="Arial"/>
        </w:rPr>
        <w:t>Ninti One</w:t>
      </w:r>
      <w:r w:rsidR="00F4106D">
        <w:rPr>
          <w:rFonts w:cs="Arial"/>
        </w:rPr>
        <w:t xml:space="preserve"> </w:t>
      </w:r>
      <w:r w:rsidR="00B40BDE">
        <w:rPr>
          <w:rFonts w:cs="Arial"/>
        </w:rPr>
        <w:t>is</w:t>
      </w:r>
      <w:r w:rsidR="00F4106D">
        <w:rPr>
          <w:rFonts w:cs="Arial"/>
        </w:rPr>
        <w:t xml:space="preserve"> developing projects that recognise the </w:t>
      </w:r>
      <w:r w:rsidR="006F2718">
        <w:rPr>
          <w:rFonts w:cs="Arial"/>
        </w:rPr>
        <w:t>intellectual property rights of Aboriginal peoples’ traditional knowledge – see text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9447E2" w:rsidRPr="0073669B" w:rsidTr="00FE4131">
        <w:tc>
          <w:tcPr>
            <w:tcW w:w="9286" w:type="dxa"/>
            <w:shd w:val="clear" w:color="auto" w:fill="E0E0E0"/>
          </w:tcPr>
          <w:p w:rsidR="009447E2" w:rsidRPr="006C62AE" w:rsidRDefault="009447E2" w:rsidP="00FE4131">
            <w:pPr>
              <w:rPr>
                <w:rFonts w:cs="Arial"/>
                <w:sz w:val="22"/>
                <w:szCs w:val="22"/>
              </w:rPr>
            </w:pPr>
            <w:r w:rsidRPr="006C62AE">
              <w:rPr>
                <w:b/>
                <w:sz w:val="22"/>
                <w:szCs w:val="22"/>
                <w:lang w:val="en-US"/>
              </w:rPr>
              <w:t>Ninti One – intellectual property rights and traditional knowledge</w:t>
            </w:r>
          </w:p>
          <w:p w:rsidR="009447E2" w:rsidRPr="006C62AE" w:rsidRDefault="009447E2" w:rsidP="00FE4131">
            <w:pPr>
              <w:spacing w:before="100" w:beforeAutospacing="1" w:after="100" w:afterAutospacing="1"/>
              <w:rPr>
                <w:sz w:val="22"/>
                <w:szCs w:val="22"/>
              </w:rPr>
            </w:pPr>
            <w:r>
              <w:rPr>
                <w:sz w:val="22"/>
                <w:szCs w:val="22"/>
              </w:rPr>
              <w:t xml:space="preserve">Established in 2003, Ninti One is </w:t>
            </w:r>
            <w:r w:rsidRPr="006C62AE">
              <w:rPr>
                <w:sz w:val="22"/>
                <w:szCs w:val="22"/>
              </w:rPr>
              <w:t xml:space="preserve">an independent, national not-for-profit company that builds opportunities for people in remote Australia through </w:t>
            </w:r>
            <w:r>
              <w:rPr>
                <w:sz w:val="22"/>
                <w:szCs w:val="22"/>
              </w:rPr>
              <w:t xml:space="preserve">practical </w:t>
            </w:r>
            <w:r w:rsidRPr="006C62AE">
              <w:rPr>
                <w:sz w:val="22"/>
                <w:szCs w:val="22"/>
              </w:rPr>
              <w:t>research, innova</w:t>
            </w:r>
            <w:r>
              <w:rPr>
                <w:sz w:val="22"/>
                <w:szCs w:val="22"/>
              </w:rPr>
              <w:t>tion and community development.</w:t>
            </w:r>
          </w:p>
          <w:p w:rsidR="009447E2" w:rsidRDefault="009447E2" w:rsidP="00BB19A3">
            <w:pPr>
              <w:spacing w:before="100" w:beforeAutospacing="1" w:after="100" w:afterAutospacing="1"/>
              <w:rPr>
                <w:sz w:val="22"/>
                <w:szCs w:val="22"/>
              </w:rPr>
            </w:pPr>
            <w:r w:rsidRPr="006C62AE">
              <w:rPr>
                <w:sz w:val="22"/>
                <w:szCs w:val="22"/>
              </w:rPr>
              <w:t xml:space="preserve">Ninti One </w:t>
            </w:r>
            <w:r>
              <w:rPr>
                <w:sz w:val="22"/>
                <w:szCs w:val="22"/>
              </w:rPr>
              <w:t>manages</w:t>
            </w:r>
            <w:r w:rsidRPr="006C62AE">
              <w:rPr>
                <w:sz w:val="22"/>
                <w:szCs w:val="22"/>
              </w:rPr>
              <w:t xml:space="preserve"> the research and partnerships of the</w:t>
            </w:r>
            <w:r>
              <w:rPr>
                <w:sz w:val="22"/>
                <w:szCs w:val="22"/>
              </w:rPr>
              <w:t xml:space="preserve"> Cooperative Research Centre for Remote Economic Participation (CRC-REP), which </w:t>
            </w:r>
            <w:r w:rsidRPr="006C62AE">
              <w:rPr>
                <w:sz w:val="22"/>
                <w:szCs w:val="22"/>
              </w:rPr>
              <w:t>is focused on delivering solutions to the economic challenge</w:t>
            </w:r>
            <w:r w:rsidR="00BB19A3">
              <w:rPr>
                <w:sz w:val="22"/>
                <w:szCs w:val="22"/>
              </w:rPr>
              <w:t xml:space="preserve">s that affect remote Australia. </w:t>
            </w:r>
            <w:r>
              <w:rPr>
                <w:sz w:val="22"/>
                <w:szCs w:val="22"/>
              </w:rPr>
              <w:t xml:space="preserve">Two </w:t>
            </w:r>
            <w:r w:rsidR="00BB19A3">
              <w:rPr>
                <w:sz w:val="22"/>
                <w:szCs w:val="22"/>
              </w:rPr>
              <w:t xml:space="preserve">research </w:t>
            </w:r>
            <w:r w:rsidRPr="006C62AE">
              <w:rPr>
                <w:sz w:val="22"/>
                <w:szCs w:val="22"/>
              </w:rPr>
              <w:t xml:space="preserve">projects being carried out by CRC-REP </w:t>
            </w:r>
            <w:r>
              <w:rPr>
                <w:sz w:val="22"/>
                <w:szCs w:val="22"/>
              </w:rPr>
              <w:t>are investigating issues relating to intellectual p</w:t>
            </w:r>
            <w:r w:rsidRPr="006C62AE">
              <w:rPr>
                <w:sz w:val="22"/>
                <w:szCs w:val="22"/>
              </w:rPr>
              <w:t>roperty rights agreem</w:t>
            </w:r>
            <w:r>
              <w:rPr>
                <w:sz w:val="22"/>
                <w:szCs w:val="22"/>
              </w:rPr>
              <w:t>ents, policies and legislation:</w:t>
            </w:r>
          </w:p>
          <w:p w:rsidR="009447E2" w:rsidRPr="009447E2" w:rsidRDefault="009447E2" w:rsidP="008D3832">
            <w:pPr>
              <w:pStyle w:val="ListParagraph"/>
              <w:numPr>
                <w:ilvl w:val="0"/>
                <w:numId w:val="25"/>
              </w:numPr>
              <w:contextualSpacing/>
              <w:rPr>
                <w:sz w:val="22"/>
                <w:szCs w:val="22"/>
              </w:rPr>
            </w:pPr>
            <w:r w:rsidRPr="001F456A">
              <w:rPr>
                <w:sz w:val="22"/>
                <w:szCs w:val="22"/>
              </w:rPr>
              <w:t xml:space="preserve">The Plant Business </w:t>
            </w:r>
            <w:r>
              <w:rPr>
                <w:sz w:val="22"/>
                <w:szCs w:val="22"/>
              </w:rPr>
              <w:t>project is</w:t>
            </w:r>
            <w:r w:rsidRPr="001F456A">
              <w:rPr>
                <w:sz w:val="22"/>
                <w:szCs w:val="22"/>
              </w:rPr>
              <w:t xml:space="preserve"> develop</w:t>
            </w:r>
            <w:r>
              <w:rPr>
                <w:sz w:val="22"/>
                <w:szCs w:val="22"/>
              </w:rPr>
              <w:t>ing</w:t>
            </w:r>
            <w:r w:rsidRPr="001F456A">
              <w:rPr>
                <w:sz w:val="22"/>
                <w:szCs w:val="22"/>
              </w:rPr>
              <w:t xml:space="preserve"> a model for improving native plant varieties to make horticultural production of bush foods more efficient and profitable. The focus is on sustained growth of value of the Bush Tomato trade as a case study, to increase business opportunities for remote Aboriginal and Torres Strait Islander people. A significant theme of the research is a detailed analysis of the variety of approaches available for safeguarding the needs and aspirations of Aboriginal and </w:t>
            </w:r>
            <w:r w:rsidRPr="001F456A">
              <w:rPr>
                <w:sz w:val="22"/>
                <w:szCs w:val="22"/>
              </w:rPr>
              <w:lastRenderedPageBreak/>
              <w:t>Torres Strait Islander people associated with Traditional Knowledge being commercially utilised. Strategies including conventional legal approaches, international protocol compliance, trademarks, certification and Knowledge Trusts will be explored. This will deliver tools to assist in maximising benefit sharing for Aboriginal and Torres Strait Islander people from the utilisation of cultural heritage.</w:t>
            </w:r>
          </w:p>
          <w:p w:rsidR="009447E2" w:rsidRPr="006C62AE" w:rsidRDefault="009447E2" w:rsidP="008D3832">
            <w:pPr>
              <w:pStyle w:val="ListParagraph"/>
              <w:numPr>
                <w:ilvl w:val="0"/>
                <w:numId w:val="25"/>
              </w:numPr>
              <w:contextualSpacing/>
            </w:pPr>
            <w:r w:rsidRPr="006C62AE">
              <w:rPr>
                <w:sz w:val="22"/>
                <w:szCs w:val="22"/>
              </w:rPr>
              <w:t xml:space="preserve">The Aboriginal and Torres Strait Islander Art Economies Project is undertaking wide-ranging analysis of key points in the supply chain connecting remote area artists with </w:t>
            </w:r>
            <w:r>
              <w:rPr>
                <w:sz w:val="22"/>
                <w:szCs w:val="22"/>
              </w:rPr>
              <w:t xml:space="preserve">agents and national audiences. </w:t>
            </w:r>
            <w:r w:rsidRPr="006C62AE">
              <w:rPr>
                <w:sz w:val="22"/>
                <w:szCs w:val="22"/>
              </w:rPr>
              <w:t xml:space="preserve">The creative industries sector is characterised by complex and unresolved intellectual property issues in relation to communal knowledge (cultural knowledge that is simultaneously shared and also utilised by authorised individual artists) and ongoing copyright infringements.  Research work has also highlighted other intellectual property issues.  One research area, working with freelance artists (independent, ‘sole-trader’ artists working with a range of agents) identified that while many of these artists feel confident in negotiating with agents on a day-to-day basis, there was very limited awareness of key intellectual property issues and almost no knowledge of how to access support or advice in resolving these issues.  </w:t>
            </w:r>
            <w:r w:rsidR="000A5CCB">
              <w:rPr>
                <w:sz w:val="22"/>
                <w:szCs w:val="22"/>
              </w:rPr>
              <w:t xml:space="preserve">Access </w:t>
            </w:r>
            <w:r w:rsidRPr="006C62AE">
              <w:rPr>
                <w:sz w:val="22"/>
                <w:szCs w:val="22"/>
              </w:rPr>
              <w:t>to cultural resources by artists in areas where national parks or other conservation measures are in place</w:t>
            </w:r>
            <w:r w:rsidR="000A5CCB">
              <w:rPr>
                <w:sz w:val="22"/>
                <w:szCs w:val="22"/>
              </w:rPr>
              <w:t xml:space="preserve"> has also been identified as an issue. </w:t>
            </w:r>
            <w:r w:rsidRPr="006C62AE">
              <w:rPr>
                <w:sz w:val="22"/>
                <w:szCs w:val="22"/>
              </w:rPr>
              <w:t>Ongoing cultural practices, including the right to access cultural livelihoods are limited by regulations, regardless of ongoing association to the land and resources.</w:t>
            </w:r>
          </w:p>
        </w:tc>
      </w:tr>
    </w:tbl>
    <w:p w:rsidR="00014249" w:rsidRPr="00014249" w:rsidRDefault="00014249" w:rsidP="00014249">
      <w:pPr>
        <w:pStyle w:val="Heading4"/>
        <w:numPr>
          <w:ilvl w:val="0"/>
          <w:numId w:val="0"/>
        </w:numPr>
        <w:ind w:left="851" w:hanging="851"/>
        <w:rPr>
          <w:i/>
        </w:rPr>
      </w:pPr>
      <w:bookmarkStart w:id="224" w:name="_Toc413932297"/>
      <w:r w:rsidRPr="00014249">
        <w:rPr>
          <w:i/>
        </w:rPr>
        <w:lastRenderedPageBreak/>
        <w:t>Criminal confiscation laws</w:t>
      </w:r>
      <w:bookmarkEnd w:id="224"/>
    </w:p>
    <w:p w:rsidR="00014249" w:rsidRDefault="0084472C" w:rsidP="00922C99">
      <w:pPr>
        <w:rPr>
          <w:rFonts w:cs="Arial"/>
          <w:bCs/>
        </w:rPr>
      </w:pPr>
      <w:r>
        <w:rPr>
          <w:rFonts w:cs="Arial"/>
          <w:bCs/>
        </w:rPr>
        <w:t xml:space="preserve">Property rights may be undermined by </w:t>
      </w:r>
      <w:r w:rsidR="00C548B7">
        <w:rPr>
          <w:rFonts w:cs="Arial"/>
          <w:bCs/>
        </w:rPr>
        <w:t xml:space="preserve">disproportionate </w:t>
      </w:r>
      <w:r>
        <w:rPr>
          <w:rFonts w:cs="Arial"/>
          <w:bCs/>
        </w:rPr>
        <w:t>criminal confiscation laws</w:t>
      </w:r>
      <w:r w:rsidR="009B4E08">
        <w:rPr>
          <w:rFonts w:cs="Arial"/>
          <w:bCs/>
        </w:rPr>
        <w:t>, which provide for the forfeiture of all assets owned by a person who is declared a ‘drug trafficker’</w:t>
      </w:r>
      <w:r>
        <w:rPr>
          <w:rFonts w:cs="Arial"/>
          <w:bCs/>
        </w:rPr>
        <w:t>.</w:t>
      </w:r>
      <w:r w:rsidR="009B4E08">
        <w:rPr>
          <w:rStyle w:val="EndnoteReference"/>
          <w:rFonts w:cs="Arial"/>
          <w:bCs/>
        </w:rPr>
        <w:endnoteReference w:id="63"/>
      </w:r>
      <w:r>
        <w:rPr>
          <w:rFonts w:cs="Arial"/>
          <w:bCs/>
        </w:rPr>
        <w:t xml:space="preserve"> The submission from the Australian Lawyers Alliance noted:</w:t>
      </w:r>
    </w:p>
    <w:p w:rsidR="0084472C" w:rsidRPr="0084472C" w:rsidRDefault="0084472C" w:rsidP="0084472C">
      <w:pPr>
        <w:ind w:left="720"/>
        <w:rPr>
          <w:rFonts w:cs="Arial"/>
          <w:bCs/>
          <w:i/>
          <w:sz w:val="22"/>
          <w:szCs w:val="22"/>
        </w:rPr>
      </w:pPr>
      <w:r w:rsidRPr="0084472C">
        <w:rPr>
          <w:rFonts w:cs="Arial"/>
          <w:bCs/>
          <w:i/>
          <w:sz w:val="22"/>
          <w:szCs w:val="22"/>
        </w:rPr>
        <w:t>…</w:t>
      </w:r>
      <w:r w:rsidR="0082063D">
        <w:rPr>
          <w:rFonts w:cs="Arial"/>
          <w:bCs/>
          <w:i/>
          <w:sz w:val="22"/>
          <w:szCs w:val="22"/>
        </w:rPr>
        <w:t xml:space="preserve"> </w:t>
      </w:r>
      <w:r w:rsidR="00152ABB">
        <w:rPr>
          <w:rFonts w:cs="Arial"/>
          <w:bCs/>
          <w:i/>
          <w:sz w:val="22"/>
          <w:szCs w:val="22"/>
        </w:rPr>
        <w:t>[</w:t>
      </w:r>
      <w:r w:rsidR="0082063D">
        <w:rPr>
          <w:rFonts w:cs="Arial"/>
          <w:bCs/>
          <w:i/>
          <w:sz w:val="22"/>
          <w:szCs w:val="22"/>
        </w:rPr>
        <w:t>C]</w:t>
      </w:r>
      <w:r w:rsidRPr="0084472C">
        <w:rPr>
          <w:rFonts w:cs="Arial"/>
          <w:bCs/>
          <w:i/>
          <w:sz w:val="22"/>
          <w:szCs w:val="22"/>
        </w:rPr>
        <w:t>riminal confiscation laws in the Northern Territory and Western Australia are currently grossly disproportional to an offence, and deeply impact upon an individual and their family’s rights to own property and for any acq</w:t>
      </w:r>
      <w:r w:rsidR="002F0BE8">
        <w:rPr>
          <w:rFonts w:cs="Arial"/>
          <w:bCs/>
          <w:i/>
          <w:sz w:val="22"/>
          <w:szCs w:val="22"/>
        </w:rPr>
        <w:t>uisition to be on “just terms”.</w:t>
      </w:r>
    </w:p>
    <w:p w:rsidR="00DA03D3" w:rsidRDefault="002F0BE8" w:rsidP="00922C99">
      <w:pPr>
        <w:rPr>
          <w:rFonts w:cs="Arial"/>
          <w:bCs/>
        </w:rPr>
      </w:pPr>
      <w:r>
        <w:rPr>
          <w:rFonts w:cs="Arial"/>
          <w:bCs/>
        </w:rPr>
        <w:t>Further, l</w:t>
      </w:r>
      <w:r w:rsidR="00845DCD">
        <w:rPr>
          <w:rFonts w:cs="Arial"/>
          <w:bCs/>
        </w:rPr>
        <w:t>aws in the Northern Territory permit the</w:t>
      </w:r>
      <w:r w:rsidR="00DA03D3">
        <w:rPr>
          <w:rFonts w:cs="Arial"/>
          <w:bCs/>
        </w:rPr>
        <w:t>:</w:t>
      </w:r>
    </w:p>
    <w:p w:rsidR="00014249" w:rsidRPr="00DA03D3" w:rsidRDefault="00DA03D3" w:rsidP="00DA03D3">
      <w:pPr>
        <w:ind w:left="720"/>
        <w:rPr>
          <w:rFonts w:cs="Arial"/>
          <w:bCs/>
          <w:i/>
          <w:sz w:val="22"/>
          <w:szCs w:val="22"/>
        </w:rPr>
      </w:pPr>
      <w:r>
        <w:rPr>
          <w:rFonts w:cs="Arial"/>
          <w:bCs/>
          <w:i/>
          <w:sz w:val="22"/>
          <w:szCs w:val="22"/>
        </w:rPr>
        <w:t>…</w:t>
      </w:r>
      <w:r w:rsidR="0082063D">
        <w:rPr>
          <w:rFonts w:cs="Arial"/>
          <w:bCs/>
          <w:i/>
          <w:sz w:val="22"/>
          <w:szCs w:val="22"/>
        </w:rPr>
        <w:t xml:space="preserve"> [F]</w:t>
      </w:r>
      <w:r w:rsidR="00845DCD" w:rsidRPr="00DA03D3">
        <w:rPr>
          <w:rFonts w:cs="Arial"/>
          <w:bCs/>
          <w:i/>
          <w:sz w:val="22"/>
          <w:szCs w:val="22"/>
        </w:rPr>
        <w:t>orfeiture of all property owned by an individual, even if the property was not used for, or derived as a result of criminal activity</w:t>
      </w:r>
      <w:r w:rsidRPr="00DA03D3">
        <w:rPr>
          <w:rFonts w:cs="Arial"/>
          <w:bCs/>
          <w:i/>
          <w:sz w:val="22"/>
          <w:szCs w:val="22"/>
        </w:rPr>
        <w:t xml:space="preserve">. </w:t>
      </w:r>
      <w:r w:rsidRPr="00DA03D3">
        <w:rPr>
          <w:rFonts w:cs="Arial"/>
          <w:bCs/>
          <w:sz w:val="22"/>
          <w:szCs w:val="22"/>
        </w:rPr>
        <w:t>Australian Lawyers Alliance submission</w:t>
      </w:r>
    </w:p>
    <w:p w:rsidR="00876D23" w:rsidRPr="00876D23" w:rsidRDefault="00876D23" w:rsidP="00876D23">
      <w:pPr>
        <w:pStyle w:val="Heading4"/>
        <w:numPr>
          <w:ilvl w:val="0"/>
          <w:numId w:val="0"/>
        </w:numPr>
        <w:ind w:left="851" w:hanging="851"/>
        <w:rPr>
          <w:i/>
          <w:lang w:val="en-US"/>
        </w:rPr>
      </w:pPr>
      <w:bookmarkStart w:id="225" w:name="_Toc413932298"/>
      <w:r w:rsidRPr="00876D23">
        <w:rPr>
          <w:i/>
          <w:lang w:val="en-US"/>
        </w:rPr>
        <w:t>Summary</w:t>
      </w:r>
      <w:bookmarkEnd w:id="225"/>
    </w:p>
    <w:p w:rsidR="00895A08" w:rsidRDefault="007F6264" w:rsidP="001A178E">
      <w:pPr>
        <w:rPr>
          <w:lang w:val="en-US"/>
        </w:rPr>
      </w:pPr>
      <w:r>
        <w:rPr>
          <w:lang w:val="en-US"/>
        </w:rPr>
        <w:t xml:space="preserve">The consultation </w:t>
      </w:r>
      <w:r w:rsidR="00E906CC">
        <w:rPr>
          <w:lang w:val="en-US"/>
        </w:rPr>
        <w:t>presented a</w:t>
      </w:r>
      <w:r w:rsidR="00377AA9">
        <w:rPr>
          <w:lang w:val="en-US"/>
        </w:rPr>
        <w:t xml:space="preserve"> wide</w:t>
      </w:r>
      <w:r>
        <w:rPr>
          <w:lang w:val="en-US"/>
        </w:rPr>
        <w:t xml:space="preserve"> range of </w:t>
      </w:r>
      <w:r w:rsidR="00895A08">
        <w:rPr>
          <w:lang w:val="en-US"/>
        </w:rPr>
        <w:t xml:space="preserve">issues and </w:t>
      </w:r>
      <w:r>
        <w:rPr>
          <w:lang w:val="en-US"/>
        </w:rPr>
        <w:t>questions in relation to property rights</w:t>
      </w:r>
      <w:r w:rsidR="001A178E">
        <w:rPr>
          <w:lang w:val="en-US"/>
        </w:rPr>
        <w:t xml:space="preserve">. </w:t>
      </w:r>
      <w:r w:rsidR="00895A08">
        <w:rPr>
          <w:lang w:val="en-US"/>
        </w:rPr>
        <w:t>The si</w:t>
      </w:r>
      <w:r w:rsidR="00963EDC">
        <w:rPr>
          <w:lang w:val="en-US"/>
        </w:rPr>
        <w:t>gnificance of property rights was</w:t>
      </w:r>
      <w:r w:rsidR="00895A08">
        <w:rPr>
          <w:lang w:val="en-US"/>
        </w:rPr>
        <w:t xml:space="preserve"> demonstrated by the breadth of issues raised in public and strategic meetings across the country.</w:t>
      </w:r>
    </w:p>
    <w:p w:rsidR="000D6141" w:rsidRDefault="00534C8E" w:rsidP="001A178E">
      <w:pPr>
        <w:rPr>
          <w:lang w:val="en-US"/>
        </w:rPr>
      </w:pPr>
      <w:r>
        <w:rPr>
          <w:lang w:val="en-US"/>
        </w:rPr>
        <w:t>T</w:t>
      </w:r>
      <w:r w:rsidR="00DA03D3">
        <w:rPr>
          <w:lang w:val="en-US"/>
        </w:rPr>
        <w:t xml:space="preserve">he Human Rights Commissioner will </w:t>
      </w:r>
      <w:r w:rsidR="00CE658C">
        <w:rPr>
          <w:lang w:val="en-US"/>
        </w:rPr>
        <w:t>focus on</w:t>
      </w:r>
      <w:r>
        <w:rPr>
          <w:lang w:val="en-US"/>
        </w:rPr>
        <w:t xml:space="preserve"> the following areas during his term</w:t>
      </w:r>
      <w:r w:rsidR="000D6141">
        <w:rPr>
          <w:lang w:val="en-US"/>
        </w:rPr>
        <w:t>:</w:t>
      </w:r>
    </w:p>
    <w:p w:rsidR="001A178E" w:rsidRDefault="00FD62F9" w:rsidP="008D3832">
      <w:pPr>
        <w:numPr>
          <w:ilvl w:val="0"/>
          <w:numId w:val="45"/>
        </w:numPr>
        <w:rPr>
          <w:lang w:val="en-US"/>
        </w:rPr>
      </w:pPr>
      <w:r>
        <w:rPr>
          <w:lang w:val="en-US"/>
        </w:rPr>
        <w:t>access to affordable housing</w:t>
      </w:r>
      <w:r w:rsidR="00976A4D">
        <w:rPr>
          <w:lang w:val="en-US"/>
        </w:rPr>
        <w:t xml:space="preserve"> for all Australians</w:t>
      </w:r>
    </w:p>
    <w:p w:rsidR="00976A4D" w:rsidRPr="00976A4D" w:rsidRDefault="002F0BE8" w:rsidP="00976A4D">
      <w:pPr>
        <w:numPr>
          <w:ilvl w:val="0"/>
          <w:numId w:val="45"/>
        </w:numPr>
        <w:rPr>
          <w:lang w:val="en-US"/>
        </w:rPr>
      </w:pPr>
      <w:r>
        <w:rPr>
          <w:lang w:val="en-US"/>
        </w:rPr>
        <w:t xml:space="preserve">jointly </w:t>
      </w:r>
      <w:r w:rsidR="00C064F8">
        <w:rPr>
          <w:lang w:val="en-US"/>
        </w:rPr>
        <w:t>facilitate</w:t>
      </w:r>
      <w:r w:rsidR="00C064F8" w:rsidRPr="000758DA">
        <w:rPr>
          <w:lang w:val="en-US"/>
        </w:rPr>
        <w:t xml:space="preserve"> a</w:t>
      </w:r>
      <w:r w:rsidR="00C064F8" w:rsidRPr="000758DA">
        <w:rPr>
          <w:rFonts w:cs="Arial"/>
          <w:lang w:val="en-US"/>
        </w:rPr>
        <w:t xml:space="preserve"> high-level forum </w:t>
      </w:r>
      <w:r w:rsidR="000D6141" w:rsidRPr="000758DA">
        <w:rPr>
          <w:lang w:val="en-US"/>
        </w:rPr>
        <w:t>with the Aboriginal and Torres Strait Islander</w:t>
      </w:r>
      <w:r w:rsidR="000758DA">
        <w:rPr>
          <w:lang w:val="en-US"/>
        </w:rPr>
        <w:t xml:space="preserve"> Social Ju</w:t>
      </w:r>
      <w:r w:rsidR="007A3FF1">
        <w:rPr>
          <w:lang w:val="en-US"/>
        </w:rPr>
        <w:t>stice Commissioner</w:t>
      </w:r>
      <w:r w:rsidR="00300FEC">
        <w:rPr>
          <w:lang w:val="en-US"/>
        </w:rPr>
        <w:t xml:space="preserve"> </w:t>
      </w:r>
      <w:r w:rsidR="00963EDC" w:rsidRPr="000758DA">
        <w:rPr>
          <w:rFonts w:cs="Arial"/>
          <w:lang w:val="en-US"/>
        </w:rPr>
        <w:t xml:space="preserve">to discuss reforms that remove </w:t>
      </w:r>
      <w:r>
        <w:rPr>
          <w:rFonts w:cs="Arial"/>
          <w:lang w:val="en-US"/>
        </w:rPr>
        <w:t>legal and regulatory barriers faced by</w:t>
      </w:r>
      <w:r w:rsidR="00963EDC" w:rsidRPr="000758DA">
        <w:rPr>
          <w:rFonts w:cs="Arial"/>
          <w:lang w:val="en-US"/>
        </w:rPr>
        <w:t xml:space="preserve"> native title holders seeking economic development</w:t>
      </w:r>
      <w:r w:rsidR="00976A4D" w:rsidRPr="00976A4D">
        <w:rPr>
          <w:lang w:val="en-US"/>
        </w:rPr>
        <w:t>.</w:t>
      </w:r>
    </w:p>
    <w:p w:rsidR="000D6141" w:rsidRPr="000D6141" w:rsidRDefault="000D6141" w:rsidP="000D6141">
      <w:pPr>
        <w:rPr>
          <w:lang w:val="en-US"/>
        </w:rPr>
      </w:pPr>
    </w:p>
    <w:p w:rsidR="00C144A1" w:rsidRPr="002C73EE" w:rsidRDefault="00C144A1" w:rsidP="002C73EE">
      <w:pPr>
        <w:pStyle w:val="Heading1"/>
        <w:numPr>
          <w:ilvl w:val="0"/>
          <w:numId w:val="15"/>
        </w:numPr>
        <w:tabs>
          <w:tab w:val="clear" w:pos="851"/>
          <w:tab w:val="num" w:pos="971"/>
        </w:tabs>
        <w:ind w:left="971"/>
        <w:rPr>
          <w:sz w:val="36"/>
          <w:szCs w:val="36"/>
          <w:lang w:val="en-US"/>
        </w:rPr>
      </w:pPr>
      <w:bookmarkStart w:id="226" w:name="_Toc413932299"/>
      <w:r w:rsidRPr="002C73EE">
        <w:rPr>
          <w:sz w:val="36"/>
          <w:szCs w:val="36"/>
        </w:rPr>
        <w:t>Additional issues emerging from the consultation</w:t>
      </w:r>
      <w:bookmarkEnd w:id="226"/>
    </w:p>
    <w:p w:rsidR="009A1B31" w:rsidRDefault="00C144A1" w:rsidP="00C144A1">
      <w:r>
        <w:rPr>
          <w:rFonts w:cs="Arial"/>
        </w:rPr>
        <w:t xml:space="preserve">Additional </w:t>
      </w:r>
      <w:r>
        <w:t>human rights issues were raised during the consultation process that were outside the original scope of the consultation. However, given these issues were repeatedly raised across the country, it is</w:t>
      </w:r>
      <w:r w:rsidR="00BD136E">
        <w:t xml:space="preserve"> important</w:t>
      </w:r>
      <w:r>
        <w:t xml:space="preserve"> that they are included and addressed</w:t>
      </w:r>
      <w:r w:rsidR="001A178E">
        <w:t xml:space="preserve"> as part of this report</w:t>
      </w:r>
      <w:r w:rsidR="00300FEC">
        <w:t>.</w:t>
      </w:r>
    </w:p>
    <w:p w:rsidR="00B74976" w:rsidRPr="00DA03D3" w:rsidRDefault="00B74976" w:rsidP="002C73EE">
      <w:pPr>
        <w:pStyle w:val="Heading2"/>
        <w:numPr>
          <w:ilvl w:val="0"/>
          <w:numId w:val="0"/>
        </w:numPr>
        <w:ind w:left="851" w:hanging="851"/>
      </w:pPr>
      <w:bookmarkStart w:id="227" w:name="_Toc413932300"/>
      <w:r w:rsidRPr="00DA03D3">
        <w:t>Right to freedom from arbitrary detention</w:t>
      </w:r>
      <w:bookmarkEnd w:id="227"/>
    </w:p>
    <w:p w:rsidR="003901B6" w:rsidRPr="00FB5BB8" w:rsidRDefault="00BD136E" w:rsidP="003901B6">
      <w:pPr>
        <w:rPr>
          <w:rFonts w:cs="Arial"/>
        </w:rPr>
      </w:pPr>
      <w:r>
        <w:rPr>
          <w:rFonts w:cs="Arial"/>
        </w:rPr>
        <w:t>T</w:t>
      </w:r>
      <w:r w:rsidR="00FB5BB8" w:rsidRPr="00FB5BB8">
        <w:t>he</w:t>
      </w:r>
      <w:r w:rsidR="00FB5BB8">
        <w:rPr>
          <w:rFonts w:cs="Arial"/>
        </w:rPr>
        <w:t xml:space="preserve"> </w:t>
      </w:r>
      <w:r w:rsidRPr="00BD136E">
        <w:rPr>
          <w:rFonts w:cs="Arial"/>
          <w:i/>
        </w:rPr>
        <w:t>Rights &amp; Responsibilities 2014</w:t>
      </w:r>
      <w:r>
        <w:rPr>
          <w:rFonts w:cs="Arial"/>
        </w:rPr>
        <w:t xml:space="preserve"> </w:t>
      </w:r>
      <w:r w:rsidR="00FB5BB8">
        <w:rPr>
          <w:rFonts w:cs="Arial"/>
        </w:rPr>
        <w:t xml:space="preserve">discussion paper did not mention the right to </w:t>
      </w:r>
      <w:r>
        <w:rPr>
          <w:rFonts w:cs="Arial"/>
        </w:rPr>
        <w:t xml:space="preserve">freedom from arbitrary detention. Even so, </w:t>
      </w:r>
      <w:r w:rsidR="00FB5BB8">
        <w:rPr>
          <w:rFonts w:cs="Arial"/>
        </w:rPr>
        <w:t xml:space="preserve">concerns about </w:t>
      </w:r>
      <w:r w:rsidR="002F0BE8">
        <w:rPr>
          <w:rFonts w:cs="Arial"/>
        </w:rPr>
        <w:t xml:space="preserve">mandatory sentencing laws </w:t>
      </w:r>
      <w:r w:rsidR="00FB5BB8">
        <w:rPr>
          <w:rFonts w:cs="Arial"/>
        </w:rPr>
        <w:t>and the denial of liberty for people with mental health issues were raised in meetings across the country.</w:t>
      </w:r>
      <w:r w:rsidR="0081699D">
        <w:rPr>
          <w:rStyle w:val="EndnoteReference"/>
          <w:rFonts w:cs="Arial"/>
        </w:rPr>
        <w:endnoteReference w:id="64"/>
      </w:r>
    </w:p>
    <w:p w:rsidR="005164CC" w:rsidRPr="00950FD1" w:rsidRDefault="002F0BE8" w:rsidP="00950FD1">
      <w:pPr>
        <w:pStyle w:val="Heading4"/>
        <w:numPr>
          <w:ilvl w:val="0"/>
          <w:numId w:val="0"/>
        </w:numPr>
        <w:ind w:left="851" w:hanging="851"/>
        <w:rPr>
          <w:i/>
        </w:rPr>
      </w:pPr>
      <w:bookmarkStart w:id="228" w:name="_Toc413932301"/>
      <w:r>
        <w:rPr>
          <w:i/>
        </w:rPr>
        <w:t>Mandatory sentencing laws</w:t>
      </w:r>
      <w:bookmarkEnd w:id="228"/>
    </w:p>
    <w:p w:rsidR="00FB5BB8" w:rsidRDefault="00FB5BB8" w:rsidP="00FB5BB8">
      <w:pPr>
        <w:rPr>
          <w:rFonts w:cs="Arial"/>
        </w:rPr>
      </w:pPr>
      <w:r>
        <w:rPr>
          <w:rFonts w:cs="Arial"/>
        </w:rPr>
        <w:t>In almost all public meetings, the social and economic consequences of increasing rates of incarceration were discussed. These discussions highlighted:</w:t>
      </w:r>
    </w:p>
    <w:p w:rsidR="00FB5BB8" w:rsidRDefault="00FB5BB8" w:rsidP="008D3832">
      <w:pPr>
        <w:numPr>
          <w:ilvl w:val="0"/>
          <w:numId w:val="45"/>
        </w:numPr>
        <w:rPr>
          <w:rFonts w:cs="Arial"/>
          <w:sz w:val="22"/>
          <w:szCs w:val="22"/>
        </w:rPr>
      </w:pPr>
      <w:r>
        <w:rPr>
          <w:rFonts w:cs="Arial"/>
        </w:rPr>
        <w:t xml:space="preserve">the effect of </w:t>
      </w:r>
      <w:r w:rsidRPr="00FB5BB8">
        <w:rPr>
          <w:lang w:val="en-US"/>
        </w:rPr>
        <w:t>mandatory</w:t>
      </w:r>
      <w:r>
        <w:rPr>
          <w:rFonts w:cs="Arial"/>
        </w:rPr>
        <w:t xml:space="preserve"> sentencing laws, which prescribe mandatory minimum sentences for criminal offences, on incarceration rates</w:t>
      </w:r>
    </w:p>
    <w:p w:rsidR="00FB5BB8" w:rsidRDefault="00FB5BB8" w:rsidP="008D3832">
      <w:pPr>
        <w:numPr>
          <w:ilvl w:val="0"/>
          <w:numId w:val="45"/>
        </w:numPr>
        <w:rPr>
          <w:rFonts w:cs="Arial"/>
        </w:rPr>
      </w:pPr>
      <w:r>
        <w:rPr>
          <w:rFonts w:cs="Arial"/>
        </w:rPr>
        <w:t xml:space="preserve">the long-term detrimental impact on people and their families from incarceration, </w:t>
      </w:r>
      <w:r w:rsidRPr="00FB5BB8">
        <w:rPr>
          <w:lang w:val="en-US"/>
        </w:rPr>
        <w:t>especially</w:t>
      </w:r>
      <w:r>
        <w:rPr>
          <w:rFonts w:cs="Arial"/>
        </w:rPr>
        <w:t xml:space="preserve"> more vulnerable groups such as people with a disability, children, Aboriginal and Torres Strait Islander peoples, and people from a low socio-economic background.</w:t>
      </w:r>
    </w:p>
    <w:p w:rsidR="00FB5BB8" w:rsidRDefault="00FB5BB8" w:rsidP="00FB5BB8">
      <w:pPr>
        <w:rPr>
          <w:rFonts w:cs="Arial"/>
        </w:rPr>
      </w:pPr>
      <w:r>
        <w:rPr>
          <w:rFonts w:cs="Arial"/>
        </w:rPr>
        <w:t>Given the prevalence of these concerns, the Commissioner met with legal service organisat</w:t>
      </w:r>
      <w:r w:rsidR="00CD1868">
        <w:rPr>
          <w:rFonts w:cs="Arial"/>
        </w:rPr>
        <w:t>ions in most states/territories</w:t>
      </w:r>
      <w:r>
        <w:rPr>
          <w:rFonts w:cs="Arial"/>
        </w:rPr>
        <w:t xml:space="preserve"> and also visited correctional centres in Derby (WA), and Townsville and Brisbane (Queensland).</w:t>
      </w:r>
    </w:p>
    <w:p w:rsidR="00FB5BB8" w:rsidRDefault="00FB5BB8" w:rsidP="00FB5BB8">
      <w:pPr>
        <w:rPr>
          <w:rFonts w:cs="Arial"/>
        </w:rPr>
      </w:pPr>
      <w:r>
        <w:rPr>
          <w:rFonts w:cs="Arial"/>
        </w:rPr>
        <w:t>Mandatory sentencing occurs in all Australian jurisdictions (including federal) except Tasmania and the ACT.</w:t>
      </w:r>
      <w:r w:rsidR="007037AD">
        <w:rPr>
          <w:rStyle w:val="EndnoteReference"/>
          <w:rFonts w:cs="Arial"/>
        </w:rPr>
        <w:endnoteReference w:id="65"/>
      </w:r>
      <w:r>
        <w:rPr>
          <w:rFonts w:cs="Arial"/>
        </w:rPr>
        <w:t xml:space="preserve"> As noted by the Law Council of Australia:</w:t>
      </w:r>
    </w:p>
    <w:p w:rsidR="00FB5BB8" w:rsidRDefault="00FB5BB8" w:rsidP="00FB5BB8">
      <w:pPr>
        <w:ind w:left="720"/>
        <w:rPr>
          <w:rFonts w:cs="Arial"/>
          <w:sz w:val="22"/>
          <w:szCs w:val="22"/>
        </w:rPr>
      </w:pPr>
      <w:r w:rsidRPr="007037AD">
        <w:rPr>
          <w:rFonts w:cs="Arial"/>
          <w:sz w:val="22"/>
          <w:szCs w:val="22"/>
        </w:rPr>
        <w:t>…</w:t>
      </w:r>
      <w:r w:rsidR="0082063D">
        <w:rPr>
          <w:rFonts w:cs="Arial"/>
          <w:sz w:val="22"/>
          <w:szCs w:val="22"/>
        </w:rPr>
        <w:t xml:space="preserve"> [M]</w:t>
      </w:r>
      <w:r w:rsidRPr="007037AD">
        <w:rPr>
          <w:rFonts w:cs="Arial"/>
          <w:sz w:val="22"/>
          <w:szCs w:val="22"/>
        </w:rPr>
        <w:t>andatory sentencing laws are arbitrary and limit an individual’s right to a fair trial by preventing judges from imposing an appropriate penalty based on the unique circumstance of each offence and offender… Such regimes are costly and there is a lack of evidence as to their effectiveness as a deterrent or their ability to reduce crime.</w:t>
      </w:r>
      <w:r w:rsidR="007037AD">
        <w:rPr>
          <w:rStyle w:val="EndnoteReference"/>
          <w:rFonts w:cs="Arial"/>
          <w:szCs w:val="22"/>
        </w:rPr>
        <w:endnoteReference w:id="66"/>
      </w:r>
    </w:p>
    <w:p w:rsidR="00FB5BB8" w:rsidRDefault="00FB5BB8" w:rsidP="00FB5BB8">
      <w:pPr>
        <w:rPr>
          <w:rFonts w:cs="Arial"/>
        </w:rPr>
      </w:pPr>
      <w:r>
        <w:rPr>
          <w:rFonts w:cs="Arial"/>
        </w:rPr>
        <w:t>The consequences of these laws are deeply concerning. Meetings with the Central Australian Aboriginal Legal Aid Service, North Australian Aboriginal Justice Agency and Aboriginal and Torres Strait Islander Legal Service highlighted the dire effects these laws are having on Aboriginal and Torres Strait Islander communities. These outcomes have been reported by my colleague Mick Gooda, the Aboriginal and Torres Strait Islander Social Justice Commissioner, in his annual statutory reports to federal Parliament.</w:t>
      </w:r>
      <w:r w:rsidR="00CD1868">
        <w:rPr>
          <w:rStyle w:val="EndnoteReference"/>
          <w:rFonts w:cs="Arial"/>
        </w:rPr>
        <w:endnoteReference w:id="67"/>
      </w:r>
    </w:p>
    <w:p w:rsidR="00127C33" w:rsidRPr="00E210DD" w:rsidRDefault="00FB5BB8" w:rsidP="00B74976">
      <w:pPr>
        <w:rPr>
          <w:rFonts w:cs="Arial"/>
        </w:rPr>
      </w:pPr>
      <w:r>
        <w:rPr>
          <w:rFonts w:cs="Arial"/>
        </w:rPr>
        <w:lastRenderedPageBreak/>
        <w:t>The Commissioner will continue to support the development of policies that seek to lower incarceration rates</w:t>
      </w:r>
      <w:r w:rsidR="00B91548">
        <w:rPr>
          <w:rFonts w:cs="Arial"/>
        </w:rPr>
        <w:t xml:space="preserve"> and provide alternatives to detention</w:t>
      </w:r>
      <w:r>
        <w:rPr>
          <w:rFonts w:cs="Arial"/>
        </w:rPr>
        <w:t>.</w:t>
      </w:r>
    </w:p>
    <w:p w:rsidR="00B74976" w:rsidRPr="00950FD1" w:rsidRDefault="00B74976" w:rsidP="00950FD1">
      <w:pPr>
        <w:pStyle w:val="Heading4"/>
        <w:numPr>
          <w:ilvl w:val="0"/>
          <w:numId w:val="0"/>
        </w:numPr>
        <w:ind w:left="851" w:hanging="851"/>
        <w:rPr>
          <w:i/>
        </w:rPr>
      </w:pPr>
      <w:bookmarkStart w:id="229" w:name="_Toc413932302"/>
      <w:r w:rsidRPr="00950FD1">
        <w:rPr>
          <w:i/>
        </w:rPr>
        <w:t>Denial of liberty for people with mental health issues</w:t>
      </w:r>
      <w:bookmarkEnd w:id="229"/>
    </w:p>
    <w:p w:rsidR="00E210DD" w:rsidRDefault="00E210DD" w:rsidP="00E210DD">
      <w:pPr>
        <w:rPr>
          <w:rFonts w:cs="Arial"/>
        </w:rPr>
      </w:pPr>
      <w:r>
        <w:rPr>
          <w:rFonts w:cs="Arial"/>
        </w:rPr>
        <w:t xml:space="preserve">Mental health and its implications for so many members of our community was a recurring theme throughout the consultation. </w:t>
      </w:r>
      <w:r w:rsidR="00907FF8">
        <w:rPr>
          <w:rFonts w:cs="Arial"/>
        </w:rPr>
        <w:t xml:space="preserve">In a number of cases, </w:t>
      </w:r>
      <w:r>
        <w:rPr>
          <w:rFonts w:cs="Arial"/>
        </w:rPr>
        <w:t xml:space="preserve">reports </w:t>
      </w:r>
      <w:r w:rsidR="00F035E0">
        <w:rPr>
          <w:rFonts w:cs="Arial"/>
        </w:rPr>
        <w:t>were made about</w:t>
      </w:r>
      <w:r>
        <w:rPr>
          <w:rFonts w:cs="Arial"/>
        </w:rPr>
        <w:t xml:space="preserve"> individuals with mental health issues being denied their liberty through long-term seclusion and restraint. While these are highly complex situations for the individuals, their families and the support services, these outcomes potentially breach an individual’s right to freedom from arbitrary detention. </w:t>
      </w:r>
    </w:p>
    <w:p w:rsidR="00E210DD" w:rsidRDefault="00912D65" w:rsidP="00B74976">
      <w:pPr>
        <w:rPr>
          <w:rFonts w:cs="Arial"/>
        </w:rPr>
      </w:pPr>
      <w:r>
        <w:rPr>
          <w:rFonts w:cs="Arial"/>
        </w:rPr>
        <w:t xml:space="preserve">As part of his future work, the Human Rights Commissioner will seek to work with relevant organisations to examine </w:t>
      </w:r>
      <w:r w:rsidR="00E210DD">
        <w:rPr>
          <w:rFonts w:cs="Arial"/>
        </w:rPr>
        <w:t>the denial of liberty for people with mental health issues.</w:t>
      </w:r>
    </w:p>
    <w:p w:rsidR="00311AE9" w:rsidRDefault="00311AE9" w:rsidP="00311AE9">
      <w:pPr>
        <w:pStyle w:val="Heading2"/>
        <w:numPr>
          <w:ilvl w:val="0"/>
          <w:numId w:val="0"/>
        </w:numPr>
        <w:ind w:left="851" w:hanging="851"/>
      </w:pPr>
      <w:bookmarkStart w:id="230" w:name="_Toc413932303"/>
      <w:r>
        <w:t>Euthanasia</w:t>
      </w:r>
      <w:bookmarkEnd w:id="230"/>
    </w:p>
    <w:p w:rsidR="00311AE9" w:rsidRDefault="00311AE9" w:rsidP="00311AE9">
      <w:pPr>
        <w:rPr>
          <w:rFonts w:cs="Arial"/>
        </w:rPr>
      </w:pPr>
      <w:r>
        <w:rPr>
          <w:rFonts w:cs="Arial"/>
        </w:rPr>
        <w:t xml:space="preserve">At several public meetings and in submissions, issues were discussed that </w:t>
      </w:r>
      <w:r>
        <w:t>reflect our right to choose how and when we die.</w:t>
      </w:r>
      <w:r w:rsidR="00601A4B">
        <w:rPr>
          <w:rFonts w:cs="Arial"/>
        </w:rPr>
        <w:t xml:space="preserve"> For example</w:t>
      </w:r>
      <w:r>
        <w:rPr>
          <w:rFonts w:cs="Arial"/>
        </w:rPr>
        <w:t>:</w:t>
      </w:r>
    </w:p>
    <w:p w:rsidR="00311AE9" w:rsidRDefault="00311AE9" w:rsidP="00311AE9">
      <w:pPr>
        <w:autoSpaceDE w:val="0"/>
        <w:autoSpaceDN w:val="0"/>
        <w:adjustRightInd w:val="0"/>
        <w:spacing w:before="0" w:after="0"/>
        <w:ind w:left="720"/>
        <w:rPr>
          <w:rFonts w:cs="Arial"/>
          <w:bCs/>
          <w:i/>
          <w:sz w:val="22"/>
          <w:szCs w:val="22"/>
        </w:rPr>
      </w:pPr>
      <w:r w:rsidRPr="00FE75F5">
        <w:rPr>
          <w:rFonts w:cs="Arial"/>
          <w:bCs/>
          <w:i/>
          <w:sz w:val="22"/>
          <w:szCs w:val="22"/>
        </w:rPr>
        <w:t xml:space="preserve">In the </w:t>
      </w:r>
      <w:r w:rsidRPr="00D47416">
        <w:rPr>
          <w:rFonts w:cs="Arial"/>
          <w:i/>
          <w:sz w:val="22"/>
          <w:szCs w:val="22"/>
        </w:rPr>
        <w:t>instance</w:t>
      </w:r>
      <w:r w:rsidRPr="00FE75F5">
        <w:rPr>
          <w:rFonts w:cs="Arial"/>
          <w:bCs/>
          <w:i/>
          <w:sz w:val="22"/>
          <w:szCs w:val="22"/>
        </w:rPr>
        <w:t xml:space="preserve"> where death is the conclusion of a deliberate, carefully reasoned decision, either on the part of the person concerned or on the part of a court of justice, that decision should be implemented with a maximum of humanity and as least pain, stress and </w:t>
      </w:r>
      <w:r>
        <w:rPr>
          <w:rFonts w:cs="Arial"/>
          <w:bCs/>
          <w:i/>
          <w:sz w:val="22"/>
          <w:szCs w:val="22"/>
        </w:rPr>
        <w:t>suffering</w:t>
      </w:r>
      <w:r w:rsidRPr="00F02E6F">
        <w:rPr>
          <w:rFonts w:cs="Arial"/>
          <w:bCs/>
          <w:i/>
          <w:sz w:val="22"/>
          <w:szCs w:val="22"/>
        </w:rPr>
        <w:t xml:space="preserve"> </w:t>
      </w:r>
      <w:r w:rsidRPr="00FE75F5">
        <w:rPr>
          <w:rFonts w:cs="Arial"/>
          <w:bCs/>
          <w:i/>
          <w:sz w:val="22"/>
          <w:szCs w:val="22"/>
        </w:rPr>
        <w:t>as modern science can allow. The best possible conditions of euthanasia</w:t>
      </w:r>
      <w:r>
        <w:rPr>
          <w:rFonts w:cs="Arial"/>
          <w:bCs/>
          <w:i/>
          <w:sz w:val="22"/>
          <w:szCs w:val="22"/>
        </w:rPr>
        <w:t xml:space="preserve"> </w:t>
      </w:r>
      <w:r w:rsidRPr="00FE75F5">
        <w:rPr>
          <w:rFonts w:cs="Arial"/>
          <w:bCs/>
          <w:i/>
          <w:sz w:val="22"/>
          <w:szCs w:val="22"/>
        </w:rPr>
        <w:t>… should be provided in all instances, irrespective of whether the decision to terminate life is taken by the person himself or by a court of justice</w:t>
      </w:r>
      <w:r>
        <w:rPr>
          <w:rFonts w:cs="Arial"/>
          <w:bCs/>
          <w:i/>
          <w:sz w:val="22"/>
          <w:szCs w:val="22"/>
        </w:rPr>
        <w:t>.</w:t>
      </w:r>
    </w:p>
    <w:p w:rsidR="00311AE9" w:rsidRDefault="00311AE9" w:rsidP="00311AE9">
      <w:pPr>
        <w:autoSpaceDE w:val="0"/>
        <w:autoSpaceDN w:val="0"/>
        <w:adjustRightInd w:val="0"/>
        <w:spacing w:before="0" w:after="0"/>
        <w:ind w:left="720"/>
        <w:rPr>
          <w:rFonts w:cs="Arial"/>
          <w:bCs/>
          <w:i/>
          <w:sz w:val="22"/>
          <w:szCs w:val="22"/>
        </w:rPr>
      </w:pPr>
    </w:p>
    <w:p w:rsidR="00311AE9" w:rsidRDefault="00311AE9" w:rsidP="00311AE9">
      <w:pPr>
        <w:autoSpaceDE w:val="0"/>
        <w:autoSpaceDN w:val="0"/>
        <w:adjustRightInd w:val="0"/>
        <w:spacing w:before="0" w:after="0"/>
        <w:ind w:left="720"/>
        <w:rPr>
          <w:rFonts w:cs="Arial"/>
          <w:bCs/>
          <w:i/>
          <w:sz w:val="22"/>
          <w:szCs w:val="22"/>
        </w:rPr>
      </w:pPr>
      <w:r>
        <w:rPr>
          <w:rFonts w:cs="Arial"/>
          <w:bCs/>
          <w:i/>
          <w:sz w:val="22"/>
          <w:szCs w:val="22"/>
        </w:rPr>
        <w:t>…</w:t>
      </w:r>
    </w:p>
    <w:p w:rsidR="00311AE9" w:rsidRDefault="00311AE9" w:rsidP="00311AE9">
      <w:pPr>
        <w:autoSpaceDE w:val="0"/>
        <w:autoSpaceDN w:val="0"/>
        <w:adjustRightInd w:val="0"/>
        <w:spacing w:before="0" w:after="0"/>
        <w:ind w:left="720"/>
        <w:rPr>
          <w:rFonts w:cs="Arial"/>
          <w:bCs/>
          <w:sz w:val="22"/>
          <w:szCs w:val="22"/>
        </w:rPr>
      </w:pPr>
    </w:p>
    <w:p w:rsidR="00311AE9" w:rsidRPr="00014249" w:rsidRDefault="00311AE9" w:rsidP="00311AE9">
      <w:pPr>
        <w:autoSpaceDE w:val="0"/>
        <w:autoSpaceDN w:val="0"/>
        <w:adjustRightInd w:val="0"/>
        <w:spacing w:before="0" w:after="0"/>
        <w:ind w:left="720"/>
        <w:rPr>
          <w:sz w:val="22"/>
          <w:szCs w:val="22"/>
        </w:rPr>
      </w:pPr>
      <w:r w:rsidRPr="00800CB1">
        <w:rPr>
          <w:rFonts w:cs="Arial"/>
          <w:bCs/>
          <w:i/>
          <w:sz w:val="22"/>
          <w:szCs w:val="22"/>
        </w:rPr>
        <w:t>Euthanasia</w:t>
      </w:r>
      <w:r>
        <w:rPr>
          <w:rFonts w:cs="Arial"/>
          <w:bCs/>
          <w:i/>
          <w:sz w:val="22"/>
          <w:szCs w:val="22"/>
        </w:rPr>
        <w:t xml:space="preserve"> </w:t>
      </w:r>
      <w:r>
        <w:rPr>
          <w:i/>
          <w:sz w:val="22"/>
          <w:szCs w:val="22"/>
          <w:lang w:val="en-US"/>
        </w:rPr>
        <w:t xml:space="preserve">… </w:t>
      </w:r>
      <w:r w:rsidRPr="00E7459B">
        <w:rPr>
          <w:i/>
          <w:sz w:val="22"/>
          <w:szCs w:val="22"/>
        </w:rPr>
        <w:t xml:space="preserve">has to be the personal decision of the individual exercising his free will without, or in </w:t>
      </w:r>
      <w:r w:rsidRPr="00D47416">
        <w:rPr>
          <w:rFonts w:cs="Arial"/>
          <w:bCs/>
          <w:i/>
          <w:sz w:val="22"/>
          <w:szCs w:val="22"/>
        </w:rPr>
        <w:t>spite</w:t>
      </w:r>
      <w:r w:rsidRPr="00E7459B">
        <w:rPr>
          <w:i/>
          <w:sz w:val="22"/>
          <w:szCs w:val="22"/>
        </w:rPr>
        <w:t xml:space="preserve"> of, any outside influence…</w:t>
      </w:r>
      <w:r>
        <w:rPr>
          <w:sz w:val="22"/>
          <w:szCs w:val="22"/>
        </w:rPr>
        <w:t xml:space="preserve"> Rodney Crisp submission</w:t>
      </w:r>
    </w:p>
    <w:p w:rsidR="00311AE9" w:rsidRPr="00311AE9" w:rsidRDefault="00311AE9" w:rsidP="00B74976">
      <w:r>
        <w:t>While these issues were raised during the consultation on human rights, they also have significant public health and criminal law implications.</w:t>
      </w:r>
    </w:p>
    <w:p w:rsidR="00B74976" w:rsidRPr="002C73EE" w:rsidRDefault="00B91548" w:rsidP="00300FEC">
      <w:pPr>
        <w:pStyle w:val="Heading2"/>
        <w:numPr>
          <w:ilvl w:val="0"/>
          <w:numId w:val="0"/>
        </w:numPr>
      </w:pPr>
      <w:bookmarkStart w:id="231" w:name="_Toc413932304"/>
      <w:r>
        <w:t>C</w:t>
      </w:r>
      <w:r w:rsidR="00B74976" w:rsidRPr="002C73EE">
        <w:t xml:space="preserve">harter of </w:t>
      </w:r>
      <w:r w:rsidR="00731A91" w:rsidRPr="002C73EE">
        <w:t xml:space="preserve">human </w:t>
      </w:r>
      <w:r w:rsidR="00B74976" w:rsidRPr="002C73EE">
        <w:t>rights</w:t>
      </w:r>
      <w:bookmarkEnd w:id="231"/>
    </w:p>
    <w:p w:rsidR="007E3882" w:rsidRPr="007E3882" w:rsidRDefault="007E3882" w:rsidP="007E3882">
      <w:pPr>
        <w:shd w:val="clear" w:color="auto" w:fill="FFFFFF"/>
        <w:spacing w:before="180" w:after="100" w:afterAutospacing="1"/>
      </w:pPr>
      <w:r>
        <w:t>Human rights are protected in Australia through a myriad of federal, state and territory laws, policies and practice, as well as through the common law (that is, decisions of the courts) and culture.</w:t>
      </w:r>
      <w:r>
        <w:rPr>
          <w:rStyle w:val="EndnoteReference"/>
        </w:rPr>
        <w:endnoteReference w:id="68"/>
      </w:r>
      <w:r>
        <w:t xml:space="preserve"> Australia has not fully implemented all of its commitments in international human rights treaties, such as through a constitutional or statutory charter of human rights at the national level.</w:t>
      </w:r>
      <w:r>
        <w:rPr>
          <w:rStyle w:val="EndnoteReference"/>
        </w:rPr>
        <w:endnoteReference w:id="69"/>
      </w:r>
    </w:p>
    <w:p w:rsidR="00E210DD" w:rsidRDefault="00E210DD" w:rsidP="00E210DD">
      <w:pPr>
        <w:rPr>
          <w:rFonts w:cs="Arial"/>
        </w:rPr>
      </w:pPr>
      <w:r>
        <w:rPr>
          <w:rFonts w:cs="Arial"/>
        </w:rPr>
        <w:t>The potenti</w:t>
      </w:r>
      <w:r w:rsidR="00B91548">
        <w:rPr>
          <w:rFonts w:cs="Arial"/>
        </w:rPr>
        <w:t xml:space="preserve">al to realise a federal </w:t>
      </w:r>
      <w:r>
        <w:rPr>
          <w:rFonts w:cs="Arial"/>
        </w:rPr>
        <w:t xml:space="preserve">charter of human rights </w:t>
      </w:r>
      <w:r w:rsidR="00B91548">
        <w:rPr>
          <w:rFonts w:cs="Arial"/>
        </w:rPr>
        <w:t xml:space="preserve">(or Human Rights Act as it is commonly referred to) </w:t>
      </w:r>
      <w:r>
        <w:rPr>
          <w:rFonts w:cs="Arial"/>
        </w:rPr>
        <w:t>in Australia was discussed at most public meetings. Arguments were proposed</w:t>
      </w:r>
      <w:r w:rsidR="00F035E0">
        <w:rPr>
          <w:rFonts w:cs="Arial"/>
        </w:rPr>
        <w:t>, for and against, a charter of rights</w:t>
      </w:r>
      <w:r>
        <w:rPr>
          <w:rFonts w:cs="Arial"/>
        </w:rPr>
        <w:t>.</w:t>
      </w:r>
    </w:p>
    <w:p w:rsidR="00E210DD" w:rsidRDefault="00E210DD" w:rsidP="00E210DD">
      <w:pPr>
        <w:rPr>
          <w:rFonts w:cs="Arial"/>
        </w:rPr>
      </w:pPr>
      <w:r>
        <w:rPr>
          <w:rFonts w:cs="Arial"/>
        </w:rPr>
        <w:t xml:space="preserve">Extensive consultation has recently occurred at both federal and state levels in relation to implementing human rights charters. This includes the comprehensive </w:t>
      </w:r>
      <w:r>
        <w:rPr>
          <w:rFonts w:cs="Arial"/>
        </w:rPr>
        <w:lastRenderedPageBreak/>
        <w:t>National Human Rights Consultation process</w:t>
      </w:r>
      <w:r w:rsidR="00A14577">
        <w:rPr>
          <w:rFonts w:cs="Arial"/>
        </w:rPr>
        <w:t xml:space="preserve"> that occurred during 2008-10</w:t>
      </w:r>
      <w:r w:rsidR="0000006A">
        <w:rPr>
          <w:rFonts w:cs="Arial"/>
        </w:rPr>
        <w:t xml:space="preserve"> and supported the realisation of a human rights charter</w:t>
      </w:r>
      <w:r>
        <w:rPr>
          <w:rFonts w:cs="Arial"/>
        </w:rPr>
        <w:t>.</w:t>
      </w:r>
      <w:r>
        <w:rPr>
          <w:rStyle w:val="EndnoteReference"/>
          <w:rFonts w:cs="Arial"/>
        </w:rPr>
        <w:endnoteReference w:id="70"/>
      </w:r>
    </w:p>
    <w:p w:rsidR="008B132C" w:rsidRDefault="008B132C" w:rsidP="008B132C">
      <w:pPr>
        <w:rPr>
          <w:rFonts w:cs="Arial"/>
        </w:rPr>
      </w:pPr>
      <w:r>
        <w:rPr>
          <w:rFonts w:cs="Arial"/>
        </w:rPr>
        <w:t>One of the claimed benefits of a charter of human rights is its indirect capacity to educate bureaucracies about human rights. As noted by the Law Institute of Victoria:</w:t>
      </w:r>
    </w:p>
    <w:p w:rsidR="008B132C" w:rsidRPr="0000006A" w:rsidRDefault="008B132C" w:rsidP="008B132C">
      <w:pPr>
        <w:ind w:left="720"/>
        <w:rPr>
          <w:rFonts w:cs="Arial"/>
          <w:sz w:val="22"/>
          <w:szCs w:val="22"/>
        </w:rPr>
      </w:pPr>
      <w:r w:rsidRPr="0000006A">
        <w:rPr>
          <w:rFonts w:cs="Arial"/>
          <w:i/>
          <w:sz w:val="22"/>
          <w:szCs w:val="22"/>
        </w:rPr>
        <w:t>The Victorian Charter of Human Rights and Responsibilities 2006 … has …  generated a greater awareness of human rights within public bodies – for example, the rights protected by the … Charter are incorporated in key policies through guidelines and initiatives, and in business plans for many public authorities.</w:t>
      </w:r>
      <w:r w:rsidRPr="0000006A">
        <w:rPr>
          <w:rFonts w:cs="Arial"/>
          <w:sz w:val="22"/>
          <w:szCs w:val="22"/>
        </w:rPr>
        <w:t xml:space="preserve"> Law Institute of Victoria submission</w:t>
      </w:r>
    </w:p>
    <w:p w:rsidR="008B132C" w:rsidRPr="00820D03" w:rsidRDefault="008B132C" w:rsidP="008B132C">
      <w:pPr>
        <w:pStyle w:val="CommentText"/>
        <w:rPr>
          <w:sz w:val="24"/>
          <w:szCs w:val="24"/>
        </w:rPr>
      </w:pPr>
      <w:r w:rsidRPr="00820D03">
        <w:rPr>
          <w:sz w:val="24"/>
          <w:szCs w:val="24"/>
        </w:rPr>
        <w:t xml:space="preserve">At the federal level, </w:t>
      </w:r>
      <w:r w:rsidR="00820D03">
        <w:rPr>
          <w:sz w:val="24"/>
          <w:szCs w:val="24"/>
        </w:rPr>
        <w:t xml:space="preserve">the </w:t>
      </w:r>
      <w:r w:rsidR="00820D03" w:rsidRPr="002D07F0">
        <w:rPr>
          <w:i/>
          <w:sz w:val="24"/>
          <w:szCs w:val="24"/>
        </w:rPr>
        <w:t>Human Rights (Parliamentary Scrutiny) Act 2011</w:t>
      </w:r>
      <w:r w:rsidR="00820D03">
        <w:rPr>
          <w:sz w:val="24"/>
          <w:szCs w:val="24"/>
        </w:rPr>
        <w:t xml:space="preserve"> (Cth) </w:t>
      </w:r>
      <w:r w:rsidR="002D07F0">
        <w:rPr>
          <w:sz w:val="24"/>
          <w:szCs w:val="24"/>
        </w:rPr>
        <w:t xml:space="preserve">requires </w:t>
      </w:r>
      <w:r w:rsidRPr="00820D03">
        <w:rPr>
          <w:sz w:val="24"/>
          <w:szCs w:val="24"/>
        </w:rPr>
        <w:t>al</w:t>
      </w:r>
      <w:r w:rsidR="002D07F0">
        <w:rPr>
          <w:sz w:val="24"/>
          <w:szCs w:val="24"/>
        </w:rPr>
        <w:t>l new legislative proposals to</w:t>
      </w:r>
      <w:r w:rsidRPr="00820D03">
        <w:rPr>
          <w:sz w:val="24"/>
          <w:szCs w:val="24"/>
        </w:rPr>
        <w:t xml:space="preserve"> be accompanied by a Statement of Compatibility with Human Rights which is considered by the Joint Parliamentary Committee on Human Rights. This places responsibility on our elected representatives to consider the impact of new laws on human rights and fundamental freedoms, and to make judgements about appropriately balancing comp</w:t>
      </w:r>
      <w:r w:rsidR="002D07F0">
        <w:rPr>
          <w:sz w:val="24"/>
          <w:szCs w:val="24"/>
        </w:rPr>
        <w:t>eting human rights issues. The C</w:t>
      </w:r>
      <w:r w:rsidRPr="00820D03">
        <w:rPr>
          <w:sz w:val="24"/>
          <w:szCs w:val="24"/>
        </w:rPr>
        <w:t>ommittee process enjoys bi-partisan support.</w:t>
      </w:r>
    </w:p>
    <w:p w:rsidR="008B132C" w:rsidRDefault="00311AE9" w:rsidP="00E210DD">
      <w:pPr>
        <w:rPr>
          <w:rFonts w:cs="Arial"/>
        </w:rPr>
      </w:pPr>
      <w:r>
        <w:t xml:space="preserve">At this stage, </w:t>
      </w:r>
      <w:r w:rsidR="00976A4D">
        <w:t xml:space="preserve">the role of </w:t>
      </w:r>
      <w:r w:rsidR="002D07F0">
        <w:t>a charter of r</w:t>
      </w:r>
      <w:r w:rsidR="008B132C">
        <w:t xml:space="preserve">ights is </w:t>
      </w:r>
      <w:r w:rsidR="00976A4D">
        <w:t>contested</w:t>
      </w:r>
      <w:r w:rsidR="00601A4B">
        <w:t xml:space="preserve">, particularly given these processes </w:t>
      </w:r>
      <w:r w:rsidR="00976A4D">
        <w:t>already in place, and will not be pursued by the Human Rights Commissioner. An important claimed benefit of a charter of rights is its role in public education and educating bureaucracies. In response, the Commissioner will be focusing on human rights education.</w:t>
      </w:r>
    </w:p>
    <w:p w:rsidR="008B132C" w:rsidRPr="008B132C" w:rsidRDefault="008B132C" w:rsidP="008B132C">
      <w:pPr>
        <w:pStyle w:val="Heading2"/>
        <w:numPr>
          <w:ilvl w:val="0"/>
          <w:numId w:val="0"/>
        </w:numPr>
      </w:pPr>
      <w:bookmarkStart w:id="232" w:name="_Toc413932305"/>
      <w:r>
        <w:t>Human rights education</w:t>
      </w:r>
      <w:bookmarkEnd w:id="232"/>
    </w:p>
    <w:p w:rsidR="006709EF" w:rsidRDefault="00E210DD" w:rsidP="004D12E4">
      <w:pPr>
        <w:rPr>
          <w:rFonts w:cs="Arial"/>
        </w:rPr>
      </w:pPr>
      <w:r>
        <w:rPr>
          <w:rFonts w:cs="Arial"/>
        </w:rPr>
        <w:t>Human rights education is particularly important</w:t>
      </w:r>
      <w:r w:rsidR="0000006A">
        <w:rPr>
          <w:rFonts w:cs="Arial"/>
        </w:rPr>
        <w:t xml:space="preserve">. </w:t>
      </w:r>
      <w:r>
        <w:rPr>
          <w:rFonts w:cs="Arial"/>
        </w:rPr>
        <w:t>2015</w:t>
      </w:r>
      <w:r w:rsidR="0000006A">
        <w:rPr>
          <w:rFonts w:cs="Arial"/>
        </w:rPr>
        <w:t xml:space="preserve"> provides a unique opportunity </w:t>
      </w:r>
      <w:r w:rsidR="00B86B77">
        <w:rPr>
          <w:rFonts w:cs="Arial"/>
        </w:rPr>
        <w:t>to address human rights education with</w:t>
      </w:r>
      <w:r>
        <w:rPr>
          <w:rFonts w:cs="Arial"/>
        </w:rPr>
        <w:t xml:space="preserve"> the 800</w:t>
      </w:r>
      <w:r>
        <w:rPr>
          <w:rFonts w:cs="Arial"/>
          <w:vertAlign w:val="superscript"/>
        </w:rPr>
        <w:t>th</w:t>
      </w:r>
      <w:r>
        <w:rPr>
          <w:rFonts w:cs="Arial"/>
        </w:rPr>
        <w:t xml:space="preserve"> anniversary of the </w:t>
      </w:r>
      <w:r>
        <w:rPr>
          <w:rFonts w:cs="Arial"/>
          <w:i/>
        </w:rPr>
        <w:t>Magna Carta</w:t>
      </w:r>
      <w:r w:rsidR="00B86B77">
        <w:rPr>
          <w:rFonts w:cs="Arial"/>
        </w:rPr>
        <w:t xml:space="preserve"> (or </w:t>
      </w:r>
      <w:r>
        <w:rPr>
          <w:rFonts w:cs="Arial"/>
        </w:rPr>
        <w:t>the Great Charter)</w:t>
      </w:r>
      <w:r w:rsidR="00B86B77">
        <w:rPr>
          <w:rFonts w:cs="Arial"/>
        </w:rPr>
        <w:t xml:space="preserve"> on 15 June. The</w:t>
      </w:r>
      <w:r w:rsidR="006709EF">
        <w:rPr>
          <w:rFonts w:cs="Arial"/>
        </w:rPr>
        <w:t xml:space="preserve"> </w:t>
      </w:r>
      <w:r w:rsidR="006709EF" w:rsidRPr="006709EF">
        <w:rPr>
          <w:rFonts w:cs="Arial"/>
          <w:i/>
        </w:rPr>
        <w:t>Magna Carta</w:t>
      </w:r>
      <w:r w:rsidR="006709EF">
        <w:rPr>
          <w:rFonts w:cs="Arial"/>
        </w:rPr>
        <w:t>:</w:t>
      </w:r>
    </w:p>
    <w:p w:rsidR="006709EF" w:rsidRDefault="006709EF" w:rsidP="008D3832">
      <w:pPr>
        <w:numPr>
          <w:ilvl w:val="0"/>
          <w:numId w:val="47"/>
        </w:numPr>
        <w:rPr>
          <w:rFonts w:cs="Arial"/>
        </w:rPr>
      </w:pPr>
      <w:r>
        <w:rPr>
          <w:rFonts w:cs="Arial"/>
        </w:rPr>
        <w:t>established equality before the law</w:t>
      </w:r>
    </w:p>
    <w:p w:rsidR="006709EF" w:rsidRDefault="00B86B77" w:rsidP="008D3832">
      <w:pPr>
        <w:numPr>
          <w:ilvl w:val="0"/>
          <w:numId w:val="47"/>
        </w:numPr>
        <w:rPr>
          <w:rFonts w:cs="Arial"/>
        </w:rPr>
      </w:pPr>
      <w:r>
        <w:rPr>
          <w:rFonts w:cs="Arial"/>
        </w:rPr>
        <w:t>protected religious freed</w:t>
      </w:r>
      <w:r w:rsidR="006709EF">
        <w:rPr>
          <w:rFonts w:cs="Arial"/>
        </w:rPr>
        <w:t>om</w:t>
      </w:r>
    </w:p>
    <w:p w:rsidR="00A260F8" w:rsidRDefault="006709EF" w:rsidP="008D3832">
      <w:pPr>
        <w:numPr>
          <w:ilvl w:val="0"/>
          <w:numId w:val="47"/>
        </w:numPr>
        <w:rPr>
          <w:rFonts w:cs="Arial"/>
        </w:rPr>
      </w:pPr>
      <w:r>
        <w:rPr>
          <w:rFonts w:cs="Arial"/>
        </w:rPr>
        <w:t xml:space="preserve">provided </w:t>
      </w:r>
      <w:r w:rsidR="00A260F8">
        <w:rPr>
          <w:rFonts w:cs="Arial"/>
        </w:rPr>
        <w:t xml:space="preserve">some </w:t>
      </w:r>
      <w:r>
        <w:rPr>
          <w:rFonts w:cs="Arial"/>
        </w:rPr>
        <w:t xml:space="preserve">protection to the </w:t>
      </w:r>
      <w:r w:rsidR="00A260F8">
        <w:rPr>
          <w:rFonts w:cs="Arial"/>
        </w:rPr>
        <w:t xml:space="preserve">rights of women and </w:t>
      </w:r>
      <w:r w:rsidR="00B86B77">
        <w:rPr>
          <w:rFonts w:cs="Arial"/>
        </w:rPr>
        <w:t>property</w:t>
      </w:r>
    </w:p>
    <w:p w:rsidR="00A260F8" w:rsidRDefault="00A260F8" w:rsidP="008D3832">
      <w:pPr>
        <w:numPr>
          <w:ilvl w:val="0"/>
          <w:numId w:val="47"/>
        </w:numPr>
        <w:rPr>
          <w:rFonts w:cs="Arial"/>
        </w:rPr>
      </w:pPr>
      <w:r>
        <w:rPr>
          <w:rFonts w:cs="Arial"/>
        </w:rPr>
        <w:t>protected people from arbitrary detention</w:t>
      </w:r>
    </w:p>
    <w:p w:rsidR="006709EF" w:rsidRPr="00A260F8" w:rsidRDefault="00A260F8" w:rsidP="008D3832">
      <w:pPr>
        <w:numPr>
          <w:ilvl w:val="0"/>
          <w:numId w:val="47"/>
        </w:numPr>
        <w:rPr>
          <w:rFonts w:cs="Arial"/>
        </w:rPr>
      </w:pPr>
      <w:r>
        <w:rPr>
          <w:rFonts w:cs="Arial"/>
        </w:rPr>
        <w:t>established the rule of law</w:t>
      </w:r>
      <w:r w:rsidR="006C0BCB">
        <w:rPr>
          <w:rFonts w:cs="Arial"/>
        </w:rPr>
        <w:t>.</w:t>
      </w:r>
      <w:r w:rsidR="006C0BCB">
        <w:rPr>
          <w:rStyle w:val="EndnoteReference"/>
          <w:rFonts w:cs="Arial"/>
        </w:rPr>
        <w:endnoteReference w:id="71"/>
      </w:r>
      <w:r w:rsidR="006C0BCB">
        <w:rPr>
          <w:rFonts w:cs="Arial"/>
        </w:rPr>
        <w:t xml:space="preserve"> </w:t>
      </w:r>
    </w:p>
    <w:p w:rsidR="00E210DD" w:rsidRPr="00300FEC" w:rsidRDefault="00E210DD" w:rsidP="004D12E4">
      <w:pPr>
        <w:rPr>
          <w:rFonts w:cs="Arial"/>
        </w:rPr>
      </w:pPr>
      <w:r>
        <w:rPr>
          <w:rFonts w:cs="Arial"/>
        </w:rPr>
        <w:t xml:space="preserve">In the coming months, the Commission will be developing resources for Australian schools that explain the historical role of the </w:t>
      </w:r>
      <w:r>
        <w:rPr>
          <w:rFonts w:cs="Arial"/>
          <w:i/>
        </w:rPr>
        <w:t>Magna Carta</w:t>
      </w:r>
      <w:r>
        <w:rPr>
          <w:rFonts w:cs="Arial"/>
        </w:rPr>
        <w:t xml:space="preserve"> on our contemporary understanding of human rights.</w:t>
      </w:r>
    </w:p>
    <w:p w:rsidR="00C144A1" w:rsidRPr="00C144A1" w:rsidRDefault="004E6261" w:rsidP="00496784">
      <w:pPr>
        <w:pStyle w:val="Heading2"/>
        <w:numPr>
          <w:ilvl w:val="0"/>
          <w:numId w:val="0"/>
        </w:numPr>
        <w:ind w:left="851" w:hanging="851"/>
        <w:rPr>
          <w:lang w:val="en-US"/>
        </w:rPr>
      </w:pPr>
      <w:bookmarkStart w:id="233" w:name="_Toc413932306"/>
      <w:r>
        <w:rPr>
          <w:lang w:val="en-US"/>
        </w:rPr>
        <w:t xml:space="preserve">Exercising </w:t>
      </w:r>
      <w:r w:rsidRPr="00496784">
        <w:t>responsibilities</w:t>
      </w:r>
      <w:r>
        <w:rPr>
          <w:lang w:val="en-US"/>
        </w:rPr>
        <w:t xml:space="preserve"> and c</w:t>
      </w:r>
      <w:r w:rsidR="0000006A">
        <w:rPr>
          <w:lang w:val="en-US"/>
        </w:rPr>
        <w:t>ivil society</w:t>
      </w:r>
      <w:r>
        <w:rPr>
          <w:lang w:val="en-US"/>
        </w:rPr>
        <w:t xml:space="preserve"> action to advance</w:t>
      </w:r>
      <w:r w:rsidR="00300FEC">
        <w:rPr>
          <w:lang w:val="en-US"/>
        </w:rPr>
        <w:t xml:space="preserve"> </w:t>
      </w:r>
      <w:r w:rsidR="00C144A1" w:rsidRPr="00C144A1">
        <w:rPr>
          <w:lang w:val="en-US"/>
        </w:rPr>
        <w:t>human rights</w:t>
      </w:r>
      <w:bookmarkEnd w:id="233"/>
    </w:p>
    <w:p w:rsidR="00127C33" w:rsidRDefault="004D2D23" w:rsidP="00127C33">
      <w:pPr>
        <w:rPr>
          <w:rFonts w:cs="Arial"/>
        </w:rPr>
      </w:pPr>
      <w:r>
        <w:rPr>
          <w:rFonts w:cs="Arial"/>
        </w:rPr>
        <w:t xml:space="preserve">Participants in the consultation also stressed the importance of individuals exercising responsibilities with rights, and the role of civil society action to advance human </w:t>
      </w:r>
      <w:r>
        <w:rPr>
          <w:rFonts w:cs="Arial"/>
        </w:rPr>
        <w:lastRenderedPageBreak/>
        <w:t xml:space="preserve">rights. </w:t>
      </w:r>
      <w:r w:rsidR="00243211">
        <w:rPr>
          <w:rFonts w:cs="Arial"/>
        </w:rPr>
        <w:t>This approach focuses</w:t>
      </w:r>
      <w:r w:rsidR="00127C33">
        <w:rPr>
          <w:rFonts w:cs="Arial"/>
        </w:rPr>
        <w:t xml:space="preserve"> on the importance of cultural values and norms</w:t>
      </w:r>
      <w:r w:rsidR="00243211">
        <w:rPr>
          <w:rFonts w:cs="Arial"/>
        </w:rPr>
        <w:t xml:space="preserve"> in protecting people’s human rights</w:t>
      </w:r>
      <w:r w:rsidR="00127C33">
        <w:rPr>
          <w:rFonts w:cs="Arial"/>
        </w:rPr>
        <w:t xml:space="preserve">. </w:t>
      </w:r>
    </w:p>
    <w:p w:rsidR="00127C33" w:rsidRDefault="00243211" w:rsidP="00127C33">
      <w:pPr>
        <w:rPr>
          <w:rFonts w:cs="Arial"/>
        </w:rPr>
      </w:pPr>
      <w:r>
        <w:rPr>
          <w:rFonts w:cs="Arial"/>
        </w:rPr>
        <w:t>A consistent theme across consultation</w:t>
      </w:r>
      <w:r w:rsidR="00127C33">
        <w:rPr>
          <w:rFonts w:cs="Arial"/>
        </w:rPr>
        <w:t>s was the extent to which an individual can exer</w:t>
      </w:r>
      <w:r w:rsidR="0048033F">
        <w:rPr>
          <w:rFonts w:cs="Arial"/>
        </w:rPr>
        <w:t>cise their human right</w:t>
      </w:r>
      <w:r>
        <w:rPr>
          <w:rFonts w:cs="Arial"/>
        </w:rPr>
        <w:t>s</w:t>
      </w:r>
      <w:r w:rsidR="0048033F">
        <w:rPr>
          <w:rFonts w:cs="Arial"/>
        </w:rPr>
        <w:t xml:space="preserve"> before they encroach</w:t>
      </w:r>
      <w:r w:rsidR="00127C33">
        <w:rPr>
          <w:rFonts w:cs="Arial"/>
        </w:rPr>
        <w:t xml:space="preserve"> on the rights of others. </w:t>
      </w:r>
    </w:p>
    <w:p w:rsidR="00A14577" w:rsidRPr="00127C33" w:rsidRDefault="00127C33" w:rsidP="00127C33">
      <w:pPr>
        <w:rPr>
          <w:rFonts w:cs="Arial"/>
        </w:rPr>
      </w:pPr>
      <w:r>
        <w:rPr>
          <w:rFonts w:cs="Arial"/>
        </w:rPr>
        <w:t>The interrelationship between rights and responsibilities is articulated in the following quotes:</w:t>
      </w:r>
    </w:p>
    <w:p w:rsidR="00300FEC" w:rsidRDefault="00C144A1" w:rsidP="00C144A1">
      <w:pPr>
        <w:pStyle w:val="SubmissionNormal"/>
        <w:numPr>
          <w:ilvl w:val="0"/>
          <w:numId w:val="0"/>
        </w:numPr>
        <w:ind w:left="720"/>
        <w:rPr>
          <w:rFonts w:cs="Arial"/>
          <w:i/>
          <w:sz w:val="22"/>
          <w:szCs w:val="22"/>
        </w:rPr>
      </w:pPr>
      <w:r w:rsidRPr="000C15D6">
        <w:rPr>
          <w:rFonts w:cs="Arial"/>
          <w:i/>
          <w:sz w:val="22"/>
          <w:szCs w:val="22"/>
        </w:rPr>
        <w:t xml:space="preserve">Human rights come </w:t>
      </w:r>
      <w:r w:rsidRPr="000C15D6">
        <w:rPr>
          <w:i/>
          <w:sz w:val="22"/>
          <w:szCs w:val="22"/>
          <w:lang w:val="en-US"/>
        </w:rPr>
        <w:t>coupled</w:t>
      </w:r>
      <w:r w:rsidRPr="000C15D6">
        <w:rPr>
          <w:rFonts w:cs="Arial"/>
          <w:i/>
          <w:sz w:val="22"/>
          <w:szCs w:val="22"/>
        </w:rPr>
        <w:t xml:space="preserve"> with corresponding responsibilities in the sense that the ability to exercise one’s human rights is balanced against everyone else’s a</w:t>
      </w:r>
      <w:r>
        <w:rPr>
          <w:rFonts w:cs="Arial"/>
          <w:i/>
          <w:sz w:val="22"/>
          <w:szCs w:val="22"/>
        </w:rPr>
        <w:t>bility to exercise their rights</w:t>
      </w:r>
      <w:r w:rsidR="00300FEC">
        <w:rPr>
          <w:rFonts w:cs="Arial"/>
          <w:i/>
          <w:sz w:val="22"/>
          <w:szCs w:val="22"/>
        </w:rPr>
        <w:t>.</w:t>
      </w:r>
    </w:p>
    <w:p w:rsidR="006E21A5" w:rsidRDefault="006E21A5" w:rsidP="00C144A1">
      <w:pPr>
        <w:pStyle w:val="SubmissionNormal"/>
        <w:numPr>
          <w:ilvl w:val="0"/>
          <w:numId w:val="0"/>
        </w:numPr>
        <w:ind w:left="720"/>
        <w:rPr>
          <w:rFonts w:cs="Arial"/>
          <w:i/>
          <w:sz w:val="22"/>
          <w:szCs w:val="22"/>
        </w:rPr>
      </w:pPr>
      <w:r>
        <w:rPr>
          <w:rFonts w:cs="Arial"/>
          <w:i/>
          <w:sz w:val="22"/>
          <w:szCs w:val="22"/>
        </w:rPr>
        <w:t>…</w:t>
      </w:r>
    </w:p>
    <w:p w:rsidR="006E21A5" w:rsidRPr="006E21A5" w:rsidRDefault="006E21A5" w:rsidP="006E21A5">
      <w:pPr>
        <w:ind w:left="720"/>
        <w:rPr>
          <w:rFonts w:cs="Arial"/>
          <w:i/>
          <w:sz w:val="22"/>
          <w:szCs w:val="22"/>
        </w:rPr>
      </w:pPr>
      <w:r w:rsidRPr="006E21A5">
        <w:rPr>
          <w:rFonts w:cs="Arial"/>
          <w:i/>
          <w:sz w:val="22"/>
          <w:szCs w:val="22"/>
        </w:rPr>
        <w:t xml:space="preserve">Responsibilities are, of course, expressly incorporated in a number of the articulated rights; the right to freedom of expression, for example, incorporated “special duties and responsibilities”. However, responsibilities should not be legally enforceable in themselves, and recognition of human rights should not be dependent on the performance of certain responsibilities. Human rights vest in the individual regardless of how they act. </w:t>
      </w:r>
      <w:r w:rsidRPr="006E21A5">
        <w:rPr>
          <w:rFonts w:cs="Arial"/>
          <w:sz w:val="22"/>
          <w:szCs w:val="22"/>
        </w:rPr>
        <w:t>Public Interest Advocacy Centre submission</w:t>
      </w:r>
    </w:p>
    <w:p w:rsidR="006E21A5" w:rsidRDefault="006E21A5" w:rsidP="006E21A5">
      <w:pPr>
        <w:pStyle w:val="SubmissionNormal"/>
        <w:numPr>
          <w:ilvl w:val="0"/>
          <w:numId w:val="0"/>
        </w:numPr>
        <w:ind w:left="720"/>
        <w:rPr>
          <w:sz w:val="22"/>
          <w:szCs w:val="22"/>
          <w:lang w:val="en-US"/>
        </w:rPr>
      </w:pPr>
      <w:r w:rsidRPr="00E673DA">
        <w:rPr>
          <w:i/>
          <w:sz w:val="22"/>
          <w:szCs w:val="22"/>
          <w:lang w:val="en-US"/>
        </w:rPr>
        <w:t xml:space="preserve">The issue is that with rights comes responsibilities and Australia does not do enough </w:t>
      </w:r>
      <w:r w:rsidRPr="00174558">
        <w:rPr>
          <w:i/>
          <w:sz w:val="22"/>
          <w:szCs w:val="22"/>
          <w:lang w:val="en-US"/>
        </w:rPr>
        <w:t>to couple the two</w:t>
      </w:r>
      <w:r>
        <w:rPr>
          <w:sz w:val="22"/>
          <w:szCs w:val="22"/>
          <w:lang w:val="en-US"/>
        </w:rPr>
        <w:t>. Online survey response</w:t>
      </w:r>
    </w:p>
    <w:p w:rsidR="00EB5A24" w:rsidRPr="00EB5A24" w:rsidRDefault="006E21A5" w:rsidP="00EB5A24">
      <w:pPr>
        <w:ind w:left="720"/>
        <w:rPr>
          <w:rFonts w:cs="Arial"/>
          <w:i/>
          <w:sz w:val="22"/>
          <w:szCs w:val="22"/>
        </w:rPr>
      </w:pPr>
      <w:r w:rsidRPr="00950FD1">
        <w:rPr>
          <w:rFonts w:cs="Arial"/>
          <w:i/>
          <w:sz w:val="22"/>
          <w:szCs w:val="22"/>
        </w:rPr>
        <w:t xml:space="preserve">We should also as a community discuss placing our responsibilities squarely alongside our rights, so that all in our community have equal access to their rights. </w:t>
      </w:r>
      <w:r w:rsidRPr="00950FD1">
        <w:rPr>
          <w:rFonts w:cs="Arial"/>
          <w:sz w:val="22"/>
          <w:szCs w:val="22"/>
        </w:rPr>
        <w:t>Mary Voice submission</w:t>
      </w:r>
    </w:p>
    <w:p w:rsidR="00EB5A24" w:rsidRDefault="00EB5A24" w:rsidP="00EB5A24">
      <w:pPr>
        <w:rPr>
          <w:rFonts w:eastAsiaTheme="minorHAnsi" w:cs="Arial"/>
        </w:rPr>
      </w:pPr>
      <w:r>
        <w:rPr>
          <w:rFonts w:cs="Arial"/>
        </w:rPr>
        <w:t>Despite the commonly-held view that rights need to be coupled with responsibilities, there was little evidence or information provided throughout the consultations about how this could be best achieved. Some communities presented ‘strategies’ and ‘plans’ that evidenced their local efforts to promote a culture of respect and mindfulness toward vulnerable sections of the community. There was clearly a strong wish and will to promote a culture of responsibility from those that engaged with the consultation, but limited understanding about how it can be achieved. This, in part, reflects the community-up approach that is adopted and needed so it can take account of local issues and responses, but also because efforts to promote responsibility are rooted in informally taught cultures and values.</w:t>
      </w:r>
    </w:p>
    <w:p w:rsidR="00DD2C51" w:rsidRPr="006E21A5" w:rsidRDefault="006E21A5" w:rsidP="001C5BF1">
      <w:pPr>
        <w:rPr>
          <w:rFonts w:cs="Arial"/>
        </w:rPr>
      </w:pPr>
      <w:r>
        <w:rPr>
          <w:rFonts w:cs="Arial"/>
        </w:rPr>
        <w:t xml:space="preserve">Promoting </w:t>
      </w:r>
      <w:r w:rsidR="0082063D">
        <w:rPr>
          <w:rFonts w:cs="Arial"/>
        </w:rPr>
        <w:t xml:space="preserve">civil society </w:t>
      </w:r>
      <w:r>
        <w:rPr>
          <w:rFonts w:cs="Arial"/>
        </w:rPr>
        <w:t>action to address human rights and responsibilities will underpin the future work of the Human Rights Commissioner.</w:t>
      </w:r>
    </w:p>
    <w:p w:rsidR="006E21A5" w:rsidRDefault="006E21A5" w:rsidP="001C5BF1">
      <w:pPr>
        <w:rPr>
          <w:rFonts w:cs="Arial"/>
        </w:rPr>
      </w:pPr>
    </w:p>
    <w:p w:rsidR="000E22DC" w:rsidRPr="000E22DC" w:rsidRDefault="000E22DC" w:rsidP="000E22DC">
      <w:pPr>
        <w:pStyle w:val="Heading1"/>
        <w:numPr>
          <w:ilvl w:val="0"/>
          <w:numId w:val="15"/>
        </w:numPr>
        <w:tabs>
          <w:tab w:val="clear" w:pos="851"/>
          <w:tab w:val="num" w:pos="971"/>
        </w:tabs>
        <w:ind w:left="971"/>
        <w:rPr>
          <w:sz w:val="36"/>
          <w:szCs w:val="36"/>
        </w:rPr>
      </w:pPr>
      <w:bookmarkStart w:id="234" w:name="_Toc402873797"/>
      <w:bookmarkStart w:id="235" w:name="_Toc413932307"/>
      <w:r w:rsidRPr="000E22DC">
        <w:rPr>
          <w:sz w:val="36"/>
          <w:szCs w:val="36"/>
        </w:rPr>
        <w:t>Next steps – future areas of work</w:t>
      </w:r>
      <w:bookmarkEnd w:id="234"/>
      <w:bookmarkEnd w:id="235"/>
    </w:p>
    <w:p w:rsidR="00BB7077" w:rsidRDefault="009A1B31" w:rsidP="00BB7077">
      <w:pPr>
        <w:rPr>
          <w:rFonts w:cs="Arial"/>
        </w:rPr>
      </w:pPr>
      <w:r>
        <w:rPr>
          <w:rFonts w:cs="Arial"/>
        </w:rPr>
        <w:t xml:space="preserve">Based on the outcomes of </w:t>
      </w:r>
      <w:r w:rsidRPr="009A1B31">
        <w:rPr>
          <w:rFonts w:cs="Arial"/>
          <w:i/>
        </w:rPr>
        <w:t>Rights &amp; Responsibilities 2014</w:t>
      </w:r>
      <w:r>
        <w:rPr>
          <w:rFonts w:cs="Arial"/>
        </w:rPr>
        <w:t>, the Human Rights Commissioner will prioritise the following areas of work</w:t>
      </w:r>
      <w:r w:rsidR="00BB7077">
        <w:rPr>
          <w:rFonts w:cs="Arial"/>
        </w:rPr>
        <w:t xml:space="preserve"> in </w:t>
      </w:r>
      <w:r>
        <w:rPr>
          <w:rFonts w:cs="Arial"/>
        </w:rPr>
        <w:t>relation to human rights</w:t>
      </w:r>
      <w:r w:rsidR="0048033F">
        <w:rPr>
          <w:rFonts w:cs="Arial"/>
        </w:rPr>
        <w:t xml:space="preserve"> over the next four years</w:t>
      </w:r>
      <w:r w:rsidR="00BB7077">
        <w:rPr>
          <w:rFonts w:cs="Arial"/>
        </w:rPr>
        <w:t>:</w:t>
      </w:r>
    </w:p>
    <w:p w:rsidR="00680DAD" w:rsidRPr="00680DAD" w:rsidRDefault="00626026" w:rsidP="008D3832">
      <w:pPr>
        <w:numPr>
          <w:ilvl w:val="0"/>
          <w:numId w:val="46"/>
        </w:numPr>
        <w:rPr>
          <w:rFonts w:cs="Arial"/>
        </w:rPr>
      </w:pPr>
      <w:r w:rsidRPr="00626026">
        <w:rPr>
          <w:rFonts w:cs="Arial"/>
          <w:b/>
        </w:rPr>
        <w:lastRenderedPageBreak/>
        <w:t>F</w:t>
      </w:r>
      <w:r w:rsidR="00680DAD" w:rsidRPr="00626026">
        <w:rPr>
          <w:rFonts w:cs="Arial"/>
          <w:b/>
        </w:rPr>
        <w:t>reedom of expression</w:t>
      </w:r>
      <w:r w:rsidR="00680DAD">
        <w:rPr>
          <w:rFonts w:cs="Arial"/>
        </w:rPr>
        <w:t xml:space="preserve">: </w:t>
      </w:r>
      <w:r w:rsidR="007D401A">
        <w:rPr>
          <w:rFonts w:cs="Arial"/>
        </w:rPr>
        <w:t xml:space="preserve">the Commissioner will continue to explore </w:t>
      </w:r>
      <w:r w:rsidR="00680DAD">
        <w:t>potential reform</w:t>
      </w:r>
      <w:r w:rsidR="007D401A">
        <w:t>s in relation to current laws that restrict the right to</w:t>
      </w:r>
      <w:r w:rsidR="00680DAD">
        <w:t xml:space="preserve"> freedom of expression.</w:t>
      </w:r>
    </w:p>
    <w:p w:rsidR="00843665" w:rsidRPr="00843665" w:rsidRDefault="00386399" w:rsidP="008D3832">
      <w:pPr>
        <w:numPr>
          <w:ilvl w:val="0"/>
          <w:numId w:val="46"/>
        </w:numPr>
        <w:rPr>
          <w:lang w:val="en-US"/>
        </w:rPr>
      </w:pPr>
      <w:r>
        <w:rPr>
          <w:rFonts w:cs="Arial"/>
          <w:b/>
        </w:rPr>
        <w:t>Religious freedom</w:t>
      </w:r>
      <w:r w:rsidR="00680DAD" w:rsidRPr="00680DAD">
        <w:rPr>
          <w:rFonts w:cs="Arial"/>
        </w:rPr>
        <w:t>:</w:t>
      </w:r>
      <w:r w:rsidR="00680DAD">
        <w:rPr>
          <w:rFonts w:cs="Arial"/>
        </w:rPr>
        <w:t xml:space="preserve"> </w:t>
      </w:r>
      <w:r w:rsidR="007D401A">
        <w:rPr>
          <w:rFonts w:cs="Arial"/>
        </w:rPr>
        <w:t>the Commissioner will form a</w:t>
      </w:r>
      <w:r w:rsidR="009A1B31" w:rsidRPr="007D401A">
        <w:rPr>
          <w:lang w:val="en-US"/>
        </w:rPr>
        <w:t xml:space="preserve"> religious freedom roundtable</w:t>
      </w:r>
      <w:r w:rsidR="007D401A">
        <w:rPr>
          <w:lang w:val="en-US"/>
        </w:rPr>
        <w:t xml:space="preserve"> to</w:t>
      </w:r>
      <w:r w:rsidR="009A1B31" w:rsidRPr="007D401A">
        <w:rPr>
          <w:lang w:val="en-US"/>
        </w:rPr>
        <w:t xml:space="preserve"> bring together </w:t>
      </w:r>
      <w:r w:rsidR="00815A49">
        <w:rPr>
          <w:lang w:val="en-US"/>
        </w:rPr>
        <w:t>representatives of</w:t>
      </w:r>
      <w:r w:rsidR="00626026">
        <w:rPr>
          <w:lang w:val="en-US"/>
        </w:rPr>
        <w:t xml:space="preserve"> different</w:t>
      </w:r>
      <w:r w:rsidR="009A1B31" w:rsidRPr="007D401A">
        <w:rPr>
          <w:lang w:val="en-US"/>
        </w:rPr>
        <w:t xml:space="preserve"> faiths to facilitate how to advance religious freedom </w:t>
      </w:r>
      <w:r w:rsidR="00843665" w:rsidRPr="00843665">
        <w:rPr>
          <w:lang w:val="en-US"/>
        </w:rPr>
        <w:t>in Australia</w:t>
      </w:r>
      <w:r w:rsidR="00843665">
        <w:rPr>
          <w:lang w:val="en-US"/>
        </w:rPr>
        <w:t>.</w:t>
      </w:r>
    </w:p>
    <w:p w:rsidR="00B90A59" w:rsidRPr="00651178" w:rsidRDefault="007D401A" w:rsidP="008D3832">
      <w:pPr>
        <w:numPr>
          <w:ilvl w:val="0"/>
          <w:numId w:val="46"/>
        </w:numPr>
        <w:rPr>
          <w:rFonts w:cs="Arial"/>
        </w:rPr>
      </w:pPr>
      <w:r w:rsidRPr="004577AB">
        <w:rPr>
          <w:b/>
          <w:lang w:val="en-US"/>
        </w:rPr>
        <w:t>Property rights</w:t>
      </w:r>
      <w:r w:rsidR="00B914C0">
        <w:rPr>
          <w:lang w:val="en-US"/>
        </w:rPr>
        <w:t>: the Commissioner will jointly facilitate a</w:t>
      </w:r>
      <w:r w:rsidR="00B914C0">
        <w:rPr>
          <w:rFonts w:cs="Arial"/>
          <w:lang w:val="en-US"/>
        </w:rPr>
        <w:t xml:space="preserve"> high-level forum with the Aboriginal and Torres Strait Islander Social Justice Commissioner to discuss reforms that remove legal and regulatory barriers faced by native title holders seeking economic development.</w:t>
      </w:r>
    </w:p>
    <w:p w:rsidR="007D401A" w:rsidRPr="00D56F95" w:rsidRDefault="00B90A59" w:rsidP="008D3832">
      <w:pPr>
        <w:numPr>
          <w:ilvl w:val="0"/>
          <w:numId w:val="46"/>
        </w:numPr>
        <w:rPr>
          <w:rFonts w:cs="Arial"/>
        </w:rPr>
      </w:pPr>
      <w:r w:rsidRPr="004577AB">
        <w:rPr>
          <w:rFonts w:cs="Arial"/>
          <w:b/>
        </w:rPr>
        <w:t>Property rights</w:t>
      </w:r>
      <w:r>
        <w:rPr>
          <w:rFonts w:cs="Arial"/>
        </w:rPr>
        <w:t xml:space="preserve">: </w:t>
      </w:r>
      <w:r w:rsidR="00D56F95">
        <w:rPr>
          <w:rFonts w:cs="Arial"/>
        </w:rPr>
        <w:t xml:space="preserve">the Commissioner will </w:t>
      </w:r>
      <w:r w:rsidR="00D56F95">
        <w:t>undertake further work that examines the right to access affordable housing in Australia.</w:t>
      </w:r>
    </w:p>
    <w:p w:rsidR="00680DAD" w:rsidRPr="00912D65" w:rsidRDefault="004577AB" w:rsidP="008D3832">
      <w:pPr>
        <w:numPr>
          <w:ilvl w:val="0"/>
          <w:numId w:val="46"/>
        </w:numPr>
        <w:rPr>
          <w:rFonts w:cs="Arial"/>
        </w:rPr>
      </w:pPr>
      <w:r w:rsidRPr="004577AB">
        <w:rPr>
          <w:b/>
          <w:lang w:val="en-US"/>
        </w:rPr>
        <w:t>F</w:t>
      </w:r>
      <w:r w:rsidR="00815A49" w:rsidRPr="004577AB">
        <w:rPr>
          <w:b/>
          <w:lang w:val="en-US"/>
        </w:rPr>
        <w:t>reedom from arbitrary detention</w:t>
      </w:r>
      <w:r w:rsidR="00815A49">
        <w:rPr>
          <w:lang w:val="en-US"/>
        </w:rPr>
        <w:t>:</w:t>
      </w:r>
      <w:r w:rsidR="00A76FAC">
        <w:rPr>
          <w:lang w:val="en-US"/>
        </w:rPr>
        <w:t xml:space="preserve"> </w:t>
      </w:r>
      <w:r w:rsidR="00912D65">
        <w:rPr>
          <w:rFonts w:cs="Arial"/>
        </w:rPr>
        <w:t>the Commissioner will seek to work with relevant organisations to examine the denial of liberty for people with mental health issues.</w:t>
      </w:r>
    </w:p>
    <w:p w:rsidR="00731A91" w:rsidRPr="00912D65" w:rsidRDefault="00A76FAC" w:rsidP="008D3832">
      <w:pPr>
        <w:numPr>
          <w:ilvl w:val="0"/>
          <w:numId w:val="27"/>
        </w:numPr>
        <w:rPr>
          <w:rFonts w:cs="Arial"/>
        </w:rPr>
      </w:pPr>
      <w:r w:rsidRPr="004577AB">
        <w:rPr>
          <w:rFonts w:cs="Arial"/>
          <w:b/>
        </w:rPr>
        <w:t>H</w:t>
      </w:r>
      <w:r w:rsidR="00731A91" w:rsidRPr="004577AB">
        <w:rPr>
          <w:rFonts w:cs="Arial"/>
          <w:b/>
        </w:rPr>
        <w:t>uman rights education</w:t>
      </w:r>
      <w:r>
        <w:rPr>
          <w:rFonts w:cs="Arial"/>
        </w:rPr>
        <w:t xml:space="preserve">: the Commissioner will develop educational resources </w:t>
      </w:r>
      <w:r w:rsidR="00731A91">
        <w:rPr>
          <w:rFonts w:cs="Arial"/>
        </w:rPr>
        <w:t>for the 800</w:t>
      </w:r>
      <w:r w:rsidR="00731A91" w:rsidRPr="009B4796">
        <w:rPr>
          <w:rFonts w:cs="Arial"/>
          <w:vertAlign w:val="superscript"/>
        </w:rPr>
        <w:t>th</w:t>
      </w:r>
      <w:r w:rsidR="00967F02">
        <w:rPr>
          <w:rFonts w:cs="Arial"/>
        </w:rPr>
        <w:t xml:space="preserve"> anniversary of </w:t>
      </w:r>
      <w:r w:rsidR="00731A91">
        <w:rPr>
          <w:rFonts w:cs="Arial"/>
        </w:rPr>
        <w:t xml:space="preserve">the </w:t>
      </w:r>
      <w:r w:rsidR="00731A91" w:rsidRPr="004D2D23">
        <w:rPr>
          <w:rFonts w:cs="Arial"/>
          <w:i/>
        </w:rPr>
        <w:t>Magna Carta</w:t>
      </w:r>
      <w:r w:rsidR="00731A91">
        <w:rPr>
          <w:rFonts w:cs="Arial"/>
        </w:rPr>
        <w:t xml:space="preserve"> on 15 June 2015</w:t>
      </w:r>
      <w:r>
        <w:rPr>
          <w:rFonts w:cs="Arial"/>
        </w:rPr>
        <w:t>.</w:t>
      </w:r>
      <w:r w:rsidR="00EB4EC4" w:rsidRPr="00912D65">
        <w:rPr>
          <w:rFonts w:cs="Arial"/>
        </w:rPr>
        <w:br w:type="page"/>
      </w:r>
    </w:p>
    <w:p w:rsidR="009F2764" w:rsidRDefault="009F2764" w:rsidP="00F60A7A">
      <w:pPr>
        <w:pStyle w:val="Heading1"/>
        <w:numPr>
          <w:ilvl w:val="0"/>
          <w:numId w:val="15"/>
        </w:numPr>
        <w:tabs>
          <w:tab w:val="clear" w:pos="851"/>
          <w:tab w:val="num" w:pos="971"/>
        </w:tabs>
        <w:ind w:left="971"/>
        <w:rPr>
          <w:sz w:val="36"/>
          <w:szCs w:val="36"/>
        </w:rPr>
      </w:pPr>
      <w:bookmarkStart w:id="236" w:name="_Toc162769295"/>
      <w:bookmarkStart w:id="237" w:name="_Toc207761836"/>
      <w:bookmarkStart w:id="238" w:name="_Toc209578272"/>
      <w:bookmarkStart w:id="239" w:name="_Toc413932308"/>
      <w:r w:rsidRPr="0010508C">
        <w:rPr>
          <w:sz w:val="36"/>
          <w:szCs w:val="36"/>
        </w:rPr>
        <w:lastRenderedPageBreak/>
        <w:t>Appendix</w:t>
      </w:r>
      <w:bookmarkEnd w:id="236"/>
      <w:bookmarkEnd w:id="237"/>
      <w:bookmarkEnd w:id="238"/>
      <w:r w:rsidRPr="0010508C">
        <w:rPr>
          <w:sz w:val="36"/>
          <w:szCs w:val="36"/>
        </w:rPr>
        <w:t xml:space="preserve"> </w:t>
      </w:r>
      <w:r w:rsidR="008E3D0E">
        <w:rPr>
          <w:sz w:val="36"/>
          <w:szCs w:val="36"/>
        </w:rPr>
        <w:t>A</w:t>
      </w:r>
      <w:r w:rsidR="00475986">
        <w:rPr>
          <w:sz w:val="36"/>
          <w:szCs w:val="36"/>
        </w:rPr>
        <w:t xml:space="preserve"> – submissions</w:t>
      </w:r>
      <w:bookmarkEnd w:id="239"/>
      <w:r w:rsidR="00475986">
        <w:rPr>
          <w:sz w:val="36"/>
          <w:szCs w:val="36"/>
        </w:rPr>
        <w:t xml:space="preserve"> </w:t>
      </w:r>
    </w:p>
    <w:p w:rsidR="00167E79" w:rsidRDefault="00167E79" w:rsidP="00167E79">
      <w:r>
        <w:t>The Human Rights Commissioner received submissions from the following people and organisations.</w:t>
      </w:r>
    </w:p>
    <w:p w:rsidR="00167E79" w:rsidRDefault="00167E79" w:rsidP="00167E79">
      <w:r>
        <w:t>1. Ken Grundy</w:t>
      </w:r>
    </w:p>
    <w:p w:rsidR="00167E79" w:rsidRDefault="00167E79" w:rsidP="00167E79">
      <w:r>
        <w:t>2. Tim Walsh</w:t>
      </w:r>
    </w:p>
    <w:p w:rsidR="00167E79" w:rsidRPr="0061545B" w:rsidRDefault="00E90D81" w:rsidP="00167E79">
      <w:pPr>
        <w:rPr>
          <w:i/>
        </w:rPr>
      </w:pPr>
      <w:r>
        <w:t xml:space="preserve">3. Judith Sloan, </w:t>
      </w:r>
      <w:r w:rsidRPr="00E90D81">
        <w:rPr>
          <w:i/>
        </w:rPr>
        <w:t>The Australian</w:t>
      </w:r>
      <w:r w:rsidR="00167E79">
        <w:rPr>
          <w:i/>
        </w:rPr>
        <w:t xml:space="preserve"> </w:t>
      </w:r>
    </w:p>
    <w:p w:rsidR="00167E79" w:rsidRDefault="00167E79" w:rsidP="00167E79">
      <w:r>
        <w:t xml:space="preserve">4. Rodney Crisp </w:t>
      </w:r>
      <w:r w:rsidR="00E90D81">
        <w:t>– The right to life and death</w:t>
      </w:r>
    </w:p>
    <w:p w:rsidR="00167E79" w:rsidRDefault="00167E79" w:rsidP="00167E79">
      <w:r>
        <w:t xml:space="preserve">5. Freedom 4 Faith </w:t>
      </w:r>
    </w:p>
    <w:p w:rsidR="00167E79" w:rsidRPr="00E90D81" w:rsidRDefault="00167E79" w:rsidP="00167E79">
      <w:pPr>
        <w:rPr>
          <w:b/>
        </w:rPr>
      </w:pPr>
      <w:r>
        <w:t xml:space="preserve">6. Rodney Crisp </w:t>
      </w:r>
      <w:r w:rsidR="00E90D81">
        <w:t>–</w:t>
      </w:r>
      <w:r w:rsidR="00E90D81" w:rsidRPr="00E90D81">
        <w:t xml:space="preserve"> A national constitutionally-entrenched bill of rights</w:t>
      </w:r>
    </w:p>
    <w:p w:rsidR="00167E79" w:rsidRDefault="00167E79" w:rsidP="00167E79">
      <w:r>
        <w:t xml:space="preserve">7. Anglican Church Diocese of Sydney </w:t>
      </w:r>
    </w:p>
    <w:p w:rsidR="00167E79" w:rsidRDefault="00C13005" w:rsidP="00167E79">
      <w:r>
        <w:t>8</w:t>
      </w:r>
      <w:r w:rsidR="00167E79">
        <w:t xml:space="preserve">. World Society of Victimology </w:t>
      </w:r>
    </w:p>
    <w:p w:rsidR="00167E79" w:rsidRDefault="00C13005" w:rsidP="00167E79">
      <w:r>
        <w:t>9</w:t>
      </w:r>
      <w:r w:rsidR="00167E79">
        <w:t xml:space="preserve">. Central Australian Women’s Legal Service (CAWLS) </w:t>
      </w:r>
    </w:p>
    <w:p w:rsidR="00167E79" w:rsidRDefault="00C13005" w:rsidP="00167E79">
      <w:r>
        <w:t>10</w:t>
      </w:r>
      <w:r w:rsidR="00167E79">
        <w:t>. Peter Swift</w:t>
      </w:r>
    </w:p>
    <w:p w:rsidR="00167E79" w:rsidRDefault="00C13005" w:rsidP="00167E79">
      <w:r>
        <w:t>11</w:t>
      </w:r>
      <w:r w:rsidR="00167E79">
        <w:t>. Tina Arena</w:t>
      </w:r>
    </w:p>
    <w:p w:rsidR="00167E79" w:rsidRDefault="00C13005" w:rsidP="00167E79">
      <w:r>
        <w:t>12</w:t>
      </w:r>
      <w:r w:rsidR="00167E79">
        <w:t>. Ross Wilson</w:t>
      </w:r>
    </w:p>
    <w:p w:rsidR="00167E79" w:rsidRDefault="00C13005" w:rsidP="00167E79">
      <w:r>
        <w:t>13</w:t>
      </w:r>
      <w:r w:rsidR="00167E79">
        <w:t>. Music Rights Australia</w:t>
      </w:r>
    </w:p>
    <w:p w:rsidR="00167E79" w:rsidRDefault="00C13005" w:rsidP="00167E79">
      <w:r>
        <w:t>14</w:t>
      </w:r>
      <w:r w:rsidR="00167E79">
        <w:t>. Alastair Lawrie, Chair Gay &amp; Lesbian Rights Lobby</w:t>
      </w:r>
      <w:r w:rsidR="00E90D81">
        <w:t xml:space="preserve"> (GLRL)</w:t>
      </w:r>
    </w:p>
    <w:p w:rsidR="00167E79" w:rsidRDefault="00C13005" w:rsidP="00167E79">
      <w:r>
        <w:t>15</w:t>
      </w:r>
      <w:r w:rsidR="00167E79">
        <w:t xml:space="preserve">. YMCA NSW </w:t>
      </w:r>
    </w:p>
    <w:p w:rsidR="00167E79" w:rsidRDefault="00C13005" w:rsidP="00167E79">
      <w:r>
        <w:t>16</w:t>
      </w:r>
      <w:r w:rsidR="00167E79">
        <w:t>. Bruce Arnold and Susan Priest, University of Canberra</w:t>
      </w:r>
    </w:p>
    <w:p w:rsidR="00167E79" w:rsidRDefault="00C13005" w:rsidP="00167E79">
      <w:r>
        <w:t>17</w:t>
      </w:r>
      <w:r w:rsidR="00167E79">
        <w:t>. Scarlett Alliance: Australian Sex Workers Association</w:t>
      </w:r>
    </w:p>
    <w:p w:rsidR="00167E79" w:rsidRPr="00650779" w:rsidRDefault="00C13005" w:rsidP="00167E79">
      <w:r>
        <w:t>18</w:t>
      </w:r>
      <w:r w:rsidR="00167E79" w:rsidRPr="00650779">
        <w:t xml:space="preserve">. </w:t>
      </w:r>
      <w:r w:rsidR="00167E79">
        <w:t xml:space="preserve">Helen Watchiers, </w:t>
      </w:r>
      <w:r w:rsidR="00167E79" w:rsidRPr="00650779">
        <w:t>A</w:t>
      </w:r>
      <w:r w:rsidR="00167E79">
        <w:t>CT</w:t>
      </w:r>
      <w:r w:rsidR="00167E79" w:rsidRPr="00650779">
        <w:t xml:space="preserve"> Human Rights &amp; Discrimination Commissioner </w:t>
      </w:r>
    </w:p>
    <w:p w:rsidR="00167E79" w:rsidRPr="00650779" w:rsidRDefault="00C13005" w:rsidP="00167E79">
      <w:r>
        <w:t>19</w:t>
      </w:r>
      <w:r w:rsidR="00167E79" w:rsidRPr="00650779">
        <w:t xml:space="preserve">. International Commission of Jurists: </w:t>
      </w:r>
      <w:r w:rsidR="00167E79">
        <w:t xml:space="preserve">WA Branch </w:t>
      </w:r>
    </w:p>
    <w:p w:rsidR="00167E79" w:rsidRPr="00650779" w:rsidRDefault="00C13005" w:rsidP="00167E79">
      <w:r>
        <w:t>20</w:t>
      </w:r>
      <w:r w:rsidR="00167E79" w:rsidRPr="00650779">
        <w:t xml:space="preserve">. Human Rights Law Centre </w:t>
      </w:r>
    </w:p>
    <w:p w:rsidR="00167E79" w:rsidRPr="00650779" w:rsidRDefault="00C13005" w:rsidP="00167E79">
      <w:r>
        <w:t>21</w:t>
      </w:r>
      <w:r w:rsidR="00167E79" w:rsidRPr="00650779">
        <w:t>. Community Legal Centres NSW</w:t>
      </w:r>
    </w:p>
    <w:p w:rsidR="00167E79" w:rsidRPr="00650779" w:rsidRDefault="00C13005" w:rsidP="00167E79">
      <w:r>
        <w:t>22</w:t>
      </w:r>
      <w:r w:rsidR="00167E79" w:rsidRPr="00650779">
        <w:t xml:space="preserve">. Public Interest Advocacy Centre </w:t>
      </w:r>
    </w:p>
    <w:p w:rsidR="00167E79" w:rsidRPr="00650779" w:rsidRDefault="00C13005" w:rsidP="00167E79">
      <w:r>
        <w:t>23</w:t>
      </w:r>
      <w:r w:rsidR="00167E79" w:rsidRPr="00650779">
        <w:t xml:space="preserve">. </w:t>
      </w:r>
      <w:r w:rsidR="00167E79" w:rsidRPr="00650779">
        <w:rPr>
          <w:rFonts w:cs="Arial"/>
          <w:lang w:val="en"/>
        </w:rPr>
        <w:t>Australian Subscription Television and Radio Association (</w:t>
      </w:r>
      <w:r w:rsidR="00167E79" w:rsidRPr="00650779">
        <w:t>ASTRA)</w:t>
      </w:r>
    </w:p>
    <w:p w:rsidR="00167E79" w:rsidRPr="00650779" w:rsidRDefault="00C13005" w:rsidP="00167E79">
      <w:r>
        <w:t>24</w:t>
      </w:r>
      <w:r w:rsidR="00167E79" w:rsidRPr="00650779">
        <w:t>. NSW Young Law</w:t>
      </w:r>
      <w:r w:rsidR="006E18C3">
        <w:t>yer</w:t>
      </w:r>
      <w:r w:rsidR="00167E79" w:rsidRPr="00650779">
        <w:t xml:space="preserve">s Human Rights Committee </w:t>
      </w:r>
    </w:p>
    <w:p w:rsidR="00167E79" w:rsidRDefault="00C13005" w:rsidP="00167E79">
      <w:r>
        <w:t>25</w:t>
      </w:r>
      <w:r w:rsidR="00167E79">
        <w:t>. Victorian Equal Opportunity &amp; Human Rights Commission (VEOHRC)</w:t>
      </w:r>
    </w:p>
    <w:p w:rsidR="00167E79" w:rsidRDefault="00C13005" w:rsidP="00167E79">
      <w:r>
        <w:lastRenderedPageBreak/>
        <w:t>26</w:t>
      </w:r>
      <w:r w:rsidR="00167E79">
        <w:t>. Australian Christian Lobby</w:t>
      </w:r>
      <w:r w:rsidR="00BB7077">
        <w:t xml:space="preserve"> (ACL)</w:t>
      </w:r>
    </w:p>
    <w:p w:rsidR="00167E79" w:rsidRDefault="00C13005" w:rsidP="00167E79">
      <w:r>
        <w:t>27</w:t>
      </w:r>
      <w:r w:rsidR="00167E79">
        <w:t xml:space="preserve">. Rationalist Society of Australia </w:t>
      </w:r>
    </w:p>
    <w:p w:rsidR="00167E79" w:rsidRDefault="00C13005" w:rsidP="00167E79">
      <w:r>
        <w:t>28</w:t>
      </w:r>
      <w:r w:rsidR="00167E79">
        <w:t>. Unions WA</w:t>
      </w:r>
    </w:p>
    <w:p w:rsidR="00167E79" w:rsidRDefault="00C13005" w:rsidP="00167E79">
      <w:r>
        <w:t>29</w:t>
      </w:r>
      <w:r w:rsidR="00167E79">
        <w:t>. Equal Opportunity Commission of Western Australia</w:t>
      </w:r>
    </w:p>
    <w:p w:rsidR="00167E79" w:rsidRDefault="00C13005" w:rsidP="00167E79">
      <w:r>
        <w:t>30</w:t>
      </w:r>
      <w:r w:rsidR="00E90D81">
        <w:t xml:space="preserve">. </w:t>
      </w:r>
      <w:r w:rsidR="00BB7077">
        <w:t xml:space="preserve">Kingsford Legal Centre, </w:t>
      </w:r>
      <w:r w:rsidR="00167E79">
        <w:t xml:space="preserve">University of NSW </w:t>
      </w:r>
    </w:p>
    <w:p w:rsidR="00167E79" w:rsidRPr="00D47799" w:rsidRDefault="00C13005" w:rsidP="00167E79">
      <w:r>
        <w:t>31</w:t>
      </w:r>
      <w:r w:rsidR="00167E79" w:rsidRPr="00D47799">
        <w:t>. Law Council of Australia</w:t>
      </w:r>
    </w:p>
    <w:p w:rsidR="00167E79" w:rsidRPr="00D47799" w:rsidRDefault="00C13005" w:rsidP="00167E79">
      <w:r>
        <w:t>32</w:t>
      </w:r>
      <w:r w:rsidR="00167E79" w:rsidRPr="00D47799">
        <w:t>. Brendan Jones</w:t>
      </w:r>
    </w:p>
    <w:p w:rsidR="00167E79" w:rsidRPr="00D47799" w:rsidRDefault="00C13005" w:rsidP="00167E79">
      <w:r>
        <w:t>33</w:t>
      </w:r>
      <w:r w:rsidR="00167E79" w:rsidRPr="00D47799">
        <w:t>. National Association of Community Legal Centres (NACLC)</w:t>
      </w:r>
    </w:p>
    <w:p w:rsidR="00167E79" w:rsidRPr="00D47799" w:rsidRDefault="00C13005" w:rsidP="00167E79">
      <w:r>
        <w:t>34</w:t>
      </w:r>
      <w:r w:rsidR="00167E79">
        <w:t>. John Heininger,</w:t>
      </w:r>
      <w:r w:rsidR="00167E79" w:rsidRPr="00D47799">
        <w:t xml:space="preserve"> National Education Coalition</w:t>
      </w:r>
    </w:p>
    <w:p w:rsidR="00167E79" w:rsidRDefault="00C13005" w:rsidP="00167E79">
      <w:r>
        <w:t>35</w:t>
      </w:r>
      <w:r w:rsidR="00167E79" w:rsidRPr="00D47799">
        <w:t>. Abby Hinchcliffe, Lucy</w:t>
      </w:r>
      <w:r w:rsidR="00167E79">
        <w:t xml:space="preserve"> Dahill and Rachel Lynwood, Universal Medicine </w:t>
      </w:r>
    </w:p>
    <w:p w:rsidR="00167E79" w:rsidRDefault="00C13005" w:rsidP="00167E79">
      <w:r>
        <w:t>36</w:t>
      </w:r>
      <w:r w:rsidR="00167E79">
        <w:t xml:space="preserve">. Michael Sobb </w:t>
      </w:r>
    </w:p>
    <w:p w:rsidR="00167E79" w:rsidRDefault="00C13005" w:rsidP="00167E79">
      <w:r>
        <w:t>37</w:t>
      </w:r>
      <w:r w:rsidR="00167E79">
        <w:t>. Graham Preston</w:t>
      </w:r>
    </w:p>
    <w:p w:rsidR="00167E79" w:rsidRDefault="00C13005" w:rsidP="00167E79">
      <w:r>
        <w:t>38</w:t>
      </w:r>
      <w:r w:rsidR="00167E79">
        <w:t>. Charles Wilson, Dr Maxine Szramka and Alison Greig, The Way of the Living</w:t>
      </w:r>
      <w:r w:rsidR="006511AF">
        <w:t>ness</w:t>
      </w:r>
      <w:r w:rsidR="00167E79">
        <w:t xml:space="preserve"> </w:t>
      </w:r>
    </w:p>
    <w:p w:rsidR="00167E79" w:rsidRDefault="00C13005" w:rsidP="00167E79">
      <w:r>
        <w:t>39</w:t>
      </w:r>
      <w:r w:rsidR="00167E79">
        <w:t xml:space="preserve">. Law Institute of Victoria </w:t>
      </w:r>
      <w:bookmarkStart w:id="240" w:name="_GoBack"/>
      <w:bookmarkEnd w:id="240"/>
    </w:p>
    <w:p w:rsidR="00167E79" w:rsidRDefault="00C13005" w:rsidP="00167E79">
      <w:r>
        <w:t>40</w:t>
      </w:r>
      <w:r w:rsidR="00167E79">
        <w:t>. Jennifer Heywood</w:t>
      </w:r>
    </w:p>
    <w:p w:rsidR="00167E79" w:rsidRDefault="00C13005" w:rsidP="00167E79">
      <w:r>
        <w:t>41</w:t>
      </w:r>
      <w:r w:rsidR="00167E79">
        <w:t>. Office of the Australian Information Commissioner (OAIC)</w:t>
      </w:r>
    </w:p>
    <w:p w:rsidR="00167E79" w:rsidRDefault="00C13005" w:rsidP="00167E79">
      <w:r>
        <w:t>42</w:t>
      </w:r>
      <w:r w:rsidR="00167E79">
        <w:t>. Peter Olney</w:t>
      </w:r>
    </w:p>
    <w:p w:rsidR="00167E79" w:rsidRDefault="00C13005" w:rsidP="00167E79">
      <w:r>
        <w:t>43</w:t>
      </w:r>
      <w:r w:rsidR="00167E79">
        <w:t xml:space="preserve">. Gay &amp; Lesbian Rights Lobby (GLRL) </w:t>
      </w:r>
    </w:p>
    <w:p w:rsidR="00167E79" w:rsidRDefault="00C13005" w:rsidP="00167E79">
      <w:r>
        <w:t>44</w:t>
      </w:r>
      <w:r w:rsidR="00167E79">
        <w:t>. Catholic Women’s League of Victoria and Wagga Wagga</w:t>
      </w:r>
    </w:p>
    <w:p w:rsidR="00167E79" w:rsidRDefault="00C13005" w:rsidP="00167E79">
      <w:r>
        <w:t>45</w:t>
      </w:r>
      <w:r w:rsidR="00167E79">
        <w:t xml:space="preserve">. Refugee Council of Australia </w:t>
      </w:r>
    </w:p>
    <w:p w:rsidR="00167E79" w:rsidRDefault="00C13005" w:rsidP="00167E79">
      <w:r>
        <w:t>46</w:t>
      </w:r>
      <w:r w:rsidR="00167E79">
        <w:t>. Free TV Australia</w:t>
      </w:r>
    </w:p>
    <w:p w:rsidR="00167E79" w:rsidRDefault="00C13005" w:rsidP="00167E79">
      <w:r>
        <w:t>47</w:t>
      </w:r>
      <w:r w:rsidR="00167E79">
        <w:t>. Mary Voice</w:t>
      </w:r>
    </w:p>
    <w:p w:rsidR="00167E79" w:rsidRDefault="00C13005" w:rsidP="00167E79">
      <w:r>
        <w:t>48</w:t>
      </w:r>
      <w:r w:rsidR="00167E79">
        <w:t xml:space="preserve">. UnitingJustice </w:t>
      </w:r>
    </w:p>
    <w:p w:rsidR="00167E79" w:rsidRDefault="00C13005" w:rsidP="00167E79">
      <w:r>
        <w:t>49</w:t>
      </w:r>
      <w:r w:rsidR="00167E79">
        <w:t xml:space="preserve">. FamilyVoice Australia </w:t>
      </w:r>
    </w:p>
    <w:p w:rsidR="00167E79" w:rsidRDefault="00C13005" w:rsidP="00167E79">
      <w:r>
        <w:t>50</w:t>
      </w:r>
      <w:r w:rsidR="00167E79">
        <w:t xml:space="preserve">. United Muslim Women’s Association </w:t>
      </w:r>
    </w:p>
    <w:p w:rsidR="00167E79" w:rsidRDefault="00C13005" w:rsidP="00167E79">
      <w:r>
        <w:t>51</w:t>
      </w:r>
      <w:r w:rsidR="00BB7077">
        <w:t>. Megan McNicholl</w:t>
      </w:r>
    </w:p>
    <w:p w:rsidR="00167E79" w:rsidRDefault="00C13005" w:rsidP="00167E79">
      <w:r>
        <w:t>52</w:t>
      </w:r>
      <w:r w:rsidR="00167E79">
        <w:t>. Viera Scheibner</w:t>
      </w:r>
    </w:p>
    <w:p w:rsidR="00167E79" w:rsidRDefault="00C13005" w:rsidP="00167E79">
      <w:r>
        <w:t>53</w:t>
      </w:r>
      <w:r w:rsidR="00167E79">
        <w:t xml:space="preserve">. John Wilson </w:t>
      </w:r>
    </w:p>
    <w:p w:rsidR="00167E79" w:rsidRDefault="00C13005" w:rsidP="00167E79">
      <w:r>
        <w:lastRenderedPageBreak/>
        <w:t>54</w:t>
      </w:r>
      <w:r w:rsidR="00167E79">
        <w:t xml:space="preserve">. Singleton Council  </w:t>
      </w:r>
    </w:p>
    <w:p w:rsidR="00167E79" w:rsidRDefault="00C13005" w:rsidP="00167E79">
      <w:r>
        <w:t>55</w:t>
      </w:r>
      <w:r w:rsidR="00167E79">
        <w:t xml:space="preserve">. Adam Johnston </w:t>
      </w:r>
    </w:p>
    <w:p w:rsidR="00167E79" w:rsidRDefault="00C13005" w:rsidP="00167E79">
      <w:r>
        <w:t>56</w:t>
      </w:r>
      <w:r w:rsidR="00167E79">
        <w:t xml:space="preserve">. Medical Committee on Client Mortality (Intellectual Disability) </w:t>
      </w:r>
    </w:p>
    <w:p w:rsidR="00167E79" w:rsidRDefault="00C13005" w:rsidP="00167E79">
      <w:r>
        <w:t>57</w:t>
      </w:r>
      <w:r w:rsidR="00167E79">
        <w:t xml:space="preserve">. Robert Loughnon, Maranoa Mayor </w:t>
      </w:r>
    </w:p>
    <w:p w:rsidR="00167E79" w:rsidRDefault="00C13005" w:rsidP="00167E79">
      <w:r>
        <w:t>58</w:t>
      </w:r>
      <w:r w:rsidR="00167E79">
        <w:t xml:space="preserve">. Kathy Noble, Changeling Aspects </w:t>
      </w:r>
    </w:p>
    <w:p w:rsidR="00167E79" w:rsidRDefault="00C13005" w:rsidP="00167E79">
      <w:r>
        <w:t>59</w:t>
      </w:r>
      <w:r w:rsidR="00167E79">
        <w:t xml:space="preserve">. Sister Chrysanthi  </w:t>
      </w:r>
    </w:p>
    <w:p w:rsidR="00167E79" w:rsidRDefault="00C13005" w:rsidP="00167E79">
      <w:r>
        <w:t>60</w:t>
      </w:r>
      <w:r w:rsidR="00167E79">
        <w:t xml:space="preserve">. Anne Moira Kirkwood </w:t>
      </w:r>
    </w:p>
    <w:p w:rsidR="00167E79" w:rsidRDefault="00C13005" w:rsidP="00167E79">
      <w:r>
        <w:t>61</w:t>
      </w:r>
      <w:r w:rsidR="00167E79">
        <w:t>. Australian Baha’i Community</w:t>
      </w:r>
    </w:p>
    <w:p w:rsidR="005E4786" w:rsidRDefault="00C13005" w:rsidP="00167E79">
      <w:r>
        <w:t>62</w:t>
      </w:r>
      <w:r w:rsidR="00BB7077">
        <w:t>. Mark Parnell, MLC</w:t>
      </w:r>
    </w:p>
    <w:p w:rsidR="00167E79" w:rsidRDefault="00C13005" w:rsidP="00167E79">
      <w:r>
        <w:t>63</w:t>
      </w:r>
      <w:r w:rsidR="005E4786">
        <w:t>. Kate Charles</w:t>
      </w:r>
    </w:p>
    <w:p w:rsidR="005E4786" w:rsidRDefault="00C13005" w:rsidP="00167E79">
      <w:r>
        <w:t>64</w:t>
      </w:r>
      <w:r w:rsidR="005E4786">
        <w:t>. EDO Tasmania</w:t>
      </w:r>
    </w:p>
    <w:p w:rsidR="005E4786" w:rsidRDefault="00C13005" w:rsidP="00167E79">
      <w:r>
        <w:t>65</w:t>
      </w:r>
      <w:r w:rsidR="005E4786">
        <w:t>. Australian Lawyers Alliance</w:t>
      </w:r>
    </w:p>
    <w:p w:rsidR="00167E79" w:rsidRDefault="00167E79" w:rsidP="00167E79"/>
    <w:p w:rsidR="008E3D0E" w:rsidRDefault="00167E79" w:rsidP="008E3D0E">
      <w:r>
        <w:t>We also received three confidential submissions.</w:t>
      </w:r>
    </w:p>
    <w:p w:rsidR="008E3D0E" w:rsidRDefault="008E3D0E" w:rsidP="008E3D0E"/>
    <w:p w:rsidR="00C144A1" w:rsidRDefault="00C144A1" w:rsidP="008E3D0E"/>
    <w:p w:rsidR="008E3D0E" w:rsidRPr="008E3D0E" w:rsidRDefault="008E3D0E" w:rsidP="008E3D0E">
      <w:pPr>
        <w:pStyle w:val="Heading1"/>
        <w:numPr>
          <w:ilvl w:val="0"/>
          <w:numId w:val="15"/>
        </w:numPr>
        <w:tabs>
          <w:tab w:val="clear" w:pos="851"/>
          <w:tab w:val="num" w:pos="971"/>
        </w:tabs>
        <w:ind w:left="971"/>
        <w:rPr>
          <w:sz w:val="36"/>
          <w:szCs w:val="36"/>
        </w:rPr>
      </w:pPr>
      <w:bookmarkStart w:id="241" w:name="_Toc413932309"/>
      <w:r w:rsidRPr="008E3D0E">
        <w:rPr>
          <w:sz w:val="36"/>
          <w:szCs w:val="36"/>
        </w:rPr>
        <w:t>Appendix B</w:t>
      </w:r>
      <w:r w:rsidR="00236C35">
        <w:rPr>
          <w:sz w:val="36"/>
          <w:szCs w:val="36"/>
        </w:rPr>
        <w:t xml:space="preserve"> – public events and strategic meetings</w:t>
      </w:r>
      <w:bookmarkEnd w:id="241"/>
    </w:p>
    <w:p w:rsidR="00236C35" w:rsidRDefault="00236C35" w:rsidP="00236C35">
      <w:r>
        <w:t>The Human Rights Commissioner thanks the following people and organisations who met with him as part of this consultation.</w:t>
      </w:r>
    </w:p>
    <w:p w:rsidR="003C003E" w:rsidRDefault="003C003E" w:rsidP="00236C35"/>
    <w:p w:rsidR="00236C35" w:rsidRDefault="00236C35" w:rsidP="00236C35">
      <w:pPr>
        <w:rPr>
          <w:i/>
        </w:rPr>
      </w:pPr>
      <w:r>
        <w:rPr>
          <w:i/>
        </w:rPr>
        <w:t>Kununurra, Halls Cree</w:t>
      </w:r>
      <w:r w:rsidR="003C003E">
        <w:rPr>
          <w:i/>
        </w:rPr>
        <w:t xml:space="preserve">k, Derby, Broome and </w:t>
      </w:r>
      <w:r w:rsidR="000730FC">
        <w:rPr>
          <w:i/>
        </w:rPr>
        <w:t>One Arm Point: 17–24 August</w:t>
      </w:r>
    </w:p>
    <w:p w:rsidR="000730FC" w:rsidRDefault="000730FC" w:rsidP="00236C35">
      <w:r>
        <w:t>Ardyaloon Hatchery</w:t>
      </w:r>
    </w:p>
    <w:p w:rsidR="000730FC" w:rsidRDefault="000730FC" w:rsidP="00236C35">
      <w:r>
        <w:t>Broome Regional Aboriginal Medical Service</w:t>
      </w:r>
    </w:p>
    <w:p w:rsidR="00236C35" w:rsidRDefault="00236C35" w:rsidP="00236C35">
      <w:r>
        <w:t>Ian Trust</w:t>
      </w:r>
      <w:r w:rsidR="000730FC">
        <w:t>, Executive Director Wunan</w:t>
      </w:r>
    </w:p>
    <w:p w:rsidR="00236C35" w:rsidRDefault="000730FC" w:rsidP="00236C35">
      <w:r>
        <w:t>Josie Farrer MLA</w:t>
      </w:r>
    </w:p>
    <w:p w:rsidR="003C003E" w:rsidRDefault="003C003E" w:rsidP="00236C35">
      <w:r>
        <w:t>Kimberley Aboriginal Law and Culture Centre</w:t>
      </w:r>
    </w:p>
    <w:p w:rsidR="003C003E" w:rsidRDefault="003C003E" w:rsidP="00236C35">
      <w:r>
        <w:t>Marninwarntikwa Women’s Resource Centre</w:t>
      </w:r>
    </w:p>
    <w:p w:rsidR="0061065A" w:rsidRDefault="0061065A" w:rsidP="00236C35">
      <w:r>
        <w:lastRenderedPageBreak/>
        <w:t>Mowanjum Community</w:t>
      </w:r>
    </w:p>
    <w:p w:rsidR="003C003E" w:rsidRDefault="003C003E" w:rsidP="00236C35">
      <w:r>
        <w:t>Nyamba Buru Yawuru</w:t>
      </w:r>
    </w:p>
    <w:p w:rsidR="00236C35" w:rsidRDefault="003C003E" w:rsidP="00236C35">
      <w:r>
        <w:t>One Arm Point Community</w:t>
      </w:r>
    </w:p>
    <w:p w:rsidR="003C003E" w:rsidRDefault="003C003E" w:rsidP="00236C35">
      <w:r>
        <w:t>West Kimberley Regional Prison</w:t>
      </w:r>
    </w:p>
    <w:p w:rsidR="00236C35" w:rsidRPr="00B6574D" w:rsidRDefault="00236C35" w:rsidP="00236C35"/>
    <w:p w:rsidR="00236C35" w:rsidRPr="00EE0861" w:rsidRDefault="00236C35" w:rsidP="00236C35">
      <w:pPr>
        <w:rPr>
          <w:i/>
        </w:rPr>
      </w:pPr>
      <w:r w:rsidRPr="00EE0861">
        <w:rPr>
          <w:i/>
        </w:rPr>
        <w:t>Adelaide: 1–3 September 2014</w:t>
      </w:r>
    </w:p>
    <w:p w:rsidR="00236C35" w:rsidRDefault="00236C35" w:rsidP="00236C35">
      <w:r>
        <w:t xml:space="preserve">Australia Israel Chamber of Commerce </w:t>
      </w:r>
    </w:p>
    <w:p w:rsidR="00236C35" w:rsidRDefault="00236C35" w:rsidP="00236C35">
      <w:r>
        <w:t>Business South Australia</w:t>
      </w:r>
    </w:p>
    <w:p w:rsidR="00236C35" w:rsidRDefault="00236C35" w:rsidP="00236C35">
      <w:r>
        <w:t>Community Centres South Australia</w:t>
      </w:r>
    </w:p>
    <w:p w:rsidR="00236C35" w:rsidRDefault="00236C35" w:rsidP="00236C35">
      <w:r>
        <w:t>Hutt Street Centre</w:t>
      </w:r>
    </w:p>
    <w:p w:rsidR="00236C35" w:rsidRDefault="00236C35" w:rsidP="00236C35">
      <w:r>
        <w:t>Law Council of Australia</w:t>
      </w:r>
      <w:r w:rsidR="0061065A">
        <w:t xml:space="preserve"> – public event</w:t>
      </w:r>
    </w:p>
    <w:p w:rsidR="0061065A" w:rsidRPr="007573B9" w:rsidRDefault="0061065A" w:rsidP="00236C35">
      <w:r>
        <w:t>Mark Parnell MLC</w:t>
      </w:r>
    </w:p>
    <w:p w:rsidR="00236C35" w:rsidRDefault="00236C35" w:rsidP="00236C35">
      <w:r>
        <w:t xml:space="preserve">South Australian Council of Social Service Inc. </w:t>
      </w:r>
    </w:p>
    <w:p w:rsidR="00236C35" w:rsidRDefault="00236C35" w:rsidP="00236C35">
      <w:r>
        <w:t>South Australi</w:t>
      </w:r>
      <w:r w:rsidR="0061065A">
        <w:t>an Equal Opportunity Commission</w:t>
      </w:r>
    </w:p>
    <w:p w:rsidR="0061065A" w:rsidRPr="0061065A" w:rsidRDefault="0061065A" w:rsidP="00236C35"/>
    <w:p w:rsidR="00236C35" w:rsidRPr="00EE0861" w:rsidRDefault="00236C35" w:rsidP="00EF6366">
      <w:pPr>
        <w:keepNext/>
        <w:rPr>
          <w:i/>
        </w:rPr>
      </w:pPr>
      <w:r w:rsidRPr="00EE0861">
        <w:rPr>
          <w:i/>
        </w:rPr>
        <w:t>Darwin and Alice Springs: 22–25 September 2014</w:t>
      </w:r>
    </w:p>
    <w:p w:rsidR="00236C35" w:rsidRDefault="00236C35" w:rsidP="00236C35">
      <w:r>
        <w:t>Central Australian Aboriginal Legal Aid Service</w:t>
      </w:r>
    </w:p>
    <w:p w:rsidR="00236C35" w:rsidRDefault="00236C35" w:rsidP="00236C35">
      <w:r>
        <w:t>Centre for Appropriate Technology</w:t>
      </w:r>
      <w:r w:rsidR="0061065A">
        <w:t xml:space="preserve"> – public event</w:t>
      </w:r>
    </w:p>
    <w:p w:rsidR="00236C35" w:rsidRDefault="00236C35" w:rsidP="00236C35">
      <w:r>
        <w:t>Charles Darwin University</w:t>
      </w:r>
    </w:p>
    <w:p w:rsidR="00236C35" w:rsidRDefault="00236C35" w:rsidP="00236C35">
      <w:r>
        <w:t>Damien Ryan, Mayor of Alice Springs</w:t>
      </w:r>
    </w:p>
    <w:p w:rsidR="00236C35" w:rsidRDefault="00236C35" w:rsidP="00236C35">
      <w:r>
        <w:t>Desert Knowledge</w:t>
      </w:r>
      <w:r w:rsidR="0061065A">
        <w:t xml:space="preserve"> Australia</w:t>
      </w:r>
    </w:p>
    <w:p w:rsidR="00236C35" w:rsidRDefault="00236C35" w:rsidP="00236C35">
      <w:r>
        <w:t>Hon Bess Nungarrayi Price MLA</w:t>
      </w:r>
    </w:p>
    <w:p w:rsidR="00236C35" w:rsidRDefault="0061065A" w:rsidP="00236C35">
      <w:r>
        <w:t>Law Society Northern Territory – public event</w:t>
      </w:r>
    </w:p>
    <w:p w:rsidR="00236C35" w:rsidRDefault="00236C35" w:rsidP="00236C35">
      <w:r>
        <w:t>Multicultural Community Services</w:t>
      </w:r>
      <w:r w:rsidR="0061065A">
        <w:t xml:space="preserve"> of Central Australia</w:t>
      </w:r>
    </w:p>
    <w:p w:rsidR="00236C35" w:rsidRDefault="00236C35" w:rsidP="00236C35">
      <w:r>
        <w:t>Ninti One</w:t>
      </w:r>
    </w:p>
    <w:p w:rsidR="00236C35" w:rsidRDefault="00236C35" w:rsidP="00236C35">
      <w:r>
        <w:t>North Australian Aboriginal Justice Agency</w:t>
      </w:r>
    </w:p>
    <w:p w:rsidR="00236C35" w:rsidRDefault="00236C35" w:rsidP="00236C35">
      <w:r>
        <w:t>Northern Territory Anti-Discrimination Commission</w:t>
      </w:r>
    </w:p>
    <w:p w:rsidR="00236C35" w:rsidRDefault="00236C35" w:rsidP="00236C35">
      <w:r>
        <w:t>Papunya Tula Artists Pty Ltd</w:t>
      </w:r>
    </w:p>
    <w:p w:rsidR="00236C35" w:rsidRDefault="00236C35" w:rsidP="00236C35">
      <w:r>
        <w:lastRenderedPageBreak/>
        <w:t xml:space="preserve">People’s Alcohol Action Coalition </w:t>
      </w:r>
    </w:p>
    <w:p w:rsidR="00236C35" w:rsidRDefault="00236C35" w:rsidP="00236C35">
      <w:r>
        <w:t>Property Council Northern Territory</w:t>
      </w:r>
    </w:p>
    <w:p w:rsidR="00236C35" w:rsidRDefault="00236C35" w:rsidP="00236C35"/>
    <w:p w:rsidR="009409D1" w:rsidRPr="009409D1" w:rsidRDefault="009409D1" w:rsidP="00236C35">
      <w:pPr>
        <w:rPr>
          <w:i/>
        </w:rPr>
      </w:pPr>
      <w:r w:rsidRPr="009409D1">
        <w:rPr>
          <w:i/>
        </w:rPr>
        <w:t>Canberra: 1 October 2014</w:t>
      </w:r>
      <w:r>
        <w:rPr>
          <w:i/>
        </w:rPr>
        <w:t>*</w:t>
      </w:r>
    </w:p>
    <w:p w:rsidR="009409D1" w:rsidRDefault="009409D1" w:rsidP="00236C35">
      <w:r>
        <w:t>ACT Human Rights Commission – public event</w:t>
      </w:r>
    </w:p>
    <w:p w:rsidR="009409D1" w:rsidRPr="00EE0861" w:rsidRDefault="009409D1" w:rsidP="00236C35"/>
    <w:p w:rsidR="00236C35" w:rsidRPr="00EE0861" w:rsidRDefault="00236C35" w:rsidP="00236C35">
      <w:pPr>
        <w:rPr>
          <w:i/>
        </w:rPr>
      </w:pPr>
      <w:r w:rsidRPr="00EE0861">
        <w:rPr>
          <w:i/>
        </w:rPr>
        <w:t>Perth and Kalgoorlie: 13–15 October 2014</w:t>
      </w:r>
    </w:p>
    <w:p w:rsidR="00236C35" w:rsidRDefault="00236C35" w:rsidP="00236C35">
      <w:r>
        <w:t xml:space="preserve">Centrecare </w:t>
      </w:r>
      <w:r w:rsidR="0061065A">
        <w:t xml:space="preserve">WA </w:t>
      </w:r>
      <w:r>
        <w:t xml:space="preserve">Kalgoorlie </w:t>
      </w:r>
    </w:p>
    <w:p w:rsidR="00236C35" w:rsidRDefault="00236C35" w:rsidP="00236C35">
      <w:r>
        <w:t>Equal Opportunity Commission Western Australia</w:t>
      </w:r>
    </w:p>
    <w:p w:rsidR="00236C35" w:rsidRDefault="00236C35" w:rsidP="00236C35">
      <w:r>
        <w:t>Goldfields Community Legal Centre</w:t>
      </w:r>
    </w:p>
    <w:p w:rsidR="0061065A" w:rsidRDefault="0061065A" w:rsidP="00236C35">
      <w:r>
        <w:t>Kalgoorlie Accommodation Support (Anglicare WA)</w:t>
      </w:r>
    </w:p>
    <w:p w:rsidR="00236C35" w:rsidRDefault="00236C35" w:rsidP="00236C35">
      <w:r>
        <w:t xml:space="preserve">Kalgoorlie </w:t>
      </w:r>
      <w:r w:rsidR="0061065A">
        <w:t xml:space="preserve">and Boulder </w:t>
      </w:r>
      <w:r>
        <w:t>Chamber of Commerce</w:t>
      </w:r>
      <w:r w:rsidR="0061065A">
        <w:t xml:space="preserve"> and Industry</w:t>
      </w:r>
    </w:p>
    <w:p w:rsidR="00236C35" w:rsidRDefault="0061065A" w:rsidP="00236C35">
      <w:r>
        <w:t>King and</w:t>
      </w:r>
      <w:r w:rsidR="00236C35">
        <w:t xml:space="preserve"> Wood Mallesons</w:t>
      </w:r>
      <w:r>
        <w:t xml:space="preserve"> – public event</w:t>
      </w:r>
    </w:p>
    <w:p w:rsidR="00236C35" w:rsidRDefault="0061065A" w:rsidP="00236C35">
      <w:r>
        <w:t>Mark McGowan MLA</w:t>
      </w:r>
    </w:p>
    <w:p w:rsidR="00236C35" w:rsidRDefault="00ED0A78" w:rsidP="00236C35">
      <w:r>
        <w:t>Liberal Party WA</w:t>
      </w:r>
    </w:p>
    <w:p w:rsidR="00236C35" w:rsidRDefault="00236C35" w:rsidP="00236C35">
      <w:r>
        <w:t>Pastoral Growers Association</w:t>
      </w:r>
    </w:p>
    <w:p w:rsidR="00236C35" w:rsidRDefault="00236C35" w:rsidP="00236C35">
      <w:r>
        <w:t>Shenton College</w:t>
      </w:r>
    </w:p>
    <w:p w:rsidR="00236C35" w:rsidRDefault="00236C35" w:rsidP="00236C35">
      <w:r>
        <w:t>Unions Western Australia</w:t>
      </w:r>
    </w:p>
    <w:p w:rsidR="00236C35" w:rsidRDefault="00236C35" w:rsidP="00236C35"/>
    <w:p w:rsidR="00236C35" w:rsidRPr="00EE0861" w:rsidRDefault="00236C35" w:rsidP="00236C35">
      <w:pPr>
        <w:rPr>
          <w:i/>
        </w:rPr>
      </w:pPr>
      <w:r w:rsidRPr="00EE0861">
        <w:rPr>
          <w:i/>
        </w:rPr>
        <w:t>Cairns, Townsville and Charters Towers: 27–29 October 2014</w:t>
      </w:r>
    </w:p>
    <w:p w:rsidR="00ED0A78" w:rsidRDefault="00ED0A78" w:rsidP="00236C35">
      <w:r>
        <w:t>Cairns Regional Council – public event</w:t>
      </w:r>
    </w:p>
    <w:p w:rsidR="00236C35" w:rsidRDefault="00236C35" w:rsidP="00236C35">
      <w:r>
        <w:t xml:space="preserve">Charters Towers Regional Council </w:t>
      </w:r>
      <w:r w:rsidR="00ED0A78">
        <w:t>– public event</w:t>
      </w:r>
    </w:p>
    <w:p w:rsidR="00236C35" w:rsidRDefault="00236C35" w:rsidP="00236C35">
      <w:r>
        <w:t>Charters Towers School of Distance Education</w:t>
      </w:r>
    </w:p>
    <w:p w:rsidR="00236C35" w:rsidRDefault="00236C35" w:rsidP="00236C35">
      <w:r>
        <w:t xml:space="preserve">Cape York Institute </w:t>
      </w:r>
    </w:p>
    <w:p w:rsidR="00236C35" w:rsidRDefault="00236C35" w:rsidP="00236C35">
      <w:r>
        <w:t>Djarragun College</w:t>
      </w:r>
    </w:p>
    <w:p w:rsidR="00236C35" w:rsidRDefault="00236C35" w:rsidP="00236C35">
      <w:r>
        <w:t>Rotary Club of Townsville</w:t>
      </w:r>
    </w:p>
    <w:p w:rsidR="00236C35" w:rsidRDefault="00ED0A78" w:rsidP="00236C35">
      <w:r>
        <w:t>Townsville Correctional Centre</w:t>
      </w:r>
    </w:p>
    <w:p w:rsidR="00ED0A78" w:rsidRDefault="00ED0A78" w:rsidP="00236C35"/>
    <w:p w:rsidR="00236C35" w:rsidRPr="00EE0861" w:rsidRDefault="00ED0A78" w:rsidP="00236C35">
      <w:pPr>
        <w:rPr>
          <w:i/>
        </w:rPr>
      </w:pPr>
      <w:r>
        <w:rPr>
          <w:i/>
        </w:rPr>
        <w:lastRenderedPageBreak/>
        <w:t>Brisbane and Roma</w:t>
      </w:r>
      <w:r w:rsidR="00236C35" w:rsidRPr="00EE0861">
        <w:rPr>
          <w:i/>
        </w:rPr>
        <w:t>: 10–13 November 2014</w:t>
      </w:r>
    </w:p>
    <w:p w:rsidR="00ED0A78" w:rsidRDefault="00ED0A78" w:rsidP="00236C35">
      <w:r>
        <w:t>Aboriginal and Torres Strait Islander Legal Service (Qld) Ltd (ATSILS)</w:t>
      </w:r>
    </w:p>
    <w:p w:rsidR="00236C35" w:rsidRDefault="00236C35" w:rsidP="00236C35">
      <w:r>
        <w:t>Allens Linklaters Brisbane</w:t>
      </w:r>
      <w:r w:rsidR="00ED0A78">
        <w:t xml:space="preserve"> – public event</w:t>
      </w:r>
    </w:p>
    <w:p w:rsidR="00236C35" w:rsidRDefault="00236C35" w:rsidP="00236C35">
      <w:r>
        <w:t xml:space="preserve">Brisbane Women’s Correctional Centre </w:t>
      </w:r>
    </w:p>
    <w:p w:rsidR="00236C35" w:rsidRDefault="00ED0A78" w:rsidP="00236C35">
      <w:r>
        <w:t>Dr Valerie Cooms, Member</w:t>
      </w:r>
      <w:r w:rsidR="00236C35">
        <w:t xml:space="preserve"> National Native Title Tribunal </w:t>
      </w:r>
    </w:p>
    <w:p w:rsidR="00236C35" w:rsidRDefault="00236C35" w:rsidP="00236C35">
      <w:r>
        <w:t xml:space="preserve">Maranoa </w:t>
      </w:r>
      <w:r w:rsidR="00ED0A78">
        <w:t xml:space="preserve">Regional </w:t>
      </w:r>
      <w:r>
        <w:t>Council</w:t>
      </w:r>
    </w:p>
    <w:p w:rsidR="00236C35" w:rsidRDefault="00236C35" w:rsidP="00236C35">
      <w:r>
        <w:t>Origin Energy</w:t>
      </w:r>
    </w:p>
    <w:p w:rsidR="00236C35" w:rsidRDefault="00236C35" w:rsidP="00236C35">
      <w:r>
        <w:t xml:space="preserve">Santos Ltd </w:t>
      </w:r>
    </w:p>
    <w:p w:rsidR="00236C35" w:rsidRDefault="00236C35" w:rsidP="00236C35">
      <w:r>
        <w:t>Young Liberals</w:t>
      </w:r>
      <w:r w:rsidR="00ED0A78">
        <w:t xml:space="preserve"> State Council</w:t>
      </w:r>
    </w:p>
    <w:p w:rsidR="00236C35" w:rsidRDefault="00236C35" w:rsidP="00236C35"/>
    <w:p w:rsidR="00236C35" w:rsidRPr="00EE0861" w:rsidRDefault="00236C35" w:rsidP="00236C35">
      <w:pPr>
        <w:rPr>
          <w:i/>
        </w:rPr>
      </w:pPr>
      <w:r w:rsidRPr="00EE0861">
        <w:rPr>
          <w:i/>
        </w:rPr>
        <w:t>Sydney</w:t>
      </w:r>
      <w:r w:rsidR="009409D1">
        <w:rPr>
          <w:i/>
        </w:rPr>
        <w:t>*</w:t>
      </w:r>
      <w:r w:rsidRPr="00EE0861">
        <w:rPr>
          <w:i/>
        </w:rPr>
        <w:t xml:space="preserve"> and Singleton: 19–21 November 2014</w:t>
      </w:r>
    </w:p>
    <w:p w:rsidR="00236C35" w:rsidRDefault="00236C35" w:rsidP="00236C35">
      <w:r>
        <w:t>Professor Parkinson, Freedom 4 Faith</w:t>
      </w:r>
    </w:p>
    <w:p w:rsidR="00236C35" w:rsidRDefault="00236C35" w:rsidP="00236C35">
      <w:r>
        <w:t xml:space="preserve">The Centre for Independent Studies </w:t>
      </w:r>
      <w:r w:rsidR="00ED0A78">
        <w:t>– public event</w:t>
      </w:r>
    </w:p>
    <w:p w:rsidR="00236C35" w:rsidRDefault="00236C35" w:rsidP="00236C35">
      <w:r>
        <w:t xml:space="preserve">Singleton Council </w:t>
      </w:r>
      <w:r w:rsidR="00ED0A78">
        <w:t>– public event</w:t>
      </w:r>
    </w:p>
    <w:p w:rsidR="00236C35" w:rsidRDefault="00236C35" w:rsidP="00236C35"/>
    <w:p w:rsidR="00236C35" w:rsidRPr="00EE0861" w:rsidRDefault="00236C35" w:rsidP="00236C35">
      <w:pPr>
        <w:rPr>
          <w:i/>
        </w:rPr>
      </w:pPr>
      <w:r w:rsidRPr="00EE0861">
        <w:rPr>
          <w:i/>
        </w:rPr>
        <w:t>Hobart: 23–24 November 2014</w:t>
      </w:r>
    </w:p>
    <w:p w:rsidR="00236C35" w:rsidRDefault="00236C35" w:rsidP="00236C35">
      <w:r>
        <w:t>Amnesty International Tasmania</w:t>
      </w:r>
    </w:p>
    <w:p w:rsidR="00236C35" w:rsidRDefault="00236C35" w:rsidP="00236C35">
      <w:r>
        <w:t>Friends School</w:t>
      </w:r>
    </w:p>
    <w:p w:rsidR="00236C35" w:rsidRDefault="00236C35" w:rsidP="00236C35">
      <w:r>
        <w:t>National Disability Services</w:t>
      </w:r>
      <w:r w:rsidR="00ED0A78">
        <w:t xml:space="preserve"> – public event</w:t>
      </w:r>
    </w:p>
    <w:p w:rsidR="00236C35" w:rsidRDefault="00236C35" w:rsidP="00236C35"/>
    <w:p w:rsidR="00236C35" w:rsidRPr="009B1466" w:rsidRDefault="00236C35" w:rsidP="00236C35">
      <w:pPr>
        <w:rPr>
          <w:i/>
        </w:rPr>
      </w:pPr>
      <w:r w:rsidRPr="009B1466">
        <w:rPr>
          <w:i/>
        </w:rPr>
        <w:t>Melbourne</w:t>
      </w:r>
      <w:r w:rsidR="009409D1">
        <w:rPr>
          <w:i/>
        </w:rPr>
        <w:t>*</w:t>
      </w:r>
      <w:r w:rsidRPr="009B1466">
        <w:rPr>
          <w:i/>
        </w:rPr>
        <w:t>, Lorne and Shepparton: 25–27 November 2014</w:t>
      </w:r>
    </w:p>
    <w:p w:rsidR="00236C35" w:rsidRDefault="00236C35" w:rsidP="00236C35">
      <w:r>
        <w:t xml:space="preserve">Australian Institute of Administrative Law </w:t>
      </w:r>
    </w:p>
    <w:p w:rsidR="00236C35" w:rsidRDefault="00236C35" w:rsidP="00236C35">
      <w:r>
        <w:t>Greater Shepparton Council</w:t>
      </w:r>
    </w:p>
    <w:p w:rsidR="00236C35" w:rsidRDefault="00236C35" w:rsidP="00236C35">
      <w:r>
        <w:t>Insti</w:t>
      </w:r>
      <w:r w:rsidR="00EF6366">
        <w:t>tute of Public Affairs</w:t>
      </w:r>
    </w:p>
    <w:p w:rsidR="00236C35" w:rsidRDefault="00236C35" w:rsidP="00236C35">
      <w:r>
        <w:t>Lorne Historical Society</w:t>
      </w:r>
      <w:r w:rsidR="00EF6366">
        <w:t xml:space="preserve"> – public event</w:t>
      </w:r>
    </w:p>
    <w:p w:rsidR="00236C35" w:rsidRDefault="00236C35" w:rsidP="00236C35">
      <w:r>
        <w:t>Ross House</w:t>
      </w:r>
    </w:p>
    <w:p w:rsidR="00236C35" w:rsidRDefault="00236C35" w:rsidP="00236C35">
      <w:r>
        <w:t>St Brendan’s Parish</w:t>
      </w:r>
    </w:p>
    <w:p w:rsidR="00236C35" w:rsidRDefault="00236C35" w:rsidP="00236C35">
      <w:r>
        <w:t>Victorian Employers’ Chamber of Commerce and Industry</w:t>
      </w:r>
    </w:p>
    <w:p w:rsidR="00236C35" w:rsidRDefault="00236C35" w:rsidP="00236C35">
      <w:r>
        <w:lastRenderedPageBreak/>
        <w:t>Victorian Equal Opportunity and Human Rights Commission</w:t>
      </w:r>
      <w:r w:rsidR="00EF6366">
        <w:t xml:space="preserve"> – public event</w:t>
      </w:r>
    </w:p>
    <w:p w:rsidR="008E3D0E" w:rsidRPr="009409D1" w:rsidRDefault="008E3D0E" w:rsidP="00D908AB">
      <w:pPr>
        <w:pStyle w:val="SubmissionNormal"/>
        <w:numPr>
          <w:ilvl w:val="0"/>
          <w:numId w:val="0"/>
        </w:numPr>
      </w:pPr>
    </w:p>
    <w:p w:rsidR="009409D1" w:rsidRPr="009409D1" w:rsidRDefault="009409D1" w:rsidP="009409D1">
      <w:pPr>
        <w:pStyle w:val="SubmissionNormal"/>
        <w:numPr>
          <w:ilvl w:val="0"/>
          <w:numId w:val="0"/>
        </w:numPr>
      </w:pPr>
      <w:r>
        <w:t>* Since commencing on 18 February 2014, the Human Rights Commissioner has met extensively with organisations and individuals in Sydney, Canberra and Melbourne. Their views have also been considered in the drafting of this Report.</w:t>
      </w:r>
    </w:p>
    <w:p w:rsidR="009409D1" w:rsidRPr="009409D1" w:rsidRDefault="009409D1" w:rsidP="00D908AB">
      <w:pPr>
        <w:pStyle w:val="SubmissionNormal"/>
        <w:numPr>
          <w:ilvl w:val="0"/>
          <w:numId w:val="0"/>
        </w:numPr>
      </w:pPr>
    </w:p>
    <w:sectPr w:rsidR="009409D1" w:rsidRPr="009409D1" w:rsidSect="00B63D24">
      <w:headerReference w:type="even" r:id="rId23"/>
      <w:headerReference w:type="default" r:id="rId24"/>
      <w:footerReference w:type="default" r:id="rId25"/>
      <w:headerReference w:type="first" r:id="rId2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C2" w:rsidRDefault="005279C2" w:rsidP="00F14C6D">
      <w:r>
        <w:separator/>
      </w:r>
    </w:p>
  </w:endnote>
  <w:endnote w:type="continuationSeparator" w:id="0">
    <w:p w:rsidR="005279C2" w:rsidRDefault="005279C2" w:rsidP="00F14C6D">
      <w:r>
        <w:continuationSeparator/>
      </w:r>
    </w:p>
  </w:endnote>
  <w:endnote w:id="1">
    <w:p w:rsidR="005279C2" w:rsidRDefault="005279C2" w:rsidP="00106339">
      <w:pPr>
        <w:pStyle w:val="EndnoteText"/>
      </w:pPr>
      <w:r>
        <w:rPr>
          <w:rStyle w:val="EndnoteReference"/>
        </w:rPr>
        <w:endnoteRef/>
      </w:r>
      <w:r>
        <w:t xml:space="preserve"> Australian Human Rights Commission, </w:t>
      </w:r>
      <w:r w:rsidRPr="009A0127">
        <w:rPr>
          <w:i/>
        </w:rPr>
        <w:t>Free Speech 2014 Symposium Papers</w:t>
      </w:r>
      <w:r>
        <w:t xml:space="preserve"> (7 August 2014). At </w:t>
      </w:r>
      <w:r w:rsidRPr="00226E3D">
        <w:t>http://www.humanrights.gov.au/our-work/rights-and-freedoms/publications/free-speech-2014-symposium-papers</w:t>
      </w:r>
      <w:r>
        <w:t xml:space="preserve"> (viewed 17 February 2015).</w:t>
      </w:r>
    </w:p>
  </w:endnote>
  <w:endnote w:id="2">
    <w:p w:rsidR="005279C2" w:rsidRPr="00755099" w:rsidRDefault="005279C2">
      <w:pPr>
        <w:pStyle w:val="EndnoteText"/>
        <w:rPr>
          <w:lang w:val="en-US"/>
        </w:rPr>
      </w:pPr>
      <w:r>
        <w:rPr>
          <w:rStyle w:val="EndnoteReference"/>
        </w:rPr>
        <w:endnoteRef/>
      </w:r>
      <w:r>
        <w:t xml:space="preserve"> </w:t>
      </w:r>
      <w:r>
        <w:rPr>
          <w:lang w:val="en-US"/>
        </w:rPr>
        <w:t xml:space="preserve">The </w:t>
      </w:r>
      <w:r w:rsidRPr="00755099">
        <w:rPr>
          <w:i/>
          <w:lang w:val="en-US"/>
        </w:rPr>
        <w:t>Rights &amp; Responsibilities 2014</w:t>
      </w:r>
      <w:r>
        <w:rPr>
          <w:lang w:val="en-US"/>
        </w:rPr>
        <w:t xml:space="preserve"> consultation was separate to the inquiry being undertaken by the Australian Law Reform Commission about ‘traditional rights, freedoms and privileges’ in Commonwealth laws – see </w:t>
      </w:r>
      <w:r w:rsidRPr="00755099">
        <w:rPr>
          <w:lang w:val="en-US"/>
        </w:rPr>
        <w:t>http://www.alrc.gov.au/inquiries/freedoms</w:t>
      </w:r>
      <w:r>
        <w:rPr>
          <w:lang w:val="en-US"/>
        </w:rPr>
        <w:t xml:space="preserve"> (viewed 12 March 2015).</w:t>
      </w:r>
    </w:p>
  </w:endnote>
  <w:endnote w:id="3">
    <w:p w:rsidR="005279C2" w:rsidRPr="00F624CF" w:rsidRDefault="005279C2" w:rsidP="00E32B64">
      <w:pPr>
        <w:pStyle w:val="EndnoteText"/>
      </w:pPr>
      <w:r>
        <w:rPr>
          <w:rStyle w:val="EndnoteReference"/>
        </w:rPr>
        <w:endnoteRef/>
      </w:r>
      <w:r>
        <w:t xml:space="preserve"> A copy of the discussion paper is available at </w:t>
      </w:r>
      <w:r w:rsidRPr="00226E3D">
        <w:t>http://www.humanrights.gov.au/our-work/rights-and-freedoms/projects/rights-responsibilities-2014</w:t>
      </w:r>
      <w:r w:rsidRPr="00F624CF">
        <w:t>.</w:t>
      </w:r>
    </w:p>
  </w:endnote>
  <w:endnote w:id="4">
    <w:p w:rsidR="005279C2" w:rsidRDefault="005279C2" w:rsidP="00E32B64">
      <w:pPr>
        <w:pStyle w:val="EndnoteText"/>
      </w:pPr>
      <w:r>
        <w:rPr>
          <w:rStyle w:val="EndnoteReference"/>
        </w:rPr>
        <w:endnoteRef/>
      </w:r>
      <w:r>
        <w:t xml:space="preserve"> The survey contained both closed and open questions on the rights to freedom of opinion, expression, religion and association, and property rights.</w:t>
      </w:r>
    </w:p>
  </w:endnote>
  <w:endnote w:id="5">
    <w:p w:rsidR="005279C2" w:rsidRPr="005A39BE" w:rsidRDefault="005279C2" w:rsidP="00B260BF">
      <w:pPr>
        <w:pStyle w:val="EndnoteText"/>
        <w:rPr>
          <w:lang w:val="en-US"/>
        </w:rPr>
      </w:pPr>
      <w:r>
        <w:rPr>
          <w:rStyle w:val="EndnoteReference"/>
        </w:rPr>
        <w:endnoteRef/>
      </w:r>
      <w:r>
        <w:t xml:space="preserve"> </w:t>
      </w:r>
      <w:r>
        <w:rPr>
          <w:lang w:val="en-US"/>
        </w:rPr>
        <w:t>Information to identify people who completed the online survey was collected only to ensure data validity and reliability.</w:t>
      </w:r>
    </w:p>
  </w:endnote>
  <w:endnote w:id="6">
    <w:p w:rsidR="005279C2" w:rsidRDefault="005279C2" w:rsidP="00351F99">
      <w:pPr>
        <w:pStyle w:val="EndnoteText"/>
      </w:pPr>
      <w:r>
        <w:rPr>
          <w:rStyle w:val="EndnoteReference"/>
        </w:rPr>
        <w:endnoteRef/>
      </w:r>
      <w:r>
        <w:t xml:space="preserve"> Sources include Commonwealth, state/territory government documents; research undertaken by civil society, the non-government sector and business organisations; and media sources.</w:t>
      </w:r>
    </w:p>
  </w:endnote>
  <w:endnote w:id="7">
    <w:p w:rsidR="005279C2" w:rsidRDefault="005279C2" w:rsidP="009D24D2">
      <w:pPr>
        <w:pStyle w:val="EndnoteText"/>
      </w:pPr>
      <w:r>
        <w:rPr>
          <w:rStyle w:val="EndnoteReference"/>
        </w:rPr>
        <w:endnoteRef/>
      </w:r>
      <w:r>
        <w:t xml:space="preserve"> </w:t>
      </w:r>
      <w:r>
        <w:rPr>
          <w:lang w:val="en-US"/>
        </w:rPr>
        <w:t xml:space="preserve">Australian Human Rights Commission, </w:t>
      </w:r>
      <w:r w:rsidRPr="009A0127">
        <w:rPr>
          <w:i/>
        </w:rPr>
        <w:t>Free Speech 2014 Symposium Papers</w:t>
      </w:r>
      <w:r>
        <w:t xml:space="preserve"> (7 August 2014). At </w:t>
      </w:r>
      <w:r w:rsidRPr="00226E3D">
        <w:t>http://www.humanrights.gov.au/our-work/rights-and-freedoms/publications/free-speech-2014-symposium-papers</w:t>
      </w:r>
      <w:r>
        <w:t xml:space="preserve"> (viewed 17 February 2015).</w:t>
      </w:r>
    </w:p>
  </w:endnote>
  <w:endnote w:id="8">
    <w:p w:rsidR="005279C2" w:rsidRDefault="005279C2">
      <w:pPr>
        <w:pStyle w:val="EndnoteText"/>
      </w:pPr>
      <w:r>
        <w:rPr>
          <w:rStyle w:val="EndnoteReference"/>
        </w:rPr>
        <w:endnoteRef/>
      </w:r>
      <w:r>
        <w:t xml:space="preserve"> G Triggs, President, </w:t>
      </w:r>
      <w:r w:rsidRPr="006550BA">
        <w:rPr>
          <w:i/>
        </w:rPr>
        <w:t>The Forgotten Children:</w:t>
      </w:r>
      <w:r>
        <w:t xml:space="preserve"> </w:t>
      </w:r>
      <w:r w:rsidRPr="00211AF9">
        <w:rPr>
          <w:i/>
          <w:lang w:val="en-US"/>
        </w:rPr>
        <w:t xml:space="preserve">Inquiry into Children in </w:t>
      </w:r>
      <w:r>
        <w:rPr>
          <w:i/>
          <w:lang w:val="en-US"/>
        </w:rPr>
        <w:t xml:space="preserve">Immigration Detention, </w:t>
      </w:r>
      <w:r>
        <w:t>Australian Human Rights Commission</w:t>
      </w:r>
      <w:r>
        <w:rPr>
          <w:lang w:val="en-US"/>
        </w:rPr>
        <w:t xml:space="preserve"> (2015). At </w:t>
      </w:r>
      <w:r w:rsidRPr="00226E3D">
        <w:rPr>
          <w:lang w:val="en-US"/>
        </w:rPr>
        <w:t>http://www.humanrights.gov.au/publications/forgotten-children-national-inquiry-children-immigration-detention-2014</w:t>
      </w:r>
      <w:r>
        <w:rPr>
          <w:lang w:val="en-US"/>
        </w:rPr>
        <w:t xml:space="preserve"> (viewed 17 February 2015).</w:t>
      </w:r>
    </w:p>
  </w:endnote>
  <w:endnote w:id="9">
    <w:p w:rsidR="005279C2" w:rsidRPr="007E34DD" w:rsidRDefault="005279C2">
      <w:pPr>
        <w:pStyle w:val="EndnoteText"/>
        <w:rPr>
          <w:lang w:val="en-US"/>
        </w:rPr>
      </w:pPr>
      <w:r>
        <w:rPr>
          <w:rStyle w:val="EndnoteReference"/>
        </w:rPr>
        <w:endnoteRef/>
      </w:r>
      <w:r>
        <w:t xml:space="preserve"> </w:t>
      </w:r>
      <w:r>
        <w:rPr>
          <w:rFonts w:cs="Arial"/>
        </w:rPr>
        <w:t xml:space="preserve">The </w:t>
      </w:r>
      <w:r>
        <w:t>right</w:t>
      </w:r>
      <w:r>
        <w:rPr>
          <w:rFonts w:cs="Arial"/>
        </w:rPr>
        <w:t xml:space="preserve"> to freedom of expression is set out in Articles 19 and 20 of the </w:t>
      </w:r>
      <w:r>
        <w:rPr>
          <w:rFonts w:cs="Arial"/>
          <w:i/>
        </w:rPr>
        <w:t>International Covenant on Civil and Political Rights</w:t>
      </w:r>
      <w:r>
        <w:rPr>
          <w:rFonts w:cs="Arial"/>
        </w:rPr>
        <w:t xml:space="preserve">; </w:t>
      </w:r>
      <w:r>
        <w:rPr>
          <w:lang w:val="en-US"/>
        </w:rPr>
        <w:t xml:space="preserve">Articles 4 and 5(d)(viii) of the </w:t>
      </w:r>
      <w:r>
        <w:rPr>
          <w:i/>
          <w:lang w:val="en-US"/>
        </w:rPr>
        <w:t>International Convention on Elimination of All Forms of Racial Discrimination</w:t>
      </w:r>
      <w:r>
        <w:rPr>
          <w:lang w:val="en-US"/>
        </w:rPr>
        <w:t xml:space="preserve">; Articles 12 and 13 of the </w:t>
      </w:r>
      <w:r>
        <w:rPr>
          <w:i/>
          <w:lang w:val="en-US"/>
        </w:rPr>
        <w:t>Convention on the Rights of the Child</w:t>
      </w:r>
      <w:r>
        <w:rPr>
          <w:lang w:val="en-US"/>
        </w:rPr>
        <w:t xml:space="preserve">; and Article 21 of the </w:t>
      </w:r>
      <w:r>
        <w:rPr>
          <w:i/>
          <w:lang w:val="en-US"/>
        </w:rPr>
        <w:t>Convention on the Rights of Person with Disabilities</w:t>
      </w:r>
      <w:r>
        <w:rPr>
          <w:lang w:val="en-US"/>
        </w:rPr>
        <w:t>.</w:t>
      </w:r>
    </w:p>
  </w:endnote>
  <w:endnote w:id="10">
    <w:p w:rsidR="005279C2" w:rsidRPr="00FE5579" w:rsidRDefault="005279C2">
      <w:pPr>
        <w:pStyle w:val="EndnoteText"/>
        <w:rPr>
          <w:lang w:val="en-US"/>
        </w:rPr>
      </w:pPr>
      <w:r w:rsidRPr="00FE5579">
        <w:rPr>
          <w:rStyle w:val="EndnoteReference"/>
        </w:rPr>
        <w:endnoteRef/>
      </w:r>
      <w:r w:rsidRPr="00FE5579">
        <w:t xml:space="preserve"> </w:t>
      </w:r>
      <w:r w:rsidRPr="00FE5579">
        <w:rPr>
          <w:lang w:val="en"/>
        </w:rPr>
        <w:t xml:space="preserve">Human Rights Committee, </w:t>
      </w:r>
      <w:r w:rsidRPr="00FE5579">
        <w:rPr>
          <w:i/>
          <w:iCs/>
          <w:lang w:val="en"/>
        </w:rPr>
        <w:t>General Comment No. 34 Article 19: Freedom of opinion and expression International Covenant on Civil and Political Rights</w:t>
      </w:r>
      <w:r w:rsidRPr="00FE5579">
        <w:rPr>
          <w:lang w:val="en"/>
        </w:rPr>
        <w:t xml:space="preserve">, UN Doc CCPR/C/GC/34, paras 2 and 4. At </w:t>
      </w:r>
      <w:r w:rsidRPr="00226E3D">
        <w:rPr>
          <w:lang w:val="en"/>
        </w:rPr>
        <w:t>http://tbinternet.ohchr.org/_layouts/treatybodyexternal/TBSearch.aspx?Lang=en&amp;TreatyID=8&amp;DocTypeID=11</w:t>
      </w:r>
      <w:r>
        <w:rPr>
          <w:lang w:val="en"/>
        </w:rPr>
        <w:t xml:space="preserve"> (viewed 17</w:t>
      </w:r>
      <w:r w:rsidRPr="00FE5579">
        <w:rPr>
          <w:lang w:val="en"/>
        </w:rPr>
        <w:t xml:space="preserve"> February 2015).</w:t>
      </w:r>
    </w:p>
  </w:endnote>
  <w:endnote w:id="11">
    <w:p w:rsidR="005279C2" w:rsidRPr="005E469E" w:rsidRDefault="005279C2" w:rsidP="00E15E79">
      <w:pPr>
        <w:pStyle w:val="EndnoteText"/>
      </w:pPr>
      <w:r w:rsidRPr="005E469E">
        <w:rPr>
          <w:rStyle w:val="EndnoteReference"/>
        </w:rPr>
        <w:endnoteRef/>
      </w:r>
      <w:r w:rsidRPr="005E469E">
        <w:t xml:space="preserve"> F La Rue, </w:t>
      </w:r>
      <w:r w:rsidRPr="005E469E">
        <w:rPr>
          <w:i/>
        </w:rPr>
        <w:t>Annual</w:t>
      </w:r>
      <w:r w:rsidRPr="005E469E">
        <w:t xml:space="preserve"> </w:t>
      </w:r>
      <w:r w:rsidRPr="005E469E">
        <w:rPr>
          <w:i/>
        </w:rPr>
        <w:t>Report of the Special Rapporteur on the promotion and protection of the right to freedom of expression and opinion</w:t>
      </w:r>
      <w:r w:rsidRPr="005E469E">
        <w:t>, UN Doc: A/HRC/14/23, 20 April 2010, para 27.</w:t>
      </w:r>
    </w:p>
  </w:endnote>
  <w:endnote w:id="12">
    <w:p w:rsidR="005279C2" w:rsidRDefault="005279C2">
      <w:pPr>
        <w:pStyle w:val="EndnoteText"/>
      </w:pPr>
      <w:r>
        <w:rPr>
          <w:rStyle w:val="EndnoteReference"/>
        </w:rPr>
        <w:endnoteRef/>
      </w:r>
      <w:r>
        <w:t xml:space="preserve"> Attorney General’s Department, </w:t>
      </w:r>
      <w:r w:rsidRPr="009B51DB">
        <w:rPr>
          <w:i/>
        </w:rPr>
        <w:t>Right to freedom of opinion and expression</w:t>
      </w:r>
      <w:r>
        <w:t xml:space="preserve">. At </w:t>
      </w:r>
      <w:r w:rsidRPr="009B51DB">
        <w:t>http://www.ag.gov.au/RightsAndProtections/HumanRights/PublicSectorGuidanceSheets/Pages/Righttofreedomofopinionandexpression.aspx</w:t>
      </w:r>
      <w:r>
        <w:t xml:space="preserve"> (viewed 3 March 2015).</w:t>
      </w:r>
    </w:p>
  </w:endnote>
  <w:endnote w:id="13">
    <w:p w:rsidR="005279C2" w:rsidRPr="005E469E" w:rsidRDefault="005279C2" w:rsidP="00E15E79">
      <w:pPr>
        <w:pStyle w:val="EndnoteText"/>
      </w:pPr>
      <w:r w:rsidRPr="005E469E">
        <w:rPr>
          <w:rStyle w:val="EndnoteReference"/>
        </w:rPr>
        <w:endnoteRef/>
      </w:r>
      <w:r w:rsidRPr="005E469E">
        <w:t xml:space="preserve"> </w:t>
      </w:r>
      <w:r w:rsidRPr="005E469E">
        <w:rPr>
          <w:rFonts w:cs="Arial"/>
        </w:rPr>
        <w:t xml:space="preserve">Article 20(2) of the </w:t>
      </w:r>
      <w:r w:rsidRPr="005E469E">
        <w:rPr>
          <w:rFonts w:cs="Arial"/>
          <w:i/>
        </w:rPr>
        <w:t>International Covenant on Civil and Political Rights.</w:t>
      </w:r>
    </w:p>
  </w:endnote>
  <w:endnote w:id="14">
    <w:p w:rsidR="005279C2" w:rsidRPr="00876D70" w:rsidRDefault="005279C2">
      <w:pPr>
        <w:pStyle w:val="EndnoteText"/>
        <w:rPr>
          <w:lang w:val="en-US"/>
        </w:rPr>
      </w:pPr>
      <w:r>
        <w:rPr>
          <w:rStyle w:val="EndnoteReference"/>
        </w:rPr>
        <w:endnoteRef/>
      </w:r>
      <w:r>
        <w:t xml:space="preserve"> </w:t>
      </w:r>
      <w:r w:rsidRPr="00226E3D">
        <w:rPr>
          <w:rStyle w:val="Emphasis"/>
          <w:lang w:val="en"/>
        </w:rPr>
        <w:t>Lange v Australian Broadcasting Corporation</w:t>
      </w:r>
      <w:r w:rsidRPr="00226E3D">
        <w:rPr>
          <w:lang w:val="en"/>
        </w:rPr>
        <w:t xml:space="preserve"> (</w:t>
      </w:r>
      <w:r>
        <w:rPr>
          <w:lang w:val="en"/>
        </w:rPr>
        <w:t>1997) 145 ALR 96.</w:t>
      </w:r>
    </w:p>
  </w:endnote>
  <w:endnote w:id="15">
    <w:p w:rsidR="005279C2" w:rsidRPr="00F400C6" w:rsidRDefault="005279C2" w:rsidP="00F400C6">
      <w:pPr>
        <w:pStyle w:val="EndnoteText"/>
        <w:rPr>
          <w:rFonts w:eastAsiaTheme="minorHAnsi" w:cs="Arial"/>
        </w:rPr>
      </w:pPr>
      <w:r>
        <w:rPr>
          <w:rStyle w:val="EndnoteReference"/>
        </w:rPr>
        <w:endnoteRef/>
      </w:r>
      <w:r>
        <w:t xml:space="preserve"> </w:t>
      </w:r>
      <w:r>
        <w:rPr>
          <w:rFonts w:cs="Arial"/>
        </w:rPr>
        <w:t>As at 12</w:t>
      </w:r>
      <w:r w:rsidRPr="00F400C6">
        <w:rPr>
          <w:rFonts w:cs="Arial"/>
        </w:rPr>
        <w:t xml:space="preserve"> March 2015, the Summary Offences Amendment (Move-on Laws) Bill 2015, which repeals restrictive laws </w:t>
      </w:r>
      <w:r w:rsidRPr="00F400C6">
        <w:rPr>
          <w:lang w:val="en-US"/>
        </w:rPr>
        <w:t>regulating</w:t>
      </w:r>
      <w:r w:rsidRPr="00F400C6">
        <w:rPr>
          <w:rFonts w:cs="Arial"/>
        </w:rPr>
        <w:t xml:space="preserve"> protests, has passed the Victorian Legislative Assembly and is </w:t>
      </w:r>
      <w:r>
        <w:rPr>
          <w:rFonts w:cs="Arial"/>
        </w:rPr>
        <w:t>before the Legislative Council.</w:t>
      </w:r>
    </w:p>
  </w:endnote>
  <w:endnote w:id="16">
    <w:p w:rsidR="005279C2" w:rsidRPr="00E00F1F" w:rsidRDefault="005279C2">
      <w:pPr>
        <w:pStyle w:val="EndnoteText"/>
        <w:rPr>
          <w:lang w:val="en-US"/>
        </w:rPr>
      </w:pPr>
      <w:r>
        <w:rPr>
          <w:rStyle w:val="EndnoteReference"/>
        </w:rPr>
        <w:endnoteRef/>
      </w:r>
      <w:r>
        <w:t xml:space="preserve"> </w:t>
      </w:r>
      <w:r>
        <w:rPr>
          <w:lang w:val="en-US"/>
        </w:rPr>
        <w:t xml:space="preserve">M Kiai, </w:t>
      </w:r>
      <w:r w:rsidRPr="00BF756C">
        <w:rPr>
          <w:i/>
          <w:lang w:val="en-US"/>
        </w:rPr>
        <w:t>Report of the Special Rapporteur on the rights to freedom of peaceful assembly and of association</w:t>
      </w:r>
      <w:r>
        <w:rPr>
          <w:lang w:val="en-US"/>
        </w:rPr>
        <w:t>, UN Doc: A/HRC/23/39, 24 April 2013, para 47.</w:t>
      </w:r>
    </w:p>
  </w:endnote>
  <w:endnote w:id="17">
    <w:p w:rsidR="005279C2" w:rsidRPr="00226E3D" w:rsidRDefault="005279C2" w:rsidP="00226E3D">
      <w:pPr>
        <w:pStyle w:val="EndnoteText"/>
        <w:tabs>
          <w:tab w:val="left" w:pos="142"/>
        </w:tabs>
      </w:pPr>
      <w:r w:rsidRPr="00226E3D">
        <w:rPr>
          <w:rStyle w:val="EndnoteReference"/>
        </w:rPr>
        <w:endnoteRef/>
      </w:r>
      <w:r w:rsidRPr="00226E3D">
        <w:t xml:space="preserve"> Australian Law Reform Commission, </w:t>
      </w:r>
      <w:r w:rsidRPr="00226E3D">
        <w:rPr>
          <w:i/>
        </w:rPr>
        <w:t>Freedoms Inquiry</w:t>
      </w:r>
      <w:r w:rsidRPr="00226E3D">
        <w:t>. At</w:t>
      </w:r>
      <w:r>
        <w:t xml:space="preserve"> </w:t>
      </w:r>
      <w:r w:rsidRPr="00AE59E9">
        <w:t>http://www.alrc.gov.au/inquiries/freedoms</w:t>
      </w:r>
      <w:r w:rsidRPr="00226E3D">
        <w:t xml:space="preserve"> (viewed 17 February 2015).</w:t>
      </w:r>
    </w:p>
  </w:endnote>
  <w:endnote w:id="18">
    <w:p w:rsidR="005279C2" w:rsidRPr="00586AF3" w:rsidRDefault="005279C2" w:rsidP="0061752C">
      <w:pPr>
        <w:pStyle w:val="EndnoteText"/>
        <w:rPr>
          <w:lang w:val="en-US"/>
        </w:rPr>
      </w:pPr>
      <w:r w:rsidRPr="00226E3D">
        <w:rPr>
          <w:rStyle w:val="EndnoteReference"/>
        </w:rPr>
        <w:endnoteRef/>
      </w:r>
      <w:r w:rsidRPr="00226E3D">
        <w:t xml:space="preserve"> Australian Law Reform Commission, </w:t>
      </w:r>
      <w:r w:rsidRPr="00226E3D">
        <w:rPr>
          <w:i/>
        </w:rPr>
        <w:t>Serious Invasions of Privacy</w:t>
      </w:r>
      <w:r w:rsidRPr="00226E3D">
        <w:t xml:space="preserve"> (2014). At </w:t>
      </w:r>
      <w:r w:rsidRPr="00AE59E9">
        <w:rPr>
          <w:rStyle w:val="Hyperlink"/>
          <w:color w:val="auto"/>
          <w:u w:val="none"/>
        </w:rPr>
        <w:t>http://www.alrc.gov.au/inquiries/invasions-privacy</w:t>
      </w:r>
      <w:r w:rsidRPr="001C3FD4">
        <w:t xml:space="preserve"> </w:t>
      </w:r>
      <w:r>
        <w:t>(viewed 17 February 2015).</w:t>
      </w:r>
    </w:p>
  </w:endnote>
  <w:endnote w:id="19">
    <w:p w:rsidR="005279C2" w:rsidRPr="005E469E" w:rsidRDefault="005279C2" w:rsidP="00D25979">
      <w:pPr>
        <w:pStyle w:val="EndnoteText"/>
        <w:rPr>
          <w:rFonts w:cs="Arial"/>
          <w:sz w:val="22"/>
          <w:szCs w:val="22"/>
        </w:rPr>
      </w:pPr>
      <w:r w:rsidRPr="005E469E">
        <w:rPr>
          <w:rStyle w:val="EndnoteReference"/>
        </w:rPr>
        <w:endnoteRef/>
      </w:r>
      <w:r w:rsidRPr="005E469E">
        <w:t xml:space="preserve"> </w:t>
      </w:r>
      <w:r w:rsidRPr="005E469E">
        <w:rPr>
          <w:rFonts w:cs="Arial"/>
          <w:lang w:val="en-US"/>
        </w:rPr>
        <w:t xml:space="preserve">The </w:t>
      </w:r>
      <w:r w:rsidRPr="005E469E">
        <w:rPr>
          <w:rFonts w:cs="Arial"/>
        </w:rPr>
        <w:t>Australian</w:t>
      </w:r>
      <w:r w:rsidRPr="005E469E">
        <w:rPr>
          <w:rFonts w:cs="Arial"/>
          <w:lang w:val="en-US"/>
        </w:rPr>
        <w:t xml:space="preserve"> Interactive Media Industry Association Digital Policy Group (AIMIA) represents 460 digital players in the Australian digital industry, with membership of the AIMIA Digital Policy Group’s Cyber-safety Sub-group including Yahoo!7, Google, Facebook, eBay, Microsoft and Twitter.</w:t>
      </w:r>
    </w:p>
  </w:endnote>
  <w:endnote w:id="20">
    <w:p w:rsidR="005279C2" w:rsidRPr="005E469E" w:rsidRDefault="005279C2" w:rsidP="00D25979">
      <w:pPr>
        <w:pStyle w:val="EndnoteText"/>
        <w:rPr>
          <w:lang w:val="en-US"/>
        </w:rPr>
      </w:pPr>
      <w:r w:rsidRPr="005E469E">
        <w:rPr>
          <w:rStyle w:val="EndnoteReference"/>
        </w:rPr>
        <w:endnoteRef/>
      </w:r>
      <w:r w:rsidRPr="005E469E">
        <w:t xml:space="preserve"> </w:t>
      </w:r>
      <w:r w:rsidRPr="005E469E">
        <w:rPr>
          <w:i/>
        </w:rPr>
        <w:t>The Twitter Rules</w:t>
      </w:r>
      <w:r w:rsidRPr="005E469E">
        <w:t xml:space="preserve">. At </w:t>
      </w:r>
      <w:r w:rsidRPr="00AE59E9">
        <w:t xml:space="preserve">https://support.twitter.com/articles/18311-the-twitter-rules# </w:t>
      </w:r>
      <w:r>
        <w:t>(viewed 17 February 2015</w:t>
      </w:r>
      <w:r w:rsidRPr="005E469E">
        <w:t>).</w:t>
      </w:r>
    </w:p>
  </w:endnote>
  <w:endnote w:id="21">
    <w:p w:rsidR="005279C2" w:rsidRPr="005E469E" w:rsidRDefault="005279C2" w:rsidP="00D25979">
      <w:pPr>
        <w:pStyle w:val="EndnoteText"/>
        <w:rPr>
          <w:lang w:val="en-US"/>
        </w:rPr>
      </w:pPr>
      <w:r w:rsidRPr="005E469E">
        <w:rPr>
          <w:rStyle w:val="EndnoteReference"/>
        </w:rPr>
        <w:endnoteRef/>
      </w:r>
      <w:r w:rsidRPr="005E469E">
        <w:t xml:space="preserve"> </w:t>
      </w:r>
      <w:r w:rsidRPr="005B5F8A">
        <w:t>Microsoft</w:t>
      </w:r>
      <w:r w:rsidR="005B5F8A" w:rsidRPr="005B5F8A">
        <w:t>,</w:t>
      </w:r>
      <w:r w:rsidRPr="005B5F8A">
        <w:t xml:space="preserve"> </w:t>
      </w:r>
      <w:r w:rsidRPr="005E469E">
        <w:rPr>
          <w:i/>
        </w:rPr>
        <w:t>Terms of Use</w:t>
      </w:r>
      <w:r w:rsidRPr="005E469E">
        <w:t>. At</w:t>
      </w:r>
      <w:r>
        <w:t xml:space="preserve"> </w:t>
      </w:r>
      <w:r w:rsidRPr="00AE59E9">
        <w:t>http://www.microsoft.com/en-us/legal/intellectualproperty/copyright/default.aspx</w:t>
      </w:r>
      <w:r w:rsidRPr="005E469E">
        <w:t xml:space="preserve"> (</w:t>
      </w:r>
      <w:r>
        <w:t>viewed 17 February 2015</w:t>
      </w:r>
      <w:r w:rsidRPr="005E469E">
        <w:t>).</w:t>
      </w:r>
    </w:p>
  </w:endnote>
  <w:endnote w:id="22">
    <w:p w:rsidR="005279C2" w:rsidRPr="005E469E" w:rsidRDefault="005279C2" w:rsidP="00D25979">
      <w:pPr>
        <w:pStyle w:val="EndnoteText"/>
        <w:rPr>
          <w:lang w:val="en-US"/>
        </w:rPr>
      </w:pPr>
      <w:r w:rsidRPr="005E469E">
        <w:rPr>
          <w:rStyle w:val="EndnoteReference"/>
        </w:rPr>
        <w:endnoteRef/>
      </w:r>
      <w:r w:rsidRPr="005E469E">
        <w:t xml:space="preserve"> </w:t>
      </w:r>
      <w:r w:rsidRPr="005B5F8A">
        <w:t>Facebook</w:t>
      </w:r>
      <w:r w:rsidR="005B5F8A">
        <w:t>,</w:t>
      </w:r>
      <w:r w:rsidRPr="005B5F8A">
        <w:rPr>
          <w:i/>
        </w:rPr>
        <w:t xml:space="preserve"> </w:t>
      </w:r>
      <w:r w:rsidRPr="005E469E">
        <w:rPr>
          <w:i/>
        </w:rPr>
        <w:t>Community Standards</w:t>
      </w:r>
      <w:r w:rsidRPr="005E469E">
        <w:t xml:space="preserve">. At </w:t>
      </w:r>
      <w:r w:rsidRPr="00AE59E9">
        <w:t>https://www.facebook.com/communitystandards</w:t>
      </w:r>
      <w:r>
        <w:t xml:space="preserve"> </w:t>
      </w:r>
      <w:r w:rsidRPr="005E469E">
        <w:t>(</w:t>
      </w:r>
      <w:r>
        <w:t>viewed 17 February 2015</w:t>
      </w:r>
      <w:r w:rsidRPr="005E469E">
        <w:t>).</w:t>
      </w:r>
    </w:p>
  </w:endnote>
  <w:endnote w:id="23">
    <w:p w:rsidR="005279C2" w:rsidRPr="005E469E" w:rsidRDefault="005279C2" w:rsidP="00D25979">
      <w:pPr>
        <w:pStyle w:val="EndnoteText"/>
        <w:rPr>
          <w:lang w:val="en-US"/>
        </w:rPr>
      </w:pPr>
      <w:r w:rsidRPr="005E469E">
        <w:rPr>
          <w:rStyle w:val="EndnoteReference"/>
        </w:rPr>
        <w:endnoteRef/>
      </w:r>
      <w:r w:rsidRPr="005E469E">
        <w:t xml:space="preserve"> </w:t>
      </w:r>
      <w:r w:rsidRPr="005B5F8A">
        <w:t>YouTube</w:t>
      </w:r>
      <w:r w:rsidR="005B5F8A">
        <w:t>,</w:t>
      </w:r>
      <w:r w:rsidRPr="005B5F8A">
        <w:rPr>
          <w:i/>
        </w:rPr>
        <w:t xml:space="preserve"> </w:t>
      </w:r>
      <w:r w:rsidRPr="005E469E">
        <w:rPr>
          <w:i/>
        </w:rPr>
        <w:t>Community Guidelines</w:t>
      </w:r>
      <w:r w:rsidRPr="005E469E">
        <w:t>. At</w:t>
      </w:r>
      <w:r>
        <w:t xml:space="preserve"> </w:t>
      </w:r>
      <w:r w:rsidRPr="00AE59E9">
        <w:t>https://www.youtube.com/t/community_guidelines</w:t>
      </w:r>
      <w:r w:rsidRPr="005E469E">
        <w:t xml:space="preserve"> (</w:t>
      </w:r>
      <w:r>
        <w:t>viewed 17 February 2015</w:t>
      </w:r>
      <w:r w:rsidRPr="005E469E">
        <w:t>).</w:t>
      </w:r>
    </w:p>
  </w:endnote>
  <w:endnote w:id="24">
    <w:p w:rsidR="005279C2" w:rsidRPr="005E469E" w:rsidRDefault="005279C2" w:rsidP="00D25979">
      <w:pPr>
        <w:pStyle w:val="EndnoteText"/>
        <w:rPr>
          <w:lang w:val="en-US"/>
        </w:rPr>
      </w:pPr>
      <w:r w:rsidRPr="005E469E">
        <w:rPr>
          <w:rStyle w:val="EndnoteReference"/>
        </w:rPr>
        <w:endnoteRef/>
      </w:r>
      <w:r w:rsidRPr="005E469E">
        <w:t xml:space="preserve"> Yahoo7, </w:t>
      </w:r>
      <w:r w:rsidRPr="005E469E">
        <w:rPr>
          <w:i/>
        </w:rPr>
        <w:t>Abuse Help Form</w:t>
      </w:r>
      <w:r w:rsidRPr="005E469E">
        <w:t>. At</w:t>
      </w:r>
      <w:r>
        <w:t xml:space="preserve"> </w:t>
      </w:r>
      <w:r w:rsidRPr="00AE59E9">
        <w:t>https://au.help.yahoo.com/kb/reporting-abuse-yahoo-messenger-sln494.html</w:t>
      </w:r>
      <w:r w:rsidRPr="005E469E">
        <w:t xml:space="preserve"> (</w:t>
      </w:r>
      <w:r>
        <w:t>viewed 17 February 2015</w:t>
      </w:r>
      <w:r w:rsidRPr="005E469E">
        <w:t>).</w:t>
      </w:r>
    </w:p>
  </w:endnote>
  <w:endnote w:id="25">
    <w:p w:rsidR="005279C2" w:rsidRPr="005E469E" w:rsidRDefault="005279C2" w:rsidP="00D25979">
      <w:pPr>
        <w:pStyle w:val="EndnoteText"/>
        <w:rPr>
          <w:lang w:val="en-US"/>
        </w:rPr>
      </w:pPr>
      <w:r w:rsidRPr="005E469E">
        <w:rPr>
          <w:rStyle w:val="EndnoteReference"/>
        </w:rPr>
        <w:endnoteRef/>
      </w:r>
      <w:r w:rsidRPr="005E469E">
        <w:t xml:space="preserve"> </w:t>
      </w:r>
      <w:r w:rsidRPr="005B5F8A">
        <w:t>Facebook</w:t>
      </w:r>
      <w:r w:rsidR="005B5F8A">
        <w:t>,</w:t>
      </w:r>
      <w:r w:rsidRPr="005B5F8A">
        <w:t xml:space="preserve"> </w:t>
      </w:r>
      <w:r w:rsidRPr="005E469E">
        <w:rPr>
          <w:i/>
        </w:rPr>
        <w:t>Support Dashboard</w:t>
      </w:r>
      <w:r w:rsidRPr="005E469E">
        <w:t>. At</w:t>
      </w:r>
      <w:r>
        <w:t xml:space="preserve"> </w:t>
      </w:r>
      <w:r w:rsidRPr="00AE59E9">
        <w:t>https://www.facebook.com/notes/facebook-safety/more-transparency-in-reporting/397890383565083</w:t>
      </w:r>
      <w:r w:rsidRPr="005E469E">
        <w:t xml:space="preserve"> (</w:t>
      </w:r>
      <w:r>
        <w:t>viewed 17 February 2015</w:t>
      </w:r>
      <w:r w:rsidRPr="005E469E">
        <w:t>).</w:t>
      </w:r>
    </w:p>
  </w:endnote>
  <w:endnote w:id="26">
    <w:p w:rsidR="005279C2" w:rsidRPr="005E469E" w:rsidRDefault="005279C2" w:rsidP="00D25979">
      <w:pPr>
        <w:pStyle w:val="EndnoteText"/>
      </w:pPr>
      <w:r w:rsidRPr="005E469E">
        <w:rPr>
          <w:rStyle w:val="EndnoteReference"/>
        </w:rPr>
        <w:endnoteRef/>
      </w:r>
      <w:r w:rsidRPr="005E469E">
        <w:t xml:space="preserve"> Google, </w:t>
      </w:r>
      <w:r w:rsidRPr="005E469E">
        <w:rPr>
          <w:i/>
        </w:rPr>
        <w:t>Good to Know</w:t>
      </w:r>
      <w:r w:rsidRPr="005E469E">
        <w:t>. At</w:t>
      </w:r>
      <w:r>
        <w:t xml:space="preserve"> </w:t>
      </w:r>
      <w:r w:rsidRPr="00AE59E9">
        <w:t>https://www.google.com/intl/en-AU/goodtoknow/</w:t>
      </w:r>
      <w:r w:rsidRPr="005E469E">
        <w:t xml:space="preserve"> (</w:t>
      </w:r>
      <w:r>
        <w:t>viewed 17 February 2015</w:t>
      </w:r>
      <w:r w:rsidRPr="005E469E">
        <w:t>).</w:t>
      </w:r>
    </w:p>
  </w:endnote>
  <w:endnote w:id="27">
    <w:p w:rsidR="005279C2" w:rsidRPr="005F288A" w:rsidRDefault="005279C2" w:rsidP="00D25979">
      <w:pPr>
        <w:pStyle w:val="EndnoteText"/>
        <w:rPr>
          <w:lang w:val="en-US"/>
        </w:rPr>
      </w:pPr>
      <w:r w:rsidRPr="005E469E">
        <w:rPr>
          <w:rStyle w:val="EndnoteReference"/>
        </w:rPr>
        <w:endnoteRef/>
      </w:r>
      <w:r w:rsidRPr="005E469E">
        <w:t xml:space="preserve"> Yahoo7, </w:t>
      </w:r>
      <w:r w:rsidRPr="005E469E">
        <w:rPr>
          <w:i/>
        </w:rPr>
        <w:t>Safely</w:t>
      </w:r>
      <w:r w:rsidRPr="005E469E">
        <w:t xml:space="preserve">. At </w:t>
      </w:r>
      <w:r w:rsidRPr="00AE59E9">
        <w:t>https://au.safely.yahoo.com/</w:t>
      </w:r>
      <w:r>
        <w:t xml:space="preserve"> </w:t>
      </w:r>
      <w:r w:rsidRPr="005E469E">
        <w:t>(viewed</w:t>
      </w:r>
      <w:r>
        <w:t xml:space="preserve"> 17 February 2015</w:t>
      </w:r>
      <w:r w:rsidRPr="005E469E">
        <w:t>).</w:t>
      </w:r>
    </w:p>
  </w:endnote>
  <w:endnote w:id="28">
    <w:p w:rsidR="005279C2" w:rsidRPr="00452B6C" w:rsidRDefault="005279C2" w:rsidP="00D25979">
      <w:pPr>
        <w:pStyle w:val="EndnoteText"/>
      </w:pPr>
      <w:r w:rsidRPr="00452B6C">
        <w:rPr>
          <w:rStyle w:val="EndnoteReference"/>
        </w:rPr>
        <w:endnoteRef/>
      </w:r>
      <w:r w:rsidRPr="00452B6C">
        <w:t xml:space="preserve"> AIMIA, </w:t>
      </w:r>
      <w:r w:rsidRPr="00452B6C">
        <w:rPr>
          <w:i/>
        </w:rPr>
        <w:t>Keeping Australians Safe Online</w:t>
      </w:r>
      <w:r w:rsidRPr="00452B6C">
        <w:t xml:space="preserve">. </w:t>
      </w:r>
      <w:r>
        <w:t xml:space="preserve"> </w:t>
      </w:r>
      <w:r w:rsidRPr="00452B6C">
        <w:t>At http://www.cybersmart.gov.au/cybersmart-citizens/~/media/Cybersmart/Digital%20Citizens/Keeping%20Australians%20Safe%20Online%20Public%20Spreads%20July%202014.pdf</w:t>
      </w:r>
      <w:r>
        <w:t xml:space="preserve"> (viewed 25 February 2015).</w:t>
      </w:r>
    </w:p>
  </w:endnote>
  <w:endnote w:id="29">
    <w:p w:rsidR="005279C2" w:rsidRPr="00133552" w:rsidRDefault="005279C2" w:rsidP="008074FE">
      <w:pPr>
        <w:pStyle w:val="EndnoteText"/>
        <w:rPr>
          <w:lang w:val="en-US"/>
        </w:rPr>
      </w:pPr>
      <w:r>
        <w:rPr>
          <w:rStyle w:val="EndnoteReference"/>
        </w:rPr>
        <w:endnoteRef/>
      </w:r>
      <w:r>
        <w:t xml:space="preserve"> </w:t>
      </w:r>
      <w:r>
        <w:rPr>
          <w:lang w:val="en-US"/>
        </w:rPr>
        <w:t xml:space="preserve">Australian Human Rights Commission, </w:t>
      </w:r>
      <w:r w:rsidRPr="009A0127">
        <w:rPr>
          <w:i/>
        </w:rPr>
        <w:t>Free Speech 2014 Symposium Papers</w:t>
      </w:r>
      <w:r>
        <w:t xml:space="preserve"> (7 August 2014). At </w:t>
      </w:r>
      <w:r w:rsidRPr="00226E3D">
        <w:t>http://www.humanrights.gov.au/our-work/rights-and-freedoms/publications/free-speech-2014-symposium-papers</w:t>
      </w:r>
      <w:r>
        <w:t xml:space="preserve"> (viewed 17 February 2015).</w:t>
      </w:r>
    </w:p>
  </w:endnote>
  <w:endnote w:id="30">
    <w:p w:rsidR="005279C2" w:rsidRPr="00072CF9" w:rsidRDefault="005279C2">
      <w:pPr>
        <w:pStyle w:val="EndnoteText"/>
        <w:rPr>
          <w:lang w:val="en-US"/>
        </w:rPr>
      </w:pPr>
      <w:r>
        <w:rPr>
          <w:rStyle w:val="EndnoteReference"/>
        </w:rPr>
        <w:endnoteRef/>
      </w:r>
      <w:r>
        <w:t xml:space="preserve"> </w:t>
      </w:r>
      <w:r>
        <w:rPr>
          <w:rFonts w:cs="Arial"/>
        </w:rPr>
        <w:t xml:space="preserve">The </w:t>
      </w:r>
      <w:r>
        <w:t>right to freedom of thought, conscience and religion is</w:t>
      </w:r>
      <w:r>
        <w:rPr>
          <w:rFonts w:cs="Arial"/>
        </w:rPr>
        <w:t xml:space="preserve"> set out in Article 18 of the </w:t>
      </w:r>
      <w:r>
        <w:rPr>
          <w:rFonts w:cs="Arial"/>
          <w:i/>
        </w:rPr>
        <w:t>International Covenant on Civil and Political Rights</w:t>
      </w:r>
      <w:r>
        <w:rPr>
          <w:rFonts w:cs="Arial"/>
        </w:rPr>
        <w:t xml:space="preserve">; Article 5(d)(vii) of the </w:t>
      </w:r>
      <w:r>
        <w:rPr>
          <w:rFonts w:cs="Arial"/>
          <w:i/>
        </w:rPr>
        <w:t>International Convention on the Elimination of All Forms of Racial Discrimination;</w:t>
      </w:r>
      <w:r>
        <w:rPr>
          <w:rFonts w:cs="Arial"/>
        </w:rPr>
        <w:t xml:space="preserve"> and Article 14 of the </w:t>
      </w:r>
      <w:r>
        <w:rPr>
          <w:rFonts w:cs="Arial"/>
          <w:i/>
        </w:rPr>
        <w:t>Convention on the Rights of the Child</w:t>
      </w:r>
      <w:r>
        <w:rPr>
          <w:rFonts w:cs="Arial"/>
        </w:rPr>
        <w:t>.</w:t>
      </w:r>
    </w:p>
  </w:endnote>
  <w:endnote w:id="31">
    <w:p w:rsidR="005279C2" w:rsidRDefault="005279C2">
      <w:pPr>
        <w:pStyle w:val="EndnoteText"/>
      </w:pPr>
      <w:r>
        <w:rPr>
          <w:rStyle w:val="EndnoteReference"/>
        </w:rPr>
        <w:endnoteRef/>
      </w:r>
      <w:r>
        <w:t xml:space="preserve"> ‘Absolute’ human rights means that they cannot be limited for any reason.</w:t>
      </w:r>
    </w:p>
  </w:endnote>
  <w:endnote w:id="32">
    <w:p w:rsidR="005279C2" w:rsidRPr="00EA130B" w:rsidRDefault="005279C2" w:rsidP="00374A4A">
      <w:pPr>
        <w:pStyle w:val="EndnoteText"/>
        <w:rPr>
          <w:lang w:val="en-US"/>
        </w:rPr>
      </w:pPr>
      <w:r w:rsidRPr="00E56D8D">
        <w:rPr>
          <w:rStyle w:val="EndnoteReference"/>
        </w:rPr>
        <w:endnoteRef/>
      </w:r>
      <w:r w:rsidRPr="00E56D8D">
        <w:t xml:space="preserve"> </w:t>
      </w:r>
      <w:r w:rsidRPr="00E56D8D">
        <w:rPr>
          <w:rFonts w:cs="Arial"/>
        </w:rPr>
        <w:t>The High Court of Australia has generally adopted a narrow view of the scope of section 116. For example, it held that a law providing for financial aid to the educational activities of church schools was not a law for establishing a religion, even though the law might indirectly assist the practice of religion, and accordingly, the law was not in breach of section 116 (</w:t>
      </w:r>
      <w:r w:rsidRPr="00E56D8D">
        <w:rPr>
          <w:rFonts w:cs="Arial"/>
          <w:i/>
        </w:rPr>
        <w:t>Attorney-General (Victoria); Ex rel Black v The Commonwealth</w:t>
      </w:r>
      <w:r w:rsidRPr="00E56D8D">
        <w:rPr>
          <w:rFonts w:cs="Arial"/>
        </w:rPr>
        <w:t xml:space="preserve"> (1981) 146 CLR 559).</w:t>
      </w:r>
    </w:p>
  </w:endnote>
  <w:endnote w:id="33">
    <w:p w:rsidR="005279C2" w:rsidRPr="00AA1C82" w:rsidRDefault="005279C2" w:rsidP="00B835BE">
      <w:pPr>
        <w:pStyle w:val="EndnoteText"/>
      </w:pPr>
      <w:r>
        <w:rPr>
          <w:rStyle w:val="EndnoteReference"/>
        </w:rPr>
        <w:endnoteRef/>
      </w:r>
      <w:r>
        <w:t xml:space="preserve"> </w:t>
      </w:r>
      <w:r w:rsidRPr="00DA0A5A">
        <w:rPr>
          <w:rFonts w:cs="Arial"/>
          <w:i/>
        </w:rPr>
        <w:t>Sex Discrimination Act 1984</w:t>
      </w:r>
      <w:r>
        <w:rPr>
          <w:rFonts w:cs="Arial"/>
          <w:i/>
        </w:rPr>
        <w:t xml:space="preserve"> </w:t>
      </w:r>
      <w:r w:rsidRPr="00AA1C82">
        <w:rPr>
          <w:rFonts w:cs="Arial"/>
        </w:rPr>
        <w:t>(Cth), ss</w:t>
      </w:r>
      <w:r>
        <w:rPr>
          <w:rFonts w:cs="Arial"/>
          <w:i/>
        </w:rPr>
        <w:t xml:space="preserve"> </w:t>
      </w:r>
      <w:r>
        <w:rPr>
          <w:rFonts w:cs="Arial"/>
        </w:rPr>
        <w:t>37 and 38.</w:t>
      </w:r>
    </w:p>
  </w:endnote>
  <w:endnote w:id="34">
    <w:p w:rsidR="005279C2" w:rsidRPr="00775FE0" w:rsidRDefault="005279C2" w:rsidP="00E02B90">
      <w:pPr>
        <w:pStyle w:val="EndnoteText"/>
        <w:rPr>
          <w:lang w:val="en-US"/>
        </w:rPr>
      </w:pPr>
      <w:r>
        <w:rPr>
          <w:rStyle w:val="EndnoteReference"/>
        </w:rPr>
        <w:endnoteRef/>
      </w:r>
      <w:r>
        <w:t xml:space="preserve"> Changes to the National School Chaplaincy Program were made following the High Court decision in June 2014. Funding of the Program is now delivered via the states/territories education budget. </w:t>
      </w:r>
      <w:r>
        <w:rPr>
          <w:lang w:val="en-US"/>
        </w:rPr>
        <w:t xml:space="preserve">Details of the program are available at </w:t>
      </w:r>
      <w:r w:rsidRPr="005C5126">
        <w:rPr>
          <w:lang w:val="en-US"/>
        </w:rPr>
        <w:t>https://education.gov.au/national-school-chaplaincy-programme</w:t>
      </w:r>
      <w:r>
        <w:t xml:space="preserve"> </w:t>
      </w:r>
      <w:r>
        <w:rPr>
          <w:lang w:val="en-US"/>
        </w:rPr>
        <w:t>(viewed 17 February 2015).</w:t>
      </w:r>
    </w:p>
  </w:endnote>
  <w:endnote w:id="35">
    <w:p w:rsidR="005279C2" w:rsidRPr="00BB6ADF" w:rsidRDefault="005279C2">
      <w:pPr>
        <w:pStyle w:val="EndnoteText"/>
        <w:rPr>
          <w:rFonts w:cs="Arial"/>
          <w:lang w:val="en-US"/>
        </w:rPr>
      </w:pPr>
      <w:r>
        <w:rPr>
          <w:rStyle w:val="EndnoteReference"/>
        </w:rPr>
        <w:endnoteRef/>
      </w:r>
      <w:r>
        <w:t xml:space="preserve"> </w:t>
      </w:r>
      <w:r>
        <w:rPr>
          <w:rFonts w:cs="Arial"/>
          <w:lang w:val="en-US"/>
        </w:rPr>
        <w:t xml:space="preserve">For example, </w:t>
      </w:r>
      <w:r w:rsidRPr="005C5126">
        <w:rPr>
          <w:rFonts w:cs="Arial"/>
          <w:lang w:val="en-US"/>
        </w:rPr>
        <w:t xml:space="preserve">Article 7 of the </w:t>
      </w:r>
      <w:r w:rsidRPr="005C5126">
        <w:rPr>
          <w:rFonts w:cs="Arial"/>
          <w:i/>
          <w:lang w:val="en-US"/>
        </w:rPr>
        <w:t>United Declaration of Human Rights</w:t>
      </w:r>
      <w:r w:rsidRPr="005C5126">
        <w:rPr>
          <w:rFonts w:cs="Arial"/>
          <w:lang w:val="en-US"/>
        </w:rPr>
        <w:t xml:space="preserve"> states </w:t>
      </w:r>
      <w:r w:rsidRPr="005C5126">
        <w:rPr>
          <w:rFonts w:eastAsia="Times New Roman" w:cs="Arial"/>
        </w:rPr>
        <w:t>that ‘All are equal before the law and are entitled without any discrimination to equal protection of the law’.</w:t>
      </w:r>
    </w:p>
  </w:endnote>
  <w:endnote w:id="36">
    <w:p w:rsidR="005279C2" w:rsidRPr="0030276F" w:rsidRDefault="005279C2">
      <w:pPr>
        <w:pStyle w:val="EndnoteText"/>
        <w:rPr>
          <w:lang w:val="en-US"/>
        </w:rPr>
      </w:pPr>
      <w:r>
        <w:rPr>
          <w:rStyle w:val="EndnoteReference"/>
        </w:rPr>
        <w:endnoteRef/>
      </w:r>
      <w:r>
        <w:t xml:space="preserve"> </w:t>
      </w:r>
      <w:r w:rsidRPr="0030276F">
        <w:rPr>
          <w:i/>
          <w:lang w:val="en-US"/>
        </w:rPr>
        <w:t>Marriage Act 1961</w:t>
      </w:r>
      <w:r>
        <w:rPr>
          <w:lang w:val="en-US"/>
        </w:rPr>
        <w:t xml:space="preserve"> (Cth), s 5.</w:t>
      </w:r>
    </w:p>
  </w:endnote>
  <w:endnote w:id="37">
    <w:p w:rsidR="005279C2" w:rsidRPr="008B648C" w:rsidRDefault="005279C2">
      <w:pPr>
        <w:pStyle w:val="EndnoteText"/>
        <w:rPr>
          <w:lang w:val="en-US"/>
        </w:rPr>
      </w:pPr>
      <w:r>
        <w:rPr>
          <w:rStyle w:val="EndnoteReference"/>
        </w:rPr>
        <w:endnoteRef/>
      </w:r>
      <w:r>
        <w:t xml:space="preserve"> </w:t>
      </w:r>
      <w:r>
        <w:rPr>
          <w:rFonts w:cs="Arial"/>
        </w:rPr>
        <w:t xml:space="preserve">The right to freedom of association is set out in Article 22 of the </w:t>
      </w:r>
      <w:r>
        <w:rPr>
          <w:rFonts w:cs="Arial"/>
          <w:i/>
        </w:rPr>
        <w:t>International Covenant on Civil and Political Rights</w:t>
      </w:r>
      <w:r>
        <w:rPr>
          <w:rFonts w:cs="Arial"/>
        </w:rPr>
        <w:t xml:space="preserve">; Article 8(1)(a) of the </w:t>
      </w:r>
      <w:r>
        <w:rPr>
          <w:rFonts w:cs="Arial"/>
          <w:i/>
        </w:rPr>
        <w:t>International Covenant on Economic, Social and Cultural Rights</w:t>
      </w:r>
      <w:r>
        <w:rPr>
          <w:rFonts w:cs="Arial"/>
        </w:rPr>
        <w:t xml:space="preserve">; Article 5 of the </w:t>
      </w:r>
      <w:r>
        <w:rPr>
          <w:rFonts w:cs="Arial"/>
          <w:i/>
        </w:rPr>
        <w:t>Convention on the Elimination of All Forms of Racial Discrimination</w:t>
      </w:r>
      <w:r>
        <w:rPr>
          <w:rFonts w:cs="Arial"/>
        </w:rPr>
        <w:t xml:space="preserve">; Article 15 of the </w:t>
      </w:r>
      <w:r>
        <w:rPr>
          <w:rFonts w:cs="Arial"/>
          <w:i/>
        </w:rPr>
        <w:t>Convention on the Rights of the Child;</w:t>
      </w:r>
      <w:r>
        <w:rPr>
          <w:rFonts w:cs="Arial"/>
        </w:rPr>
        <w:t xml:space="preserve"> and Article 21 of the </w:t>
      </w:r>
      <w:r>
        <w:rPr>
          <w:rFonts w:cs="Arial"/>
          <w:i/>
        </w:rPr>
        <w:t>Convention on the Rights of Persons with Disabilities</w:t>
      </w:r>
      <w:r>
        <w:rPr>
          <w:rFonts w:cs="Arial"/>
        </w:rPr>
        <w:t>.</w:t>
      </w:r>
    </w:p>
  </w:endnote>
  <w:endnote w:id="38">
    <w:p w:rsidR="005279C2" w:rsidRDefault="005279C2" w:rsidP="0044769C">
      <w:pPr>
        <w:pStyle w:val="EndnoteText"/>
      </w:pPr>
      <w:r>
        <w:rPr>
          <w:rStyle w:val="EndnoteReference"/>
        </w:rPr>
        <w:endnoteRef/>
      </w:r>
      <w:r>
        <w:t xml:space="preserve"> </w:t>
      </w:r>
      <w:r>
        <w:rPr>
          <w:lang w:val="en-US"/>
        </w:rPr>
        <w:t xml:space="preserve">Parliamentary Joint Committee on Human Rights, </w:t>
      </w:r>
      <w:r>
        <w:rPr>
          <w:i/>
          <w:lang w:val="en-US"/>
        </w:rPr>
        <w:t>Guide to Human Rights</w:t>
      </w:r>
      <w:r>
        <w:rPr>
          <w:lang w:val="en-US"/>
        </w:rPr>
        <w:t xml:space="preserve">, Commonwealth of Australia (2014), p 39. At </w:t>
      </w:r>
      <w:r w:rsidRPr="005C5126">
        <w:rPr>
          <w:lang w:val="en-US"/>
        </w:rPr>
        <w:t xml:space="preserve">http://www.aph.gov.au/~/media/Committees/Joint/PJCHR/Guide%20to%20Human%20Rights.pdf </w:t>
      </w:r>
      <w:r>
        <w:rPr>
          <w:lang w:val="en-US"/>
        </w:rPr>
        <w:t xml:space="preserve"> (viewed 17 February 2015).</w:t>
      </w:r>
    </w:p>
  </w:endnote>
  <w:endnote w:id="39">
    <w:p w:rsidR="005279C2" w:rsidRPr="00050B3C" w:rsidRDefault="005279C2">
      <w:pPr>
        <w:pStyle w:val="EndnoteText"/>
        <w:rPr>
          <w:lang w:val="en-US"/>
        </w:rPr>
      </w:pPr>
      <w:r>
        <w:rPr>
          <w:rStyle w:val="EndnoteReference"/>
        </w:rPr>
        <w:endnoteRef/>
      </w:r>
      <w:r>
        <w:t xml:space="preserve"> For example, see Article 8(1)(c) of the </w:t>
      </w:r>
      <w:r w:rsidRPr="005E67F3">
        <w:rPr>
          <w:i/>
        </w:rPr>
        <w:t>International Covenant on Economic, Social and Cultural Rights</w:t>
      </w:r>
      <w:r>
        <w:t xml:space="preserve">, and </w:t>
      </w:r>
      <w:r>
        <w:rPr>
          <w:rFonts w:cs="Arial"/>
        </w:rPr>
        <w:t xml:space="preserve">Article 3 of the </w:t>
      </w:r>
      <w:r>
        <w:t xml:space="preserve">International Labour </w:t>
      </w:r>
      <w:r w:rsidRPr="005E67F3">
        <w:t xml:space="preserve">Organisation </w:t>
      </w:r>
      <w:r w:rsidRPr="005E67F3">
        <w:rPr>
          <w:rFonts w:cs="Arial"/>
          <w:i/>
        </w:rPr>
        <w:t xml:space="preserve">Freedom of Association and Protection of the Right to Organise Convention </w:t>
      </w:r>
      <w:r>
        <w:rPr>
          <w:rFonts w:cs="Arial"/>
        </w:rPr>
        <w:t>(1948).</w:t>
      </w:r>
    </w:p>
  </w:endnote>
  <w:endnote w:id="40">
    <w:p w:rsidR="005279C2" w:rsidRDefault="005279C2" w:rsidP="0044769C">
      <w:pPr>
        <w:pStyle w:val="EndnoteText"/>
      </w:pPr>
      <w:r>
        <w:rPr>
          <w:rStyle w:val="EndnoteReference"/>
        </w:rPr>
        <w:endnoteRef/>
      </w:r>
      <w:r>
        <w:t xml:space="preserve"> Attorney-General’s Department, </w:t>
      </w:r>
      <w:r>
        <w:rPr>
          <w:i/>
        </w:rPr>
        <w:t>Right to Work and Rights at Work</w:t>
      </w:r>
      <w:r>
        <w:t xml:space="preserve">. At </w:t>
      </w:r>
      <w:r w:rsidRPr="00CA6D4A">
        <w:t xml:space="preserve">http://www.ag.gov.au/RightsAndProtections/HumanRights/PublicSectorGuidanceSheets/Pages/Righttoworkandrightsatwork.aspx </w:t>
      </w:r>
      <w:r>
        <w:t>(viewed17 February 2015).</w:t>
      </w:r>
    </w:p>
  </w:endnote>
  <w:endnote w:id="41">
    <w:p w:rsidR="005279C2" w:rsidRPr="003F05FD" w:rsidRDefault="005279C2">
      <w:pPr>
        <w:pStyle w:val="EndnoteText"/>
        <w:rPr>
          <w:lang w:val="en-US"/>
        </w:rPr>
      </w:pPr>
      <w:r>
        <w:rPr>
          <w:rStyle w:val="EndnoteReference"/>
        </w:rPr>
        <w:endnoteRef/>
      </w:r>
      <w:r>
        <w:t xml:space="preserve"> See Article 22(2) of the </w:t>
      </w:r>
      <w:r w:rsidRPr="00ED60EC">
        <w:rPr>
          <w:i/>
        </w:rPr>
        <w:t>International Covenant on Civil and Political Rights</w:t>
      </w:r>
      <w:r>
        <w:rPr>
          <w:i/>
        </w:rPr>
        <w:t xml:space="preserve">. </w:t>
      </w:r>
    </w:p>
  </w:endnote>
  <w:endnote w:id="42">
    <w:p w:rsidR="005279C2" w:rsidRPr="00F20AA3" w:rsidRDefault="005279C2" w:rsidP="00A222E5">
      <w:pPr>
        <w:pStyle w:val="EndnoteText"/>
        <w:jc w:val="both"/>
        <w:rPr>
          <w:rFonts w:cs="Arial"/>
          <w:lang w:val="en"/>
        </w:rPr>
      </w:pPr>
      <w:r>
        <w:rPr>
          <w:rStyle w:val="EndnoteReference"/>
        </w:rPr>
        <w:endnoteRef/>
      </w:r>
      <w:r>
        <w:rPr>
          <w:rFonts w:cs="Arial"/>
        </w:rPr>
        <w:t xml:space="preserve"> </w:t>
      </w:r>
      <w:hyperlink r:id="rId1" w:history="1">
        <w:r w:rsidRPr="00F20AA3">
          <w:rPr>
            <w:rStyle w:val="Hyperlink"/>
            <w:rFonts w:cs="Arial"/>
            <w:i/>
            <w:color w:val="auto"/>
            <w:u w:val="none"/>
            <w:lang w:val="en"/>
          </w:rPr>
          <w:t>Unions NSW v New South Wales</w:t>
        </w:r>
      </w:hyperlink>
      <w:r w:rsidRPr="00F20AA3">
        <w:rPr>
          <w:rFonts w:cs="Arial"/>
          <w:lang w:val="en"/>
        </w:rPr>
        <w:t xml:space="preserve"> [2013] HCA 58.</w:t>
      </w:r>
    </w:p>
  </w:endnote>
  <w:endnote w:id="43">
    <w:p w:rsidR="005279C2" w:rsidRPr="00740FC5" w:rsidRDefault="005279C2">
      <w:pPr>
        <w:pStyle w:val="EndnoteText"/>
        <w:rPr>
          <w:lang w:val="en-US"/>
        </w:rPr>
      </w:pPr>
      <w:r>
        <w:rPr>
          <w:rStyle w:val="EndnoteReference"/>
        </w:rPr>
        <w:endnoteRef/>
      </w:r>
      <w:r>
        <w:t xml:space="preserve"> </w:t>
      </w:r>
      <w:r w:rsidRPr="00464A74">
        <w:rPr>
          <w:i/>
          <w:lang w:val="en-US"/>
        </w:rPr>
        <w:t>Fair Work Act 2009</w:t>
      </w:r>
      <w:r>
        <w:rPr>
          <w:lang w:val="en-US"/>
        </w:rPr>
        <w:t xml:space="preserve"> (Cth), s 336.</w:t>
      </w:r>
    </w:p>
  </w:endnote>
  <w:endnote w:id="44">
    <w:p w:rsidR="005279C2" w:rsidRPr="00557DFD" w:rsidRDefault="005279C2" w:rsidP="00BE6C80">
      <w:pPr>
        <w:pStyle w:val="EndnoteText"/>
        <w:rPr>
          <w:lang w:val="en-US"/>
        </w:rPr>
      </w:pPr>
      <w:r>
        <w:rPr>
          <w:rStyle w:val="EndnoteReference"/>
        </w:rPr>
        <w:endnoteRef/>
      </w:r>
      <w:r>
        <w:t xml:space="preserve"> Attorney-General’s Department, </w:t>
      </w:r>
      <w:r>
        <w:rPr>
          <w:i/>
        </w:rPr>
        <w:t>Right to Work and Rights at Work</w:t>
      </w:r>
      <w:r>
        <w:t xml:space="preserve">. At </w:t>
      </w:r>
      <w:r w:rsidRPr="00CA6D4A">
        <w:t xml:space="preserve">http://www.ag.gov.au/RightsAndProtections/HumanRights/PublicSectorGuidanceSheets/Pages/Righttoworkandrightsatwork.aspx </w:t>
      </w:r>
      <w:r>
        <w:t>(viewed 17 February 2015).</w:t>
      </w:r>
    </w:p>
  </w:endnote>
  <w:endnote w:id="45">
    <w:p w:rsidR="005279C2" w:rsidRPr="00DA5117" w:rsidRDefault="005279C2" w:rsidP="00A222E5">
      <w:pPr>
        <w:pStyle w:val="EndnoteText"/>
        <w:rPr>
          <w:lang w:val="en-US"/>
        </w:rPr>
      </w:pPr>
      <w:r>
        <w:rPr>
          <w:rStyle w:val="EndnoteReference"/>
        </w:rPr>
        <w:endnoteRef/>
      </w:r>
      <w:r>
        <w:t xml:space="preserve"> </w:t>
      </w:r>
      <w:r w:rsidRPr="00DA5117">
        <w:rPr>
          <w:i/>
        </w:rPr>
        <w:t>Australian Human Rights Commission Act 1986</w:t>
      </w:r>
      <w:r>
        <w:t xml:space="preserve"> (Cth), </w:t>
      </w:r>
      <w:r>
        <w:rPr>
          <w:lang w:val="en-US"/>
        </w:rPr>
        <w:t>s 46P.</w:t>
      </w:r>
    </w:p>
  </w:endnote>
  <w:endnote w:id="46">
    <w:p w:rsidR="005279C2" w:rsidRPr="002E7439" w:rsidRDefault="005279C2">
      <w:pPr>
        <w:pStyle w:val="EndnoteText"/>
        <w:rPr>
          <w:lang w:val="en-US"/>
        </w:rPr>
      </w:pPr>
      <w:r>
        <w:rPr>
          <w:rStyle w:val="EndnoteReference"/>
        </w:rPr>
        <w:endnoteRef/>
      </w:r>
      <w:r>
        <w:t xml:space="preserve"> </w:t>
      </w:r>
      <w:r w:rsidRPr="00596F55">
        <w:rPr>
          <w:i/>
          <w:lang w:val="en-US"/>
        </w:rPr>
        <w:t>Tajjour v New South Wales; Hawthorn</w:t>
      </w:r>
      <w:r>
        <w:rPr>
          <w:i/>
          <w:lang w:val="en-US"/>
        </w:rPr>
        <w:t>e v New South Wales; Forster v N</w:t>
      </w:r>
      <w:r w:rsidRPr="00596F55">
        <w:rPr>
          <w:i/>
          <w:lang w:val="en-US"/>
        </w:rPr>
        <w:t>ew South Wales</w:t>
      </w:r>
      <w:r>
        <w:rPr>
          <w:lang w:val="en-US"/>
        </w:rPr>
        <w:t xml:space="preserve"> [2014] HCA 35.</w:t>
      </w:r>
    </w:p>
  </w:endnote>
  <w:endnote w:id="47">
    <w:p w:rsidR="005279C2" w:rsidRPr="007274BF" w:rsidRDefault="005279C2">
      <w:pPr>
        <w:pStyle w:val="EndnoteText"/>
        <w:rPr>
          <w:lang w:val="en-US"/>
        </w:rPr>
      </w:pPr>
      <w:r>
        <w:rPr>
          <w:rStyle w:val="EndnoteReference"/>
        </w:rPr>
        <w:endnoteRef/>
      </w:r>
      <w:r>
        <w:t xml:space="preserve"> </w:t>
      </w:r>
      <w:r>
        <w:rPr>
          <w:lang w:val="en-US"/>
        </w:rPr>
        <w:t xml:space="preserve">Parliament of Australia, Fair Work Amendment Bill 2014. At </w:t>
      </w:r>
      <w:r w:rsidRPr="00F37EBF">
        <w:rPr>
          <w:lang w:val="en-US"/>
        </w:rPr>
        <w:t>http://www.aph.gov.au/Parliamentary_Business/Bills_Legislation/Bills_Search_Results/Result?bId=r5174</w:t>
      </w:r>
      <w:r>
        <w:rPr>
          <w:lang w:val="en-US"/>
        </w:rPr>
        <w:t xml:space="preserve"> (viewed 17 February 2015).</w:t>
      </w:r>
    </w:p>
  </w:endnote>
  <w:endnote w:id="48">
    <w:p w:rsidR="005279C2" w:rsidRPr="000E058D" w:rsidRDefault="005279C2">
      <w:pPr>
        <w:pStyle w:val="EndnoteText"/>
        <w:rPr>
          <w:rFonts w:cs="Arial"/>
          <w:lang w:val="en"/>
        </w:rPr>
      </w:pPr>
      <w:r w:rsidRPr="000E058D">
        <w:rPr>
          <w:rStyle w:val="EndnoteReference"/>
        </w:rPr>
        <w:endnoteRef/>
      </w:r>
      <w:r w:rsidRPr="000E058D">
        <w:t xml:space="preserve"> </w:t>
      </w:r>
      <w:r w:rsidRPr="000E058D">
        <w:rPr>
          <w:lang w:val="en-US"/>
        </w:rPr>
        <w:t xml:space="preserve">J Sloan, ‘Workers must be free to choose where superannuation goes’, </w:t>
      </w:r>
      <w:r w:rsidRPr="000E058D">
        <w:rPr>
          <w:i/>
          <w:lang w:val="en-US"/>
        </w:rPr>
        <w:t>The Australian</w:t>
      </w:r>
      <w:r>
        <w:rPr>
          <w:i/>
          <w:lang w:val="en-US"/>
        </w:rPr>
        <w:t>,</w:t>
      </w:r>
      <w:r w:rsidRPr="000E058D">
        <w:rPr>
          <w:i/>
          <w:lang w:val="en-US"/>
        </w:rPr>
        <w:t xml:space="preserve"> </w:t>
      </w:r>
      <w:r w:rsidRPr="000E058D">
        <w:rPr>
          <w:lang w:val="en-US"/>
        </w:rPr>
        <w:t>(16 September 2014).</w:t>
      </w:r>
    </w:p>
  </w:endnote>
  <w:endnote w:id="49">
    <w:p w:rsidR="005279C2" w:rsidRDefault="005279C2">
      <w:pPr>
        <w:pStyle w:val="EndnoteText"/>
      </w:pPr>
      <w:r>
        <w:rPr>
          <w:rStyle w:val="EndnoteReference"/>
        </w:rPr>
        <w:endnoteRef/>
      </w:r>
      <w:r>
        <w:t xml:space="preserve"> </w:t>
      </w:r>
      <w:hyperlink r:id="rId2" w:history="1">
        <w:r w:rsidRPr="000E058D">
          <w:rPr>
            <w:rFonts w:cs="Adobe Garamond Pro"/>
            <w:i/>
            <w:iCs/>
            <w:color w:val="000000"/>
            <w:lang w:val="en-US"/>
          </w:rPr>
          <w:t>Commonwealth</w:t>
        </w:r>
        <w:r w:rsidRPr="00F20AA3">
          <w:rPr>
            <w:rFonts w:cs="Arial"/>
            <w:color w:val="10418E"/>
          </w:rPr>
          <w:t xml:space="preserve"> </w:t>
        </w:r>
        <w:r w:rsidRPr="00F20AA3">
          <w:rPr>
            <w:rFonts w:cs="Adobe Garamond Pro"/>
            <w:i/>
            <w:iCs/>
            <w:color w:val="000000"/>
          </w:rPr>
          <w:t>Cleaning</w:t>
        </w:r>
        <w:r w:rsidRPr="00F20AA3">
          <w:rPr>
            <w:rFonts w:cs="Arial"/>
            <w:color w:val="10418E"/>
          </w:rPr>
          <w:t xml:space="preserve"> </w:t>
        </w:r>
        <w:r w:rsidRPr="00F20AA3">
          <w:rPr>
            <w:rFonts w:cs="Adobe Garamond Pro"/>
            <w:i/>
            <w:iCs/>
            <w:color w:val="000000"/>
          </w:rPr>
          <w:t>Services</w:t>
        </w:r>
        <w:r w:rsidRPr="00F20AA3">
          <w:rPr>
            <w:rFonts w:cs="Arial"/>
            <w:color w:val="10418E"/>
          </w:rPr>
          <w:t xml:space="preserve"> </w:t>
        </w:r>
        <w:r w:rsidRPr="00F20AA3">
          <w:rPr>
            <w:rFonts w:cs="Adobe Garamond Pro"/>
            <w:i/>
            <w:iCs/>
            <w:color w:val="000000"/>
          </w:rPr>
          <w:t>Guidelines</w:t>
        </w:r>
        <w:r w:rsidRPr="00F20AA3">
          <w:rPr>
            <w:rFonts w:cs="Arial"/>
            <w:color w:val="10418E"/>
          </w:rPr>
          <w:t xml:space="preserve"> </w:t>
        </w:r>
        <w:r w:rsidRPr="00F20AA3">
          <w:rPr>
            <w:rFonts w:cs="Adobe Garamond Pro"/>
            <w:i/>
            <w:iCs/>
            <w:color w:val="000000"/>
          </w:rPr>
          <w:t>Repeal</w:t>
        </w:r>
        <w:r w:rsidRPr="00F20AA3">
          <w:rPr>
            <w:rFonts w:cs="Arial"/>
            <w:color w:val="10418E"/>
          </w:rPr>
          <w:t xml:space="preserve"> </w:t>
        </w:r>
        <w:r w:rsidRPr="00F20AA3">
          <w:rPr>
            <w:rFonts w:cs="Adobe Garamond Pro"/>
            <w:i/>
            <w:iCs/>
            <w:color w:val="000000"/>
          </w:rPr>
          <w:t>Instrument</w:t>
        </w:r>
        <w:r w:rsidRPr="00F20AA3">
          <w:rPr>
            <w:rFonts w:cs="Arial"/>
            <w:color w:val="10418E"/>
          </w:rPr>
          <w:t xml:space="preserve"> </w:t>
        </w:r>
        <w:r w:rsidRPr="00F20AA3">
          <w:rPr>
            <w:rFonts w:cs="Adobe Garamond Pro"/>
            <w:i/>
            <w:iCs/>
            <w:color w:val="000000"/>
          </w:rPr>
          <w:t>2014</w:t>
        </w:r>
      </w:hyperlink>
      <w:r w:rsidRPr="00F20AA3">
        <w:rPr>
          <w:rFonts w:cs="Arial"/>
        </w:rPr>
        <w:t xml:space="preserve"> (repealed 28 June 2014). At </w:t>
      </w:r>
      <w:hyperlink r:id="rId3" w:history="1">
        <w:r w:rsidRPr="00F20AA3">
          <w:rPr>
            <w:rStyle w:val="Hyperlink"/>
            <w:rFonts w:cs="Arial"/>
            <w:color w:val="auto"/>
            <w:u w:val="none"/>
          </w:rPr>
          <w:t>http://www.comlaw.gov.au/Details/F2013L00435/Explanatory%20Statement/Text</w:t>
        </w:r>
      </w:hyperlink>
      <w:r w:rsidRPr="00F20AA3">
        <w:rPr>
          <w:rFonts w:cs="Arial"/>
        </w:rPr>
        <w:t xml:space="preserve"> (viewed 2 February 2015).</w:t>
      </w:r>
    </w:p>
  </w:endnote>
  <w:endnote w:id="50">
    <w:p w:rsidR="005279C2" w:rsidRPr="00197989" w:rsidRDefault="005279C2">
      <w:pPr>
        <w:pStyle w:val="EndnoteText"/>
        <w:rPr>
          <w:lang w:val="en-US"/>
        </w:rPr>
      </w:pPr>
      <w:r>
        <w:rPr>
          <w:rStyle w:val="EndnoteReference"/>
        </w:rPr>
        <w:endnoteRef/>
      </w:r>
      <w:r>
        <w:t xml:space="preserve"> </w:t>
      </w:r>
      <w:r>
        <w:rPr>
          <w:lang w:val="en-US"/>
        </w:rPr>
        <w:t xml:space="preserve">Department of Prime Minister and Cabinet, </w:t>
      </w:r>
      <w:r w:rsidRPr="007575CD">
        <w:rPr>
          <w:i/>
          <w:lang w:val="en-US"/>
        </w:rPr>
        <w:t>Best Practice Updates</w:t>
      </w:r>
      <w:r>
        <w:rPr>
          <w:i/>
          <w:lang w:val="en-US"/>
        </w:rPr>
        <w:t xml:space="preserve"> – revocation of the Commonwealth Cleaning Services Guidelines and the Fair Work Principles Regulation Impact Statement</w:t>
      </w:r>
      <w:r>
        <w:rPr>
          <w:lang w:val="en-US"/>
        </w:rPr>
        <w:t xml:space="preserve">, Australian Government. At </w:t>
      </w:r>
      <w:r w:rsidRPr="007575CD">
        <w:rPr>
          <w:lang w:val="en-US"/>
        </w:rPr>
        <w:t>http://ris.dpmc.gov.au/2014/07/10/revocation-of-the-commonwealth-cleaning-services-guidelines-and-the-fair-work-principles-regulation-impact-statement-department-of-employment/</w:t>
      </w:r>
      <w:r>
        <w:rPr>
          <w:lang w:val="en-US"/>
        </w:rPr>
        <w:t xml:space="preserve"> (viewed 20 February 2015).</w:t>
      </w:r>
    </w:p>
  </w:endnote>
  <w:endnote w:id="51">
    <w:p w:rsidR="005279C2" w:rsidRPr="00F52602" w:rsidRDefault="005279C2">
      <w:pPr>
        <w:pStyle w:val="EndnoteText"/>
        <w:rPr>
          <w:lang w:val="en-US"/>
        </w:rPr>
      </w:pPr>
      <w:r>
        <w:rPr>
          <w:rStyle w:val="EndnoteReference"/>
        </w:rPr>
        <w:endnoteRef/>
      </w:r>
      <w:r>
        <w:t xml:space="preserve"> </w:t>
      </w:r>
      <w:r w:rsidRPr="00F52602">
        <w:rPr>
          <w:i/>
        </w:rPr>
        <w:t>Commonwealth Cleaning Services Guidelines</w:t>
      </w:r>
      <w:r>
        <w:t xml:space="preserve">, s 5. At </w:t>
      </w:r>
      <w:r w:rsidRPr="00F52602">
        <w:t>http://www.comlaw.gov.au/Details/F2013L00435/Download</w:t>
      </w:r>
      <w:r>
        <w:t xml:space="preserve"> (viewed 20 February 2015).</w:t>
      </w:r>
    </w:p>
  </w:endnote>
  <w:endnote w:id="52">
    <w:p w:rsidR="005279C2" w:rsidRPr="00F20AA3" w:rsidRDefault="005279C2" w:rsidP="0044769C">
      <w:pPr>
        <w:pStyle w:val="EndnoteText"/>
        <w:rPr>
          <w:rFonts w:cs="Arial"/>
        </w:rPr>
      </w:pPr>
      <w:r w:rsidRPr="00F20AA3">
        <w:rPr>
          <w:rStyle w:val="EndnoteReference"/>
        </w:rPr>
        <w:endnoteRef/>
      </w:r>
      <w:r w:rsidRPr="00F20AA3">
        <w:t xml:space="preserve"> </w:t>
      </w:r>
      <w:hyperlink r:id="rId4" w:history="1">
        <w:r w:rsidRPr="00F20AA3">
          <w:rPr>
            <w:rFonts w:cs="Adobe Garamond Pro"/>
            <w:i/>
            <w:iCs/>
            <w:color w:val="000000"/>
          </w:rPr>
          <w:t>Commonwealth</w:t>
        </w:r>
        <w:r w:rsidRPr="00F20AA3">
          <w:rPr>
            <w:rFonts w:cs="Arial"/>
            <w:color w:val="10418E"/>
          </w:rPr>
          <w:t xml:space="preserve"> </w:t>
        </w:r>
        <w:r w:rsidRPr="00F20AA3">
          <w:rPr>
            <w:rFonts w:cs="Adobe Garamond Pro"/>
            <w:i/>
            <w:iCs/>
            <w:color w:val="000000"/>
          </w:rPr>
          <w:t>Cleaning</w:t>
        </w:r>
        <w:r w:rsidRPr="00F20AA3">
          <w:rPr>
            <w:rFonts w:cs="Arial"/>
            <w:color w:val="10418E"/>
          </w:rPr>
          <w:t xml:space="preserve"> </w:t>
        </w:r>
        <w:r w:rsidRPr="00F20AA3">
          <w:rPr>
            <w:rFonts w:cs="Adobe Garamond Pro"/>
            <w:i/>
            <w:iCs/>
            <w:color w:val="000000"/>
          </w:rPr>
          <w:t>Services</w:t>
        </w:r>
        <w:r w:rsidRPr="00F20AA3">
          <w:rPr>
            <w:rFonts w:cs="Arial"/>
            <w:color w:val="10418E"/>
          </w:rPr>
          <w:t xml:space="preserve"> </w:t>
        </w:r>
        <w:r w:rsidRPr="00F20AA3">
          <w:rPr>
            <w:rFonts w:cs="Adobe Garamond Pro"/>
            <w:i/>
            <w:iCs/>
            <w:color w:val="000000"/>
          </w:rPr>
          <w:t>Guidelines</w:t>
        </w:r>
        <w:r w:rsidRPr="00F20AA3">
          <w:rPr>
            <w:rFonts w:cs="Arial"/>
            <w:color w:val="10418E"/>
          </w:rPr>
          <w:t xml:space="preserve"> </w:t>
        </w:r>
        <w:r w:rsidRPr="00F20AA3">
          <w:rPr>
            <w:rFonts w:cs="Adobe Garamond Pro"/>
            <w:i/>
            <w:iCs/>
            <w:color w:val="000000"/>
          </w:rPr>
          <w:t>Repeal</w:t>
        </w:r>
        <w:r w:rsidRPr="00F20AA3">
          <w:rPr>
            <w:rFonts w:cs="Arial"/>
            <w:color w:val="10418E"/>
          </w:rPr>
          <w:t xml:space="preserve"> </w:t>
        </w:r>
        <w:r w:rsidRPr="00F20AA3">
          <w:rPr>
            <w:rFonts w:cs="Adobe Garamond Pro"/>
            <w:i/>
            <w:iCs/>
            <w:color w:val="000000"/>
          </w:rPr>
          <w:t>Instrument</w:t>
        </w:r>
        <w:r w:rsidRPr="00F20AA3">
          <w:rPr>
            <w:rFonts w:cs="Arial"/>
            <w:color w:val="10418E"/>
          </w:rPr>
          <w:t xml:space="preserve"> </w:t>
        </w:r>
        <w:r w:rsidRPr="00F20AA3">
          <w:rPr>
            <w:rFonts w:cs="Adobe Garamond Pro"/>
            <w:i/>
            <w:iCs/>
            <w:color w:val="000000"/>
          </w:rPr>
          <w:t>2014</w:t>
        </w:r>
      </w:hyperlink>
      <w:r w:rsidRPr="00F20AA3">
        <w:rPr>
          <w:rFonts w:cs="Arial"/>
        </w:rPr>
        <w:t xml:space="preserve"> (repealed 28 June 2014). At </w:t>
      </w:r>
      <w:hyperlink r:id="rId5" w:history="1">
        <w:r w:rsidRPr="00F20AA3">
          <w:rPr>
            <w:rStyle w:val="Hyperlink"/>
            <w:rFonts w:cs="Arial"/>
            <w:color w:val="auto"/>
            <w:u w:val="none"/>
          </w:rPr>
          <w:t>http://www.comlaw.gov.au/Details/F2013L00435/Explanatory%20Statement/Text</w:t>
        </w:r>
      </w:hyperlink>
      <w:r w:rsidRPr="00F20AA3">
        <w:rPr>
          <w:rFonts w:cs="Arial"/>
        </w:rPr>
        <w:t xml:space="preserve"> (viewed 2 February 2015).</w:t>
      </w:r>
      <w:r>
        <w:rPr>
          <w:rFonts w:cs="Arial"/>
        </w:rPr>
        <w:t xml:space="preserve">  Department of Employment, </w:t>
      </w:r>
      <w:r w:rsidRPr="00754338">
        <w:rPr>
          <w:rFonts w:cs="Arial"/>
          <w:i/>
        </w:rPr>
        <w:t>Revocation of the Fair Work Principles and the Cleaning Services Guidelines</w:t>
      </w:r>
      <w:r>
        <w:rPr>
          <w:rFonts w:cs="Arial"/>
        </w:rPr>
        <w:t xml:space="preserve">, (20 March 2014). At </w:t>
      </w:r>
      <w:hyperlink r:id="rId6" w:history="1">
        <w:r w:rsidRPr="00754338">
          <w:rPr>
            <w:rStyle w:val="Hyperlink"/>
            <w:rFonts w:cs="Arial"/>
            <w:color w:val="auto"/>
            <w:u w:val="none"/>
          </w:rPr>
          <w:t>http://employment.gov.au/news/revocation-fair-work-principles-and-commonwealth-cleaning-services-guidelines</w:t>
        </w:r>
      </w:hyperlink>
      <w:r>
        <w:rPr>
          <w:rFonts w:cs="Arial"/>
        </w:rPr>
        <w:t xml:space="preserve"> (viewed 9 February 2015).</w:t>
      </w:r>
    </w:p>
  </w:endnote>
  <w:endnote w:id="53">
    <w:p w:rsidR="005279C2" w:rsidRPr="00261C27" w:rsidRDefault="005279C2">
      <w:pPr>
        <w:pStyle w:val="EndnoteText"/>
        <w:rPr>
          <w:lang w:val="en-US"/>
        </w:rPr>
      </w:pPr>
      <w:r>
        <w:rPr>
          <w:rStyle w:val="EndnoteReference"/>
        </w:rPr>
        <w:endnoteRef/>
      </w:r>
      <w:r>
        <w:t xml:space="preserve"> The right to property is set out in Article 17 of the </w:t>
      </w:r>
      <w:r w:rsidRPr="007E2C33">
        <w:rPr>
          <w:i/>
        </w:rPr>
        <w:t>Universal Declaration on Human Rights</w:t>
      </w:r>
      <w:r>
        <w:t xml:space="preserve">; </w:t>
      </w:r>
      <w:r w:rsidRPr="00E56D8D">
        <w:rPr>
          <w:rFonts w:cs="Arial"/>
        </w:rPr>
        <w:t xml:space="preserve">Article 1 of the </w:t>
      </w:r>
      <w:r w:rsidRPr="00E56D8D">
        <w:rPr>
          <w:rFonts w:cs="Arial"/>
          <w:i/>
        </w:rPr>
        <w:t>European Convention on Human Rights</w:t>
      </w:r>
      <w:r>
        <w:rPr>
          <w:rFonts w:cs="Arial"/>
        </w:rPr>
        <w:t>;</w:t>
      </w:r>
      <w:r w:rsidRPr="00E56D8D">
        <w:rPr>
          <w:rFonts w:cs="Arial"/>
        </w:rPr>
        <w:t xml:space="preserve"> Article 21 of the </w:t>
      </w:r>
      <w:r w:rsidRPr="00E56D8D">
        <w:rPr>
          <w:rFonts w:cs="Arial"/>
          <w:i/>
        </w:rPr>
        <w:t>Inter-American Convention on Human Rights</w:t>
      </w:r>
      <w:r>
        <w:rPr>
          <w:rFonts w:cs="Arial"/>
        </w:rPr>
        <w:t xml:space="preserve">; </w:t>
      </w:r>
      <w:r w:rsidRPr="00E56D8D">
        <w:rPr>
          <w:rFonts w:cs="Arial"/>
        </w:rPr>
        <w:t xml:space="preserve">and Article 14 of the </w:t>
      </w:r>
      <w:r w:rsidRPr="00E56D8D">
        <w:rPr>
          <w:rFonts w:cs="Arial"/>
          <w:i/>
        </w:rPr>
        <w:t>African Charter on Human and Peoples Rights.</w:t>
      </w:r>
    </w:p>
  </w:endnote>
  <w:endnote w:id="54">
    <w:p w:rsidR="005279C2" w:rsidRPr="00643C65" w:rsidRDefault="005279C2" w:rsidP="009447E2">
      <w:pPr>
        <w:pStyle w:val="EndnoteText"/>
        <w:rPr>
          <w:lang w:val="en-US"/>
        </w:rPr>
      </w:pPr>
      <w:r>
        <w:rPr>
          <w:rStyle w:val="EndnoteReference"/>
        </w:rPr>
        <w:endnoteRef/>
      </w:r>
      <w:r>
        <w:t xml:space="preserve"> </w:t>
      </w:r>
      <w:r>
        <w:rPr>
          <w:rFonts w:cs="Arial"/>
        </w:rPr>
        <w:t xml:space="preserve">There are currently 105 </w:t>
      </w:r>
      <w:r w:rsidRPr="00B27953">
        <w:rPr>
          <w:rFonts w:cs="Arial"/>
        </w:rPr>
        <w:t>237 ho</w:t>
      </w:r>
      <w:r>
        <w:rPr>
          <w:rFonts w:cs="Arial"/>
        </w:rPr>
        <w:t xml:space="preserve">meless people in Australia; between 2006 and 2011, the number of homeless people increased by 17%. See </w:t>
      </w:r>
      <w:r>
        <w:t xml:space="preserve">B Taylor, </w:t>
      </w:r>
      <w:r w:rsidRPr="00EB4EC4">
        <w:rPr>
          <w:i/>
        </w:rPr>
        <w:t>Rights to Property and Homelessness in Australia</w:t>
      </w:r>
      <w:r>
        <w:t>, Hutt Street Centre, paper provided to the Australian Human Rights Commissioner, 31 October 2014.</w:t>
      </w:r>
    </w:p>
  </w:endnote>
  <w:endnote w:id="55">
    <w:p w:rsidR="005279C2" w:rsidRDefault="005279C2">
      <w:pPr>
        <w:pStyle w:val="EndnoteText"/>
      </w:pPr>
      <w:r>
        <w:rPr>
          <w:rStyle w:val="EndnoteReference"/>
        </w:rPr>
        <w:endnoteRef/>
      </w:r>
      <w:r>
        <w:t xml:space="preserve"> B Taylor, </w:t>
      </w:r>
      <w:r w:rsidRPr="00EB4EC4">
        <w:rPr>
          <w:i/>
        </w:rPr>
        <w:t>Rights to Property and Homelessness in Australia</w:t>
      </w:r>
      <w:r>
        <w:t>, Hutt Street Centre, paper provided to the Australian Human Rights Commissioner, 31 October 2014.</w:t>
      </w:r>
    </w:p>
  </w:endnote>
  <w:endnote w:id="56">
    <w:p w:rsidR="005279C2" w:rsidRPr="003901B6" w:rsidRDefault="005279C2">
      <w:pPr>
        <w:pStyle w:val="EndnoteText"/>
        <w:rPr>
          <w:lang w:val="en-US"/>
        </w:rPr>
      </w:pPr>
      <w:r>
        <w:rPr>
          <w:rStyle w:val="EndnoteReference"/>
        </w:rPr>
        <w:endnoteRef/>
      </w:r>
      <w:r>
        <w:t xml:space="preserve"> B Taylor, </w:t>
      </w:r>
      <w:r w:rsidRPr="00EB4EC4">
        <w:rPr>
          <w:i/>
        </w:rPr>
        <w:t>Rights to Property and Homelessness in Australia</w:t>
      </w:r>
      <w:r>
        <w:t>, Hutt Street Centre, paper provided to the Australian Human Rights Commissioner, 31 October 2014.</w:t>
      </w:r>
    </w:p>
  </w:endnote>
  <w:endnote w:id="57">
    <w:p w:rsidR="005279C2" w:rsidRPr="00D44DF6" w:rsidRDefault="005279C2">
      <w:pPr>
        <w:pStyle w:val="EndnoteText"/>
        <w:rPr>
          <w:lang w:val="en-US"/>
        </w:rPr>
      </w:pPr>
      <w:r>
        <w:rPr>
          <w:rStyle w:val="EndnoteReference"/>
        </w:rPr>
        <w:endnoteRef/>
      </w:r>
      <w:r>
        <w:t xml:space="preserve"> </w:t>
      </w:r>
      <w:r w:rsidRPr="00CA6D4A">
        <w:rPr>
          <w:i/>
          <w:lang w:val="en-US"/>
        </w:rPr>
        <w:t>Environmental Protection Act 1986</w:t>
      </w:r>
      <w:r>
        <w:rPr>
          <w:lang w:val="en-US"/>
        </w:rPr>
        <w:t xml:space="preserve"> (WA)</w:t>
      </w:r>
      <w:r w:rsidR="005B5F8A">
        <w:rPr>
          <w:lang w:val="en-US"/>
        </w:rPr>
        <w:t>,</w:t>
      </w:r>
      <w:r>
        <w:rPr>
          <w:lang w:val="en-US"/>
        </w:rPr>
        <w:t xml:space="preserve"> ss 51A-51T.</w:t>
      </w:r>
    </w:p>
  </w:endnote>
  <w:endnote w:id="58">
    <w:p w:rsidR="005279C2" w:rsidRPr="00781809" w:rsidRDefault="005279C2">
      <w:pPr>
        <w:pStyle w:val="EndnoteText"/>
        <w:rPr>
          <w:lang w:val="en-US"/>
        </w:rPr>
      </w:pPr>
      <w:r>
        <w:rPr>
          <w:rStyle w:val="EndnoteReference"/>
        </w:rPr>
        <w:endnoteRef/>
      </w:r>
      <w:r>
        <w:t xml:space="preserve"> </w:t>
      </w:r>
      <w:r>
        <w:rPr>
          <w:lang w:val="en-US"/>
        </w:rPr>
        <w:t xml:space="preserve">For example, see T Calma, </w:t>
      </w:r>
      <w:r>
        <w:t xml:space="preserve">Aboriginal and Torres Strait Islander Social Justice Commissioner, </w:t>
      </w:r>
      <w:r>
        <w:rPr>
          <w:i/>
        </w:rPr>
        <w:t xml:space="preserve">Native Title Reports 2005, 2006, 2007, </w:t>
      </w:r>
      <w:r>
        <w:rPr>
          <w:lang w:val="en-US"/>
        </w:rPr>
        <w:t>Australian Human Rights Commission</w:t>
      </w:r>
      <w:r>
        <w:t xml:space="preserve">; and M Gooda, Aboriginal and Torres Strait Islander Social Justice Commissioner, </w:t>
      </w:r>
      <w:r>
        <w:rPr>
          <w:i/>
        </w:rPr>
        <w:t xml:space="preserve">Native Title Report 2012, </w:t>
      </w:r>
      <w:r>
        <w:rPr>
          <w:lang w:val="en-US"/>
        </w:rPr>
        <w:t>Australian Human Rights Commission (2012)</w:t>
      </w:r>
      <w:r>
        <w:rPr>
          <w:i/>
        </w:rPr>
        <w:t>.</w:t>
      </w:r>
      <w:r>
        <w:t xml:space="preserve"> At </w:t>
      </w:r>
      <w:r w:rsidRPr="00781809">
        <w:t>http://www.humanrights.gov.au/publications/aboriginal-and-torres-strait-islander-social-justice?source=our-work</w:t>
      </w:r>
      <w:r>
        <w:t xml:space="preserve"> (viewed 5 March 2015).</w:t>
      </w:r>
    </w:p>
  </w:endnote>
  <w:endnote w:id="59">
    <w:p w:rsidR="005279C2" w:rsidRDefault="005279C2" w:rsidP="009447E2">
      <w:pPr>
        <w:pStyle w:val="EndnoteText"/>
      </w:pPr>
      <w:r>
        <w:rPr>
          <w:rStyle w:val="EndnoteReference"/>
        </w:rPr>
        <w:endnoteRef/>
      </w:r>
      <w:r>
        <w:t xml:space="preserve"> M Gooda, Aboriginal and Torres Strait Islander Social Justice Commissioner, </w:t>
      </w:r>
      <w:r>
        <w:rPr>
          <w:i/>
        </w:rPr>
        <w:t>Native Title Report 2012</w:t>
      </w:r>
      <w:r>
        <w:t xml:space="preserve">, </w:t>
      </w:r>
      <w:r>
        <w:rPr>
          <w:lang w:val="en-US"/>
        </w:rPr>
        <w:t xml:space="preserve">Australian Human Rights Commission </w:t>
      </w:r>
      <w:r>
        <w:t xml:space="preserve">(2012), pp 109-112; Yawuru PBC </w:t>
      </w:r>
      <w:r w:rsidRPr="00CA6D4A">
        <w:rPr>
          <w:i/>
        </w:rPr>
        <w:t>Annual Report 2013</w:t>
      </w:r>
      <w:r>
        <w:t xml:space="preserve">, ‘Rebuilding the Yawuru Nation’ (2013). </w:t>
      </w:r>
    </w:p>
  </w:endnote>
  <w:endnote w:id="60">
    <w:p w:rsidR="005279C2" w:rsidRPr="0045135C" w:rsidRDefault="005279C2">
      <w:pPr>
        <w:pStyle w:val="EndnoteText"/>
        <w:rPr>
          <w:lang w:val="en-US"/>
        </w:rPr>
      </w:pPr>
      <w:r>
        <w:rPr>
          <w:rStyle w:val="EndnoteReference"/>
        </w:rPr>
        <w:endnoteRef/>
      </w:r>
      <w:r>
        <w:t xml:space="preserve"> </w:t>
      </w:r>
      <w:r>
        <w:rPr>
          <w:lang w:val="en-US"/>
        </w:rPr>
        <w:t xml:space="preserve">The issues that will be addressed at this forum are different to the issues considered by the Australian Law Reform Commission in its inquiry into specific areas of native title – see </w:t>
      </w:r>
      <w:r w:rsidRPr="0045135C">
        <w:rPr>
          <w:lang w:val="en-US"/>
        </w:rPr>
        <w:t>http://www.alrc.gov.au/inquiries/native-title-act-1993</w:t>
      </w:r>
      <w:r>
        <w:rPr>
          <w:lang w:val="en-US"/>
        </w:rPr>
        <w:t xml:space="preserve"> (viewed 12 March 2015). This forum will compliment the current COAG</w:t>
      </w:r>
      <w:r w:rsidRPr="001316D5">
        <w:rPr>
          <w:lang w:val="en-US"/>
        </w:rPr>
        <w:t xml:space="preserve"> </w:t>
      </w:r>
      <w:r w:rsidRPr="001316D5">
        <w:rPr>
          <w:rFonts w:cs="Arial"/>
          <w:shd w:val="clear" w:color="auto" w:fill="FFFFFF"/>
        </w:rPr>
        <w:t>investigation into Indigenous land administration and use</w:t>
      </w:r>
      <w:r>
        <w:rPr>
          <w:rFonts w:cs="Arial"/>
          <w:shd w:val="clear" w:color="auto" w:fill="FFFFFF"/>
        </w:rPr>
        <w:t xml:space="preserve"> – see </w:t>
      </w:r>
      <w:r w:rsidRPr="00691533">
        <w:rPr>
          <w:rFonts w:cs="Arial"/>
          <w:shd w:val="clear" w:color="auto" w:fill="FFFFFF"/>
        </w:rPr>
        <w:t>https://www.dpmc.gov.au/indigenous-affairs/about/jobs-land-and-economy-programme/coag-land-investigation</w:t>
      </w:r>
      <w:r>
        <w:rPr>
          <w:rFonts w:cs="Arial"/>
          <w:shd w:val="clear" w:color="auto" w:fill="FFFFFF"/>
        </w:rPr>
        <w:t xml:space="preserve"> (viewed 12 March 2015).</w:t>
      </w:r>
      <w:r>
        <w:rPr>
          <w:lang w:val="en-US"/>
        </w:rPr>
        <w:t xml:space="preserve"> </w:t>
      </w:r>
    </w:p>
  </w:endnote>
  <w:endnote w:id="61">
    <w:p w:rsidR="005279C2" w:rsidRPr="00476242" w:rsidRDefault="005279C2">
      <w:pPr>
        <w:pStyle w:val="EndnoteText"/>
        <w:rPr>
          <w:lang w:val="en-US"/>
        </w:rPr>
      </w:pPr>
      <w:r>
        <w:rPr>
          <w:rStyle w:val="EndnoteReference"/>
        </w:rPr>
        <w:endnoteRef/>
      </w:r>
      <w:r>
        <w:t xml:space="preserve"> Papunya Tula. At </w:t>
      </w:r>
      <w:hyperlink r:id="rId7" w:history="1">
        <w:r w:rsidRPr="00CA6D4A">
          <w:rPr>
            <w:rStyle w:val="Hyperlink"/>
            <w:color w:val="auto"/>
            <w:u w:val="none"/>
          </w:rPr>
          <w:t>http://papunyatula.com.au</w:t>
        </w:r>
      </w:hyperlink>
      <w:r>
        <w:t xml:space="preserve"> (viewed 17 February 2015).</w:t>
      </w:r>
    </w:p>
  </w:endnote>
  <w:endnote w:id="62">
    <w:p w:rsidR="005279C2" w:rsidRPr="00DE6F3E" w:rsidRDefault="005279C2" w:rsidP="009447E2">
      <w:pPr>
        <w:pStyle w:val="EndnoteText"/>
        <w:rPr>
          <w:lang w:val="en-US"/>
        </w:rPr>
      </w:pPr>
      <w:r>
        <w:rPr>
          <w:rStyle w:val="EndnoteReference"/>
        </w:rPr>
        <w:endnoteRef/>
      </w:r>
      <w:r>
        <w:t xml:space="preserve"> Attorney General’s Department Ministry of the Arts, </w:t>
      </w:r>
      <w:r w:rsidRPr="00CA6D4A">
        <w:rPr>
          <w:i/>
        </w:rPr>
        <w:t>Royalty Resale Scheme</w:t>
      </w:r>
      <w:r>
        <w:t xml:space="preserve">. At </w:t>
      </w:r>
      <w:r w:rsidRPr="00CA6D4A">
        <w:t>http://arts.gov.au/visual-arts/resale-royalty-scheme</w:t>
      </w:r>
      <w:r>
        <w:t xml:space="preserve"> (viewed 17 February 2015).</w:t>
      </w:r>
    </w:p>
  </w:endnote>
  <w:endnote w:id="63">
    <w:p w:rsidR="005279C2" w:rsidRPr="009B4E08" w:rsidRDefault="005279C2">
      <w:pPr>
        <w:pStyle w:val="EndnoteText"/>
        <w:rPr>
          <w:lang w:val="en-US"/>
        </w:rPr>
      </w:pPr>
      <w:r>
        <w:rPr>
          <w:rStyle w:val="EndnoteReference"/>
        </w:rPr>
        <w:endnoteRef/>
      </w:r>
      <w:r>
        <w:t xml:space="preserve"> </w:t>
      </w:r>
      <w:r w:rsidRPr="002F0BE8">
        <w:rPr>
          <w:i/>
        </w:rPr>
        <w:t>Attorney General [NT] v Emmerson</w:t>
      </w:r>
      <w:r>
        <w:t xml:space="preserve"> [2014] HCA 13.</w:t>
      </w:r>
    </w:p>
  </w:endnote>
  <w:endnote w:id="64">
    <w:p w:rsidR="005279C2" w:rsidRPr="0081699D" w:rsidRDefault="005279C2">
      <w:pPr>
        <w:pStyle w:val="EndnoteText"/>
        <w:rPr>
          <w:lang w:val="en-US"/>
        </w:rPr>
      </w:pPr>
      <w:r>
        <w:rPr>
          <w:rStyle w:val="EndnoteReference"/>
        </w:rPr>
        <w:endnoteRef/>
      </w:r>
      <w:r>
        <w:t xml:space="preserve"> </w:t>
      </w:r>
      <w:r>
        <w:rPr>
          <w:lang w:val="en-US"/>
        </w:rPr>
        <w:t xml:space="preserve">While not raised as a systemic issue during the </w:t>
      </w:r>
      <w:r w:rsidRPr="0081699D">
        <w:rPr>
          <w:i/>
          <w:lang w:val="en-US"/>
        </w:rPr>
        <w:t>Rights &amp; Responsibilities 2014</w:t>
      </w:r>
      <w:r>
        <w:rPr>
          <w:lang w:val="en-US"/>
        </w:rPr>
        <w:t xml:space="preserve"> consultation, the Commission has previously undertaken work in the area of access to justice for people with a mental health issues. For example, see G Innes, Disability Discrimination Commissioner, </w:t>
      </w:r>
      <w:r w:rsidRPr="009310E8">
        <w:rPr>
          <w:i/>
          <w:lang w:val="en-US"/>
        </w:rPr>
        <w:t>Equality Before The Law: towards disability justice strategies</w:t>
      </w:r>
      <w:r>
        <w:rPr>
          <w:lang w:val="en-US"/>
        </w:rPr>
        <w:t xml:space="preserve">, Australian Human Rights Commission (2014). At </w:t>
      </w:r>
      <w:r w:rsidRPr="009310E8">
        <w:rPr>
          <w:lang w:val="en-US"/>
        </w:rPr>
        <w:t>http://www.humanrights.gov.au/our-work/disability-rights/publications/equal-law</w:t>
      </w:r>
      <w:r>
        <w:rPr>
          <w:lang w:val="en-US"/>
        </w:rPr>
        <w:t xml:space="preserve"> (viewed 12 March 2015).</w:t>
      </w:r>
    </w:p>
  </w:endnote>
  <w:endnote w:id="65">
    <w:p w:rsidR="005279C2" w:rsidRPr="007037AD" w:rsidRDefault="005279C2">
      <w:pPr>
        <w:pStyle w:val="EndnoteText"/>
        <w:rPr>
          <w:lang w:val="en-US"/>
        </w:rPr>
      </w:pPr>
      <w:r>
        <w:rPr>
          <w:rStyle w:val="EndnoteReference"/>
        </w:rPr>
        <w:endnoteRef/>
      </w:r>
      <w:r>
        <w:t xml:space="preserve"> </w:t>
      </w:r>
      <w:r w:rsidRPr="007037AD">
        <w:rPr>
          <w:rFonts w:cs="Arial"/>
        </w:rPr>
        <w:t xml:space="preserve">Law Council of Australia, </w:t>
      </w:r>
      <w:r w:rsidRPr="007037AD">
        <w:rPr>
          <w:rFonts w:cs="Arial"/>
          <w:i/>
        </w:rPr>
        <w:t xml:space="preserve">Policy Discussion Paper on Mandatory Sentencing </w:t>
      </w:r>
      <w:r>
        <w:rPr>
          <w:rFonts w:cs="Arial"/>
        </w:rPr>
        <w:t>(May 2014), pp</w:t>
      </w:r>
      <w:r w:rsidRPr="007037AD">
        <w:rPr>
          <w:rFonts w:cs="Arial"/>
        </w:rPr>
        <w:t xml:space="preserve"> 50-59</w:t>
      </w:r>
      <w:r>
        <w:rPr>
          <w:rFonts w:cs="Arial"/>
        </w:rPr>
        <w:t xml:space="preserve">. At </w:t>
      </w:r>
      <w:r w:rsidRPr="00CA6D4A">
        <w:rPr>
          <w:rFonts w:cs="Arial"/>
        </w:rPr>
        <w:t>http://www.lawcouncil.asn.au/lawcouncil/index.php/library/policies-and-guidelines</w:t>
      </w:r>
      <w:r>
        <w:rPr>
          <w:lang w:val="en-US"/>
        </w:rPr>
        <w:t xml:space="preserve"> (viewed 17 February 2015).</w:t>
      </w:r>
    </w:p>
  </w:endnote>
  <w:endnote w:id="66">
    <w:p w:rsidR="005279C2" w:rsidRPr="007037AD" w:rsidRDefault="005279C2">
      <w:pPr>
        <w:pStyle w:val="EndnoteText"/>
        <w:rPr>
          <w:lang w:val="en-US"/>
        </w:rPr>
      </w:pPr>
      <w:r>
        <w:rPr>
          <w:rStyle w:val="EndnoteReference"/>
        </w:rPr>
        <w:endnoteRef/>
      </w:r>
      <w:r>
        <w:t xml:space="preserve"> </w:t>
      </w:r>
      <w:r w:rsidRPr="007037AD">
        <w:rPr>
          <w:rFonts w:cs="Arial"/>
        </w:rPr>
        <w:t xml:space="preserve">Law Council of Australia, </w:t>
      </w:r>
      <w:r w:rsidRPr="007037AD">
        <w:rPr>
          <w:rFonts w:cs="Arial"/>
          <w:i/>
        </w:rPr>
        <w:t xml:space="preserve">Policy Discussion Paper on Mandatory Sentencing </w:t>
      </w:r>
      <w:r>
        <w:rPr>
          <w:rFonts w:cs="Arial"/>
        </w:rPr>
        <w:t xml:space="preserve">(May 2014), p 4. At </w:t>
      </w:r>
      <w:r w:rsidRPr="00CA6D4A">
        <w:rPr>
          <w:rFonts w:cs="Arial"/>
        </w:rPr>
        <w:t>http://www.lawcouncil.asn.au/lawcouncil/index.php/library/policies-and-guidelines</w:t>
      </w:r>
      <w:r>
        <w:rPr>
          <w:lang w:val="en-US"/>
        </w:rPr>
        <w:t xml:space="preserve"> (viewed 17 February 2015).</w:t>
      </w:r>
    </w:p>
  </w:endnote>
  <w:endnote w:id="67">
    <w:p w:rsidR="005279C2" w:rsidRPr="00CD1868" w:rsidRDefault="005279C2">
      <w:pPr>
        <w:pStyle w:val="EndnoteText"/>
        <w:rPr>
          <w:lang w:val="en-US"/>
        </w:rPr>
      </w:pPr>
      <w:r>
        <w:rPr>
          <w:rStyle w:val="EndnoteReference"/>
        </w:rPr>
        <w:endnoteRef/>
      </w:r>
      <w:r>
        <w:t xml:space="preserve"> </w:t>
      </w:r>
      <w:r>
        <w:rPr>
          <w:lang w:val="en-US"/>
        </w:rPr>
        <w:t xml:space="preserve">M Gooda, Aboriginal and Torres Strait Islander Social Justice Commissioner, </w:t>
      </w:r>
      <w:r w:rsidRPr="00CD1868">
        <w:rPr>
          <w:i/>
          <w:lang w:val="en-US"/>
        </w:rPr>
        <w:t>Social Justice and Native Title Report 2014</w:t>
      </w:r>
      <w:r>
        <w:rPr>
          <w:lang w:val="en-US"/>
        </w:rPr>
        <w:t xml:space="preserve">, Australian Human Rights Commission (2014). At </w:t>
      </w:r>
      <w:hyperlink r:id="rId8" w:history="1">
        <w:r w:rsidRPr="00CD1868">
          <w:rPr>
            <w:rStyle w:val="Hyperlink"/>
            <w:color w:val="auto"/>
            <w:u w:val="none"/>
            <w:lang w:val="en-US"/>
          </w:rPr>
          <w:t>http://www.humanrights.gov.au/publications/social-justice-and-native-title-report-2014</w:t>
        </w:r>
      </w:hyperlink>
      <w:r>
        <w:rPr>
          <w:lang w:val="en-US"/>
        </w:rPr>
        <w:t xml:space="preserve"> (viewed 17 February 2015).</w:t>
      </w:r>
    </w:p>
  </w:endnote>
  <w:endnote w:id="68">
    <w:p w:rsidR="005279C2" w:rsidRPr="004422F8" w:rsidRDefault="005279C2" w:rsidP="007E3882">
      <w:pPr>
        <w:pStyle w:val="EndnoteText"/>
        <w:rPr>
          <w:lang w:val="en-US"/>
        </w:rPr>
      </w:pPr>
      <w:r w:rsidRPr="004422F8">
        <w:rPr>
          <w:rStyle w:val="EndnoteReference"/>
        </w:rPr>
        <w:endnoteRef/>
      </w:r>
      <w:r w:rsidRPr="004422F8">
        <w:t xml:space="preserve"> </w:t>
      </w:r>
      <w:r w:rsidRPr="004422F8">
        <w:rPr>
          <w:lang w:val="en-US"/>
        </w:rPr>
        <w:t xml:space="preserve">For a broader discussion, see G Williams and D Hume, </w:t>
      </w:r>
      <w:r w:rsidRPr="004422F8">
        <w:rPr>
          <w:i/>
          <w:lang w:val="en-US"/>
        </w:rPr>
        <w:t xml:space="preserve">Human Rights Under  the Australian Constitution </w:t>
      </w:r>
      <w:r w:rsidRPr="004422F8">
        <w:rPr>
          <w:lang w:val="en-US"/>
        </w:rPr>
        <w:t>(2</w:t>
      </w:r>
      <w:r w:rsidRPr="004422F8">
        <w:rPr>
          <w:vertAlign w:val="superscript"/>
          <w:lang w:val="en-US"/>
        </w:rPr>
        <w:t>nd</w:t>
      </w:r>
      <w:r w:rsidRPr="004422F8">
        <w:rPr>
          <w:lang w:val="en-US"/>
        </w:rPr>
        <w:t xml:space="preserve"> edition), Oxford University Press (2013).</w:t>
      </w:r>
    </w:p>
  </w:endnote>
  <w:endnote w:id="69">
    <w:p w:rsidR="005279C2" w:rsidRPr="004422F8" w:rsidRDefault="005279C2" w:rsidP="007E3882">
      <w:pPr>
        <w:pStyle w:val="EndnoteText"/>
        <w:rPr>
          <w:lang w:val="en-US"/>
        </w:rPr>
      </w:pPr>
      <w:r w:rsidRPr="004422F8">
        <w:rPr>
          <w:rStyle w:val="EndnoteReference"/>
        </w:rPr>
        <w:endnoteRef/>
      </w:r>
      <w:r w:rsidRPr="004422F8">
        <w:t xml:space="preserve"> </w:t>
      </w:r>
      <w:r w:rsidRPr="004422F8">
        <w:rPr>
          <w:lang w:val="en-US"/>
        </w:rPr>
        <w:t xml:space="preserve">While there is no national statutory charter of rights, the Australian Capital Territory has enacted the </w:t>
      </w:r>
      <w:r w:rsidRPr="004422F8">
        <w:rPr>
          <w:i/>
          <w:lang w:val="en-US"/>
        </w:rPr>
        <w:t>Human Rights Act 2004</w:t>
      </w:r>
      <w:r w:rsidRPr="004422F8">
        <w:rPr>
          <w:lang w:val="en-US"/>
        </w:rPr>
        <w:t xml:space="preserve"> (ACT) and Victoria has enacted the </w:t>
      </w:r>
      <w:r w:rsidRPr="004422F8">
        <w:rPr>
          <w:i/>
          <w:lang w:val="en-US"/>
        </w:rPr>
        <w:t xml:space="preserve">Charter of Human Rights and Responsibilities Act 2006 </w:t>
      </w:r>
      <w:r w:rsidRPr="004422F8">
        <w:rPr>
          <w:lang w:val="en-US"/>
        </w:rPr>
        <w:t>(Vic).</w:t>
      </w:r>
    </w:p>
  </w:endnote>
  <w:endnote w:id="70">
    <w:p w:rsidR="005279C2" w:rsidRPr="00E210DD" w:rsidRDefault="005279C2">
      <w:pPr>
        <w:pStyle w:val="EndnoteText"/>
        <w:rPr>
          <w:lang w:val="en-US"/>
        </w:rPr>
      </w:pPr>
      <w:r>
        <w:rPr>
          <w:rStyle w:val="EndnoteReference"/>
        </w:rPr>
        <w:endnoteRef/>
      </w:r>
      <w:r>
        <w:t xml:space="preserve"> Attorney General’s Department, </w:t>
      </w:r>
      <w:r w:rsidRPr="003E2277">
        <w:rPr>
          <w:i/>
        </w:rPr>
        <w:t>National Human Rights Consultation Report</w:t>
      </w:r>
      <w:r>
        <w:t xml:space="preserve">. At </w:t>
      </w:r>
      <w:r w:rsidRPr="003E2277">
        <w:t>http://www.ag.gov.au/RightsAndProtections/HumanRights/TreatyBodyReporting/Pages/HumanRightsconsultationreport.aspx</w:t>
      </w:r>
      <w:r>
        <w:rPr>
          <w:lang w:val="en-US"/>
        </w:rPr>
        <w:t xml:space="preserve"> (viewed 15 February 2015).</w:t>
      </w:r>
    </w:p>
  </w:endnote>
  <w:endnote w:id="71">
    <w:p w:rsidR="005279C2" w:rsidRPr="006C0BCB" w:rsidRDefault="005279C2">
      <w:pPr>
        <w:pStyle w:val="EndnoteText"/>
        <w:rPr>
          <w:lang w:val="en-US"/>
        </w:rPr>
      </w:pPr>
      <w:r>
        <w:rPr>
          <w:rStyle w:val="EndnoteReference"/>
        </w:rPr>
        <w:endnoteRef/>
      </w:r>
      <w:r>
        <w:t xml:space="preserve"> </w:t>
      </w:r>
      <w:r>
        <w:rPr>
          <w:lang w:val="en-US"/>
        </w:rPr>
        <w:t xml:space="preserve">The rule of law was established in clause 29 of the </w:t>
      </w:r>
      <w:r w:rsidRPr="00170724">
        <w:rPr>
          <w:i/>
          <w:lang w:val="en-US"/>
        </w:rPr>
        <w:t>Magna Carta</w:t>
      </w:r>
      <w:r>
        <w:rPr>
          <w:lang w:val="en-US"/>
        </w:rPr>
        <w:t xml:space="preserve"> (1297 version).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Pr="0090165F" w:rsidRDefault="005279C2"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Pr="004A187B" w:rsidRDefault="005279C2" w:rsidP="008B23BC">
    <w:pPr>
      <w:pStyle w:val="Footer"/>
    </w:pPr>
    <w:r>
      <w:rPr>
        <w:noProof/>
      </w:rPr>
      <mc:AlternateContent>
        <mc:Choice Requires="wps">
          <w:drawing>
            <wp:anchor distT="0" distB="0" distL="114300" distR="114300" simplePos="0" relativeHeight="251660288" behindDoc="0" locked="0" layoutInCell="1" allowOverlap="1" wp14:anchorId="25C473E0" wp14:editId="7C9E3103">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5279C2" w:rsidRPr="0003606D" w:rsidRDefault="005279C2" w:rsidP="00730BD2">
                          <w:pPr>
                            <w:pStyle w:val="coveraddress"/>
                          </w:pPr>
                          <w:r w:rsidRPr="0003606D">
                            <w:t>ABN 47 996 232 602</w:t>
                          </w:r>
                        </w:p>
                        <w:p w:rsidR="005279C2" w:rsidRPr="0003606D" w:rsidRDefault="005279C2" w:rsidP="00730BD2">
                          <w:pPr>
                            <w:pStyle w:val="coveraddress"/>
                          </w:pPr>
                          <w:r w:rsidRPr="0003606D">
                            <w:t>Level 3, 175 Pitt Street, Sydney NSW 2000</w:t>
                          </w:r>
                        </w:p>
                        <w:p w:rsidR="005279C2" w:rsidRPr="0003606D" w:rsidRDefault="005279C2" w:rsidP="00730BD2">
                          <w:pPr>
                            <w:pStyle w:val="coveraddress"/>
                          </w:pPr>
                          <w:r w:rsidRPr="0003606D">
                            <w:t>GPO Box 5218, Sydney NSW 2001</w:t>
                          </w:r>
                        </w:p>
                        <w:p w:rsidR="005279C2" w:rsidRPr="0003606D" w:rsidRDefault="005279C2" w:rsidP="00730BD2">
                          <w:pPr>
                            <w:pStyle w:val="coveraddress"/>
                          </w:pPr>
                          <w:r w:rsidRPr="0003606D">
                            <w:t>General enquiries 1300 369 711</w:t>
                          </w:r>
                        </w:p>
                        <w:p w:rsidR="005279C2" w:rsidRPr="0003606D" w:rsidRDefault="005279C2" w:rsidP="00730BD2">
                          <w:pPr>
                            <w:pStyle w:val="coveraddress"/>
                          </w:pPr>
                          <w:r w:rsidRPr="0003606D">
                            <w:t>Complaints info line 1300 656 419</w:t>
                          </w:r>
                        </w:p>
                        <w:p w:rsidR="005279C2" w:rsidRPr="0003606D" w:rsidRDefault="005279C2" w:rsidP="00730BD2">
                          <w:pPr>
                            <w:pStyle w:val="coveraddress"/>
                          </w:pPr>
                          <w:r w:rsidRPr="0003606D">
                            <w:t>TTY 1800 620 241</w:t>
                          </w:r>
                        </w:p>
                        <w:p w:rsidR="005279C2" w:rsidRPr="00B63D24" w:rsidRDefault="005279C2" w:rsidP="00730BD2">
                          <w:pPr>
                            <w:pStyle w:val="Footer"/>
                          </w:pPr>
                          <w:r w:rsidRPr="00B63D24">
                            <w:tab/>
                          </w:r>
                        </w:p>
                        <w:p w:rsidR="005279C2" w:rsidRPr="00B63D24" w:rsidRDefault="005279C2"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473E0"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5279C2" w:rsidRPr="0003606D" w:rsidRDefault="005279C2" w:rsidP="00730BD2">
                    <w:pPr>
                      <w:pStyle w:val="coveraddress"/>
                    </w:pPr>
                    <w:r w:rsidRPr="0003606D">
                      <w:t>ABN 47 996 232 602</w:t>
                    </w:r>
                  </w:p>
                  <w:p w:rsidR="005279C2" w:rsidRPr="0003606D" w:rsidRDefault="005279C2" w:rsidP="00730BD2">
                    <w:pPr>
                      <w:pStyle w:val="coveraddress"/>
                    </w:pPr>
                    <w:r w:rsidRPr="0003606D">
                      <w:t>Level 3, 175 Pitt Street, Sydney NSW 2000</w:t>
                    </w:r>
                  </w:p>
                  <w:p w:rsidR="005279C2" w:rsidRPr="0003606D" w:rsidRDefault="005279C2" w:rsidP="00730BD2">
                    <w:pPr>
                      <w:pStyle w:val="coveraddress"/>
                    </w:pPr>
                    <w:r w:rsidRPr="0003606D">
                      <w:t>GPO Box 5218, Sydney NSW 2001</w:t>
                    </w:r>
                  </w:p>
                  <w:p w:rsidR="005279C2" w:rsidRPr="0003606D" w:rsidRDefault="005279C2" w:rsidP="00730BD2">
                    <w:pPr>
                      <w:pStyle w:val="coveraddress"/>
                    </w:pPr>
                    <w:r w:rsidRPr="0003606D">
                      <w:t>General enquiries 1300 369 711</w:t>
                    </w:r>
                  </w:p>
                  <w:p w:rsidR="005279C2" w:rsidRPr="0003606D" w:rsidRDefault="005279C2" w:rsidP="00730BD2">
                    <w:pPr>
                      <w:pStyle w:val="coveraddress"/>
                    </w:pPr>
                    <w:r w:rsidRPr="0003606D">
                      <w:t>Complaints info line 1300 656 419</w:t>
                    </w:r>
                  </w:p>
                  <w:p w:rsidR="005279C2" w:rsidRPr="0003606D" w:rsidRDefault="005279C2" w:rsidP="00730BD2">
                    <w:pPr>
                      <w:pStyle w:val="coveraddress"/>
                    </w:pPr>
                    <w:r w:rsidRPr="0003606D">
                      <w:t>TTY 1800 620 241</w:t>
                    </w:r>
                  </w:p>
                  <w:p w:rsidR="005279C2" w:rsidRPr="00B63D24" w:rsidRDefault="005279C2" w:rsidP="00730BD2">
                    <w:pPr>
                      <w:pStyle w:val="Footer"/>
                    </w:pPr>
                    <w:r w:rsidRPr="00B63D24">
                      <w:tab/>
                    </w:r>
                  </w:p>
                  <w:p w:rsidR="005279C2" w:rsidRPr="00B63D24" w:rsidRDefault="005279C2"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Pr="0090165F" w:rsidRDefault="005279C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6511AF">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C2" w:rsidRDefault="005279C2" w:rsidP="00F14C6D">
      <w:r>
        <w:separator/>
      </w:r>
    </w:p>
  </w:footnote>
  <w:footnote w:type="continuationSeparator" w:id="0">
    <w:p w:rsidR="005279C2" w:rsidRDefault="005279C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Default="006511AF">
    <w:pPr>
      <w:pStyle w:val="Header"/>
    </w:pPr>
    <w:r>
      <w:rPr>
        <w:noProof/>
      </w:rPr>
      <w:pict w14:anchorId="31D79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Pr="00D27262" w:rsidRDefault="006511AF" w:rsidP="002B1B65">
    <w:pPr>
      <w:spacing w:before="0" w:after="0"/>
      <w:jc w:val="right"/>
      <w:rPr>
        <w:sz w:val="22"/>
        <w:szCs w:val="22"/>
      </w:rPr>
    </w:pPr>
    <w:r>
      <w:rPr>
        <w:noProof/>
        <w:sz w:val="22"/>
        <w:szCs w:val="22"/>
      </w:rPr>
      <w:pict w14:anchorId="36FAF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5279C2" w:rsidRPr="00D27262">
      <w:rPr>
        <w:sz w:val="22"/>
        <w:szCs w:val="22"/>
      </w:rPr>
      <w:t>Au</w:t>
    </w:r>
    <w:r w:rsidR="005279C2">
      <w:rPr>
        <w:sz w:val="22"/>
        <w:szCs w:val="22"/>
      </w:rPr>
      <w:t>stralian Human Rights Commission</w:t>
    </w:r>
  </w:p>
  <w:p w:rsidR="005279C2" w:rsidRDefault="005279C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279C2" w:rsidRPr="00B85DD4" w:rsidTr="00165E3C">
      <w:trPr>
        <w:trHeight w:val="1276"/>
      </w:trPr>
      <w:tc>
        <w:tcPr>
          <w:tcW w:w="1508" w:type="dxa"/>
        </w:tcPr>
        <w:p w:rsidR="005279C2" w:rsidRPr="00B85DD4" w:rsidRDefault="006511AF" w:rsidP="00B520BC">
          <w:pPr>
            <w:pStyle w:val="Header"/>
            <w:tabs>
              <w:tab w:val="left" w:pos="4686"/>
              <w:tab w:val="left" w:pos="7088"/>
              <w:tab w:val="left" w:pos="7242"/>
            </w:tabs>
            <w:ind w:left="-108"/>
            <w:rPr>
              <w:rFonts w:cs="ArialMT"/>
              <w:b/>
              <w:spacing w:val="-20"/>
            </w:rPr>
          </w:pPr>
          <w:r>
            <w:rPr>
              <w:rFonts w:cs="ArialMT"/>
              <w:b/>
              <w:noProof/>
              <w:spacing w:val="-20"/>
            </w:rPr>
            <w:pict w14:anchorId="54D5B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5279C2" w:rsidRPr="00B85DD4" w:rsidRDefault="005279C2" w:rsidP="002B1B65">
          <w:pPr>
            <w:spacing w:before="0" w:after="0"/>
            <w:rPr>
              <w:rFonts w:cs="ArialMT"/>
              <w:i/>
              <w:color w:val="808080"/>
              <w:sz w:val="17"/>
            </w:rPr>
          </w:pPr>
        </w:p>
      </w:tc>
      <w:tc>
        <w:tcPr>
          <w:tcW w:w="2302" w:type="dxa"/>
        </w:tcPr>
        <w:p w:rsidR="005279C2" w:rsidRPr="00B85DD4" w:rsidRDefault="005279C2" w:rsidP="00B520BC">
          <w:pPr>
            <w:pStyle w:val="HeaderFooter"/>
            <w:rPr>
              <w:b/>
              <w:spacing w:val="-20"/>
              <w:sz w:val="40"/>
            </w:rPr>
          </w:pPr>
        </w:p>
      </w:tc>
      <w:tc>
        <w:tcPr>
          <w:tcW w:w="2130" w:type="dxa"/>
        </w:tcPr>
        <w:p w:rsidR="005279C2" w:rsidRPr="00B85DD4" w:rsidRDefault="005279C2" w:rsidP="00B520BC">
          <w:pPr>
            <w:pStyle w:val="HeaderFooter"/>
            <w:rPr>
              <w:b/>
              <w:spacing w:val="-20"/>
              <w:sz w:val="40"/>
            </w:rPr>
          </w:pPr>
        </w:p>
      </w:tc>
      <w:tc>
        <w:tcPr>
          <w:tcW w:w="1721" w:type="dxa"/>
        </w:tcPr>
        <w:p w:rsidR="005279C2" w:rsidRPr="00B85DD4" w:rsidRDefault="005279C2" w:rsidP="00B520BC">
          <w:pPr>
            <w:pStyle w:val="HeaderFooter"/>
            <w:spacing w:before="227" w:after="340"/>
            <w:rPr>
              <w:b/>
              <w:spacing w:val="-20"/>
              <w:sz w:val="40"/>
            </w:rPr>
          </w:pPr>
        </w:p>
      </w:tc>
    </w:tr>
  </w:tbl>
  <w:p w:rsidR="005279C2" w:rsidRDefault="005279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Default="006511AF">
    <w:pPr>
      <w:pStyle w:val="Header"/>
    </w:pPr>
    <w:r>
      <w:rPr>
        <w:noProof/>
      </w:rPr>
      <w:pict w14:anchorId="5BCB3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C2" w:rsidRPr="00D27262" w:rsidRDefault="005279C2" w:rsidP="00B34946">
    <w:pPr>
      <w:spacing w:before="0" w:after="60"/>
      <w:jc w:val="right"/>
      <w:rPr>
        <w:sz w:val="22"/>
        <w:szCs w:val="22"/>
      </w:rPr>
    </w:pPr>
    <w:r w:rsidRPr="00D27262">
      <w:rPr>
        <w:sz w:val="22"/>
        <w:szCs w:val="22"/>
      </w:rPr>
      <w:t>Au</w:t>
    </w:r>
    <w:r>
      <w:rPr>
        <w:sz w:val="22"/>
        <w:szCs w:val="22"/>
      </w:rPr>
      <w:t>stralian Human Rights Commission</w:t>
    </w:r>
  </w:p>
  <w:p w:rsidR="005279C2" w:rsidRPr="001E5676" w:rsidRDefault="005279C2" w:rsidP="002F4CE1">
    <w:pPr>
      <w:pStyle w:val="Footer"/>
      <w:spacing w:after="240"/>
      <w:jc w:val="right"/>
      <w:rPr>
        <w:i/>
        <w:sz w:val="18"/>
        <w:szCs w:val="18"/>
      </w:rPr>
    </w:pPr>
    <w:r>
      <w:rPr>
        <w:b/>
        <w:i/>
        <w:sz w:val="18"/>
        <w:szCs w:val="18"/>
      </w:rPr>
      <w:t>Rights &amp; Responsibilities Consultation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279C2" w:rsidRPr="00B85DD4" w:rsidTr="002B1B65">
      <w:trPr>
        <w:trHeight w:val="1603"/>
      </w:trPr>
      <w:tc>
        <w:tcPr>
          <w:tcW w:w="1508" w:type="dxa"/>
        </w:tcPr>
        <w:p w:rsidR="005279C2" w:rsidRPr="00B85DD4" w:rsidRDefault="006511AF" w:rsidP="00B520BC">
          <w:pPr>
            <w:pStyle w:val="Header"/>
            <w:tabs>
              <w:tab w:val="left" w:pos="4686"/>
              <w:tab w:val="left" w:pos="7088"/>
              <w:tab w:val="left" w:pos="7242"/>
            </w:tabs>
            <w:ind w:left="-108"/>
            <w:rPr>
              <w:rFonts w:cs="ArialMT"/>
              <w:b/>
              <w:spacing w:val="-20"/>
            </w:rPr>
          </w:pPr>
          <w:r>
            <w:rPr>
              <w:rFonts w:cs="ArialMT"/>
              <w:b/>
              <w:noProof/>
              <w:spacing w:val="-20"/>
            </w:rPr>
            <w:pict w14:anchorId="1EBEF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5279C2">
            <w:rPr>
              <w:rFonts w:cs="ArialMT"/>
              <w:b/>
              <w:noProof/>
              <w:spacing w:val="-20"/>
            </w:rPr>
            <w:drawing>
              <wp:inline distT="0" distB="0" distL="0" distR="0" wp14:anchorId="1F14EB2C" wp14:editId="008ECC7B">
                <wp:extent cx="819150" cy="819150"/>
                <wp:effectExtent l="0" t="0" r="0" b="0"/>
                <wp:docPr id="6"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5279C2" w:rsidRPr="00D36BB2" w:rsidRDefault="005279C2" w:rsidP="002B1B65">
          <w:pPr>
            <w:pStyle w:val="LogoType"/>
            <w:pBdr>
              <w:bottom w:val="single" w:sz="4" w:space="1" w:color="808080"/>
            </w:pBdr>
            <w:spacing w:line="240" w:lineRule="auto"/>
          </w:pPr>
          <w:r w:rsidRPr="00D36BB2">
            <w:t>Australian</w:t>
          </w:r>
        </w:p>
        <w:p w:rsidR="005279C2" w:rsidRPr="00D36BB2" w:rsidRDefault="005279C2" w:rsidP="002B1B65">
          <w:pPr>
            <w:pStyle w:val="LogoType"/>
            <w:pBdr>
              <w:bottom w:val="single" w:sz="4" w:space="1" w:color="808080"/>
            </w:pBdr>
            <w:spacing w:line="240" w:lineRule="auto"/>
          </w:pPr>
          <w:r w:rsidRPr="00D36BB2">
            <w:t>Human Rights</w:t>
          </w:r>
        </w:p>
        <w:p w:rsidR="005279C2" w:rsidRPr="00D36BB2" w:rsidRDefault="005279C2" w:rsidP="002B1B65">
          <w:pPr>
            <w:pStyle w:val="LogoType"/>
            <w:pBdr>
              <w:bottom w:val="single" w:sz="4" w:space="1" w:color="808080"/>
            </w:pBdr>
            <w:spacing w:line="240" w:lineRule="auto"/>
          </w:pPr>
          <w:r w:rsidRPr="00D36BB2">
            <w:t>Commission</w:t>
          </w:r>
        </w:p>
        <w:p w:rsidR="005279C2" w:rsidRPr="00B85DD4" w:rsidRDefault="005279C2"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5279C2" w:rsidRPr="00B85DD4" w:rsidRDefault="005279C2" w:rsidP="00B520BC">
          <w:pPr>
            <w:pStyle w:val="HeaderFooter"/>
            <w:rPr>
              <w:b/>
              <w:spacing w:val="-20"/>
              <w:sz w:val="40"/>
            </w:rPr>
          </w:pPr>
        </w:p>
      </w:tc>
      <w:tc>
        <w:tcPr>
          <w:tcW w:w="2130" w:type="dxa"/>
        </w:tcPr>
        <w:p w:rsidR="005279C2" w:rsidRPr="00B85DD4" w:rsidRDefault="005279C2" w:rsidP="00B520BC">
          <w:pPr>
            <w:pStyle w:val="HeaderFooter"/>
            <w:rPr>
              <w:b/>
              <w:spacing w:val="-20"/>
              <w:sz w:val="40"/>
            </w:rPr>
          </w:pPr>
        </w:p>
      </w:tc>
      <w:tc>
        <w:tcPr>
          <w:tcW w:w="1721" w:type="dxa"/>
        </w:tcPr>
        <w:p w:rsidR="005279C2" w:rsidRPr="00B85DD4" w:rsidRDefault="005279C2" w:rsidP="00B520BC">
          <w:pPr>
            <w:pStyle w:val="HeaderFooter"/>
            <w:spacing w:before="227" w:after="340"/>
            <w:rPr>
              <w:b/>
              <w:spacing w:val="-20"/>
              <w:sz w:val="40"/>
            </w:rPr>
          </w:pPr>
        </w:p>
      </w:tc>
    </w:tr>
  </w:tbl>
  <w:p w:rsidR="005279C2" w:rsidRDefault="00527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8BD"/>
    <w:multiLevelType w:val="hybridMultilevel"/>
    <w:tmpl w:val="2C58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85881"/>
    <w:multiLevelType w:val="multilevel"/>
    <w:tmpl w:val="8300FEE0"/>
    <w:lvl w:ilvl="0">
      <w:start w:val="1"/>
      <w:numFmt w:val="decimal"/>
      <w:lvlText w:val="%1"/>
      <w:lvlJc w:val="left"/>
      <w:pPr>
        <w:tabs>
          <w:tab w:val="num" w:pos="851"/>
        </w:tabs>
        <w:ind w:left="851" w:hanging="851"/>
      </w:pPr>
      <w:rPr>
        <w:rFonts w:hint="default"/>
        <w:sz w:val="36"/>
        <w:szCs w:val="36"/>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C3C1B7C"/>
    <w:multiLevelType w:val="hybridMultilevel"/>
    <w:tmpl w:val="4CEA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255C66"/>
    <w:multiLevelType w:val="hybridMultilevel"/>
    <w:tmpl w:val="22F8F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E44348"/>
    <w:multiLevelType w:val="hybridMultilevel"/>
    <w:tmpl w:val="B9E29A4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1BD15890"/>
    <w:multiLevelType w:val="hybridMultilevel"/>
    <w:tmpl w:val="5F3E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6845E9"/>
    <w:multiLevelType w:val="hybridMultilevel"/>
    <w:tmpl w:val="966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4534D4"/>
    <w:multiLevelType w:val="hybridMultilevel"/>
    <w:tmpl w:val="B404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C94FDA"/>
    <w:multiLevelType w:val="hybridMultilevel"/>
    <w:tmpl w:val="3932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01E93"/>
    <w:multiLevelType w:val="hybridMultilevel"/>
    <w:tmpl w:val="2428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F7A73"/>
    <w:multiLevelType w:val="multilevel"/>
    <w:tmpl w:val="F4A4EEDC"/>
    <w:lvl w:ilvl="0">
      <w:start w:val="4"/>
      <w:numFmt w:val="decimal"/>
      <w:pStyle w:val="Heading1"/>
      <w:lvlText w:val="%1"/>
      <w:lvlJc w:val="left"/>
      <w:pPr>
        <w:tabs>
          <w:tab w:val="num" w:pos="851"/>
        </w:tabs>
        <w:ind w:left="851" w:hanging="851"/>
      </w:pPr>
      <w:rPr>
        <w:rFonts w:hint="default"/>
      </w:rPr>
    </w:lvl>
    <w:lvl w:ilvl="1">
      <w:numFmt w:val="none"/>
      <w:lvlRestart w:val="0"/>
      <w:pStyle w:val="Heading2"/>
      <w:lvlText w:val="4.1"/>
      <w:lvlJc w:val="left"/>
      <w:pPr>
        <w:tabs>
          <w:tab w:val="num" w:pos="851"/>
        </w:tabs>
        <w:ind w:left="851" w:hanging="851"/>
      </w:pPr>
      <w:rPr>
        <w:rFonts w:hint="default"/>
        <w:i/>
      </w:rPr>
    </w:lvl>
    <w:lvl w:ilvl="2">
      <w:start w:val="1"/>
      <w:numFmt w:val="lowerLetter"/>
      <w:pStyle w:val="Heading3"/>
      <w:lvlText w:val="(%3)"/>
      <w:lvlJc w:val="left"/>
      <w:pPr>
        <w:tabs>
          <w:tab w:val="num" w:pos="851"/>
        </w:tabs>
        <w:ind w:left="851" w:hanging="851"/>
      </w:pPr>
      <w:rPr>
        <w:rFonts w:hint="default"/>
      </w:rPr>
    </w:lvl>
    <w:lvl w:ilvl="3">
      <w:start w:val="1"/>
      <w:numFmt w:val="none"/>
      <w:pStyle w:val="Heading4"/>
      <w:lvlText w:val="4.2"/>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A9C755F"/>
    <w:multiLevelType w:val="hybridMultilevel"/>
    <w:tmpl w:val="1E6C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15072B"/>
    <w:multiLevelType w:val="hybridMultilevel"/>
    <w:tmpl w:val="4DC2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FC4B32"/>
    <w:multiLevelType w:val="hybridMultilevel"/>
    <w:tmpl w:val="F0E889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E704C0"/>
    <w:multiLevelType w:val="hybridMultilevel"/>
    <w:tmpl w:val="BCF8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0F7021"/>
    <w:multiLevelType w:val="hybridMultilevel"/>
    <w:tmpl w:val="FACC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66778E"/>
    <w:multiLevelType w:val="hybridMultilevel"/>
    <w:tmpl w:val="A16C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64025"/>
    <w:multiLevelType w:val="hybridMultilevel"/>
    <w:tmpl w:val="05C0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D38B6"/>
    <w:multiLevelType w:val="hybridMultilevel"/>
    <w:tmpl w:val="A5FC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DE2DEB"/>
    <w:multiLevelType w:val="hybridMultilevel"/>
    <w:tmpl w:val="98C4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1C4EC0"/>
    <w:multiLevelType w:val="hybridMultilevel"/>
    <w:tmpl w:val="C63A37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A91A57"/>
    <w:multiLevelType w:val="hybridMultilevel"/>
    <w:tmpl w:val="4844A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B2CC1"/>
    <w:multiLevelType w:val="hybridMultilevel"/>
    <w:tmpl w:val="65C4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E341B"/>
    <w:multiLevelType w:val="hybridMultilevel"/>
    <w:tmpl w:val="4F30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D7559D"/>
    <w:multiLevelType w:val="hybridMultilevel"/>
    <w:tmpl w:val="504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5207E"/>
    <w:multiLevelType w:val="hybridMultilevel"/>
    <w:tmpl w:val="5D969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55CEB"/>
    <w:multiLevelType w:val="hybridMultilevel"/>
    <w:tmpl w:val="FE08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AE37C7"/>
    <w:multiLevelType w:val="hybridMultilevel"/>
    <w:tmpl w:val="5E1A8AF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83A1131"/>
    <w:multiLevelType w:val="hybridMultilevel"/>
    <w:tmpl w:val="615C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337AA6"/>
    <w:multiLevelType w:val="hybridMultilevel"/>
    <w:tmpl w:val="10608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947D8F"/>
    <w:multiLevelType w:val="hybridMultilevel"/>
    <w:tmpl w:val="997E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7179E9"/>
    <w:multiLevelType w:val="hybridMultilevel"/>
    <w:tmpl w:val="6D889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5068E2"/>
    <w:multiLevelType w:val="hybridMultilevel"/>
    <w:tmpl w:val="DD08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18"/>
  </w:num>
  <w:num w:numId="13">
    <w:abstractNumId w:val="17"/>
  </w:num>
  <w:num w:numId="14">
    <w:abstractNumId w:val="16"/>
  </w:num>
  <w:num w:numId="15">
    <w:abstractNumId w:val="11"/>
  </w:num>
  <w:num w:numId="16">
    <w:abstractNumId w:val="39"/>
  </w:num>
  <w:num w:numId="17">
    <w:abstractNumId w:val="23"/>
  </w:num>
  <w:num w:numId="18">
    <w:abstractNumId w:val="25"/>
  </w:num>
  <w:num w:numId="19">
    <w:abstractNumId w:val="44"/>
  </w:num>
  <w:num w:numId="20">
    <w:abstractNumId w:val="21"/>
  </w:num>
  <w:num w:numId="21">
    <w:abstractNumId w:val="28"/>
  </w:num>
  <w:num w:numId="22">
    <w:abstractNumId w:val="34"/>
  </w:num>
  <w:num w:numId="23">
    <w:abstractNumId w:val="29"/>
  </w:num>
  <w:num w:numId="24">
    <w:abstractNumId w:val="30"/>
  </w:num>
  <w:num w:numId="25">
    <w:abstractNumId w:val="27"/>
  </w:num>
  <w:num w:numId="26">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7"/>
  </w:num>
  <w:num w:numId="28">
    <w:abstractNumId w:val="38"/>
  </w:num>
  <w:num w:numId="29">
    <w:abstractNumId w:val="35"/>
  </w:num>
  <w:num w:numId="30">
    <w:abstractNumId w:val="13"/>
  </w:num>
  <w:num w:numId="31">
    <w:abstractNumId w:val="42"/>
  </w:num>
  <w:num w:numId="32">
    <w:abstractNumId w:val="36"/>
  </w:num>
  <w:num w:numId="33">
    <w:abstractNumId w:val="24"/>
  </w:num>
  <w:num w:numId="34">
    <w:abstractNumId w:val="46"/>
  </w:num>
  <w:num w:numId="35">
    <w:abstractNumId w:val="43"/>
  </w:num>
  <w:num w:numId="36">
    <w:abstractNumId w:val="31"/>
  </w:num>
  <w:num w:numId="37">
    <w:abstractNumId w:val="14"/>
  </w:num>
  <w:num w:numId="38">
    <w:abstractNumId w:val="32"/>
  </w:num>
  <w:num w:numId="39">
    <w:abstractNumId w:val="40"/>
  </w:num>
  <w:num w:numId="40">
    <w:abstractNumId w:val="12"/>
  </w:num>
  <w:num w:numId="41">
    <w:abstractNumId w:val="10"/>
  </w:num>
  <w:num w:numId="42">
    <w:abstractNumId w:val="33"/>
  </w:num>
  <w:num w:numId="43">
    <w:abstractNumId w:val="22"/>
  </w:num>
  <w:num w:numId="44">
    <w:abstractNumId w:val="20"/>
  </w:num>
  <w:num w:numId="45">
    <w:abstractNumId w:val="45"/>
  </w:num>
  <w:num w:numId="46">
    <w:abstractNumId w:val="15"/>
  </w:num>
  <w:num w:numId="47">
    <w:abstractNumId w:val="19"/>
  </w:num>
  <w:num w:numId="48">
    <w:abstractNumId w:val="23"/>
  </w:num>
  <w:num w:numId="49">
    <w:abstractNumId w:val="23"/>
  </w:num>
  <w:num w:numId="50">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18"/>
    <w:rsid w:val="00000050"/>
    <w:rsid w:val="0000006A"/>
    <w:rsid w:val="00001086"/>
    <w:rsid w:val="00001154"/>
    <w:rsid w:val="000028F5"/>
    <w:rsid w:val="000072E5"/>
    <w:rsid w:val="000077B7"/>
    <w:rsid w:val="00007AB8"/>
    <w:rsid w:val="00010954"/>
    <w:rsid w:val="0001109A"/>
    <w:rsid w:val="00012047"/>
    <w:rsid w:val="00012262"/>
    <w:rsid w:val="00012C3C"/>
    <w:rsid w:val="00012F2B"/>
    <w:rsid w:val="00014249"/>
    <w:rsid w:val="00015CF7"/>
    <w:rsid w:val="00023CA1"/>
    <w:rsid w:val="00023F6E"/>
    <w:rsid w:val="000312CB"/>
    <w:rsid w:val="00035A75"/>
    <w:rsid w:val="00043905"/>
    <w:rsid w:val="000441E1"/>
    <w:rsid w:val="00050B3C"/>
    <w:rsid w:val="00055043"/>
    <w:rsid w:val="000556EF"/>
    <w:rsid w:val="0005677D"/>
    <w:rsid w:val="000579B1"/>
    <w:rsid w:val="000600AC"/>
    <w:rsid w:val="00063662"/>
    <w:rsid w:val="0006500F"/>
    <w:rsid w:val="00065D08"/>
    <w:rsid w:val="00072CF9"/>
    <w:rsid w:val="000730FC"/>
    <w:rsid w:val="00073137"/>
    <w:rsid w:val="000758DA"/>
    <w:rsid w:val="00080033"/>
    <w:rsid w:val="000808BC"/>
    <w:rsid w:val="0008221C"/>
    <w:rsid w:val="000827E1"/>
    <w:rsid w:val="00084101"/>
    <w:rsid w:val="000903A9"/>
    <w:rsid w:val="00093D4C"/>
    <w:rsid w:val="00097D39"/>
    <w:rsid w:val="000A0CD2"/>
    <w:rsid w:val="000A0D2A"/>
    <w:rsid w:val="000A1DB8"/>
    <w:rsid w:val="000A1DC7"/>
    <w:rsid w:val="000A2B9B"/>
    <w:rsid w:val="000A4365"/>
    <w:rsid w:val="000A48AC"/>
    <w:rsid w:val="000A5CCB"/>
    <w:rsid w:val="000A68B1"/>
    <w:rsid w:val="000B0A5D"/>
    <w:rsid w:val="000B1146"/>
    <w:rsid w:val="000B3124"/>
    <w:rsid w:val="000B3EDE"/>
    <w:rsid w:val="000C1541"/>
    <w:rsid w:val="000C3FC8"/>
    <w:rsid w:val="000C6EFB"/>
    <w:rsid w:val="000D011B"/>
    <w:rsid w:val="000D3779"/>
    <w:rsid w:val="000D6141"/>
    <w:rsid w:val="000E0425"/>
    <w:rsid w:val="000E058D"/>
    <w:rsid w:val="000E0631"/>
    <w:rsid w:val="000E130A"/>
    <w:rsid w:val="000E22DC"/>
    <w:rsid w:val="000E3F97"/>
    <w:rsid w:val="000F0036"/>
    <w:rsid w:val="000F0132"/>
    <w:rsid w:val="000F1262"/>
    <w:rsid w:val="000F2DFA"/>
    <w:rsid w:val="000F4834"/>
    <w:rsid w:val="001061E5"/>
    <w:rsid w:val="00106339"/>
    <w:rsid w:val="0011421F"/>
    <w:rsid w:val="0012369C"/>
    <w:rsid w:val="00126AE0"/>
    <w:rsid w:val="00127C33"/>
    <w:rsid w:val="00127E33"/>
    <w:rsid w:val="00133552"/>
    <w:rsid w:val="0013441B"/>
    <w:rsid w:val="00134774"/>
    <w:rsid w:val="001349F0"/>
    <w:rsid w:val="00137451"/>
    <w:rsid w:val="00140274"/>
    <w:rsid w:val="00143362"/>
    <w:rsid w:val="00144600"/>
    <w:rsid w:val="00146A4E"/>
    <w:rsid w:val="00151263"/>
    <w:rsid w:val="00152ABB"/>
    <w:rsid w:val="0015332F"/>
    <w:rsid w:val="00154572"/>
    <w:rsid w:val="00156D76"/>
    <w:rsid w:val="0016021C"/>
    <w:rsid w:val="001615B6"/>
    <w:rsid w:val="00162A8D"/>
    <w:rsid w:val="00165828"/>
    <w:rsid w:val="00165E3C"/>
    <w:rsid w:val="00167E79"/>
    <w:rsid w:val="00170347"/>
    <w:rsid w:val="00170381"/>
    <w:rsid w:val="00170671"/>
    <w:rsid w:val="00170724"/>
    <w:rsid w:val="0017278F"/>
    <w:rsid w:val="00173FB5"/>
    <w:rsid w:val="0017549B"/>
    <w:rsid w:val="0017742F"/>
    <w:rsid w:val="0018376D"/>
    <w:rsid w:val="0019103E"/>
    <w:rsid w:val="00197989"/>
    <w:rsid w:val="001A09C1"/>
    <w:rsid w:val="001A173E"/>
    <w:rsid w:val="001A178E"/>
    <w:rsid w:val="001A5747"/>
    <w:rsid w:val="001B0353"/>
    <w:rsid w:val="001B053E"/>
    <w:rsid w:val="001B27CA"/>
    <w:rsid w:val="001B65D7"/>
    <w:rsid w:val="001C1F8B"/>
    <w:rsid w:val="001C26DD"/>
    <w:rsid w:val="001C27A3"/>
    <w:rsid w:val="001C33AE"/>
    <w:rsid w:val="001C5BF1"/>
    <w:rsid w:val="001C6162"/>
    <w:rsid w:val="001D3B31"/>
    <w:rsid w:val="001D6A46"/>
    <w:rsid w:val="001D6EC5"/>
    <w:rsid w:val="001E439B"/>
    <w:rsid w:val="001E4909"/>
    <w:rsid w:val="001E5676"/>
    <w:rsid w:val="001E60F8"/>
    <w:rsid w:val="001E7702"/>
    <w:rsid w:val="001F28A3"/>
    <w:rsid w:val="001F28AA"/>
    <w:rsid w:val="001F2BBB"/>
    <w:rsid w:val="001F34CD"/>
    <w:rsid w:val="001F43B6"/>
    <w:rsid w:val="001F49F2"/>
    <w:rsid w:val="001F7928"/>
    <w:rsid w:val="00200677"/>
    <w:rsid w:val="00200D6B"/>
    <w:rsid w:val="00203F42"/>
    <w:rsid w:val="0020528F"/>
    <w:rsid w:val="002117E4"/>
    <w:rsid w:val="00211AF9"/>
    <w:rsid w:val="00214F84"/>
    <w:rsid w:val="0021713F"/>
    <w:rsid w:val="0021791B"/>
    <w:rsid w:val="002220C7"/>
    <w:rsid w:val="00225014"/>
    <w:rsid w:val="00226E3D"/>
    <w:rsid w:val="00227204"/>
    <w:rsid w:val="00231ED1"/>
    <w:rsid w:val="0023246B"/>
    <w:rsid w:val="0023646B"/>
    <w:rsid w:val="00236526"/>
    <w:rsid w:val="00236C35"/>
    <w:rsid w:val="00236F54"/>
    <w:rsid w:val="00241878"/>
    <w:rsid w:val="00242624"/>
    <w:rsid w:val="00243211"/>
    <w:rsid w:val="00244FA0"/>
    <w:rsid w:val="0024557E"/>
    <w:rsid w:val="00245D7C"/>
    <w:rsid w:val="00246230"/>
    <w:rsid w:val="00246513"/>
    <w:rsid w:val="00247FBD"/>
    <w:rsid w:val="00252CF7"/>
    <w:rsid w:val="0025378D"/>
    <w:rsid w:val="00261C27"/>
    <w:rsid w:val="00264406"/>
    <w:rsid w:val="00265B11"/>
    <w:rsid w:val="002661E3"/>
    <w:rsid w:val="00266816"/>
    <w:rsid w:val="00266B28"/>
    <w:rsid w:val="00267C25"/>
    <w:rsid w:val="0027297E"/>
    <w:rsid w:val="00272A64"/>
    <w:rsid w:val="00272F9D"/>
    <w:rsid w:val="00277498"/>
    <w:rsid w:val="0028203E"/>
    <w:rsid w:val="002863D7"/>
    <w:rsid w:val="002867E4"/>
    <w:rsid w:val="002873B4"/>
    <w:rsid w:val="00287E90"/>
    <w:rsid w:val="002913B5"/>
    <w:rsid w:val="00293051"/>
    <w:rsid w:val="0029346E"/>
    <w:rsid w:val="00293E68"/>
    <w:rsid w:val="002968B8"/>
    <w:rsid w:val="00297199"/>
    <w:rsid w:val="00297FFA"/>
    <w:rsid w:val="002A7D42"/>
    <w:rsid w:val="002B0958"/>
    <w:rsid w:val="002B1B65"/>
    <w:rsid w:val="002C1866"/>
    <w:rsid w:val="002C73EE"/>
    <w:rsid w:val="002D028A"/>
    <w:rsid w:val="002D07F0"/>
    <w:rsid w:val="002D5F7B"/>
    <w:rsid w:val="002D677B"/>
    <w:rsid w:val="002E2035"/>
    <w:rsid w:val="002E5935"/>
    <w:rsid w:val="002E5DE0"/>
    <w:rsid w:val="002E6D89"/>
    <w:rsid w:val="002E7337"/>
    <w:rsid w:val="002E7439"/>
    <w:rsid w:val="002E7C61"/>
    <w:rsid w:val="002F0BE8"/>
    <w:rsid w:val="002F162F"/>
    <w:rsid w:val="002F2AF2"/>
    <w:rsid w:val="002F4CE1"/>
    <w:rsid w:val="002F510F"/>
    <w:rsid w:val="002F662C"/>
    <w:rsid w:val="002F7EF7"/>
    <w:rsid w:val="00300F22"/>
    <w:rsid w:val="00300FEC"/>
    <w:rsid w:val="00301D41"/>
    <w:rsid w:val="003026CE"/>
    <w:rsid w:val="0030276F"/>
    <w:rsid w:val="00303286"/>
    <w:rsid w:val="00303449"/>
    <w:rsid w:val="00304A37"/>
    <w:rsid w:val="00304BF1"/>
    <w:rsid w:val="0031062B"/>
    <w:rsid w:val="00310ED4"/>
    <w:rsid w:val="00310FBD"/>
    <w:rsid w:val="00311AE9"/>
    <w:rsid w:val="00312301"/>
    <w:rsid w:val="0031297B"/>
    <w:rsid w:val="00313C88"/>
    <w:rsid w:val="0031492A"/>
    <w:rsid w:val="003157B6"/>
    <w:rsid w:val="00316B83"/>
    <w:rsid w:val="00316C1A"/>
    <w:rsid w:val="00317DDD"/>
    <w:rsid w:val="00323A4F"/>
    <w:rsid w:val="00323C73"/>
    <w:rsid w:val="003249DD"/>
    <w:rsid w:val="00331141"/>
    <w:rsid w:val="00333935"/>
    <w:rsid w:val="00336120"/>
    <w:rsid w:val="00341088"/>
    <w:rsid w:val="00343468"/>
    <w:rsid w:val="00343781"/>
    <w:rsid w:val="003437CD"/>
    <w:rsid w:val="00343B1B"/>
    <w:rsid w:val="00344758"/>
    <w:rsid w:val="003466B3"/>
    <w:rsid w:val="00347142"/>
    <w:rsid w:val="00347504"/>
    <w:rsid w:val="00350E4B"/>
    <w:rsid w:val="00351F99"/>
    <w:rsid w:val="003565A8"/>
    <w:rsid w:val="003566EA"/>
    <w:rsid w:val="0035730E"/>
    <w:rsid w:val="0036089B"/>
    <w:rsid w:val="00362B38"/>
    <w:rsid w:val="00363B93"/>
    <w:rsid w:val="003649C7"/>
    <w:rsid w:val="003657F7"/>
    <w:rsid w:val="0036611E"/>
    <w:rsid w:val="00372C79"/>
    <w:rsid w:val="00374207"/>
    <w:rsid w:val="00374A4A"/>
    <w:rsid w:val="00377AA9"/>
    <w:rsid w:val="00384030"/>
    <w:rsid w:val="00386399"/>
    <w:rsid w:val="00386614"/>
    <w:rsid w:val="003869A5"/>
    <w:rsid w:val="003901B6"/>
    <w:rsid w:val="003933F8"/>
    <w:rsid w:val="00394C40"/>
    <w:rsid w:val="003977D8"/>
    <w:rsid w:val="003A03AD"/>
    <w:rsid w:val="003A0C02"/>
    <w:rsid w:val="003A6D38"/>
    <w:rsid w:val="003B0BD9"/>
    <w:rsid w:val="003B6690"/>
    <w:rsid w:val="003C003E"/>
    <w:rsid w:val="003C19FA"/>
    <w:rsid w:val="003C7700"/>
    <w:rsid w:val="003E1CC1"/>
    <w:rsid w:val="003E2277"/>
    <w:rsid w:val="003E248D"/>
    <w:rsid w:val="003E3814"/>
    <w:rsid w:val="003E3D87"/>
    <w:rsid w:val="003E4621"/>
    <w:rsid w:val="003F0305"/>
    <w:rsid w:val="003F05FD"/>
    <w:rsid w:val="003F4FB8"/>
    <w:rsid w:val="0040060A"/>
    <w:rsid w:val="004024C6"/>
    <w:rsid w:val="004027E8"/>
    <w:rsid w:val="00406F41"/>
    <w:rsid w:val="004079EC"/>
    <w:rsid w:val="0041221F"/>
    <w:rsid w:val="004125F7"/>
    <w:rsid w:val="00413A91"/>
    <w:rsid w:val="00422417"/>
    <w:rsid w:val="00424233"/>
    <w:rsid w:val="00425CA1"/>
    <w:rsid w:val="00426769"/>
    <w:rsid w:val="0043351D"/>
    <w:rsid w:val="004345EC"/>
    <w:rsid w:val="00434C0D"/>
    <w:rsid w:val="00435562"/>
    <w:rsid w:val="00441201"/>
    <w:rsid w:val="004412BF"/>
    <w:rsid w:val="004417FA"/>
    <w:rsid w:val="004433BB"/>
    <w:rsid w:val="0044541F"/>
    <w:rsid w:val="0044769C"/>
    <w:rsid w:val="0045135C"/>
    <w:rsid w:val="00452B6C"/>
    <w:rsid w:val="00454530"/>
    <w:rsid w:val="004549EB"/>
    <w:rsid w:val="00455FFD"/>
    <w:rsid w:val="004577AB"/>
    <w:rsid w:val="00457815"/>
    <w:rsid w:val="004639EA"/>
    <w:rsid w:val="00464A74"/>
    <w:rsid w:val="004667AF"/>
    <w:rsid w:val="00467993"/>
    <w:rsid w:val="004712FB"/>
    <w:rsid w:val="00472EFF"/>
    <w:rsid w:val="00474063"/>
    <w:rsid w:val="004742A8"/>
    <w:rsid w:val="00475722"/>
    <w:rsid w:val="00475986"/>
    <w:rsid w:val="00476242"/>
    <w:rsid w:val="00476793"/>
    <w:rsid w:val="0048033F"/>
    <w:rsid w:val="00482B71"/>
    <w:rsid w:val="00484E32"/>
    <w:rsid w:val="00485AF9"/>
    <w:rsid w:val="0049104B"/>
    <w:rsid w:val="00491F3F"/>
    <w:rsid w:val="004942F4"/>
    <w:rsid w:val="00496784"/>
    <w:rsid w:val="004A0140"/>
    <w:rsid w:val="004A187B"/>
    <w:rsid w:val="004A2B8B"/>
    <w:rsid w:val="004A2CE6"/>
    <w:rsid w:val="004A2D3C"/>
    <w:rsid w:val="004B10D3"/>
    <w:rsid w:val="004C080A"/>
    <w:rsid w:val="004C1B28"/>
    <w:rsid w:val="004C7412"/>
    <w:rsid w:val="004C7882"/>
    <w:rsid w:val="004D04BF"/>
    <w:rsid w:val="004D09F7"/>
    <w:rsid w:val="004D12E4"/>
    <w:rsid w:val="004D2112"/>
    <w:rsid w:val="004D2D23"/>
    <w:rsid w:val="004D4F7B"/>
    <w:rsid w:val="004E0DFF"/>
    <w:rsid w:val="004E132C"/>
    <w:rsid w:val="004E5951"/>
    <w:rsid w:val="004E6261"/>
    <w:rsid w:val="004F1C7C"/>
    <w:rsid w:val="004F7460"/>
    <w:rsid w:val="00500FB3"/>
    <w:rsid w:val="005036AE"/>
    <w:rsid w:val="005044B3"/>
    <w:rsid w:val="0050589A"/>
    <w:rsid w:val="00507C57"/>
    <w:rsid w:val="00510B8B"/>
    <w:rsid w:val="00511ADD"/>
    <w:rsid w:val="005123F0"/>
    <w:rsid w:val="00513124"/>
    <w:rsid w:val="00513540"/>
    <w:rsid w:val="00513941"/>
    <w:rsid w:val="005164CC"/>
    <w:rsid w:val="0052777D"/>
    <w:rsid w:val="005277B5"/>
    <w:rsid w:val="005279C2"/>
    <w:rsid w:val="0053051D"/>
    <w:rsid w:val="005313C6"/>
    <w:rsid w:val="00534C8E"/>
    <w:rsid w:val="00536434"/>
    <w:rsid w:val="0054037F"/>
    <w:rsid w:val="00540A0C"/>
    <w:rsid w:val="005413C0"/>
    <w:rsid w:val="00542301"/>
    <w:rsid w:val="0054504E"/>
    <w:rsid w:val="005539A3"/>
    <w:rsid w:val="00556D4B"/>
    <w:rsid w:val="00557DFD"/>
    <w:rsid w:val="00557F05"/>
    <w:rsid w:val="00564208"/>
    <w:rsid w:val="00565F23"/>
    <w:rsid w:val="00566158"/>
    <w:rsid w:val="00570003"/>
    <w:rsid w:val="0057007B"/>
    <w:rsid w:val="00571CEB"/>
    <w:rsid w:val="005748BC"/>
    <w:rsid w:val="00577406"/>
    <w:rsid w:val="00581937"/>
    <w:rsid w:val="005819A0"/>
    <w:rsid w:val="00584560"/>
    <w:rsid w:val="00591951"/>
    <w:rsid w:val="00591AD2"/>
    <w:rsid w:val="00592A52"/>
    <w:rsid w:val="00592F63"/>
    <w:rsid w:val="00594C2A"/>
    <w:rsid w:val="00596F55"/>
    <w:rsid w:val="0059754C"/>
    <w:rsid w:val="005A0B83"/>
    <w:rsid w:val="005A0DA7"/>
    <w:rsid w:val="005A1FB3"/>
    <w:rsid w:val="005A453E"/>
    <w:rsid w:val="005A4C16"/>
    <w:rsid w:val="005A7447"/>
    <w:rsid w:val="005B0FFE"/>
    <w:rsid w:val="005B1CD8"/>
    <w:rsid w:val="005B24E8"/>
    <w:rsid w:val="005B4CE4"/>
    <w:rsid w:val="005B5011"/>
    <w:rsid w:val="005B5F8A"/>
    <w:rsid w:val="005B7348"/>
    <w:rsid w:val="005B7B3A"/>
    <w:rsid w:val="005C1F30"/>
    <w:rsid w:val="005C208C"/>
    <w:rsid w:val="005C3449"/>
    <w:rsid w:val="005C4536"/>
    <w:rsid w:val="005C5126"/>
    <w:rsid w:val="005C5D41"/>
    <w:rsid w:val="005D170F"/>
    <w:rsid w:val="005D1F34"/>
    <w:rsid w:val="005D383D"/>
    <w:rsid w:val="005D5E51"/>
    <w:rsid w:val="005D7F26"/>
    <w:rsid w:val="005E190A"/>
    <w:rsid w:val="005E4786"/>
    <w:rsid w:val="005E67F3"/>
    <w:rsid w:val="005F19D1"/>
    <w:rsid w:val="005F2097"/>
    <w:rsid w:val="005F22BD"/>
    <w:rsid w:val="005F3335"/>
    <w:rsid w:val="005F4BDE"/>
    <w:rsid w:val="00601A4B"/>
    <w:rsid w:val="0061065A"/>
    <w:rsid w:val="006114BC"/>
    <w:rsid w:val="00614837"/>
    <w:rsid w:val="00615923"/>
    <w:rsid w:val="006168ED"/>
    <w:rsid w:val="0061752C"/>
    <w:rsid w:val="00626026"/>
    <w:rsid w:val="00626286"/>
    <w:rsid w:val="00626543"/>
    <w:rsid w:val="00630EA0"/>
    <w:rsid w:val="006319F4"/>
    <w:rsid w:val="00637249"/>
    <w:rsid w:val="00637615"/>
    <w:rsid w:val="00641370"/>
    <w:rsid w:val="0064384B"/>
    <w:rsid w:val="00644BDA"/>
    <w:rsid w:val="00647830"/>
    <w:rsid w:val="0065068E"/>
    <w:rsid w:val="00651178"/>
    <w:rsid w:val="006511AF"/>
    <w:rsid w:val="00651318"/>
    <w:rsid w:val="00654793"/>
    <w:rsid w:val="006550BA"/>
    <w:rsid w:val="00655A18"/>
    <w:rsid w:val="00660994"/>
    <w:rsid w:val="00660F2F"/>
    <w:rsid w:val="00662686"/>
    <w:rsid w:val="00665303"/>
    <w:rsid w:val="006709EF"/>
    <w:rsid w:val="006740E6"/>
    <w:rsid w:val="00674EEA"/>
    <w:rsid w:val="0067520B"/>
    <w:rsid w:val="00680DAD"/>
    <w:rsid w:val="00681DD0"/>
    <w:rsid w:val="00683D10"/>
    <w:rsid w:val="00684109"/>
    <w:rsid w:val="0069113C"/>
    <w:rsid w:val="00691533"/>
    <w:rsid w:val="00692CAD"/>
    <w:rsid w:val="00693A46"/>
    <w:rsid w:val="00697B93"/>
    <w:rsid w:val="006A2CFC"/>
    <w:rsid w:val="006A6BB3"/>
    <w:rsid w:val="006B021E"/>
    <w:rsid w:val="006B03A2"/>
    <w:rsid w:val="006B1A7A"/>
    <w:rsid w:val="006B2419"/>
    <w:rsid w:val="006B4112"/>
    <w:rsid w:val="006B513A"/>
    <w:rsid w:val="006B7E8B"/>
    <w:rsid w:val="006C0BCB"/>
    <w:rsid w:val="006C148E"/>
    <w:rsid w:val="006C4228"/>
    <w:rsid w:val="006C59E4"/>
    <w:rsid w:val="006C60E3"/>
    <w:rsid w:val="006C7E69"/>
    <w:rsid w:val="006D082F"/>
    <w:rsid w:val="006D10A3"/>
    <w:rsid w:val="006D25F6"/>
    <w:rsid w:val="006D3D8D"/>
    <w:rsid w:val="006D4DE2"/>
    <w:rsid w:val="006D5EE5"/>
    <w:rsid w:val="006D6022"/>
    <w:rsid w:val="006D628E"/>
    <w:rsid w:val="006E18C3"/>
    <w:rsid w:val="006E21A5"/>
    <w:rsid w:val="006E29B7"/>
    <w:rsid w:val="006E3B3C"/>
    <w:rsid w:val="006E6202"/>
    <w:rsid w:val="006E6D3B"/>
    <w:rsid w:val="006F2718"/>
    <w:rsid w:val="006F3AC4"/>
    <w:rsid w:val="006F4E0F"/>
    <w:rsid w:val="006F5A89"/>
    <w:rsid w:val="006F64B5"/>
    <w:rsid w:val="0070011C"/>
    <w:rsid w:val="00701406"/>
    <w:rsid w:val="007037AD"/>
    <w:rsid w:val="007039F8"/>
    <w:rsid w:val="00704817"/>
    <w:rsid w:val="007048A8"/>
    <w:rsid w:val="00706FD1"/>
    <w:rsid w:val="007100BB"/>
    <w:rsid w:val="0071118F"/>
    <w:rsid w:val="0071612F"/>
    <w:rsid w:val="0072243A"/>
    <w:rsid w:val="00723246"/>
    <w:rsid w:val="007243A4"/>
    <w:rsid w:val="00725770"/>
    <w:rsid w:val="007274BF"/>
    <w:rsid w:val="00730BD2"/>
    <w:rsid w:val="00731A91"/>
    <w:rsid w:val="007324D3"/>
    <w:rsid w:val="007405FC"/>
    <w:rsid w:val="00740FC5"/>
    <w:rsid w:val="00741CE5"/>
    <w:rsid w:val="00745A54"/>
    <w:rsid w:val="00747380"/>
    <w:rsid w:val="00747429"/>
    <w:rsid w:val="00750047"/>
    <w:rsid w:val="007540BF"/>
    <w:rsid w:val="007540C8"/>
    <w:rsid w:val="00754338"/>
    <w:rsid w:val="00755099"/>
    <w:rsid w:val="00756F60"/>
    <w:rsid w:val="007575CD"/>
    <w:rsid w:val="00760E07"/>
    <w:rsid w:val="00762825"/>
    <w:rsid w:val="0076558D"/>
    <w:rsid w:val="00770951"/>
    <w:rsid w:val="00770DCB"/>
    <w:rsid w:val="0077260F"/>
    <w:rsid w:val="00774B5B"/>
    <w:rsid w:val="00774C0A"/>
    <w:rsid w:val="00775485"/>
    <w:rsid w:val="0077573F"/>
    <w:rsid w:val="00781809"/>
    <w:rsid w:val="00784637"/>
    <w:rsid w:val="00784FA8"/>
    <w:rsid w:val="00785B98"/>
    <w:rsid w:val="00790124"/>
    <w:rsid w:val="0079237D"/>
    <w:rsid w:val="007950DA"/>
    <w:rsid w:val="00796D3D"/>
    <w:rsid w:val="007A2E4D"/>
    <w:rsid w:val="007A355D"/>
    <w:rsid w:val="007A3BE4"/>
    <w:rsid w:val="007A3FF1"/>
    <w:rsid w:val="007C07B6"/>
    <w:rsid w:val="007C278C"/>
    <w:rsid w:val="007C45E0"/>
    <w:rsid w:val="007C45F2"/>
    <w:rsid w:val="007D1020"/>
    <w:rsid w:val="007D401A"/>
    <w:rsid w:val="007D44B1"/>
    <w:rsid w:val="007D6D86"/>
    <w:rsid w:val="007D6DA5"/>
    <w:rsid w:val="007D76D2"/>
    <w:rsid w:val="007E34DD"/>
    <w:rsid w:val="007E3882"/>
    <w:rsid w:val="007E3FFB"/>
    <w:rsid w:val="007E5B88"/>
    <w:rsid w:val="007E7040"/>
    <w:rsid w:val="007F0D0B"/>
    <w:rsid w:val="007F3C43"/>
    <w:rsid w:val="007F6264"/>
    <w:rsid w:val="008007A8"/>
    <w:rsid w:val="00800CB1"/>
    <w:rsid w:val="00802F6E"/>
    <w:rsid w:val="008042D9"/>
    <w:rsid w:val="008074FE"/>
    <w:rsid w:val="00810A45"/>
    <w:rsid w:val="0081312C"/>
    <w:rsid w:val="00814FC0"/>
    <w:rsid w:val="00815A49"/>
    <w:rsid w:val="0081699D"/>
    <w:rsid w:val="0081731B"/>
    <w:rsid w:val="0082063D"/>
    <w:rsid w:val="00820D03"/>
    <w:rsid w:val="00822217"/>
    <w:rsid w:val="00823CF7"/>
    <w:rsid w:val="00824FAC"/>
    <w:rsid w:val="00826097"/>
    <w:rsid w:val="00827366"/>
    <w:rsid w:val="00831DF9"/>
    <w:rsid w:val="008327AB"/>
    <w:rsid w:val="0083286A"/>
    <w:rsid w:val="00843665"/>
    <w:rsid w:val="008438A0"/>
    <w:rsid w:val="00844644"/>
    <w:rsid w:val="0084472C"/>
    <w:rsid w:val="0084582A"/>
    <w:rsid w:val="00845DCD"/>
    <w:rsid w:val="00852D50"/>
    <w:rsid w:val="0085481B"/>
    <w:rsid w:val="00854F22"/>
    <w:rsid w:val="00857A30"/>
    <w:rsid w:val="00861303"/>
    <w:rsid w:val="00865682"/>
    <w:rsid w:val="008724DE"/>
    <w:rsid w:val="00872889"/>
    <w:rsid w:val="00872B29"/>
    <w:rsid w:val="00872ED6"/>
    <w:rsid w:val="00872F28"/>
    <w:rsid w:val="008741A5"/>
    <w:rsid w:val="0087458D"/>
    <w:rsid w:val="00876D23"/>
    <w:rsid w:val="00876D70"/>
    <w:rsid w:val="00877A6A"/>
    <w:rsid w:val="00880B22"/>
    <w:rsid w:val="008810D5"/>
    <w:rsid w:val="008835FC"/>
    <w:rsid w:val="00883924"/>
    <w:rsid w:val="0088409A"/>
    <w:rsid w:val="00884317"/>
    <w:rsid w:val="00887C52"/>
    <w:rsid w:val="00891100"/>
    <w:rsid w:val="00895A08"/>
    <w:rsid w:val="00896B69"/>
    <w:rsid w:val="00897089"/>
    <w:rsid w:val="008A2DDD"/>
    <w:rsid w:val="008A3D57"/>
    <w:rsid w:val="008A7275"/>
    <w:rsid w:val="008A7551"/>
    <w:rsid w:val="008B0333"/>
    <w:rsid w:val="008B132C"/>
    <w:rsid w:val="008B23BC"/>
    <w:rsid w:val="008B4BC6"/>
    <w:rsid w:val="008B5895"/>
    <w:rsid w:val="008B648C"/>
    <w:rsid w:val="008B75DA"/>
    <w:rsid w:val="008C1A04"/>
    <w:rsid w:val="008C2AEA"/>
    <w:rsid w:val="008C62E3"/>
    <w:rsid w:val="008D0068"/>
    <w:rsid w:val="008D1836"/>
    <w:rsid w:val="008D18D1"/>
    <w:rsid w:val="008D3832"/>
    <w:rsid w:val="008D3978"/>
    <w:rsid w:val="008D6280"/>
    <w:rsid w:val="008D7B7F"/>
    <w:rsid w:val="008D7BB7"/>
    <w:rsid w:val="008E2A6F"/>
    <w:rsid w:val="008E3175"/>
    <w:rsid w:val="008E3D0E"/>
    <w:rsid w:val="008E3D60"/>
    <w:rsid w:val="008E3F4C"/>
    <w:rsid w:val="008E4E47"/>
    <w:rsid w:val="008E53E1"/>
    <w:rsid w:val="008E563E"/>
    <w:rsid w:val="008F0B11"/>
    <w:rsid w:val="008F184D"/>
    <w:rsid w:val="008F2E08"/>
    <w:rsid w:val="008F4775"/>
    <w:rsid w:val="008F52EF"/>
    <w:rsid w:val="008F667D"/>
    <w:rsid w:val="009004CE"/>
    <w:rsid w:val="0090165F"/>
    <w:rsid w:val="00901B82"/>
    <w:rsid w:val="009061B9"/>
    <w:rsid w:val="009064DC"/>
    <w:rsid w:val="00906E28"/>
    <w:rsid w:val="00907FF8"/>
    <w:rsid w:val="009113A0"/>
    <w:rsid w:val="0091209D"/>
    <w:rsid w:val="00912B09"/>
    <w:rsid w:val="00912D65"/>
    <w:rsid w:val="0091465F"/>
    <w:rsid w:val="00920FD8"/>
    <w:rsid w:val="00921144"/>
    <w:rsid w:val="00921F84"/>
    <w:rsid w:val="00922C99"/>
    <w:rsid w:val="009300CA"/>
    <w:rsid w:val="009310E8"/>
    <w:rsid w:val="00931A01"/>
    <w:rsid w:val="00933963"/>
    <w:rsid w:val="009409D1"/>
    <w:rsid w:val="009410A3"/>
    <w:rsid w:val="009447E2"/>
    <w:rsid w:val="009476F6"/>
    <w:rsid w:val="00950FD1"/>
    <w:rsid w:val="00952A22"/>
    <w:rsid w:val="009556A7"/>
    <w:rsid w:val="00956A5B"/>
    <w:rsid w:val="00956CE4"/>
    <w:rsid w:val="00956D53"/>
    <w:rsid w:val="00957038"/>
    <w:rsid w:val="00957C2F"/>
    <w:rsid w:val="00957E95"/>
    <w:rsid w:val="009605F2"/>
    <w:rsid w:val="009610FD"/>
    <w:rsid w:val="009634CB"/>
    <w:rsid w:val="00963EDC"/>
    <w:rsid w:val="00966C2F"/>
    <w:rsid w:val="009678B7"/>
    <w:rsid w:val="00967F02"/>
    <w:rsid w:val="0097512B"/>
    <w:rsid w:val="00976146"/>
    <w:rsid w:val="00976817"/>
    <w:rsid w:val="00976A4D"/>
    <w:rsid w:val="00977533"/>
    <w:rsid w:val="009829A9"/>
    <w:rsid w:val="009845DE"/>
    <w:rsid w:val="00986E20"/>
    <w:rsid w:val="00991AE0"/>
    <w:rsid w:val="00993E4A"/>
    <w:rsid w:val="00994C75"/>
    <w:rsid w:val="00995BE8"/>
    <w:rsid w:val="00996C9A"/>
    <w:rsid w:val="009A1B31"/>
    <w:rsid w:val="009A4CD8"/>
    <w:rsid w:val="009A53A6"/>
    <w:rsid w:val="009A5804"/>
    <w:rsid w:val="009A78A1"/>
    <w:rsid w:val="009B3B39"/>
    <w:rsid w:val="009B4796"/>
    <w:rsid w:val="009B4E08"/>
    <w:rsid w:val="009B51DB"/>
    <w:rsid w:val="009B6BED"/>
    <w:rsid w:val="009C5A59"/>
    <w:rsid w:val="009C5AC6"/>
    <w:rsid w:val="009C6449"/>
    <w:rsid w:val="009C703D"/>
    <w:rsid w:val="009C770E"/>
    <w:rsid w:val="009D24D2"/>
    <w:rsid w:val="009D2CC8"/>
    <w:rsid w:val="009D67F6"/>
    <w:rsid w:val="009E03B7"/>
    <w:rsid w:val="009E0FE1"/>
    <w:rsid w:val="009E3B32"/>
    <w:rsid w:val="009F2764"/>
    <w:rsid w:val="009F588D"/>
    <w:rsid w:val="00A0406E"/>
    <w:rsid w:val="00A05C5B"/>
    <w:rsid w:val="00A06F65"/>
    <w:rsid w:val="00A11307"/>
    <w:rsid w:val="00A13AF3"/>
    <w:rsid w:val="00A13E8A"/>
    <w:rsid w:val="00A14577"/>
    <w:rsid w:val="00A17E3E"/>
    <w:rsid w:val="00A20CFE"/>
    <w:rsid w:val="00A21388"/>
    <w:rsid w:val="00A21CBC"/>
    <w:rsid w:val="00A21F2A"/>
    <w:rsid w:val="00A222E5"/>
    <w:rsid w:val="00A25C13"/>
    <w:rsid w:val="00A260F8"/>
    <w:rsid w:val="00A26509"/>
    <w:rsid w:val="00A27791"/>
    <w:rsid w:val="00A3114E"/>
    <w:rsid w:val="00A33C07"/>
    <w:rsid w:val="00A368A8"/>
    <w:rsid w:val="00A4076A"/>
    <w:rsid w:val="00A41355"/>
    <w:rsid w:val="00A41A23"/>
    <w:rsid w:val="00A43B92"/>
    <w:rsid w:val="00A440E6"/>
    <w:rsid w:val="00A45E1B"/>
    <w:rsid w:val="00A47C3F"/>
    <w:rsid w:val="00A52351"/>
    <w:rsid w:val="00A523F8"/>
    <w:rsid w:val="00A5291A"/>
    <w:rsid w:val="00A54251"/>
    <w:rsid w:val="00A55893"/>
    <w:rsid w:val="00A56A37"/>
    <w:rsid w:val="00A56AE1"/>
    <w:rsid w:val="00A6179E"/>
    <w:rsid w:val="00A64316"/>
    <w:rsid w:val="00A6527A"/>
    <w:rsid w:val="00A7055F"/>
    <w:rsid w:val="00A73C71"/>
    <w:rsid w:val="00A769F8"/>
    <w:rsid w:val="00A76FAC"/>
    <w:rsid w:val="00A776F2"/>
    <w:rsid w:val="00A80483"/>
    <w:rsid w:val="00A804D9"/>
    <w:rsid w:val="00A80A24"/>
    <w:rsid w:val="00A82285"/>
    <w:rsid w:val="00A90884"/>
    <w:rsid w:val="00A92915"/>
    <w:rsid w:val="00A92F92"/>
    <w:rsid w:val="00A9329C"/>
    <w:rsid w:val="00A9524D"/>
    <w:rsid w:val="00A95B3E"/>
    <w:rsid w:val="00A963B4"/>
    <w:rsid w:val="00A96892"/>
    <w:rsid w:val="00AA2051"/>
    <w:rsid w:val="00AA749C"/>
    <w:rsid w:val="00AB0436"/>
    <w:rsid w:val="00AB0493"/>
    <w:rsid w:val="00AB39E1"/>
    <w:rsid w:val="00AB5906"/>
    <w:rsid w:val="00AB608A"/>
    <w:rsid w:val="00AB782C"/>
    <w:rsid w:val="00AB7C8B"/>
    <w:rsid w:val="00AC05A5"/>
    <w:rsid w:val="00AC06E5"/>
    <w:rsid w:val="00AC5F82"/>
    <w:rsid w:val="00AD4F5E"/>
    <w:rsid w:val="00AE3327"/>
    <w:rsid w:val="00AE4470"/>
    <w:rsid w:val="00AE59E9"/>
    <w:rsid w:val="00AE5BDC"/>
    <w:rsid w:val="00AE69C0"/>
    <w:rsid w:val="00AF11B6"/>
    <w:rsid w:val="00B03BA6"/>
    <w:rsid w:val="00B046BB"/>
    <w:rsid w:val="00B0575F"/>
    <w:rsid w:val="00B077F3"/>
    <w:rsid w:val="00B104BA"/>
    <w:rsid w:val="00B11E35"/>
    <w:rsid w:val="00B156AF"/>
    <w:rsid w:val="00B17031"/>
    <w:rsid w:val="00B23B05"/>
    <w:rsid w:val="00B24B1D"/>
    <w:rsid w:val="00B260BF"/>
    <w:rsid w:val="00B26689"/>
    <w:rsid w:val="00B277E0"/>
    <w:rsid w:val="00B305BD"/>
    <w:rsid w:val="00B307D3"/>
    <w:rsid w:val="00B3484D"/>
    <w:rsid w:val="00B34946"/>
    <w:rsid w:val="00B377B4"/>
    <w:rsid w:val="00B40BDE"/>
    <w:rsid w:val="00B413AC"/>
    <w:rsid w:val="00B41407"/>
    <w:rsid w:val="00B41A2E"/>
    <w:rsid w:val="00B42C6E"/>
    <w:rsid w:val="00B50C18"/>
    <w:rsid w:val="00B519FD"/>
    <w:rsid w:val="00B51D61"/>
    <w:rsid w:val="00B520BC"/>
    <w:rsid w:val="00B55E20"/>
    <w:rsid w:val="00B62F98"/>
    <w:rsid w:val="00B63D24"/>
    <w:rsid w:val="00B6558E"/>
    <w:rsid w:val="00B65C34"/>
    <w:rsid w:val="00B678C1"/>
    <w:rsid w:val="00B746FA"/>
    <w:rsid w:val="00B74976"/>
    <w:rsid w:val="00B802D5"/>
    <w:rsid w:val="00B835BE"/>
    <w:rsid w:val="00B84BEE"/>
    <w:rsid w:val="00B85B5D"/>
    <w:rsid w:val="00B85C5B"/>
    <w:rsid w:val="00B85E82"/>
    <w:rsid w:val="00B86B77"/>
    <w:rsid w:val="00B86F5A"/>
    <w:rsid w:val="00B87CBA"/>
    <w:rsid w:val="00B905BC"/>
    <w:rsid w:val="00B906F9"/>
    <w:rsid w:val="00B90A59"/>
    <w:rsid w:val="00B914C0"/>
    <w:rsid w:val="00B91548"/>
    <w:rsid w:val="00B924E6"/>
    <w:rsid w:val="00B9353E"/>
    <w:rsid w:val="00B96FD2"/>
    <w:rsid w:val="00BA262D"/>
    <w:rsid w:val="00BA3F13"/>
    <w:rsid w:val="00BA4E45"/>
    <w:rsid w:val="00BA5698"/>
    <w:rsid w:val="00BA56C1"/>
    <w:rsid w:val="00BA5736"/>
    <w:rsid w:val="00BA71B4"/>
    <w:rsid w:val="00BA7413"/>
    <w:rsid w:val="00BB19A3"/>
    <w:rsid w:val="00BB446F"/>
    <w:rsid w:val="00BB5A2E"/>
    <w:rsid w:val="00BB6ADF"/>
    <w:rsid w:val="00BB7077"/>
    <w:rsid w:val="00BC0765"/>
    <w:rsid w:val="00BC085C"/>
    <w:rsid w:val="00BC1281"/>
    <w:rsid w:val="00BC39B4"/>
    <w:rsid w:val="00BC4944"/>
    <w:rsid w:val="00BC79EB"/>
    <w:rsid w:val="00BD136E"/>
    <w:rsid w:val="00BD7751"/>
    <w:rsid w:val="00BD7FCF"/>
    <w:rsid w:val="00BE6C80"/>
    <w:rsid w:val="00BE79B1"/>
    <w:rsid w:val="00BF0493"/>
    <w:rsid w:val="00BF6367"/>
    <w:rsid w:val="00BF6490"/>
    <w:rsid w:val="00BF6C25"/>
    <w:rsid w:val="00BF756C"/>
    <w:rsid w:val="00C01A94"/>
    <w:rsid w:val="00C03848"/>
    <w:rsid w:val="00C03A91"/>
    <w:rsid w:val="00C040D2"/>
    <w:rsid w:val="00C04559"/>
    <w:rsid w:val="00C05475"/>
    <w:rsid w:val="00C064DC"/>
    <w:rsid w:val="00C064F8"/>
    <w:rsid w:val="00C11DA9"/>
    <w:rsid w:val="00C11F09"/>
    <w:rsid w:val="00C13005"/>
    <w:rsid w:val="00C14406"/>
    <w:rsid w:val="00C144A1"/>
    <w:rsid w:val="00C14DF2"/>
    <w:rsid w:val="00C15011"/>
    <w:rsid w:val="00C21F93"/>
    <w:rsid w:val="00C23200"/>
    <w:rsid w:val="00C25BDA"/>
    <w:rsid w:val="00C33104"/>
    <w:rsid w:val="00C332D4"/>
    <w:rsid w:val="00C33C1D"/>
    <w:rsid w:val="00C36605"/>
    <w:rsid w:val="00C43322"/>
    <w:rsid w:val="00C437B8"/>
    <w:rsid w:val="00C4521A"/>
    <w:rsid w:val="00C4579C"/>
    <w:rsid w:val="00C458BD"/>
    <w:rsid w:val="00C47BF4"/>
    <w:rsid w:val="00C51996"/>
    <w:rsid w:val="00C548B7"/>
    <w:rsid w:val="00C550FA"/>
    <w:rsid w:val="00C556B2"/>
    <w:rsid w:val="00C60D42"/>
    <w:rsid w:val="00C6287E"/>
    <w:rsid w:val="00C643CE"/>
    <w:rsid w:val="00C65B93"/>
    <w:rsid w:val="00C66A12"/>
    <w:rsid w:val="00C66B70"/>
    <w:rsid w:val="00C67108"/>
    <w:rsid w:val="00C6750C"/>
    <w:rsid w:val="00C67B7A"/>
    <w:rsid w:val="00C765FA"/>
    <w:rsid w:val="00C816F8"/>
    <w:rsid w:val="00C83572"/>
    <w:rsid w:val="00C83E6E"/>
    <w:rsid w:val="00C854D4"/>
    <w:rsid w:val="00C90556"/>
    <w:rsid w:val="00C923E1"/>
    <w:rsid w:val="00C9416B"/>
    <w:rsid w:val="00C956F3"/>
    <w:rsid w:val="00CA0D78"/>
    <w:rsid w:val="00CA4318"/>
    <w:rsid w:val="00CA4855"/>
    <w:rsid w:val="00CA6D4A"/>
    <w:rsid w:val="00CB0A18"/>
    <w:rsid w:val="00CB24FE"/>
    <w:rsid w:val="00CB2A7E"/>
    <w:rsid w:val="00CB453C"/>
    <w:rsid w:val="00CC0B3E"/>
    <w:rsid w:val="00CC1106"/>
    <w:rsid w:val="00CD1868"/>
    <w:rsid w:val="00CD1DE9"/>
    <w:rsid w:val="00CD2D81"/>
    <w:rsid w:val="00CD41D5"/>
    <w:rsid w:val="00CD58FD"/>
    <w:rsid w:val="00CD6563"/>
    <w:rsid w:val="00CD74CE"/>
    <w:rsid w:val="00CE06B9"/>
    <w:rsid w:val="00CE658C"/>
    <w:rsid w:val="00CE6938"/>
    <w:rsid w:val="00CF216E"/>
    <w:rsid w:val="00CF3003"/>
    <w:rsid w:val="00CF3BDE"/>
    <w:rsid w:val="00CF610F"/>
    <w:rsid w:val="00CF6FFF"/>
    <w:rsid w:val="00D04351"/>
    <w:rsid w:val="00D04EBB"/>
    <w:rsid w:val="00D07A27"/>
    <w:rsid w:val="00D07E52"/>
    <w:rsid w:val="00D136F9"/>
    <w:rsid w:val="00D1745E"/>
    <w:rsid w:val="00D20093"/>
    <w:rsid w:val="00D204A1"/>
    <w:rsid w:val="00D23C5B"/>
    <w:rsid w:val="00D25723"/>
    <w:rsid w:val="00D25979"/>
    <w:rsid w:val="00D264CE"/>
    <w:rsid w:val="00D27BF4"/>
    <w:rsid w:val="00D3062D"/>
    <w:rsid w:val="00D306EA"/>
    <w:rsid w:val="00D30AEA"/>
    <w:rsid w:val="00D3149B"/>
    <w:rsid w:val="00D343FA"/>
    <w:rsid w:val="00D418FF"/>
    <w:rsid w:val="00D41F25"/>
    <w:rsid w:val="00D44533"/>
    <w:rsid w:val="00D44AA2"/>
    <w:rsid w:val="00D44DF6"/>
    <w:rsid w:val="00D46E86"/>
    <w:rsid w:val="00D47416"/>
    <w:rsid w:val="00D50083"/>
    <w:rsid w:val="00D51F9D"/>
    <w:rsid w:val="00D53381"/>
    <w:rsid w:val="00D552A9"/>
    <w:rsid w:val="00D55B8D"/>
    <w:rsid w:val="00D56F95"/>
    <w:rsid w:val="00D60C3D"/>
    <w:rsid w:val="00D61774"/>
    <w:rsid w:val="00D652A7"/>
    <w:rsid w:val="00D65C76"/>
    <w:rsid w:val="00D7119D"/>
    <w:rsid w:val="00D711EA"/>
    <w:rsid w:val="00D730CD"/>
    <w:rsid w:val="00D7337E"/>
    <w:rsid w:val="00D734C7"/>
    <w:rsid w:val="00D736D3"/>
    <w:rsid w:val="00D80A36"/>
    <w:rsid w:val="00D8593D"/>
    <w:rsid w:val="00D901C2"/>
    <w:rsid w:val="00D908AB"/>
    <w:rsid w:val="00D91A57"/>
    <w:rsid w:val="00D971DE"/>
    <w:rsid w:val="00DA03D3"/>
    <w:rsid w:val="00DA28FE"/>
    <w:rsid w:val="00DA2F73"/>
    <w:rsid w:val="00DA5117"/>
    <w:rsid w:val="00DA5597"/>
    <w:rsid w:val="00DA5C1C"/>
    <w:rsid w:val="00DA7C14"/>
    <w:rsid w:val="00DB04EB"/>
    <w:rsid w:val="00DB0746"/>
    <w:rsid w:val="00DB1375"/>
    <w:rsid w:val="00DB27C3"/>
    <w:rsid w:val="00DB2EBD"/>
    <w:rsid w:val="00DB3224"/>
    <w:rsid w:val="00DB3B67"/>
    <w:rsid w:val="00DC0EE7"/>
    <w:rsid w:val="00DC11DE"/>
    <w:rsid w:val="00DC140B"/>
    <w:rsid w:val="00DC18C4"/>
    <w:rsid w:val="00DC1B9E"/>
    <w:rsid w:val="00DC462F"/>
    <w:rsid w:val="00DD0610"/>
    <w:rsid w:val="00DD1319"/>
    <w:rsid w:val="00DD2C51"/>
    <w:rsid w:val="00DD6A21"/>
    <w:rsid w:val="00DD77D3"/>
    <w:rsid w:val="00DE053A"/>
    <w:rsid w:val="00DE13E3"/>
    <w:rsid w:val="00DE5294"/>
    <w:rsid w:val="00DE53C4"/>
    <w:rsid w:val="00DE5B22"/>
    <w:rsid w:val="00DE60CA"/>
    <w:rsid w:val="00DE6397"/>
    <w:rsid w:val="00DF1E6F"/>
    <w:rsid w:val="00DF3C9A"/>
    <w:rsid w:val="00DF4765"/>
    <w:rsid w:val="00DF515E"/>
    <w:rsid w:val="00E007DA"/>
    <w:rsid w:val="00E00F1F"/>
    <w:rsid w:val="00E02B90"/>
    <w:rsid w:val="00E02D0D"/>
    <w:rsid w:val="00E03416"/>
    <w:rsid w:val="00E03904"/>
    <w:rsid w:val="00E03CAB"/>
    <w:rsid w:val="00E03D68"/>
    <w:rsid w:val="00E043E6"/>
    <w:rsid w:val="00E065DF"/>
    <w:rsid w:val="00E07369"/>
    <w:rsid w:val="00E077F5"/>
    <w:rsid w:val="00E11606"/>
    <w:rsid w:val="00E1233A"/>
    <w:rsid w:val="00E13452"/>
    <w:rsid w:val="00E13688"/>
    <w:rsid w:val="00E15E79"/>
    <w:rsid w:val="00E16517"/>
    <w:rsid w:val="00E1751F"/>
    <w:rsid w:val="00E210DD"/>
    <w:rsid w:val="00E24FA3"/>
    <w:rsid w:val="00E263F2"/>
    <w:rsid w:val="00E26B28"/>
    <w:rsid w:val="00E2727F"/>
    <w:rsid w:val="00E27335"/>
    <w:rsid w:val="00E27525"/>
    <w:rsid w:val="00E31465"/>
    <w:rsid w:val="00E323EE"/>
    <w:rsid w:val="00E328CD"/>
    <w:rsid w:val="00E32B64"/>
    <w:rsid w:val="00E3518B"/>
    <w:rsid w:val="00E36B95"/>
    <w:rsid w:val="00E4003F"/>
    <w:rsid w:val="00E433FA"/>
    <w:rsid w:val="00E458F6"/>
    <w:rsid w:val="00E45954"/>
    <w:rsid w:val="00E4608F"/>
    <w:rsid w:val="00E46563"/>
    <w:rsid w:val="00E52A5A"/>
    <w:rsid w:val="00E52BD0"/>
    <w:rsid w:val="00E550E9"/>
    <w:rsid w:val="00E56F39"/>
    <w:rsid w:val="00E63AA4"/>
    <w:rsid w:val="00E64C3E"/>
    <w:rsid w:val="00E65200"/>
    <w:rsid w:val="00E6525D"/>
    <w:rsid w:val="00E6649A"/>
    <w:rsid w:val="00E71EFD"/>
    <w:rsid w:val="00E7261B"/>
    <w:rsid w:val="00E726F2"/>
    <w:rsid w:val="00E7459B"/>
    <w:rsid w:val="00E81915"/>
    <w:rsid w:val="00E81F47"/>
    <w:rsid w:val="00E906CC"/>
    <w:rsid w:val="00E90D81"/>
    <w:rsid w:val="00E912B6"/>
    <w:rsid w:val="00E932D1"/>
    <w:rsid w:val="00E95590"/>
    <w:rsid w:val="00EA0B8E"/>
    <w:rsid w:val="00EA1B1A"/>
    <w:rsid w:val="00EA2646"/>
    <w:rsid w:val="00EA44D9"/>
    <w:rsid w:val="00EA6626"/>
    <w:rsid w:val="00EA7C96"/>
    <w:rsid w:val="00EB3E55"/>
    <w:rsid w:val="00EB4EC4"/>
    <w:rsid w:val="00EB5A24"/>
    <w:rsid w:val="00EB6A76"/>
    <w:rsid w:val="00EC00C4"/>
    <w:rsid w:val="00EC7AEA"/>
    <w:rsid w:val="00ED0A78"/>
    <w:rsid w:val="00ED1BDA"/>
    <w:rsid w:val="00ED2C27"/>
    <w:rsid w:val="00ED3204"/>
    <w:rsid w:val="00ED4C20"/>
    <w:rsid w:val="00ED60EC"/>
    <w:rsid w:val="00ED6DD8"/>
    <w:rsid w:val="00ED76EB"/>
    <w:rsid w:val="00ED7D14"/>
    <w:rsid w:val="00EE15AD"/>
    <w:rsid w:val="00EE268E"/>
    <w:rsid w:val="00EE5203"/>
    <w:rsid w:val="00EE73D0"/>
    <w:rsid w:val="00EF03F4"/>
    <w:rsid w:val="00EF0A5A"/>
    <w:rsid w:val="00EF28A2"/>
    <w:rsid w:val="00EF6366"/>
    <w:rsid w:val="00F01B1D"/>
    <w:rsid w:val="00F02742"/>
    <w:rsid w:val="00F02E6F"/>
    <w:rsid w:val="00F035E0"/>
    <w:rsid w:val="00F14C6D"/>
    <w:rsid w:val="00F2133E"/>
    <w:rsid w:val="00F22BA9"/>
    <w:rsid w:val="00F25692"/>
    <w:rsid w:val="00F3099E"/>
    <w:rsid w:val="00F30D3A"/>
    <w:rsid w:val="00F318DF"/>
    <w:rsid w:val="00F31A67"/>
    <w:rsid w:val="00F34BC9"/>
    <w:rsid w:val="00F37EBF"/>
    <w:rsid w:val="00F400C6"/>
    <w:rsid w:val="00F4106D"/>
    <w:rsid w:val="00F4426B"/>
    <w:rsid w:val="00F45D71"/>
    <w:rsid w:val="00F46B63"/>
    <w:rsid w:val="00F47E45"/>
    <w:rsid w:val="00F52602"/>
    <w:rsid w:val="00F552C5"/>
    <w:rsid w:val="00F552CE"/>
    <w:rsid w:val="00F60A7A"/>
    <w:rsid w:val="00F61995"/>
    <w:rsid w:val="00F715F0"/>
    <w:rsid w:val="00F77351"/>
    <w:rsid w:val="00F8302E"/>
    <w:rsid w:val="00F836E2"/>
    <w:rsid w:val="00F868E7"/>
    <w:rsid w:val="00F86BC0"/>
    <w:rsid w:val="00F90904"/>
    <w:rsid w:val="00F91755"/>
    <w:rsid w:val="00F918FE"/>
    <w:rsid w:val="00F92B63"/>
    <w:rsid w:val="00F9418E"/>
    <w:rsid w:val="00F96FD0"/>
    <w:rsid w:val="00FA4265"/>
    <w:rsid w:val="00FA4916"/>
    <w:rsid w:val="00FA5493"/>
    <w:rsid w:val="00FB56D6"/>
    <w:rsid w:val="00FB5BB8"/>
    <w:rsid w:val="00FB5C2F"/>
    <w:rsid w:val="00FB69B9"/>
    <w:rsid w:val="00FC5C90"/>
    <w:rsid w:val="00FC5D42"/>
    <w:rsid w:val="00FD01B5"/>
    <w:rsid w:val="00FD070F"/>
    <w:rsid w:val="00FD5924"/>
    <w:rsid w:val="00FD5F38"/>
    <w:rsid w:val="00FD62F9"/>
    <w:rsid w:val="00FE4131"/>
    <w:rsid w:val="00FE5579"/>
    <w:rsid w:val="00FE5F4D"/>
    <w:rsid w:val="00FE63CE"/>
    <w:rsid w:val="00FE677F"/>
    <w:rsid w:val="00FE7D44"/>
    <w:rsid w:val="00FF01EF"/>
    <w:rsid w:val="00FF0A75"/>
    <w:rsid w:val="00FF13DA"/>
    <w:rsid w:val="00FF2096"/>
    <w:rsid w:val="00FF22E2"/>
    <w:rsid w:val="00FF6106"/>
    <w:rsid w:val="00FF6757"/>
    <w:rsid w:val="00F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66EDFA5-51BB-4545-A075-CC7FDEA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7"/>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7"/>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7"/>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7"/>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7"/>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7"/>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A1DB8"/>
    <w:rPr>
      <w:rFonts w:ascii="Arial" w:hAnsi="Arial"/>
      <w:sz w:val="20"/>
      <w:vertAlign w:val="superscript"/>
    </w:rPr>
  </w:style>
  <w:style w:type="paragraph" w:styleId="FootnoteText">
    <w:name w:val="footnote text"/>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1"/>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4"/>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093D4C"/>
    <w:rPr>
      <w:sz w:val="16"/>
      <w:szCs w:val="16"/>
    </w:rPr>
  </w:style>
  <w:style w:type="paragraph" w:styleId="CommentText">
    <w:name w:val="annotation text"/>
    <w:basedOn w:val="Normal"/>
    <w:link w:val="CommentTextChar"/>
    <w:locked/>
    <w:rsid w:val="00093D4C"/>
    <w:rPr>
      <w:rFonts w:eastAsia="Times New Roman"/>
      <w:sz w:val="20"/>
      <w:szCs w:val="20"/>
    </w:rPr>
  </w:style>
  <w:style w:type="character" w:customStyle="1" w:styleId="CommentTextChar">
    <w:name w:val="Comment Text Char"/>
    <w:basedOn w:val="DefaultParagraphFont"/>
    <w:link w:val="CommentText"/>
    <w:rsid w:val="00093D4C"/>
    <w:rPr>
      <w:rFonts w:ascii="Arial" w:hAnsi="Arial"/>
    </w:rPr>
  </w:style>
  <w:style w:type="paragraph" w:styleId="ListParagraph">
    <w:name w:val="List Paragraph"/>
    <w:basedOn w:val="Normal"/>
    <w:link w:val="ListParagraphChar"/>
    <w:uiPriority w:val="34"/>
    <w:qFormat/>
    <w:rsid w:val="006D10A3"/>
    <w:pPr>
      <w:ind w:left="720"/>
    </w:pPr>
  </w:style>
  <w:style w:type="paragraph" w:styleId="CommentSubject">
    <w:name w:val="annotation subject"/>
    <w:basedOn w:val="CommentText"/>
    <w:next w:val="CommentText"/>
    <w:link w:val="CommentSubjectChar"/>
    <w:locked/>
    <w:rsid w:val="00E15E79"/>
    <w:rPr>
      <w:rFonts w:eastAsia="MS Mincho"/>
      <w:b/>
      <w:bCs/>
    </w:rPr>
  </w:style>
  <w:style w:type="character" w:customStyle="1" w:styleId="CommentSubjectChar">
    <w:name w:val="Comment Subject Char"/>
    <w:basedOn w:val="CommentTextChar"/>
    <w:link w:val="CommentSubject"/>
    <w:rsid w:val="00E15E79"/>
    <w:rPr>
      <w:rFonts w:ascii="Arial" w:eastAsia="MS Mincho" w:hAnsi="Arial"/>
      <w:b/>
      <w:bCs/>
    </w:rPr>
  </w:style>
  <w:style w:type="character" w:customStyle="1" w:styleId="ListParagraphChar">
    <w:name w:val="List Paragraph Char"/>
    <w:link w:val="ListParagraph"/>
    <w:uiPriority w:val="34"/>
    <w:locked/>
    <w:rsid w:val="00D25979"/>
    <w:rPr>
      <w:rFonts w:ascii="Arial" w:eastAsia="MS Mincho" w:hAnsi="Arial"/>
      <w:sz w:val="24"/>
      <w:szCs w:val="24"/>
    </w:rPr>
  </w:style>
  <w:style w:type="character" w:customStyle="1" w:styleId="FootnoteTextChar">
    <w:name w:val="Footnote Text Char"/>
    <w:link w:val="FootnoteText"/>
    <w:rsid w:val="00E7459B"/>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5086">
      <w:bodyDiv w:val="1"/>
      <w:marLeft w:val="0"/>
      <w:marRight w:val="0"/>
      <w:marTop w:val="0"/>
      <w:marBottom w:val="0"/>
      <w:divBdr>
        <w:top w:val="none" w:sz="0" w:space="0" w:color="auto"/>
        <w:left w:val="none" w:sz="0" w:space="0" w:color="auto"/>
        <w:bottom w:val="none" w:sz="0" w:space="0" w:color="auto"/>
        <w:right w:val="none" w:sz="0" w:space="0" w:color="auto"/>
      </w:divBdr>
    </w:div>
    <w:div w:id="326783974">
      <w:bodyDiv w:val="1"/>
      <w:marLeft w:val="0"/>
      <w:marRight w:val="0"/>
      <w:marTop w:val="0"/>
      <w:marBottom w:val="0"/>
      <w:divBdr>
        <w:top w:val="none" w:sz="0" w:space="0" w:color="auto"/>
        <w:left w:val="none" w:sz="0" w:space="0" w:color="auto"/>
        <w:bottom w:val="none" w:sz="0" w:space="0" w:color="auto"/>
        <w:right w:val="none" w:sz="0" w:space="0" w:color="auto"/>
      </w:divBdr>
    </w:div>
    <w:div w:id="352073281">
      <w:bodyDiv w:val="1"/>
      <w:marLeft w:val="0"/>
      <w:marRight w:val="0"/>
      <w:marTop w:val="0"/>
      <w:marBottom w:val="0"/>
      <w:divBdr>
        <w:top w:val="none" w:sz="0" w:space="0" w:color="auto"/>
        <w:left w:val="none" w:sz="0" w:space="0" w:color="auto"/>
        <w:bottom w:val="none" w:sz="0" w:space="0" w:color="auto"/>
        <w:right w:val="none" w:sz="0" w:space="0" w:color="auto"/>
      </w:divBdr>
    </w:div>
    <w:div w:id="56298619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308147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57846195">
      <w:bodyDiv w:val="1"/>
      <w:marLeft w:val="0"/>
      <w:marRight w:val="0"/>
      <w:marTop w:val="0"/>
      <w:marBottom w:val="0"/>
      <w:divBdr>
        <w:top w:val="none" w:sz="0" w:space="0" w:color="auto"/>
        <w:left w:val="none" w:sz="0" w:space="0" w:color="auto"/>
        <w:bottom w:val="none" w:sz="0" w:space="0" w:color="auto"/>
        <w:right w:val="none" w:sz="0" w:space="0" w:color="auto"/>
      </w:divBdr>
    </w:div>
    <w:div w:id="1291404346">
      <w:bodyDiv w:val="1"/>
      <w:marLeft w:val="0"/>
      <w:marRight w:val="0"/>
      <w:marTop w:val="0"/>
      <w:marBottom w:val="0"/>
      <w:divBdr>
        <w:top w:val="none" w:sz="0" w:space="0" w:color="auto"/>
        <w:left w:val="none" w:sz="0" w:space="0" w:color="auto"/>
        <w:bottom w:val="none" w:sz="0" w:space="0" w:color="auto"/>
        <w:right w:val="none" w:sz="0" w:space="0" w:color="auto"/>
      </w:divBdr>
    </w:div>
    <w:div w:id="1359089705">
      <w:bodyDiv w:val="1"/>
      <w:marLeft w:val="0"/>
      <w:marRight w:val="0"/>
      <w:marTop w:val="0"/>
      <w:marBottom w:val="0"/>
      <w:divBdr>
        <w:top w:val="none" w:sz="0" w:space="0" w:color="auto"/>
        <w:left w:val="none" w:sz="0" w:space="0" w:color="auto"/>
        <w:bottom w:val="none" w:sz="0" w:space="0" w:color="auto"/>
        <w:right w:val="none" w:sz="0" w:space="0" w:color="auto"/>
      </w:divBdr>
    </w:div>
    <w:div w:id="1463424322">
      <w:bodyDiv w:val="1"/>
      <w:marLeft w:val="0"/>
      <w:marRight w:val="0"/>
      <w:marTop w:val="0"/>
      <w:marBottom w:val="0"/>
      <w:divBdr>
        <w:top w:val="none" w:sz="0" w:space="0" w:color="auto"/>
        <w:left w:val="none" w:sz="0" w:space="0" w:color="auto"/>
        <w:bottom w:val="none" w:sz="0" w:space="0" w:color="auto"/>
        <w:right w:val="none" w:sz="0" w:space="0" w:color="auto"/>
      </w:divBdr>
    </w:div>
    <w:div w:id="1469856127">
      <w:bodyDiv w:val="1"/>
      <w:marLeft w:val="0"/>
      <w:marRight w:val="0"/>
      <w:marTop w:val="0"/>
      <w:marBottom w:val="0"/>
      <w:divBdr>
        <w:top w:val="none" w:sz="0" w:space="0" w:color="auto"/>
        <w:left w:val="none" w:sz="0" w:space="0" w:color="auto"/>
        <w:bottom w:val="none" w:sz="0" w:space="0" w:color="auto"/>
        <w:right w:val="none" w:sz="0" w:space="0" w:color="auto"/>
      </w:divBdr>
    </w:div>
    <w:div w:id="1567643811">
      <w:bodyDiv w:val="1"/>
      <w:marLeft w:val="0"/>
      <w:marRight w:val="0"/>
      <w:marTop w:val="0"/>
      <w:marBottom w:val="0"/>
      <w:divBdr>
        <w:top w:val="none" w:sz="0" w:space="0" w:color="auto"/>
        <w:left w:val="none" w:sz="0" w:space="0" w:color="auto"/>
        <w:bottom w:val="none" w:sz="0" w:space="0" w:color="auto"/>
        <w:right w:val="none" w:sz="0" w:space="0" w:color="auto"/>
      </w:divBdr>
    </w:div>
    <w:div w:id="1784566552">
      <w:bodyDiv w:val="1"/>
      <w:marLeft w:val="0"/>
      <w:marRight w:val="0"/>
      <w:marTop w:val="0"/>
      <w:marBottom w:val="0"/>
      <w:divBdr>
        <w:top w:val="none" w:sz="0" w:space="0" w:color="auto"/>
        <w:left w:val="none" w:sz="0" w:space="0" w:color="auto"/>
        <w:bottom w:val="none" w:sz="0" w:space="0" w:color="auto"/>
        <w:right w:val="none" w:sz="0" w:space="0" w:color="auto"/>
      </w:divBdr>
    </w:div>
    <w:div w:id="1803840559">
      <w:bodyDiv w:val="1"/>
      <w:marLeft w:val="0"/>
      <w:marRight w:val="0"/>
      <w:marTop w:val="0"/>
      <w:marBottom w:val="0"/>
      <w:divBdr>
        <w:top w:val="none" w:sz="0" w:space="0" w:color="auto"/>
        <w:left w:val="none" w:sz="0" w:space="0" w:color="auto"/>
        <w:bottom w:val="none" w:sz="0" w:space="0" w:color="auto"/>
        <w:right w:val="none" w:sz="0" w:space="0" w:color="auto"/>
      </w:divBdr>
    </w:div>
    <w:div w:id="1952589601">
      <w:bodyDiv w:val="1"/>
      <w:marLeft w:val="0"/>
      <w:marRight w:val="0"/>
      <w:marTop w:val="0"/>
      <w:marBottom w:val="0"/>
      <w:divBdr>
        <w:top w:val="none" w:sz="0" w:space="0" w:color="auto"/>
        <w:left w:val="none" w:sz="0" w:space="0" w:color="auto"/>
        <w:bottom w:val="none" w:sz="0" w:space="0" w:color="auto"/>
        <w:right w:val="none" w:sz="0" w:space="0" w:color="auto"/>
      </w:divBdr>
    </w:div>
    <w:div w:id="2066442860">
      <w:bodyDiv w:val="1"/>
      <w:marLeft w:val="0"/>
      <w:marRight w:val="0"/>
      <w:marTop w:val="0"/>
      <w:marBottom w:val="0"/>
      <w:divBdr>
        <w:top w:val="none" w:sz="0" w:space="0" w:color="auto"/>
        <w:left w:val="none" w:sz="0" w:space="0" w:color="auto"/>
        <w:bottom w:val="none" w:sz="0" w:space="0" w:color="auto"/>
        <w:right w:val="none" w:sz="0" w:space="0" w:color="auto"/>
      </w:divBdr>
    </w:div>
    <w:div w:id="20810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hart" Target="charts/chart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publications/social-justice-and-native-title-report-2014" TargetMode="External"/><Relationship Id="rId3" Type="http://schemas.openxmlformats.org/officeDocument/2006/relationships/hyperlink" Target="http://www.comlaw.gov.au/Details/F2013L00435/Explanatory%20Statement/Text" TargetMode="External"/><Relationship Id="rId7" Type="http://schemas.openxmlformats.org/officeDocument/2006/relationships/hyperlink" Target="http://papunyatula.com.au" TargetMode="External"/><Relationship Id="rId2" Type="http://schemas.openxmlformats.org/officeDocument/2006/relationships/hyperlink" Target="http://www.comlaw.gov.au/Details/F2014L00861" TargetMode="External"/><Relationship Id="rId1" Type="http://schemas.openxmlformats.org/officeDocument/2006/relationships/hyperlink" Target="http://www.austlii.edu.au/au/cases/cth/HCA/2013/58.html" TargetMode="External"/><Relationship Id="rId6" Type="http://schemas.openxmlformats.org/officeDocument/2006/relationships/hyperlink" Target="http://employment.gov.au/news/revocation-fair-work-principles-and-commonwealth-cleaning-services-guidelines" TargetMode="External"/><Relationship Id="rId5" Type="http://schemas.openxmlformats.org/officeDocument/2006/relationships/hyperlink" Target="http://www.comlaw.gov.au/Details/F2013L00435/Explanatory%20Statement/Text" TargetMode="External"/><Relationship Id="rId4" Type="http://schemas.openxmlformats.org/officeDocument/2006/relationships/hyperlink" Target="http://www.comlaw.gov.au/Details/F2014L008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dLbl>
              <c:idx val="0"/>
              <c:layout/>
              <c:tx>
                <c:rich>
                  <a:bodyPr/>
                  <a:lstStyle/>
                  <a:p>
                    <a:pPr>
                      <a:defRPr b="1"/>
                    </a:pPr>
                    <a:r>
                      <a:rPr lang="en-US" sz="712" b="1">
                        <a:latin typeface="Arial" panose="020B0604020202020204" pitchFamily="34" charset="0"/>
                        <a:cs typeface="Arial" panose="020B0604020202020204" pitchFamily="34" charset="0"/>
                      </a:rPr>
                      <a:t>Not at all protected</a:t>
                    </a:r>
                  </a:p>
                </c:rich>
              </c:tx>
              <c:spPr>
                <a:noFill/>
                <a:ln w="20108">
                  <a:noFill/>
                </a:ln>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pPr>
                      <a:defRPr b="1"/>
                    </a:pPr>
                    <a:r>
                      <a:rPr lang="en-US" sz="712" b="1">
                        <a:latin typeface="Arial" panose="020B0604020202020204" pitchFamily="34" charset="0"/>
                        <a:cs typeface="Arial" panose="020B0604020202020204" pitchFamily="34" charset="0"/>
                      </a:rPr>
                      <a:t>Slightly protected</a:t>
                    </a:r>
                  </a:p>
                </c:rich>
              </c:tx>
              <c:spPr>
                <a:noFill/>
                <a:ln w="20108">
                  <a:noFill/>
                </a:ln>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13913780407003781"/>
                  <c:y val="-3.1180276388315498E-2"/>
                </c:manualLayout>
              </c:layout>
              <c:tx>
                <c:rich>
                  <a:bodyPr/>
                  <a:lstStyle/>
                  <a:p>
                    <a:pPr>
                      <a:defRPr b="1"/>
                    </a:pPr>
                    <a:r>
                      <a:rPr lang="en-US" sz="712" b="1">
                        <a:latin typeface="Arial" panose="020B0604020202020204" pitchFamily="34" charset="0"/>
                        <a:cs typeface="Arial" panose="020B0604020202020204" pitchFamily="34" charset="0"/>
                      </a:rPr>
                      <a:t>Moderately protected</a:t>
                    </a:r>
                  </a:p>
                </c:rich>
              </c:tx>
              <c:spPr>
                <a:noFill/>
                <a:ln w="20108">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pPr>
                      <a:defRPr b="1"/>
                    </a:pPr>
                    <a:r>
                      <a:rPr lang="en-US" sz="712" b="1">
                        <a:latin typeface="Arial" panose="020B0604020202020204" pitchFamily="34" charset="0"/>
                        <a:cs typeface="Arial" panose="020B0604020202020204" pitchFamily="34" charset="0"/>
                      </a:rPr>
                      <a:t>Well protected</a:t>
                    </a:r>
                  </a:p>
                </c:rich>
              </c:tx>
              <c:spPr>
                <a:noFill/>
                <a:ln w="20108">
                  <a:noFill/>
                </a:ln>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2.1406827309169256E-2"/>
                  <c:y val="7.5289986481194395E-3"/>
                </c:manualLayout>
              </c:layout>
              <c:tx>
                <c:rich>
                  <a:bodyPr/>
                  <a:lstStyle/>
                  <a:p>
                    <a:pPr>
                      <a:defRPr sz="712" b="1">
                        <a:latin typeface="Arial" panose="020B0604020202020204" pitchFamily="34" charset="0"/>
                        <a:cs typeface="Arial" panose="020B0604020202020204" pitchFamily="34" charset="0"/>
                      </a:defRPr>
                    </a:pPr>
                    <a:r>
                      <a:rPr lang="en-US" sz="712" b="1">
                        <a:latin typeface="Arial" panose="020B0604020202020204" pitchFamily="34" charset="0"/>
                        <a:cs typeface="Arial" panose="020B0604020202020204" pitchFamily="34" charset="0"/>
                      </a:rPr>
                      <a:t>Extremely well protected</a:t>
                    </a:r>
                  </a:p>
                </c:rich>
              </c:tx>
              <c:spPr>
                <a:noFill/>
                <a:ln w="20108">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2.7228522341681508E-2"/>
                  <c:y val="5.5011934046562818E-19"/>
                </c:manualLayout>
              </c:layout>
              <c:tx>
                <c:rich>
                  <a:bodyPr/>
                  <a:lstStyle/>
                  <a:p>
                    <a:pPr>
                      <a:defRPr sz="564"/>
                    </a:pPr>
                    <a:r>
                      <a:rPr lang="en-US" sz="712" b="1">
                        <a:latin typeface="Arial" panose="020B0604020202020204" pitchFamily="34" charset="0"/>
                        <a:cs typeface="Arial" panose="020B0604020202020204" pitchFamily="34" charset="0"/>
                      </a:rPr>
                      <a:t>Not</a:t>
                    </a:r>
                    <a:r>
                      <a:rPr lang="en-US" sz="712" b="1" baseline="0">
                        <a:latin typeface="Arial" panose="020B0604020202020204" pitchFamily="34" charset="0"/>
                        <a:cs typeface="Arial" panose="020B0604020202020204" pitchFamily="34" charset="0"/>
                      </a:rPr>
                      <a:t> sure  /</a:t>
                    </a:r>
                  </a:p>
                  <a:p>
                    <a:pPr>
                      <a:defRPr sz="564"/>
                    </a:pPr>
                    <a:r>
                      <a:rPr lang="en-US" sz="712" b="1" baseline="0">
                        <a:latin typeface="Arial" panose="020B0604020202020204" pitchFamily="34" charset="0"/>
                        <a:cs typeface="Arial" panose="020B0604020202020204" pitchFamily="34" charset="0"/>
                      </a:rPr>
                      <a:t> no answer</a:t>
                    </a:r>
                    <a:endParaRPr lang="en-US" sz="900" b="1">
                      <a:latin typeface="Arial" panose="020B0604020202020204" pitchFamily="34" charset="0"/>
                      <a:cs typeface="Arial" panose="020B0604020202020204" pitchFamily="34" charset="0"/>
                    </a:endParaRPr>
                  </a:p>
                </c:rich>
              </c:tx>
              <c:spPr>
                <a:noFill/>
                <a:ln w="20108">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0108">
                <a:noFill/>
              </a:ln>
            </c:sp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Sheet1!$A$2:$A$7</c:f>
              <c:strCache>
                <c:ptCount val="4"/>
                <c:pt idx="0">
                  <c:v>1st Qtr</c:v>
                </c:pt>
                <c:pt idx="1">
                  <c:v>2nd Qtr</c:v>
                </c:pt>
                <c:pt idx="2">
                  <c:v>3rd Qtr</c:v>
                </c:pt>
                <c:pt idx="3">
                  <c:v>4th Qtr</c:v>
                </c:pt>
              </c:strCache>
            </c:strRef>
          </c:cat>
          <c:val>
            <c:numRef>
              <c:f>Sheet1!$B$2:$B$7</c:f>
              <c:numCache>
                <c:formatCode>General</c:formatCode>
                <c:ptCount val="6"/>
                <c:pt idx="0">
                  <c:v>148</c:v>
                </c:pt>
                <c:pt idx="1">
                  <c:v>221</c:v>
                </c:pt>
                <c:pt idx="2">
                  <c:v>293</c:v>
                </c:pt>
                <c:pt idx="3">
                  <c:v>209</c:v>
                </c:pt>
                <c:pt idx="4">
                  <c:v>66</c:v>
                </c:pt>
                <c:pt idx="5">
                  <c:v>54</c:v>
                </c:pt>
              </c:numCache>
            </c:numRef>
          </c:val>
        </c:ser>
        <c:dLbls>
          <c:showLegendKey val="0"/>
          <c:showVal val="0"/>
          <c:showCatName val="0"/>
          <c:showSerName val="0"/>
          <c:showPercent val="0"/>
          <c:showBubbleSize val="0"/>
          <c:showLeaderLines val="0"/>
        </c:dLbls>
        <c:firstSliceAng val="0"/>
      </c:pieChart>
      <c:spPr>
        <a:noFill/>
        <a:ln w="20108">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dLbl>
              <c:idx val="0"/>
              <c:layout>
                <c:manualLayout>
                  <c:x val="6.9848661233993014E-3"/>
                  <c:y val="-7.672634271099721E-3"/>
                </c:manualLayout>
              </c:layout>
              <c:tx>
                <c:rich>
                  <a:bodyPr/>
                  <a:lstStyle/>
                  <a:p>
                    <a:r>
                      <a:rPr lang="en-US" sz="713" b="1">
                        <a:latin typeface="Arial" panose="020B0604020202020204" pitchFamily="34" charset="0"/>
                        <a:cs typeface="Arial" panose="020B0604020202020204" pitchFamily="34" charset="0"/>
                      </a:rPr>
                      <a:t>Not at</a:t>
                    </a:r>
                    <a:r>
                      <a:rPr lang="en-US" sz="713" b="1" baseline="0">
                        <a:latin typeface="Arial" panose="020B0604020202020204" pitchFamily="34" charset="0"/>
                        <a:cs typeface="Arial" panose="020B0604020202020204" pitchFamily="34" charset="0"/>
                      </a:rPr>
                      <a:t> all protected</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713" b="1">
                        <a:latin typeface="Arial" panose="020B0604020202020204" pitchFamily="34" charset="0"/>
                        <a:cs typeface="Arial" panose="020B0604020202020204" pitchFamily="34" charset="0"/>
                      </a:rPr>
                      <a:t>Slightly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713" b="1">
                        <a:latin typeface="Arial" panose="020B0604020202020204" pitchFamily="34" charset="0"/>
                        <a:cs typeface="Arial" panose="020B0604020202020204" pitchFamily="34" charset="0"/>
                      </a:rPr>
                      <a:t>Moderately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sz="713" b="1">
                        <a:latin typeface="Arial" panose="020B0604020202020204" pitchFamily="34" charset="0"/>
                        <a:cs typeface="Arial" panose="020B0604020202020204" pitchFamily="34" charset="0"/>
                      </a:rPr>
                      <a:t>Well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sz="713" b="1">
                        <a:latin typeface="Arial" panose="020B0604020202020204" pitchFamily="34" charset="0"/>
                        <a:cs typeface="Arial" panose="020B0604020202020204" pitchFamily="34" charset="0"/>
                      </a:rPr>
                      <a:t>Extremely well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sz="713" b="1">
                        <a:latin typeface="Arial" panose="020B0604020202020204" pitchFamily="34" charset="0"/>
                        <a:cs typeface="Arial" panose="020B0604020202020204" pitchFamily="34" charset="0"/>
                      </a:rPr>
                      <a:t>Not</a:t>
                    </a:r>
                    <a:r>
                      <a:rPr lang="en-US" sz="713" b="1" baseline="0">
                        <a:latin typeface="Arial" panose="020B0604020202020204" pitchFamily="34" charset="0"/>
                        <a:cs typeface="Arial" panose="020B0604020202020204" pitchFamily="34" charset="0"/>
                      </a:rPr>
                      <a:t> sure/</a:t>
                    </a:r>
                  </a:p>
                  <a:p>
                    <a:r>
                      <a:rPr lang="en-US" sz="713" b="1" baseline="0">
                        <a:latin typeface="Arial" panose="020B0604020202020204" pitchFamily="34" charset="0"/>
                        <a:cs typeface="Arial" panose="020B0604020202020204" pitchFamily="34" charset="0"/>
                      </a:rPr>
                      <a:t> no answer</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w="20131">
                <a:noFill/>
              </a:ln>
            </c:spPr>
            <c:txPr>
              <a:bodyPr/>
              <a:lstStyle/>
              <a:p>
                <a:pPr>
                  <a:defRPr sz="713" b="1">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Sheet1!$A$2:$A$7</c:f>
              <c:strCache>
                <c:ptCount val="4"/>
                <c:pt idx="0">
                  <c:v>1st Qtr</c:v>
                </c:pt>
                <c:pt idx="1">
                  <c:v>2nd Qtr</c:v>
                </c:pt>
                <c:pt idx="2">
                  <c:v>3rd Qtr</c:v>
                </c:pt>
                <c:pt idx="3">
                  <c:v>4th Qtr</c:v>
                </c:pt>
              </c:strCache>
            </c:strRef>
          </c:cat>
          <c:val>
            <c:numRef>
              <c:f>Sheet1!$B$2:$B$7</c:f>
              <c:numCache>
                <c:formatCode>General</c:formatCode>
                <c:ptCount val="6"/>
                <c:pt idx="0">
                  <c:v>97</c:v>
                </c:pt>
                <c:pt idx="1">
                  <c:v>163</c:v>
                </c:pt>
                <c:pt idx="2">
                  <c:v>275</c:v>
                </c:pt>
                <c:pt idx="3">
                  <c:v>260</c:v>
                </c:pt>
                <c:pt idx="4">
                  <c:v>108</c:v>
                </c:pt>
                <c:pt idx="5">
                  <c:v>88</c:v>
                </c:pt>
              </c:numCache>
            </c:numRef>
          </c:val>
        </c:ser>
        <c:dLbls>
          <c:showLegendKey val="0"/>
          <c:showVal val="0"/>
          <c:showCatName val="0"/>
          <c:showSerName val="0"/>
          <c:showPercent val="0"/>
          <c:showBubbleSize val="0"/>
          <c:showLeaderLines val="0"/>
        </c:dLbls>
        <c:firstSliceAng val="0"/>
      </c:pieChart>
      <c:spPr>
        <a:noFill/>
        <a:ln w="20131">
          <a:no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dLbl>
              <c:idx val="0"/>
              <c:layout>
                <c:manualLayout>
                  <c:x val="-3.2941173419066841E-2"/>
                  <c:y val="0"/>
                </c:manualLayout>
              </c:layout>
              <c:tx>
                <c:rich>
                  <a:bodyPr/>
                  <a:lstStyle/>
                  <a:p>
                    <a:r>
                      <a:rPr lang="en-US" sz="713" b="1">
                        <a:latin typeface="Arial" panose="020B0604020202020204" pitchFamily="34" charset="0"/>
                        <a:cs typeface="Arial" panose="020B0604020202020204" pitchFamily="34" charset="0"/>
                      </a:rPr>
                      <a:t>Not at all protected</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0574282645884112E-3"/>
                  <c:y val="1.8662072661955471E-2"/>
                </c:manualLayout>
              </c:layout>
              <c:tx>
                <c:rich>
                  <a:bodyPr/>
                  <a:lstStyle/>
                  <a:p>
                    <a:r>
                      <a:rPr lang="en-US" sz="713" b="1">
                        <a:latin typeface="Arial" panose="020B0604020202020204" pitchFamily="34" charset="0"/>
                        <a:cs typeface="Arial" panose="020B0604020202020204" pitchFamily="34" charset="0"/>
                      </a:rPr>
                      <a:t>Slightly protected</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713" b="1">
                        <a:latin typeface="Arial" panose="020B0604020202020204" pitchFamily="34" charset="0"/>
                        <a:cs typeface="Arial" panose="020B0604020202020204" pitchFamily="34" charset="0"/>
                      </a:rPr>
                      <a:t>Moderately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sz="713" b="1">
                        <a:latin typeface="Arial" panose="020B0604020202020204" pitchFamily="34" charset="0"/>
                        <a:cs typeface="Arial" panose="020B0604020202020204" pitchFamily="34" charset="0"/>
                      </a:rPr>
                      <a:t>Well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sz="713" b="1">
                        <a:latin typeface="Arial" panose="020B0604020202020204" pitchFamily="34" charset="0"/>
                        <a:cs typeface="Arial" panose="020B0604020202020204" pitchFamily="34" charset="0"/>
                      </a:rPr>
                      <a:t>Extremely well</a:t>
                    </a:r>
                    <a:r>
                      <a:rPr lang="en-US" sz="713" b="1" baseline="0">
                        <a:latin typeface="Arial" panose="020B0604020202020204" pitchFamily="34" charset="0"/>
                        <a:cs typeface="Arial" panose="020B0604020202020204" pitchFamily="34" charset="0"/>
                      </a:rPr>
                      <a:t>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sz="713" b="1">
                        <a:latin typeface="Arial" panose="020B0604020202020204" pitchFamily="34" charset="0"/>
                        <a:cs typeface="Arial" panose="020B0604020202020204" pitchFamily="34" charset="0"/>
                      </a:rPr>
                      <a:t>Not sure / no answer</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w="20125">
                <a:noFill/>
              </a:ln>
            </c:spPr>
            <c:txPr>
              <a:bodyPr/>
              <a:lstStyle/>
              <a:p>
                <a:pPr>
                  <a:defRPr sz="713" b="1">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Sheet1!$A$2:$A$7</c:f>
              <c:strCache>
                <c:ptCount val="4"/>
                <c:pt idx="0">
                  <c:v>1st Qtr</c:v>
                </c:pt>
                <c:pt idx="1">
                  <c:v>2nd Qtr</c:v>
                </c:pt>
                <c:pt idx="2">
                  <c:v>3rd Qtr</c:v>
                </c:pt>
                <c:pt idx="3">
                  <c:v>4th Qtr</c:v>
                </c:pt>
              </c:strCache>
            </c:strRef>
          </c:cat>
          <c:val>
            <c:numRef>
              <c:f>Sheet1!$B$2:$B$7</c:f>
              <c:numCache>
                <c:formatCode>General</c:formatCode>
                <c:ptCount val="6"/>
                <c:pt idx="0">
                  <c:v>71</c:v>
                </c:pt>
                <c:pt idx="1">
                  <c:v>109</c:v>
                </c:pt>
                <c:pt idx="2">
                  <c:v>198</c:v>
                </c:pt>
                <c:pt idx="3">
                  <c:v>220</c:v>
                </c:pt>
                <c:pt idx="4">
                  <c:v>100</c:v>
                </c:pt>
                <c:pt idx="5">
                  <c:v>293</c:v>
                </c:pt>
              </c:numCache>
            </c:numRef>
          </c:val>
        </c:ser>
        <c:dLbls>
          <c:showLegendKey val="0"/>
          <c:showVal val="0"/>
          <c:showCatName val="0"/>
          <c:showSerName val="0"/>
          <c:showPercent val="0"/>
          <c:showBubbleSize val="0"/>
          <c:showLeaderLines val="0"/>
        </c:dLbls>
        <c:firstSliceAng val="0"/>
      </c:pieChart>
      <c:spPr>
        <a:noFill/>
        <a:ln w="20125">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dLbl>
              <c:idx val="0"/>
              <c:layout>
                <c:manualLayout>
                  <c:x val="-3.2941173419066841E-2"/>
                  <c:y val="0"/>
                </c:manualLayout>
              </c:layout>
              <c:tx>
                <c:rich>
                  <a:bodyPr/>
                  <a:lstStyle/>
                  <a:p>
                    <a:r>
                      <a:rPr lang="en-US" sz="713" b="1">
                        <a:latin typeface="Arial" panose="020B0604020202020204" pitchFamily="34" charset="0"/>
                        <a:cs typeface="Arial" panose="020B0604020202020204" pitchFamily="34" charset="0"/>
                      </a:rPr>
                      <a:t>Not at all protected</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0574282645884112E-3"/>
                  <c:y val="1.8662072661955471E-2"/>
                </c:manualLayout>
              </c:layout>
              <c:tx>
                <c:rich>
                  <a:bodyPr/>
                  <a:lstStyle/>
                  <a:p>
                    <a:r>
                      <a:rPr lang="en-US" sz="713" b="1">
                        <a:latin typeface="Arial" panose="020B0604020202020204" pitchFamily="34" charset="0"/>
                        <a:cs typeface="Arial" panose="020B0604020202020204" pitchFamily="34" charset="0"/>
                      </a:rPr>
                      <a:t>Slightly protected</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713" b="1">
                        <a:latin typeface="Arial" panose="020B0604020202020204" pitchFamily="34" charset="0"/>
                        <a:cs typeface="Arial" panose="020B0604020202020204" pitchFamily="34" charset="0"/>
                      </a:rPr>
                      <a:t>Moderately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sz="713" b="1">
                        <a:latin typeface="Arial" panose="020B0604020202020204" pitchFamily="34" charset="0"/>
                        <a:cs typeface="Arial" panose="020B0604020202020204" pitchFamily="34" charset="0"/>
                      </a:rPr>
                      <a:t>Well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sz="713" b="1">
                        <a:latin typeface="Arial" panose="020B0604020202020204" pitchFamily="34" charset="0"/>
                        <a:cs typeface="Arial" panose="020B0604020202020204" pitchFamily="34" charset="0"/>
                      </a:rPr>
                      <a:t>Extremely well</a:t>
                    </a:r>
                    <a:r>
                      <a:rPr lang="en-US" sz="713" b="1" baseline="0">
                        <a:latin typeface="Arial" panose="020B0604020202020204" pitchFamily="34" charset="0"/>
                        <a:cs typeface="Arial" panose="020B0604020202020204" pitchFamily="34" charset="0"/>
                      </a:rPr>
                      <a:t> protected</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sz="713" b="1">
                        <a:latin typeface="Arial" panose="020B0604020202020204" pitchFamily="34" charset="0"/>
                        <a:cs typeface="Arial" panose="020B0604020202020204" pitchFamily="34" charset="0"/>
                      </a:rPr>
                      <a:t>Not sure / no answer</a:t>
                    </a:r>
                    <a:endParaRPr lang="en-US"/>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w="20125">
                <a:noFill/>
              </a:ln>
            </c:spPr>
            <c:txPr>
              <a:bodyPr/>
              <a:lstStyle/>
              <a:p>
                <a:pPr>
                  <a:defRPr sz="713" b="1">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Sheet1!$A$2:$A$7</c:f>
              <c:strCache>
                <c:ptCount val="4"/>
                <c:pt idx="0">
                  <c:v>1st Qtr</c:v>
                </c:pt>
                <c:pt idx="1">
                  <c:v>2nd Qtr</c:v>
                </c:pt>
                <c:pt idx="2">
                  <c:v>3rd Qtr</c:v>
                </c:pt>
                <c:pt idx="3">
                  <c:v>4th Qtr</c:v>
                </c:pt>
              </c:strCache>
            </c:strRef>
          </c:cat>
          <c:val>
            <c:numRef>
              <c:f>Sheet1!$B$2:$B$7</c:f>
              <c:numCache>
                <c:formatCode>General</c:formatCode>
                <c:ptCount val="6"/>
                <c:pt idx="0">
                  <c:v>71</c:v>
                </c:pt>
                <c:pt idx="1">
                  <c:v>109</c:v>
                </c:pt>
                <c:pt idx="2">
                  <c:v>198</c:v>
                </c:pt>
                <c:pt idx="3">
                  <c:v>220</c:v>
                </c:pt>
                <c:pt idx="4">
                  <c:v>100</c:v>
                </c:pt>
                <c:pt idx="5">
                  <c:v>293</c:v>
                </c:pt>
              </c:numCache>
            </c:numRef>
          </c:val>
        </c:ser>
        <c:dLbls>
          <c:showLegendKey val="0"/>
          <c:showVal val="0"/>
          <c:showCatName val="0"/>
          <c:showSerName val="0"/>
          <c:showPercent val="0"/>
          <c:showBubbleSize val="0"/>
          <c:showLeaderLines val="0"/>
        </c:dLbls>
        <c:firstSliceAng val="0"/>
      </c:pieChart>
      <c:spPr>
        <a:noFill/>
        <a:ln w="20125">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5B69-FFCF-41CF-93B6-1A90B2A7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69</TotalTime>
  <Pages>51</Pages>
  <Words>14667</Words>
  <Characters>83608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98079</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Louise Bygrave</dc:creator>
  <cp:lastModifiedBy>Louise Bygrave</cp:lastModifiedBy>
  <cp:revision>6</cp:revision>
  <cp:lastPrinted>2015-02-26T05:14:00Z</cp:lastPrinted>
  <dcterms:created xsi:type="dcterms:W3CDTF">2015-03-13T07:48:00Z</dcterms:created>
  <dcterms:modified xsi:type="dcterms:W3CDTF">2015-05-31T23:23:00Z</dcterms:modified>
</cp:coreProperties>
</file>