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DA40" w14:textId="5015587F" w:rsidR="000E6904" w:rsidRPr="000E6904" w:rsidRDefault="000E6904">
      <w:pPr>
        <w:rPr>
          <w:b/>
          <w:bCs/>
        </w:rPr>
      </w:pPr>
      <w:r w:rsidRPr="000E6904">
        <w:rPr>
          <w:b/>
          <w:bCs/>
        </w:rPr>
        <w:t xml:space="preserve">Appendix </w:t>
      </w:r>
      <w:r w:rsidR="00CB7246">
        <w:rPr>
          <w:b/>
          <w:bCs/>
        </w:rPr>
        <w:t>4</w:t>
      </w:r>
      <w:r w:rsidRPr="000E6904">
        <w:rPr>
          <w:b/>
          <w:bCs/>
        </w:rPr>
        <w:t>: Executive Remuneration</w:t>
      </w:r>
    </w:p>
    <w:p w14:paraId="15F86D94" w14:textId="5CBCFF6C" w:rsidR="00C51DC7" w:rsidRDefault="00341879">
      <w:r>
        <w:t xml:space="preserve">This appendix contains information about the remuneration of the Australian Human Rights </w:t>
      </w:r>
      <w:r w:rsidR="00C40FDA">
        <w:t>Commission (</w:t>
      </w:r>
      <w:r w:rsidR="00F42B8C">
        <w:t>the Commission</w:t>
      </w:r>
      <w:r>
        <w:t>) key management personnel and Senior Executive Service</w:t>
      </w:r>
      <w:r w:rsidR="009F0446">
        <w:t>.</w:t>
      </w:r>
    </w:p>
    <w:p w14:paraId="769080AF" w14:textId="77777777" w:rsidR="00341879" w:rsidRPr="00A57332" w:rsidRDefault="00341879">
      <w:pPr>
        <w:rPr>
          <w:b/>
          <w:bCs/>
        </w:rPr>
      </w:pPr>
      <w:r w:rsidRPr="00A57332">
        <w:rPr>
          <w:b/>
          <w:bCs/>
        </w:rPr>
        <w:t>Key Management Personnel</w:t>
      </w:r>
    </w:p>
    <w:p w14:paraId="20A5A313" w14:textId="79545881" w:rsidR="00341879" w:rsidRDefault="00341879">
      <w:r>
        <w:t xml:space="preserve">The </w:t>
      </w:r>
      <w:r w:rsidR="00F42B8C">
        <w:t xml:space="preserve">Commission </w:t>
      </w:r>
      <w:r>
        <w:t>has determined that our key management personnel (KMP) are the President, Commissioners</w:t>
      </w:r>
      <w:r w:rsidR="00EF7AF6">
        <w:t>,</w:t>
      </w:r>
      <w:r>
        <w:t xml:space="preserve"> </w:t>
      </w:r>
      <w:r w:rsidR="00F42B8C">
        <w:t>Senior Executive Service</w:t>
      </w:r>
      <w:r>
        <w:t xml:space="preserve"> </w:t>
      </w:r>
      <w:r w:rsidR="008C4817">
        <w:t xml:space="preserve">(SES) </w:t>
      </w:r>
      <w:r>
        <w:t>Officer</w:t>
      </w:r>
      <w:r w:rsidR="00F42B8C">
        <w:t>s</w:t>
      </w:r>
      <w:r w:rsidR="00EF7AF6">
        <w:t xml:space="preserve">, </w:t>
      </w:r>
      <w:r w:rsidR="00F42B8C">
        <w:t xml:space="preserve">General Counsel and </w:t>
      </w:r>
      <w:r w:rsidR="00EF7AF6">
        <w:t>Chief Finance Officer</w:t>
      </w:r>
      <w:r>
        <w:t xml:space="preserve"> for the duration of the reporting period. The Race and Disability Discrimination Commissioner appointments both changed during the reporting period.</w:t>
      </w:r>
    </w:p>
    <w:p w14:paraId="0CCFB3E8" w14:textId="77777777" w:rsidR="0053061E" w:rsidRDefault="0053061E">
      <w:r>
        <w:br w:type="page"/>
      </w:r>
    </w:p>
    <w:p w14:paraId="165DD857" w14:textId="52F14422" w:rsidR="00E45020" w:rsidRDefault="00E45020">
      <w:r>
        <w:lastRenderedPageBreak/>
        <w:t xml:space="preserve">The Names </w:t>
      </w:r>
      <w:r w:rsidR="00F57BF6">
        <w:t xml:space="preserve">of KMP </w:t>
      </w:r>
      <w:r>
        <w:t xml:space="preserve">and </w:t>
      </w:r>
      <w:r w:rsidR="00F57BF6">
        <w:t>their</w:t>
      </w:r>
      <w:r>
        <w:t xml:space="preserve"> term as KMP are summarised below</w:t>
      </w:r>
      <w:r w:rsidR="00E46BE2">
        <w:t>:</w:t>
      </w:r>
    </w:p>
    <w:tbl>
      <w:tblPr>
        <w:tblpPr w:leftFromText="180" w:rightFromText="180" w:vertAnchor="text" w:horzAnchor="margin" w:tblpY="33"/>
        <w:tblW w:w="13512" w:type="dxa"/>
        <w:tblLook w:val="04A0" w:firstRow="1" w:lastRow="0" w:firstColumn="1" w:lastColumn="0" w:noHBand="0" w:noVBand="1"/>
      </w:tblPr>
      <w:tblGrid>
        <w:gridCol w:w="2962"/>
        <w:gridCol w:w="5670"/>
        <w:gridCol w:w="4880"/>
      </w:tblGrid>
      <w:tr w:rsidR="00100B3D" w:rsidRPr="00100B3D" w14:paraId="6727FA31" w14:textId="77777777" w:rsidTr="00D71EA1">
        <w:trPr>
          <w:trHeight w:val="312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1AC84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41182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Position title</w:t>
            </w:r>
          </w:p>
        </w:tc>
        <w:tc>
          <w:tcPr>
            <w:tcW w:w="4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E05BA1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Term As KMP</w:t>
            </w:r>
          </w:p>
        </w:tc>
      </w:tr>
      <w:tr w:rsidR="00100B3D" w:rsidRPr="00100B3D" w14:paraId="6D5AC7E3" w14:textId="77777777" w:rsidTr="00D71EA1">
        <w:trPr>
          <w:trHeight w:val="300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60751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Rosalind Croucher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4355E9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President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43C149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30CCB19D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B33C69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Alastair McEwin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1662E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Disability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59CAFB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Part Year - Termi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ated on 3 April 2019</w:t>
            </w:r>
          </w:p>
        </w:tc>
      </w:tr>
      <w:tr w:rsidR="00100B3D" w:rsidRPr="00100B3D" w14:paraId="78286280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C690E1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Ben Gauntlett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0CE18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Disability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F5E10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Part Year- Appointed 7 May 2019</w:t>
            </w:r>
          </w:p>
        </w:tc>
      </w:tr>
      <w:tr w:rsidR="00100B3D" w:rsidRPr="00100B3D" w14:paraId="1432278B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57CEC6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Kate Jenkins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44897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Sex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818758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2608E718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23BA8A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June Oscar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B81F11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Aboriginal and Torres Strait Islander Social Justice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CAE55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0B55EB02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65311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Tim </w:t>
            </w:r>
            <w:proofErr w:type="spellStart"/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Soutphommasane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D9ABA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Race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5AC75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Part Year - Terminated on 19 August 2018</w:t>
            </w:r>
          </w:p>
        </w:tc>
      </w:tr>
      <w:tr w:rsidR="00100B3D" w:rsidRPr="00100B3D" w14:paraId="051829A6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571C8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 Tan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8AFF7E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Race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845BD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Part Year - Appointed 8 October 2018</w:t>
            </w:r>
          </w:p>
        </w:tc>
      </w:tr>
      <w:tr w:rsidR="00100B3D" w:rsidRPr="00100B3D" w14:paraId="1D5E137E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26B72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Kay Patterson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0B958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Age Discrimination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3695E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462468DE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E822B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Megan Mitchell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48AB4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National Children's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FA087C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4FA15B73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7F518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Edward Santow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E2A1DD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Human Rights Commissioner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876C5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05A36364" w14:textId="77777777" w:rsidTr="00D71EA1">
        <w:trPr>
          <w:trHeight w:val="288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E3C97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Padma Raman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A769AF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Chief Executive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8E5018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5A0395" w:rsidRPr="00100B3D" w14:paraId="45192158" w14:textId="77777777" w:rsidTr="00D71EA1">
        <w:trPr>
          <w:trHeight w:val="300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01016" w14:textId="3FB3AEC3" w:rsidR="005A0395" w:rsidRPr="005A0395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A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Julie O’Brien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5D576" w14:textId="1AA4C8E9" w:rsidR="005A0395" w:rsidRPr="005A0395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A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General Counsel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DAF5EC" w14:textId="124197AF" w:rsidR="005A0395" w:rsidRPr="005A0395" w:rsidRDefault="005A0395" w:rsidP="00100B3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5A0395">
              <w:rPr>
                <w:rFonts w:eastAsia="Times New Roman" w:cstheme="minorHAnsi"/>
                <w:color w:val="000000"/>
                <w:lang w:eastAsia="en-AU"/>
              </w:rPr>
              <w:t>Full Year</w:t>
            </w:r>
          </w:p>
        </w:tc>
      </w:tr>
      <w:tr w:rsidR="00100B3D" w:rsidRPr="00100B3D" w14:paraId="405B74F1" w14:textId="77777777" w:rsidTr="00D71EA1">
        <w:trPr>
          <w:trHeight w:val="30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28AF6B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Darrell Yesberg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E8FA2" w14:textId="77777777" w:rsidR="00100B3D" w:rsidRPr="00100B3D" w:rsidRDefault="00100B3D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100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Chief Finance Officer</w:t>
            </w:r>
          </w:p>
        </w:tc>
        <w:tc>
          <w:tcPr>
            <w:tcW w:w="4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392C0B" w14:textId="77777777" w:rsidR="00100B3D" w:rsidRPr="00100B3D" w:rsidRDefault="00100B3D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00B3D"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5A0395" w:rsidRPr="00100B3D" w14:paraId="439C9FAC" w14:textId="77777777" w:rsidTr="00D71EA1">
        <w:trPr>
          <w:trHeight w:val="30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CB731" w14:textId="56204597" w:rsidR="005A0395" w:rsidRPr="00100B3D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Natasha De Silva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ADFD" w14:textId="348CBB24" w:rsidR="005A0395" w:rsidRPr="00100B3D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Senior Policy Executive</w:t>
            </w:r>
          </w:p>
        </w:tc>
        <w:tc>
          <w:tcPr>
            <w:tcW w:w="4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CB9EEB" w14:textId="463D7147" w:rsidR="005A0395" w:rsidRPr="00100B3D" w:rsidRDefault="005A0395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5A0395" w:rsidRPr="00100B3D" w14:paraId="44A06150" w14:textId="77777777" w:rsidTr="00D71EA1">
        <w:trPr>
          <w:trHeight w:val="30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A70A" w14:textId="52A8F6BC" w:rsidR="005A0395" w:rsidRPr="00100B3D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Darren Dick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B1B79" w14:textId="4CB69186" w:rsidR="005A0395" w:rsidRPr="00100B3D" w:rsidRDefault="005A0395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Senior Policy Execut</w:t>
            </w:r>
            <w:r w:rsidR="00D7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ive</w:t>
            </w:r>
          </w:p>
        </w:tc>
        <w:tc>
          <w:tcPr>
            <w:tcW w:w="4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C9DFEC" w14:textId="1FCFE10B" w:rsidR="005A0395" w:rsidRPr="00100B3D" w:rsidRDefault="00D71EA1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  <w:tr w:rsidR="00D71EA1" w:rsidRPr="00100B3D" w14:paraId="68E3A402" w14:textId="77777777" w:rsidTr="00D71EA1">
        <w:trPr>
          <w:trHeight w:val="300"/>
        </w:trPr>
        <w:tc>
          <w:tcPr>
            <w:tcW w:w="2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D607" w14:textId="749312DB" w:rsidR="00D71EA1" w:rsidRDefault="00D71EA1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Rachel Holt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7AC7A" w14:textId="7C8E4730" w:rsidR="00D71EA1" w:rsidRDefault="00D71EA1" w:rsidP="0010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Senior Executive Investigation &amp; Conciliation</w:t>
            </w:r>
          </w:p>
        </w:tc>
        <w:tc>
          <w:tcPr>
            <w:tcW w:w="488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D0874E" w14:textId="2B1EEED4" w:rsidR="00D71EA1" w:rsidRDefault="00D71EA1" w:rsidP="00100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Full Year</w:t>
            </w:r>
          </w:p>
        </w:tc>
      </w:tr>
    </w:tbl>
    <w:p w14:paraId="109DB1CB" w14:textId="5FAAFE9C" w:rsidR="004B06D9" w:rsidRDefault="004B06D9">
      <w:pPr>
        <w:rPr>
          <w:noProof/>
        </w:rPr>
      </w:pPr>
      <w:r w:rsidRPr="004975A9">
        <w:rPr>
          <w:noProof/>
        </w:rPr>
        <w:drawing>
          <wp:inline distT="0" distB="0" distL="0" distR="0" wp14:anchorId="3DF69857" wp14:editId="62C6E260">
            <wp:extent cx="6819900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34"/>
                    <a:stretch/>
                  </pic:blipFill>
                  <pic:spPr bwMode="auto">
                    <a:xfrm>
                      <a:off x="0" y="0"/>
                      <a:ext cx="681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F7495" w14:textId="33D45575" w:rsidR="00E45020" w:rsidRDefault="00E45020"/>
    <w:p w14:paraId="0D6DE027" w14:textId="03F8BA6B" w:rsidR="00341879" w:rsidRDefault="00341879">
      <w:r>
        <w:t xml:space="preserve">Details for KMP remuneration </w:t>
      </w:r>
      <w:r w:rsidR="00965547">
        <w:t xml:space="preserve">for the period ended 30 June 2019 </w:t>
      </w:r>
      <w:r>
        <w:t xml:space="preserve">are in note 4.2 of the financial statements. Disaggregated information is shown in table </w:t>
      </w:r>
      <w:r w:rsidR="00D321A0">
        <w:t xml:space="preserve">at </w:t>
      </w:r>
      <w:r w:rsidR="00F42B8C" w:rsidRPr="00D71EA1">
        <w:t>note 4.5</w:t>
      </w:r>
      <w:r w:rsidR="00F42B8C" w:rsidRPr="00100B3D">
        <w:t xml:space="preserve"> </w:t>
      </w:r>
      <w:r w:rsidR="00D321A0" w:rsidRPr="00100B3D">
        <w:t xml:space="preserve">of </w:t>
      </w:r>
      <w:r w:rsidR="00D321A0">
        <w:t xml:space="preserve">the financial statements </w:t>
      </w:r>
      <w:r>
        <w:t xml:space="preserve">and is prepared in accordance with </w:t>
      </w:r>
      <w:r w:rsidRPr="00C40FDA">
        <w:rPr>
          <w:i/>
          <w:iCs/>
        </w:rPr>
        <w:t xml:space="preserve">the Public Governance, Performance and </w:t>
      </w:r>
      <w:r w:rsidR="00C40FDA" w:rsidRPr="00C40FDA">
        <w:rPr>
          <w:i/>
          <w:iCs/>
        </w:rPr>
        <w:t>Accountability</w:t>
      </w:r>
      <w:r w:rsidRPr="00C40FDA">
        <w:rPr>
          <w:i/>
          <w:iCs/>
        </w:rPr>
        <w:t xml:space="preserve"> Rule 2014</w:t>
      </w:r>
      <w:r>
        <w:t xml:space="preserve"> (PGPA Rule) and </w:t>
      </w:r>
      <w:r w:rsidR="00C40FDA" w:rsidRPr="00C40FDA">
        <w:rPr>
          <w:i/>
          <w:iCs/>
        </w:rPr>
        <w:t>Commonwealth</w:t>
      </w:r>
      <w:r w:rsidRPr="00C40FDA">
        <w:rPr>
          <w:i/>
          <w:iCs/>
        </w:rPr>
        <w:t xml:space="preserve"> Entities Executive Remuneration </w:t>
      </w:r>
      <w:r w:rsidR="00C40FDA" w:rsidRPr="00C40FDA">
        <w:rPr>
          <w:i/>
          <w:iCs/>
        </w:rPr>
        <w:t>Reporting</w:t>
      </w:r>
      <w:r w:rsidRPr="00C40FDA">
        <w:rPr>
          <w:i/>
          <w:iCs/>
        </w:rPr>
        <w:t xml:space="preserve"> Guide for Annual Reports</w:t>
      </w:r>
      <w:r w:rsidR="00C40FDA" w:rsidRPr="00C40FDA">
        <w:rPr>
          <w:i/>
          <w:iCs/>
        </w:rPr>
        <w:t>, Resource Management Guide No</w:t>
      </w:r>
      <w:r w:rsidR="00C40FDA">
        <w:rPr>
          <w:i/>
          <w:iCs/>
        </w:rPr>
        <w:t>.</w:t>
      </w:r>
      <w:r w:rsidR="00C40FDA" w:rsidRPr="00C40FDA">
        <w:rPr>
          <w:i/>
          <w:iCs/>
        </w:rPr>
        <w:t xml:space="preserve"> 138</w:t>
      </w:r>
      <w:r w:rsidR="00C40FDA">
        <w:t xml:space="preserve"> (April 2018)</w:t>
      </w:r>
      <w:r w:rsidR="00466A40">
        <w:t>.</w:t>
      </w:r>
    </w:p>
    <w:p w14:paraId="7A74E856" w14:textId="77777777" w:rsidR="0053061E" w:rsidRDefault="0053061E">
      <w:pPr>
        <w:rPr>
          <w:b/>
          <w:bCs/>
        </w:rPr>
      </w:pPr>
      <w:r>
        <w:rPr>
          <w:b/>
          <w:bCs/>
        </w:rPr>
        <w:br w:type="page"/>
      </w:r>
    </w:p>
    <w:p w14:paraId="4B3D0040" w14:textId="17357FCF" w:rsidR="00A57332" w:rsidRPr="00A57332" w:rsidRDefault="00A57332">
      <w:pPr>
        <w:rPr>
          <w:b/>
          <w:bCs/>
        </w:rPr>
      </w:pPr>
      <w:r w:rsidRPr="00A57332">
        <w:rPr>
          <w:b/>
          <w:bCs/>
        </w:rPr>
        <w:lastRenderedPageBreak/>
        <w:t>Remuneration Policies and Practices</w:t>
      </w:r>
    </w:p>
    <w:p w14:paraId="7E3F670C" w14:textId="77777777" w:rsidR="00A57332" w:rsidRDefault="00A57332">
      <w:r w:rsidRPr="00A57332">
        <w:t xml:space="preserve">Remuneration for the President and Commissioner’s is set by the Remuneration Tribunal. The Remuneration Tribunal </w:t>
      </w:r>
      <w:r w:rsidR="00E45020">
        <w:t xml:space="preserve">also </w:t>
      </w:r>
      <w:r w:rsidRPr="00A57332">
        <w:t xml:space="preserve">determines increases to remuneration and allowances. </w:t>
      </w:r>
    </w:p>
    <w:p w14:paraId="6161225B" w14:textId="05FF504A" w:rsidR="00A57332" w:rsidRDefault="00A57332">
      <w:r>
        <w:t xml:space="preserve">The </w:t>
      </w:r>
      <w:r w:rsidR="00D321A0">
        <w:t>Commission</w:t>
      </w:r>
      <w:r>
        <w:t xml:space="preserve">’s remuneration for SES </w:t>
      </w:r>
      <w:r w:rsidR="00EE151C">
        <w:t xml:space="preserve">and other highly paid </w:t>
      </w:r>
      <w:r>
        <w:t>staff is determined by</w:t>
      </w:r>
      <w:r w:rsidR="00EE151C">
        <w:t xml:space="preserve"> the </w:t>
      </w:r>
      <w:r>
        <w:t>President under</w:t>
      </w:r>
      <w:r w:rsidR="008C4817">
        <w:t xml:space="preserve"> </w:t>
      </w:r>
      <w:r>
        <w:t>S24</w:t>
      </w:r>
      <w:r w:rsidR="00EE151C">
        <w:t>(</w:t>
      </w:r>
      <w:r>
        <w:t>1</w:t>
      </w:r>
      <w:r w:rsidR="00EE151C">
        <w:t>)</w:t>
      </w:r>
      <w:r>
        <w:t xml:space="preserve"> of the </w:t>
      </w:r>
      <w:r w:rsidRPr="00D71EA1">
        <w:rPr>
          <w:i/>
          <w:iCs/>
        </w:rPr>
        <w:t>Public Service Act 1999</w:t>
      </w:r>
      <w:r>
        <w:t xml:space="preserve">. When determining SES </w:t>
      </w:r>
      <w:r w:rsidR="00EE151C">
        <w:t>and other highly paid staff remuneration,</w:t>
      </w:r>
      <w:r>
        <w:t xml:space="preserve"> the </w:t>
      </w:r>
      <w:r w:rsidR="00EE151C">
        <w:t>President has regard to the Australian Public Service Remuneration report and comparable agencies.</w:t>
      </w:r>
    </w:p>
    <w:p w14:paraId="666FE595" w14:textId="77777777" w:rsidR="00EE151C" w:rsidRDefault="00EE151C">
      <w:r>
        <w:t xml:space="preserve">SES determinations set out salary on commencement and provide for increments of salary, in line with percentage increases awarded to the Commissioners by the Remuneration Tribunal. </w:t>
      </w:r>
    </w:p>
    <w:p w14:paraId="6DC76DE0" w14:textId="7FF5F633" w:rsidR="00EE151C" w:rsidRDefault="00EE151C">
      <w:pPr>
        <w:rPr>
          <w:b/>
          <w:bCs/>
        </w:rPr>
      </w:pPr>
      <w:r w:rsidRPr="00B76A5D">
        <w:rPr>
          <w:b/>
          <w:bCs/>
        </w:rPr>
        <w:t>Table KMP Remuneration</w:t>
      </w:r>
    </w:p>
    <w:p w14:paraId="19F2F313" w14:textId="423A6DC2" w:rsidR="008E3698" w:rsidRDefault="002161C2">
      <w:pPr>
        <w:rPr>
          <w:b/>
          <w:bCs/>
        </w:rPr>
      </w:pPr>
      <w:r w:rsidRPr="002161C2">
        <w:rPr>
          <w:noProof/>
        </w:rPr>
        <w:drawing>
          <wp:inline distT="0" distB="0" distL="0" distR="0" wp14:anchorId="79D0909B" wp14:editId="57616006">
            <wp:extent cx="8863330" cy="27959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532F" w14:textId="02EB63DB" w:rsidR="00E45020" w:rsidRDefault="00E45020">
      <w:pPr>
        <w:rPr>
          <w:b/>
          <w:bCs/>
        </w:rPr>
      </w:pPr>
    </w:p>
    <w:sectPr w:rsidR="00E45020" w:rsidSect="00CB7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83FBE" w14:textId="77777777" w:rsidR="00163E03" w:rsidRDefault="00163E03" w:rsidP="00AA636F">
      <w:pPr>
        <w:spacing w:after="0" w:line="240" w:lineRule="auto"/>
      </w:pPr>
      <w:r>
        <w:separator/>
      </w:r>
    </w:p>
  </w:endnote>
  <w:endnote w:type="continuationSeparator" w:id="0">
    <w:p w14:paraId="028C935D" w14:textId="77777777" w:rsidR="00163E03" w:rsidRDefault="00163E03" w:rsidP="00AA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5787" w14:textId="77777777" w:rsidR="00CB7246" w:rsidRDefault="00CB7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696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DB062" w14:textId="53AE999E" w:rsidR="00CB7246" w:rsidRDefault="00CB7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A8A3F" w14:textId="5A57BD63" w:rsidR="00AA636F" w:rsidRDefault="00AA636F" w:rsidP="00CB724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CDB0" w14:textId="77777777" w:rsidR="00CB7246" w:rsidRDefault="00CB7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D97C3" w14:textId="77777777" w:rsidR="00163E03" w:rsidRDefault="00163E03" w:rsidP="00AA636F">
      <w:pPr>
        <w:spacing w:after="0" w:line="240" w:lineRule="auto"/>
      </w:pPr>
      <w:r>
        <w:separator/>
      </w:r>
    </w:p>
  </w:footnote>
  <w:footnote w:type="continuationSeparator" w:id="0">
    <w:p w14:paraId="09E5DCAA" w14:textId="77777777" w:rsidR="00163E03" w:rsidRDefault="00163E03" w:rsidP="00AA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E180" w14:textId="77777777" w:rsidR="00CB7246" w:rsidRDefault="00CB7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ED0D" w14:textId="77777777" w:rsidR="00AA636F" w:rsidRDefault="00AA636F">
    <w:pPr>
      <w:pStyle w:val="Header"/>
    </w:pPr>
    <w:r>
      <w:t>Addendum:</w:t>
    </w:r>
  </w:p>
  <w:p w14:paraId="19107B6B" w14:textId="1899BDF7" w:rsidR="00AA636F" w:rsidRDefault="00AA636F">
    <w:pPr>
      <w:pStyle w:val="Header"/>
    </w:pPr>
    <w:r>
      <w:t xml:space="preserve">Australian Human Rights Commission Annual Report 2018-19 Appendix 4. Replacing Pages </w:t>
    </w:r>
    <w:r w:rsidR="00CB7246">
      <w:t>94-99</w:t>
    </w:r>
  </w:p>
  <w:p w14:paraId="149FFEDE" w14:textId="77777777" w:rsidR="00AA636F" w:rsidRDefault="00AA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1CCAA" w14:textId="77777777" w:rsidR="00CB7246" w:rsidRDefault="00CB7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9"/>
    <w:rsid w:val="00086C83"/>
    <w:rsid w:val="000E6904"/>
    <w:rsid w:val="00100B3D"/>
    <w:rsid w:val="00163E03"/>
    <w:rsid w:val="002161C2"/>
    <w:rsid w:val="0030074D"/>
    <w:rsid w:val="00341879"/>
    <w:rsid w:val="00466A40"/>
    <w:rsid w:val="004975A9"/>
    <w:rsid w:val="004B06D9"/>
    <w:rsid w:val="0053061E"/>
    <w:rsid w:val="00585FCB"/>
    <w:rsid w:val="005A0395"/>
    <w:rsid w:val="008C4817"/>
    <w:rsid w:val="008E3698"/>
    <w:rsid w:val="00965547"/>
    <w:rsid w:val="009F0446"/>
    <w:rsid w:val="00A57332"/>
    <w:rsid w:val="00AA636F"/>
    <w:rsid w:val="00B76A5D"/>
    <w:rsid w:val="00C40FDA"/>
    <w:rsid w:val="00C51DC7"/>
    <w:rsid w:val="00CB7246"/>
    <w:rsid w:val="00D321A0"/>
    <w:rsid w:val="00D71EA1"/>
    <w:rsid w:val="00E45020"/>
    <w:rsid w:val="00E46BE2"/>
    <w:rsid w:val="00EE151C"/>
    <w:rsid w:val="00EF7AF6"/>
    <w:rsid w:val="00F10DC2"/>
    <w:rsid w:val="00F42B8C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3E61"/>
  <w15:chartTrackingRefBased/>
  <w15:docId w15:val="{824EA612-2A0A-4E9C-A0E4-52A7FF08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6F"/>
  </w:style>
  <w:style w:type="paragraph" w:styleId="Footer">
    <w:name w:val="footer"/>
    <w:basedOn w:val="Normal"/>
    <w:link w:val="FooterChar"/>
    <w:uiPriority w:val="99"/>
    <w:unhideWhenUsed/>
    <w:rsid w:val="00AA6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Scott</dc:creator>
  <cp:keywords/>
  <dc:description/>
  <cp:lastModifiedBy>Evelyn Scott</cp:lastModifiedBy>
  <cp:revision>3</cp:revision>
  <dcterms:created xsi:type="dcterms:W3CDTF">2020-06-15T00:28:00Z</dcterms:created>
  <dcterms:modified xsi:type="dcterms:W3CDTF">2020-06-15T00:38:00Z</dcterms:modified>
</cp:coreProperties>
</file>