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6B04" w14:textId="69189A9A" w:rsidR="00591951" w:rsidRPr="00654793" w:rsidRDefault="003E7BCB" w:rsidP="00591951">
      <w:pPr>
        <w:tabs>
          <w:tab w:val="left" w:pos="3014"/>
        </w:tabs>
        <w:spacing w:after="3000"/>
        <w:rPr>
          <w:rStyle w:val="FootnoteReference"/>
        </w:rPr>
      </w:pPr>
      <w:r>
        <w:rPr>
          <w:noProof/>
        </w:rPr>
        <mc:AlternateContent>
          <mc:Choice Requires="wps">
            <w:drawing>
              <wp:anchor distT="0" distB="0" distL="114300" distR="114300" simplePos="0" relativeHeight="251658241" behindDoc="0" locked="0" layoutInCell="1" allowOverlap="1" wp14:anchorId="65DA6B30" wp14:editId="649D226C">
                <wp:simplePos x="0" y="0"/>
                <wp:positionH relativeFrom="column">
                  <wp:posOffset>674370</wp:posOffset>
                </wp:positionH>
                <wp:positionV relativeFrom="paragraph">
                  <wp:posOffset>1454150</wp:posOffset>
                </wp:positionV>
                <wp:extent cx="5063490" cy="802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3490" cy="802640"/>
                        </a:xfrm>
                        <a:prstGeom prst="rect">
                          <a:avLst/>
                        </a:prstGeom>
                        <a:noFill/>
                        <a:ln w="6350">
                          <a:noFill/>
                        </a:ln>
                        <a:effectLst/>
                      </wps:spPr>
                      <wps:txbx>
                        <w:txbxContent>
                          <w:p w14:paraId="65DA6B5D" w14:textId="4A860B33" w:rsidR="00B34946" w:rsidRPr="00B74219" w:rsidRDefault="00B34946" w:rsidP="00A11307">
                            <w:pPr>
                              <w:pStyle w:val="Subtitle"/>
                            </w:pPr>
                            <w:bookmarkStart w:id="0" w:name="_Toc49157578"/>
                            <w:r w:rsidRPr="002863D7">
                              <w:t xml:space="preserve">Australian Human Rights Commission Submission to the </w:t>
                            </w:r>
                            <w:r w:rsidR="0070099E">
                              <w:t xml:space="preserve">PARLIAMENTARY JOINT COMMITTEE </w:t>
                            </w:r>
                            <w:proofErr w:type="gramStart"/>
                            <w:r w:rsidR="0070099E">
                              <w:t>ON  INTELLIGENCE</w:t>
                            </w:r>
                            <w:proofErr w:type="gramEnd"/>
                            <w:r w:rsidR="0070099E">
                              <w:t xml:space="preserve"> AND SECURITY</w:t>
                            </w:r>
                            <w:bookmarkEnd w:id="0"/>
                            <w:r w:rsidR="0070099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6B30" id="_x0000_t202" coordsize="21600,21600" o:spt="202" path="m,l,21600r21600,l21600,xe">
                <v:stroke joinstyle="miter"/>
                <v:path gradientshapeok="t" o:connecttype="rect"/>
              </v:shapetype>
              <v:shape id="Text Box 3" o:spid="_x0000_s1026" type="#_x0000_t202" style="position:absolute;margin-left:53.1pt;margin-top:114.5pt;width:398.7pt;height:6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" filled="f" stroked="f" strokeweight=".5pt">
                <v:textbox>
                  <w:txbxContent>
                    <w:p w14:paraId="65DA6B5D" w14:textId="4A860B33" w:rsidR="00B34946" w:rsidRPr="00B74219" w:rsidRDefault="00B34946" w:rsidP="00A11307">
                      <w:pPr>
                        <w:pStyle w:val="Subtitle"/>
                      </w:pPr>
                      <w:bookmarkStart w:id="1" w:name="_Toc49157578"/>
                      <w:r w:rsidRPr="002863D7">
                        <w:t xml:space="preserve">Australian Human Rights Commission Submission to the </w:t>
                      </w:r>
                      <w:r w:rsidR="0070099E">
                        <w:t>PARLIAMENTARY JOINT COMMITTEE ON  INTELLIGENCE AND SECURITY</w:t>
                      </w:r>
                      <w:bookmarkEnd w:id="1"/>
                      <w:r w:rsidR="0070099E">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5DA6B34" wp14:editId="65DA6B35">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14:paraId="65DA6B60" w14:textId="581B0957" w:rsidR="00B34946" w:rsidRDefault="0070099E" w:rsidP="00FD01B5">
                            <w:pPr>
                              <w:pStyle w:val="MainTitle"/>
                            </w:pPr>
                            <w:r>
                              <w:t>Review of the ‘declared areas’ 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6B34" id="Text Box 1" o:spid="_x0000_s1027" type="#_x0000_t202" style="position:absolute;margin-left:186.1pt;margin-top:-3.55pt;width:265.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" filled="f" stroked="f" strokeweight=".5pt">
                <v:textbox>
                  <w:txbxContent>
                    <w:p w14:paraId="65DA6B60" w14:textId="581B0957" w:rsidR="00B34946" w:rsidRDefault="0070099E" w:rsidP="00FD01B5">
                      <w:pPr>
                        <w:pStyle w:val="MainTitle"/>
                      </w:pPr>
                      <w:r>
                        <w:t>Review of the ‘declared areas’ provisions</w:t>
                      </w:r>
                    </w:p>
                  </w:txbxContent>
                </v:textbox>
              </v:shape>
            </w:pict>
          </mc:Fallback>
        </mc:AlternateContent>
      </w:r>
    </w:p>
    <w:p w14:paraId="65DA6B05" w14:textId="6FEFEB9F" w:rsidR="00591951" w:rsidRPr="00827DE2" w:rsidRDefault="0070099E" w:rsidP="00591951">
      <w:pPr>
        <w:pStyle w:val="MainTitle"/>
        <w:rPr>
          <w:sz w:val="44"/>
          <w:szCs w:val="44"/>
        </w:rPr>
      </w:pPr>
      <w:r>
        <w:rPr>
          <w:noProof/>
        </w:rPr>
        <mc:AlternateContent>
          <mc:Choice Requires="wps">
            <w:drawing>
              <wp:anchor distT="0" distB="0" distL="114300" distR="114300" simplePos="0" relativeHeight="251658242" behindDoc="0" locked="0" layoutInCell="1" allowOverlap="1" wp14:anchorId="65DA6B32" wp14:editId="2648A099">
                <wp:simplePos x="0" y="0"/>
                <wp:positionH relativeFrom="column">
                  <wp:posOffset>1959610</wp:posOffset>
                </wp:positionH>
                <wp:positionV relativeFrom="paragraph">
                  <wp:posOffset>36195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65DA6B5E" w14:textId="38E6E06C" w:rsidR="00B34946" w:rsidRPr="00B74219" w:rsidRDefault="0070099E" w:rsidP="002863D7">
                            <w:pPr>
                              <w:pStyle w:val="Date"/>
                            </w:pPr>
                            <w:r>
                              <w:t>28 August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6B32" id="Text Box 4" o:spid="_x0000_s1028" type="#_x0000_t202" style="position:absolute;left:0;text-align:left;margin-left:154.3pt;margin-top:2.85pt;width:297.25pt;height:28.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" filled="f" stroked="f" strokeweight=".5pt">
                <v:textbox>
                  <w:txbxContent>
                    <w:p w14:paraId="65DA6B5E" w14:textId="38E6E06C" w:rsidR="00B34946" w:rsidRPr="00B74219" w:rsidRDefault="0070099E" w:rsidP="002863D7">
                      <w:pPr>
                        <w:pStyle w:val="Date"/>
                      </w:pPr>
                      <w:r>
                        <w:t>28 August 2020</w:t>
                      </w:r>
                    </w:p>
                  </w:txbxContent>
                </v:textbox>
              </v:shape>
            </w:pict>
          </mc:Fallback>
        </mc:AlternateContent>
      </w:r>
    </w:p>
    <w:p w14:paraId="65DA6B06" w14:textId="77777777" w:rsidR="00B924E6" w:rsidRDefault="00B924E6" w:rsidP="00E26B28">
      <w:pPr>
        <w:sectPr w:rsidR="00B924E6" w:rsidSect="00B24B1D">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415" w:gutter="0"/>
          <w:cols w:space="708"/>
          <w:titlePg/>
          <w:docGrid w:linePitch="360"/>
        </w:sectPr>
      </w:pPr>
      <w:bookmarkStart w:id="1" w:name="_Toc209316062"/>
      <w:bookmarkEnd w:id="1"/>
    </w:p>
    <w:p w14:paraId="65DA6B07" w14:textId="77777777" w:rsidR="00B63D24" w:rsidRPr="00907336" w:rsidRDefault="00B63D24" w:rsidP="00B63D24">
      <w:pPr>
        <w:rPr>
          <w:b/>
          <w:sz w:val="28"/>
          <w:szCs w:val="28"/>
        </w:rPr>
      </w:pPr>
      <w:bookmarkStart w:id="2" w:name="_Toc207761829"/>
      <w:r w:rsidRPr="00907336">
        <w:rPr>
          <w:b/>
          <w:sz w:val="28"/>
          <w:szCs w:val="28"/>
        </w:rPr>
        <w:lastRenderedPageBreak/>
        <w:t>Table of Contents</w:t>
      </w:r>
      <w:bookmarkEnd w:id="2"/>
    </w:p>
    <w:p w14:paraId="64B9733C" w14:textId="77777777" w:rsidR="00433134" w:rsidRDefault="00B63D24">
      <w:pPr>
        <w:pStyle w:val="TOC2"/>
        <w:rPr>
          <w:rFonts w:asciiTheme="minorHAnsi" w:eastAsiaTheme="minorEastAsia" w:hAnsiTheme="minorHAnsi" w:cstheme="minorBidi"/>
          <w:b w:val="0"/>
          <w:i w:val="0"/>
          <w:sz w:val="22"/>
          <w:szCs w:val="22"/>
          <w:lang w:val="en-US" w:eastAsia="en-US"/>
        </w:rPr>
      </w:pPr>
      <w:r>
        <w:rPr>
          <w:sz w:val="22"/>
        </w:rPr>
        <w:fldChar w:fldCharType="begin"/>
      </w:r>
      <w:r>
        <w:instrText xml:space="preserve"> TOC \o "1-4" \h \z \u </w:instrText>
      </w:r>
      <w:r>
        <w:rPr>
          <w:sz w:val="22"/>
        </w:rPr>
        <w:fldChar w:fldCharType="separate"/>
      </w:r>
      <w:r w:rsidR="00433134">
        <w:t>Australian Human Rights Commission Submission to the PARLIAMENTARY JOINT COMMITTEE ON  INTELLIGENCE AND SECURITY</w:t>
      </w:r>
      <w:r w:rsidR="00433134">
        <w:rPr>
          <w:webHidden/>
        </w:rPr>
        <w:tab/>
      </w:r>
    </w:p>
    <w:p w14:paraId="3986A814" w14:textId="4DE9E6A6" w:rsidR="00433134" w:rsidRDefault="003C665C">
      <w:pPr>
        <w:pStyle w:val="TOC1"/>
        <w:rPr>
          <w:rFonts w:asciiTheme="minorHAnsi" w:eastAsiaTheme="minorEastAsia" w:hAnsiTheme="minorHAnsi" w:cstheme="minorBidi"/>
          <w:b w:val="0"/>
          <w:szCs w:val="22"/>
          <w:lang w:val="en-US" w:eastAsia="en-US"/>
        </w:rPr>
      </w:pPr>
      <w:hyperlink w:anchor="_Toc49157579" w:history="1">
        <w:r w:rsidR="00433134" w:rsidRPr="00AA437E">
          <w:rPr>
            <w:rStyle w:val="Hyperlink"/>
          </w:rPr>
          <w:t>1</w:t>
        </w:r>
        <w:r w:rsidR="00433134">
          <w:rPr>
            <w:rFonts w:asciiTheme="minorHAnsi" w:eastAsiaTheme="minorEastAsia" w:hAnsiTheme="minorHAnsi" w:cstheme="minorBidi"/>
            <w:b w:val="0"/>
            <w:szCs w:val="22"/>
            <w:lang w:val="en-US" w:eastAsia="en-US"/>
          </w:rPr>
          <w:tab/>
        </w:r>
        <w:r w:rsidR="00433134" w:rsidRPr="00AA437E">
          <w:rPr>
            <w:rStyle w:val="Hyperlink"/>
          </w:rPr>
          <w:t>Introduction</w:t>
        </w:r>
        <w:r w:rsidR="00433134">
          <w:rPr>
            <w:webHidden/>
          </w:rPr>
          <w:tab/>
        </w:r>
        <w:r w:rsidR="00433134">
          <w:rPr>
            <w:webHidden/>
          </w:rPr>
          <w:fldChar w:fldCharType="begin"/>
        </w:r>
        <w:r w:rsidR="00433134">
          <w:rPr>
            <w:webHidden/>
          </w:rPr>
          <w:instrText xml:space="preserve"> PAGEREF _Toc49157579 \h </w:instrText>
        </w:r>
        <w:r w:rsidR="00433134">
          <w:rPr>
            <w:webHidden/>
          </w:rPr>
        </w:r>
        <w:r w:rsidR="00433134">
          <w:rPr>
            <w:webHidden/>
          </w:rPr>
          <w:fldChar w:fldCharType="separate"/>
        </w:r>
        <w:r w:rsidR="005E2682">
          <w:rPr>
            <w:webHidden/>
          </w:rPr>
          <w:t>3</w:t>
        </w:r>
        <w:r w:rsidR="00433134">
          <w:rPr>
            <w:webHidden/>
          </w:rPr>
          <w:fldChar w:fldCharType="end"/>
        </w:r>
      </w:hyperlink>
    </w:p>
    <w:p w14:paraId="7DEAD497" w14:textId="61E7B1E0" w:rsidR="00433134" w:rsidRDefault="00803046">
      <w:pPr>
        <w:pStyle w:val="TOC1"/>
        <w:rPr>
          <w:rFonts w:asciiTheme="minorHAnsi" w:eastAsiaTheme="minorEastAsia" w:hAnsiTheme="minorHAnsi" w:cstheme="minorBidi"/>
          <w:b w:val="0"/>
          <w:szCs w:val="22"/>
          <w:lang w:val="en-US" w:eastAsia="en-US"/>
        </w:rPr>
      </w:pPr>
      <w:r>
        <w:fldChar w:fldCharType="begin"/>
      </w:r>
      <w:r>
        <w:instrText xml:space="preserve"> HYPERLINK \l "_Toc49157580" </w:instrText>
      </w:r>
      <w:r>
        <w:fldChar w:fldCharType="separate"/>
      </w:r>
      <w:r w:rsidR="00433134" w:rsidRPr="00AA437E">
        <w:rPr>
          <w:rStyle w:val="Hyperlink"/>
        </w:rPr>
        <w:t>2</w:t>
      </w:r>
      <w:r w:rsidR="00433134">
        <w:rPr>
          <w:rFonts w:asciiTheme="minorHAnsi" w:eastAsiaTheme="minorEastAsia" w:hAnsiTheme="minorHAnsi" w:cstheme="minorBidi"/>
          <w:b w:val="0"/>
          <w:szCs w:val="22"/>
          <w:lang w:val="en-US" w:eastAsia="en-US"/>
        </w:rPr>
        <w:tab/>
      </w:r>
      <w:r w:rsidR="00433134" w:rsidRPr="00AA437E">
        <w:rPr>
          <w:rStyle w:val="Hyperlink"/>
        </w:rPr>
        <w:t>Recommendations</w:t>
      </w:r>
      <w:r w:rsidR="00433134">
        <w:rPr>
          <w:webHidden/>
        </w:rPr>
        <w:tab/>
      </w:r>
      <w:r w:rsidR="00433134">
        <w:rPr>
          <w:webHidden/>
        </w:rPr>
        <w:fldChar w:fldCharType="begin"/>
      </w:r>
      <w:r w:rsidR="00433134">
        <w:rPr>
          <w:webHidden/>
        </w:rPr>
        <w:instrText xml:space="preserve"> PAGEREF _Toc49157580 \h </w:instrText>
      </w:r>
      <w:r w:rsidR="00433134">
        <w:rPr>
          <w:webHidden/>
        </w:rPr>
      </w:r>
      <w:r w:rsidR="00433134">
        <w:rPr>
          <w:webHidden/>
        </w:rPr>
        <w:fldChar w:fldCharType="separate"/>
      </w:r>
      <w:r w:rsidR="005E2682">
        <w:rPr>
          <w:webHidden/>
        </w:rPr>
        <w:t>5</w:t>
      </w:r>
      <w:r w:rsidR="00433134">
        <w:rPr>
          <w:webHidden/>
        </w:rPr>
        <w:fldChar w:fldCharType="end"/>
      </w:r>
      <w:r>
        <w:fldChar w:fldCharType="end"/>
      </w:r>
    </w:p>
    <w:p w14:paraId="65DA6B0F" w14:textId="7ABD9E03" w:rsidR="00B34946" w:rsidRDefault="00B63D24" w:rsidP="00B63D24">
      <w:r>
        <w:fldChar w:fldCharType="end"/>
      </w:r>
    </w:p>
    <w:p w14:paraId="65DA6B10" w14:textId="77777777" w:rsidR="00B34946" w:rsidRDefault="00B34946">
      <w:pPr>
        <w:spacing w:before="0" w:after="0"/>
      </w:pPr>
      <w:r>
        <w:br w:type="page"/>
      </w:r>
    </w:p>
    <w:p w14:paraId="65DA6B11" w14:textId="77777777" w:rsidR="00B34946" w:rsidRPr="001E1304" w:rsidRDefault="00B34946" w:rsidP="00B34946">
      <w:pPr>
        <w:pStyle w:val="Heading1"/>
        <w:numPr>
          <w:ilvl w:val="0"/>
          <w:numId w:val="37"/>
        </w:numPr>
      </w:pPr>
      <w:bookmarkStart w:id="3" w:name="_Toc207761830"/>
      <w:bookmarkStart w:id="4" w:name="_Toc209578266"/>
      <w:bookmarkStart w:id="5" w:name="_Toc49157579"/>
      <w:r w:rsidRPr="001E1304">
        <w:lastRenderedPageBreak/>
        <w:t>Introduction</w:t>
      </w:r>
      <w:bookmarkEnd w:id="3"/>
      <w:bookmarkEnd w:id="4"/>
      <w:bookmarkEnd w:id="5"/>
      <w:r w:rsidRPr="001E1304">
        <w:t xml:space="preserve"> </w:t>
      </w:r>
    </w:p>
    <w:p w14:paraId="7BD11684" w14:textId="3C364299" w:rsidR="00530D98" w:rsidRPr="00530D98" w:rsidRDefault="00B34946" w:rsidP="00B27D20">
      <w:pPr>
        <w:pStyle w:val="SubmissionNormal"/>
        <w:rPr>
          <w:lang w:eastAsia="en-GB"/>
        </w:rPr>
      </w:pPr>
      <w:r w:rsidRPr="00C5786C">
        <w:t>The Aust</w:t>
      </w:r>
      <w:r w:rsidR="00074319">
        <w:t>ralian Human Rights Commission</w:t>
      </w:r>
      <w:r w:rsidRPr="00C5786C">
        <w:t xml:space="preserve"> </w:t>
      </w:r>
      <w:r w:rsidR="00530D98">
        <w:t>(</w:t>
      </w:r>
      <w:r w:rsidR="00835FCC">
        <w:t xml:space="preserve">the </w:t>
      </w:r>
      <w:r w:rsidR="00530D98">
        <w:t xml:space="preserve">Commission) </w:t>
      </w:r>
      <w:r w:rsidRPr="00C5786C">
        <w:t xml:space="preserve">makes this submission to the </w:t>
      </w:r>
      <w:r w:rsidR="00530D98">
        <w:t>Parliamentary Joint Committee on Intelligence and Security</w:t>
      </w:r>
      <w:r w:rsidRPr="00C5786C">
        <w:t xml:space="preserve"> </w:t>
      </w:r>
      <w:r w:rsidR="00530D98">
        <w:t xml:space="preserve">(PJCIS) in its </w:t>
      </w:r>
      <w:r w:rsidR="00530D98" w:rsidRPr="00530D98">
        <w:rPr>
          <w:lang w:eastAsia="en-GB"/>
        </w:rPr>
        <w:t xml:space="preserve">review of the ‘declared areas’ provisions contained in Division 119 of the </w:t>
      </w:r>
      <w:r w:rsidR="00530D98" w:rsidRPr="00530D98">
        <w:rPr>
          <w:rFonts w:cs="Arial"/>
          <w:i/>
          <w:iCs/>
          <w:lang w:eastAsia="en-GB"/>
        </w:rPr>
        <w:t xml:space="preserve">Criminal Code </w:t>
      </w:r>
      <w:r w:rsidR="00530D98" w:rsidRPr="00530D98">
        <w:rPr>
          <w:lang w:eastAsia="en-GB"/>
        </w:rPr>
        <w:t>(</w:t>
      </w:r>
      <w:proofErr w:type="spellStart"/>
      <w:r w:rsidR="00530D98" w:rsidRPr="00530D98">
        <w:rPr>
          <w:lang w:eastAsia="en-GB"/>
        </w:rPr>
        <w:t>Cth</w:t>
      </w:r>
      <w:proofErr w:type="spellEnd"/>
      <w:r w:rsidR="00530D98" w:rsidRPr="00530D98">
        <w:rPr>
          <w:lang w:eastAsia="en-GB"/>
        </w:rPr>
        <w:t xml:space="preserve">). </w:t>
      </w:r>
    </w:p>
    <w:p w14:paraId="5F1A77BE" w14:textId="425C39B4" w:rsidR="009858D1" w:rsidRDefault="00530D98" w:rsidP="009858D1">
      <w:pPr>
        <w:pStyle w:val="SubmissionNormal"/>
      </w:pPr>
      <w:r>
        <w:t>The ‘declared areas’ provisions were last subject to a legislatively mandated review by the PJCIS in 2017. The Commission made a submission to that inquiry in October 2017. The Commission also made a supplementary submission in November 2017, t</w:t>
      </w:r>
      <w:r w:rsidRPr="00530D98">
        <w:rPr>
          <w:lang w:eastAsia="en-GB"/>
        </w:rPr>
        <w:t xml:space="preserve">o address several matters arising from the relevant report of the Independent National Security Legislation Monitor (INSLM) dated 7 September 2017 and released to the public on 16 October 2017. </w:t>
      </w:r>
    </w:p>
    <w:p w14:paraId="45E01D1C" w14:textId="4B75BB3B" w:rsidR="00433134" w:rsidRDefault="007F6851" w:rsidP="0048043C">
      <w:pPr>
        <w:pStyle w:val="SubmissionNormal"/>
      </w:pPr>
      <w:r>
        <w:t>In t</w:t>
      </w:r>
      <w:r w:rsidR="007307E1">
        <w:t xml:space="preserve">hose submissions </w:t>
      </w:r>
      <w:r>
        <w:t xml:space="preserve">the Commission undertook </w:t>
      </w:r>
      <w:r w:rsidR="1952591B">
        <w:t xml:space="preserve">a </w:t>
      </w:r>
      <w:r w:rsidR="00E5699B">
        <w:t xml:space="preserve">detailed human rights </w:t>
      </w:r>
      <w:r w:rsidR="007307E1">
        <w:t xml:space="preserve">analysis of the </w:t>
      </w:r>
      <w:r w:rsidR="00E5699B">
        <w:t xml:space="preserve">declared areas </w:t>
      </w:r>
      <w:r w:rsidR="007307E1">
        <w:t>provisions</w:t>
      </w:r>
      <w:r w:rsidR="00081C12">
        <w:t>, as they appeared at the time</w:t>
      </w:r>
      <w:r w:rsidR="007307E1">
        <w:t xml:space="preserve">. </w:t>
      </w:r>
      <w:r w:rsidR="00725BA9">
        <w:rPr>
          <w:lang w:eastAsia="en-GB"/>
        </w:rPr>
        <w:t xml:space="preserve">While recognising the legitimacy, and importance, of </w:t>
      </w:r>
      <w:r w:rsidR="00A04542">
        <w:rPr>
          <w:lang w:eastAsia="en-GB"/>
        </w:rPr>
        <w:t>Australia having robust national security</w:t>
      </w:r>
      <w:r w:rsidR="00A00793">
        <w:rPr>
          <w:lang w:eastAsia="en-GB"/>
        </w:rPr>
        <w:t xml:space="preserve"> legislation</w:t>
      </w:r>
      <w:r w:rsidR="00A04542">
        <w:rPr>
          <w:lang w:eastAsia="en-GB"/>
        </w:rPr>
        <w:t>, the Commission</w:t>
      </w:r>
      <w:r w:rsidR="000B5B4B">
        <w:rPr>
          <w:lang w:eastAsia="en-GB"/>
        </w:rPr>
        <w:t xml:space="preserve"> expressed strong </w:t>
      </w:r>
      <w:r w:rsidR="000B5B4B" w:rsidRPr="01BDAE7C">
        <w:rPr>
          <w:lang w:eastAsia="en-GB"/>
        </w:rPr>
        <w:t>concern</w:t>
      </w:r>
      <w:r w:rsidR="5BA054B8" w:rsidRPr="01BDAE7C">
        <w:rPr>
          <w:lang w:eastAsia="en-GB"/>
        </w:rPr>
        <w:t>s</w:t>
      </w:r>
      <w:r w:rsidR="000B5B4B">
        <w:rPr>
          <w:lang w:eastAsia="en-GB"/>
        </w:rPr>
        <w:t xml:space="preserve"> about these provisions, and proposed </w:t>
      </w:r>
      <w:r w:rsidR="00433134">
        <w:rPr>
          <w:lang w:eastAsia="en-GB"/>
        </w:rPr>
        <w:t xml:space="preserve">several </w:t>
      </w:r>
      <w:r w:rsidR="000B5B4B">
        <w:rPr>
          <w:lang w:eastAsia="en-GB"/>
        </w:rPr>
        <w:t xml:space="preserve">amendments to </w:t>
      </w:r>
      <w:r w:rsidR="00EF3C20">
        <w:rPr>
          <w:lang w:eastAsia="en-GB"/>
        </w:rPr>
        <w:t>strengthen the law’s human rights protections</w:t>
      </w:r>
      <w:r w:rsidR="000B5B4B">
        <w:rPr>
          <w:lang w:eastAsia="en-GB"/>
        </w:rPr>
        <w:t>.</w:t>
      </w:r>
    </w:p>
    <w:p w14:paraId="27340718" w14:textId="3FDE5EEB" w:rsidR="00AF584C" w:rsidRDefault="007307E1" w:rsidP="0048043C">
      <w:pPr>
        <w:pStyle w:val="SubmissionNormal"/>
      </w:pPr>
      <w:r>
        <w:rPr>
          <w:lang w:eastAsia="en-GB"/>
        </w:rPr>
        <w:t>S</w:t>
      </w:r>
      <w:r w:rsidR="009858D1">
        <w:rPr>
          <w:lang w:eastAsia="en-GB"/>
        </w:rPr>
        <w:t>ince the last review, minor changes have been made to these pr</w:t>
      </w:r>
      <w:r>
        <w:rPr>
          <w:lang w:eastAsia="en-GB"/>
        </w:rPr>
        <w:t xml:space="preserve">ovisions. </w:t>
      </w:r>
      <w:r w:rsidR="00E70C19">
        <w:rPr>
          <w:lang w:eastAsia="en-GB"/>
        </w:rPr>
        <w:t>The Commission welcomes these</w:t>
      </w:r>
      <w:r w:rsidR="00AF584C">
        <w:rPr>
          <w:lang w:eastAsia="en-GB"/>
        </w:rPr>
        <w:t>, most notably the creation of an exception to the declared areas offence for individuals performing an official duty for the International Committee of the Red Cross and enhanced oversight of the PJCIS to monitor and review the basis of the Minister’s declaration of a prescribed security zone.</w:t>
      </w:r>
    </w:p>
    <w:p w14:paraId="280651F6" w14:textId="41C99F20" w:rsidR="009858D1" w:rsidRDefault="00353795" w:rsidP="009858D1">
      <w:pPr>
        <w:pStyle w:val="SubmissionNormal"/>
      </w:pPr>
      <w:r>
        <w:rPr>
          <w:lang w:eastAsia="en-GB"/>
        </w:rPr>
        <w:t xml:space="preserve">However, </w:t>
      </w:r>
      <w:r w:rsidR="00EF3C20">
        <w:rPr>
          <w:lang w:eastAsia="en-GB"/>
        </w:rPr>
        <w:t>i</w:t>
      </w:r>
      <w:r w:rsidR="007307E1">
        <w:rPr>
          <w:lang w:eastAsia="en-GB"/>
        </w:rPr>
        <w:t xml:space="preserve">n the absence of any </w:t>
      </w:r>
      <w:r w:rsidR="00AF584C">
        <w:rPr>
          <w:lang w:eastAsia="en-GB"/>
        </w:rPr>
        <w:t xml:space="preserve">other </w:t>
      </w:r>
      <w:r w:rsidR="007307E1">
        <w:rPr>
          <w:lang w:eastAsia="en-GB"/>
        </w:rPr>
        <w:t>substantive legislative amendments, the Commission remains of the view</w:t>
      </w:r>
      <w:r w:rsidR="00BF5502">
        <w:rPr>
          <w:lang w:eastAsia="en-GB"/>
        </w:rPr>
        <w:t xml:space="preserve"> </w:t>
      </w:r>
      <w:r w:rsidR="007307E1">
        <w:rPr>
          <w:lang w:eastAsia="en-GB"/>
        </w:rPr>
        <w:t>that the limitations on human rights resulting from these provisions are neither necessary nor proportionate</w:t>
      </w:r>
      <w:r w:rsidR="007A12A9">
        <w:rPr>
          <w:lang w:eastAsia="en-GB"/>
        </w:rPr>
        <w:t xml:space="preserve"> to achieving an identified legitimate objective</w:t>
      </w:r>
      <w:r w:rsidR="007307E1">
        <w:rPr>
          <w:lang w:eastAsia="en-GB"/>
        </w:rPr>
        <w:t xml:space="preserve">. </w:t>
      </w:r>
    </w:p>
    <w:p w14:paraId="65DA6B13" w14:textId="598CBDF6" w:rsidR="00B34946" w:rsidRDefault="007307E1" w:rsidP="00433134">
      <w:pPr>
        <w:pStyle w:val="SubmissionNormal"/>
      </w:pPr>
      <w:r>
        <w:t>Consequently, t</w:t>
      </w:r>
      <w:r w:rsidR="009858D1">
        <w:t>he Commission</w:t>
      </w:r>
      <w:r>
        <w:t xml:space="preserve"> </w:t>
      </w:r>
      <w:r w:rsidR="00161E33">
        <w:t xml:space="preserve">draws the Committee’s </w:t>
      </w:r>
      <w:r w:rsidR="00990B6E">
        <w:t>at</w:t>
      </w:r>
      <w:r w:rsidR="00161E33">
        <w:t>tention to</w:t>
      </w:r>
      <w:r w:rsidR="009858D1">
        <w:t xml:space="preserve"> </w:t>
      </w:r>
      <w:r>
        <w:t xml:space="preserve">its previous submissions to the PJCIS. </w:t>
      </w:r>
      <w:r w:rsidR="00F5281E">
        <w:t>W</w:t>
      </w:r>
      <w:r>
        <w:t xml:space="preserve">ith some minor changes, the </w:t>
      </w:r>
      <w:r w:rsidR="00F5281E">
        <w:t xml:space="preserve">Commission reiterates the </w:t>
      </w:r>
      <w:r>
        <w:t>substance of the recommendations it made in its last submission to the PJCIS and to the INSLM. They are annexed to this submission for reference.</w:t>
      </w:r>
    </w:p>
    <w:p w14:paraId="67B923E8" w14:textId="0783C6CF" w:rsidR="00353795" w:rsidRDefault="00593DD6" w:rsidP="00353795">
      <w:pPr>
        <w:pStyle w:val="SubmissionNormal"/>
      </w:pPr>
      <w:bookmarkStart w:id="6" w:name="_Toc162769291"/>
      <w:bookmarkStart w:id="7" w:name="_Toc207761832"/>
      <w:bookmarkStart w:id="8" w:name="_Toc209578268"/>
      <w:r>
        <w:t xml:space="preserve">In summary, the Commission’s continuing concerns </w:t>
      </w:r>
      <w:r w:rsidR="00AF584C">
        <w:t>include</w:t>
      </w:r>
      <w:r>
        <w:t xml:space="preserve"> the following:</w:t>
      </w:r>
      <w:r w:rsidR="00E70C19">
        <w:t xml:space="preserve"> </w:t>
      </w:r>
    </w:p>
    <w:p w14:paraId="079E680C" w14:textId="79AD15D1" w:rsidR="00E70C19" w:rsidRDefault="00E70C19" w:rsidP="00E70C19">
      <w:pPr>
        <w:pStyle w:val="SubmissionNormal"/>
        <w:numPr>
          <w:ilvl w:val="0"/>
          <w:numId w:val="45"/>
        </w:numPr>
        <w:spacing w:before="100" w:beforeAutospacing="1" w:after="160"/>
        <w:ind w:left="1077" w:hanging="357"/>
        <w:rPr>
          <w:rFonts w:ascii="Times New Roman" w:hAnsi="Times New Roman"/>
          <w:lang w:eastAsia="en-GB"/>
        </w:rPr>
      </w:pPr>
      <w:r w:rsidRPr="00E70C19">
        <w:rPr>
          <w:lang w:eastAsia="en-GB"/>
        </w:rPr>
        <w:t xml:space="preserve">The provisions criminalise conduct that is not in itself wrongful or ‘inherently criminal’ in nature. Despite that fact, the offence attracts a very high penalty. </w:t>
      </w:r>
    </w:p>
    <w:p w14:paraId="1CD93489" w14:textId="43C78CFF" w:rsidR="00E70C19" w:rsidRPr="00E70C19" w:rsidRDefault="00E70C19" w:rsidP="00E70C19">
      <w:pPr>
        <w:numPr>
          <w:ilvl w:val="0"/>
          <w:numId w:val="45"/>
        </w:numPr>
        <w:spacing w:before="100" w:beforeAutospacing="1" w:after="160"/>
        <w:ind w:left="1077" w:hanging="357"/>
        <w:rPr>
          <w:rFonts w:ascii="ArialMT" w:eastAsia="Times New Roman" w:hAnsi="ArialMT"/>
          <w:lang w:eastAsia="en-GB"/>
        </w:rPr>
      </w:pPr>
      <w:r w:rsidRPr="00E70C19">
        <w:rPr>
          <w:rFonts w:ascii="ArialMT" w:eastAsia="Times New Roman" w:hAnsi="ArialMT"/>
          <w:lang w:eastAsia="en-GB"/>
        </w:rPr>
        <w:t xml:space="preserve">In making a declaration about an area, the Foreign Minister is not required to form a view about the extent of hostile activity that is occurring in a particular area. </w:t>
      </w:r>
    </w:p>
    <w:p w14:paraId="53C13CFE" w14:textId="7DA8D50C" w:rsidR="00E70C19" w:rsidRPr="00E70C19" w:rsidRDefault="00E70C19" w:rsidP="00E70C19">
      <w:pPr>
        <w:numPr>
          <w:ilvl w:val="0"/>
          <w:numId w:val="45"/>
        </w:numPr>
        <w:spacing w:before="100" w:beforeAutospacing="1" w:after="160"/>
        <w:ind w:left="1077" w:hanging="357"/>
        <w:rPr>
          <w:rFonts w:ascii="ArialMT" w:eastAsia="Times New Roman" w:hAnsi="ArialMT"/>
          <w:lang w:eastAsia="en-GB"/>
        </w:rPr>
      </w:pPr>
      <w:r w:rsidRPr="00E70C19">
        <w:rPr>
          <w:rFonts w:ascii="ArialMT" w:eastAsia="Times New Roman" w:hAnsi="ArialMT"/>
          <w:lang w:eastAsia="en-GB"/>
        </w:rPr>
        <w:t xml:space="preserve">The list of ‘legitimate’ purposes for travel to a declared area is very short. There are therefore likely to be many innocent reasons a person might </w:t>
      </w:r>
      <w:r w:rsidRPr="00E70C19">
        <w:rPr>
          <w:rFonts w:ascii="ArialMT" w:eastAsia="Times New Roman" w:hAnsi="ArialMT"/>
          <w:lang w:eastAsia="en-GB"/>
        </w:rPr>
        <w:lastRenderedPageBreak/>
        <w:t xml:space="preserve">wish to enter or remain in a declared area which do not fall within a recognised exception. </w:t>
      </w:r>
    </w:p>
    <w:p w14:paraId="374DB238" w14:textId="656EAFE4" w:rsidR="00E70C19" w:rsidRPr="00E70C19" w:rsidRDefault="00E70C19" w:rsidP="00E70C19">
      <w:pPr>
        <w:numPr>
          <w:ilvl w:val="0"/>
          <w:numId w:val="45"/>
        </w:numPr>
        <w:spacing w:before="100" w:beforeAutospacing="1" w:after="160"/>
        <w:ind w:left="1077" w:hanging="357"/>
        <w:rPr>
          <w:rFonts w:ascii="ArialMT" w:eastAsia="Times New Roman" w:hAnsi="ArialMT"/>
          <w:lang w:eastAsia="en-GB"/>
        </w:rPr>
      </w:pPr>
      <w:r w:rsidRPr="00E70C19">
        <w:rPr>
          <w:rFonts w:ascii="ArialMT" w:eastAsia="Times New Roman" w:hAnsi="ArialMT"/>
          <w:lang w:eastAsia="en-GB"/>
        </w:rPr>
        <w:t xml:space="preserve">The exception applies only if travel is ‘solely’ for a legitimate purpose specified in s 119.2(3) or the </w:t>
      </w:r>
      <w:r w:rsidR="00332019">
        <w:rPr>
          <w:rFonts w:ascii="ArialMT" w:eastAsia="Times New Roman" w:hAnsi="ArialMT"/>
          <w:lang w:eastAsia="en-GB"/>
        </w:rPr>
        <w:t>relevant R</w:t>
      </w:r>
      <w:r w:rsidRPr="00E70C19">
        <w:rPr>
          <w:rFonts w:ascii="ArialMT" w:eastAsia="Times New Roman" w:hAnsi="ArialMT"/>
          <w:lang w:eastAsia="en-GB"/>
        </w:rPr>
        <w:t xml:space="preserve">egulations. That requirement has the effect that a person who enters a declared area primarily for a purpose falling within a recognised exception (such as visiting a parent) but also with a secondary innocent purpose (such as attending a friend’s wedding), will commit an offence. </w:t>
      </w:r>
    </w:p>
    <w:p w14:paraId="689F370D" w14:textId="71829906" w:rsidR="00E70C19" w:rsidRPr="00E70C19" w:rsidRDefault="00E70C19" w:rsidP="00E70C19">
      <w:pPr>
        <w:numPr>
          <w:ilvl w:val="0"/>
          <w:numId w:val="45"/>
        </w:numPr>
        <w:spacing w:before="100" w:beforeAutospacing="1" w:after="100" w:afterAutospacing="1"/>
        <w:rPr>
          <w:rFonts w:ascii="ArialMT" w:eastAsia="Times New Roman" w:hAnsi="ArialMT"/>
          <w:lang w:eastAsia="en-GB"/>
        </w:rPr>
      </w:pPr>
      <w:r w:rsidRPr="00E70C19">
        <w:rPr>
          <w:rFonts w:ascii="ArialMT" w:eastAsia="Times New Roman" w:hAnsi="ArialMT"/>
          <w:lang w:eastAsia="en-GB"/>
        </w:rPr>
        <w:t xml:space="preserve">The </w:t>
      </w:r>
      <w:r w:rsidR="566F84F3" w:rsidRPr="01BDAE7C">
        <w:rPr>
          <w:rFonts w:ascii="ArialMT" w:eastAsia="Times New Roman" w:hAnsi="ArialMT"/>
          <w:lang w:eastAsia="en-GB"/>
        </w:rPr>
        <w:t>E</w:t>
      </w:r>
      <w:r w:rsidRPr="01BDAE7C">
        <w:rPr>
          <w:rFonts w:ascii="ArialMT" w:eastAsia="Times New Roman" w:hAnsi="ArialMT"/>
          <w:lang w:eastAsia="en-GB"/>
        </w:rPr>
        <w:t xml:space="preserve">xplanatory </w:t>
      </w:r>
      <w:r w:rsidR="394EB02F" w:rsidRPr="01BDAE7C">
        <w:rPr>
          <w:rFonts w:ascii="ArialMT" w:eastAsia="Times New Roman" w:hAnsi="ArialMT"/>
          <w:lang w:eastAsia="en-GB"/>
        </w:rPr>
        <w:t>M</w:t>
      </w:r>
      <w:r w:rsidRPr="01BDAE7C">
        <w:rPr>
          <w:rFonts w:ascii="ArialMT" w:eastAsia="Times New Roman" w:hAnsi="ArialMT"/>
          <w:lang w:eastAsia="en-GB"/>
        </w:rPr>
        <w:t>emorandum</w:t>
      </w:r>
      <w:r w:rsidRPr="00E70C19">
        <w:rPr>
          <w:rFonts w:ascii="ArialMT" w:eastAsia="Times New Roman" w:hAnsi="ArialMT"/>
          <w:lang w:eastAsia="en-GB"/>
        </w:rPr>
        <w:t xml:space="preserve"> prepared in relation to the Bill did not identify an adequate justification for the provisions. </w:t>
      </w:r>
      <w:r>
        <w:rPr>
          <w:rFonts w:ascii="ArialMT" w:eastAsia="Times New Roman" w:hAnsi="ArialMT"/>
          <w:lang w:eastAsia="en-GB"/>
        </w:rPr>
        <w:t>I</w:t>
      </w:r>
      <w:r w:rsidRPr="00E70C19">
        <w:rPr>
          <w:rFonts w:ascii="ArialMT" w:eastAsia="Times New Roman" w:hAnsi="ArialMT"/>
          <w:lang w:eastAsia="en-GB"/>
        </w:rPr>
        <w:t xml:space="preserve">t stated that division 119 was designed to </w:t>
      </w:r>
    </w:p>
    <w:p w14:paraId="3F0FCBAF" w14:textId="778E616A" w:rsidR="00E70C19" w:rsidRPr="00E70C19" w:rsidRDefault="00E70C19" w:rsidP="00E70C19">
      <w:pPr>
        <w:spacing w:before="100" w:beforeAutospacing="1" w:after="100" w:afterAutospacing="1"/>
        <w:ind w:left="1440"/>
        <w:rPr>
          <w:rFonts w:ascii="ArialMT" w:eastAsia="Times New Roman" w:hAnsi="ArialMT"/>
          <w:lang w:eastAsia="en-GB"/>
        </w:rPr>
      </w:pPr>
      <w:r w:rsidRPr="00E70C19">
        <w:rPr>
          <w:rFonts w:ascii="ArialMT" w:eastAsia="Times New Roman" w:hAnsi="ArialMT"/>
          <w:sz w:val="22"/>
          <w:szCs w:val="22"/>
          <w:lang w:eastAsia="en-GB"/>
        </w:rPr>
        <w:t>equip law enforcement and prosecutorial agencies with the tools to arrest, charge and prosecute those Australians who have committed serious offences, including associating with, fighting, or providing other support for terrorist organisations overseas.</w:t>
      </w:r>
      <w:r w:rsidR="00A875BD">
        <w:rPr>
          <w:rStyle w:val="EndnoteReference"/>
          <w:rFonts w:eastAsia="Times New Roman"/>
          <w:szCs w:val="22"/>
          <w:lang w:eastAsia="en-GB"/>
        </w:rPr>
        <w:endnoteReference w:id="2"/>
      </w:r>
      <w:r w:rsidRPr="00E70C19">
        <w:rPr>
          <w:rFonts w:ascii="ArialMT" w:eastAsia="Times New Roman" w:hAnsi="ArialMT"/>
          <w:position w:val="6"/>
          <w:sz w:val="12"/>
          <w:szCs w:val="12"/>
          <w:lang w:eastAsia="en-GB"/>
        </w:rPr>
        <w:t xml:space="preserve"> </w:t>
      </w:r>
    </w:p>
    <w:p w14:paraId="5C05C9DF" w14:textId="200904BC" w:rsidR="00E70C19" w:rsidRPr="00E70C19" w:rsidRDefault="00E70C19" w:rsidP="00AF584C">
      <w:pPr>
        <w:pStyle w:val="ListParagraph"/>
        <w:numPr>
          <w:ilvl w:val="0"/>
          <w:numId w:val="45"/>
        </w:numPr>
        <w:spacing w:before="100" w:beforeAutospacing="1" w:after="160"/>
        <w:ind w:left="1077" w:hanging="357"/>
        <w:contextualSpacing w:val="0"/>
        <w:rPr>
          <w:rFonts w:ascii="ArialMT" w:eastAsia="Times New Roman" w:hAnsi="ArialMT"/>
          <w:lang w:eastAsia="en-GB"/>
        </w:rPr>
      </w:pPr>
      <w:r w:rsidRPr="00E70C19">
        <w:rPr>
          <w:rFonts w:ascii="ArialMT" w:eastAsia="Times New Roman" w:hAnsi="ArialMT"/>
          <w:lang w:eastAsia="en-GB"/>
        </w:rPr>
        <w:t xml:space="preserve">The Commission </w:t>
      </w:r>
      <w:r w:rsidRPr="01BDAE7C">
        <w:rPr>
          <w:rFonts w:ascii="ArialMT" w:eastAsia="Times New Roman" w:hAnsi="ArialMT"/>
          <w:lang w:eastAsia="en-GB"/>
        </w:rPr>
        <w:t>consider</w:t>
      </w:r>
      <w:r w:rsidR="67E3E3F1" w:rsidRPr="01BDAE7C">
        <w:rPr>
          <w:rFonts w:ascii="ArialMT" w:eastAsia="Times New Roman" w:hAnsi="ArialMT"/>
          <w:lang w:eastAsia="en-GB"/>
        </w:rPr>
        <w:t>s that</w:t>
      </w:r>
      <w:r w:rsidRPr="00E70C19">
        <w:rPr>
          <w:rFonts w:ascii="ArialMT" w:eastAsia="Times New Roman" w:hAnsi="ArialMT"/>
          <w:lang w:eastAsia="en-GB"/>
        </w:rPr>
        <w:t xml:space="preserve"> this explanation </w:t>
      </w:r>
      <w:r w:rsidR="0C05FFD7" w:rsidRPr="01BDAE7C">
        <w:rPr>
          <w:rFonts w:ascii="ArialMT" w:eastAsia="Times New Roman" w:hAnsi="ArialMT"/>
          <w:lang w:eastAsia="en-GB"/>
        </w:rPr>
        <w:t>does not</w:t>
      </w:r>
      <w:r w:rsidRPr="00E70C19">
        <w:rPr>
          <w:rFonts w:ascii="ArialMT" w:eastAsia="Times New Roman" w:hAnsi="ArialMT"/>
          <w:lang w:eastAsia="en-GB"/>
        </w:rPr>
        <w:t xml:space="preserve"> justify criminalising entry into an area without having committed any other </w:t>
      </w:r>
      <w:r w:rsidR="002D0044" w:rsidRPr="00E70C19">
        <w:rPr>
          <w:rFonts w:ascii="ArialMT" w:eastAsia="Times New Roman" w:hAnsi="ArialMT"/>
          <w:lang w:eastAsia="en-GB"/>
        </w:rPr>
        <w:t>offence or</w:t>
      </w:r>
      <w:r w:rsidRPr="00E70C19">
        <w:rPr>
          <w:rFonts w:ascii="ArialMT" w:eastAsia="Times New Roman" w:hAnsi="ArialMT"/>
          <w:lang w:eastAsia="en-GB"/>
        </w:rPr>
        <w:t xml:space="preserve"> intending to perform any wrongful conduct. </w:t>
      </w:r>
    </w:p>
    <w:p w14:paraId="62511507" w14:textId="77777777" w:rsidR="00E70C19" w:rsidRDefault="00E70C19" w:rsidP="00E70C19">
      <w:pPr>
        <w:numPr>
          <w:ilvl w:val="0"/>
          <w:numId w:val="45"/>
        </w:numPr>
        <w:spacing w:before="100" w:beforeAutospacing="1" w:after="160"/>
        <w:ind w:left="1077" w:hanging="357"/>
        <w:rPr>
          <w:rFonts w:ascii="ArialMT" w:eastAsia="Times New Roman" w:hAnsi="ArialMT"/>
          <w:lang w:eastAsia="en-GB"/>
        </w:rPr>
      </w:pPr>
      <w:r w:rsidRPr="00E70C19">
        <w:rPr>
          <w:rFonts w:ascii="ArialMT" w:eastAsia="Times New Roman" w:hAnsi="ArialMT"/>
          <w:lang w:eastAsia="en-GB"/>
        </w:rPr>
        <w:t xml:space="preserve">The exception in s 119.2(3) places an evidential burden on an accused. Once a person is accused of entering or remaining in a declared area (or attempting to do so), it is necessary for them to adduce evidence that they were in a declared area solely for one or more specified legitimate purposes. </w:t>
      </w:r>
    </w:p>
    <w:p w14:paraId="07B56FA2" w14:textId="1456B445" w:rsidR="00E70C19" w:rsidRPr="00E70C19" w:rsidRDefault="00E70C19" w:rsidP="00E70C19">
      <w:pPr>
        <w:numPr>
          <w:ilvl w:val="0"/>
          <w:numId w:val="45"/>
        </w:numPr>
        <w:spacing w:before="100" w:beforeAutospacing="1" w:after="160"/>
        <w:ind w:left="1077" w:hanging="357"/>
        <w:rPr>
          <w:rFonts w:ascii="ArialMT" w:eastAsia="Times New Roman" w:hAnsi="ArialMT"/>
          <w:lang w:eastAsia="en-GB"/>
        </w:rPr>
      </w:pPr>
      <w:r w:rsidRPr="00E70C19">
        <w:rPr>
          <w:rFonts w:ascii="ArialMT" w:eastAsia="Times New Roman" w:hAnsi="ArialMT"/>
          <w:lang w:eastAsia="en-GB"/>
        </w:rPr>
        <w:t xml:space="preserve">The Commission considers that it is likely to be difficult, if not impossible, to formulate in advance a comprehensive list of legitimate reasons for travel to a declared area. This will render persons who do not intend to undertake any inherently wrongful conduct liable to prosecution. </w:t>
      </w:r>
      <w:r w:rsidR="00FB773B">
        <w:rPr>
          <w:rFonts w:ascii="ArialMT" w:eastAsia="Times New Roman" w:hAnsi="ArialMT"/>
          <w:lang w:eastAsia="en-GB"/>
        </w:rPr>
        <w:t xml:space="preserve">While the Commission acknowledges that </w:t>
      </w:r>
      <w:r w:rsidRPr="00E70C19">
        <w:rPr>
          <w:rFonts w:ascii="ArialMT" w:eastAsia="Times New Roman" w:hAnsi="ArialMT"/>
          <w:lang w:eastAsia="en-GB"/>
        </w:rPr>
        <w:t xml:space="preserve">the Attorney-General </w:t>
      </w:r>
      <w:r w:rsidR="00FB773B">
        <w:rPr>
          <w:rFonts w:ascii="ArialMT" w:eastAsia="Times New Roman" w:hAnsi="ArialMT"/>
          <w:lang w:eastAsia="en-GB"/>
        </w:rPr>
        <w:t xml:space="preserve">may </w:t>
      </w:r>
      <w:r w:rsidR="000C0504">
        <w:rPr>
          <w:rFonts w:ascii="ArialMT" w:eastAsia="Times New Roman" w:hAnsi="ArialMT"/>
          <w:lang w:eastAsia="en-GB"/>
        </w:rPr>
        <w:t xml:space="preserve">choose </w:t>
      </w:r>
      <w:r w:rsidR="00FB773B">
        <w:rPr>
          <w:rFonts w:ascii="ArialMT" w:eastAsia="Times New Roman" w:hAnsi="ArialMT"/>
          <w:lang w:eastAsia="en-GB"/>
        </w:rPr>
        <w:t xml:space="preserve">to </w:t>
      </w:r>
      <w:r w:rsidR="00F45658">
        <w:rPr>
          <w:rFonts w:ascii="ArialMT" w:eastAsia="Times New Roman" w:hAnsi="ArialMT"/>
          <w:lang w:eastAsia="en-GB"/>
        </w:rPr>
        <w:t xml:space="preserve">withhold </w:t>
      </w:r>
      <w:r w:rsidRPr="00E70C19">
        <w:rPr>
          <w:rFonts w:ascii="ArialMT" w:eastAsia="Times New Roman" w:hAnsi="ArialMT"/>
          <w:lang w:eastAsia="en-GB"/>
        </w:rPr>
        <w:t xml:space="preserve">consent to the commencement or a particular prosecution, </w:t>
      </w:r>
      <w:r w:rsidR="00C335E1">
        <w:rPr>
          <w:rFonts w:ascii="ArialMT" w:eastAsia="Times New Roman" w:hAnsi="ArialMT"/>
          <w:lang w:eastAsia="en-GB"/>
        </w:rPr>
        <w:t xml:space="preserve">and similarly </w:t>
      </w:r>
      <w:r w:rsidRPr="00E70C19">
        <w:rPr>
          <w:rFonts w:ascii="ArialMT" w:eastAsia="Times New Roman" w:hAnsi="ArialMT"/>
          <w:lang w:eastAsia="en-GB"/>
        </w:rPr>
        <w:t xml:space="preserve">the Director of Public Prosecutions </w:t>
      </w:r>
      <w:r w:rsidR="00C335E1">
        <w:rPr>
          <w:rFonts w:ascii="ArialMT" w:eastAsia="Times New Roman" w:hAnsi="ArialMT"/>
          <w:lang w:eastAsia="en-GB"/>
        </w:rPr>
        <w:t xml:space="preserve">may </w:t>
      </w:r>
      <w:r w:rsidRPr="00E70C19">
        <w:rPr>
          <w:rFonts w:ascii="ArialMT" w:eastAsia="Times New Roman" w:hAnsi="ArialMT"/>
          <w:lang w:eastAsia="en-GB"/>
        </w:rPr>
        <w:t>exercis</w:t>
      </w:r>
      <w:r w:rsidR="00C335E1">
        <w:rPr>
          <w:rFonts w:ascii="ArialMT" w:eastAsia="Times New Roman" w:hAnsi="ArialMT"/>
          <w:lang w:eastAsia="en-GB"/>
        </w:rPr>
        <w:t>e</w:t>
      </w:r>
      <w:r w:rsidRPr="00E70C19">
        <w:rPr>
          <w:rFonts w:ascii="ArialMT" w:eastAsia="Times New Roman" w:hAnsi="ArialMT"/>
          <w:lang w:eastAsia="en-GB"/>
        </w:rPr>
        <w:t xml:space="preserve"> a discretion not to prosecute, </w:t>
      </w:r>
      <w:r w:rsidR="00C335E1">
        <w:rPr>
          <w:rFonts w:ascii="ArialMT" w:eastAsia="Times New Roman" w:hAnsi="ArialMT"/>
          <w:lang w:eastAsia="en-GB"/>
        </w:rPr>
        <w:t xml:space="preserve">this is a </w:t>
      </w:r>
      <w:r w:rsidR="18505F0A">
        <w:rPr>
          <w:rFonts w:ascii="ArialMT" w:eastAsia="Times New Roman" w:hAnsi="ArialMT"/>
          <w:lang w:eastAsia="en-GB"/>
        </w:rPr>
        <w:t>weak</w:t>
      </w:r>
      <w:r w:rsidR="00C335E1">
        <w:rPr>
          <w:rFonts w:ascii="ArialMT" w:eastAsia="Times New Roman" w:hAnsi="ArialMT"/>
          <w:lang w:eastAsia="en-GB"/>
        </w:rPr>
        <w:t xml:space="preserve"> protection against </w:t>
      </w:r>
      <w:r w:rsidR="00794820">
        <w:rPr>
          <w:rFonts w:ascii="ArialMT" w:eastAsia="Times New Roman" w:hAnsi="ArialMT"/>
          <w:lang w:eastAsia="en-GB"/>
        </w:rPr>
        <w:t>the prosecution of conduct that is not inherently wrongful</w:t>
      </w:r>
      <w:r w:rsidRPr="00E70C19">
        <w:rPr>
          <w:rFonts w:ascii="ArialMT" w:eastAsia="Times New Roman" w:hAnsi="ArialMT"/>
          <w:lang w:eastAsia="en-GB"/>
        </w:rPr>
        <w:t>.</w:t>
      </w:r>
      <w:r w:rsidR="001F18CA">
        <w:rPr>
          <w:rStyle w:val="EndnoteReference"/>
          <w:rFonts w:eastAsia="Times New Roman"/>
          <w:lang w:eastAsia="en-GB"/>
        </w:rPr>
        <w:endnoteReference w:id="3"/>
      </w:r>
      <w:r w:rsidRPr="00E70C19">
        <w:rPr>
          <w:rFonts w:ascii="ArialMT" w:eastAsia="Times New Roman" w:hAnsi="ArialMT"/>
          <w:position w:val="6"/>
          <w:sz w:val="12"/>
          <w:szCs w:val="12"/>
          <w:lang w:eastAsia="en-GB"/>
        </w:rPr>
        <w:t xml:space="preserve"> </w:t>
      </w:r>
      <w:r w:rsidR="00F50057">
        <w:rPr>
          <w:rFonts w:ascii="ArialMT" w:eastAsia="Times New Roman" w:hAnsi="ArialMT"/>
          <w:lang w:eastAsia="en-GB"/>
        </w:rPr>
        <w:t xml:space="preserve">It does not </w:t>
      </w:r>
      <w:r w:rsidR="00A77325">
        <w:rPr>
          <w:rFonts w:ascii="ArialMT" w:eastAsia="Times New Roman" w:hAnsi="ArialMT"/>
          <w:lang w:eastAsia="en-GB"/>
        </w:rPr>
        <w:t xml:space="preserve">conform with the foundational principle of the rule of law that such a protection would rely on the exercise of a personal discretion by a </w:t>
      </w:r>
      <w:r w:rsidR="000152BD">
        <w:rPr>
          <w:rFonts w:ascii="ArialMT" w:eastAsia="Times New Roman" w:hAnsi="ArialMT"/>
          <w:lang w:eastAsia="en-GB"/>
        </w:rPr>
        <w:t>senior government official.</w:t>
      </w:r>
    </w:p>
    <w:p w14:paraId="002AD995" w14:textId="45F6AD91" w:rsidR="00E70C19" w:rsidRPr="00FD44E2" w:rsidRDefault="00E70C19" w:rsidP="00E70C19">
      <w:pPr>
        <w:pStyle w:val="ListParagraph"/>
        <w:numPr>
          <w:ilvl w:val="0"/>
          <w:numId w:val="45"/>
        </w:numPr>
        <w:spacing w:before="100" w:beforeAutospacing="1" w:after="160"/>
        <w:ind w:left="1077" w:hanging="357"/>
        <w:contextualSpacing w:val="0"/>
        <w:rPr>
          <w:rFonts w:ascii="Times New Roman" w:eastAsia="Times New Roman" w:hAnsi="Times New Roman"/>
          <w:lang w:eastAsia="en-GB"/>
        </w:rPr>
      </w:pPr>
      <w:r w:rsidRPr="00E70C19">
        <w:rPr>
          <w:rFonts w:ascii="ArialMT" w:eastAsia="Times New Roman" w:hAnsi="ArialMT"/>
          <w:lang w:eastAsia="en-GB"/>
        </w:rPr>
        <w:t>By potentially capturing a wide range of innocent conduct, and making that conduct subject to a severe criminal penalty, in the absence of a demonstrated compelling need</w:t>
      </w:r>
      <w:r w:rsidR="00511ED1">
        <w:rPr>
          <w:rFonts w:ascii="ArialMT" w:eastAsia="Times New Roman" w:hAnsi="ArialMT"/>
          <w:lang w:eastAsia="en-GB"/>
        </w:rPr>
        <w:t>,</w:t>
      </w:r>
      <w:r w:rsidRPr="00E70C19">
        <w:rPr>
          <w:rFonts w:ascii="ArialMT" w:eastAsia="Times New Roman" w:hAnsi="ArialMT"/>
          <w:lang w:eastAsia="en-GB"/>
        </w:rPr>
        <w:t xml:space="preserve"> the </w:t>
      </w:r>
      <w:r w:rsidR="00511ED1">
        <w:rPr>
          <w:rFonts w:ascii="ArialMT" w:eastAsia="Times New Roman" w:hAnsi="ArialMT"/>
          <w:lang w:eastAsia="en-GB"/>
        </w:rPr>
        <w:t xml:space="preserve">declared area </w:t>
      </w:r>
      <w:r w:rsidRPr="00E70C19">
        <w:rPr>
          <w:rFonts w:ascii="ArialMT" w:eastAsia="Times New Roman" w:hAnsi="ArialMT"/>
          <w:lang w:eastAsia="en-GB"/>
        </w:rPr>
        <w:t xml:space="preserve">provisions are likely to </w:t>
      </w:r>
      <w:r w:rsidR="00511ED1">
        <w:rPr>
          <w:rFonts w:ascii="ArialMT" w:eastAsia="Times New Roman" w:hAnsi="ArialMT"/>
          <w:lang w:eastAsia="en-GB"/>
        </w:rPr>
        <w:t xml:space="preserve">infringe </w:t>
      </w:r>
      <w:r w:rsidRPr="00E70C19">
        <w:rPr>
          <w:rFonts w:ascii="ArialMT" w:eastAsia="Times New Roman" w:hAnsi="ArialMT"/>
          <w:lang w:eastAsia="en-GB"/>
        </w:rPr>
        <w:t>impermissibly the freedom of movement (protected by article 12 of the I</w:t>
      </w:r>
      <w:r w:rsidR="008C6B7A">
        <w:rPr>
          <w:rFonts w:ascii="ArialMT" w:eastAsia="Times New Roman" w:hAnsi="ArialMT"/>
          <w:lang w:eastAsia="en-GB"/>
        </w:rPr>
        <w:t xml:space="preserve">nternational </w:t>
      </w:r>
      <w:r w:rsidRPr="00E70C19">
        <w:rPr>
          <w:rFonts w:ascii="ArialMT" w:eastAsia="Times New Roman" w:hAnsi="ArialMT"/>
          <w:lang w:eastAsia="en-GB"/>
        </w:rPr>
        <w:t>C</w:t>
      </w:r>
      <w:r w:rsidR="008C6B7A">
        <w:rPr>
          <w:rFonts w:ascii="ArialMT" w:eastAsia="Times New Roman" w:hAnsi="ArialMT"/>
          <w:lang w:eastAsia="en-GB"/>
        </w:rPr>
        <w:t xml:space="preserve">ovenant on </w:t>
      </w:r>
      <w:r w:rsidRPr="00E70C19">
        <w:rPr>
          <w:rFonts w:ascii="ArialMT" w:eastAsia="Times New Roman" w:hAnsi="ArialMT"/>
          <w:lang w:eastAsia="en-GB"/>
        </w:rPr>
        <w:t>C</w:t>
      </w:r>
      <w:r w:rsidR="008C6B7A">
        <w:rPr>
          <w:rFonts w:ascii="ArialMT" w:eastAsia="Times New Roman" w:hAnsi="ArialMT"/>
          <w:lang w:eastAsia="en-GB"/>
        </w:rPr>
        <w:t xml:space="preserve">ivil and </w:t>
      </w:r>
      <w:r w:rsidRPr="00E70C19">
        <w:rPr>
          <w:rFonts w:ascii="ArialMT" w:eastAsia="Times New Roman" w:hAnsi="ArialMT"/>
          <w:lang w:eastAsia="en-GB"/>
        </w:rPr>
        <w:t>P</w:t>
      </w:r>
      <w:r w:rsidR="008C6B7A">
        <w:rPr>
          <w:rFonts w:ascii="ArialMT" w:eastAsia="Times New Roman" w:hAnsi="ArialMT"/>
          <w:lang w:eastAsia="en-GB"/>
        </w:rPr>
        <w:t xml:space="preserve">olitical </w:t>
      </w:r>
      <w:r w:rsidRPr="00E70C19">
        <w:rPr>
          <w:rFonts w:ascii="ArialMT" w:eastAsia="Times New Roman" w:hAnsi="ArialMT"/>
          <w:lang w:eastAsia="en-GB"/>
        </w:rPr>
        <w:t>R</w:t>
      </w:r>
      <w:r w:rsidR="008C6B7A">
        <w:rPr>
          <w:rFonts w:ascii="ArialMT" w:eastAsia="Times New Roman" w:hAnsi="ArialMT"/>
          <w:lang w:eastAsia="en-GB"/>
        </w:rPr>
        <w:t>ights</w:t>
      </w:r>
      <w:r w:rsidRPr="00E70C19">
        <w:rPr>
          <w:rFonts w:ascii="ArialMT" w:eastAsia="Times New Roman" w:hAnsi="ArialMT"/>
          <w:lang w:eastAsia="en-GB"/>
        </w:rPr>
        <w:t>)</w:t>
      </w:r>
      <w:r w:rsidR="008C6B7A">
        <w:rPr>
          <w:rFonts w:ascii="ArialMT" w:eastAsia="Times New Roman" w:hAnsi="ArialMT"/>
          <w:lang w:eastAsia="en-GB"/>
        </w:rPr>
        <w:t xml:space="preserve"> </w:t>
      </w:r>
      <w:r w:rsidR="004A43A5">
        <w:rPr>
          <w:rFonts w:ascii="ArialMT" w:eastAsia="Times New Roman" w:hAnsi="ArialMT"/>
          <w:lang w:eastAsia="en-GB"/>
        </w:rPr>
        <w:t xml:space="preserve">and </w:t>
      </w:r>
      <w:r w:rsidRPr="00E70C19">
        <w:rPr>
          <w:rFonts w:ascii="ArialMT" w:eastAsia="Times New Roman" w:hAnsi="ArialMT"/>
          <w:lang w:eastAsia="en-GB"/>
        </w:rPr>
        <w:t xml:space="preserve">other human rights, </w:t>
      </w:r>
      <w:r w:rsidR="004A43A5">
        <w:rPr>
          <w:rFonts w:ascii="ArialMT" w:eastAsia="Times New Roman" w:hAnsi="ArialMT"/>
          <w:lang w:eastAsia="en-GB"/>
        </w:rPr>
        <w:t>such as</w:t>
      </w:r>
      <w:r w:rsidR="00FA19BF">
        <w:rPr>
          <w:rFonts w:ascii="ArialMT" w:eastAsia="Times New Roman" w:hAnsi="ArialMT"/>
          <w:lang w:eastAsia="en-GB"/>
        </w:rPr>
        <w:t xml:space="preserve"> </w:t>
      </w:r>
      <w:r w:rsidRPr="00E70C19">
        <w:rPr>
          <w:rFonts w:ascii="ArialMT" w:eastAsia="Times New Roman" w:hAnsi="ArialMT"/>
          <w:lang w:eastAsia="en-GB"/>
        </w:rPr>
        <w:t>the right to family life (protected by article 23)</w:t>
      </w:r>
      <w:r w:rsidR="004C1845">
        <w:rPr>
          <w:rStyle w:val="EndnoteReference"/>
          <w:rFonts w:eastAsia="Times New Roman"/>
          <w:lang w:eastAsia="en-GB"/>
        </w:rPr>
        <w:endnoteReference w:id="4"/>
      </w:r>
      <w:r w:rsidRPr="00E70C19">
        <w:rPr>
          <w:rFonts w:ascii="ArialMT" w:eastAsia="Times New Roman" w:hAnsi="ArialMT"/>
          <w:lang w:eastAsia="en-GB"/>
        </w:rPr>
        <w:t xml:space="preserve">. </w:t>
      </w:r>
    </w:p>
    <w:p w14:paraId="5847A085" w14:textId="3B18A13E" w:rsidR="00F96050" w:rsidRPr="00FD44E2" w:rsidRDefault="00F96050" w:rsidP="00E70C19">
      <w:pPr>
        <w:pStyle w:val="ListParagraph"/>
        <w:numPr>
          <w:ilvl w:val="0"/>
          <w:numId w:val="45"/>
        </w:numPr>
        <w:spacing w:before="100" w:beforeAutospacing="1" w:after="160"/>
        <w:ind w:left="1077" w:hanging="357"/>
        <w:contextualSpacing w:val="0"/>
        <w:rPr>
          <w:rFonts w:ascii="Times New Roman" w:eastAsia="Times New Roman" w:hAnsi="Times New Roman"/>
          <w:lang w:eastAsia="en-GB"/>
        </w:rPr>
      </w:pPr>
      <w:r>
        <w:rPr>
          <w:rFonts w:ascii="ArialMT" w:eastAsia="Times New Roman" w:hAnsi="ArialMT"/>
          <w:lang w:eastAsia="en-GB"/>
        </w:rPr>
        <w:t xml:space="preserve">Finally, the Commission considers it important to acknowledge the </w:t>
      </w:r>
      <w:r w:rsidR="006B429B">
        <w:rPr>
          <w:rFonts w:ascii="ArialMT" w:eastAsia="Times New Roman" w:hAnsi="ArialMT"/>
          <w:lang w:eastAsia="en-GB"/>
        </w:rPr>
        <w:t xml:space="preserve">implication of Covid-19 on the operation of </w:t>
      </w:r>
      <w:r w:rsidR="00801A7A">
        <w:rPr>
          <w:rFonts w:ascii="ArialMT" w:eastAsia="Times New Roman" w:hAnsi="ArialMT"/>
          <w:lang w:eastAsia="en-GB"/>
        </w:rPr>
        <w:t xml:space="preserve">this legislation. The declared areas provisions in particular </w:t>
      </w:r>
      <w:r w:rsidR="000F5C70">
        <w:rPr>
          <w:rFonts w:ascii="ArialMT" w:eastAsia="Times New Roman" w:hAnsi="ArialMT"/>
          <w:lang w:eastAsia="en-GB"/>
        </w:rPr>
        <w:t>will alter in their practical effect due to the steps that have been taken by government</w:t>
      </w:r>
      <w:r w:rsidR="00C9279F">
        <w:rPr>
          <w:rFonts w:ascii="ArialMT" w:eastAsia="Times New Roman" w:hAnsi="ArialMT"/>
          <w:lang w:eastAsia="en-GB"/>
        </w:rPr>
        <w:t>s</w:t>
      </w:r>
      <w:r w:rsidR="000F5C70">
        <w:rPr>
          <w:rFonts w:ascii="ArialMT" w:eastAsia="Times New Roman" w:hAnsi="ArialMT"/>
          <w:lang w:eastAsia="en-GB"/>
        </w:rPr>
        <w:t xml:space="preserve"> in response to the pandemic, </w:t>
      </w:r>
      <w:r w:rsidR="000F5C70">
        <w:rPr>
          <w:rFonts w:ascii="ArialMT" w:eastAsia="Times New Roman" w:hAnsi="ArialMT"/>
          <w:lang w:eastAsia="en-GB"/>
        </w:rPr>
        <w:lastRenderedPageBreak/>
        <w:t>such as the closing of Australia’s borders</w:t>
      </w:r>
      <w:r w:rsidR="00CF02BE">
        <w:rPr>
          <w:rFonts w:ascii="ArialMT" w:eastAsia="Times New Roman" w:hAnsi="ArialMT"/>
          <w:lang w:eastAsia="en-GB"/>
        </w:rPr>
        <w:t>, and this should be a factor taken into account in th</w:t>
      </w:r>
      <w:r w:rsidR="000C32B2">
        <w:rPr>
          <w:rFonts w:ascii="ArialMT" w:eastAsia="Times New Roman" w:hAnsi="ArialMT"/>
          <w:lang w:eastAsia="en-GB"/>
        </w:rPr>
        <w:t>e present review</w:t>
      </w:r>
      <w:r w:rsidR="006F3129">
        <w:rPr>
          <w:rFonts w:ascii="ArialMT" w:eastAsia="Times New Roman" w:hAnsi="ArialMT"/>
          <w:lang w:eastAsia="en-GB"/>
        </w:rPr>
        <w:t>.</w:t>
      </w:r>
      <w:r w:rsidR="00801A7A">
        <w:rPr>
          <w:rFonts w:ascii="ArialMT" w:eastAsia="Times New Roman" w:hAnsi="ArialMT"/>
          <w:lang w:eastAsia="en-GB"/>
        </w:rPr>
        <w:t xml:space="preserve"> </w:t>
      </w:r>
    </w:p>
    <w:p w14:paraId="32BDA9C7" w14:textId="53EB2409" w:rsidR="00353795" w:rsidRPr="00353795" w:rsidRDefault="00BF5502" w:rsidP="00353795">
      <w:pPr>
        <w:pStyle w:val="Heading1"/>
        <w:numPr>
          <w:ilvl w:val="0"/>
          <w:numId w:val="37"/>
        </w:numPr>
      </w:pPr>
      <w:bookmarkStart w:id="9" w:name="_Toc49157580"/>
      <w:r>
        <w:t>Reco</w:t>
      </w:r>
      <w:r w:rsidRPr="001E1304">
        <w:t>mmendations</w:t>
      </w:r>
      <w:bookmarkEnd w:id="9"/>
    </w:p>
    <w:p w14:paraId="3E1D7B8E" w14:textId="268D999D" w:rsidR="007A12A9" w:rsidRDefault="00BF5502" w:rsidP="00353795">
      <w:pPr>
        <w:pStyle w:val="SubmissionNormal"/>
        <w:rPr>
          <w:lang w:eastAsia="en-GB"/>
        </w:rPr>
      </w:pPr>
      <w:r w:rsidRPr="00353795">
        <w:rPr>
          <w:lang w:eastAsia="en-GB"/>
        </w:rPr>
        <w:t xml:space="preserve">The Commission considers that the declared areas provisions place significant restrictions on the human rights of persons affected by them. To date, no compelling evidence has been provided to demonstrate that they are necessary and proportionate to achieving </w:t>
      </w:r>
      <w:r w:rsidR="007A12A9">
        <w:rPr>
          <w:lang w:eastAsia="en-GB"/>
        </w:rPr>
        <w:t xml:space="preserve">the objectives as stated in the </w:t>
      </w:r>
      <w:r w:rsidR="44DD8608" w:rsidRPr="01BDAE7C">
        <w:rPr>
          <w:lang w:eastAsia="en-GB"/>
        </w:rPr>
        <w:t>E</w:t>
      </w:r>
      <w:r w:rsidR="007A12A9" w:rsidRPr="01BDAE7C">
        <w:rPr>
          <w:lang w:eastAsia="en-GB"/>
        </w:rPr>
        <w:t xml:space="preserve">xplanatory </w:t>
      </w:r>
      <w:r w:rsidR="4C4C674C" w:rsidRPr="01BDAE7C">
        <w:rPr>
          <w:lang w:eastAsia="en-GB"/>
        </w:rPr>
        <w:t>M</w:t>
      </w:r>
      <w:r w:rsidR="007A12A9" w:rsidRPr="01BDAE7C">
        <w:rPr>
          <w:lang w:eastAsia="en-GB"/>
        </w:rPr>
        <w:t>emorandum</w:t>
      </w:r>
      <w:r w:rsidR="007A12A9">
        <w:rPr>
          <w:lang w:eastAsia="en-GB"/>
        </w:rPr>
        <w:t xml:space="preserve"> to the Counter-Terrorism Legislation Amendment (Foreign Fighters) Bill 2014 (which introduced the provisions).</w:t>
      </w:r>
    </w:p>
    <w:p w14:paraId="4F3202D6" w14:textId="7D51E03B" w:rsidR="00BF5502" w:rsidRPr="00353795" w:rsidRDefault="00BF5502" w:rsidP="00353795">
      <w:pPr>
        <w:pStyle w:val="SubmissionNormal"/>
        <w:rPr>
          <w:lang w:eastAsia="en-GB"/>
        </w:rPr>
      </w:pPr>
      <w:r w:rsidRPr="00353795">
        <w:rPr>
          <w:lang w:eastAsia="en-GB"/>
        </w:rPr>
        <w:t xml:space="preserve">The Commission therefore repeats the substance of its recommendations made in its INSLM Submission and its supplementary submission to the PJCIS in its last review. </w:t>
      </w:r>
    </w:p>
    <w:p w14:paraId="3E8F85BB" w14:textId="77777777" w:rsidR="00BF5502" w:rsidRPr="00BF5502" w:rsidRDefault="00BF5502" w:rsidP="00353795">
      <w:pPr>
        <w:spacing w:before="100" w:beforeAutospacing="1" w:after="100" w:afterAutospacing="1"/>
        <w:ind w:firstLine="720"/>
        <w:rPr>
          <w:rFonts w:ascii="Times New Roman" w:eastAsia="Times New Roman" w:hAnsi="Times New Roman"/>
          <w:lang w:eastAsia="en-GB"/>
        </w:rPr>
      </w:pPr>
      <w:r w:rsidRPr="00BF5502">
        <w:rPr>
          <w:rFonts w:eastAsia="Times New Roman" w:cs="Arial"/>
          <w:b/>
          <w:bCs/>
          <w:lang w:eastAsia="en-GB"/>
        </w:rPr>
        <w:t xml:space="preserve">Recommendation 1 </w:t>
      </w:r>
    </w:p>
    <w:p w14:paraId="230A296F" w14:textId="76C2781C" w:rsidR="00BF5502" w:rsidRPr="00BF5502" w:rsidRDefault="006716EF" w:rsidP="00353795">
      <w:pPr>
        <w:spacing w:before="100" w:beforeAutospacing="1" w:after="100" w:afterAutospacing="1"/>
        <w:ind w:left="720"/>
        <w:rPr>
          <w:rFonts w:ascii="Times New Roman" w:eastAsia="Times New Roman" w:hAnsi="Times New Roman"/>
          <w:lang w:eastAsia="en-GB"/>
        </w:rPr>
      </w:pPr>
      <w:r>
        <w:rPr>
          <w:rFonts w:ascii="ArialMT" w:eastAsia="Times New Roman" w:hAnsi="ArialMT"/>
          <w:lang w:eastAsia="en-GB"/>
        </w:rPr>
        <w:t>T</w:t>
      </w:r>
      <w:r w:rsidR="00BF5502" w:rsidRPr="00BF5502">
        <w:rPr>
          <w:rFonts w:ascii="ArialMT" w:eastAsia="Times New Roman" w:hAnsi="ArialMT"/>
          <w:lang w:eastAsia="en-GB"/>
        </w:rPr>
        <w:t>he declared areas provisions should be repealed</w:t>
      </w:r>
      <w:r>
        <w:rPr>
          <w:rFonts w:ascii="ArialMT" w:eastAsia="Times New Roman" w:hAnsi="ArialMT"/>
          <w:lang w:eastAsia="en-GB"/>
        </w:rPr>
        <w:t xml:space="preserve"> as they </w:t>
      </w:r>
      <w:r w:rsidRPr="00BF5502">
        <w:rPr>
          <w:rFonts w:ascii="ArialMT" w:eastAsia="Times New Roman" w:hAnsi="ArialMT"/>
          <w:lang w:eastAsia="en-GB"/>
        </w:rPr>
        <w:t>are</w:t>
      </w:r>
      <w:r>
        <w:rPr>
          <w:rFonts w:ascii="ArialMT" w:eastAsia="Times New Roman" w:hAnsi="ArialMT"/>
          <w:lang w:eastAsia="en-GB"/>
        </w:rPr>
        <w:t xml:space="preserve"> not justified as</w:t>
      </w:r>
      <w:r w:rsidRPr="00BF5502">
        <w:rPr>
          <w:rFonts w:ascii="ArialMT" w:eastAsia="Times New Roman" w:hAnsi="ArialMT"/>
          <w:lang w:eastAsia="en-GB"/>
        </w:rPr>
        <w:t xml:space="preserve"> necessary and proportionate to achieving a legitimate end</w:t>
      </w:r>
      <w:r w:rsidR="00BF5502" w:rsidRPr="00BF5502">
        <w:rPr>
          <w:rFonts w:ascii="ArialMT" w:eastAsia="Times New Roman" w:hAnsi="ArialMT"/>
          <w:lang w:eastAsia="en-GB"/>
        </w:rPr>
        <w:t xml:space="preserve">. </w:t>
      </w:r>
    </w:p>
    <w:p w14:paraId="57E43A46" w14:textId="77777777" w:rsidR="00BF5502" w:rsidRPr="00BF5502" w:rsidRDefault="00BF5502" w:rsidP="00353795">
      <w:pPr>
        <w:spacing w:before="100" w:beforeAutospacing="1" w:after="100" w:afterAutospacing="1"/>
        <w:ind w:left="720"/>
        <w:rPr>
          <w:rFonts w:ascii="Times New Roman" w:eastAsia="Times New Roman" w:hAnsi="Times New Roman"/>
          <w:lang w:eastAsia="en-GB"/>
        </w:rPr>
      </w:pPr>
      <w:r w:rsidRPr="00BF5502">
        <w:rPr>
          <w:rFonts w:eastAsia="Times New Roman" w:cs="Arial"/>
          <w:b/>
          <w:bCs/>
          <w:lang w:eastAsia="en-GB"/>
        </w:rPr>
        <w:t xml:space="preserve">Recommendation 2 </w:t>
      </w:r>
    </w:p>
    <w:p w14:paraId="709B41C8" w14:textId="1FA38F43" w:rsidR="00BF5502" w:rsidRPr="00BF5502" w:rsidRDefault="00BF5502" w:rsidP="00353795">
      <w:pPr>
        <w:pStyle w:val="NormalWeb"/>
        <w:ind w:left="720"/>
        <w:rPr>
          <w:rFonts w:eastAsia="Times New Roman"/>
          <w:lang w:eastAsia="en-GB"/>
        </w:rPr>
      </w:pPr>
      <w:r w:rsidRPr="00BF5502">
        <w:rPr>
          <w:rFonts w:ascii="ArialMT" w:eastAsia="Times New Roman" w:hAnsi="ArialMT"/>
          <w:lang w:eastAsia="en-GB"/>
        </w:rPr>
        <w:t xml:space="preserve">In the event that </w:t>
      </w:r>
      <w:r w:rsidR="00B15FD6">
        <w:rPr>
          <w:rFonts w:ascii="ArialMT" w:eastAsia="Times New Roman" w:hAnsi="ArialMT"/>
          <w:lang w:eastAsia="en-GB"/>
        </w:rPr>
        <w:t>r</w:t>
      </w:r>
      <w:r w:rsidR="00433134">
        <w:rPr>
          <w:rFonts w:ascii="ArialMT" w:eastAsia="Times New Roman" w:hAnsi="ArialMT"/>
          <w:lang w:eastAsia="en-GB"/>
        </w:rPr>
        <w:t>ecommendation 1 is not accepted</w:t>
      </w:r>
      <w:r w:rsidRPr="00BF5502">
        <w:rPr>
          <w:rFonts w:ascii="ArialMT" w:eastAsia="Times New Roman" w:hAnsi="ArialMT"/>
          <w:lang w:eastAsia="en-GB"/>
        </w:rPr>
        <w:t xml:space="preserve">, s 119.3 of the Criminal Code should be amended so that the Foreign Affairs Minister may declare an area only if </w:t>
      </w:r>
      <w:r w:rsidR="72E2E961" w:rsidRPr="01BDAE7C">
        <w:rPr>
          <w:rFonts w:ascii="ArialMT" w:eastAsia="Times New Roman" w:hAnsi="ArialMT"/>
          <w:lang w:eastAsia="en-GB"/>
        </w:rPr>
        <w:t>the Minister</w:t>
      </w:r>
      <w:r w:rsidRPr="00BF5502">
        <w:rPr>
          <w:rFonts w:ascii="ArialMT" w:eastAsia="Times New Roman" w:hAnsi="ArialMT"/>
          <w:lang w:eastAsia="en-GB"/>
        </w:rPr>
        <w:t xml:space="preserve"> is satisfied that a listed terrorist organisation is engaging in a hostile activity to a significant degree in that area. </w:t>
      </w:r>
    </w:p>
    <w:p w14:paraId="0F37775E" w14:textId="77777777" w:rsidR="00BF5502" w:rsidRPr="00BF5502" w:rsidRDefault="00BF5502" w:rsidP="00353795">
      <w:pPr>
        <w:spacing w:before="100" w:beforeAutospacing="1" w:after="100" w:afterAutospacing="1"/>
        <w:ind w:left="720"/>
        <w:rPr>
          <w:rFonts w:ascii="Times New Roman" w:eastAsia="Times New Roman" w:hAnsi="Times New Roman"/>
          <w:lang w:eastAsia="en-GB"/>
        </w:rPr>
      </w:pPr>
      <w:r w:rsidRPr="00BF5502">
        <w:rPr>
          <w:rFonts w:eastAsia="Times New Roman" w:cs="Arial"/>
          <w:b/>
          <w:bCs/>
          <w:lang w:eastAsia="en-GB"/>
        </w:rPr>
        <w:t xml:space="preserve">Recommendation 3 </w:t>
      </w:r>
    </w:p>
    <w:p w14:paraId="1BF26483" w14:textId="542D4B5E" w:rsidR="01BDAE7C" w:rsidRDefault="00BF5502" w:rsidP="004B1393">
      <w:pPr>
        <w:spacing w:before="100" w:beforeAutospacing="1" w:after="100" w:afterAutospacing="1"/>
        <w:ind w:left="720"/>
        <w:rPr>
          <w:rFonts w:eastAsia="Arial" w:cs="Arial"/>
          <w:lang w:eastAsia="en-GB"/>
        </w:rPr>
      </w:pPr>
      <w:r w:rsidRPr="00BF5502">
        <w:rPr>
          <w:rFonts w:ascii="ArialMT" w:eastAsia="Times New Roman" w:hAnsi="ArialMT"/>
          <w:lang w:eastAsia="en-GB"/>
        </w:rPr>
        <w:t xml:space="preserve">In the event that the PJCIS is satisfied that the declared areas provisions are necessary and proportionate and should not be repealed, the exception </w:t>
      </w:r>
      <w:r w:rsidRPr="01BDAE7C">
        <w:rPr>
          <w:rFonts w:eastAsia="Arial" w:cs="Arial"/>
          <w:lang w:eastAsia="en-GB"/>
        </w:rPr>
        <w:t>contained in s 119.2(3) of the Criminal Code should be amended so that</w:t>
      </w:r>
      <w:r w:rsidR="00353795" w:rsidRPr="01BDAE7C">
        <w:rPr>
          <w:rFonts w:eastAsia="Arial" w:cs="Arial"/>
          <w:lang w:eastAsia="en-GB"/>
        </w:rPr>
        <w:t xml:space="preserve"> </w:t>
      </w:r>
      <w:r w:rsidRPr="01BDAE7C">
        <w:rPr>
          <w:rFonts w:eastAsia="Arial" w:cs="Arial"/>
          <w:lang w:eastAsia="en-GB"/>
        </w:rPr>
        <w:t xml:space="preserve">s 119.2(1) does not apply to a person if that person enters, or remains in, an area solely for a purpose or purposes not connected with engaging in hostile activities. </w:t>
      </w:r>
    </w:p>
    <w:p w14:paraId="1B4E491C" w14:textId="77777777" w:rsidR="00BF5502" w:rsidRPr="00BF5502" w:rsidRDefault="00BF5502" w:rsidP="00353795">
      <w:pPr>
        <w:spacing w:before="100" w:beforeAutospacing="1" w:after="100" w:afterAutospacing="1"/>
        <w:ind w:left="720"/>
        <w:rPr>
          <w:rFonts w:eastAsia="Arial" w:cs="Arial"/>
          <w:lang w:eastAsia="en-GB"/>
        </w:rPr>
      </w:pPr>
      <w:r w:rsidRPr="01BDAE7C">
        <w:rPr>
          <w:rFonts w:eastAsia="Arial" w:cs="Arial"/>
          <w:b/>
          <w:lang w:eastAsia="en-GB"/>
        </w:rPr>
        <w:t xml:space="preserve">Recommendation 4 </w:t>
      </w:r>
    </w:p>
    <w:p w14:paraId="2557865F" w14:textId="77777777" w:rsidR="00BF5502" w:rsidRPr="00BF5502" w:rsidRDefault="00BF5502" w:rsidP="00353795">
      <w:pPr>
        <w:spacing w:before="100" w:beforeAutospacing="1" w:after="100" w:afterAutospacing="1"/>
        <w:ind w:left="720"/>
        <w:rPr>
          <w:rFonts w:eastAsia="Arial" w:cs="Arial"/>
          <w:lang w:eastAsia="en-GB"/>
        </w:rPr>
      </w:pPr>
      <w:r w:rsidRPr="01BDAE7C">
        <w:rPr>
          <w:rFonts w:eastAsia="Arial" w:cs="Arial"/>
          <w:lang w:eastAsia="en-GB"/>
        </w:rPr>
        <w:t xml:space="preserve">In the event that recommendation 3 is not accepted: </w:t>
      </w:r>
    </w:p>
    <w:p w14:paraId="263A3DAC" w14:textId="0051A6E8" w:rsidR="00BF5502" w:rsidRPr="00BF5502" w:rsidRDefault="00BF5502" w:rsidP="00353795">
      <w:pPr>
        <w:numPr>
          <w:ilvl w:val="0"/>
          <w:numId w:val="44"/>
        </w:numPr>
        <w:spacing w:before="100" w:beforeAutospacing="1" w:after="120"/>
        <w:ind w:left="1077" w:hanging="357"/>
        <w:rPr>
          <w:rFonts w:eastAsia="Arial" w:cs="Arial"/>
          <w:lang w:eastAsia="en-GB"/>
        </w:rPr>
      </w:pPr>
      <w:r w:rsidRPr="01BDAE7C">
        <w:rPr>
          <w:rFonts w:eastAsia="Arial" w:cs="Arial"/>
          <w:lang w:eastAsia="en-GB"/>
        </w:rPr>
        <w:t xml:space="preserve">Detailed consideration be given to expanding the list of legitimate reasons for travel to declared areas in s 119.2(3) of the Criminal Code to include, for instance, visiting friends, transacting business, retrieving personal property and attending to personal or financial affairs. The list should be made as comprehensive as possible; and </w:t>
      </w:r>
    </w:p>
    <w:p w14:paraId="599AC6B1" w14:textId="5DDFFAD1" w:rsidR="00353795" w:rsidRPr="00353795" w:rsidRDefault="00BF5502" w:rsidP="00353795">
      <w:pPr>
        <w:numPr>
          <w:ilvl w:val="0"/>
          <w:numId w:val="44"/>
        </w:numPr>
        <w:spacing w:before="100" w:beforeAutospacing="1" w:after="120"/>
        <w:ind w:left="1077" w:hanging="357"/>
        <w:rPr>
          <w:rFonts w:eastAsia="Arial" w:cs="Arial"/>
          <w:lang w:eastAsia="en-GB"/>
        </w:rPr>
      </w:pPr>
      <w:r w:rsidRPr="01BDAE7C">
        <w:rPr>
          <w:rFonts w:eastAsia="Arial" w:cs="Arial"/>
          <w:lang w:eastAsia="en-GB"/>
        </w:rPr>
        <w:t xml:space="preserve">Section 119.2 of the Criminal Code be amended so that it is a defence to a charge of entering or remaining in a declared area if a person </w:t>
      </w:r>
      <w:proofErr w:type="gramStart"/>
      <w:r w:rsidRPr="01BDAE7C">
        <w:rPr>
          <w:rFonts w:eastAsia="Arial" w:cs="Arial"/>
          <w:lang w:eastAsia="en-GB"/>
        </w:rPr>
        <w:t>establishes</w:t>
      </w:r>
      <w:proofErr w:type="gramEnd"/>
      <w:r w:rsidRPr="01BDAE7C">
        <w:rPr>
          <w:rFonts w:eastAsia="Arial" w:cs="Arial"/>
          <w:lang w:eastAsia="en-GB"/>
        </w:rPr>
        <w:t xml:space="preserve"> they were in a country for a purpose other than engaging in a hostile activity. </w:t>
      </w:r>
      <w:bookmarkEnd w:id="6"/>
      <w:bookmarkEnd w:id="7"/>
      <w:bookmarkEnd w:id="8"/>
    </w:p>
    <w:sectPr w:rsidR="00353795" w:rsidRPr="00353795" w:rsidSect="00B63D24">
      <w:headerReference w:type="even" r:id="rId19"/>
      <w:headerReference w:type="default" r:id="rId20"/>
      <w:footerReference w:type="default" r:id="rId21"/>
      <w:headerReference w:type="first" r:id="rId22"/>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CC15D" w14:textId="77777777" w:rsidR="003C665C" w:rsidRDefault="003C665C" w:rsidP="00F14C6D">
      <w:r>
        <w:separator/>
      </w:r>
    </w:p>
  </w:endnote>
  <w:endnote w:type="continuationSeparator" w:id="0">
    <w:p w14:paraId="1A860F15" w14:textId="77777777" w:rsidR="003C665C" w:rsidRDefault="003C665C" w:rsidP="00F14C6D">
      <w:r>
        <w:continuationSeparator/>
      </w:r>
    </w:p>
  </w:endnote>
  <w:endnote w:type="continuationNotice" w:id="1">
    <w:p w14:paraId="48CD68ED" w14:textId="77777777" w:rsidR="003C665C" w:rsidRDefault="003C665C">
      <w:pPr>
        <w:spacing w:before="0" w:after="0"/>
      </w:pPr>
    </w:p>
  </w:endnote>
  <w:endnote w:id="2">
    <w:p w14:paraId="4199E9BB" w14:textId="7356EF53" w:rsidR="00A875BD" w:rsidRPr="00803474" w:rsidRDefault="00A875BD">
      <w:pPr>
        <w:pStyle w:val="EndnoteText"/>
        <w:rPr>
          <w:lang w:val="en-US"/>
        </w:rPr>
      </w:pPr>
      <w:r>
        <w:rPr>
          <w:rStyle w:val="EndnoteReference"/>
        </w:rPr>
        <w:endnoteRef/>
      </w:r>
      <w:r>
        <w:t xml:space="preserve"> </w:t>
      </w:r>
      <w:r w:rsidR="00803474">
        <w:t>Explanatory Memorandum to the Foreign Fighters Bill 2014 (Cth), p 139 [827].</w:t>
      </w:r>
    </w:p>
  </w:endnote>
  <w:endnote w:id="3">
    <w:p w14:paraId="115CD0DC" w14:textId="2E5F3FF6" w:rsidR="001F18CA" w:rsidRPr="00E66AFF" w:rsidRDefault="001F18CA">
      <w:pPr>
        <w:pStyle w:val="EndnoteText"/>
        <w:rPr>
          <w:lang w:val="en-US"/>
        </w:rPr>
      </w:pPr>
      <w:r>
        <w:rPr>
          <w:rStyle w:val="EndnoteReference"/>
        </w:rPr>
        <w:endnoteRef/>
      </w:r>
      <w:r>
        <w:t xml:space="preserve"> Parliamentary Joint Committee on Intelligence and Security, Advisory report on the Counter</w:t>
      </w:r>
      <w:r w:rsidR="00E66AFF">
        <w:t>-</w:t>
      </w:r>
      <w:r>
        <w:t>Terrorism Legislation Amendment (Foreign Fighters) Bill 2014 (October 2014), 104 [2.384]. At</w:t>
      </w:r>
      <w:r w:rsidR="00E66AFF">
        <w:t xml:space="preserve"> http://www.aph.gov.au/Parliamentary_Business/Committees/Joint/Intelligence_and_Security/CounterTerrorism_Legislation_Amendment_Foreign_Fighters_Bill_2014/Report1 (viewed 17 August 2020).</w:t>
      </w:r>
    </w:p>
  </w:endnote>
  <w:endnote w:id="4">
    <w:p w14:paraId="236D6C51" w14:textId="666450B0" w:rsidR="004C1845" w:rsidRPr="004C1845" w:rsidRDefault="004C1845">
      <w:pPr>
        <w:pStyle w:val="EndnoteText"/>
        <w:rPr>
          <w:lang w:val="en-US"/>
        </w:rPr>
      </w:pPr>
      <w:r>
        <w:rPr>
          <w:rStyle w:val="EndnoteReference"/>
        </w:rPr>
        <w:endnoteRef/>
      </w:r>
      <w:r>
        <w:t xml:space="preserve"> International Covenant on Civil and Political Rights (ICCPR), opened for signature 16 December 1966, 999 UNTS 171 (entered into force 23 March 1976).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3D" w14:textId="77777777" w:rsidR="00B34946" w:rsidRPr="0090165F" w:rsidRDefault="00B34946"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5" w14:textId="77777777" w:rsidR="00B34946" w:rsidRPr="004A187B" w:rsidRDefault="003E7BCB" w:rsidP="008B23BC">
    <w:pPr>
      <w:pStyle w:val="Footer"/>
    </w:pPr>
    <w:r>
      <w:rPr>
        <w:noProof/>
      </w:rPr>
      <mc:AlternateContent>
        <mc:Choice Requires="wps">
          <w:drawing>
            <wp:anchor distT="0" distB="0" distL="114300" distR="114300" simplePos="0" relativeHeight="251658240" behindDoc="0" locked="0" layoutInCell="1" allowOverlap="1" wp14:anchorId="65DA6B57" wp14:editId="65DA6B58">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65DA6B61" w14:textId="77777777" w:rsidR="00B34946" w:rsidRPr="0003606D" w:rsidRDefault="00B34946" w:rsidP="0003606D">
                          <w:pPr>
                            <w:pStyle w:val="coveraddresses"/>
                          </w:pPr>
                          <w:r w:rsidRPr="0003606D">
                            <w:t>ABN 47 996 232 602</w:t>
                          </w:r>
                        </w:p>
                        <w:p w14:paraId="65DA6B62" w14:textId="77777777" w:rsidR="00B34946" w:rsidRPr="0003606D" w:rsidRDefault="00B34946" w:rsidP="0003606D">
                          <w:pPr>
                            <w:pStyle w:val="coveraddresses"/>
                          </w:pPr>
                          <w:r w:rsidRPr="0003606D">
                            <w:t>Level 3, 175 Pitt Street, Sydney NSW 2000</w:t>
                          </w:r>
                        </w:p>
                        <w:p w14:paraId="65DA6B63" w14:textId="77777777" w:rsidR="00B34946" w:rsidRPr="0003606D" w:rsidRDefault="00B34946" w:rsidP="0003606D">
                          <w:pPr>
                            <w:pStyle w:val="coveraddresses"/>
                          </w:pPr>
                          <w:r w:rsidRPr="0003606D">
                            <w:t>GPO Box 5218, Sydney NSW 2001</w:t>
                          </w:r>
                        </w:p>
                        <w:p w14:paraId="65DA6B64" w14:textId="77777777" w:rsidR="00B34946" w:rsidRPr="0003606D" w:rsidRDefault="00B34946" w:rsidP="0003606D">
                          <w:pPr>
                            <w:pStyle w:val="coveraddresses"/>
                          </w:pPr>
                          <w:r w:rsidRPr="0003606D">
                            <w:t>General enquiries 1300 369 711</w:t>
                          </w:r>
                        </w:p>
                        <w:p w14:paraId="65DA6B65" w14:textId="77777777" w:rsidR="00B34946" w:rsidRPr="0003606D" w:rsidRDefault="00B34946" w:rsidP="0003606D">
                          <w:pPr>
                            <w:pStyle w:val="coveraddresses"/>
                          </w:pPr>
                          <w:r w:rsidRPr="0003606D">
                            <w:t>Complaints info line 1300 656 419</w:t>
                          </w:r>
                        </w:p>
                        <w:p w14:paraId="65DA6B66" w14:textId="77777777" w:rsidR="00B34946" w:rsidRPr="0003606D" w:rsidRDefault="00B34946" w:rsidP="0003606D">
                          <w:pPr>
                            <w:pStyle w:val="coveraddresses"/>
                          </w:pPr>
                          <w:r w:rsidRPr="0003606D">
                            <w:t>TTY 1800 620 241</w:t>
                          </w:r>
                        </w:p>
                        <w:p w14:paraId="65DA6B67" w14:textId="77777777" w:rsidR="00B34946" w:rsidRPr="00B63D24" w:rsidRDefault="00B3494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6B57"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65DA6B61" w14:textId="77777777" w:rsidR="00B34946" w:rsidRPr="0003606D" w:rsidRDefault="00B34946" w:rsidP="0003606D">
                    <w:pPr>
                      <w:pStyle w:val="coveraddresses"/>
                    </w:pPr>
                    <w:r w:rsidRPr="0003606D">
                      <w:t>ABN 47 996 232 602</w:t>
                    </w:r>
                  </w:p>
                  <w:p w14:paraId="65DA6B62" w14:textId="77777777" w:rsidR="00B34946" w:rsidRPr="0003606D" w:rsidRDefault="00B34946" w:rsidP="0003606D">
                    <w:pPr>
                      <w:pStyle w:val="coveraddresses"/>
                    </w:pPr>
                    <w:r w:rsidRPr="0003606D">
                      <w:t>Level 3, 175 Pitt Street, Sydney NSW 2000</w:t>
                    </w:r>
                  </w:p>
                  <w:p w14:paraId="65DA6B63" w14:textId="77777777" w:rsidR="00B34946" w:rsidRPr="0003606D" w:rsidRDefault="00B34946" w:rsidP="0003606D">
                    <w:pPr>
                      <w:pStyle w:val="coveraddresses"/>
                    </w:pPr>
                    <w:r w:rsidRPr="0003606D">
                      <w:t>GPO Box 5218, Sydney NSW 2001</w:t>
                    </w:r>
                  </w:p>
                  <w:p w14:paraId="65DA6B64" w14:textId="77777777" w:rsidR="00B34946" w:rsidRPr="0003606D" w:rsidRDefault="00B34946" w:rsidP="0003606D">
                    <w:pPr>
                      <w:pStyle w:val="coveraddresses"/>
                    </w:pPr>
                    <w:r w:rsidRPr="0003606D">
                      <w:t>General enquiries 1300 369 711</w:t>
                    </w:r>
                  </w:p>
                  <w:p w14:paraId="65DA6B65" w14:textId="77777777" w:rsidR="00B34946" w:rsidRPr="0003606D" w:rsidRDefault="00B34946" w:rsidP="0003606D">
                    <w:pPr>
                      <w:pStyle w:val="coveraddresses"/>
                    </w:pPr>
                    <w:r w:rsidRPr="0003606D">
                      <w:t>Complaints info line 1300 656 419</w:t>
                    </w:r>
                  </w:p>
                  <w:p w14:paraId="65DA6B66" w14:textId="77777777" w:rsidR="00B34946" w:rsidRPr="0003606D" w:rsidRDefault="00B34946" w:rsidP="0003606D">
                    <w:pPr>
                      <w:pStyle w:val="coveraddresses"/>
                    </w:pPr>
                    <w:r w:rsidRPr="0003606D">
                      <w:t>TTY 1800 620 241</w:t>
                    </w:r>
                  </w:p>
                  <w:p w14:paraId="65DA6B67" w14:textId="77777777" w:rsidR="00B34946" w:rsidRPr="00B63D24" w:rsidRDefault="00B34946"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9" w14:textId="77777777" w:rsidR="00B34946" w:rsidRPr="0090165F" w:rsidRDefault="00B3494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E7BC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359C3" w14:textId="77777777" w:rsidR="003C665C" w:rsidRDefault="003C665C" w:rsidP="00F14C6D">
      <w:r>
        <w:separator/>
      </w:r>
    </w:p>
  </w:footnote>
  <w:footnote w:type="continuationSeparator" w:id="0">
    <w:p w14:paraId="4D0FC0B9" w14:textId="77777777" w:rsidR="003C665C" w:rsidRDefault="003C665C" w:rsidP="00F14C6D">
      <w:r>
        <w:continuationSeparator/>
      </w:r>
    </w:p>
  </w:footnote>
  <w:footnote w:type="continuationNotice" w:id="1">
    <w:p w14:paraId="62DDEC75" w14:textId="77777777" w:rsidR="003C665C" w:rsidRDefault="003C66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3A" w14:textId="77777777" w:rsidR="00B34946" w:rsidRDefault="003C665C">
    <w:pPr>
      <w:pStyle w:val="Header"/>
    </w:pPr>
    <w:r>
      <w:rPr>
        <w:noProof/>
      </w:rPr>
      <w:pict w14:anchorId="65DA6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alt="" style="position:absolute;margin-left:0;margin-top:0;width:595.65pt;height:870.15pt;z-index:-251658239;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3B" w14:textId="77777777" w:rsidR="00B34946" w:rsidRPr="00D27262" w:rsidRDefault="003C665C" w:rsidP="002B1B65">
    <w:pPr>
      <w:spacing w:before="0" w:after="0"/>
      <w:jc w:val="right"/>
      <w:rPr>
        <w:sz w:val="22"/>
        <w:szCs w:val="22"/>
      </w:rPr>
    </w:pPr>
    <w:r>
      <w:rPr>
        <w:noProof/>
        <w:sz w:val="22"/>
        <w:szCs w:val="22"/>
      </w:rPr>
      <w:pict w14:anchorId="65DA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alt="" style="position:absolute;left:0;text-align:left;margin-left:0;margin-top:0;width:595.65pt;height:870.15pt;z-index:-25165823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r w:rsidR="00B34946" w:rsidRPr="00D27262">
      <w:rPr>
        <w:sz w:val="22"/>
        <w:szCs w:val="22"/>
      </w:rPr>
      <w:t>Au</w:t>
    </w:r>
    <w:r w:rsidR="00B34946">
      <w:rPr>
        <w:sz w:val="22"/>
        <w:szCs w:val="22"/>
      </w:rPr>
      <w:t>stralian Human Rights Commission</w:t>
    </w:r>
  </w:p>
  <w:p w14:paraId="65DA6B3C" w14:textId="77777777" w:rsidR="00B34946" w:rsidRDefault="00B3494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65DA6B43" w14:textId="77777777" w:rsidTr="00165E3C">
      <w:trPr>
        <w:trHeight w:val="1276"/>
      </w:trPr>
      <w:tc>
        <w:tcPr>
          <w:tcW w:w="1508" w:type="dxa"/>
        </w:tcPr>
        <w:p w14:paraId="65DA6B3E" w14:textId="77777777" w:rsidR="00B34946" w:rsidRPr="00B85DD4" w:rsidRDefault="00B34946" w:rsidP="00B520BC">
          <w:pPr>
            <w:pStyle w:val="Header"/>
            <w:tabs>
              <w:tab w:val="left" w:pos="4686"/>
              <w:tab w:val="left" w:pos="7088"/>
              <w:tab w:val="left" w:pos="7242"/>
            </w:tabs>
            <w:ind w:left="-108"/>
            <w:rPr>
              <w:rFonts w:cs="ArialMT"/>
              <w:b/>
              <w:spacing w:val="-20"/>
            </w:rPr>
          </w:pPr>
        </w:p>
      </w:tc>
      <w:tc>
        <w:tcPr>
          <w:tcW w:w="2688" w:type="dxa"/>
          <w:vAlign w:val="center"/>
        </w:tcPr>
        <w:p w14:paraId="65DA6B3F" w14:textId="77777777" w:rsidR="00B34946" w:rsidRPr="00B85DD4" w:rsidRDefault="00B34946" w:rsidP="002B1B65">
          <w:pPr>
            <w:spacing w:before="0" w:after="0"/>
            <w:rPr>
              <w:rFonts w:cs="ArialMT"/>
              <w:i/>
              <w:color w:val="808080"/>
              <w:sz w:val="17"/>
            </w:rPr>
          </w:pPr>
        </w:p>
      </w:tc>
      <w:tc>
        <w:tcPr>
          <w:tcW w:w="2302" w:type="dxa"/>
        </w:tcPr>
        <w:p w14:paraId="65DA6B40" w14:textId="77777777" w:rsidR="00B34946" w:rsidRPr="00B85DD4" w:rsidRDefault="00B34946" w:rsidP="00B520BC">
          <w:pPr>
            <w:pStyle w:val="HeaderFooter"/>
            <w:rPr>
              <w:b/>
              <w:spacing w:val="-20"/>
              <w:sz w:val="40"/>
            </w:rPr>
          </w:pPr>
        </w:p>
      </w:tc>
      <w:tc>
        <w:tcPr>
          <w:tcW w:w="2130" w:type="dxa"/>
        </w:tcPr>
        <w:p w14:paraId="65DA6B41" w14:textId="77777777" w:rsidR="00B34946" w:rsidRPr="00B85DD4" w:rsidRDefault="00B34946" w:rsidP="00B520BC">
          <w:pPr>
            <w:pStyle w:val="HeaderFooter"/>
            <w:rPr>
              <w:b/>
              <w:spacing w:val="-20"/>
              <w:sz w:val="40"/>
            </w:rPr>
          </w:pPr>
        </w:p>
      </w:tc>
      <w:tc>
        <w:tcPr>
          <w:tcW w:w="1721" w:type="dxa"/>
        </w:tcPr>
        <w:p w14:paraId="65DA6B42" w14:textId="77777777" w:rsidR="00B34946" w:rsidRPr="00B85DD4" w:rsidRDefault="00B34946" w:rsidP="00B520BC">
          <w:pPr>
            <w:pStyle w:val="HeaderFooter"/>
            <w:spacing w:before="227" w:after="340"/>
            <w:rPr>
              <w:b/>
              <w:spacing w:val="-20"/>
              <w:sz w:val="40"/>
            </w:rPr>
          </w:pPr>
        </w:p>
      </w:tc>
    </w:tr>
  </w:tbl>
  <w:p w14:paraId="65DA6B44" w14:textId="77777777" w:rsidR="00B34946" w:rsidRDefault="003C665C">
    <w:pPr>
      <w:pStyle w:val="Header"/>
    </w:pPr>
    <w:r>
      <w:rPr>
        <w:rFonts w:cs="ArialMT"/>
        <w:b/>
        <w:noProof/>
        <w:spacing w:val="-20"/>
      </w:rPr>
      <w:pict w14:anchorId="65DA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 style="position:absolute;margin-left:-71.05pt;margin-top:-116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6" w14:textId="77777777" w:rsidR="00B34946" w:rsidRDefault="003C665C">
    <w:pPr>
      <w:pStyle w:val="Header"/>
    </w:pPr>
    <w:r>
      <w:rPr>
        <w:noProof/>
      </w:rPr>
      <w:pict w14:anchorId="65DA6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 style="position:absolute;margin-left:0;margin-top:0;width:595.65pt;height:870.15pt;z-index:-251658236;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7" w14:textId="77777777" w:rsidR="00B34946" w:rsidRPr="00D27262" w:rsidRDefault="00B34946" w:rsidP="00B34946">
    <w:pPr>
      <w:spacing w:before="0" w:after="60"/>
      <w:jc w:val="right"/>
      <w:rPr>
        <w:sz w:val="22"/>
        <w:szCs w:val="22"/>
      </w:rPr>
    </w:pPr>
    <w:r w:rsidRPr="00D27262">
      <w:rPr>
        <w:sz w:val="22"/>
        <w:szCs w:val="22"/>
      </w:rPr>
      <w:t>Au</w:t>
    </w:r>
    <w:r>
      <w:rPr>
        <w:sz w:val="22"/>
        <w:szCs w:val="22"/>
      </w:rPr>
      <w:t>stralian Human Rights Commission</w:t>
    </w:r>
  </w:p>
  <w:p w14:paraId="65DA6B48" w14:textId="51EAE687" w:rsidR="00B34946" w:rsidRPr="00D729AD" w:rsidRDefault="0070099E" w:rsidP="002F4CE1">
    <w:pPr>
      <w:pStyle w:val="Footer"/>
      <w:spacing w:after="240"/>
      <w:jc w:val="right"/>
      <w:rPr>
        <w:i/>
        <w:szCs w:val="18"/>
      </w:rPr>
    </w:pPr>
    <w:r>
      <w:rPr>
        <w:b/>
        <w:i/>
        <w:szCs w:val="18"/>
      </w:rPr>
      <w:t>Declared areas</w:t>
    </w:r>
    <w:r w:rsidR="00B34946" w:rsidRPr="00D729AD">
      <w:rPr>
        <w:i/>
        <w:szCs w:val="18"/>
      </w:rPr>
      <w:t xml:space="preserve"> </w:t>
    </w:r>
    <w:r>
      <w:rPr>
        <w:i/>
        <w:szCs w:val="18"/>
      </w:rPr>
      <w:t>– 28 August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65DA6B52" w14:textId="77777777" w:rsidTr="002B1B65">
      <w:trPr>
        <w:trHeight w:val="1603"/>
      </w:trPr>
      <w:tc>
        <w:tcPr>
          <w:tcW w:w="1508" w:type="dxa"/>
        </w:tcPr>
        <w:p w14:paraId="65DA6B4A" w14:textId="77777777" w:rsidR="00B34946" w:rsidRPr="00B85DD4" w:rsidRDefault="01BDAE7C" w:rsidP="00B520BC">
          <w:pPr>
            <w:pStyle w:val="Header"/>
            <w:tabs>
              <w:tab w:val="left" w:pos="4686"/>
              <w:tab w:val="left" w:pos="7088"/>
              <w:tab w:val="left" w:pos="7242"/>
            </w:tabs>
            <w:ind w:left="-108"/>
            <w:rPr>
              <w:rFonts w:cs="ArialMT"/>
              <w:b/>
              <w:spacing w:val="-20"/>
            </w:rPr>
          </w:pPr>
          <w:r>
            <w:rPr>
              <w:noProof/>
            </w:rPr>
            <w:drawing>
              <wp:inline distT="0" distB="0" distL="0" distR="0" wp14:anchorId="65DA6B5A" wp14:editId="64AA7AF7">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c>
        <w:tcPr>
          <w:tcW w:w="2688" w:type="dxa"/>
          <w:vAlign w:val="center"/>
        </w:tcPr>
        <w:p w14:paraId="65DA6B4B" w14:textId="77777777" w:rsidR="00B34946" w:rsidRPr="00D36BB2" w:rsidRDefault="00B34946" w:rsidP="002B1B65">
          <w:pPr>
            <w:pStyle w:val="LogoType"/>
            <w:pBdr>
              <w:bottom w:val="single" w:sz="4" w:space="1" w:color="808080"/>
            </w:pBdr>
            <w:spacing w:line="240" w:lineRule="auto"/>
          </w:pPr>
          <w:r w:rsidRPr="00D36BB2">
            <w:t>Australian</w:t>
          </w:r>
        </w:p>
        <w:p w14:paraId="65DA6B4C" w14:textId="77777777" w:rsidR="00B34946" w:rsidRPr="00D36BB2" w:rsidRDefault="00B34946" w:rsidP="002B1B65">
          <w:pPr>
            <w:pStyle w:val="LogoType"/>
            <w:pBdr>
              <w:bottom w:val="single" w:sz="4" w:space="1" w:color="808080"/>
            </w:pBdr>
            <w:spacing w:line="240" w:lineRule="auto"/>
          </w:pPr>
          <w:r w:rsidRPr="00D36BB2">
            <w:t>Human Rights</w:t>
          </w:r>
        </w:p>
        <w:p w14:paraId="65DA6B4D" w14:textId="77777777" w:rsidR="00B34946" w:rsidRPr="00D36BB2" w:rsidRDefault="00B34946" w:rsidP="002B1B65">
          <w:pPr>
            <w:pStyle w:val="LogoType"/>
            <w:pBdr>
              <w:bottom w:val="single" w:sz="4" w:space="1" w:color="808080"/>
            </w:pBdr>
            <w:spacing w:line="240" w:lineRule="auto"/>
          </w:pPr>
          <w:r w:rsidRPr="00D36BB2">
            <w:t>Commission</w:t>
          </w:r>
        </w:p>
        <w:p w14:paraId="65DA6B4E" w14:textId="77777777" w:rsidR="00B34946" w:rsidRPr="00B85DD4" w:rsidRDefault="00B3494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5DA6B4F" w14:textId="77777777" w:rsidR="00B34946" w:rsidRPr="00B85DD4" w:rsidRDefault="00B34946" w:rsidP="00B520BC">
          <w:pPr>
            <w:pStyle w:val="HeaderFooter"/>
            <w:rPr>
              <w:b/>
              <w:spacing w:val="-20"/>
              <w:sz w:val="40"/>
            </w:rPr>
          </w:pPr>
        </w:p>
      </w:tc>
      <w:tc>
        <w:tcPr>
          <w:tcW w:w="2130" w:type="dxa"/>
        </w:tcPr>
        <w:p w14:paraId="65DA6B50" w14:textId="77777777" w:rsidR="00B34946" w:rsidRPr="00B85DD4" w:rsidRDefault="00B34946" w:rsidP="00B520BC">
          <w:pPr>
            <w:pStyle w:val="HeaderFooter"/>
            <w:rPr>
              <w:b/>
              <w:spacing w:val="-20"/>
              <w:sz w:val="40"/>
            </w:rPr>
          </w:pPr>
        </w:p>
      </w:tc>
      <w:tc>
        <w:tcPr>
          <w:tcW w:w="1721" w:type="dxa"/>
        </w:tcPr>
        <w:p w14:paraId="65DA6B51" w14:textId="77777777" w:rsidR="00B34946" w:rsidRPr="00B85DD4" w:rsidRDefault="00B34946" w:rsidP="00B520BC">
          <w:pPr>
            <w:pStyle w:val="HeaderFooter"/>
            <w:spacing w:before="227" w:after="340"/>
            <w:rPr>
              <w:b/>
              <w:spacing w:val="-20"/>
              <w:sz w:val="40"/>
            </w:rPr>
          </w:pPr>
        </w:p>
      </w:tc>
    </w:tr>
  </w:tbl>
  <w:p w14:paraId="65DA6B53" w14:textId="77777777" w:rsidR="00B34946" w:rsidRDefault="003C665C">
    <w:pPr>
      <w:pStyle w:val="Header"/>
    </w:pPr>
    <w:r>
      <w:rPr>
        <w:rFonts w:cs="ArialMT"/>
        <w:b/>
        <w:noProof/>
        <w:spacing w:val="-20"/>
      </w:rPr>
      <w:pict w14:anchorId="65DA6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 style="position:absolute;margin-left:0;margin-top:0;width:595.65pt;height:870.15pt;z-index:-251658235;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F36045A"/>
    <w:lvl w:ilvl="0" w:tplc="657E0846">
      <w:start w:val="1"/>
      <w:numFmt w:val="decimal"/>
      <w:pStyle w:val="ListNumber4"/>
      <w:lvlText w:val="%1."/>
      <w:lvlJc w:val="left"/>
      <w:pPr>
        <w:tabs>
          <w:tab w:val="num" w:pos="1209"/>
        </w:tabs>
        <w:ind w:left="1209" w:hanging="360"/>
      </w:pPr>
    </w:lvl>
    <w:lvl w:ilvl="1" w:tplc="C13A4288">
      <w:numFmt w:val="decimal"/>
      <w:lvlText w:val=""/>
      <w:lvlJc w:val="left"/>
    </w:lvl>
    <w:lvl w:ilvl="2" w:tplc="B0C63310">
      <w:numFmt w:val="decimal"/>
      <w:lvlText w:val=""/>
      <w:lvlJc w:val="left"/>
    </w:lvl>
    <w:lvl w:ilvl="3" w:tplc="65CA8C1E">
      <w:numFmt w:val="decimal"/>
      <w:lvlText w:val=""/>
      <w:lvlJc w:val="left"/>
    </w:lvl>
    <w:lvl w:ilvl="4" w:tplc="BC76A23C">
      <w:numFmt w:val="decimal"/>
      <w:lvlText w:val=""/>
      <w:lvlJc w:val="left"/>
    </w:lvl>
    <w:lvl w:ilvl="5" w:tplc="45BEDD00">
      <w:numFmt w:val="decimal"/>
      <w:lvlText w:val=""/>
      <w:lvlJc w:val="left"/>
    </w:lvl>
    <w:lvl w:ilvl="6" w:tplc="FF7E3CFA">
      <w:numFmt w:val="decimal"/>
      <w:lvlText w:val=""/>
      <w:lvlJc w:val="left"/>
    </w:lvl>
    <w:lvl w:ilvl="7" w:tplc="A36E1B74">
      <w:numFmt w:val="decimal"/>
      <w:lvlText w:val=""/>
      <w:lvlJc w:val="left"/>
    </w:lvl>
    <w:lvl w:ilvl="8" w:tplc="A7948B32">
      <w:numFmt w:val="decimal"/>
      <w:lvlText w:val=""/>
      <w:lvlJc w:val="left"/>
    </w:lvl>
  </w:abstractNum>
  <w:abstractNum w:abstractNumId="2" w15:restartNumberingAfterBreak="0">
    <w:nsid w:val="FFFFFF7E"/>
    <w:multiLevelType w:val="multilevel"/>
    <w:tmpl w:val="5558AC88"/>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91EC8FA0"/>
    <w:lvl w:ilvl="0" w:tplc="7236F230">
      <w:start w:val="1"/>
      <w:numFmt w:val="decimal"/>
      <w:pStyle w:val="ListNumber2"/>
      <w:lvlText w:val="%1."/>
      <w:lvlJc w:val="left"/>
      <w:pPr>
        <w:tabs>
          <w:tab w:val="num" w:pos="643"/>
        </w:tabs>
        <w:ind w:left="643" w:hanging="360"/>
      </w:pPr>
    </w:lvl>
    <w:lvl w:ilvl="1" w:tplc="B0508396">
      <w:numFmt w:val="decimal"/>
      <w:lvlText w:val=""/>
      <w:lvlJc w:val="left"/>
    </w:lvl>
    <w:lvl w:ilvl="2" w:tplc="7910DED6">
      <w:numFmt w:val="decimal"/>
      <w:lvlText w:val=""/>
      <w:lvlJc w:val="left"/>
    </w:lvl>
    <w:lvl w:ilvl="3" w:tplc="4C6660DA">
      <w:numFmt w:val="decimal"/>
      <w:lvlText w:val=""/>
      <w:lvlJc w:val="left"/>
    </w:lvl>
    <w:lvl w:ilvl="4" w:tplc="E3C21E32">
      <w:numFmt w:val="decimal"/>
      <w:lvlText w:val=""/>
      <w:lvlJc w:val="left"/>
    </w:lvl>
    <w:lvl w:ilvl="5" w:tplc="D3563740">
      <w:numFmt w:val="decimal"/>
      <w:lvlText w:val=""/>
      <w:lvlJc w:val="left"/>
    </w:lvl>
    <w:lvl w:ilvl="6" w:tplc="0520F6EE">
      <w:numFmt w:val="decimal"/>
      <w:lvlText w:val=""/>
      <w:lvlJc w:val="left"/>
    </w:lvl>
    <w:lvl w:ilvl="7" w:tplc="A0D20918">
      <w:numFmt w:val="decimal"/>
      <w:lvlText w:val=""/>
      <w:lvlJc w:val="left"/>
    </w:lvl>
    <w:lvl w:ilvl="8" w:tplc="29FE76F4">
      <w:numFmt w:val="decimal"/>
      <w:lvlText w:val=""/>
      <w:lvlJc w:val="left"/>
    </w:lvl>
  </w:abstractNum>
  <w:abstractNum w:abstractNumId="4" w15:restartNumberingAfterBreak="0">
    <w:nsid w:val="FFFFFF80"/>
    <w:multiLevelType w:val="multilevel"/>
    <w:tmpl w:val="3104E1E6"/>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2C21C3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5656989A"/>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multilevel"/>
    <w:tmpl w:val="8D00DF86"/>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hybridMultilevel"/>
    <w:tmpl w:val="0C09001D"/>
    <w:lvl w:ilvl="0" w:tplc="53D2EF64">
      <w:start w:val="1"/>
      <w:numFmt w:val="decimal"/>
      <w:lvlText w:val="%1)"/>
      <w:lvlJc w:val="left"/>
      <w:pPr>
        <w:tabs>
          <w:tab w:val="num" w:pos="360"/>
        </w:tabs>
        <w:ind w:left="360" w:hanging="360"/>
      </w:pPr>
    </w:lvl>
    <w:lvl w:ilvl="1" w:tplc="833E5E38">
      <w:start w:val="1"/>
      <w:numFmt w:val="lowerLetter"/>
      <w:lvlText w:val="%2)"/>
      <w:lvlJc w:val="left"/>
      <w:pPr>
        <w:tabs>
          <w:tab w:val="num" w:pos="720"/>
        </w:tabs>
        <w:ind w:left="720" w:hanging="360"/>
      </w:pPr>
    </w:lvl>
    <w:lvl w:ilvl="2" w:tplc="E496077A">
      <w:start w:val="1"/>
      <w:numFmt w:val="lowerRoman"/>
      <w:lvlText w:val="%3)"/>
      <w:lvlJc w:val="left"/>
      <w:pPr>
        <w:tabs>
          <w:tab w:val="num" w:pos="1080"/>
        </w:tabs>
        <w:ind w:left="1080" w:hanging="360"/>
      </w:pPr>
    </w:lvl>
    <w:lvl w:ilvl="3" w:tplc="49CEB21E">
      <w:start w:val="1"/>
      <w:numFmt w:val="decimal"/>
      <w:lvlText w:val="(%4)"/>
      <w:lvlJc w:val="left"/>
      <w:pPr>
        <w:tabs>
          <w:tab w:val="num" w:pos="1440"/>
        </w:tabs>
        <w:ind w:left="1440" w:hanging="360"/>
      </w:pPr>
    </w:lvl>
    <w:lvl w:ilvl="4" w:tplc="C9BE0AE6">
      <w:start w:val="1"/>
      <w:numFmt w:val="lowerLetter"/>
      <w:lvlText w:val="(%5)"/>
      <w:lvlJc w:val="left"/>
      <w:pPr>
        <w:tabs>
          <w:tab w:val="num" w:pos="1800"/>
        </w:tabs>
        <w:ind w:left="1800" w:hanging="360"/>
      </w:pPr>
    </w:lvl>
    <w:lvl w:ilvl="5" w:tplc="6D54ADC0">
      <w:start w:val="1"/>
      <w:numFmt w:val="lowerRoman"/>
      <w:lvlText w:val="(%6)"/>
      <w:lvlJc w:val="left"/>
      <w:pPr>
        <w:tabs>
          <w:tab w:val="num" w:pos="2160"/>
        </w:tabs>
        <w:ind w:left="2160" w:hanging="360"/>
      </w:pPr>
    </w:lvl>
    <w:lvl w:ilvl="6" w:tplc="41048E4C">
      <w:start w:val="1"/>
      <w:numFmt w:val="decimal"/>
      <w:lvlText w:val="%7."/>
      <w:lvlJc w:val="left"/>
      <w:pPr>
        <w:tabs>
          <w:tab w:val="num" w:pos="2520"/>
        </w:tabs>
        <w:ind w:left="2520" w:hanging="360"/>
      </w:pPr>
    </w:lvl>
    <w:lvl w:ilvl="7" w:tplc="787C8B92">
      <w:start w:val="1"/>
      <w:numFmt w:val="lowerLetter"/>
      <w:lvlText w:val="%8."/>
      <w:lvlJc w:val="left"/>
      <w:pPr>
        <w:tabs>
          <w:tab w:val="num" w:pos="2880"/>
        </w:tabs>
        <w:ind w:left="2880" w:hanging="360"/>
      </w:pPr>
    </w:lvl>
    <w:lvl w:ilvl="8" w:tplc="FA683222">
      <w:start w:val="1"/>
      <w:numFmt w:val="lowerRoman"/>
      <w:lvlText w:val="%9."/>
      <w:lvlJc w:val="left"/>
      <w:pPr>
        <w:tabs>
          <w:tab w:val="num" w:pos="3240"/>
        </w:tabs>
        <w:ind w:left="3240" w:hanging="360"/>
      </w:pPr>
    </w:lvl>
  </w:abstractNum>
  <w:abstractNum w:abstractNumId="12" w15:restartNumberingAfterBreak="0">
    <w:nsid w:val="164E6C0C"/>
    <w:multiLevelType w:val="multilevel"/>
    <w:tmpl w:val="BC64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B95AB4"/>
    <w:multiLevelType w:val="hybridMultilevel"/>
    <w:tmpl w:val="0C09001D"/>
    <w:lvl w:ilvl="0" w:tplc="AEAEFD9A">
      <w:start w:val="1"/>
      <w:numFmt w:val="decimal"/>
      <w:lvlText w:val="%1)"/>
      <w:lvlJc w:val="left"/>
      <w:pPr>
        <w:tabs>
          <w:tab w:val="num" w:pos="360"/>
        </w:tabs>
        <w:ind w:left="360" w:hanging="360"/>
      </w:pPr>
    </w:lvl>
    <w:lvl w:ilvl="1" w:tplc="8398DE16">
      <w:start w:val="1"/>
      <w:numFmt w:val="lowerLetter"/>
      <w:lvlText w:val="%2)"/>
      <w:lvlJc w:val="left"/>
      <w:pPr>
        <w:tabs>
          <w:tab w:val="num" w:pos="720"/>
        </w:tabs>
        <w:ind w:left="720" w:hanging="360"/>
      </w:pPr>
    </w:lvl>
    <w:lvl w:ilvl="2" w:tplc="705CE092">
      <w:start w:val="1"/>
      <w:numFmt w:val="lowerRoman"/>
      <w:lvlText w:val="%3)"/>
      <w:lvlJc w:val="left"/>
      <w:pPr>
        <w:tabs>
          <w:tab w:val="num" w:pos="1080"/>
        </w:tabs>
        <w:ind w:left="1080" w:hanging="360"/>
      </w:pPr>
    </w:lvl>
    <w:lvl w:ilvl="3" w:tplc="D1880D20">
      <w:start w:val="1"/>
      <w:numFmt w:val="decimal"/>
      <w:lvlText w:val="(%4)"/>
      <w:lvlJc w:val="left"/>
      <w:pPr>
        <w:tabs>
          <w:tab w:val="num" w:pos="1440"/>
        </w:tabs>
        <w:ind w:left="1440" w:hanging="360"/>
      </w:pPr>
    </w:lvl>
    <w:lvl w:ilvl="4" w:tplc="D95C1CEA">
      <w:start w:val="1"/>
      <w:numFmt w:val="lowerLetter"/>
      <w:lvlText w:val="(%5)"/>
      <w:lvlJc w:val="left"/>
      <w:pPr>
        <w:tabs>
          <w:tab w:val="num" w:pos="1800"/>
        </w:tabs>
        <w:ind w:left="1800" w:hanging="360"/>
      </w:pPr>
    </w:lvl>
    <w:lvl w:ilvl="5" w:tplc="98101D80">
      <w:start w:val="1"/>
      <w:numFmt w:val="lowerRoman"/>
      <w:lvlText w:val="(%6)"/>
      <w:lvlJc w:val="left"/>
      <w:pPr>
        <w:tabs>
          <w:tab w:val="num" w:pos="2160"/>
        </w:tabs>
        <w:ind w:left="2160" w:hanging="360"/>
      </w:pPr>
    </w:lvl>
    <w:lvl w:ilvl="6" w:tplc="271CBD06">
      <w:start w:val="1"/>
      <w:numFmt w:val="decimal"/>
      <w:lvlText w:val="%7."/>
      <w:lvlJc w:val="left"/>
      <w:pPr>
        <w:tabs>
          <w:tab w:val="num" w:pos="2520"/>
        </w:tabs>
        <w:ind w:left="2520" w:hanging="360"/>
      </w:pPr>
    </w:lvl>
    <w:lvl w:ilvl="7" w:tplc="1B5C2190">
      <w:start w:val="1"/>
      <w:numFmt w:val="lowerLetter"/>
      <w:lvlText w:val="%8."/>
      <w:lvlJc w:val="left"/>
      <w:pPr>
        <w:tabs>
          <w:tab w:val="num" w:pos="2880"/>
        </w:tabs>
        <w:ind w:left="2880" w:hanging="360"/>
      </w:pPr>
    </w:lvl>
    <w:lvl w:ilvl="8" w:tplc="127A1762">
      <w:start w:val="1"/>
      <w:numFmt w:val="lowerRoman"/>
      <w:lvlText w:val="%9."/>
      <w:lvlJc w:val="left"/>
      <w:pPr>
        <w:tabs>
          <w:tab w:val="num" w:pos="3240"/>
        </w:tabs>
        <w:ind w:left="3240" w:hanging="360"/>
      </w:pPr>
    </w:lvl>
  </w:abstractNum>
  <w:abstractNum w:abstractNumId="14" w15:restartNumberingAfterBreak="0">
    <w:nsid w:val="170A1D8A"/>
    <w:multiLevelType w:val="hybridMultilevel"/>
    <w:tmpl w:val="B1D8532C"/>
    <w:lvl w:ilvl="0" w:tplc="56AC62D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80017E"/>
    <w:multiLevelType w:val="hybridMultilevel"/>
    <w:tmpl w:val="D9843F7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52766FF"/>
    <w:multiLevelType w:val="multilevel"/>
    <w:tmpl w:val="FF84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E02ED4"/>
    <w:multiLevelType w:val="multilevel"/>
    <w:tmpl w:val="8336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777F4F"/>
    <w:multiLevelType w:val="multilevel"/>
    <w:tmpl w:val="7E7A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E4767"/>
    <w:multiLevelType w:val="hybridMultilevel"/>
    <w:tmpl w:val="0C09001D"/>
    <w:lvl w:ilvl="0" w:tplc="012414FA">
      <w:start w:val="1"/>
      <w:numFmt w:val="decimal"/>
      <w:lvlText w:val="%1)"/>
      <w:lvlJc w:val="left"/>
      <w:pPr>
        <w:tabs>
          <w:tab w:val="num" w:pos="360"/>
        </w:tabs>
        <w:ind w:left="360" w:hanging="360"/>
      </w:pPr>
    </w:lvl>
    <w:lvl w:ilvl="1" w:tplc="F788B7CC">
      <w:start w:val="1"/>
      <w:numFmt w:val="lowerLetter"/>
      <w:lvlText w:val="%2)"/>
      <w:lvlJc w:val="left"/>
      <w:pPr>
        <w:tabs>
          <w:tab w:val="num" w:pos="720"/>
        </w:tabs>
        <w:ind w:left="720" w:hanging="360"/>
      </w:pPr>
    </w:lvl>
    <w:lvl w:ilvl="2" w:tplc="9E48B0DC">
      <w:start w:val="1"/>
      <w:numFmt w:val="lowerRoman"/>
      <w:lvlText w:val="%3)"/>
      <w:lvlJc w:val="left"/>
      <w:pPr>
        <w:tabs>
          <w:tab w:val="num" w:pos="1080"/>
        </w:tabs>
        <w:ind w:left="1080" w:hanging="360"/>
      </w:pPr>
    </w:lvl>
    <w:lvl w:ilvl="3" w:tplc="7E783438">
      <w:start w:val="1"/>
      <w:numFmt w:val="decimal"/>
      <w:lvlText w:val="(%4)"/>
      <w:lvlJc w:val="left"/>
      <w:pPr>
        <w:tabs>
          <w:tab w:val="num" w:pos="1440"/>
        </w:tabs>
        <w:ind w:left="1440" w:hanging="360"/>
      </w:pPr>
    </w:lvl>
    <w:lvl w:ilvl="4" w:tplc="BED0DB0C">
      <w:start w:val="1"/>
      <w:numFmt w:val="lowerLetter"/>
      <w:lvlText w:val="(%5)"/>
      <w:lvlJc w:val="left"/>
      <w:pPr>
        <w:tabs>
          <w:tab w:val="num" w:pos="1800"/>
        </w:tabs>
        <w:ind w:left="1800" w:hanging="360"/>
      </w:pPr>
    </w:lvl>
    <w:lvl w:ilvl="5" w:tplc="F48E975A">
      <w:start w:val="1"/>
      <w:numFmt w:val="lowerRoman"/>
      <w:lvlText w:val="(%6)"/>
      <w:lvlJc w:val="left"/>
      <w:pPr>
        <w:tabs>
          <w:tab w:val="num" w:pos="2160"/>
        </w:tabs>
        <w:ind w:left="2160" w:hanging="360"/>
      </w:pPr>
    </w:lvl>
    <w:lvl w:ilvl="6" w:tplc="D6066248">
      <w:start w:val="1"/>
      <w:numFmt w:val="decimal"/>
      <w:lvlText w:val="%7."/>
      <w:lvlJc w:val="left"/>
      <w:pPr>
        <w:tabs>
          <w:tab w:val="num" w:pos="2520"/>
        </w:tabs>
        <w:ind w:left="2520" w:hanging="360"/>
      </w:pPr>
    </w:lvl>
    <w:lvl w:ilvl="7" w:tplc="F85C8A36">
      <w:start w:val="1"/>
      <w:numFmt w:val="lowerLetter"/>
      <w:lvlText w:val="%8."/>
      <w:lvlJc w:val="left"/>
      <w:pPr>
        <w:tabs>
          <w:tab w:val="num" w:pos="2880"/>
        </w:tabs>
        <w:ind w:left="2880" w:hanging="360"/>
      </w:pPr>
    </w:lvl>
    <w:lvl w:ilvl="8" w:tplc="DC9843B0">
      <w:start w:val="1"/>
      <w:numFmt w:val="lowerRoman"/>
      <w:lvlText w:val="%9."/>
      <w:lvlJc w:val="left"/>
      <w:pPr>
        <w:tabs>
          <w:tab w:val="num" w:pos="3240"/>
        </w:tabs>
        <w:ind w:left="3240" w:hanging="360"/>
      </w:pPr>
    </w:lvl>
  </w:abstractNum>
  <w:abstractNum w:abstractNumId="30" w15:restartNumberingAfterBreak="0">
    <w:nsid w:val="49FF7A73"/>
    <w:multiLevelType w:val="multilevel"/>
    <w:tmpl w:val="D3B0AA3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CC612F5"/>
    <w:multiLevelType w:val="hybridMultilevel"/>
    <w:tmpl w:val="0C09001D"/>
    <w:lvl w:ilvl="0" w:tplc="765ACF88">
      <w:start w:val="1"/>
      <w:numFmt w:val="decimal"/>
      <w:lvlText w:val="%1)"/>
      <w:lvlJc w:val="left"/>
      <w:pPr>
        <w:tabs>
          <w:tab w:val="num" w:pos="360"/>
        </w:tabs>
        <w:ind w:left="360" w:hanging="360"/>
      </w:pPr>
    </w:lvl>
    <w:lvl w:ilvl="1" w:tplc="1096C716">
      <w:start w:val="1"/>
      <w:numFmt w:val="lowerLetter"/>
      <w:lvlText w:val="%2)"/>
      <w:lvlJc w:val="left"/>
      <w:pPr>
        <w:tabs>
          <w:tab w:val="num" w:pos="720"/>
        </w:tabs>
        <w:ind w:left="720" w:hanging="360"/>
      </w:pPr>
    </w:lvl>
    <w:lvl w:ilvl="2" w:tplc="47C48C38">
      <w:start w:val="1"/>
      <w:numFmt w:val="lowerRoman"/>
      <w:lvlText w:val="%3)"/>
      <w:lvlJc w:val="left"/>
      <w:pPr>
        <w:tabs>
          <w:tab w:val="num" w:pos="1080"/>
        </w:tabs>
        <w:ind w:left="1080" w:hanging="360"/>
      </w:pPr>
    </w:lvl>
    <w:lvl w:ilvl="3" w:tplc="ED14AE36">
      <w:start w:val="1"/>
      <w:numFmt w:val="decimal"/>
      <w:lvlText w:val="(%4)"/>
      <w:lvlJc w:val="left"/>
      <w:pPr>
        <w:tabs>
          <w:tab w:val="num" w:pos="1440"/>
        </w:tabs>
        <w:ind w:left="1440" w:hanging="360"/>
      </w:pPr>
    </w:lvl>
    <w:lvl w:ilvl="4" w:tplc="F45292AE">
      <w:start w:val="1"/>
      <w:numFmt w:val="lowerLetter"/>
      <w:lvlText w:val="(%5)"/>
      <w:lvlJc w:val="left"/>
      <w:pPr>
        <w:tabs>
          <w:tab w:val="num" w:pos="1800"/>
        </w:tabs>
        <w:ind w:left="1800" w:hanging="360"/>
      </w:pPr>
    </w:lvl>
    <w:lvl w:ilvl="5" w:tplc="BAE0D1D8">
      <w:start w:val="1"/>
      <w:numFmt w:val="lowerRoman"/>
      <w:lvlText w:val="(%6)"/>
      <w:lvlJc w:val="left"/>
      <w:pPr>
        <w:tabs>
          <w:tab w:val="num" w:pos="2160"/>
        </w:tabs>
        <w:ind w:left="2160" w:hanging="360"/>
      </w:pPr>
    </w:lvl>
    <w:lvl w:ilvl="6" w:tplc="FD2AE116">
      <w:start w:val="1"/>
      <w:numFmt w:val="decimal"/>
      <w:lvlText w:val="%7."/>
      <w:lvlJc w:val="left"/>
      <w:pPr>
        <w:tabs>
          <w:tab w:val="num" w:pos="2520"/>
        </w:tabs>
        <w:ind w:left="2520" w:hanging="360"/>
      </w:pPr>
    </w:lvl>
    <w:lvl w:ilvl="7" w:tplc="87AC4CF6">
      <w:start w:val="1"/>
      <w:numFmt w:val="lowerLetter"/>
      <w:lvlText w:val="%8."/>
      <w:lvlJc w:val="left"/>
      <w:pPr>
        <w:tabs>
          <w:tab w:val="num" w:pos="2880"/>
        </w:tabs>
        <w:ind w:left="2880" w:hanging="360"/>
      </w:pPr>
    </w:lvl>
    <w:lvl w:ilvl="8" w:tplc="DA1E4BE0">
      <w:start w:val="1"/>
      <w:numFmt w:val="lowerRoman"/>
      <w:lvlText w:val="%9."/>
      <w:lvlJc w:val="left"/>
      <w:pPr>
        <w:tabs>
          <w:tab w:val="num" w:pos="3240"/>
        </w:tabs>
        <w:ind w:left="3240" w:hanging="360"/>
      </w:pPr>
    </w:lvl>
  </w:abstractNum>
  <w:abstractNum w:abstractNumId="33" w15:restartNumberingAfterBreak="0">
    <w:nsid w:val="4D0E4C57"/>
    <w:multiLevelType w:val="multilevel"/>
    <w:tmpl w:val="EA509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15:restartNumberingAfterBreak="0">
    <w:nsid w:val="64932E14"/>
    <w:multiLevelType w:val="multilevel"/>
    <w:tmpl w:val="D4ECD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955074"/>
    <w:multiLevelType w:val="multilevel"/>
    <w:tmpl w:val="8302722A"/>
    <w:lvl w:ilvl="0">
      <w:start w:val="1"/>
      <w:numFmt w:val="lowerLetter"/>
      <w:lvlText w:val="%1)"/>
      <w:lvlJc w:val="left"/>
      <w:pPr>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39737A2"/>
    <w:multiLevelType w:val="multilevel"/>
    <w:tmpl w:val="0428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30"/>
  </w:num>
  <w:num w:numId="3">
    <w:abstractNumId w:val="36"/>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4"/>
  </w:num>
  <w:num w:numId="18">
    <w:abstractNumId w:val="25"/>
  </w:num>
  <w:num w:numId="19">
    <w:abstractNumId w:val="16"/>
  </w:num>
  <w:num w:numId="20">
    <w:abstractNumId w:val="40"/>
  </w:num>
  <w:num w:numId="21">
    <w:abstractNumId w:val="28"/>
  </w:num>
  <w:num w:numId="22">
    <w:abstractNumId w:val="26"/>
  </w:num>
  <w:num w:numId="23">
    <w:abstractNumId w:val="43"/>
  </w:num>
  <w:num w:numId="24">
    <w:abstractNumId w:val="11"/>
  </w:num>
  <w:num w:numId="25">
    <w:abstractNumId w:val="41"/>
  </w:num>
  <w:num w:numId="26">
    <w:abstractNumId w:val="29"/>
  </w:num>
  <w:num w:numId="27">
    <w:abstractNumId w:val="13"/>
  </w:num>
  <w:num w:numId="28">
    <w:abstractNumId w:val="17"/>
  </w:num>
  <w:num w:numId="29">
    <w:abstractNumId w:val="32"/>
  </w:num>
  <w:num w:numId="30">
    <w:abstractNumId w:val="3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7"/>
  </w:num>
  <w:num w:numId="36">
    <w:abstractNumId w:val="15"/>
  </w:num>
  <w:num w:numId="37">
    <w:abstractNumId w:val="10"/>
  </w:num>
  <w:num w:numId="38">
    <w:abstractNumId w:val="18"/>
  </w:num>
  <w:num w:numId="39">
    <w:abstractNumId w:val="27"/>
  </w:num>
  <w:num w:numId="40">
    <w:abstractNumId w:val="42"/>
  </w:num>
  <w:num w:numId="41">
    <w:abstractNumId w:val="24"/>
  </w:num>
  <w:num w:numId="42">
    <w:abstractNumId w:val="12"/>
  </w:num>
  <w:num w:numId="43">
    <w:abstractNumId w:val="23"/>
  </w:num>
  <w:num w:numId="44">
    <w:abstractNumId w:val="39"/>
  </w:num>
  <w:num w:numId="45">
    <w:abstractNumId w:val="14"/>
  </w:num>
  <w:num w:numId="46">
    <w:abstractNumId w:val="3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CB"/>
    <w:rsid w:val="000152BD"/>
    <w:rsid w:val="00022E39"/>
    <w:rsid w:val="0003606D"/>
    <w:rsid w:val="000579B1"/>
    <w:rsid w:val="00066D2C"/>
    <w:rsid w:val="00072D2F"/>
    <w:rsid w:val="00074319"/>
    <w:rsid w:val="00081C12"/>
    <w:rsid w:val="000A1DB8"/>
    <w:rsid w:val="000A48AC"/>
    <w:rsid w:val="000B0A5D"/>
    <w:rsid w:val="000B2941"/>
    <w:rsid w:val="000B5B4B"/>
    <w:rsid w:val="000C0504"/>
    <w:rsid w:val="000C32B2"/>
    <w:rsid w:val="000C7199"/>
    <w:rsid w:val="000D2D9C"/>
    <w:rsid w:val="000E130A"/>
    <w:rsid w:val="000F5C70"/>
    <w:rsid w:val="001020B8"/>
    <w:rsid w:val="00103E40"/>
    <w:rsid w:val="00134774"/>
    <w:rsid w:val="00140274"/>
    <w:rsid w:val="00151263"/>
    <w:rsid w:val="00161E33"/>
    <w:rsid w:val="00162A8D"/>
    <w:rsid w:val="00165E3C"/>
    <w:rsid w:val="00173FB5"/>
    <w:rsid w:val="0018135C"/>
    <w:rsid w:val="001B0353"/>
    <w:rsid w:val="001C1F8B"/>
    <w:rsid w:val="001F18CA"/>
    <w:rsid w:val="001F2BBB"/>
    <w:rsid w:val="001F6736"/>
    <w:rsid w:val="00200677"/>
    <w:rsid w:val="00203F5F"/>
    <w:rsid w:val="00212394"/>
    <w:rsid w:val="00224AA3"/>
    <w:rsid w:val="00231ED1"/>
    <w:rsid w:val="00240316"/>
    <w:rsid w:val="00242624"/>
    <w:rsid w:val="0024557E"/>
    <w:rsid w:val="002863D7"/>
    <w:rsid w:val="002B0D45"/>
    <w:rsid w:val="002B1B65"/>
    <w:rsid w:val="002C1866"/>
    <w:rsid w:val="002D0044"/>
    <w:rsid w:val="002F4CE1"/>
    <w:rsid w:val="00300F22"/>
    <w:rsid w:val="00304A37"/>
    <w:rsid w:val="00310ED4"/>
    <w:rsid w:val="00312301"/>
    <w:rsid w:val="0031492A"/>
    <w:rsid w:val="003169E5"/>
    <w:rsid w:val="00316C1A"/>
    <w:rsid w:val="00323C73"/>
    <w:rsid w:val="00331141"/>
    <w:rsid w:val="00332019"/>
    <w:rsid w:val="00336348"/>
    <w:rsid w:val="00336928"/>
    <w:rsid w:val="00344758"/>
    <w:rsid w:val="00347142"/>
    <w:rsid w:val="00353795"/>
    <w:rsid w:val="003565A8"/>
    <w:rsid w:val="003566EA"/>
    <w:rsid w:val="0036080F"/>
    <w:rsid w:val="00372C79"/>
    <w:rsid w:val="00380A14"/>
    <w:rsid w:val="00397C98"/>
    <w:rsid w:val="003A1A34"/>
    <w:rsid w:val="003C665C"/>
    <w:rsid w:val="003E7BCB"/>
    <w:rsid w:val="00422417"/>
    <w:rsid w:val="00424233"/>
    <w:rsid w:val="0043042B"/>
    <w:rsid w:val="00433134"/>
    <w:rsid w:val="00472EFF"/>
    <w:rsid w:val="0047382D"/>
    <w:rsid w:val="00474063"/>
    <w:rsid w:val="00476793"/>
    <w:rsid w:val="0048043C"/>
    <w:rsid w:val="004A187B"/>
    <w:rsid w:val="004A2D3C"/>
    <w:rsid w:val="004A43A5"/>
    <w:rsid w:val="004B1393"/>
    <w:rsid w:val="004C1845"/>
    <w:rsid w:val="004C7412"/>
    <w:rsid w:val="004D04BF"/>
    <w:rsid w:val="004D6E55"/>
    <w:rsid w:val="004E0DFF"/>
    <w:rsid w:val="004F1C7C"/>
    <w:rsid w:val="00511ED1"/>
    <w:rsid w:val="005123F0"/>
    <w:rsid w:val="00513540"/>
    <w:rsid w:val="00513941"/>
    <w:rsid w:val="0053051D"/>
    <w:rsid w:val="00530D98"/>
    <w:rsid w:val="00564208"/>
    <w:rsid w:val="00571CEB"/>
    <w:rsid w:val="00591951"/>
    <w:rsid w:val="00593DD6"/>
    <w:rsid w:val="005C5D41"/>
    <w:rsid w:val="005D1F34"/>
    <w:rsid w:val="005D383D"/>
    <w:rsid w:val="005E2682"/>
    <w:rsid w:val="00607E3A"/>
    <w:rsid w:val="00614E1D"/>
    <w:rsid w:val="00654793"/>
    <w:rsid w:val="0066645B"/>
    <w:rsid w:val="006716EF"/>
    <w:rsid w:val="006A6BB3"/>
    <w:rsid w:val="006B429B"/>
    <w:rsid w:val="006D5EE5"/>
    <w:rsid w:val="006F3129"/>
    <w:rsid w:val="0070099E"/>
    <w:rsid w:val="00725BA9"/>
    <w:rsid w:val="007307E1"/>
    <w:rsid w:val="00743727"/>
    <w:rsid w:val="007540BF"/>
    <w:rsid w:val="0076387F"/>
    <w:rsid w:val="00770DCB"/>
    <w:rsid w:val="00775485"/>
    <w:rsid w:val="00794820"/>
    <w:rsid w:val="007A12A9"/>
    <w:rsid w:val="007B0544"/>
    <w:rsid w:val="007E5B88"/>
    <w:rsid w:val="007F0D0B"/>
    <w:rsid w:val="007F6851"/>
    <w:rsid w:val="008007A8"/>
    <w:rsid w:val="00801A7A"/>
    <w:rsid w:val="00803046"/>
    <w:rsid w:val="00803474"/>
    <w:rsid w:val="008042D9"/>
    <w:rsid w:val="00814FC0"/>
    <w:rsid w:val="00835FCC"/>
    <w:rsid w:val="00860C53"/>
    <w:rsid w:val="008724DE"/>
    <w:rsid w:val="008A3D57"/>
    <w:rsid w:val="008B23BC"/>
    <w:rsid w:val="008C6B7A"/>
    <w:rsid w:val="008E3D60"/>
    <w:rsid w:val="008E3F4C"/>
    <w:rsid w:val="008F6B7B"/>
    <w:rsid w:val="0090165F"/>
    <w:rsid w:val="00901B82"/>
    <w:rsid w:val="00912B09"/>
    <w:rsid w:val="00966C2F"/>
    <w:rsid w:val="0097512B"/>
    <w:rsid w:val="0098050A"/>
    <w:rsid w:val="009858D1"/>
    <w:rsid w:val="00990B6E"/>
    <w:rsid w:val="009D67F6"/>
    <w:rsid w:val="009E0FE1"/>
    <w:rsid w:val="00A00793"/>
    <w:rsid w:val="00A0406E"/>
    <w:rsid w:val="00A04542"/>
    <w:rsid w:val="00A11307"/>
    <w:rsid w:val="00A13AF3"/>
    <w:rsid w:val="00A21388"/>
    <w:rsid w:val="00A27791"/>
    <w:rsid w:val="00A41355"/>
    <w:rsid w:val="00A43B92"/>
    <w:rsid w:val="00A54251"/>
    <w:rsid w:val="00A6179E"/>
    <w:rsid w:val="00A64316"/>
    <w:rsid w:val="00A77325"/>
    <w:rsid w:val="00A804D9"/>
    <w:rsid w:val="00A875BD"/>
    <w:rsid w:val="00A92F92"/>
    <w:rsid w:val="00A96892"/>
    <w:rsid w:val="00AA2051"/>
    <w:rsid w:val="00AF584C"/>
    <w:rsid w:val="00B15FD6"/>
    <w:rsid w:val="00B24B1D"/>
    <w:rsid w:val="00B277E0"/>
    <w:rsid w:val="00B34946"/>
    <w:rsid w:val="00B519FD"/>
    <w:rsid w:val="00B520BC"/>
    <w:rsid w:val="00B63D24"/>
    <w:rsid w:val="00B76AE9"/>
    <w:rsid w:val="00B924E6"/>
    <w:rsid w:val="00BA262D"/>
    <w:rsid w:val="00BA5698"/>
    <w:rsid w:val="00BC79EB"/>
    <w:rsid w:val="00BD40A8"/>
    <w:rsid w:val="00BD7FCF"/>
    <w:rsid w:val="00BF4EF7"/>
    <w:rsid w:val="00BF5502"/>
    <w:rsid w:val="00C13287"/>
    <w:rsid w:val="00C1786B"/>
    <w:rsid w:val="00C25BDA"/>
    <w:rsid w:val="00C33104"/>
    <w:rsid w:val="00C335E1"/>
    <w:rsid w:val="00C67B49"/>
    <w:rsid w:val="00C854D4"/>
    <w:rsid w:val="00C90556"/>
    <w:rsid w:val="00C9279F"/>
    <w:rsid w:val="00CA0D78"/>
    <w:rsid w:val="00CA4855"/>
    <w:rsid w:val="00CB24FE"/>
    <w:rsid w:val="00CB52D6"/>
    <w:rsid w:val="00CD58FD"/>
    <w:rsid w:val="00CF02BE"/>
    <w:rsid w:val="00CF1FE0"/>
    <w:rsid w:val="00D30A61"/>
    <w:rsid w:val="00D343FA"/>
    <w:rsid w:val="00D418FF"/>
    <w:rsid w:val="00D657D7"/>
    <w:rsid w:val="00D65C76"/>
    <w:rsid w:val="00D729AD"/>
    <w:rsid w:val="00D734C7"/>
    <w:rsid w:val="00DA2F73"/>
    <w:rsid w:val="00DC462F"/>
    <w:rsid w:val="00DD6A21"/>
    <w:rsid w:val="00DE60CA"/>
    <w:rsid w:val="00E24FA3"/>
    <w:rsid w:val="00E26B28"/>
    <w:rsid w:val="00E31465"/>
    <w:rsid w:val="00E328CD"/>
    <w:rsid w:val="00E36B95"/>
    <w:rsid w:val="00E4003F"/>
    <w:rsid w:val="00E458F6"/>
    <w:rsid w:val="00E45954"/>
    <w:rsid w:val="00E5699B"/>
    <w:rsid w:val="00E66AFF"/>
    <w:rsid w:val="00E70C19"/>
    <w:rsid w:val="00E76176"/>
    <w:rsid w:val="00E864C0"/>
    <w:rsid w:val="00E86A41"/>
    <w:rsid w:val="00EA44D9"/>
    <w:rsid w:val="00EB4C9F"/>
    <w:rsid w:val="00EB6A76"/>
    <w:rsid w:val="00EF3C20"/>
    <w:rsid w:val="00F14C6D"/>
    <w:rsid w:val="00F45658"/>
    <w:rsid w:val="00F50057"/>
    <w:rsid w:val="00F5281E"/>
    <w:rsid w:val="00F71117"/>
    <w:rsid w:val="00F96050"/>
    <w:rsid w:val="00FA19BF"/>
    <w:rsid w:val="00FA4916"/>
    <w:rsid w:val="00FB773B"/>
    <w:rsid w:val="00FD01B5"/>
    <w:rsid w:val="00FD44E2"/>
    <w:rsid w:val="01BDAE7C"/>
    <w:rsid w:val="0C05FFD7"/>
    <w:rsid w:val="18505F0A"/>
    <w:rsid w:val="1952591B"/>
    <w:rsid w:val="1D4278D4"/>
    <w:rsid w:val="331BA716"/>
    <w:rsid w:val="394EB02F"/>
    <w:rsid w:val="3DC62BB6"/>
    <w:rsid w:val="3FC7A347"/>
    <w:rsid w:val="44DD8608"/>
    <w:rsid w:val="4C4C674C"/>
    <w:rsid w:val="566F84F3"/>
    <w:rsid w:val="5BA054B8"/>
    <w:rsid w:val="67E3E3F1"/>
    <w:rsid w:val="6A99E0E9"/>
    <w:rsid w:val="71085871"/>
    <w:rsid w:val="72E2E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5DA6B04"/>
  <w15:chartTrackingRefBased/>
  <w15:docId w15:val="{C544CA1D-6596-41E6-9F46-6ADC896A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qFormat="1"/>
    <w:lsdException w:name="endnote text" w:uiPriority="99"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5"/>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5"/>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5"/>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5"/>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5"/>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aliases w:val="QUOTE"/>
    <w:uiPriority w:val="99"/>
    <w:qFormat/>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BF5502"/>
    <w:pPr>
      <w:ind w:left="720"/>
      <w:contextualSpacing/>
    </w:pPr>
  </w:style>
  <w:style w:type="character" w:styleId="CommentReference">
    <w:name w:val="annotation reference"/>
    <w:basedOn w:val="DefaultParagraphFont"/>
    <w:locked/>
    <w:rsid w:val="0047382D"/>
    <w:rPr>
      <w:sz w:val="16"/>
      <w:szCs w:val="16"/>
    </w:rPr>
  </w:style>
  <w:style w:type="paragraph" w:styleId="CommentText">
    <w:name w:val="annotation text"/>
    <w:basedOn w:val="Normal"/>
    <w:link w:val="CommentTextChar"/>
    <w:locked/>
    <w:rsid w:val="0047382D"/>
    <w:rPr>
      <w:sz w:val="20"/>
      <w:szCs w:val="20"/>
    </w:rPr>
  </w:style>
  <w:style w:type="character" w:customStyle="1" w:styleId="CommentTextChar">
    <w:name w:val="Comment Text Char"/>
    <w:basedOn w:val="DefaultParagraphFont"/>
    <w:link w:val="CommentText"/>
    <w:rsid w:val="0047382D"/>
    <w:rPr>
      <w:rFonts w:ascii="Arial" w:eastAsia="MS Mincho" w:hAnsi="Arial"/>
    </w:rPr>
  </w:style>
  <w:style w:type="paragraph" w:styleId="CommentSubject">
    <w:name w:val="annotation subject"/>
    <w:basedOn w:val="CommentText"/>
    <w:next w:val="CommentText"/>
    <w:link w:val="CommentSubjectChar"/>
    <w:semiHidden/>
    <w:unhideWhenUsed/>
    <w:locked/>
    <w:rsid w:val="0047382D"/>
    <w:rPr>
      <w:b/>
      <w:bCs/>
    </w:rPr>
  </w:style>
  <w:style w:type="character" w:customStyle="1" w:styleId="CommentSubjectChar">
    <w:name w:val="Comment Subject Char"/>
    <w:basedOn w:val="CommentTextChar"/>
    <w:link w:val="CommentSubject"/>
    <w:semiHidden/>
    <w:rsid w:val="0047382D"/>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60747">
      <w:bodyDiv w:val="1"/>
      <w:marLeft w:val="0"/>
      <w:marRight w:val="0"/>
      <w:marTop w:val="0"/>
      <w:marBottom w:val="0"/>
      <w:divBdr>
        <w:top w:val="none" w:sz="0" w:space="0" w:color="auto"/>
        <w:left w:val="none" w:sz="0" w:space="0" w:color="auto"/>
        <w:bottom w:val="none" w:sz="0" w:space="0" w:color="auto"/>
        <w:right w:val="none" w:sz="0" w:space="0" w:color="auto"/>
      </w:divBdr>
      <w:divsChild>
        <w:div w:id="577253363">
          <w:marLeft w:val="0"/>
          <w:marRight w:val="0"/>
          <w:marTop w:val="0"/>
          <w:marBottom w:val="0"/>
          <w:divBdr>
            <w:top w:val="none" w:sz="0" w:space="0" w:color="auto"/>
            <w:left w:val="none" w:sz="0" w:space="0" w:color="auto"/>
            <w:bottom w:val="none" w:sz="0" w:space="0" w:color="auto"/>
            <w:right w:val="none" w:sz="0" w:space="0" w:color="auto"/>
          </w:divBdr>
          <w:divsChild>
            <w:div w:id="655840800">
              <w:marLeft w:val="0"/>
              <w:marRight w:val="0"/>
              <w:marTop w:val="0"/>
              <w:marBottom w:val="0"/>
              <w:divBdr>
                <w:top w:val="none" w:sz="0" w:space="0" w:color="auto"/>
                <w:left w:val="none" w:sz="0" w:space="0" w:color="auto"/>
                <w:bottom w:val="none" w:sz="0" w:space="0" w:color="auto"/>
                <w:right w:val="none" w:sz="0" w:space="0" w:color="auto"/>
              </w:divBdr>
              <w:divsChild>
                <w:div w:id="20072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3645">
      <w:bodyDiv w:val="1"/>
      <w:marLeft w:val="0"/>
      <w:marRight w:val="0"/>
      <w:marTop w:val="0"/>
      <w:marBottom w:val="0"/>
      <w:divBdr>
        <w:top w:val="none" w:sz="0" w:space="0" w:color="auto"/>
        <w:left w:val="none" w:sz="0" w:space="0" w:color="auto"/>
        <w:bottom w:val="none" w:sz="0" w:space="0" w:color="auto"/>
        <w:right w:val="none" w:sz="0" w:space="0" w:color="auto"/>
      </w:divBdr>
      <w:divsChild>
        <w:div w:id="945230389">
          <w:marLeft w:val="0"/>
          <w:marRight w:val="0"/>
          <w:marTop w:val="0"/>
          <w:marBottom w:val="0"/>
          <w:divBdr>
            <w:top w:val="none" w:sz="0" w:space="0" w:color="auto"/>
            <w:left w:val="none" w:sz="0" w:space="0" w:color="auto"/>
            <w:bottom w:val="none" w:sz="0" w:space="0" w:color="auto"/>
            <w:right w:val="none" w:sz="0" w:space="0" w:color="auto"/>
          </w:divBdr>
          <w:divsChild>
            <w:div w:id="1009716650">
              <w:marLeft w:val="0"/>
              <w:marRight w:val="0"/>
              <w:marTop w:val="0"/>
              <w:marBottom w:val="0"/>
              <w:divBdr>
                <w:top w:val="none" w:sz="0" w:space="0" w:color="auto"/>
                <w:left w:val="none" w:sz="0" w:space="0" w:color="auto"/>
                <w:bottom w:val="none" w:sz="0" w:space="0" w:color="auto"/>
                <w:right w:val="none" w:sz="0" w:space="0" w:color="auto"/>
              </w:divBdr>
              <w:divsChild>
                <w:div w:id="9873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2489">
      <w:bodyDiv w:val="1"/>
      <w:marLeft w:val="0"/>
      <w:marRight w:val="0"/>
      <w:marTop w:val="0"/>
      <w:marBottom w:val="0"/>
      <w:divBdr>
        <w:top w:val="none" w:sz="0" w:space="0" w:color="auto"/>
        <w:left w:val="none" w:sz="0" w:space="0" w:color="auto"/>
        <w:bottom w:val="none" w:sz="0" w:space="0" w:color="auto"/>
        <w:right w:val="none" w:sz="0" w:space="0" w:color="auto"/>
      </w:divBdr>
      <w:divsChild>
        <w:div w:id="169494019">
          <w:marLeft w:val="0"/>
          <w:marRight w:val="0"/>
          <w:marTop w:val="0"/>
          <w:marBottom w:val="0"/>
          <w:divBdr>
            <w:top w:val="none" w:sz="0" w:space="0" w:color="auto"/>
            <w:left w:val="none" w:sz="0" w:space="0" w:color="auto"/>
            <w:bottom w:val="none" w:sz="0" w:space="0" w:color="auto"/>
            <w:right w:val="none" w:sz="0" w:space="0" w:color="auto"/>
          </w:divBdr>
          <w:divsChild>
            <w:div w:id="544295234">
              <w:marLeft w:val="0"/>
              <w:marRight w:val="0"/>
              <w:marTop w:val="0"/>
              <w:marBottom w:val="0"/>
              <w:divBdr>
                <w:top w:val="none" w:sz="0" w:space="0" w:color="auto"/>
                <w:left w:val="none" w:sz="0" w:space="0" w:color="auto"/>
                <w:bottom w:val="none" w:sz="0" w:space="0" w:color="auto"/>
                <w:right w:val="none" w:sz="0" w:space="0" w:color="auto"/>
              </w:divBdr>
              <w:divsChild>
                <w:div w:id="9232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3037">
      <w:bodyDiv w:val="1"/>
      <w:marLeft w:val="0"/>
      <w:marRight w:val="0"/>
      <w:marTop w:val="0"/>
      <w:marBottom w:val="0"/>
      <w:divBdr>
        <w:top w:val="none" w:sz="0" w:space="0" w:color="auto"/>
        <w:left w:val="none" w:sz="0" w:space="0" w:color="auto"/>
        <w:bottom w:val="none" w:sz="0" w:space="0" w:color="auto"/>
        <w:right w:val="none" w:sz="0" w:space="0" w:color="auto"/>
      </w:divBdr>
      <w:divsChild>
        <w:div w:id="694040997">
          <w:marLeft w:val="0"/>
          <w:marRight w:val="0"/>
          <w:marTop w:val="0"/>
          <w:marBottom w:val="0"/>
          <w:divBdr>
            <w:top w:val="none" w:sz="0" w:space="0" w:color="auto"/>
            <w:left w:val="none" w:sz="0" w:space="0" w:color="auto"/>
            <w:bottom w:val="none" w:sz="0" w:space="0" w:color="auto"/>
            <w:right w:val="none" w:sz="0" w:space="0" w:color="auto"/>
          </w:divBdr>
          <w:divsChild>
            <w:div w:id="1330451095">
              <w:marLeft w:val="0"/>
              <w:marRight w:val="0"/>
              <w:marTop w:val="0"/>
              <w:marBottom w:val="0"/>
              <w:divBdr>
                <w:top w:val="none" w:sz="0" w:space="0" w:color="auto"/>
                <w:left w:val="none" w:sz="0" w:space="0" w:color="auto"/>
                <w:bottom w:val="none" w:sz="0" w:space="0" w:color="auto"/>
                <w:right w:val="none" w:sz="0" w:space="0" w:color="auto"/>
              </w:divBdr>
              <w:divsChild>
                <w:div w:id="15603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3253">
      <w:bodyDiv w:val="1"/>
      <w:marLeft w:val="0"/>
      <w:marRight w:val="0"/>
      <w:marTop w:val="0"/>
      <w:marBottom w:val="0"/>
      <w:divBdr>
        <w:top w:val="none" w:sz="0" w:space="0" w:color="auto"/>
        <w:left w:val="none" w:sz="0" w:space="0" w:color="auto"/>
        <w:bottom w:val="none" w:sz="0" w:space="0" w:color="auto"/>
        <w:right w:val="none" w:sz="0" w:space="0" w:color="auto"/>
      </w:divBdr>
      <w:divsChild>
        <w:div w:id="410933034">
          <w:marLeft w:val="0"/>
          <w:marRight w:val="0"/>
          <w:marTop w:val="0"/>
          <w:marBottom w:val="0"/>
          <w:divBdr>
            <w:top w:val="none" w:sz="0" w:space="0" w:color="auto"/>
            <w:left w:val="none" w:sz="0" w:space="0" w:color="auto"/>
            <w:bottom w:val="none" w:sz="0" w:space="0" w:color="auto"/>
            <w:right w:val="none" w:sz="0" w:space="0" w:color="auto"/>
          </w:divBdr>
          <w:divsChild>
            <w:div w:id="908271812">
              <w:marLeft w:val="0"/>
              <w:marRight w:val="0"/>
              <w:marTop w:val="0"/>
              <w:marBottom w:val="0"/>
              <w:divBdr>
                <w:top w:val="none" w:sz="0" w:space="0" w:color="auto"/>
                <w:left w:val="none" w:sz="0" w:space="0" w:color="auto"/>
                <w:bottom w:val="none" w:sz="0" w:space="0" w:color="auto"/>
                <w:right w:val="none" w:sz="0" w:space="0" w:color="auto"/>
              </w:divBdr>
              <w:divsChild>
                <w:div w:id="4167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6342">
      <w:bodyDiv w:val="1"/>
      <w:marLeft w:val="0"/>
      <w:marRight w:val="0"/>
      <w:marTop w:val="0"/>
      <w:marBottom w:val="0"/>
      <w:divBdr>
        <w:top w:val="none" w:sz="0" w:space="0" w:color="auto"/>
        <w:left w:val="none" w:sz="0" w:space="0" w:color="auto"/>
        <w:bottom w:val="none" w:sz="0" w:space="0" w:color="auto"/>
        <w:right w:val="none" w:sz="0" w:space="0" w:color="auto"/>
      </w:divBdr>
      <w:divsChild>
        <w:div w:id="1598564335">
          <w:marLeft w:val="0"/>
          <w:marRight w:val="0"/>
          <w:marTop w:val="0"/>
          <w:marBottom w:val="0"/>
          <w:divBdr>
            <w:top w:val="none" w:sz="0" w:space="0" w:color="auto"/>
            <w:left w:val="none" w:sz="0" w:space="0" w:color="auto"/>
            <w:bottom w:val="none" w:sz="0" w:space="0" w:color="auto"/>
            <w:right w:val="none" w:sz="0" w:space="0" w:color="auto"/>
          </w:divBdr>
          <w:divsChild>
            <w:div w:id="773132035">
              <w:marLeft w:val="0"/>
              <w:marRight w:val="0"/>
              <w:marTop w:val="0"/>
              <w:marBottom w:val="0"/>
              <w:divBdr>
                <w:top w:val="none" w:sz="0" w:space="0" w:color="auto"/>
                <w:left w:val="none" w:sz="0" w:space="0" w:color="auto"/>
                <w:bottom w:val="none" w:sz="0" w:space="0" w:color="auto"/>
                <w:right w:val="none" w:sz="0" w:space="0" w:color="auto"/>
              </w:divBdr>
              <w:divsChild>
                <w:div w:id="2611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4687">
      <w:bodyDiv w:val="1"/>
      <w:marLeft w:val="0"/>
      <w:marRight w:val="0"/>
      <w:marTop w:val="0"/>
      <w:marBottom w:val="0"/>
      <w:divBdr>
        <w:top w:val="none" w:sz="0" w:space="0" w:color="auto"/>
        <w:left w:val="none" w:sz="0" w:space="0" w:color="auto"/>
        <w:bottom w:val="none" w:sz="0" w:space="0" w:color="auto"/>
        <w:right w:val="none" w:sz="0" w:space="0" w:color="auto"/>
      </w:divBdr>
      <w:divsChild>
        <w:div w:id="1857844923">
          <w:marLeft w:val="0"/>
          <w:marRight w:val="0"/>
          <w:marTop w:val="0"/>
          <w:marBottom w:val="0"/>
          <w:divBdr>
            <w:top w:val="none" w:sz="0" w:space="0" w:color="auto"/>
            <w:left w:val="none" w:sz="0" w:space="0" w:color="auto"/>
            <w:bottom w:val="none" w:sz="0" w:space="0" w:color="auto"/>
            <w:right w:val="none" w:sz="0" w:space="0" w:color="auto"/>
          </w:divBdr>
          <w:divsChild>
            <w:div w:id="1157188099">
              <w:marLeft w:val="0"/>
              <w:marRight w:val="0"/>
              <w:marTop w:val="0"/>
              <w:marBottom w:val="0"/>
              <w:divBdr>
                <w:top w:val="none" w:sz="0" w:space="0" w:color="auto"/>
                <w:left w:val="none" w:sz="0" w:space="0" w:color="auto"/>
                <w:bottom w:val="none" w:sz="0" w:space="0" w:color="auto"/>
                <w:right w:val="none" w:sz="0" w:space="0" w:color="auto"/>
              </w:divBdr>
              <w:divsChild>
                <w:div w:id="37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3254">
      <w:bodyDiv w:val="1"/>
      <w:marLeft w:val="0"/>
      <w:marRight w:val="0"/>
      <w:marTop w:val="0"/>
      <w:marBottom w:val="0"/>
      <w:divBdr>
        <w:top w:val="none" w:sz="0" w:space="0" w:color="auto"/>
        <w:left w:val="none" w:sz="0" w:space="0" w:color="auto"/>
        <w:bottom w:val="none" w:sz="0" w:space="0" w:color="auto"/>
        <w:right w:val="none" w:sz="0" w:space="0" w:color="auto"/>
      </w:divBdr>
      <w:divsChild>
        <w:div w:id="1073622137">
          <w:marLeft w:val="0"/>
          <w:marRight w:val="0"/>
          <w:marTop w:val="0"/>
          <w:marBottom w:val="0"/>
          <w:divBdr>
            <w:top w:val="none" w:sz="0" w:space="0" w:color="auto"/>
            <w:left w:val="none" w:sz="0" w:space="0" w:color="auto"/>
            <w:bottom w:val="none" w:sz="0" w:space="0" w:color="auto"/>
            <w:right w:val="none" w:sz="0" w:space="0" w:color="auto"/>
          </w:divBdr>
          <w:divsChild>
            <w:div w:id="1163006055">
              <w:marLeft w:val="0"/>
              <w:marRight w:val="0"/>
              <w:marTop w:val="0"/>
              <w:marBottom w:val="0"/>
              <w:divBdr>
                <w:top w:val="none" w:sz="0" w:space="0" w:color="auto"/>
                <w:left w:val="none" w:sz="0" w:space="0" w:color="auto"/>
                <w:bottom w:val="none" w:sz="0" w:space="0" w:color="auto"/>
                <w:right w:val="none" w:sz="0" w:space="0" w:color="auto"/>
              </w:divBdr>
              <w:divsChild>
                <w:div w:id="1131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494">
      <w:bodyDiv w:val="1"/>
      <w:marLeft w:val="0"/>
      <w:marRight w:val="0"/>
      <w:marTop w:val="0"/>
      <w:marBottom w:val="0"/>
      <w:divBdr>
        <w:top w:val="none" w:sz="0" w:space="0" w:color="auto"/>
        <w:left w:val="none" w:sz="0" w:space="0" w:color="auto"/>
        <w:bottom w:val="none" w:sz="0" w:space="0" w:color="auto"/>
        <w:right w:val="none" w:sz="0" w:space="0" w:color="auto"/>
      </w:divBdr>
      <w:divsChild>
        <w:div w:id="435447903">
          <w:marLeft w:val="0"/>
          <w:marRight w:val="0"/>
          <w:marTop w:val="0"/>
          <w:marBottom w:val="0"/>
          <w:divBdr>
            <w:top w:val="none" w:sz="0" w:space="0" w:color="auto"/>
            <w:left w:val="none" w:sz="0" w:space="0" w:color="auto"/>
            <w:bottom w:val="none" w:sz="0" w:space="0" w:color="auto"/>
            <w:right w:val="none" w:sz="0" w:space="0" w:color="auto"/>
          </w:divBdr>
          <w:divsChild>
            <w:div w:id="234096084">
              <w:marLeft w:val="0"/>
              <w:marRight w:val="0"/>
              <w:marTop w:val="0"/>
              <w:marBottom w:val="0"/>
              <w:divBdr>
                <w:top w:val="none" w:sz="0" w:space="0" w:color="auto"/>
                <w:left w:val="none" w:sz="0" w:space="0" w:color="auto"/>
                <w:bottom w:val="none" w:sz="0" w:space="0" w:color="auto"/>
                <w:right w:val="none" w:sz="0" w:space="0" w:color="auto"/>
              </w:divBdr>
              <w:divsChild>
                <w:div w:id="9179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8529">
      <w:bodyDiv w:val="1"/>
      <w:marLeft w:val="0"/>
      <w:marRight w:val="0"/>
      <w:marTop w:val="0"/>
      <w:marBottom w:val="0"/>
      <w:divBdr>
        <w:top w:val="none" w:sz="0" w:space="0" w:color="auto"/>
        <w:left w:val="none" w:sz="0" w:space="0" w:color="auto"/>
        <w:bottom w:val="none" w:sz="0" w:space="0" w:color="auto"/>
        <w:right w:val="none" w:sz="0" w:space="0" w:color="auto"/>
      </w:divBdr>
      <w:divsChild>
        <w:div w:id="488061720">
          <w:marLeft w:val="0"/>
          <w:marRight w:val="0"/>
          <w:marTop w:val="0"/>
          <w:marBottom w:val="0"/>
          <w:divBdr>
            <w:top w:val="none" w:sz="0" w:space="0" w:color="auto"/>
            <w:left w:val="none" w:sz="0" w:space="0" w:color="auto"/>
            <w:bottom w:val="none" w:sz="0" w:space="0" w:color="auto"/>
            <w:right w:val="none" w:sz="0" w:space="0" w:color="auto"/>
          </w:divBdr>
          <w:divsChild>
            <w:div w:id="1710836045">
              <w:marLeft w:val="0"/>
              <w:marRight w:val="0"/>
              <w:marTop w:val="0"/>
              <w:marBottom w:val="0"/>
              <w:divBdr>
                <w:top w:val="none" w:sz="0" w:space="0" w:color="auto"/>
                <w:left w:val="none" w:sz="0" w:space="0" w:color="auto"/>
                <w:bottom w:val="none" w:sz="0" w:space="0" w:color="auto"/>
                <w:right w:val="none" w:sz="0" w:space="0" w:color="auto"/>
              </w:divBdr>
              <w:divsChild>
                <w:div w:id="19239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327">
      <w:bodyDiv w:val="1"/>
      <w:marLeft w:val="0"/>
      <w:marRight w:val="0"/>
      <w:marTop w:val="0"/>
      <w:marBottom w:val="0"/>
      <w:divBdr>
        <w:top w:val="none" w:sz="0" w:space="0" w:color="auto"/>
        <w:left w:val="none" w:sz="0" w:space="0" w:color="auto"/>
        <w:bottom w:val="none" w:sz="0" w:space="0" w:color="auto"/>
        <w:right w:val="none" w:sz="0" w:space="0" w:color="auto"/>
      </w:divBdr>
      <w:divsChild>
        <w:div w:id="1329554350">
          <w:marLeft w:val="0"/>
          <w:marRight w:val="0"/>
          <w:marTop w:val="0"/>
          <w:marBottom w:val="0"/>
          <w:divBdr>
            <w:top w:val="none" w:sz="0" w:space="0" w:color="auto"/>
            <w:left w:val="none" w:sz="0" w:space="0" w:color="auto"/>
            <w:bottom w:val="none" w:sz="0" w:space="0" w:color="auto"/>
            <w:right w:val="none" w:sz="0" w:space="0" w:color="auto"/>
          </w:divBdr>
          <w:divsChild>
            <w:div w:id="216167988">
              <w:marLeft w:val="0"/>
              <w:marRight w:val="0"/>
              <w:marTop w:val="0"/>
              <w:marBottom w:val="0"/>
              <w:divBdr>
                <w:top w:val="none" w:sz="0" w:space="0" w:color="auto"/>
                <w:left w:val="none" w:sz="0" w:space="0" w:color="auto"/>
                <w:bottom w:val="none" w:sz="0" w:space="0" w:color="auto"/>
                <w:right w:val="none" w:sz="0" w:space="0" w:color="auto"/>
              </w:divBdr>
              <w:divsChild>
                <w:div w:id="925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9154">
      <w:bodyDiv w:val="1"/>
      <w:marLeft w:val="0"/>
      <w:marRight w:val="0"/>
      <w:marTop w:val="0"/>
      <w:marBottom w:val="0"/>
      <w:divBdr>
        <w:top w:val="none" w:sz="0" w:space="0" w:color="auto"/>
        <w:left w:val="none" w:sz="0" w:space="0" w:color="auto"/>
        <w:bottom w:val="none" w:sz="0" w:space="0" w:color="auto"/>
        <w:right w:val="none" w:sz="0" w:space="0" w:color="auto"/>
      </w:divBdr>
      <w:divsChild>
        <w:div w:id="223763030">
          <w:marLeft w:val="0"/>
          <w:marRight w:val="0"/>
          <w:marTop w:val="0"/>
          <w:marBottom w:val="0"/>
          <w:divBdr>
            <w:top w:val="none" w:sz="0" w:space="0" w:color="auto"/>
            <w:left w:val="none" w:sz="0" w:space="0" w:color="auto"/>
            <w:bottom w:val="none" w:sz="0" w:space="0" w:color="auto"/>
            <w:right w:val="none" w:sz="0" w:space="0" w:color="auto"/>
          </w:divBdr>
          <w:divsChild>
            <w:div w:id="779375185">
              <w:marLeft w:val="0"/>
              <w:marRight w:val="0"/>
              <w:marTop w:val="0"/>
              <w:marBottom w:val="0"/>
              <w:divBdr>
                <w:top w:val="none" w:sz="0" w:space="0" w:color="auto"/>
                <w:left w:val="none" w:sz="0" w:space="0" w:color="auto"/>
                <w:bottom w:val="none" w:sz="0" w:space="0" w:color="auto"/>
                <w:right w:val="none" w:sz="0" w:space="0" w:color="auto"/>
              </w:divBdr>
              <w:divsChild>
                <w:div w:id="13969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7269757">
      <w:bodyDiv w:val="1"/>
      <w:marLeft w:val="0"/>
      <w:marRight w:val="0"/>
      <w:marTop w:val="0"/>
      <w:marBottom w:val="0"/>
      <w:divBdr>
        <w:top w:val="none" w:sz="0" w:space="0" w:color="auto"/>
        <w:left w:val="none" w:sz="0" w:space="0" w:color="auto"/>
        <w:bottom w:val="none" w:sz="0" w:space="0" w:color="auto"/>
        <w:right w:val="none" w:sz="0" w:space="0" w:color="auto"/>
      </w:divBdr>
      <w:divsChild>
        <w:div w:id="779639889">
          <w:marLeft w:val="0"/>
          <w:marRight w:val="0"/>
          <w:marTop w:val="0"/>
          <w:marBottom w:val="0"/>
          <w:divBdr>
            <w:top w:val="none" w:sz="0" w:space="0" w:color="auto"/>
            <w:left w:val="none" w:sz="0" w:space="0" w:color="auto"/>
            <w:bottom w:val="none" w:sz="0" w:space="0" w:color="auto"/>
            <w:right w:val="none" w:sz="0" w:space="0" w:color="auto"/>
          </w:divBdr>
          <w:divsChild>
            <w:div w:id="668673565">
              <w:marLeft w:val="0"/>
              <w:marRight w:val="0"/>
              <w:marTop w:val="0"/>
              <w:marBottom w:val="0"/>
              <w:divBdr>
                <w:top w:val="none" w:sz="0" w:space="0" w:color="auto"/>
                <w:left w:val="none" w:sz="0" w:space="0" w:color="auto"/>
                <w:bottom w:val="none" w:sz="0" w:space="0" w:color="auto"/>
                <w:right w:val="none" w:sz="0" w:space="0" w:color="auto"/>
              </w:divBdr>
              <w:divsChild>
                <w:div w:id="245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0731461">
      <w:bodyDiv w:val="1"/>
      <w:marLeft w:val="0"/>
      <w:marRight w:val="0"/>
      <w:marTop w:val="0"/>
      <w:marBottom w:val="0"/>
      <w:divBdr>
        <w:top w:val="none" w:sz="0" w:space="0" w:color="auto"/>
        <w:left w:val="none" w:sz="0" w:space="0" w:color="auto"/>
        <w:bottom w:val="none" w:sz="0" w:space="0" w:color="auto"/>
        <w:right w:val="none" w:sz="0" w:space="0" w:color="auto"/>
      </w:divBdr>
      <w:divsChild>
        <w:div w:id="688601233">
          <w:marLeft w:val="0"/>
          <w:marRight w:val="0"/>
          <w:marTop w:val="0"/>
          <w:marBottom w:val="0"/>
          <w:divBdr>
            <w:top w:val="none" w:sz="0" w:space="0" w:color="auto"/>
            <w:left w:val="none" w:sz="0" w:space="0" w:color="auto"/>
            <w:bottom w:val="none" w:sz="0" w:space="0" w:color="auto"/>
            <w:right w:val="none" w:sz="0" w:space="0" w:color="auto"/>
          </w:divBdr>
          <w:divsChild>
            <w:div w:id="139033209">
              <w:marLeft w:val="0"/>
              <w:marRight w:val="0"/>
              <w:marTop w:val="0"/>
              <w:marBottom w:val="0"/>
              <w:divBdr>
                <w:top w:val="none" w:sz="0" w:space="0" w:color="auto"/>
                <w:left w:val="none" w:sz="0" w:space="0" w:color="auto"/>
                <w:bottom w:val="none" w:sz="0" w:space="0" w:color="auto"/>
                <w:right w:val="none" w:sz="0" w:space="0" w:color="auto"/>
              </w:divBdr>
              <w:divsChild>
                <w:div w:id="16834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49437484">
      <w:bodyDiv w:val="1"/>
      <w:marLeft w:val="0"/>
      <w:marRight w:val="0"/>
      <w:marTop w:val="0"/>
      <w:marBottom w:val="0"/>
      <w:divBdr>
        <w:top w:val="none" w:sz="0" w:space="0" w:color="auto"/>
        <w:left w:val="none" w:sz="0" w:space="0" w:color="auto"/>
        <w:bottom w:val="none" w:sz="0" w:space="0" w:color="auto"/>
        <w:right w:val="none" w:sz="0" w:space="0" w:color="auto"/>
      </w:divBdr>
      <w:divsChild>
        <w:div w:id="1987277497">
          <w:marLeft w:val="0"/>
          <w:marRight w:val="0"/>
          <w:marTop w:val="0"/>
          <w:marBottom w:val="0"/>
          <w:divBdr>
            <w:top w:val="none" w:sz="0" w:space="0" w:color="auto"/>
            <w:left w:val="none" w:sz="0" w:space="0" w:color="auto"/>
            <w:bottom w:val="none" w:sz="0" w:space="0" w:color="auto"/>
            <w:right w:val="none" w:sz="0" w:space="0" w:color="auto"/>
          </w:divBdr>
          <w:divsChild>
            <w:div w:id="1790321786">
              <w:marLeft w:val="0"/>
              <w:marRight w:val="0"/>
              <w:marTop w:val="0"/>
              <w:marBottom w:val="0"/>
              <w:divBdr>
                <w:top w:val="none" w:sz="0" w:space="0" w:color="auto"/>
                <w:left w:val="none" w:sz="0" w:space="0" w:color="auto"/>
                <w:bottom w:val="none" w:sz="0" w:space="0" w:color="auto"/>
                <w:right w:val="none" w:sz="0" w:space="0" w:color="auto"/>
              </w:divBdr>
              <w:divsChild>
                <w:div w:id="131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0249">
      <w:bodyDiv w:val="1"/>
      <w:marLeft w:val="0"/>
      <w:marRight w:val="0"/>
      <w:marTop w:val="0"/>
      <w:marBottom w:val="0"/>
      <w:divBdr>
        <w:top w:val="none" w:sz="0" w:space="0" w:color="auto"/>
        <w:left w:val="none" w:sz="0" w:space="0" w:color="auto"/>
        <w:bottom w:val="none" w:sz="0" w:space="0" w:color="auto"/>
        <w:right w:val="none" w:sz="0" w:space="0" w:color="auto"/>
      </w:divBdr>
      <w:divsChild>
        <w:div w:id="450563151">
          <w:marLeft w:val="0"/>
          <w:marRight w:val="0"/>
          <w:marTop w:val="0"/>
          <w:marBottom w:val="0"/>
          <w:divBdr>
            <w:top w:val="none" w:sz="0" w:space="0" w:color="auto"/>
            <w:left w:val="none" w:sz="0" w:space="0" w:color="auto"/>
            <w:bottom w:val="none" w:sz="0" w:space="0" w:color="auto"/>
            <w:right w:val="none" w:sz="0" w:space="0" w:color="auto"/>
          </w:divBdr>
          <w:divsChild>
            <w:div w:id="502624274">
              <w:marLeft w:val="0"/>
              <w:marRight w:val="0"/>
              <w:marTop w:val="0"/>
              <w:marBottom w:val="0"/>
              <w:divBdr>
                <w:top w:val="none" w:sz="0" w:space="0" w:color="auto"/>
                <w:left w:val="none" w:sz="0" w:space="0" w:color="auto"/>
                <w:bottom w:val="none" w:sz="0" w:space="0" w:color="auto"/>
                <w:right w:val="none" w:sz="0" w:space="0" w:color="auto"/>
              </w:divBdr>
              <w:divsChild>
                <w:div w:id="7498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2925">
      <w:bodyDiv w:val="1"/>
      <w:marLeft w:val="0"/>
      <w:marRight w:val="0"/>
      <w:marTop w:val="0"/>
      <w:marBottom w:val="0"/>
      <w:divBdr>
        <w:top w:val="none" w:sz="0" w:space="0" w:color="auto"/>
        <w:left w:val="none" w:sz="0" w:space="0" w:color="auto"/>
        <w:bottom w:val="none" w:sz="0" w:space="0" w:color="auto"/>
        <w:right w:val="none" w:sz="0" w:space="0" w:color="auto"/>
      </w:divBdr>
      <w:divsChild>
        <w:div w:id="2027559126">
          <w:marLeft w:val="0"/>
          <w:marRight w:val="0"/>
          <w:marTop w:val="0"/>
          <w:marBottom w:val="0"/>
          <w:divBdr>
            <w:top w:val="none" w:sz="0" w:space="0" w:color="auto"/>
            <w:left w:val="none" w:sz="0" w:space="0" w:color="auto"/>
            <w:bottom w:val="none" w:sz="0" w:space="0" w:color="auto"/>
            <w:right w:val="none" w:sz="0" w:space="0" w:color="auto"/>
          </w:divBdr>
          <w:divsChild>
            <w:div w:id="1041244502">
              <w:marLeft w:val="0"/>
              <w:marRight w:val="0"/>
              <w:marTop w:val="0"/>
              <w:marBottom w:val="0"/>
              <w:divBdr>
                <w:top w:val="none" w:sz="0" w:space="0" w:color="auto"/>
                <w:left w:val="none" w:sz="0" w:space="0" w:color="auto"/>
                <w:bottom w:val="none" w:sz="0" w:space="0" w:color="auto"/>
                <w:right w:val="none" w:sz="0" w:space="0" w:color="auto"/>
              </w:divBdr>
              <w:divsChild>
                <w:div w:id="1183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6245">
      <w:bodyDiv w:val="1"/>
      <w:marLeft w:val="0"/>
      <w:marRight w:val="0"/>
      <w:marTop w:val="0"/>
      <w:marBottom w:val="0"/>
      <w:divBdr>
        <w:top w:val="none" w:sz="0" w:space="0" w:color="auto"/>
        <w:left w:val="none" w:sz="0" w:space="0" w:color="auto"/>
        <w:bottom w:val="none" w:sz="0" w:space="0" w:color="auto"/>
        <w:right w:val="none" w:sz="0" w:space="0" w:color="auto"/>
      </w:divBdr>
      <w:divsChild>
        <w:div w:id="1196650974">
          <w:marLeft w:val="0"/>
          <w:marRight w:val="0"/>
          <w:marTop w:val="0"/>
          <w:marBottom w:val="0"/>
          <w:divBdr>
            <w:top w:val="none" w:sz="0" w:space="0" w:color="auto"/>
            <w:left w:val="none" w:sz="0" w:space="0" w:color="auto"/>
            <w:bottom w:val="none" w:sz="0" w:space="0" w:color="auto"/>
            <w:right w:val="none" w:sz="0" w:space="0" w:color="auto"/>
          </w:divBdr>
          <w:divsChild>
            <w:div w:id="1519466498">
              <w:marLeft w:val="0"/>
              <w:marRight w:val="0"/>
              <w:marTop w:val="0"/>
              <w:marBottom w:val="0"/>
              <w:divBdr>
                <w:top w:val="none" w:sz="0" w:space="0" w:color="auto"/>
                <w:left w:val="none" w:sz="0" w:space="0" w:color="auto"/>
                <w:bottom w:val="none" w:sz="0" w:space="0" w:color="auto"/>
                <w:right w:val="none" w:sz="0" w:space="0" w:color="auto"/>
              </w:divBdr>
              <w:divsChild>
                <w:div w:id="1498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91162">
      <w:bodyDiv w:val="1"/>
      <w:marLeft w:val="0"/>
      <w:marRight w:val="0"/>
      <w:marTop w:val="0"/>
      <w:marBottom w:val="0"/>
      <w:divBdr>
        <w:top w:val="none" w:sz="0" w:space="0" w:color="auto"/>
        <w:left w:val="none" w:sz="0" w:space="0" w:color="auto"/>
        <w:bottom w:val="none" w:sz="0" w:space="0" w:color="auto"/>
        <w:right w:val="none" w:sz="0" w:space="0" w:color="auto"/>
      </w:divBdr>
      <w:divsChild>
        <w:div w:id="37097152">
          <w:marLeft w:val="0"/>
          <w:marRight w:val="0"/>
          <w:marTop w:val="0"/>
          <w:marBottom w:val="0"/>
          <w:divBdr>
            <w:top w:val="none" w:sz="0" w:space="0" w:color="auto"/>
            <w:left w:val="none" w:sz="0" w:space="0" w:color="auto"/>
            <w:bottom w:val="none" w:sz="0" w:space="0" w:color="auto"/>
            <w:right w:val="none" w:sz="0" w:space="0" w:color="auto"/>
          </w:divBdr>
          <w:divsChild>
            <w:div w:id="896012032">
              <w:marLeft w:val="0"/>
              <w:marRight w:val="0"/>
              <w:marTop w:val="0"/>
              <w:marBottom w:val="0"/>
              <w:divBdr>
                <w:top w:val="none" w:sz="0" w:space="0" w:color="auto"/>
                <w:left w:val="none" w:sz="0" w:space="0" w:color="auto"/>
                <w:bottom w:val="none" w:sz="0" w:space="0" w:color="auto"/>
                <w:right w:val="none" w:sz="0" w:space="0" w:color="auto"/>
              </w:divBdr>
              <w:divsChild>
                <w:div w:id="981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268">
      <w:bodyDiv w:val="1"/>
      <w:marLeft w:val="0"/>
      <w:marRight w:val="0"/>
      <w:marTop w:val="0"/>
      <w:marBottom w:val="0"/>
      <w:divBdr>
        <w:top w:val="none" w:sz="0" w:space="0" w:color="auto"/>
        <w:left w:val="none" w:sz="0" w:space="0" w:color="auto"/>
        <w:bottom w:val="none" w:sz="0" w:space="0" w:color="auto"/>
        <w:right w:val="none" w:sz="0" w:space="0" w:color="auto"/>
      </w:divBdr>
      <w:divsChild>
        <w:div w:id="452403219">
          <w:marLeft w:val="0"/>
          <w:marRight w:val="0"/>
          <w:marTop w:val="0"/>
          <w:marBottom w:val="0"/>
          <w:divBdr>
            <w:top w:val="none" w:sz="0" w:space="0" w:color="auto"/>
            <w:left w:val="none" w:sz="0" w:space="0" w:color="auto"/>
            <w:bottom w:val="none" w:sz="0" w:space="0" w:color="auto"/>
            <w:right w:val="none" w:sz="0" w:space="0" w:color="auto"/>
          </w:divBdr>
          <w:divsChild>
            <w:div w:id="1429619547">
              <w:marLeft w:val="0"/>
              <w:marRight w:val="0"/>
              <w:marTop w:val="0"/>
              <w:marBottom w:val="0"/>
              <w:divBdr>
                <w:top w:val="none" w:sz="0" w:space="0" w:color="auto"/>
                <w:left w:val="none" w:sz="0" w:space="0" w:color="auto"/>
                <w:bottom w:val="none" w:sz="0" w:space="0" w:color="auto"/>
                <w:right w:val="none" w:sz="0" w:space="0" w:color="auto"/>
              </w:divBdr>
              <w:divsChild>
                <w:div w:id="564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Has_x0020_Attachments xmlns="f38bc97f-71db-45c8-93e4-332747d752e1" xsi:nil="true"/>
    <From1 xmlns="f38bc97f-71db-45c8-93e4-332747d752e1" xsi:nil="true"/>
    <To xmlns="f38bc97f-71db-45c8-93e4-332747d752e1" xsi:nil="true"/>
    <Subdivider xmlns="f38bc97f-71db-45c8-93e4-332747d752e1" xsi:nil="true"/>
    <Open_x0020_in_x0020_Outlook xmlns="f38bc97f-71db-45c8-93e4-332747d752e1" xsi:nil="true"/>
    <fbe8333e833142b1aa4e528d7d71931d xmlns="f38bc97f-71db-45c8-93e4-332747d752e1">
      <Terms xmlns="http://schemas.microsoft.com/office/infopath/2007/PartnerControls"/>
    </fbe8333e833142b1aa4e528d7d71931d>
    <Download xmlns="f38bc97f-71db-45c8-93e4-332747d752e1" xsi:nil="true"/>
    <Received_x002f_Sent xmlns="f38bc97f-71db-45c8-93e4-332747d752e1" xsi:nil="true"/>
    <_dlc_DocId xmlns="6500fe01-343b-4fb9-a1b0-68ac19d62e01">RUUPY3S2X5Q7-1550657363-3973</_dlc_DocId>
    <_dlc_DocIdUrl xmlns="6500fe01-343b-4fb9-a1b0-68ac19d62e01">
      <Url>https://australianhrc.sharepoint.com/sites/PolicyExternalProjects/_layouts/15/DocIdRedir.aspx?ID=RUUPY3S2X5Q7-1550657363-3973</Url>
      <Description>RUUPY3S2X5Q7-1550657363-3973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D1487658F835419ADC3363FFD4FEF8" ma:contentTypeVersion="1722" ma:contentTypeDescription="Create a new document." ma:contentTypeScope="" ma:versionID="005167ad7dd591bf2fcb19302e978f77">
  <xsd:schema xmlns:xsd="http://www.w3.org/2001/XMLSchema" xmlns:xs="http://www.w3.org/2001/XMLSchema" xmlns:p="http://schemas.microsoft.com/office/2006/metadata/properties" xmlns:ns2="f38bc97f-71db-45c8-93e4-332747d752e1" xmlns:ns3="6500fe01-343b-4fb9-a1b0-68ac19d62e01" xmlns:ns4="ac8ba506-6265-4c21-a7fd-e180f1d990c1" targetNamespace="http://schemas.microsoft.com/office/2006/metadata/properties" ma:root="true" ma:fieldsID="46ee222a494b01dd80fb5af5121a2d28" ns2:_="" ns3:_="" ns4:_="">
    <xsd:import namespace="f38bc97f-71db-45c8-93e4-332747d752e1"/>
    <xsd:import namespace="6500fe01-343b-4fb9-a1b0-68ac19d62e01"/>
    <xsd:import namespace="ac8ba506-6265-4c21-a7fd-e180f1d990c1"/>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8ba506-6265-4c21-a7fd-e180f1d990c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75c5ac6-a0cc-43ed-b850-4a2ae59237b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BD4FA-3A1F-4A9F-BC38-52E93CCB8AC5}">
  <ds:schemaRefs>
    <ds:schemaRef ds:uri="http://schemas.microsoft.com/office/2006/metadata/properties"/>
    <ds:schemaRef ds:uri="http://schemas.microsoft.com/office/infopath/2007/PartnerControls"/>
    <ds:schemaRef ds:uri="6500fe01-343b-4fb9-a1b0-68ac19d62e01"/>
    <ds:schemaRef ds:uri="f38bc97f-71db-45c8-93e4-332747d752e1"/>
  </ds:schemaRefs>
</ds:datastoreItem>
</file>

<file path=customXml/itemProps2.xml><?xml version="1.0" encoding="utf-8"?>
<ds:datastoreItem xmlns:ds="http://schemas.openxmlformats.org/officeDocument/2006/customXml" ds:itemID="{4E0EC1C0-FCD6-438F-85B0-0E65ADEF2FB0}">
  <ds:schemaRefs>
    <ds:schemaRef ds:uri="http://schemas.microsoft.com/sharepoint/events"/>
  </ds:schemaRefs>
</ds:datastoreItem>
</file>

<file path=customXml/itemProps3.xml><?xml version="1.0" encoding="utf-8"?>
<ds:datastoreItem xmlns:ds="http://schemas.openxmlformats.org/officeDocument/2006/customXml" ds:itemID="{627CA26C-8102-4D26-ADE5-E076A16A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ac8ba506-6265-4c21-a7fd-e180f1d9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CD18A-6465-4AE4-B139-A41DE48CFCE1}">
  <ds:schemaRefs>
    <ds:schemaRef ds:uri="Microsoft.SharePoint.Taxonomy.ContentTypeSync"/>
  </ds:schemaRefs>
</ds:datastoreItem>
</file>

<file path=customXml/itemProps5.xml><?xml version="1.0" encoding="utf-8"?>
<ds:datastoreItem xmlns:ds="http://schemas.openxmlformats.org/officeDocument/2006/customXml" ds:itemID="{8996D03C-CE45-4C05-B5BB-E73079E79787}">
  <ds:schemaRefs>
    <ds:schemaRef ds:uri="http://schemas.openxmlformats.org/officeDocument/2006/bibliography"/>
  </ds:schemaRefs>
</ds:datastoreItem>
</file>

<file path=customXml/itemProps6.xml><?xml version="1.0" encoding="utf-8"?>
<ds:datastoreItem xmlns:ds="http://schemas.openxmlformats.org/officeDocument/2006/customXml" ds:itemID="{7A277E3E-9637-4BEA-A17B-B41E9C9E09F6}">
  <ds:schemaRefs>
    <ds:schemaRef ds:uri="http://schemas.microsoft.com/office/2006/metadata/customXsn"/>
  </ds:schemaRefs>
</ds:datastoreItem>
</file>

<file path=customXml/itemProps7.xml><?xml version="1.0" encoding="utf-8"?>
<ds:datastoreItem xmlns:ds="http://schemas.openxmlformats.org/officeDocument/2006/customXml" ds:itemID="{8D69B865-29EF-4704-8BB1-E12297F3E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template</vt:lpstr>
    </vt:vector>
  </TitlesOfParts>
  <Company>Human Rights and Equal Opportunity Commission</Company>
  <LinksUpToDate>false</LinksUpToDate>
  <CharactersWithSpaces>8111</CharactersWithSpaces>
  <SharedDoc>false</SharedDoc>
  <HLinks>
    <vt:vector size="12" baseType="variant">
      <vt:variant>
        <vt:i4>1966138</vt:i4>
      </vt:variant>
      <vt:variant>
        <vt:i4>8</vt:i4>
      </vt:variant>
      <vt:variant>
        <vt:i4>0</vt:i4>
      </vt:variant>
      <vt:variant>
        <vt:i4>5</vt:i4>
      </vt:variant>
      <vt:variant>
        <vt:lpwstr/>
      </vt:variant>
      <vt:variant>
        <vt:lpwstr>_Toc49157580</vt:lpwstr>
      </vt:variant>
      <vt:variant>
        <vt:i4>1507381</vt:i4>
      </vt:variant>
      <vt:variant>
        <vt:i4>2</vt:i4>
      </vt:variant>
      <vt:variant>
        <vt:i4>0</vt:i4>
      </vt:variant>
      <vt:variant>
        <vt:i4>5</vt:i4>
      </vt:variant>
      <vt:variant>
        <vt:lpwstr/>
      </vt:variant>
      <vt:variant>
        <vt:lpwstr>_Toc49157579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dc:title>
  <dc:subject/>
  <dc:creator>Catherine Earl</dc:creator>
  <cp:keywords/>
  <cp:lastModifiedBy>Leon Wild</cp:lastModifiedBy>
  <cp:revision>31</cp:revision>
  <cp:lastPrinted>2020-08-26T00:50:00Z</cp:lastPrinted>
  <dcterms:created xsi:type="dcterms:W3CDTF">2020-08-24T02:09:00Z</dcterms:created>
  <dcterms:modified xsi:type="dcterms:W3CDTF">2020-08-31T03:01:00Z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0x010100C4D1487658F835419ADC3363FFD4FEF8</vt:lpwstr>
  </property>
  <property fmtid="{D5CDD505-2E9C-101B-9397-08002B2CF9AE}" pid="3" name="DocSet Type">
    <vt:lpwstr>Planning</vt:lpwstr>
  </property>
  <property fmtid="{D5CDD505-2E9C-101B-9397-08002B2CF9AE}" pid="4" name="Order">
    <vt:r8>100</vt:r8>
  </property>
  <property fmtid="{D5CDD505-2E9C-101B-9397-08002B2CF9AE}" pid="5" name="Business Unit">
    <vt:lpwstr>Policy</vt:lpwstr>
  </property>
  <property fmtid="{D5CDD505-2E9C-101B-9397-08002B2CF9AE}" pid="6" name="DocSet Check">
    <vt:lpwstr/>
  </property>
  <property fmtid="{D5CDD505-2E9C-101B-9397-08002B2CF9AE}" pid="7" name="Library">
    <vt:lpwstr>Team Planning</vt:lpwstr>
  </property>
  <property fmtid="{D5CDD505-2E9C-101B-9397-08002B2CF9AE}" pid="8" name="Project Team">
    <vt:lpwstr>ADT</vt:lpwstr>
  </property>
  <property fmtid="{D5CDD505-2E9C-101B-9397-08002B2CF9AE}" pid="9" name="TaxKeyword">
    <vt:lpwstr/>
  </property>
  <property fmtid="{D5CDD505-2E9C-101B-9397-08002B2CF9AE}" pid="10" name="Document Type">
    <vt:lpwstr/>
  </property>
  <property fmtid="{D5CDD505-2E9C-101B-9397-08002B2CF9AE}" pid="11" name="_dlc_DocIdItemGuid">
    <vt:lpwstr>68a799f9-a011-4f7b-877a-da961750f170</vt:lpwstr>
  </property>
</Properties>
</file>