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28BF" w14:textId="77777777" w:rsidR="00660465" w:rsidRDefault="00660465" w:rsidP="003672A8">
      <w:pPr>
        <w:pStyle w:val="NoSpacing"/>
      </w:pPr>
    </w:p>
    <w:p w14:paraId="3FFEDC70" w14:textId="26006EEB" w:rsidR="008511E3" w:rsidRDefault="008511E3" w:rsidP="003672A8">
      <w:pPr>
        <w:pStyle w:val="NoSpacing"/>
      </w:pPr>
      <w:r w:rsidRPr="005C2BA2">
        <w:t xml:space="preserve">Our Ref: </w:t>
      </w:r>
      <w:r w:rsidR="00710059" w:rsidRPr="00710059">
        <w:t>SUB-2021/1117101312</w:t>
      </w:r>
    </w:p>
    <w:p w14:paraId="2F5B7F3E" w14:textId="77777777" w:rsidR="003672A8" w:rsidRPr="00A133C4" w:rsidRDefault="003672A8" w:rsidP="003672A8">
      <w:pPr>
        <w:pStyle w:val="NoSpacing"/>
      </w:pPr>
    </w:p>
    <w:p w14:paraId="642D3D18" w14:textId="29B2C28F" w:rsidR="009709E5" w:rsidRDefault="00710059" w:rsidP="003672A8">
      <w:pPr>
        <w:pStyle w:val="NoSpacing"/>
      </w:pPr>
      <w:r>
        <w:t>24 November 2021</w:t>
      </w:r>
    </w:p>
    <w:p w14:paraId="368DBE2D" w14:textId="77777777" w:rsidR="001C146A" w:rsidRDefault="001C146A" w:rsidP="003672A8">
      <w:pPr>
        <w:pStyle w:val="NoSpacing"/>
        <w:spacing w:before="120" w:after="120"/>
      </w:pPr>
    </w:p>
    <w:p w14:paraId="76C592DF" w14:textId="0391029D" w:rsidR="00E36B41" w:rsidRPr="005C2BA2" w:rsidRDefault="00710059" w:rsidP="003672A8">
      <w:pPr>
        <w:pStyle w:val="NoSpacing"/>
      </w:pPr>
      <w:r>
        <w:t>Committee Secretary</w:t>
      </w:r>
    </w:p>
    <w:p w14:paraId="14A05CA4" w14:textId="45F13448" w:rsidR="00E36B41" w:rsidRPr="005C2BA2" w:rsidRDefault="00710059" w:rsidP="003672A8">
      <w:pPr>
        <w:pStyle w:val="NoSpacing"/>
      </w:pPr>
      <w:r>
        <w:t>Senate Legal and Constitutional Affairs Committee</w:t>
      </w:r>
    </w:p>
    <w:p w14:paraId="670EBB25" w14:textId="32022B14" w:rsidR="001C146A" w:rsidRDefault="00710059" w:rsidP="003672A8">
      <w:pPr>
        <w:pStyle w:val="NoSpacing"/>
      </w:pPr>
      <w:r>
        <w:t>Parliament House</w:t>
      </w:r>
    </w:p>
    <w:p w14:paraId="183B5BA2" w14:textId="5ECFDDE8" w:rsidR="00710059" w:rsidRDefault="00710059" w:rsidP="003672A8">
      <w:pPr>
        <w:pStyle w:val="NoSpacing"/>
      </w:pPr>
      <w:proofErr w:type="gramStart"/>
      <w:r>
        <w:t>Canberra  ACT</w:t>
      </w:r>
      <w:proofErr w:type="gramEnd"/>
      <w:r>
        <w:t xml:space="preserve">  2600</w:t>
      </w:r>
    </w:p>
    <w:p w14:paraId="3B2E63CB" w14:textId="77777777" w:rsidR="001C146A" w:rsidRDefault="001C146A" w:rsidP="003672A8">
      <w:pPr>
        <w:pStyle w:val="NoSpacing"/>
        <w:spacing w:before="120" w:after="120"/>
      </w:pPr>
    </w:p>
    <w:p w14:paraId="7DB7250E" w14:textId="31CD17B1" w:rsidR="002D0C4F" w:rsidRDefault="002D0C4F" w:rsidP="003672A8">
      <w:pPr>
        <w:pStyle w:val="NoSpacing"/>
      </w:pPr>
      <w:r w:rsidRPr="005C2BA2">
        <w:t>Dea</w:t>
      </w:r>
      <w:r>
        <w:t xml:space="preserve">r </w:t>
      </w:r>
      <w:r w:rsidR="00710059">
        <w:t>Secretary</w:t>
      </w:r>
    </w:p>
    <w:p w14:paraId="761580C5" w14:textId="77777777" w:rsidR="001C146A" w:rsidRDefault="001C146A" w:rsidP="003672A8">
      <w:pPr>
        <w:pStyle w:val="NoSpacing"/>
        <w:spacing w:before="120" w:after="120"/>
      </w:pPr>
    </w:p>
    <w:p w14:paraId="31F9FAFB" w14:textId="604DCEE9" w:rsidR="001C146A" w:rsidRPr="003672A8" w:rsidRDefault="00710059" w:rsidP="003672A8">
      <w:pPr>
        <w:pStyle w:val="NoSpacing"/>
        <w:rPr>
          <w:b/>
        </w:rPr>
      </w:pPr>
      <w:r>
        <w:rPr>
          <w:b/>
        </w:rPr>
        <w:t>The performance and integrity of Australia’s administrative review system</w:t>
      </w:r>
    </w:p>
    <w:p w14:paraId="48C7D52A" w14:textId="3C5A215C" w:rsidR="00031A24" w:rsidRDefault="007B2324" w:rsidP="004802A2">
      <w:r>
        <w:t xml:space="preserve">Thank you for the opportunity to make a submission to </w:t>
      </w:r>
      <w:r w:rsidR="00710059">
        <w:t>the Senate Legal and Constitutional Affairs References Committee in relation to its inquiry into the performance and integrity of Australia’s administrative review system</w:t>
      </w:r>
      <w:proofErr w:type="gramStart"/>
      <w:r w:rsidR="00710059">
        <w:t>.</w:t>
      </w:r>
      <w:r>
        <w:t xml:space="preserve">  </w:t>
      </w:r>
      <w:proofErr w:type="gramEnd"/>
      <w:r>
        <w:t>This submission is made on behalf of the Australian Human Rights Commission.</w:t>
      </w:r>
    </w:p>
    <w:p w14:paraId="11F25341" w14:textId="70C6BDDA" w:rsidR="004802A2" w:rsidRDefault="000B229D" w:rsidP="004802A2">
      <w:r>
        <w:t>Our submission responds to each of the Committee’s terms of reference.</w:t>
      </w:r>
    </w:p>
    <w:p w14:paraId="70316F12" w14:textId="2CB8B3E7" w:rsidR="007727F4" w:rsidRPr="006252F8" w:rsidRDefault="007727F4" w:rsidP="007727F4">
      <w:r w:rsidRPr="006252F8">
        <w:t>For the past 4</w:t>
      </w:r>
      <w:r>
        <w:t>5</w:t>
      </w:r>
      <w:r w:rsidRPr="006252F8">
        <w:t xml:space="preserve"> years, Australia has had a strong and robust system for seeking review of decision making by government. This system seeks to ensure that administrative decision making is principled and consistent. </w:t>
      </w:r>
    </w:p>
    <w:p w14:paraId="46B6DC62" w14:textId="4017EF54" w:rsidR="007727F4" w:rsidRDefault="001113BF" w:rsidP="004802A2">
      <w:r>
        <w:t xml:space="preserve">However, in some areas, particularly </w:t>
      </w:r>
      <w:r w:rsidR="002D30D7">
        <w:t xml:space="preserve">in </w:t>
      </w:r>
      <w:r w:rsidR="00830269">
        <w:t xml:space="preserve">relation to </w:t>
      </w:r>
      <w:r>
        <w:t xml:space="preserve">migration decisions, </w:t>
      </w:r>
      <w:r w:rsidR="001B0775">
        <w:t xml:space="preserve">special rules have been made </w:t>
      </w:r>
      <w:r w:rsidR="000803AB">
        <w:t>that</w:t>
      </w:r>
      <w:r w:rsidR="001B0775">
        <w:t xml:space="preserve"> create a </w:t>
      </w:r>
      <w:r w:rsidR="00613481">
        <w:t xml:space="preserve">different </w:t>
      </w:r>
      <w:r w:rsidR="001B0775">
        <w:t xml:space="preserve">system of review </w:t>
      </w:r>
      <w:r w:rsidR="00476289">
        <w:t xml:space="preserve">which </w:t>
      </w:r>
      <w:r w:rsidR="001B0775">
        <w:t xml:space="preserve">is less fair and less robust than the </w:t>
      </w:r>
      <w:r w:rsidR="00613481">
        <w:t xml:space="preserve">usual </w:t>
      </w:r>
      <w:r w:rsidR="001B0775">
        <w:t xml:space="preserve">system that applies to </w:t>
      </w:r>
      <w:r w:rsidR="00613481">
        <w:t xml:space="preserve">most </w:t>
      </w:r>
      <w:r w:rsidR="001B0775">
        <w:t xml:space="preserve">kinds of </w:t>
      </w:r>
      <w:r w:rsidR="008A52F7">
        <w:t xml:space="preserve">government </w:t>
      </w:r>
      <w:r w:rsidR="001B0775">
        <w:t>decision making.</w:t>
      </w:r>
    </w:p>
    <w:p w14:paraId="64098BC3" w14:textId="771C6070" w:rsidR="00F476EA" w:rsidRDefault="00E35EC5" w:rsidP="004802A2">
      <w:r>
        <w:t>Further</w:t>
      </w:r>
      <w:r w:rsidR="0058661B">
        <w:t xml:space="preserve">, </w:t>
      </w:r>
      <w:r w:rsidR="0041134E">
        <w:t xml:space="preserve">decision making by </w:t>
      </w:r>
      <w:r w:rsidR="0058661B">
        <w:t>Minister</w:t>
      </w:r>
      <w:r w:rsidR="0041134E">
        <w:t>s</w:t>
      </w:r>
      <w:r w:rsidR="0058661B">
        <w:t xml:space="preserve"> </w:t>
      </w:r>
      <w:r>
        <w:t xml:space="preserve">increasingly </w:t>
      </w:r>
      <w:r w:rsidR="0058661B">
        <w:t xml:space="preserve">is being exempted from the ordinary requirements of </w:t>
      </w:r>
      <w:r w:rsidR="0041134E">
        <w:t>administrative review</w:t>
      </w:r>
      <w:proofErr w:type="gramStart"/>
      <w:r w:rsidR="0041134E">
        <w:t>.</w:t>
      </w:r>
      <w:r w:rsidR="0030407B">
        <w:t xml:space="preserve">  </w:t>
      </w:r>
      <w:proofErr w:type="gramEnd"/>
      <w:r w:rsidR="007A5A83">
        <w:t xml:space="preserve">For some national security decisions, this may be appropriate, but the </w:t>
      </w:r>
      <w:r w:rsidR="00C832DE">
        <w:t xml:space="preserve">classes of decisions exempt from merits review has expanded </w:t>
      </w:r>
      <w:r w:rsidR="007A5A83">
        <w:t xml:space="preserve">into a range of </w:t>
      </w:r>
      <w:r w:rsidR="00476289">
        <w:t xml:space="preserve">ordinary </w:t>
      </w:r>
      <w:r w:rsidR="007A5A83">
        <w:t xml:space="preserve">decisions that affect the lives of individuals, particularly </w:t>
      </w:r>
      <w:r w:rsidR="007962B5">
        <w:t xml:space="preserve">migration </w:t>
      </w:r>
      <w:r w:rsidR="00190378">
        <w:t xml:space="preserve">decisions where </w:t>
      </w:r>
      <w:r w:rsidR="00275751">
        <w:t>broad claims of ‘public interest’ and ‘national interest’ are far harder to justify</w:t>
      </w:r>
      <w:proofErr w:type="gramStart"/>
      <w:r w:rsidR="00275751">
        <w:t xml:space="preserve">.  </w:t>
      </w:r>
      <w:proofErr w:type="gramEnd"/>
      <w:r w:rsidR="00F476EA">
        <w:t xml:space="preserve">In some </w:t>
      </w:r>
      <w:r w:rsidR="00397506">
        <w:t>circumstances</w:t>
      </w:r>
      <w:r w:rsidR="00F476EA">
        <w:t xml:space="preserve">, Ministers are even given the power to overrule decisions of </w:t>
      </w:r>
      <w:r w:rsidR="00553324">
        <w:t>the independent umpire, the AAT</w:t>
      </w:r>
      <w:r w:rsidR="00397506">
        <w:t>.</w:t>
      </w:r>
    </w:p>
    <w:p w14:paraId="0A12CB4B" w14:textId="1A22141D" w:rsidR="0017518D" w:rsidRDefault="000B3EDA" w:rsidP="004802A2">
      <w:r>
        <w:lastRenderedPageBreak/>
        <w:t>In recent years, t</w:t>
      </w:r>
      <w:r w:rsidR="00D7157F">
        <w:t xml:space="preserve">here have been </w:t>
      </w:r>
      <w:r w:rsidR="00F3240B">
        <w:t xml:space="preserve">attempts to extend these kinds of </w:t>
      </w:r>
      <w:r w:rsidR="002C6A2A">
        <w:t xml:space="preserve">Ministerial </w:t>
      </w:r>
      <w:r w:rsidR="00F3240B">
        <w:t>powers to decisions about citizenship.</w:t>
      </w:r>
      <w:r w:rsidR="00341F54">
        <w:rPr>
          <w:rStyle w:val="FootnoteReference"/>
        </w:rPr>
        <w:footnoteReference w:id="2"/>
      </w:r>
      <w:r w:rsidR="00F3240B">
        <w:t xml:space="preserve">  </w:t>
      </w:r>
      <w:r w:rsidR="00275751">
        <w:t>The Commission is concerned by this trend</w:t>
      </w:r>
      <w:r w:rsidR="00930CA5">
        <w:t>,</w:t>
      </w:r>
      <w:r w:rsidR="00275751">
        <w:t xml:space="preserve"> which amounts to </w:t>
      </w:r>
      <w:r w:rsidR="003D4A7B">
        <w:t xml:space="preserve">an expansion of </w:t>
      </w:r>
      <w:r w:rsidR="004671E9">
        <w:t>executive power</w:t>
      </w:r>
      <w:r w:rsidR="003D4A7B">
        <w:t xml:space="preserve"> that is unreviewable on the merits</w:t>
      </w:r>
      <w:r w:rsidR="004671E9">
        <w:t>.</w:t>
      </w:r>
      <w:r w:rsidR="00590B4D">
        <w:t xml:space="preserve"> </w:t>
      </w:r>
    </w:p>
    <w:p w14:paraId="3C906606" w14:textId="119EFD07" w:rsidR="001B0775" w:rsidRDefault="00590B4D" w:rsidP="004802A2">
      <w:r>
        <w:t xml:space="preserve">The Commission is also concerned about the lack of </w:t>
      </w:r>
      <w:r w:rsidR="004C7E2F">
        <w:t xml:space="preserve">transparency and </w:t>
      </w:r>
      <w:r>
        <w:t xml:space="preserve">accountability </w:t>
      </w:r>
      <w:r w:rsidR="004C7E2F">
        <w:t>for the exercise of these extraordinary powers</w:t>
      </w:r>
      <w:proofErr w:type="gramStart"/>
      <w:r w:rsidR="004C7E2F">
        <w:t xml:space="preserve">.  </w:t>
      </w:r>
      <w:proofErr w:type="gramEnd"/>
      <w:r w:rsidR="004C7E2F">
        <w:t xml:space="preserve">As described in more detail below, the current transparency mechanisms </w:t>
      </w:r>
      <w:r w:rsidR="00D21162">
        <w:t xml:space="preserve">in relation to migration decisions </w:t>
      </w:r>
      <w:r w:rsidR="004C7E2F">
        <w:t>are in</w:t>
      </w:r>
      <w:r w:rsidR="00870911">
        <w:t>adequate.</w:t>
      </w:r>
    </w:p>
    <w:p w14:paraId="382A623F" w14:textId="0D74928E" w:rsidR="0041134E" w:rsidRDefault="008B4531" w:rsidP="004802A2">
      <w:r>
        <w:t xml:space="preserve">The re-establishment of the Administrative Review Council </w:t>
      </w:r>
      <w:r w:rsidR="00DE2443">
        <w:t xml:space="preserve">(ARC) </w:t>
      </w:r>
      <w:r>
        <w:t xml:space="preserve">would </w:t>
      </w:r>
      <w:r w:rsidR="00F23257">
        <w:t xml:space="preserve">assist in remedying </w:t>
      </w:r>
      <w:r w:rsidR="00717EE4">
        <w:t xml:space="preserve">the erosion </w:t>
      </w:r>
      <w:r w:rsidR="001A1DCE">
        <w:t>of review rights in relation to government decision making</w:t>
      </w:r>
      <w:proofErr w:type="gramStart"/>
      <w:r w:rsidR="001A1DCE">
        <w:t xml:space="preserve">.  </w:t>
      </w:r>
      <w:proofErr w:type="gramEnd"/>
      <w:r w:rsidR="004C186B">
        <w:t xml:space="preserve">During its long </w:t>
      </w:r>
      <w:r w:rsidR="00774BD8">
        <w:t xml:space="preserve">period of operation, the ARC provided independent and robust advice to government about </w:t>
      </w:r>
      <w:r w:rsidR="002565CD">
        <w:t xml:space="preserve">the kinds of decisions that should be subject to merits review and judicial review, </w:t>
      </w:r>
      <w:r w:rsidR="00B6026E">
        <w:t>and the way in which such review</w:t>
      </w:r>
      <w:r w:rsidR="00E95704">
        <w:t>s</w:t>
      </w:r>
      <w:r w:rsidR="00B6026E">
        <w:t xml:space="preserve"> should take place</w:t>
      </w:r>
      <w:proofErr w:type="gramStart"/>
      <w:r w:rsidR="00B6026E">
        <w:t xml:space="preserve">.  </w:t>
      </w:r>
      <w:proofErr w:type="gramEnd"/>
      <w:r w:rsidR="00B6026E">
        <w:t xml:space="preserve">This kind of scrutiny and expert analysis </w:t>
      </w:r>
      <w:r w:rsidR="00803A38">
        <w:t xml:space="preserve">is vital to ensuring the </w:t>
      </w:r>
      <w:r w:rsidR="007E0713">
        <w:t xml:space="preserve">continued </w:t>
      </w:r>
      <w:r w:rsidR="00803A38">
        <w:t>integrity of the system and protecting individual freedoms.</w:t>
      </w:r>
    </w:p>
    <w:p w14:paraId="7A77A138" w14:textId="114742F9" w:rsidR="004802A2" w:rsidRPr="004802A2" w:rsidRDefault="004802A2" w:rsidP="00805261">
      <w:pPr>
        <w:pStyle w:val="ListParagraph"/>
        <w:keepNext/>
        <w:numPr>
          <w:ilvl w:val="0"/>
          <w:numId w:val="31"/>
        </w:numPr>
        <w:ind w:left="714" w:hanging="357"/>
        <w:rPr>
          <w:b/>
          <w:bCs/>
        </w:rPr>
      </w:pPr>
      <w:r w:rsidRPr="004802A2">
        <w:rPr>
          <w:b/>
          <w:bCs/>
        </w:rPr>
        <w:t>Administrative Appeals Tribunal</w:t>
      </w:r>
    </w:p>
    <w:p w14:paraId="07322BFF" w14:textId="02E38309" w:rsidR="007727F4" w:rsidRDefault="007727F4" w:rsidP="007727F4">
      <w:pPr>
        <w:rPr>
          <w:rFonts w:cs="Open Sans"/>
        </w:rPr>
      </w:pPr>
      <w:r w:rsidRPr="00A51D7E">
        <w:rPr>
          <w:rFonts w:cs="Open Sans"/>
        </w:rPr>
        <w:t xml:space="preserve">The </w:t>
      </w:r>
      <w:r>
        <w:rPr>
          <w:rFonts w:cs="Open Sans"/>
        </w:rPr>
        <w:t>Administrative Appeals Tribunal (AAT)</w:t>
      </w:r>
      <w:r w:rsidRPr="00A51D7E">
        <w:rPr>
          <w:rFonts w:cs="Open Sans"/>
        </w:rPr>
        <w:t xml:space="preserve"> is the principal federal administrative tribunal </w:t>
      </w:r>
      <w:r>
        <w:rPr>
          <w:rFonts w:cs="Open Sans"/>
        </w:rPr>
        <w:t>and exercises</w:t>
      </w:r>
      <w:r w:rsidRPr="00A51D7E">
        <w:rPr>
          <w:rFonts w:cs="Open Sans"/>
        </w:rPr>
        <w:t xml:space="preserve"> a broad jurisdiction to review decisions made across government</w:t>
      </w:r>
      <w:r w:rsidR="00367BAC">
        <w:rPr>
          <w:rFonts w:cs="Open Sans"/>
        </w:rPr>
        <w:t xml:space="preserve"> where </w:t>
      </w:r>
      <w:r w:rsidR="00EE3AE1">
        <w:rPr>
          <w:rFonts w:cs="Open Sans"/>
        </w:rPr>
        <w:t xml:space="preserve">a right of review </w:t>
      </w:r>
      <w:r w:rsidR="00367BAC">
        <w:rPr>
          <w:rFonts w:cs="Open Sans"/>
        </w:rPr>
        <w:t xml:space="preserve">is provided for </w:t>
      </w:r>
      <w:r w:rsidR="00DB264D">
        <w:rPr>
          <w:rFonts w:cs="Open Sans"/>
        </w:rPr>
        <w:t>by legislation</w:t>
      </w:r>
      <w:r w:rsidRPr="00A51D7E">
        <w:rPr>
          <w:rFonts w:cs="Open Sans"/>
        </w:rPr>
        <w:t>.</w:t>
      </w:r>
    </w:p>
    <w:p w14:paraId="2ACE87C4" w14:textId="3DF5C0C5" w:rsidR="001233ED" w:rsidRDefault="007727F4" w:rsidP="007727F4">
      <w:r w:rsidRPr="00BA79D2">
        <w:t>AAT merits review is an important element in realising an individual’s rights to a fair hearing and to an effective remedy under article</w:t>
      </w:r>
      <w:r w:rsidR="003C401F">
        <w:t>s</w:t>
      </w:r>
      <w:r w:rsidRPr="00BA79D2">
        <w:t xml:space="preserve"> 14(1) and 2(3) of the </w:t>
      </w:r>
      <w:r w:rsidRPr="000B1DE3">
        <w:rPr>
          <w:i/>
          <w:iCs/>
        </w:rPr>
        <w:t>International Covenant on Civil and Political Rights</w:t>
      </w:r>
      <w:r w:rsidRPr="00BA79D2">
        <w:t xml:space="preserve"> (ICCPR).</w:t>
      </w:r>
      <w:r w:rsidR="001233ED">
        <w:rPr>
          <w:rStyle w:val="FootnoteReference"/>
          <w:rFonts w:cs="Open Sans"/>
        </w:rPr>
        <w:footnoteReference w:id="3"/>
      </w:r>
      <w:r w:rsidR="00536DCD">
        <w:t xml:space="preserve">  </w:t>
      </w:r>
    </w:p>
    <w:p w14:paraId="1E64EA49" w14:textId="70B5130E" w:rsidR="00C33615" w:rsidRPr="00E325FD" w:rsidRDefault="00C33615" w:rsidP="008C0505">
      <w:pPr>
        <w:pStyle w:val="ListNumber"/>
        <w:keepNext/>
        <w:numPr>
          <w:ilvl w:val="0"/>
          <w:numId w:val="0"/>
        </w:numPr>
        <w:tabs>
          <w:tab w:val="left" w:pos="1134"/>
          <w:tab w:val="left" w:pos="1560"/>
        </w:tabs>
        <w:spacing w:before="120"/>
        <w:ind w:left="357" w:hanging="357"/>
        <w:rPr>
          <w:rFonts w:cs="Open Sans"/>
        </w:rPr>
      </w:pPr>
      <w:r w:rsidRPr="00E325FD">
        <w:rPr>
          <w:rFonts w:cs="Open Sans"/>
        </w:rPr>
        <w:lastRenderedPageBreak/>
        <w:t>Merits review is a process by which a person or body:</w:t>
      </w:r>
    </w:p>
    <w:p w14:paraId="207CC265" w14:textId="77777777" w:rsidR="00C33615" w:rsidRPr="00E325FD" w:rsidRDefault="00C33615" w:rsidP="009C1F65">
      <w:pPr>
        <w:pStyle w:val="ListNumber"/>
        <w:numPr>
          <w:ilvl w:val="0"/>
          <w:numId w:val="32"/>
        </w:numPr>
        <w:tabs>
          <w:tab w:val="left" w:pos="1134"/>
          <w:tab w:val="left" w:pos="1560"/>
        </w:tabs>
        <w:spacing w:before="120"/>
        <w:ind w:left="1066" w:hanging="709"/>
        <w:rPr>
          <w:rFonts w:cs="Open Sans"/>
          <w:lang w:val="en"/>
        </w:rPr>
      </w:pPr>
      <w:r w:rsidRPr="00E325FD">
        <w:rPr>
          <w:rFonts w:cs="Open Sans"/>
          <w:lang w:val="en"/>
        </w:rPr>
        <w:t>other than the primary decision maker</w:t>
      </w:r>
    </w:p>
    <w:p w14:paraId="6D3A684B" w14:textId="61332F85" w:rsidR="00C33615" w:rsidRPr="00E325FD" w:rsidRDefault="00C33615" w:rsidP="009C1F65">
      <w:pPr>
        <w:pStyle w:val="ListNumber"/>
        <w:numPr>
          <w:ilvl w:val="0"/>
          <w:numId w:val="32"/>
        </w:numPr>
        <w:tabs>
          <w:tab w:val="left" w:pos="1134"/>
          <w:tab w:val="left" w:pos="1560"/>
        </w:tabs>
        <w:spacing w:before="120"/>
        <w:ind w:left="1066" w:hanging="709"/>
        <w:rPr>
          <w:rFonts w:cs="Open Sans"/>
          <w:lang w:val="en"/>
        </w:rPr>
      </w:pPr>
      <w:r w:rsidRPr="00E325FD">
        <w:rPr>
          <w:rFonts w:cs="Open Sans"/>
          <w:lang w:val="en"/>
        </w:rPr>
        <w:t xml:space="preserve">reconsiders the facts, </w:t>
      </w:r>
      <w:proofErr w:type="gramStart"/>
      <w:r w:rsidRPr="00E325FD">
        <w:rPr>
          <w:rFonts w:cs="Open Sans"/>
          <w:lang w:val="en"/>
        </w:rPr>
        <w:t>law</w:t>
      </w:r>
      <w:proofErr w:type="gramEnd"/>
      <w:r w:rsidRPr="00E325FD">
        <w:rPr>
          <w:rFonts w:cs="Open Sans"/>
          <w:lang w:val="en"/>
        </w:rPr>
        <w:t xml:space="preserve"> and policy aspects of the original decision</w:t>
      </w:r>
      <w:r w:rsidR="00065CE3">
        <w:rPr>
          <w:rFonts w:cs="Open Sans"/>
          <w:lang w:val="en"/>
        </w:rPr>
        <w:t>, and</w:t>
      </w:r>
    </w:p>
    <w:p w14:paraId="74BFE9A6" w14:textId="77777777" w:rsidR="00C33615" w:rsidRPr="00E325FD" w:rsidRDefault="00C33615" w:rsidP="009C1F65">
      <w:pPr>
        <w:pStyle w:val="ListNumber"/>
        <w:numPr>
          <w:ilvl w:val="0"/>
          <w:numId w:val="32"/>
        </w:numPr>
        <w:tabs>
          <w:tab w:val="left" w:pos="1134"/>
          <w:tab w:val="left" w:pos="1560"/>
        </w:tabs>
        <w:spacing w:before="120"/>
        <w:ind w:left="1066" w:hanging="709"/>
        <w:rPr>
          <w:rFonts w:cs="Open Sans"/>
        </w:rPr>
      </w:pPr>
      <w:r w:rsidRPr="00E325FD">
        <w:rPr>
          <w:rFonts w:cs="Open Sans"/>
          <w:lang w:val="en"/>
        </w:rPr>
        <w:t>determines what</w:t>
      </w:r>
      <w:r w:rsidRPr="00E325FD">
        <w:rPr>
          <w:rFonts w:cs="Open Sans"/>
        </w:rPr>
        <w:t xml:space="preserve"> is the correct and preferable decision.</w:t>
      </w:r>
    </w:p>
    <w:p w14:paraId="01736E6F" w14:textId="77777777" w:rsidR="00C33615" w:rsidRPr="00E325FD" w:rsidRDefault="00C33615" w:rsidP="006252F8">
      <w:pPr>
        <w:pStyle w:val="ListNumber"/>
        <w:numPr>
          <w:ilvl w:val="0"/>
          <w:numId w:val="0"/>
        </w:numPr>
        <w:tabs>
          <w:tab w:val="left" w:pos="1134"/>
          <w:tab w:val="left" w:pos="1560"/>
        </w:tabs>
        <w:spacing w:before="120"/>
        <w:ind w:left="357" w:hanging="357"/>
        <w:rPr>
          <w:rFonts w:cs="Open Sans"/>
        </w:rPr>
      </w:pPr>
      <w:r w:rsidRPr="00E325FD">
        <w:rPr>
          <w:rFonts w:cs="Open Sans"/>
        </w:rPr>
        <w:t>The usual stages of review of an administrative decision involve:</w:t>
      </w:r>
    </w:p>
    <w:p w14:paraId="446045CE" w14:textId="77777777" w:rsidR="00C33615" w:rsidRPr="00E325FD" w:rsidRDefault="00C33615" w:rsidP="009C1F65">
      <w:pPr>
        <w:pStyle w:val="ListNumber"/>
        <w:numPr>
          <w:ilvl w:val="0"/>
          <w:numId w:val="32"/>
        </w:numPr>
        <w:tabs>
          <w:tab w:val="left" w:pos="1134"/>
          <w:tab w:val="left" w:pos="1560"/>
        </w:tabs>
        <w:spacing w:before="120"/>
        <w:ind w:left="1066" w:hanging="709"/>
        <w:rPr>
          <w:rFonts w:cs="Open Sans"/>
          <w:lang w:val="en"/>
        </w:rPr>
      </w:pPr>
      <w:r w:rsidRPr="00E325FD">
        <w:rPr>
          <w:rFonts w:cs="Open Sans"/>
          <w:lang w:val="en"/>
        </w:rPr>
        <w:t>an original decision</w:t>
      </w:r>
      <w:r>
        <w:rPr>
          <w:rFonts w:cs="Open Sans"/>
          <w:lang w:val="en"/>
        </w:rPr>
        <w:t xml:space="preserve"> by a member of the executive branch of government –</w:t>
      </w:r>
      <w:r w:rsidRPr="00E325FD">
        <w:rPr>
          <w:rFonts w:cs="Open Sans"/>
          <w:lang w:val="en"/>
        </w:rPr>
        <w:t xml:space="preserve"> for example</w:t>
      </w:r>
      <w:r>
        <w:rPr>
          <w:rFonts w:cs="Open Sans"/>
          <w:lang w:val="en"/>
        </w:rPr>
        <w:t>,</w:t>
      </w:r>
      <w:r w:rsidRPr="00E325FD">
        <w:rPr>
          <w:rFonts w:cs="Open Sans"/>
          <w:lang w:val="en"/>
        </w:rPr>
        <w:t xml:space="preserve"> by a Minister, a delegate of a Minister, or another public official with power to make decisions</w:t>
      </w:r>
    </w:p>
    <w:p w14:paraId="3C62D37E" w14:textId="77777777" w:rsidR="00C33615" w:rsidRPr="00E325FD" w:rsidRDefault="00C33615" w:rsidP="009C1F65">
      <w:pPr>
        <w:pStyle w:val="ListNumber"/>
        <w:numPr>
          <w:ilvl w:val="0"/>
          <w:numId w:val="32"/>
        </w:numPr>
        <w:tabs>
          <w:tab w:val="left" w:pos="1134"/>
          <w:tab w:val="left" w:pos="1560"/>
        </w:tabs>
        <w:spacing w:before="120"/>
        <w:ind w:left="1066" w:hanging="709"/>
        <w:rPr>
          <w:rFonts w:cs="Open Sans"/>
          <w:lang w:val="en"/>
        </w:rPr>
      </w:pPr>
      <w:r w:rsidRPr="00E325FD">
        <w:rPr>
          <w:rFonts w:cs="Open Sans"/>
          <w:lang w:val="en"/>
        </w:rPr>
        <w:t>merits review of that decision by an independent tribunal</w:t>
      </w:r>
      <w:r>
        <w:rPr>
          <w:rFonts w:cs="Open Sans"/>
          <w:lang w:val="en"/>
        </w:rPr>
        <w:t>, resulting in a new administrative decision by the tribunal</w:t>
      </w:r>
    </w:p>
    <w:p w14:paraId="36585E0B" w14:textId="77777777" w:rsidR="00C33615" w:rsidRPr="00E325FD" w:rsidRDefault="00C33615" w:rsidP="009C1F65">
      <w:pPr>
        <w:pStyle w:val="ListNumber"/>
        <w:numPr>
          <w:ilvl w:val="0"/>
          <w:numId w:val="32"/>
        </w:numPr>
        <w:tabs>
          <w:tab w:val="left" w:pos="1134"/>
          <w:tab w:val="left" w:pos="1560"/>
        </w:tabs>
        <w:spacing w:before="120"/>
        <w:ind w:left="1066" w:hanging="709"/>
        <w:rPr>
          <w:rFonts w:cs="Open Sans"/>
          <w:lang w:val="en"/>
        </w:rPr>
      </w:pPr>
      <w:r w:rsidRPr="00E325FD">
        <w:rPr>
          <w:rFonts w:cs="Open Sans"/>
          <w:lang w:val="en"/>
        </w:rPr>
        <w:t>judicial review, if it is alleged that there were legal errors in the decision of the tribunal.</w:t>
      </w:r>
    </w:p>
    <w:p w14:paraId="3439E567" w14:textId="7CC1547E" w:rsidR="000B1DE3" w:rsidRDefault="0080737D" w:rsidP="00C33615">
      <w:r>
        <w:t xml:space="preserve">This inquiry is concerned with the performance and integrity of </w:t>
      </w:r>
      <w:r w:rsidR="00A667F6">
        <w:t>Australia’s administrative review system</w:t>
      </w:r>
      <w:proofErr w:type="gramStart"/>
      <w:r w:rsidR="00A667F6">
        <w:t xml:space="preserve">.  </w:t>
      </w:r>
      <w:proofErr w:type="gramEnd"/>
      <w:r w:rsidR="00447A77">
        <w:t xml:space="preserve">The Commission has </w:t>
      </w:r>
      <w:r w:rsidR="004E18F6">
        <w:t xml:space="preserve">longstanding concerns about the </w:t>
      </w:r>
      <w:r w:rsidR="00623C97">
        <w:t xml:space="preserve">significant limitations on </w:t>
      </w:r>
      <w:r w:rsidR="008D0F12">
        <w:t xml:space="preserve">the </w:t>
      </w:r>
      <w:r w:rsidR="00623C97">
        <w:t xml:space="preserve">review of decisions made under the </w:t>
      </w:r>
      <w:r w:rsidR="00623C97" w:rsidRPr="00623C97">
        <w:rPr>
          <w:i/>
          <w:iCs/>
        </w:rPr>
        <w:t>Migration Act 1958</w:t>
      </w:r>
      <w:r w:rsidR="00623C97">
        <w:t xml:space="preserve"> (</w:t>
      </w:r>
      <w:proofErr w:type="spellStart"/>
      <w:r w:rsidR="00623C97">
        <w:t>Cth</w:t>
      </w:r>
      <w:proofErr w:type="spellEnd"/>
      <w:r w:rsidR="00623C97">
        <w:t>) (Migration Act)</w:t>
      </w:r>
      <w:proofErr w:type="gramStart"/>
      <w:r w:rsidR="00623C97">
        <w:t xml:space="preserve">.  </w:t>
      </w:r>
      <w:proofErr w:type="gramEnd"/>
      <w:r w:rsidR="00B2494F">
        <w:t xml:space="preserve">Three key </w:t>
      </w:r>
      <w:r w:rsidR="00623C97">
        <w:t xml:space="preserve">concerns </w:t>
      </w:r>
      <w:r w:rsidR="00E73820">
        <w:t>are as follows</w:t>
      </w:r>
      <w:r w:rsidR="00001A29">
        <w:t xml:space="preserve">: </w:t>
      </w:r>
    </w:p>
    <w:p w14:paraId="4462EC25" w14:textId="659405EE" w:rsidR="002A5C77" w:rsidRDefault="00776C10" w:rsidP="00001A29">
      <w:pPr>
        <w:pStyle w:val="ListNumber"/>
        <w:numPr>
          <w:ilvl w:val="0"/>
          <w:numId w:val="32"/>
        </w:numPr>
        <w:tabs>
          <w:tab w:val="left" w:pos="1134"/>
          <w:tab w:val="left" w:pos="1560"/>
        </w:tabs>
        <w:spacing w:before="120"/>
        <w:ind w:left="1066" w:hanging="709"/>
        <w:rPr>
          <w:rFonts w:cs="Open Sans"/>
          <w:lang w:val="en"/>
        </w:rPr>
      </w:pPr>
      <w:r>
        <w:rPr>
          <w:rFonts w:cs="Open Sans"/>
          <w:lang w:val="en"/>
        </w:rPr>
        <w:t>First</w:t>
      </w:r>
      <w:r w:rsidR="002A5C77">
        <w:rPr>
          <w:rFonts w:cs="Open Sans"/>
          <w:lang w:val="en"/>
        </w:rPr>
        <w:t xml:space="preserve">, </w:t>
      </w:r>
      <w:r w:rsidR="00673572">
        <w:rPr>
          <w:rFonts w:cs="Open Sans"/>
          <w:lang w:val="en"/>
        </w:rPr>
        <w:t>asylum seekers who are part of what has been described as the ‘legacy caseload’</w:t>
      </w:r>
      <w:r w:rsidR="00913365">
        <w:rPr>
          <w:rStyle w:val="FootnoteReference"/>
          <w:rFonts w:cs="Open Sans"/>
          <w:lang w:val="en"/>
        </w:rPr>
        <w:footnoteReference w:id="4"/>
      </w:r>
      <w:r w:rsidR="00673572">
        <w:rPr>
          <w:rFonts w:cs="Open Sans"/>
          <w:lang w:val="en"/>
        </w:rPr>
        <w:t xml:space="preserve"> </w:t>
      </w:r>
      <w:r w:rsidR="0016328E">
        <w:rPr>
          <w:rFonts w:cs="Open Sans"/>
          <w:lang w:val="en"/>
        </w:rPr>
        <w:t xml:space="preserve">may only seek </w:t>
      </w:r>
      <w:r w:rsidR="003D6EB1">
        <w:rPr>
          <w:rFonts w:cs="Open Sans"/>
          <w:lang w:val="en"/>
        </w:rPr>
        <w:t xml:space="preserve">review of </w:t>
      </w:r>
      <w:r w:rsidR="00C1056D">
        <w:rPr>
          <w:rFonts w:cs="Open Sans"/>
          <w:lang w:val="en"/>
        </w:rPr>
        <w:t>decisions to refuse them protection visas</w:t>
      </w:r>
      <w:r w:rsidR="00D671F1">
        <w:rPr>
          <w:rFonts w:cs="Open Sans"/>
          <w:lang w:val="en"/>
        </w:rPr>
        <w:t xml:space="preserve"> </w:t>
      </w:r>
      <w:r w:rsidR="006A7984">
        <w:rPr>
          <w:rFonts w:cs="Open Sans"/>
          <w:lang w:val="en"/>
        </w:rPr>
        <w:t xml:space="preserve">in a </w:t>
      </w:r>
      <w:proofErr w:type="spellStart"/>
      <w:r w:rsidR="006A7984">
        <w:rPr>
          <w:rFonts w:cs="Open Sans"/>
          <w:lang w:val="en"/>
        </w:rPr>
        <w:t>specialised</w:t>
      </w:r>
      <w:proofErr w:type="spellEnd"/>
      <w:r w:rsidR="006A7984">
        <w:rPr>
          <w:rFonts w:cs="Open Sans"/>
          <w:lang w:val="en"/>
        </w:rPr>
        <w:t xml:space="preserve"> division of the AAT (the Immigration Assessment Authority) that provides them with </w:t>
      </w:r>
      <w:r w:rsidR="00714B44">
        <w:rPr>
          <w:rFonts w:cs="Open Sans"/>
          <w:lang w:val="en"/>
        </w:rPr>
        <w:t xml:space="preserve">significantly fewer review rights </w:t>
      </w:r>
      <w:r w:rsidR="00D671F1">
        <w:rPr>
          <w:rFonts w:cs="Open Sans"/>
          <w:lang w:val="en"/>
        </w:rPr>
        <w:t xml:space="preserve">than </w:t>
      </w:r>
      <w:r w:rsidR="00714B44">
        <w:rPr>
          <w:rFonts w:cs="Open Sans"/>
          <w:lang w:val="en"/>
        </w:rPr>
        <w:t xml:space="preserve">ordinary merits review. </w:t>
      </w:r>
    </w:p>
    <w:p w14:paraId="57BF076E" w14:textId="71D08978" w:rsidR="00F06925" w:rsidRDefault="00776C10" w:rsidP="00001A29">
      <w:pPr>
        <w:pStyle w:val="ListNumber"/>
        <w:numPr>
          <w:ilvl w:val="0"/>
          <w:numId w:val="32"/>
        </w:numPr>
        <w:tabs>
          <w:tab w:val="left" w:pos="1134"/>
          <w:tab w:val="left" w:pos="1560"/>
        </w:tabs>
        <w:spacing w:before="120"/>
        <w:ind w:left="1066" w:hanging="709"/>
        <w:rPr>
          <w:rFonts w:cs="Open Sans"/>
          <w:lang w:val="en"/>
        </w:rPr>
      </w:pPr>
      <w:r>
        <w:rPr>
          <w:rFonts w:cs="Open Sans"/>
          <w:lang w:val="en"/>
        </w:rPr>
        <w:t>Secondly</w:t>
      </w:r>
      <w:r w:rsidR="00F06925">
        <w:rPr>
          <w:rFonts w:cs="Open Sans"/>
          <w:lang w:val="en"/>
        </w:rPr>
        <w:t xml:space="preserve">, </w:t>
      </w:r>
      <w:r w:rsidR="006C5E6B">
        <w:rPr>
          <w:rFonts w:cs="Open Sans"/>
          <w:lang w:val="en"/>
        </w:rPr>
        <w:t xml:space="preserve">there are </w:t>
      </w:r>
      <w:r w:rsidR="00F06925">
        <w:rPr>
          <w:rFonts w:cs="Open Sans"/>
          <w:lang w:val="en"/>
        </w:rPr>
        <w:t>broad discretions available to Ministers to</w:t>
      </w:r>
      <w:r w:rsidR="00213E08">
        <w:rPr>
          <w:rFonts w:cs="Open Sans"/>
          <w:lang w:val="en"/>
        </w:rPr>
        <w:t xml:space="preserve"> make decisions that are not reviewable in the AAT and to</w:t>
      </w:r>
      <w:r w:rsidR="00F06925">
        <w:rPr>
          <w:rFonts w:cs="Open Sans"/>
          <w:lang w:val="en"/>
        </w:rPr>
        <w:t xml:space="preserve"> </w:t>
      </w:r>
      <w:r w:rsidR="006C5E6B">
        <w:rPr>
          <w:rFonts w:cs="Open Sans"/>
          <w:lang w:val="en"/>
        </w:rPr>
        <w:t>overturn decisions of the AAT that they disagree with.</w:t>
      </w:r>
    </w:p>
    <w:p w14:paraId="5169571D" w14:textId="47BE1346" w:rsidR="00776C10" w:rsidRPr="00776C10" w:rsidRDefault="00776C10" w:rsidP="00776C10">
      <w:pPr>
        <w:pStyle w:val="ListNumber"/>
        <w:numPr>
          <w:ilvl w:val="0"/>
          <w:numId w:val="32"/>
        </w:numPr>
        <w:tabs>
          <w:tab w:val="left" w:pos="1134"/>
          <w:tab w:val="left" w:pos="1560"/>
        </w:tabs>
        <w:spacing w:before="120"/>
        <w:ind w:left="1066" w:hanging="709"/>
        <w:rPr>
          <w:rFonts w:cs="Open Sans"/>
          <w:lang w:val="en"/>
        </w:rPr>
      </w:pPr>
      <w:r>
        <w:rPr>
          <w:rFonts w:cs="Open Sans"/>
          <w:lang w:val="en"/>
        </w:rPr>
        <w:lastRenderedPageBreak/>
        <w:t xml:space="preserve">Thirdly, the </w:t>
      </w:r>
      <w:r w:rsidR="00751A01">
        <w:rPr>
          <w:rFonts w:cs="Open Sans"/>
          <w:lang w:val="en"/>
        </w:rPr>
        <w:t xml:space="preserve">administrative law </w:t>
      </w:r>
      <w:r>
        <w:rPr>
          <w:rFonts w:cs="Open Sans"/>
          <w:lang w:val="en"/>
        </w:rPr>
        <w:t xml:space="preserve">grounds on which migration decisions may be reviewed </w:t>
      </w:r>
      <w:r w:rsidR="00957871">
        <w:rPr>
          <w:rFonts w:cs="Open Sans"/>
          <w:lang w:val="en"/>
        </w:rPr>
        <w:t xml:space="preserve">by a court </w:t>
      </w:r>
      <w:r w:rsidR="008828B3">
        <w:rPr>
          <w:rFonts w:cs="Open Sans"/>
          <w:lang w:val="en"/>
        </w:rPr>
        <w:t xml:space="preserve">have long been </w:t>
      </w:r>
      <w:r>
        <w:rPr>
          <w:rFonts w:cs="Open Sans"/>
          <w:lang w:val="en"/>
        </w:rPr>
        <w:t xml:space="preserve">narrower than the grounds available for ordinary government decision making. </w:t>
      </w:r>
    </w:p>
    <w:p w14:paraId="45609AF1" w14:textId="455A8EF5" w:rsidR="00001A29" w:rsidRDefault="00FD5C39" w:rsidP="00FD5C39">
      <w:r w:rsidRPr="00FD5C39">
        <w:t>Each of these issues undermines the integrity and fairness of the system of reviewing migration decisions</w:t>
      </w:r>
      <w:proofErr w:type="gramStart"/>
      <w:r w:rsidRPr="00FD5C39">
        <w:t>.</w:t>
      </w:r>
      <w:r w:rsidR="00F9240D">
        <w:t xml:space="preserve">  </w:t>
      </w:r>
      <w:proofErr w:type="gramEnd"/>
      <w:r w:rsidR="00F9240D">
        <w:t>I expand briefly on those points below.</w:t>
      </w:r>
    </w:p>
    <w:p w14:paraId="6C21EEDE" w14:textId="68D9DD22" w:rsidR="00D52CEC" w:rsidRPr="00C15231" w:rsidRDefault="00776C10" w:rsidP="00707D60">
      <w:pPr>
        <w:keepNext/>
        <w:rPr>
          <w:u w:val="single"/>
        </w:rPr>
      </w:pPr>
      <w:r>
        <w:rPr>
          <w:u w:val="single"/>
        </w:rPr>
        <w:t>Immigration Assessment Authority</w:t>
      </w:r>
    </w:p>
    <w:p w14:paraId="41D9BDD0" w14:textId="0D4FC5E8" w:rsidR="00C15231" w:rsidRDefault="005F3AA9" w:rsidP="00FD5C39">
      <w:r>
        <w:t>The AAT is divided into nine divisions dealing with decisions in different subject areas</w:t>
      </w:r>
      <w:proofErr w:type="gramStart"/>
      <w:r>
        <w:t xml:space="preserve">.  </w:t>
      </w:r>
      <w:proofErr w:type="gramEnd"/>
      <w:r>
        <w:t xml:space="preserve">By far the greatest workload of the AAT is in the Migration </w:t>
      </w:r>
      <w:r w:rsidR="00D53219">
        <w:t>and</w:t>
      </w:r>
      <w:r>
        <w:t xml:space="preserve"> Refugee Division</w:t>
      </w:r>
      <w:r w:rsidR="004A7AD4">
        <w:t>, which includes the Immigration Assessment Authority (IAA).</w:t>
      </w:r>
      <w:r w:rsidR="005001C1">
        <w:rPr>
          <w:rStyle w:val="FootnoteReference"/>
        </w:rPr>
        <w:footnoteReference w:id="5"/>
      </w:r>
      <w:r w:rsidR="004A7AD4">
        <w:t xml:space="preserve"> </w:t>
      </w:r>
    </w:p>
    <w:p w14:paraId="00E81E42" w14:textId="6D06DACF" w:rsidR="004E7C92" w:rsidRDefault="00B135BC" w:rsidP="00FD5C39">
      <w:r>
        <w:t xml:space="preserve">The IAA </w:t>
      </w:r>
      <w:r w:rsidR="003C486F">
        <w:t xml:space="preserve">deals with </w:t>
      </w:r>
      <w:r w:rsidR="004E7C92">
        <w:t xml:space="preserve">migration </w:t>
      </w:r>
      <w:r w:rsidR="00B204ED">
        <w:t>deci</w:t>
      </w:r>
      <w:r w:rsidR="004E7C92">
        <w:t xml:space="preserve">sions made in relation to a specific group of asylum seekers: those who arrived in </w:t>
      </w:r>
      <w:r w:rsidR="0044428F">
        <w:t xml:space="preserve">Australia by sea </w:t>
      </w:r>
      <w:r w:rsidR="00A30B76">
        <w:t xml:space="preserve">between </w:t>
      </w:r>
      <w:r w:rsidR="0044428F">
        <w:t>13 August 2012</w:t>
      </w:r>
      <w:r w:rsidR="00A30B76">
        <w:t xml:space="preserve"> and 1 January 2014 and had not been taken to a regional processing country</w:t>
      </w:r>
      <w:r w:rsidR="0044428F">
        <w:t>.</w:t>
      </w:r>
      <w:r w:rsidR="00B9725F">
        <w:rPr>
          <w:rStyle w:val="FootnoteReference"/>
        </w:rPr>
        <w:footnoteReference w:id="6"/>
      </w:r>
    </w:p>
    <w:p w14:paraId="772CC8F5" w14:textId="42A671F5" w:rsidR="00E229D7" w:rsidRDefault="000C16DB" w:rsidP="00FD5C39">
      <w:r>
        <w:t>The review provided by the IAA is described as ‘limited</w:t>
      </w:r>
      <w:r w:rsidR="00F01073">
        <w:t>’</w:t>
      </w:r>
      <w:r>
        <w:t xml:space="preserve"> </w:t>
      </w:r>
      <w:r w:rsidR="00F01073">
        <w:t xml:space="preserve">form of </w:t>
      </w:r>
      <w:r>
        <w:t xml:space="preserve">merits review in accordance with a </w:t>
      </w:r>
      <w:r w:rsidR="003C486F">
        <w:t>‘fast track’ decision making process.</w:t>
      </w:r>
      <w:r w:rsidR="00067507">
        <w:rPr>
          <w:rStyle w:val="FootnoteReference"/>
        </w:rPr>
        <w:footnoteReference w:id="7"/>
      </w:r>
      <w:r w:rsidR="00E428E8">
        <w:t xml:space="preserve">  It contains fewer rights for those seeking to review government decisions</w:t>
      </w:r>
      <w:r w:rsidR="00767735">
        <w:t xml:space="preserve">, typically a decision to refuse </w:t>
      </w:r>
      <w:r w:rsidR="00567593">
        <w:t xml:space="preserve">to grant </w:t>
      </w:r>
      <w:r w:rsidR="00767735">
        <w:t>them a protection visa</w:t>
      </w:r>
      <w:r w:rsidR="00E428E8">
        <w:t>.</w:t>
      </w:r>
    </w:p>
    <w:p w14:paraId="5A82F33D" w14:textId="4763D2A2" w:rsidR="00E428E8" w:rsidRDefault="004B7185" w:rsidP="00FD5C39">
      <w:r>
        <w:t>Two</w:t>
      </w:r>
      <w:r w:rsidR="00C83A66">
        <w:t xml:space="preserve"> </w:t>
      </w:r>
      <w:r w:rsidR="007165DA">
        <w:t xml:space="preserve">key problems with the </w:t>
      </w:r>
      <w:proofErr w:type="gramStart"/>
      <w:r w:rsidR="007165DA">
        <w:t>fast track</w:t>
      </w:r>
      <w:proofErr w:type="gramEnd"/>
      <w:r w:rsidR="007165DA">
        <w:t xml:space="preserve"> process at the IAA, which distinguish it from </w:t>
      </w:r>
      <w:r w:rsidR="00565DAA">
        <w:t>normal merits review in other divisions of the AAT</w:t>
      </w:r>
      <w:r w:rsidR="00567593">
        <w:t>,</w:t>
      </w:r>
      <w:r w:rsidR="00565DAA">
        <w:t xml:space="preserve"> are</w:t>
      </w:r>
      <w:r w:rsidR="00144F8C">
        <w:t xml:space="preserve"> as follows</w:t>
      </w:r>
      <w:r w:rsidR="00565DAA">
        <w:t>:</w:t>
      </w:r>
    </w:p>
    <w:p w14:paraId="5BA86432" w14:textId="776F350F" w:rsidR="00565DAA" w:rsidRDefault="00144F8C" w:rsidP="00585CE7">
      <w:pPr>
        <w:pStyle w:val="ListNumber"/>
        <w:numPr>
          <w:ilvl w:val="0"/>
          <w:numId w:val="32"/>
        </w:numPr>
        <w:tabs>
          <w:tab w:val="left" w:pos="1134"/>
          <w:tab w:val="left" w:pos="1560"/>
        </w:tabs>
        <w:spacing w:before="120"/>
        <w:ind w:left="1066" w:hanging="709"/>
      </w:pPr>
      <w:r>
        <w:rPr>
          <w:rFonts w:cs="Open Sans"/>
          <w:lang w:val="en"/>
        </w:rPr>
        <w:t xml:space="preserve">First, </w:t>
      </w:r>
      <w:r w:rsidRPr="00144F8C">
        <w:rPr>
          <w:rFonts w:cs="Open Sans"/>
          <w:lang w:val="en"/>
        </w:rPr>
        <w:t xml:space="preserve">the IAA must not accept relevant information in relation to an </w:t>
      </w:r>
      <w:r>
        <w:t xml:space="preserve">applicant‘s claim, if this information was not raised by the applicant before the initial decision was made to refuse to grant </w:t>
      </w:r>
      <w:r w:rsidR="00A37753">
        <w:t xml:space="preserve">them </w:t>
      </w:r>
      <w:r>
        <w:t>a protection visa (unless there are ‘exceptional circumstances‘</w:t>
      </w:r>
      <w:r w:rsidR="00A37753">
        <w:t>)</w:t>
      </w:r>
      <w:r>
        <w:t>.</w:t>
      </w:r>
      <w:r w:rsidR="00924C54">
        <w:rPr>
          <w:rStyle w:val="FootnoteReference"/>
        </w:rPr>
        <w:footnoteReference w:id="8"/>
      </w:r>
      <w:r w:rsidR="00A37753">
        <w:t xml:space="preserve">  In practice, this forces an applicant to </w:t>
      </w:r>
      <w:r w:rsidR="00EE69E3">
        <w:t xml:space="preserve">provide all relevant information at an initial interview with departmental officials, at a time when they </w:t>
      </w:r>
      <w:r w:rsidR="00206B09">
        <w:t xml:space="preserve">may </w:t>
      </w:r>
      <w:r w:rsidR="00206B09">
        <w:lastRenderedPageBreak/>
        <w:t xml:space="preserve">not </w:t>
      </w:r>
      <w:r w:rsidR="00EE69E3">
        <w:t xml:space="preserve">have access to legal advice or assistance. </w:t>
      </w:r>
      <w:r w:rsidR="00206B09">
        <w:t xml:space="preserve"> The risk of prejudice to an applicant is obvious.</w:t>
      </w:r>
    </w:p>
    <w:p w14:paraId="30B5B42F" w14:textId="4E27FDD5" w:rsidR="00EE69E3" w:rsidRDefault="00EE69E3" w:rsidP="00585CE7">
      <w:pPr>
        <w:pStyle w:val="ListNumber"/>
        <w:numPr>
          <w:ilvl w:val="0"/>
          <w:numId w:val="32"/>
        </w:numPr>
        <w:tabs>
          <w:tab w:val="left" w:pos="1134"/>
          <w:tab w:val="left" w:pos="1560"/>
        </w:tabs>
        <w:spacing w:before="120"/>
        <w:ind w:left="1066" w:hanging="709"/>
      </w:pPr>
      <w:r>
        <w:t xml:space="preserve">Secondly, </w:t>
      </w:r>
      <w:r w:rsidR="003B2D5E">
        <w:t>the IAA must not interview the applicant and must conduct a review on the papers (unless there are ‘exceptional circumstances’)</w:t>
      </w:r>
      <w:r w:rsidR="00E029AC">
        <w:t>.</w:t>
      </w:r>
      <w:r w:rsidR="00586DEB">
        <w:rPr>
          <w:rStyle w:val="FootnoteReference"/>
        </w:rPr>
        <w:footnoteReference w:id="9"/>
      </w:r>
      <w:r w:rsidR="00E029AC">
        <w:t xml:space="preserve">  This is contrary to </w:t>
      </w:r>
      <w:r w:rsidR="00AC38B0">
        <w:t xml:space="preserve">procedures recommended by the </w:t>
      </w:r>
      <w:r w:rsidR="00E27C2E">
        <w:t xml:space="preserve">former </w:t>
      </w:r>
      <w:r w:rsidR="007B082F">
        <w:t>ARC</w:t>
      </w:r>
      <w:r w:rsidR="00E27C2E">
        <w:t xml:space="preserve">, the former Joint Standing Committee on Migration Regulations, </w:t>
      </w:r>
      <w:r w:rsidR="00AC38B0">
        <w:t xml:space="preserve">and the </w:t>
      </w:r>
      <w:r w:rsidR="00B42BB2">
        <w:t>United Nations High Commissioner for Refugees in their advice about processing refugee claims.</w:t>
      </w:r>
      <w:r w:rsidR="00B42BB2">
        <w:rPr>
          <w:rStyle w:val="FootnoteReference"/>
        </w:rPr>
        <w:footnoteReference w:id="10"/>
      </w:r>
    </w:p>
    <w:p w14:paraId="646FA5A5" w14:textId="255E0E60" w:rsidR="008F61EB" w:rsidRDefault="00A22303" w:rsidP="0078142B">
      <w:pPr>
        <w:pStyle w:val="ListNumber"/>
        <w:numPr>
          <w:ilvl w:val="0"/>
          <w:numId w:val="0"/>
        </w:numPr>
        <w:tabs>
          <w:tab w:val="left" w:pos="1134"/>
          <w:tab w:val="left" w:pos="1560"/>
        </w:tabs>
        <w:spacing w:before="120"/>
      </w:pPr>
      <w:r>
        <w:t>The Commission raised procedural fairness concerns with the ‘fast track’ process when it was first introduced.</w:t>
      </w:r>
      <w:r>
        <w:rPr>
          <w:rStyle w:val="FootnoteReference"/>
        </w:rPr>
        <w:footnoteReference w:id="11"/>
      </w:r>
      <w:r>
        <w:t xml:space="preserve">  </w:t>
      </w:r>
      <w:r w:rsidR="006915AF">
        <w:t>Soon after its introduction, t</w:t>
      </w:r>
      <w:r>
        <w:t xml:space="preserve">he Australian Law Reform Commission </w:t>
      </w:r>
      <w:r w:rsidR="00D03DDC">
        <w:t xml:space="preserve">(ALRC) </w:t>
      </w:r>
      <w:r w:rsidR="001B5503">
        <w:t xml:space="preserve">completed its inquiry into the </w:t>
      </w:r>
      <w:r w:rsidR="00D03DDC">
        <w:t>encroachment by Commonwealth laws into traditional rights and freedoms</w:t>
      </w:r>
      <w:proofErr w:type="gramStart"/>
      <w:r w:rsidR="00D03DDC">
        <w:t xml:space="preserve">.  </w:t>
      </w:r>
      <w:proofErr w:type="gramEnd"/>
      <w:r w:rsidR="00D03DDC">
        <w:t xml:space="preserve">The ALRC </w:t>
      </w:r>
      <w:r w:rsidR="00E3606A">
        <w:t xml:space="preserve">recommended that </w:t>
      </w:r>
      <w:r w:rsidR="003225AE">
        <w:t>‘</w:t>
      </w:r>
      <w:r w:rsidR="00D03DDC">
        <w:t>fast</w:t>
      </w:r>
      <w:r w:rsidR="003225AE">
        <w:t xml:space="preserve"> track’ process </w:t>
      </w:r>
      <w:r w:rsidR="00E3606A">
        <w:t xml:space="preserve">be subject to further review </w:t>
      </w:r>
      <w:r w:rsidR="00470A44">
        <w:t>to consider whether it unjustifiably excluded the duty to afford procedural fairness.</w:t>
      </w:r>
      <w:r w:rsidR="00470A44">
        <w:rPr>
          <w:rStyle w:val="FootnoteReference"/>
        </w:rPr>
        <w:footnoteReference w:id="12"/>
      </w:r>
    </w:p>
    <w:p w14:paraId="63BDD35D" w14:textId="01E8C6F5" w:rsidR="009B2E43" w:rsidRDefault="009B2E43" w:rsidP="0078142B">
      <w:pPr>
        <w:pStyle w:val="ListNumber"/>
        <w:numPr>
          <w:ilvl w:val="0"/>
          <w:numId w:val="0"/>
        </w:numPr>
        <w:tabs>
          <w:tab w:val="left" w:pos="1134"/>
          <w:tab w:val="left" w:pos="1560"/>
        </w:tabs>
        <w:spacing w:before="120"/>
      </w:pPr>
      <w:r>
        <w:t xml:space="preserve">In addition to the </w:t>
      </w:r>
      <w:r w:rsidR="003225AE">
        <w:t>’fast track’ process</w:t>
      </w:r>
      <w:r w:rsidR="00B27974">
        <w:t xml:space="preserve"> in the </w:t>
      </w:r>
      <w:r>
        <w:t xml:space="preserve">IAA, </w:t>
      </w:r>
      <w:r w:rsidR="004B619C">
        <w:t xml:space="preserve">I note that </w:t>
      </w:r>
      <w:r>
        <w:t xml:space="preserve">there is also a </w:t>
      </w:r>
      <w:r w:rsidR="00A6109A">
        <w:t xml:space="preserve">separate ‘expedited’ process </w:t>
      </w:r>
      <w:r w:rsidR="004B619C">
        <w:t xml:space="preserve">in </w:t>
      </w:r>
      <w:r w:rsidR="00BD1FFC">
        <w:t xml:space="preserve">the General Division of </w:t>
      </w:r>
      <w:r w:rsidR="004B619C">
        <w:t xml:space="preserve">the AAT </w:t>
      </w:r>
      <w:r w:rsidR="00A6109A">
        <w:t>for the review of decisions by a delegate of the Minister to refuse or cancel a visa on character grounds</w:t>
      </w:r>
      <w:proofErr w:type="gramStart"/>
      <w:r w:rsidR="00A6109A">
        <w:t>.</w:t>
      </w:r>
      <w:r w:rsidR="004B619C">
        <w:t xml:space="preserve">  </w:t>
      </w:r>
      <w:proofErr w:type="gramEnd"/>
      <w:r w:rsidR="00E424AC">
        <w:t>The Commission has made comments elsewhere about the problems with this process and I don’t repeat them here.</w:t>
      </w:r>
      <w:r w:rsidR="00E424AC">
        <w:rPr>
          <w:rStyle w:val="FootnoteReference"/>
        </w:rPr>
        <w:footnoteReference w:id="13"/>
      </w:r>
    </w:p>
    <w:p w14:paraId="32062B14" w14:textId="795A59BC" w:rsidR="006A12D7" w:rsidRDefault="006A12D7" w:rsidP="0078142B">
      <w:pPr>
        <w:pStyle w:val="ListNumber"/>
        <w:numPr>
          <w:ilvl w:val="0"/>
          <w:numId w:val="0"/>
        </w:numPr>
        <w:tabs>
          <w:tab w:val="left" w:pos="1134"/>
          <w:tab w:val="left" w:pos="1560"/>
        </w:tabs>
        <w:spacing w:before="120"/>
      </w:pPr>
      <w:r>
        <w:lastRenderedPageBreak/>
        <w:t xml:space="preserve">The Commission submits that people affected by migration decisions should have the same </w:t>
      </w:r>
      <w:r w:rsidR="00F5772D">
        <w:t xml:space="preserve">substantive and procedural </w:t>
      </w:r>
      <w:r>
        <w:t xml:space="preserve">rights as anyone else in Australia who </w:t>
      </w:r>
      <w:r w:rsidR="00C93AD2">
        <w:t xml:space="preserve">seeks a </w:t>
      </w:r>
      <w:r>
        <w:t xml:space="preserve">review of </w:t>
      </w:r>
      <w:r w:rsidR="0032128A">
        <w:t xml:space="preserve">a decision by </w:t>
      </w:r>
      <w:r>
        <w:t xml:space="preserve">government. </w:t>
      </w:r>
    </w:p>
    <w:p w14:paraId="3713C685" w14:textId="5DAF485B" w:rsidR="00E229D7" w:rsidRPr="00586548" w:rsidRDefault="00F24A07" w:rsidP="00707D60">
      <w:pPr>
        <w:keepNext/>
        <w:rPr>
          <w:u w:val="single"/>
        </w:rPr>
      </w:pPr>
      <w:r>
        <w:rPr>
          <w:u w:val="single"/>
        </w:rPr>
        <w:t>Overly b</w:t>
      </w:r>
      <w:r w:rsidR="00586548" w:rsidRPr="00586548">
        <w:rPr>
          <w:u w:val="single"/>
        </w:rPr>
        <w:t xml:space="preserve">road Ministerial powers </w:t>
      </w:r>
    </w:p>
    <w:p w14:paraId="2EDD21C7" w14:textId="1CC00B14" w:rsidR="00586548" w:rsidRDefault="006D3BC7" w:rsidP="00FD5C39">
      <w:r>
        <w:t xml:space="preserve">A significant proportion of </w:t>
      </w:r>
      <w:r w:rsidR="007C50B4">
        <w:t xml:space="preserve">decisions considered in the General Division </w:t>
      </w:r>
      <w:r w:rsidR="00990C80">
        <w:t xml:space="preserve">of the AAT </w:t>
      </w:r>
      <w:r w:rsidR="007C50B4">
        <w:t xml:space="preserve">are </w:t>
      </w:r>
      <w:r w:rsidR="00695435">
        <w:t xml:space="preserve">decisions to refuse or cancel a visa </w:t>
      </w:r>
      <w:r w:rsidR="00357929">
        <w:t>on character grounds.</w:t>
      </w:r>
      <w:r w:rsidR="00F32310">
        <w:rPr>
          <w:rStyle w:val="FootnoteReference"/>
        </w:rPr>
        <w:footnoteReference w:id="14"/>
      </w:r>
      <w:r w:rsidR="00357929">
        <w:t xml:space="preserve">  Within this class of decisions, </w:t>
      </w:r>
      <w:r w:rsidR="00996CCB">
        <w:t>decision making by a Minister is given a special status unlike that in most other areas of government decision making.</w:t>
      </w:r>
    </w:p>
    <w:p w14:paraId="2C1D6F84" w14:textId="3146DD41" w:rsidR="00E55050" w:rsidRDefault="00E80443" w:rsidP="003D630B">
      <w:r>
        <w:t>First, t</w:t>
      </w:r>
      <w:r w:rsidR="00E55050">
        <w:t xml:space="preserve">he AAT does not </w:t>
      </w:r>
      <w:r w:rsidR="00AB70CA">
        <w:t>have jurisdiction to review personal decisions by a Minister to refuse or cancel a visa on character grounds.</w:t>
      </w:r>
      <w:r w:rsidR="00D965B3">
        <w:rPr>
          <w:rStyle w:val="FootnoteReference"/>
        </w:rPr>
        <w:footnoteReference w:id="15"/>
      </w:r>
      <w:r w:rsidR="00AB70CA">
        <w:t xml:space="preserve">  This is unusu</w:t>
      </w:r>
      <w:r w:rsidR="00D965B3">
        <w:t>al</w:t>
      </w:r>
      <w:proofErr w:type="gramStart"/>
      <w:r w:rsidR="00D965B3">
        <w:t xml:space="preserve">.  </w:t>
      </w:r>
      <w:proofErr w:type="gramEnd"/>
      <w:r w:rsidR="00D965B3">
        <w:t xml:space="preserve">The </w:t>
      </w:r>
      <w:r w:rsidR="003D630B">
        <w:t>AAT has jurisdiction to review decisions under more than 400 Commonwealth Act</w:t>
      </w:r>
      <w:r w:rsidR="00FB751B">
        <w:t>s</w:t>
      </w:r>
      <w:r w:rsidR="003D630B">
        <w:t xml:space="preserve"> and legislative instruments.</w:t>
      </w:r>
      <w:r w:rsidR="00FB32B1">
        <w:rPr>
          <w:rStyle w:val="FootnoteReference"/>
        </w:rPr>
        <w:footnoteReference w:id="16"/>
      </w:r>
      <w:r w:rsidR="003D630B">
        <w:t xml:space="preserve"> </w:t>
      </w:r>
      <w:r w:rsidR="00FB32B1">
        <w:t xml:space="preserve"> </w:t>
      </w:r>
      <w:r w:rsidR="003D630B">
        <w:t>This typically includes</w:t>
      </w:r>
      <w:r w:rsidR="00FB32B1">
        <w:t xml:space="preserve"> </w:t>
      </w:r>
      <w:r w:rsidR="003D630B">
        <w:t xml:space="preserve">decisions made by Ministers, </w:t>
      </w:r>
      <w:proofErr w:type="gramStart"/>
      <w:r w:rsidR="003D630B">
        <w:t>departments</w:t>
      </w:r>
      <w:proofErr w:type="gramEnd"/>
      <w:r w:rsidR="003D630B">
        <w:t xml:space="preserve"> and agencies</w:t>
      </w:r>
      <w:r w:rsidR="00FB32B1">
        <w:t>.</w:t>
      </w:r>
      <w:r w:rsidR="00CA52AE">
        <w:rPr>
          <w:rStyle w:val="FootnoteReference"/>
        </w:rPr>
        <w:footnoteReference w:id="17"/>
      </w:r>
    </w:p>
    <w:p w14:paraId="4AD26699" w14:textId="0C12BAA4" w:rsidR="00CA52AE" w:rsidRDefault="00E80443" w:rsidP="003D630B">
      <w:r>
        <w:t xml:space="preserve">Secondly, </w:t>
      </w:r>
      <w:r w:rsidR="00ED739A">
        <w:t xml:space="preserve">under the Migration Act </w:t>
      </w:r>
      <w:r>
        <w:t xml:space="preserve">the Minister is given the power to </w:t>
      </w:r>
      <w:r w:rsidR="00B96EF7">
        <w:t>set aside decisions of the AAT</w:t>
      </w:r>
      <w:r w:rsidR="00E75425">
        <w:t>.</w:t>
      </w:r>
      <w:r w:rsidR="009D3A10">
        <w:rPr>
          <w:rStyle w:val="FootnoteReference"/>
        </w:rPr>
        <w:footnoteReference w:id="18"/>
      </w:r>
      <w:r w:rsidR="00E75425">
        <w:t xml:space="preserve">  </w:t>
      </w:r>
      <w:r w:rsidR="009829E7">
        <w:t>This inverts the usual process of merits review: the AAT is supposed to be an independent check on executive decisions</w:t>
      </w:r>
      <w:proofErr w:type="gramStart"/>
      <w:r w:rsidR="009829E7">
        <w:t xml:space="preserve">.  </w:t>
      </w:r>
      <w:proofErr w:type="gramEnd"/>
      <w:r w:rsidR="009829E7">
        <w:t xml:space="preserve">But under the Migration Act, the Minister can reverse a decision by the independent umpire </w:t>
      </w:r>
      <w:r w:rsidR="00967EC3">
        <w:t xml:space="preserve">if the </w:t>
      </w:r>
      <w:r w:rsidR="009829E7">
        <w:t>Minister disagrees with</w:t>
      </w:r>
      <w:r w:rsidR="00967EC3">
        <w:t xml:space="preserve"> it</w:t>
      </w:r>
      <w:proofErr w:type="gramStart"/>
      <w:r w:rsidR="009829E7">
        <w:t>.</w:t>
      </w:r>
      <w:r w:rsidR="001804CC">
        <w:t xml:space="preserve">  </w:t>
      </w:r>
      <w:proofErr w:type="gramEnd"/>
      <w:r w:rsidR="00E75425">
        <w:t>If the AAT decides</w:t>
      </w:r>
      <w:r w:rsidR="00B96EF7">
        <w:t xml:space="preserve"> </w:t>
      </w:r>
      <w:r w:rsidR="00FD71D6">
        <w:t xml:space="preserve">not to refuse or cancel a visa, </w:t>
      </w:r>
      <w:r w:rsidR="00A75E00">
        <w:t xml:space="preserve">the Minister may set this decision aside and </w:t>
      </w:r>
      <w:r w:rsidR="00FD71D6">
        <w:t xml:space="preserve">make a new </w:t>
      </w:r>
      <w:r w:rsidR="00E75425">
        <w:t>decision refusing or cancelling the visa</w:t>
      </w:r>
      <w:r w:rsidR="00A75E00">
        <w:t xml:space="preserve"> if the Minister reasonably suspects that the person does not </w:t>
      </w:r>
      <w:r w:rsidR="00A75E00">
        <w:lastRenderedPageBreak/>
        <w:t>pass</w:t>
      </w:r>
      <w:r w:rsidR="00B40EDA">
        <w:t xml:space="preserve"> the character test and if the Minister is satisfied that the refusal or cancellation is in the ‘national interest’</w:t>
      </w:r>
      <w:r w:rsidR="00E75425">
        <w:t>.</w:t>
      </w:r>
      <w:r w:rsidR="00B40EDA">
        <w:rPr>
          <w:rStyle w:val="FootnoteReference"/>
        </w:rPr>
        <w:footnoteReference w:id="19"/>
      </w:r>
      <w:r w:rsidR="005062F0">
        <w:t xml:space="preserve">  </w:t>
      </w:r>
    </w:p>
    <w:p w14:paraId="5FA2BBE2" w14:textId="37E06240" w:rsidR="00C35AE0" w:rsidRDefault="00703767" w:rsidP="003D630B">
      <w:r>
        <w:t xml:space="preserve">The Commission considers that </w:t>
      </w:r>
      <w:r w:rsidR="0014155D">
        <w:t xml:space="preserve">migration decisions, including those </w:t>
      </w:r>
      <w:r w:rsidR="00A60745">
        <w:t>relating to the refusal or cancellation of visas on character grounds, should be subject to independent review, even if they are made by the Minister personally</w:t>
      </w:r>
      <w:proofErr w:type="gramStart"/>
      <w:r w:rsidR="00A60745">
        <w:t xml:space="preserve">.  </w:t>
      </w:r>
      <w:proofErr w:type="gramEnd"/>
      <w:r w:rsidR="00FB4AA3">
        <w:t>This is because such decisions have a significant, sometimes life changing, impact on individual rights</w:t>
      </w:r>
      <w:proofErr w:type="gramStart"/>
      <w:r w:rsidR="00FB4AA3">
        <w:t>.</w:t>
      </w:r>
      <w:r w:rsidR="00E86DC9">
        <w:t xml:space="preserve">  </w:t>
      </w:r>
      <w:proofErr w:type="gramEnd"/>
      <w:r w:rsidR="00E033BB">
        <w:t>Further, even Ministers of the Crown are not immune from making mistakes</w:t>
      </w:r>
      <w:r w:rsidR="00E252AE">
        <w:t xml:space="preserve"> about questions of fact</w:t>
      </w:r>
      <w:r w:rsidR="00E033BB">
        <w:t>.</w:t>
      </w:r>
    </w:p>
    <w:p w14:paraId="328C66E3" w14:textId="19223CF2" w:rsidR="000D1D0B" w:rsidRDefault="00AC4237" w:rsidP="003D630B">
      <w:r>
        <w:t xml:space="preserve">When the </w:t>
      </w:r>
      <w:r w:rsidR="007B082F">
        <w:t>ARC</w:t>
      </w:r>
      <w:r w:rsidR="00E01FAE">
        <w:t xml:space="preserve"> </w:t>
      </w:r>
      <w:r>
        <w:t xml:space="preserve">was still in existence, it provided advice to government about the kinds of decisions that should be subject to </w:t>
      </w:r>
      <w:r w:rsidR="00531C87">
        <w:t>merits review.</w:t>
      </w:r>
      <w:r w:rsidR="00895D37">
        <w:rPr>
          <w:rStyle w:val="FootnoteReference"/>
        </w:rPr>
        <w:footnoteReference w:id="20"/>
      </w:r>
      <w:r w:rsidR="00531C87">
        <w:t xml:space="preserve">  </w:t>
      </w:r>
      <w:r w:rsidR="00290649">
        <w:t>Despite the abolition of the ARC, t</w:t>
      </w:r>
      <w:r w:rsidR="00531C87">
        <w:t xml:space="preserve">his advice </w:t>
      </w:r>
      <w:r w:rsidR="007710E2">
        <w:t xml:space="preserve">continues to be </w:t>
      </w:r>
      <w:r w:rsidR="00531C87">
        <w:t xml:space="preserve">relied on by the </w:t>
      </w:r>
      <w:r w:rsidR="00AE4E17">
        <w:t>Australian G</w:t>
      </w:r>
      <w:r w:rsidR="00531C87">
        <w:t>overnment when proposing new legislation.</w:t>
      </w:r>
      <w:r w:rsidR="00531C87">
        <w:rPr>
          <w:rStyle w:val="FootnoteReference"/>
        </w:rPr>
        <w:footnoteReference w:id="21"/>
      </w:r>
      <w:r w:rsidR="00531C87">
        <w:t xml:space="preserve">  The ARC said that</w:t>
      </w:r>
      <w:r w:rsidR="002413B0">
        <w:t>, as a matter of principle, an administrative decision that will or is likely to affect the interests of a person should be subject to merits review.</w:t>
      </w:r>
      <w:r w:rsidR="00B22183">
        <w:rPr>
          <w:rStyle w:val="FootnoteReference"/>
        </w:rPr>
        <w:footnoteReference w:id="22"/>
      </w:r>
      <w:r w:rsidR="002413B0">
        <w:t xml:space="preserve">  There is a limited range of factors that may justify excluding merits review for particular decisions.  However, factors that do </w:t>
      </w:r>
      <w:r w:rsidR="002413B0" w:rsidRPr="00B22183">
        <w:rPr>
          <w:i/>
          <w:iCs/>
        </w:rPr>
        <w:t>not</w:t>
      </w:r>
      <w:r w:rsidR="002413B0">
        <w:t xml:space="preserve"> justify excluding merits review include the fact that a decision maker is of a high status.</w:t>
      </w:r>
      <w:r w:rsidR="00412541">
        <w:rPr>
          <w:rStyle w:val="FootnoteReference"/>
        </w:rPr>
        <w:footnoteReference w:id="23"/>
      </w:r>
    </w:p>
    <w:p w14:paraId="38ED6A5F" w14:textId="3B7D9D6F" w:rsidR="00A9582B" w:rsidRDefault="00556DE2" w:rsidP="003D630B">
      <w:r>
        <w:t xml:space="preserve">The Commission also considers that </w:t>
      </w:r>
      <w:r w:rsidR="005A3258">
        <w:t>when a review decision has been made by the AAT, the Minister should not have the power to set it aside</w:t>
      </w:r>
      <w:proofErr w:type="gramStart"/>
      <w:r w:rsidR="00586299">
        <w:t xml:space="preserve">.  </w:t>
      </w:r>
      <w:proofErr w:type="gramEnd"/>
      <w:r w:rsidR="00A9582B">
        <w:t>As the Senate’s Scruti</w:t>
      </w:r>
      <w:r w:rsidR="00517FB8">
        <w:t>ny of Bills Committee has warned:</w:t>
      </w:r>
    </w:p>
    <w:p w14:paraId="6AF10B78" w14:textId="7B47F021" w:rsidR="00517FB8" w:rsidRDefault="00517FB8" w:rsidP="00517FB8">
      <w:pPr>
        <w:ind w:left="720"/>
      </w:pPr>
      <w:r w:rsidRPr="00ED0DC0">
        <w:rPr>
          <w:sz w:val="22"/>
          <w:szCs w:val="22"/>
        </w:rPr>
        <w:t xml:space="preserve">Any system of independent merits review runs the risk that a tribunal may reverse a decision preferred by the original decision-maker or the Minister. However, overriding a decision by an independent decision-maker poses a risk to community perceptions about the availability of independent merits review and </w:t>
      </w:r>
      <w:r w:rsidRPr="00ED0DC0">
        <w:rPr>
          <w:sz w:val="22"/>
          <w:szCs w:val="22"/>
        </w:rPr>
        <w:lastRenderedPageBreak/>
        <w:t>the risk that individual cases may be unduly influenced by political considerations.</w:t>
      </w:r>
      <w:r w:rsidR="0021632A">
        <w:rPr>
          <w:rStyle w:val="FootnoteReference"/>
        </w:rPr>
        <w:footnoteReference w:id="24"/>
      </w:r>
    </w:p>
    <w:p w14:paraId="47F3A38E" w14:textId="7425E617" w:rsidR="00556DE2" w:rsidRDefault="00080D48" w:rsidP="003D630B">
      <w:r>
        <w:t>I</w:t>
      </w:r>
      <w:r w:rsidR="00586299">
        <w:t xml:space="preserve">f the Minister considers that </w:t>
      </w:r>
      <w:r w:rsidR="00ED0DC0">
        <w:t xml:space="preserve">a </w:t>
      </w:r>
      <w:r w:rsidR="00586299">
        <w:t xml:space="preserve">decision </w:t>
      </w:r>
      <w:r w:rsidR="00ED0DC0">
        <w:t xml:space="preserve">of the AAT </w:t>
      </w:r>
      <w:r w:rsidR="00586299">
        <w:t>was not properly made, the Minister should take the ordinary course and seek judicial review of the decision by a court.</w:t>
      </w:r>
      <w:r w:rsidR="005A3258">
        <w:t xml:space="preserve"> </w:t>
      </w:r>
    </w:p>
    <w:p w14:paraId="08A1B1DA" w14:textId="1129F549" w:rsidR="00807149" w:rsidRPr="001D6250" w:rsidRDefault="002A0BE3" w:rsidP="001D6250">
      <w:pPr>
        <w:keepNext/>
        <w:rPr>
          <w:u w:val="single"/>
        </w:rPr>
      </w:pPr>
      <w:r>
        <w:rPr>
          <w:u w:val="single"/>
        </w:rPr>
        <w:t>Judicial r</w:t>
      </w:r>
      <w:r w:rsidR="001D6250" w:rsidRPr="001D6250">
        <w:rPr>
          <w:u w:val="single"/>
        </w:rPr>
        <w:t>eview of migration decisions</w:t>
      </w:r>
    </w:p>
    <w:p w14:paraId="4800B36C" w14:textId="534CE9AF" w:rsidR="001D6250" w:rsidRDefault="00824AE0" w:rsidP="00FD5C39">
      <w:r>
        <w:t xml:space="preserve">The third area of concern by the Commission relates to </w:t>
      </w:r>
      <w:r w:rsidR="00AF3DC4">
        <w:t xml:space="preserve">the limited </w:t>
      </w:r>
      <w:r w:rsidR="002A0BE3">
        <w:t xml:space="preserve">rights </w:t>
      </w:r>
      <w:r w:rsidR="00551DAB">
        <w:t xml:space="preserve">accorded to </w:t>
      </w:r>
      <w:r w:rsidR="00466BC1">
        <w:t xml:space="preserve">individuals </w:t>
      </w:r>
      <w:r w:rsidR="00551DAB">
        <w:t xml:space="preserve">when </w:t>
      </w:r>
      <w:r w:rsidR="002A0BE3">
        <w:t>seek</w:t>
      </w:r>
      <w:r w:rsidR="00466BC1">
        <w:t>ing</w:t>
      </w:r>
      <w:r w:rsidR="002A0BE3">
        <w:t xml:space="preserve"> judicial review of migration decisions in the courts.</w:t>
      </w:r>
    </w:p>
    <w:p w14:paraId="36FC3E92" w14:textId="6E80AEFB" w:rsidR="00684851" w:rsidRDefault="00A65398" w:rsidP="004B5119">
      <w:r>
        <w:t xml:space="preserve">Before 1994, decisions made under the Migration Act were subject to ordinary administrative law review under the </w:t>
      </w:r>
      <w:r w:rsidR="00626C50" w:rsidRPr="00626C50">
        <w:rPr>
          <w:i/>
          <w:iCs/>
        </w:rPr>
        <w:t xml:space="preserve">Administrative Decisions (Judicial Review) </w:t>
      </w:r>
      <w:r w:rsidRPr="00626C50">
        <w:rPr>
          <w:i/>
          <w:iCs/>
        </w:rPr>
        <w:t>Act</w:t>
      </w:r>
      <w:r w:rsidR="00626C50" w:rsidRPr="00626C50">
        <w:rPr>
          <w:i/>
          <w:iCs/>
        </w:rPr>
        <w:t xml:space="preserve"> 1977</w:t>
      </w:r>
      <w:r w:rsidR="00626C50">
        <w:t xml:space="preserve"> (</w:t>
      </w:r>
      <w:proofErr w:type="spellStart"/>
      <w:r w:rsidR="00626C50">
        <w:t>Cth</w:t>
      </w:r>
      <w:proofErr w:type="spellEnd"/>
      <w:r w:rsidR="00626C50">
        <w:t>)</w:t>
      </w:r>
      <w:r w:rsidR="001440CF">
        <w:t xml:space="preserve"> (ADJR Act)</w:t>
      </w:r>
      <w:proofErr w:type="gramStart"/>
      <w:r>
        <w:t xml:space="preserve">. </w:t>
      </w:r>
      <w:r w:rsidR="006C39B1">
        <w:t xml:space="preserve"> </w:t>
      </w:r>
      <w:proofErr w:type="gramEnd"/>
      <w:r>
        <w:t>Since 1994, there has been a separate statutory regime for judicial review of migration decisions.</w:t>
      </w:r>
      <w:r w:rsidR="00684851">
        <w:rPr>
          <w:rStyle w:val="FootnoteReference"/>
        </w:rPr>
        <w:footnoteReference w:id="25"/>
      </w:r>
      <w:r>
        <w:t xml:space="preserve"> </w:t>
      </w:r>
    </w:p>
    <w:p w14:paraId="436949DF" w14:textId="7B3A90B4" w:rsidR="00684851" w:rsidRDefault="001440CF" w:rsidP="00D30205">
      <w:r>
        <w:t>T</w:t>
      </w:r>
      <w:r w:rsidR="00D30205">
        <w:t>he new regime introduced in Part 8 of the Migration Act narrowed the grounds upon which a decision could be reviewed</w:t>
      </w:r>
      <w:proofErr w:type="gramStart"/>
      <w:r w:rsidR="00D30205">
        <w:t xml:space="preserve">. </w:t>
      </w:r>
      <w:r w:rsidR="006C39B1">
        <w:t xml:space="preserve"> </w:t>
      </w:r>
      <w:proofErr w:type="gramEnd"/>
      <w:r w:rsidR="00D30205">
        <w:t>This meant that people</w:t>
      </w:r>
      <w:r w:rsidR="00A9693F">
        <w:t xml:space="preserve"> </w:t>
      </w:r>
      <w:r w:rsidR="00D30205">
        <w:t>seeking review of migration decisions had fewer grounds of review available to</w:t>
      </w:r>
      <w:r w:rsidR="00A9693F">
        <w:t xml:space="preserve"> </w:t>
      </w:r>
      <w:r w:rsidR="00D30205">
        <w:t>them than people seeking review of other Commonwealth administrative</w:t>
      </w:r>
      <w:r w:rsidR="00A9693F">
        <w:t xml:space="preserve"> </w:t>
      </w:r>
      <w:r w:rsidR="00D30205">
        <w:t>decisions under the ADJR Act</w:t>
      </w:r>
      <w:proofErr w:type="gramStart"/>
      <w:r w:rsidR="00D30205">
        <w:t xml:space="preserve">. </w:t>
      </w:r>
      <w:r w:rsidR="006C39B1">
        <w:t xml:space="preserve"> </w:t>
      </w:r>
      <w:proofErr w:type="gramEnd"/>
      <w:r w:rsidR="00D30205">
        <w:t>Migration decisions were protected against</w:t>
      </w:r>
      <w:r w:rsidR="00A9693F">
        <w:t xml:space="preserve"> </w:t>
      </w:r>
      <w:r w:rsidR="00D30205">
        <w:t>certain kinds of legal errors</w:t>
      </w:r>
      <w:proofErr w:type="gramStart"/>
      <w:r w:rsidR="00D30205">
        <w:t xml:space="preserve">. </w:t>
      </w:r>
      <w:r w:rsidR="006C39B1">
        <w:t xml:space="preserve"> </w:t>
      </w:r>
      <w:proofErr w:type="gramEnd"/>
      <w:r w:rsidR="00D30205">
        <w:t>As the Department</w:t>
      </w:r>
      <w:r w:rsidR="00A9693F">
        <w:t xml:space="preserve"> </w:t>
      </w:r>
      <w:r w:rsidR="00D30205">
        <w:t xml:space="preserve">of Immigration and Citizenship put it in </w:t>
      </w:r>
      <w:r w:rsidR="000F32C8">
        <w:t xml:space="preserve">a submission to the ARC in </w:t>
      </w:r>
      <w:r w:rsidR="00D30205">
        <w:t>2011:</w:t>
      </w:r>
    </w:p>
    <w:p w14:paraId="14216C74" w14:textId="6D5EF470" w:rsidR="00C05141" w:rsidRDefault="00C05141" w:rsidP="00C05141">
      <w:pPr>
        <w:ind w:left="720"/>
      </w:pPr>
      <w:r w:rsidRPr="00C05141">
        <w:rPr>
          <w:sz w:val="22"/>
          <w:szCs w:val="22"/>
        </w:rPr>
        <w:t>Historically, separate statutory review regimes were developed by successive governments endeavouring to reduce the grounds of judicial review.</w:t>
      </w:r>
      <w:r>
        <w:rPr>
          <w:rStyle w:val="FootnoteReference"/>
        </w:rPr>
        <w:footnoteReference w:id="26"/>
      </w:r>
    </w:p>
    <w:p w14:paraId="08CAC38E" w14:textId="61729CEA" w:rsidR="000F32C8" w:rsidRDefault="00AB00BF" w:rsidP="008346A8">
      <w:r>
        <w:t xml:space="preserve">The Commission has described the evolution of this </w:t>
      </w:r>
      <w:r w:rsidR="00050014">
        <w:t xml:space="preserve">separate statutory scheme in a previous submission to this Committee (including the attempts to prevent judicial review of </w:t>
      </w:r>
      <w:r w:rsidR="003A787C">
        <w:t xml:space="preserve">certain </w:t>
      </w:r>
      <w:r w:rsidR="00050014">
        <w:t xml:space="preserve">migration decisions entirely through the use of a </w:t>
      </w:r>
      <w:r w:rsidR="00050014">
        <w:lastRenderedPageBreak/>
        <w:t>privative clause).</w:t>
      </w:r>
      <w:r w:rsidR="00D5422D">
        <w:rPr>
          <w:rStyle w:val="FootnoteReference"/>
        </w:rPr>
        <w:footnoteReference w:id="27"/>
      </w:r>
      <w:r w:rsidR="008346A8">
        <w:t xml:space="preserve">  The Commission argued that </w:t>
      </w:r>
      <w:proofErr w:type="gramStart"/>
      <w:r w:rsidR="008346A8">
        <w:t>that applicants</w:t>
      </w:r>
      <w:proofErr w:type="gramEnd"/>
      <w:r w:rsidR="008346A8">
        <w:t xml:space="preserve"> seeking judicial review of migration decisions should have substantially the same rights as applicants seeking judicial review of other </w:t>
      </w:r>
      <w:r w:rsidR="00FE4956">
        <w:t xml:space="preserve">government </w:t>
      </w:r>
      <w:r w:rsidR="008346A8">
        <w:t>decisions.</w:t>
      </w:r>
    </w:p>
    <w:p w14:paraId="18605B26" w14:textId="78CF7CCA" w:rsidR="000F32C8" w:rsidRDefault="0013163B" w:rsidP="004B5119">
      <w:r>
        <w:t xml:space="preserve">In 2012, </w:t>
      </w:r>
      <w:r w:rsidR="00931D5E">
        <w:t xml:space="preserve">in the last of its major reports, </w:t>
      </w:r>
      <w:r>
        <w:t xml:space="preserve">the ARC recommended that the long-term objective of the Government should be to bring </w:t>
      </w:r>
      <w:r w:rsidR="003C20D6">
        <w:t>migration litigation back into a general statutory review scheme, such as the ADJR Act.</w:t>
      </w:r>
      <w:r w:rsidR="001613C6">
        <w:rPr>
          <w:rStyle w:val="FootnoteReference"/>
        </w:rPr>
        <w:footnoteReference w:id="28"/>
      </w:r>
      <w:r w:rsidR="003C20D6">
        <w:t xml:space="preserve"> </w:t>
      </w:r>
    </w:p>
    <w:p w14:paraId="6E81A1D9" w14:textId="2C894310" w:rsidR="004F22ED" w:rsidRPr="004F22ED" w:rsidRDefault="004F22ED" w:rsidP="00805261">
      <w:pPr>
        <w:keepNext/>
        <w:rPr>
          <w:u w:val="single"/>
        </w:rPr>
      </w:pPr>
      <w:r w:rsidRPr="004F22ED">
        <w:rPr>
          <w:u w:val="single"/>
        </w:rPr>
        <w:t>Recommendation</w:t>
      </w:r>
    </w:p>
    <w:p w14:paraId="62CE72DF" w14:textId="140DFD0B" w:rsidR="004B5119" w:rsidRDefault="004B5119" w:rsidP="004B5119">
      <w:r>
        <w:t xml:space="preserve">The Commission makes </w:t>
      </w:r>
      <w:r w:rsidR="00477229">
        <w:t xml:space="preserve">the following </w:t>
      </w:r>
      <w:r>
        <w:t>recommendation to deal with the issues identified above.</w:t>
      </w:r>
    </w:p>
    <w:p w14:paraId="27D1B336" w14:textId="5FD902ED" w:rsidR="00851E5C" w:rsidRPr="00E96BA6" w:rsidRDefault="00851E5C" w:rsidP="00E96BA6">
      <w:pPr>
        <w:keepNext/>
        <w:rPr>
          <w:b/>
          <w:bCs/>
        </w:rPr>
      </w:pPr>
      <w:r w:rsidRPr="00E96BA6">
        <w:rPr>
          <w:b/>
          <w:bCs/>
        </w:rPr>
        <w:t xml:space="preserve">Recommendation </w:t>
      </w:r>
      <w:r w:rsidR="00E96BA6">
        <w:rPr>
          <w:b/>
          <w:bCs/>
        </w:rPr>
        <w:t>1</w:t>
      </w:r>
    </w:p>
    <w:p w14:paraId="308110AC" w14:textId="371ADA43" w:rsidR="00851E5C" w:rsidRDefault="00851E5C" w:rsidP="004B5119">
      <w:r>
        <w:t xml:space="preserve">The Commission recommends that the Australian Government task an appropriate body to </w:t>
      </w:r>
      <w:r w:rsidR="00FB5B3E">
        <w:t xml:space="preserve">report on </w:t>
      </w:r>
      <w:r>
        <w:t>how to transition</w:t>
      </w:r>
      <w:r w:rsidR="00E96BA6">
        <w:t>:</w:t>
      </w:r>
    </w:p>
    <w:p w14:paraId="43BA675F" w14:textId="344E043C" w:rsidR="00E96BA6" w:rsidRDefault="001A6EA1" w:rsidP="00E96BA6">
      <w:pPr>
        <w:pStyle w:val="ListParagraph"/>
        <w:numPr>
          <w:ilvl w:val="0"/>
          <w:numId w:val="36"/>
        </w:numPr>
      </w:pPr>
      <w:r>
        <w:t xml:space="preserve">merits review of </w:t>
      </w:r>
      <w:r w:rsidR="000E3967">
        <w:t xml:space="preserve">all </w:t>
      </w:r>
      <w:r>
        <w:t xml:space="preserve">migration decisions </w:t>
      </w:r>
      <w:r w:rsidR="00230C78">
        <w:t xml:space="preserve">to the </w:t>
      </w:r>
      <w:r w:rsidR="005C5992">
        <w:t xml:space="preserve">usual </w:t>
      </w:r>
      <w:r w:rsidR="00CB582E">
        <w:t xml:space="preserve">rules that apply in the </w:t>
      </w:r>
      <w:r w:rsidR="00230C78">
        <w:t>General Division of the Administrative Appeals Tribunal</w:t>
      </w:r>
      <w:r w:rsidR="005C5992">
        <w:t xml:space="preserve"> </w:t>
      </w:r>
    </w:p>
    <w:p w14:paraId="6F40CF69" w14:textId="77777777" w:rsidR="001C3412" w:rsidRDefault="001C3412" w:rsidP="001C3412">
      <w:pPr>
        <w:pStyle w:val="ListParagraph"/>
      </w:pPr>
    </w:p>
    <w:p w14:paraId="0921DC90" w14:textId="0C04D625" w:rsidR="001A6EA1" w:rsidRDefault="001A6EA1" w:rsidP="00E96BA6">
      <w:pPr>
        <w:pStyle w:val="ListParagraph"/>
        <w:numPr>
          <w:ilvl w:val="0"/>
          <w:numId w:val="36"/>
        </w:numPr>
      </w:pPr>
      <w:r>
        <w:t xml:space="preserve">judicial review of </w:t>
      </w:r>
      <w:r w:rsidR="00C60EDF">
        <w:t xml:space="preserve">all </w:t>
      </w:r>
      <w:r>
        <w:t xml:space="preserve">migration decisions to the general statutory review process under the </w:t>
      </w:r>
      <w:r w:rsidRPr="001A6EA1">
        <w:rPr>
          <w:i/>
          <w:iCs/>
        </w:rPr>
        <w:t>Administrative Decisions (Judicial Review) Act 1977</w:t>
      </w:r>
      <w:r>
        <w:t xml:space="preserve"> (</w:t>
      </w:r>
      <w:proofErr w:type="spellStart"/>
      <w:r>
        <w:t>Cth</w:t>
      </w:r>
      <w:proofErr w:type="spellEnd"/>
      <w:r>
        <w:t>).</w:t>
      </w:r>
    </w:p>
    <w:p w14:paraId="7330D39A" w14:textId="77777777" w:rsidR="00D833E2" w:rsidRDefault="00D833E2" w:rsidP="00D833E2">
      <w:pPr>
        <w:pStyle w:val="ListParagraph"/>
      </w:pPr>
    </w:p>
    <w:p w14:paraId="22F957B6" w14:textId="45FA945D" w:rsidR="004802A2" w:rsidRPr="004802A2" w:rsidRDefault="004802A2" w:rsidP="00B6701A">
      <w:pPr>
        <w:pStyle w:val="ListParagraph"/>
        <w:keepNext/>
        <w:numPr>
          <w:ilvl w:val="0"/>
          <w:numId w:val="31"/>
        </w:numPr>
        <w:ind w:left="714" w:hanging="357"/>
        <w:rPr>
          <w:b/>
          <w:bCs/>
        </w:rPr>
      </w:pPr>
      <w:r w:rsidRPr="004802A2">
        <w:rPr>
          <w:b/>
          <w:bCs/>
        </w:rPr>
        <w:lastRenderedPageBreak/>
        <w:t>Transparency and parliamentary accountability</w:t>
      </w:r>
    </w:p>
    <w:p w14:paraId="66E41CF2" w14:textId="3CF525F7" w:rsidR="00AE522F" w:rsidRDefault="00AE522F" w:rsidP="002A5B8C">
      <w:pPr>
        <w:keepNext/>
      </w:pPr>
      <w:r>
        <w:t>The second term of reference asks about ‘the importance of transparency and parliamentary accountability in the context of Australia’s administrative r</w:t>
      </w:r>
      <w:r w:rsidR="00B6701A">
        <w:t>eview system’.</w:t>
      </w:r>
    </w:p>
    <w:p w14:paraId="5968F6E8" w14:textId="317849EA" w:rsidR="00AB3A5A" w:rsidRDefault="00D46EF1" w:rsidP="004802A2">
      <w:r>
        <w:t xml:space="preserve">In dealing with this term of reference, I will again </w:t>
      </w:r>
      <w:r w:rsidR="00181606">
        <w:t xml:space="preserve">refer to the </w:t>
      </w:r>
      <w:r w:rsidR="00AB3A5A">
        <w:t xml:space="preserve">extraordinary </w:t>
      </w:r>
      <w:r w:rsidR="00181606">
        <w:t xml:space="preserve">powers given to Ministers </w:t>
      </w:r>
      <w:r w:rsidR="00AB3A5A">
        <w:t xml:space="preserve">in relation to </w:t>
      </w:r>
      <w:r w:rsidR="00431012">
        <w:t xml:space="preserve">certain </w:t>
      </w:r>
      <w:r w:rsidR="00AB3A5A">
        <w:t>migration decisions.</w:t>
      </w:r>
    </w:p>
    <w:p w14:paraId="48F87600" w14:textId="319DBAE3" w:rsidR="00AB3A5A" w:rsidRDefault="00D654DD" w:rsidP="004802A2">
      <w:r>
        <w:t>The Minister has personal powers, unreviewable by the AAT, to:</w:t>
      </w:r>
    </w:p>
    <w:p w14:paraId="1D982DDF" w14:textId="109AE3E1" w:rsidR="00D654DD" w:rsidRDefault="00097D62" w:rsidP="00D654DD">
      <w:pPr>
        <w:pStyle w:val="ListNumber"/>
        <w:numPr>
          <w:ilvl w:val="0"/>
          <w:numId w:val="32"/>
        </w:numPr>
        <w:tabs>
          <w:tab w:val="left" w:pos="1134"/>
          <w:tab w:val="left" w:pos="1560"/>
        </w:tabs>
        <w:spacing w:before="120"/>
        <w:ind w:left="1066" w:hanging="709"/>
      </w:pPr>
      <w:r>
        <w:t>refuse or cancel a visa on character grounds</w:t>
      </w:r>
      <w:r w:rsidR="00F15D24">
        <w:t>, or</w:t>
      </w:r>
    </w:p>
    <w:p w14:paraId="2A585A65" w14:textId="4B19D0CF" w:rsidR="00097D62" w:rsidRDefault="002D1346" w:rsidP="00D654DD">
      <w:pPr>
        <w:pStyle w:val="ListNumber"/>
        <w:numPr>
          <w:ilvl w:val="0"/>
          <w:numId w:val="32"/>
        </w:numPr>
        <w:tabs>
          <w:tab w:val="left" w:pos="1134"/>
          <w:tab w:val="left" w:pos="1560"/>
        </w:tabs>
        <w:spacing w:before="120"/>
        <w:ind w:left="1066" w:hanging="709"/>
      </w:pPr>
      <w:r>
        <w:t>set aside</w:t>
      </w:r>
      <w:r w:rsidR="00EA5208">
        <w:t xml:space="preserve"> a decision of the </w:t>
      </w:r>
      <w:proofErr w:type="gramStart"/>
      <w:r w:rsidR="00EA5208">
        <w:t>AAT, and</w:t>
      </w:r>
      <w:proofErr w:type="gramEnd"/>
      <w:r w:rsidR="00EA5208">
        <w:t xml:space="preserve"> replace it with a decision to refuse or cancel a visa on character grounds</w:t>
      </w:r>
      <w:r w:rsidR="00E768C2">
        <w:t>.</w:t>
      </w:r>
      <w:r w:rsidR="00E768C2">
        <w:rPr>
          <w:rStyle w:val="FootnoteReference"/>
        </w:rPr>
        <w:footnoteReference w:id="29"/>
      </w:r>
    </w:p>
    <w:p w14:paraId="342EE8AF" w14:textId="415094F0" w:rsidR="00EA5208" w:rsidRDefault="00E768C2" w:rsidP="00E768C2">
      <w:pPr>
        <w:pStyle w:val="ListNumber"/>
        <w:numPr>
          <w:ilvl w:val="0"/>
          <w:numId w:val="0"/>
        </w:numPr>
        <w:tabs>
          <w:tab w:val="left" w:pos="1134"/>
          <w:tab w:val="left" w:pos="1560"/>
        </w:tabs>
        <w:spacing w:before="120"/>
      </w:pPr>
      <w:r>
        <w:t>In each case, if the Minister considers that the refusal or cancellation is in the ‘national interest’ then the usual rules of procedural fairness do not apply to the Minister’s decision</w:t>
      </w:r>
      <w:proofErr w:type="gramStart"/>
      <w:r>
        <w:t xml:space="preserve">. </w:t>
      </w:r>
      <w:r w:rsidR="001C01C5">
        <w:t xml:space="preserve"> </w:t>
      </w:r>
      <w:proofErr w:type="gramEnd"/>
      <w:r w:rsidR="001C01C5">
        <w:t xml:space="preserve">Instead, </w:t>
      </w:r>
      <w:r w:rsidR="00982354">
        <w:t xml:space="preserve">there is a </w:t>
      </w:r>
      <w:r w:rsidR="001C01C5">
        <w:t>more limited statutory process</w:t>
      </w:r>
      <w:r w:rsidR="00982354">
        <w:t xml:space="preserve"> where the person affected may make submissions to the Minister about whether the visa should be refused or cancelled.</w:t>
      </w:r>
      <w:r w:rsidR="00982354">
        <w:rPr>
          <w:rStyle w:val="FootnoteReference"/>
        </w:rPr>
        <w:footnoteReference w:id="30"/>
      </w:r>
    </w:p>
    <w:p w14:paraId="46912BD4" w14:textId="655360B3" w:rsidR="00CF18B1" w:rsidRDefault="00982354" w:rsidP="004802A2">
      <w:r>
        <w:t xml:space="preserve">The </w:t>
      </w:r>
      <w:r w:rsidR="00F67A1F">
        <w:t xml:space="preserve">proposed </w:t>
      </w:r>
      <w:r>
        <w:t>trade</w:t>
      </w:r>
      <w:r w:rsidR="004C51E4">
        <w:t>-</w:t>
      </w:r>
      <w:r>
        <w:t xml:space="preserve">off for </w:t>
      </w:r>
      <w:r w:rsidR="00F67A1F">
        <w:t xml:space="preserve">these unreviewable decisions that exclude procedural fairness, is </w:t>
      </w:r>
      <w:r w:rsidR="00736E7E">
        <w:t>a requirement that the Minister table a notice in Parliament.</w:t>
      </w:r>
      <w:r w:rsidR="004C51E4">
        <w:rPr>
          <w:rStyle w:val="FootnoteReference"/>
        </w:rPr>
        <w:footnoteReference w:id="31"/>
      </w:r>
      <w:r w:rsidR="00736E7E">
        <w:t xml:space="preserve">  This is intended </w:t>
      </w:r>
      <w:r w:rsidR="00F97D88">
        <w:t>to provide some level of transparency, and therefore accountability, in relation to these decisions</w:t>
      </w:r>
      <w:proofErr w:type="gramStart"/>
      <w:r w:rsidR="00F97D88">
        <w:t xml:space="preserve">.  </w:t>
      </w:r>
      <w:proofErr w:type="gramEnd"/>
      <w:r w:rsidR="00F97D88">
        <w:t>However, in practice</w:t>
      </w:r>
      <w:r w:rsidR="00CF0F91">
        <w:t>,</w:t>
      </w:r>
      <w:r w:rsidR="00F97D88">
        <w:t xml:space="preserve"> </w:t>
      </w:r>
      <w:r w:rsidR="00945AAB">
        <w:t>these provisions have proven to be wholly inadequate for either purpose</w:t>
      </w:r>
      <w:proofErr w:type="gramStart"/>
      <w:r w:rsidR="00945AAB">
        <w:t>.</w:t>
      </w:r>
      <w:r w:rsidR="005959C8">
        <w:t xml:space="preserve">  </w:t>
      </w:r>
      <w:proofErr w:type="gramEnd"/>
      <w:r w:rsidR="005959C8">
        <w:t>This is because the notices</w:t>
      </w:r>
      <w:r w:rsidR="00DF3CF0">
        <w:t>, although tabled,</w:t>
      </w:r>
      <w:r w:rsidR="00F70124">
        <w:t xml:space="preserve"> are not published</w:t>
      </w:r>
      <w:r w:rsidR="00BF19D7">
        <w:t>,</w:t>
      </w:r>
      <w:r w:rsidR="00B312DF">
        <w:t xml:space="preserve"> and</w:t>
      </w:r>
      <w:r w:rsidR="00F70124">
        <w:t xml:space="preserve"> </w:t>
      </w:r>
      <w:r w:rsidR="005959C8">
        <w:t>do not contain enough information to determine whether the powers were exercised properly.</w:t>
      </w:r>
    </w:p>
    <w:p w14:paraId="365EC576" w14:textId="05A16540" w:rsidR="00575183" w:rsidRDefault="00884734" w:rsidP="004802A2">
      <w:r>
        <w:t>I</w:t>
      </w:r>
      <w:r w:rsidR="000421F2">
        <w:t xml:space="preserve">n 2018, the Commission </w:t>
      </w:r>
      <w:r w:rsidR="00B312DF">
        <w:t xml:space="preserve">sought to obtain copies of notices that had been </w:t>
      </w:r>
      <w:r w:rsidR="00CA40B8">
        <w:t>made under s 501</w:t>
      </w:r>
      <w:proofErr w:type="gramStart"/>
      <w:r w:rsidR="00CA40B8">
        <w:t>C(</w:t>
      </w:r>
      <w:proofErr w:type="gramEnd"/>
      <w:r w:rsidR="00CA40B8">
        <w:t>8)</w:t>
      </w:r>
      <w:r>
        <w:t xml:space="preserve"> for the purpose of preparing a submission to the Joint Committee on Migration</w:t>
      </w:r>
      <w:r w:rsidR="00CA40B8">
        <w:t>.</w:t>
      </w:r>
      <w:r w:rsidR="00EB6AAE">
        <w:rPr>
          <w:rStyle w:val="FootnoteReference"/>
        </w:rPr>
        <w:footnoteReference w:id="32"/>
      </w:r>
      <w:r w:rsidR="00CA40B8">
        <w:t xml:space="preserve">  </w:t>
      </w:r>
      <w:r w:rsidR="00007C4D">
        <w:t>None of t</w:t>
      </w:r>
      <w:r w:rsidR="00CA40B8">
        <w:t xml:space="preserve">hese notices were </w:t>
      </w:r>
      <w:r w:rsidR="00EB6AAE">
        <w:t xml:space="preserve">available on the </w:t>
      </w:r>
      <w:r w:rsidR="0091608A">
        <w:t xml:space="preserve">Parliament’s </w:t>
      </w:r>
      <w:r w:rsidR="00EB6AAE">
        <w:t xml:space="preserve">website </w:t>
      </w:r>
      <w:r w:rsidR="00CA40B8">
        <w:t xml:space="preserve">and </w:t>
      </w:r>
      <w:r w:rsidR="00007C4D">
        <w:t xml:space="preserve">they </w:t>
      </w:r>
      <w:r w:rsidR="00CA40B8">
        <w:t xml:space="preserve">had to be requested from </w:t>
      </w:r>
      <w:r w:rsidR="00007C4D">
        <w:t xml:space="preserve">tabling officers in the </w:t>
      </w:r>
      <w:r w:rsidR="00007C4D">
        <w:lastRenderedPageBreak/>
        <w:t xml:space="preserve">Senate.  </w:t>
      </w:r>
      <w:r w:rsidR="00583B58">
        <w:t xml:space="preserve">When the notices </w:t>
      </w:r>
      <w:r w:rsidR="00597014">
        <w:t>were produced, they contained only a bare statement that the relevant power had been exercised, without any detail of</w:t>
      </w:r>
      <w:r w:rsidR="001367A1">
        <w:t xml:space="preserve"> the nature </w:t>
      </w:r>
      <w:r w:rsidR="00B15175">
        <w:t xml:space="preserve">of </w:t>
      </w:r>
      <w:r w:rsidR="001367A1">
        <w:t>or reasons for the decision</w:t>
      </w:r>
      <w:proofErr w:type="gramStart"/>
      <w:r w:rsidR="001367A1">
        <w:t>.</w:t>
      </w:r>
      <w:r w:rsidR="00E11D85">
        <w:t xml:space="preserve">  </w:t>
      </w:r>
      <w:proofErr w:type="gramEnd"/>
      <w:r w:rsidR="004954BD">
        <w:t xml:space="preserve">What was designed as a transparency mechanism had evolved into </w:t>
      </w:r>
      <w:r w:rsidR="006113F4">
        <w:t xml:space="preserve">a </w:t>
      </w:r>
      <w:r w:rsidR="00907E14">
        <w:t>process that provided no real insight into the use of these extraordinary powers</w:t>
      </w:r>
      <w:r w:rsidR="006113F4">
        <w:t>.</w:t>
      </w:r>
    </w:p>
    <w:p w14:paraId="3957512F" w14:textId="45FF29C3" w:rsidR="00EB6AAE" w:rsidRDefault="00523B0F" w:rsidP="004802A2">
      <w:r>
        <w:t xml:space="preserve">Significantly, when the Government sought to extend a similar regime </w:t>
      </w:r>
      <w:r w:rsidR="001A4BC6">
        <w:t xml:space="preserve">to citizenship decisions, it proposed significantly more extensive </w:t>
      </w:r>
      <w:r w:rsidR="00117EB0">
        <w:t>transparency and accountability requirements.</w:t>
      </w:r>
      <w:r w:rsidR="000F442F">
        <w:rPr>
          <w:rStyle w:val="FootnoteReference"/>
        </w:rPr>
        <w:footnoteReference w:id="33"/>
      </w:r>
      <w:r w:rsidR="001F6816">
        <w:t xml:space="preserve">  Those </w:t>
      </w:r>
      <w:r w:rsidR="00901F4E">
        <w:t xml:space="preserve">citizenship </w:t>
      </w:r>
      <w:r w:rsidR="001F6816">
        <w:t>amendments were not passed, but the</w:t>
      </w:r>
      <w:r w:rsidR="004E31F4">
        <w:t xml:space="preserve"> </w:t>
      </w:r>
      <w:r w:rsidR="00901F4E">
        <w:t>increase</w:t>
      </w:r>
      <w:r w:rsidR="00E30F42">
        <w:t>d</w:t>
      </w:r>
      <w:r w:rsidR="00901F4E">
        <w:t xml:space="preserve"> integrity </w:t>
      </w:r>
      <w:r w:rsidR="004E31F4">
        <w:t xml:space="preserve">requirements proposed should be </w:t>
      </w:r>
      <w:r w:rsidR="00901F4E">
        <w:t>introduced</w:t>
      </w:r>
      <w:r w:rsidR="004E31F4">
        <w:t xml:space="preserve"> in relation to the suite of existing powers</w:t>
      </w:r>
      <w:r w:rsidR="00E30F42">
        <w:t xml:space="preserve"> in the Migration Act</w:t>
      </w:r>
      <w:r w:rsidR="004E31F4">
        <w:t>.</w:t>
      </w:r>
    </w:p>
    <w:p w14:paraId="125E8210" w14:textId="4A217BE2" w:rsidR="00117EB0" w:rsidRPr="0017707A" w:rsidRDefault="00117EB0" w:rsidP="00805261">
      <w:pPr>
        <w:keepNext/>
        <w:rPr>
          <w:b/>
          <w:bCs/>
        </w:rPr>
      </w:pPr>
      <w:r w:rsidRPr="0017707A">
        <w:rPr>
          <w:b/>
          <w:bCs/>
        </w:rPr>
        <w:t>Recommendation</w:t>
      </w:r>
      <w:r w:rsidR="0017707A" w:rsidRPr="0017707A">
        <w:rPr>
          <w:b/>
          <w:bCs/>
        </w:rPr>
        <w:t xml:space="preserve"> 2</w:t>
      </w:r>
    </w:p>
    <w:p w14:paraId="3C1B4138" w14:textId="7368D513" w:rsidR="00AE522F" w:rsidRDefault="0017707A" w:rsidP="00065104">
      <w:r>
        <w:t xml:space="preserve">The Commission recommends that </w:t>
      </w:r>
      <w:r w:rsidR="00065104">
        <w:t>if the Minister exercises a personal power to refuse or cancel a visa</w:t>
      </w:r>
      <w:r w:rsidR="003D2D12">
        <w:t xml:space="preserve"> or to set aside a migration decision made by the AAT</w:t>
      </w:r>
      <w:r w:rsidR="00065104">
        <w:t xml:space="preserve">, the Minister be required to table in Parliament a notice setting out the </w:t>
      </w:r>
      <w:r w:rsidR="00024C4F">
        <w:t>effect</w:t>
      </w:r>
      <w:r w:rsidR="003D2D12">
        <w:t xml:space="preserve"> of the Minister’s decision and the reasons for it</w:t>
      </w:r>
      <w:r w:rsidR="00065104">
        <w:t>. The notice should not include the name or other</w:t>
      </w:r>
      <w:r w:rsidR="00BA20B2">
        <w:t xml:space="preserve"> </w:t>
      </w:r>
      <w:r w:rsidR="00065104">
        <w:t>identifying information of the person affected by the decision.</w:t>
      </w:r>
    </w:p>
    <w:p w14:paraId="7CB70228" w14:textId="75E0F311" w:rsidR="004802A2" w:rsidRPr="004802A2" w:rsidRDefault="004802A2" w:rsidP="00B6701A">
      <w:pPr>
        <w:pStyle w:val="ListParagraph"/>
        <w:keepNext/>
        <w:numPr>
          <w:ilvl w:val="0"/>
          <w:numId w:val="31"/>
        </w:numPr>
        <w:ind w:left="714" w:hanging="357"/>
        <w:rPr>
          <w:b/>
          <w:bCs/>
        </w:rPr>
      </w:pPr>
      <w:r w:rsidRPr="004802A2">
        <w:rPr>
          <w:b/>
          <w:bCs/>
        </w:rPr>
        <w:t>Administrative Review Council</w:t>
      </w:r>
    </w:p>
    <w:p w14:paraId="733105EA" w14:textId="760B54C8" w:rsidR="004802A2" w:rsidRDefault="00393289" w:rsidP="004802A2">
      <w:r>
        <w:t xml:space="preserve">The third term of reference for the inquiry </w:t>
      </w:r>
      <w:proofErr w:type="gramStart"/>
      <w:r>
        <w:t>asks</w:t>
      </w:r>
      <w:proofErr w:type="gramEnd"/>
      <w:r>
        <w:t xml:space="preserve"> </w:t>
      </w:r>
      <w:r w:rsidR="005C5F55">
        <w:t>‘</w:t>
      </w:r>
      <w:r>
        <w:t>whether the Administrative Review Council</w:t>
      </w:r>
      <w:r w:rsidR="005C5F55">
        <w:t>, which was discontinued in 2015,</w:t>
      </w:r>
      <w:r>
        <w:t xml:space="preserve"> </w:t>
      </w:r>
      <w:r w:rsidR="008D208A">
        <w:t>ought to be re-established</w:t>
      </w:r>
      <w:r w:rsidR="005C5F55">
        <w:t>’</w:t>
      </w:r>
      <w:r w:rsidR="008D208A">
        <w:t>.</w:t>
      </w:r>
    </w:p>
    <w:p w14:paraId="78163DCA" w14:textId="691B438B" w:rsidR="007733AC" w:rsidRDefault="007733AC" w:rsidP="004802A2">
      <w:r>
        <w:t xml:space="preserve">The ARC was </w:t>
      </w:r>
      <w:r w:rsidR="00CE41BD">
        <w:t>one of the foundational pieces of Australia’s administrative law system recommended in the Kerr Report 50 years ago</w:t>
      </w:r>
      <w:proofErr w:type="gramStart"/>
      <w:r w:rsidR="00CE41BD">
        <w:t>.</w:t>
      </w:r>
      <w:r w:rsidR="003773AF">
        <w:t xml:space="preserve">  </w:t>
      </w:r>
      <w:proofErr w:type="gramEnd"/>
      <w:r w:rsidR="003773AF">
        <w:t xml:space="preserve">Indeed, it was described by the Kerr Report as </w:t>
      </w:r>
      <w:r w:rsidR="00923D0F">
        <w:t>‘the first step which should be taken in the evolution of an Australian system of administrative law’.</w:t>
      </w:r>
      <w:r w:rsidR="00923D0F">
        <w:rPr>
          <w:rStyle w:val="FootnoteReference"/>
        </w:rPr>
        <w:footnoteReference w:id="34"/>
      </w:r>
    </w:p>
    <w:p w14:paraId="53E941DB" w14:textId="5A187A3C" w:rsidR="00D60BF7" w:rsidRDefault="005F7770" w:rsidP="004802A2">
      <w:r>
        <w:t xml:space="preserve">The ARC </w:t>
      </w:r>
      <w:r w:rsidR="00507BF8">
        <w:t>is</w:t>
      </w:r>
      <w:r>
        <w:t xml:space="preserve"> established </w:t>
      </w:r>
      <w:r w:rsidR="009365FA">
        <w:t xml:space="preserve">by s 48 of the </w:t>
      </w:r>
      <w:r w:rsidR="009365FA" w:rsidRPr="009365FA">
        <w:rPr>
          <w:i/>
          <w:iCs/>
        </w:rPr>
        <w:t>Administrative Appeal</w:t>
      </w:r>
      <w:r w:rsidR="00450B75">
        <w:rPr>
          <w:i/>
          <w:iCs/>
        </w:rPr>
        <w:t>s</w:t>
      </w:r>
      <w:r w:rsidR="009365FA" w:rsidRPr="009365FA">
        <w:rPr>
          <w:i/>
          <w:iCs/>
        </w:rPr>
        <w:t xml:space="preserve"> Tribunal Act 1975</w:t>
      </w:r>
      <w:r w:rsidR="009365FA">
        <w:t xml:space="preserve"> (</w:t>
      </w:r>
      <w:proofErr w:type="spellStart"/>
      <w:r w:rsidR="009365FA">
        <w:t>Cth</w:t>
      </w:r>
      <w:proofErr w:type="spellEnd"/>
      <w:r w:rsidR="009365FA">
        <w:t>)</w:t>
      </w:r>
      <w:r w:rsidR="0011237C">
        <w:t xml:space="preserve"> (AAT</w:t>
      </w:r>
      <w:r w:rsidR="0040127F">
        <w:t xml:space="preserve"> Act</w:t>
      </w:r>
      <w:r w:rsidR="0011237C">
        <w:t>)</w:t>
      </w:r>
      <w:proofErr w:type="gramStart"/>
      <w:r w:rsidR="009365FA">
        <w:t xml:space="preserve">.  </w:t>
      </w:r>
      <w:proofErr w:type="gramEnd"/>
      <w:r w:rsidR="00C837CF">
        <w:t>Part V of the AAT Act deals in detail with the composition, functions</w:t>
      </w:r>
      <w:r w:rsidR="008126B7">
        <w:t>,</w:t>
      </w:r>
      <w:r w:rsidR="00C837CF">
        <w:t xml:space="preserve"> </w:t>
      </w:r>
      <w:proofErr w:type="gramStart"/>
      <w:r w:rsidR="00C837CF">
        <w:t>powers</w:t>
      </w:r>
      <w:proofErr w:type="gramEnd"/>
      <w:r w:rsidR="00C837CF">
        <w:t xml:space="preserve"> </w:t>
      </w:r>
      <w:r w:rsidR="008126B7">
        <w:t xml:space="preserve">and operations </w:t>
      </w:r>
      <w:r w:rsidR="00C837CF">
        <w:t>of the ARC</w:t>
      </w:r>
      <w:r w:rsidR="008126B7">
        <w:t xml:space="preserve">.  </w:t>
      </w:r>
    </w:p>
    <w:p w14:paraId="05DEEA26" w14:textId="2F14EF92" w:rsidR="005F7770" w:rsidRDefault="00557497" w:rsidP="00803D2B">
      <w:r>
        <w:lastRenderedPageBreak/>
        <w:t>When I was President of the Australian Law Reform Commission, I was a member of the ARC by virtue of s 49(1)</w:t>
      </w:r>
      <w:r w:rsidR="00803D2B">
        <w:t>(c) of the AAT Act</w:t>
      </w:r>
      <w:proofErr w:type="gramStart"/>
      <w:r w:rsidR="00803D2B">
        <w:t xml:space="preserve">.  </w:t>
      </w:r>
      <w:proofErr w:type="gramEnd"/>
      <w:r w:rsidR="00803D2B">
        <w:t xml:space="preserve">Now that I am President of the Australian Human Rights Commission, </w:t>
      </w:r>
      <w:r w:rsidR="00D60BF7">
        <w:t>s 49(</w:t>
      </w:r>
      <w:proofErr w:type="gramStart"/>
      <w:r w:rsidR="00D60BF7">
        <w:t>1)(</w:t>
      </w:r>
      <w:proofErr w:type="spellStart"/>
      <w:proofErr w:type="gramEnd"/>
      <w:r w:rsidR="00D60BF7">
        <w:t>ba</w:t>
      </w:r>
      <w:proofErr w:type="spellEnd"/>
      <w:r w:rsidR="00D60BF7">
        <w:t>)</w:t>
      </w:r>
      <w:r w:rsidR="00803D2B">
        <w:t xml:space="preserve"> </w:t>
      </w:r>
      <w:r w:rsidR="00F25129">
        <w:t xml:space="preserve">of the AAT Act </w:t>
      </w:r>
      <w:r w:rsidR="00803D2B">
        <w:t>provides that I should continue to be a member of the ARC.</w:t>
      </w:r>
      <w:r w:rsidR="00307A4D">
        <w:t xml:space="preserve">  Other </w:t>
      </w:r>
      <w:r w:rsidR="00C406AF" w:rsidRPr="00C406AF">
        <w:rPr>
          <w:i/>
          <w:iCs/>
        </w:rPr>
        <w:t>ex officio</w:t>
      </w:r>
      <w:r w:rsidR="00C406AF">
        <w:t xml:space="preserve"> </w:t>
      </w:r>
      <w:r w:rsidR="00307A4D">
        <w:t>members of the ARC provided for by statue include the Commonwealth Ombudsman and the Australian Information Commissioner.</w:t>
      </w:r>
    </w:p>
    <w:p w14:paraId="6F0DB807" w14:textId="5B51FD33" w:rsidR="005F7770" w:rsidRDefault="00803D2B" w:rsidP="004802A2">
      <w:r>
        <w:t xml:space="preserve">However, despite the legislative </w:t>
      </w:r>
      <w:r w:rsidR="00516DC2">
        <w:t xml:space="preserve">requirement for an ARC continuing in force, </w:t>
      </w:r>
      <w:r w:rsidR="00C27BF3">
        <w:t xml:space="preserve">the Government announced in the </w:t>
      </w:r>
      <w:r w:rsidR="00AA0594">
        <w:t xml:space="preserve">2015-16 Budget that </w:t>
      </w:r>
      <w:r w:rsidR="002A4BB1">
        <w:t xml:space="preserve">the </w:t>
      </w:r>
      <w:r w:rsidR="002C4FDC">
        <w:t xml:space="preserve">ARC </w:t>
      </w:r>
      <w:r w:rsidR="0022563C">
        <w:t xml:space="preserve">would be ‘abolish[ed] … with residual functions </w:t>
      </w:r>
      <w:r w:rsidR="00004EE3">
        <w:t>to be managed by the Attorney-General’s Department’.</w:t>
      </w:r>
      <w:r w:rsidR="00004EE3">
        <w:rPr>
          <w:rStyle w:val="FootnoteReference"/>
        </w:rPr>
        <w:footnoteReference w:id="35"/>
      </w:r>
      <w:r w:rsidR="00E9715F">
        <w:t xml:space="preserve">  No amendment was made to the AAT Act</w:t>
      </w:r>
      <w:proofErr w:type="gramStart"/>
      <w:r w:rsidR="00341B82">
        <w:t>.</w:t>
      </w:r>
      <w:r w:rsidR="00E9715F">
        <w:t xml:space="preserve"> </w:t>
      </w:r>
      <w:r w:rsidR="00341B82">
        <w:t xml:space="preserve"> </w:t>
      </w:r>
      <w:proofErr w:type="gramEnd"/>
      <w:r w:rsidR="00341B82">
        <w:t>I</w:t>
      </w:r>
      <w:r w:rsidR="00E9715F">
        <w:t>t appear</w:t>
      </w:r>
      <w:r w:rsidR="00341B82">
        <w:t>s</w:t>
      </w:r>
      <w:r w:rsidR="00E9715F">
        <w:t xml:space="preserve"> that</w:t>
      </w:r>
      <w:r w:rsidR="00341B82">
        <w:t>,</w:t>
      </w:r>
      <w:r w:rsidR="00E9715F">
        <w:t xml:space="preserve"> </w:t>
      </w:r>
      <w:r w:rsidR="00E64855">
        <w:t>in practice</w:t>
      </w:r>
      <w:r w:rsidR="00341B82">
        <w:t>,</w:t>
      </w:r>
      <w:r w:rsidR="00E64855">
        <w:t xml:space="preserve"> the AAT </w:t>
      </w:r>
      <w:r w:rsidR="00341B82">
        <w:t xml:space="preserve">was </w:t>
      </w:r>
      <w:r w:rsidR="00E64855">
        <w:t xml:space="preserve">defunded by the </w:t>
      </w:r>
      <w:r w:rsidR="00E91F27">
        <w:t>E</w:t>
      </w:r>
      <w:r w:rsidR="00E64855">
        <w:t xml:space="preserve">xecutive, contrary to the continuing </w:t>
      </w:r>
      <w:r w:rsidR="002D0913">
        <w:t>intention</w:t>
      </w:r>
      <w:r w:rsidR="00E64855">
        <w:t xml:space="preserve"> of the Parliament of Australia</w:t>
      </w:r>
      <w:r w:rsidR="00450B75">
        <w:t xml:space="preserve"> as expressed through legislation</w:t>
      </w:r>
      <w:r w:rsidR="00E64855">
        <w:t>.</w:t>
      </w:r>
    </w:p>
    <w:p w14:paraId="23E8CF00" w14:textId="26AEB952" w:rsidR="0076245D" w:rsidRDefault="0076245D" w:rsidP="004802A2">
      <w:r>
        <w:t>In</w:t>
      </w:r>
      <w:r w:rsidR="0096693A">
        <w:t xml:space="preserve"> his statutory review of the am</w:t>
      </w:r>
      <w:r w:rsidR="00AB7DE1">
        <w:t>algamated AAT in</w:t>
      </w:r>
      <w:r>
        <w:t xml:space="preserve"> 2018, former High Court Justice the Hon Ian Callinan AC </w:t>
      </w:r>
      <w:r w:rsidR="00712FA2">
        <w:t xml:space="preserve">QC </w:t>
      </w:r>
      <w:r>
        <w:t xml:space="preserve">noted, with respect to </w:t>
      </w:r>
      <w:r w:rsidR="00AB7DE1">
        <w:t xml:space="preserve">the </w:t>
      </w:r>
      <w:r>
        <w:t>decision</w:t>
      </w:r>
      <w:r w:rsidR="00AB7DE1">
        <w:t xml:space="preserve"> to ‘abolish’ the ARC</w:t>
      </w:r>
      <w:r w:rsidR="006F5E89">
        <w:t>,</w:t>
      </w:r>
      <w:r>
        <w:t xml:space="preserve"> that ‘[</w:t>
      </w:r>
      <w:proofErr w:type="spellStart"/>
      <w:r>
        <w:t>i</w:t>
      </w:r>
      <w:proofErr w:type="spellEnd"/>
      <w:r>
        <w:t xml:space="preserve">]t is the duty of the Executive under s 61 of the Constitution to execute and maintain </w:t>
      </w:r>
      <w:r w:rsidR="00C8641D">
        <w:t>the laws of the Commonwealth’.</w:t>
      </w:r>
      <w:r w:rsidR="00C8641D">
        <w:rPr>
          <w:rStyle w:val="FootnoteReference"/>
        </w:rPr>
        <w:footnoteReference w:id="36"/>
      </w:r>
      <w:r w:rsidR="00C8641D">
        <w:t xml:space="preserve">  </w:t>
      </w:r>
      <w:r w:rsidR="00860D88">
        <w:t xml:space="preserve">Mr Callinan </w:t>
      </w:r>
      <w:r w:rsidR="00C8641D">
        <w:t>recommended that the ARC be reinstated and constituted in accordance with Part V of the AAT Act.</w:t>
      </w:r>
      <w:r w:rsidR="0082166E">
        <w:rPr>
          <w:rStyle w:val="FootnoteReference"/>
        </w:rPr>
        <w:footnoteReference w:id="37"/>
      </w:r>
    </w:p>
    <w:p w14:paraId="5A77A81B" w14:textId="051607FC" w:rsidR="0076245D" w:rsidRDefault="00436F36" w:rsidP="004802A2">
      <w:r>
        <w:t xml:space="preserve">Aside from </w:t>
      </w:r>
      <w:r w:rsidR="00237F56">
        <w:t xml:space="preserve">the </w:t>
      </w:r>
      <w:r>
        <w:t xml:space="preserve">continuing statutory </w:t>
      </w:r>
      <w:r w:rsidR="00237F56">
        <w:t>requirement for an ARC, there are good policy reasons for its reinstatement</w:t>
      </w:r>
      <w:proofErr w:type="gramStart"/>
      <w:r w:rsidR="00237F56">
        <w:t>.</w:t>
      </w:r>
      <w:r w:rsidR="00A565C0">
        <w:t xml:space="preserve">  </w:t>
      </w:r>
      <w:proofErr w:type="gramEnd"/>
      <w:r w:rsidR="00A565C0">
        <w:t xml:space="preserve">The functions of the ARC include </w:t>
      </w:r>
      <w:r w:rsidR="004D208C">
        <w:t xml:space="preserve">keeping </w:t>
      </w:r>
      <w:r w:rsidR="00B74244">
        <w:t>the Commonwealth administrative law system under review</w:t>
      </w:r>
      <w:r w:rsidR="000218DC">
        <w:t>, i</w:t>
      </w:r>
      <w:r w:rsidR="00EB3C04">
        <w:t>nqu</w:t>
      </w:r>
      <w:r w:rsidR="00255F0B">
        <w:t>i</w:t>
      </w:r>
      <w:r w:rsidR="00EB3C04">
        <w:t xml:space="preserve">ring into the process of government decision making to ensure that decisions are made in a just and equitable manner, </w:t>
      </w:r>
      <w:r w:rsidR="00B74244">
        <w:t xml:space="preserve">and </w:t>
      </w:r>
      <w:r w:rsidR="00FB4DDB">
        <w:t xml:space="preserve">making recommendations about the kinds of decisions that should be subject </w:t>
      </w:r>
      <w:r w:rsidR="000175C5">
        <w:t xml:space="preserve">to </w:t>
      </w:r>
      <w:r w:rsidR="00FB4DDB">
        <w:t>review</w:t>
      </w:r>
      <w:r w:rsidR="0073435C">
        <w:t xml:space="preserve"> and how such review should take place.</w:t>
      </w:r>
      <w:r w:rsidR="000175C5">
        <w:rPr>
          <w:rStyle w:val="FootnoteReference"/>
        </w:rPr>
        <w:footnoteReference w:id="38"/>
      </w:r>
      <w:r w:rsidR="0073435C">
        <w:t xml:space="preserve"> </w:t>
      </w:r>
    </w:p>
    <w:p w14:paraId="724801D6" w14:textId="6894C579" w:rsidR="00237F56" w:rsidRDefault="00F460F0" w:rsidP="004802A2">
      <w:r>
        <w:lastRenderedPageBreak/>
        <w:t xml:space="preserve">As noted by Mr Callinan, it is </w:t>
      </w:r>
      <w:r w:rsidR="00980661">
        <w:t xml:space="preserve">important for public confidence in the system for reviewing government decision making that these functions are performed by a body that is independent of government. </w:t>
      </w:r>
    </w:p>
    <w:p w14:paraId="1B7ED50B" w14:textId="209BBE1E" w:rsidR="005F7770" w:rsidRDefault="0099320C" w:rsidP="004802A2">
      <w:r>
        <w:t>The previous part</w:t>
      </w:r>
      <w:r w:rsidR="0020207F">
        <w:t>s</w:t>
      </w:r>
      <w:r>
        <w:t xml:space="preserve"> of this submission have identified a range of areas where the advice of the ARC would be invaluable</w:t>
      </w:r>
      <w:proofErr w:type="gramStart"/>
      <w:r>
        <w:t xml:space="preserve">.  </w:t>
      </w:r>
      <w:proofErr w:type="gramEnd"/>
      <w:r>
        <w:t xml:space="preserve">These include </w:t>
      </w:r>
      <w:r w:rsidR="00372C1E">
        <w:t xml:space="preserve">the reintegration of the review of migration decisions back into the general system for review of government decision making, </w:t>
      </w:r>
      <w:r w:rsidR="00A56DCF">
        <w:t xml:space="preserve">assessing </w:t>
      </w:r>
      <w:r w:rsidR="00884D86">
        <w:t xml:space="preserve">the </w:t>
      </w:r>
      <w:r w:rsidR="00DC2DA1">
        <w:t xml:space="preserve">desirability of the current </w:t>
      </w:r>
      <w:r w:rsidR="00884D86">
        <w:t xml:space="preserve">expansion of </w:t>
      </w:r>
      <w:r w:rsidR="00F5382E">
        <w:t xml:space="preserve">Ministerial decision making that is unreviewable on the merits, and </w:t>
      </w:r>
      <w:r w:rsidR="00B31D0F">
        <w:t xml:space="preserve">providing advice about how to ensure that </w:t>
      </w:r>
      <w:r w:rsidR="00DC2DA1">
        <w:t>such decision making is transparent and accountable.</w:t>
      </w:r>
    </w:p>
    <w:p w14:paraId="043AD5A9" w14:textId="4B37EBB6" w:rsidR="00B75223" w:rsidRPr="00381022" w:rsidRDefault="00381022" w:rsidP="00860D88">
      <w:pPr>
        <w:keepNext/>
        <w:rPr>
          <w:b/>
          <w:bCs/>
        </w:rPr>
      </w:pPr>
      <w:r w:rsidRPr="00381022">
        <w:rPr>
          <w:b/>
          <w:bCs/>
        </w:rPr>
        <w:t>Recommendation 3</w:t>
      </w:r>
    </w:p>
    <w:p w14:paraId="1BC4F7A9" w14:textId="68C80485" w:rsidR="00381022" w:rsidRDefault="00381022" w:rsidP="004802A2">
      <w:r>
        <w:t>The Commission recommends that the Administrative Review Council be reinstated</w:t>
      </w:r>
      <w:r w:rsidR="00420A32">
        <w:t xml:space="preserve"> and constituted in accordance with Part V of the </w:t>
      </w:r>
      <w:r w:rsidR="00420A32" w:rsidRPr="00420A32">
        <w:rPr>
          <w:i/>
          <w:iCs/>
        </w:rPr>
        <w:t>Administrative Appeals Tribunal Act 1975</w:t>
      </w:r>
      <w:r w:rsidR="00420A32">
        <w:t xml:space="preserve"> (</w:t>
      </w:r>
      <w:proofErr w:type="spellStart"/>
      <w:r w:rsidR="00420A32">
        <w:t>Cth</w:t>
      </w:r>
      <w:proofErr w:type="spellEnd"/>
      <w:r w:rsidR="00420A32">
        <w:t>)</w:t>
      </w:r>
      <w:r>
        <w:t>.</w:t>
      </w:r>
    </w:p>
    <w:p w14:paraId="35498D24" w14:textId="77777777" w:rsidR="001C146A" w:rsidRDefault="001C146A" w:rsidP="003672A8"/>
    <w:p w14:paraId="586E26C6" w14:textId="1B7C04C8" w:rsidR="00216EFE" w:rsidRDefault="00187CBF" w:rsidP="003672A8">
      <w:r>
        <w:t>The Commission is happy to provide further assistance to the Committee if required in its consideration of these important matters.</w:t>
      </w:r>
    </w:p>
    <w:p w14:paraId="4EF11FAD" w14:textId="77777777" w:rsidR="00216EFE" w:rsidRPr="003672A8" w:rsidRDefault="00216EFE" w:rsidP="003672A8"/>
    <w:p w14:paraId="61B87298" w14:textId="77777777" w:rsidR="00A4438B" w:rsidRDefault="006E2FE7" w:rsidP="003672A8">
      <w:pPr>
        <w:pStyle w:val="NoSpacing"/>
      </w:pPr>
      <w:r>
        <w:t>Yours sincerely</w:t>
      </w:r>
    </w:p>
    <w:p w14:paraId="7C112D39" w14:textId="5A7F6155" w:rsidR="001C146A" w:rsidRDefault="00705556" w:rsidP="003672A8">
      <w:r>
        <w:rPr>
          <w:noProof/>
        </w:rPr>
        <w:drawing>
          <wp:inline distT="0" distB="0" distL="0" distR="0" wp14:anchorId="50730828" wp14:editId="680CBDF8">
            <wp:extent cx="3191581" cy="790575"/>
            <wp:effectExtent l="0" t="0" r="8890" b="0"/>
            <wp:docPr id="1" name="Picture 1" descr="A picture containing ha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hang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27325" cy="79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0D526" w14:textId="77777777" w:rsidR="000438F2" w:rsidRPr="005C2BA2" w:rsidRDefault="000438F2" w:rsidP="000438F2">
      <w:pPr>
        <w:pStyle w:val="NoSpacing"/>
      </w:pPr>
      <w:r>
        <w:t>Emeritus Professor Rosalind Croucher AM</w:t>
      </w:r>
    </w:p>
    <w:p w14:paraId="4CFDECF1" w14:textId="77777777" w:rsidR="000438F2" w:rsidRPr="00E94297" w:rsidRDefault="000438F2" w:rsidP="000438F2">
      <w:pPr>
        <w:pStyle w:val="NoSpacing"/>
        <w:rPr>
          <w:b/>
        </w:rPr>
      </w:pPr>
      <w:r w:rsidRPr="00E94297">
        <w:rPr>
          <w:b/>
        </w:rPr>
        <w:t>President</w:t>
      </w:r>
    </w:p>
    <w:p w14:paraId="4477C719" w14:textId="77777777" w:rsidR="000438F2" w:rsidRPr="009709E5" w:rsidRDefault="000438F2" w:rsidP="000438F2">
      <w:pPr>
        <w:pStyle w:val="NoSpacing"/>
      </w:pPr>
    </w:p>
    <w:p w14:paraId="421DD2FD" w14:textId="77777777" w:rsidR="000438F2" w:rsidRPr="00E94297" w:rsidRDefault="000438F2" w:rsidP="000438F2">
      <w:pPr>
        <w:pStyle w:val="NoSpacing"/>
        <w:rPr>
          <w:sz w:val="22"/>
          <w:szCs w:val="22"/>
        </w:rPr>
      </w:pPr>
      <w:r w:rsidRPr="00E94297">
        <w:rPr>
          <w:sz w:val="22"/>
          <w:szCs w:val="22"/>
        </w:rPr>
        <w:t>T: +61 2 9284 9614</w:t>
      </w:r>
    </w:p>
    <w:p w14:paraId="1F7C41E2" w14:textId="77777777" w:rsidR="000438F2" w:rsidRPr="00E94297" w:rsidRDefault="000438F2" w:rsidP="000438F2">
      <w:pPr>
        <w:pStyle w:val="NoSpacing"/>
        <w:rPr>
          <w:rStyle w:val="Hyperlink"/>
          <w:sz w:val="22"/>
          <w:szCs w:val="22"/>
        </w:rPr>
      </w:pPr>
      <w:r w:rsidRPr="00E94297">
        <w:rPr>
          <w:sz w:val="22"/>
          <w:szCs w:val="22"/>
        </w:rPr>
        <w:t xml:space="preserve">E: </w:t>
      </w:r>
      <w:hyperlink r:id="rId15" w:history="1">
        <w:r w:rsidRPr="00E94297">
          <w:rPr>
            <w:rStyle w:val="Hyperlink"/>
            <w:sz w:val="22"/>
            <w:szCs w:val="22"/>
          </w:rPr>
          <w:t>president.ahrc@humanrights.gov.au</w:t>
        </w:r>
      </w:hyperlink>
    </w:p>
    <w:p w14:paraId="0D7BADBE" w14:textId="77777777" w:rsidR="004D2BA8" w:rsidRPr="002D5180" w:rsidRDefault="004D2BA8" w:rsidP="00BE00F5">
      <w:pPr>
        <w:tabs>
          <w:tab w:val="left" w:pos="450"/>
        </w:tabs>
        <w:spacing w:before="0" w:after="0"/>
      </w:pPr>
    </w:p>
    <w:sectPr w:rsidR="004D2BA8" w:rsidRPr="002D5180" w:rsidSect="00785A8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6" w:h="16838" w:code="9"/>
      <w:pgMar w:top="2366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8AC3" w14:textId="77777777" w:rsidR="00E475DB" w:rsidRDefault="00E475DB" w:rsidP="00F14C6D">
      <w:r>
        <w:separator/>
      </w:r>
    </w:p>
  </w:endnote>
  <w:endnote w:type="continuationSeparator" w:id="0">
    <w:p w14:paraId="414171DD" w14:textId="77777777" w:rsidR="00E475DB" w:rsidRDefault="00E475DB" w:rsidP="00F14C6D">
      <w:r>
        <w:continuationSeparator/>
      </w:r>
    </w:p>
  </w:endnote>
  <w:endnote w:type="continuationNotice" w:id="1">
    <w:p w14:paraId="466FDBD1" w14:textId="77777777" w:rsidR="00397658" w:rsidRDefault="0039765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-Light">
    <w:altName w:val="Helvetica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752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760013" w14:textId="77777777" w:rsidR="00785A81" w:rsidRDefault="00785A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EDA22E" w14:textId="77777777" w:rsidR="00211A47" w:rsidRDefault="00211A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995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4C04A" w14:textId="77777777" w:rsidR="00785A81" w:rsidRDefault="00785A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D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31CC60" w14:textId="77777777" w:rsidR="00A4438B" w:rsidRPr="00A133C4" w:rsidRDefault="00A4438B" w:rsidP="00A133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87" w:type="dxa"/>
      <w:jc w:val="center"/>
      <w:tblBorders>
        <w:top w:val="single" w:sz="4" w:space="0" w:color="646464"/>
        <w:insideH w:val="single" w:sz="4" w:space="0" w:color="646464"/>
      </w:tblBorders>
      <w:tblLook w:val="00A0" w:firstRow="1" w:lastRow="0" w:firstColumn="1" w:lastColumn="0" w:noHBand="0" w:noVBand="0"/>
    </w:tblPr>
    <w:tblGrid>
      <w:gridCol w:w="2410"/>
      <w:gridCol w:w="2392"/>
      <w:gridCol w:w="2372"/>
      <w:gridCol w:w="1313"/>
    </w:tblGrid>
    <w:tr w:rsidR="002B348E" w14:paraId="434901BB" w14:textId="77777777" w:rsidTr="002B348E">
      <w:trPr>
        <w:jc w:val="center"/>
      </w:trPr>
      <w:tc>
        <w:tcPr>
          <w:tcW w:w="2410" w:type="dxa"/>
          <w:tcBorders>
            <w:top w:val="single" w:sz="4" w:space="0" w:color="646464"/>
            <w:left w:val="nil"/>
            <w:bottom w:val="nil"/>
            <w:right w:val="nil"/>
          </w:tcBorders>
        </w:tcPr>
        <w:p w14:paraId="56A4FBE9" w14:textId="77777777" w:rsidR="002B348E" w:rsidRDefault="002B348E" w:rsidP="002B348E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/>
            <w:ind w:left="306"/>
            <w:textAlignment w:val="center"/>
            <w:rPr>
              <w:rFonts w:cs="HelveticaNeue-Light"/>
              <w:color w:val="646464"/>
              <w:sz w:val="10"/>
              <w:szCs w:val="10"/>
              <w:lang w:val="en-US" w:bidi="en-US"/>
            </w:rPr>
          </w:pPr>
        </w:p>
        <w:p w14:paraId="1261065E" w14:textId="77777777" w:rsidR="002B348E" w:rsidRDefault="002B348E" w:rsidP="002B348E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>
            <w:rPr>
              <w:rFonts w:cs="HelveticaNeue-Light"/>
              <w:color w:val="646464"/>
              <w:sz w:val="16"/>
              <w:szCs w:val="16"/>
              <w:lang w:val="en-US" w:bidi="en-US"/>
            </w:rPr>
            <w:t>Australian Human Rights</w:t>
          </w:r>
        </w:p>
        <w:p w14:paraId="2F3E0D21" w14:textId="77777777" w:rsidR="002B348E" w:rsidRDefault="002B348E" w:rsidP="002B348E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>
            <w:rPr>
              <w:rFonts w:cs="HelveticaNeue-Light"/>
              <w:color w:val="646464"/>
              <w:sz w:val="16"/>
              <w:szCs w:val="16"/>
              <w:lang w:val="en-US" w:bidi="en-US"/>
            </w:rPr>
            <w:t>Commission</w:t>
          </w:r>
        </w:p>
        <w:p w14:paraId="7A8A81AD" w14:textId="77777777" w:rsidR="002B348E" w:rsidRDefault="002B348E" w:rsidP="002B348E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>
            <w:rPr>
              <w:rFonts w:cs="HelveticaNeue-Light"/>
              <w:color w:val="646464"/>
              <w:sz w:val="16"/>
              <w:szCs w:val="16"/>
              <w:lang w:val="en-US" w:bidi="en-US"/>
            </w:rPr>
            <w:t>ABN 47 996 232 602</w:t>
          </w:r>
        </w:p>
      </w:tc>
      <w:tc>
        <w:tcPr>
          <w:tcW w:w="2392" w:type="dxa"/>
          <w:tcBorders>
            <w:top w:val="single" w:sz="4" w:space="0" w:color="646464"/>
            <w:left w:val="nil"/>
            <w:bottom w:val="nil"/>
            <w:right w:val="nil"/>
          </w:tcBorders>
        </w:tcPr>
        <w:p w14:paraId="2E9DD01F" w14:textId="77777777" w:rsidR="002B348E" w:rsidRDefault="002B348E" w:rsidP="002B348E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/>
            <w:textAlignment w:val="center"/>
            <w:rPr>
              <w:rFonts w:cs="HelveticaNeue-Light"/>
              <w:color w:val="646464"/>
              <w:sz w:val="10"/>
              <w:szCs w:val="10"/>
              <w:lang w:val="en-US" w:bidi="en-US"/>
            </w:rPr>
          </w:pPr>
        </w:p>
        <w:p w14:paraId="7745FBEB" w14:textId="77777777" w:rsidR="002B348E" w:rsidRDefault="002B348E" w:rsidP="002B348E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>
            <w:rPr>
              <w:rFonts w:cs="HelveticaNeue-Light"/>
              <w:color w:val="646464"/>
              <w:sz w:val="16"/>
              <w:szCs w:val="16"/>
              <w:lang w:val="en-US" w:bidi="en-US"/>
            </w:rPr>
            <w:t>GPO Box 5218</w:t>
          </w:r>
        </w:p>
        <w:p w14:paraId="52DE4B39" w14:textId="77777777" w:rsidR="002B348E" w:rsidRDefault="002B348E" w:rsidP="002B348E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>
            <w:rPr>
              <w:rFonts w:cs="HelveticaNeue-Light"/>
              <w:color w:val="646464"/>
              <w:sz w:val="16"/>
              <w:szCs w:val="16"/>
              <w:lang w:val="en-US" w:bidi="en-US"/>
            </w:rPr>
            <w:t>Sydney NSW 2001</w:t>
          </w:r>
        </w:p>
        <w:p w14:paraId="34F8B66E" w14:textId="77777777" w:rsidR="002B348E" w:rsidRDefault="002B348E" w:rsidP="002B348E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>
            <w:rPr>
              <w:rFonts w:cs="HelveticaNeue-Light"/>
              <w:color w:val="646464"/>
              <w:sz w:val="16"/>
              <w:szCs w:val="16"/>
              <w:lang w:val="en-US" w:bidi="en-US"/>
            </w:rPr>
            <w:t>www.humanrights.gov.au</w:t>
          </w:r>
        </w:p>
      </w:tc>
      <w:tc>
        <w:tcPr>
          <w:tcW w:w="2372" w:type="dxa"/>
          <w:tcBorders>
            <w:top w:val="single" w:sz="4" w:space="0" w:color="646464"/>
            <w:left w:val="nil"/>
            <w:bottom w:val="nil"/>
            <w:right w:val="nil"/>
          </w:tcBorders>
        </w:tcPr>
        <w:p w14:paraId="447B62F1" w14:textId="77777777" w:rsidR="002B348E" w:rsidRDefault="002B348E" w:rsidP="002B348E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/>
            <w:textAlignment w:val="center"/>
            <w:rPr>
              <w:rFonts w:cs="HelveticaNeue-Light"/>
              <w:color w:val="646464"/>
              <w:sz w:val="10"/>
              <w:szCs w:val="10"/>
              <w:lang w:val="en-US" w:bidi="en-US"/>
            </w:rPr>
          </w:pPr>
        </w:p>
        <w:p w14:paraId="4C8F8E3E" w14:textId="77777777" w:rsidR="002B348E" w:rsidRDefault="002B348E" w:rsidP="002B348E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/>
            <w:ind w:left="52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>
            <w:rPr>
              <w:rFonts w:cs="HelveticaNeue-Light"/>
              <w:color w:val="646464"/>
              <w:sz w:val="16"/>
              <w:szCs w:val="16"/>
              <w:lang w:val="en-US" w:bidi="en-US"/>
            </w:rPr>
            <w:t>General enquiries</w:t>
          </w:r>
        </w:p>
        <w:p w14:paraId="3A50C06F" w14:textId="77777777" w:rsidR="002B348E" w:rsidRDefault="002B348E" w:rsidP="002B348E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/>
            <w:ind w:left="52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>
            <w:rPr>
              <w:rFonts w:cs="HelveticaNeue-Light"/>
              <w:color w:val="646464"/>
              <w:sz w:val="16"/>
              <w:szCs w:val="16"/>
              <w:lang w:val="en-US" w:bidi="en-US"/>
            </w:rPr>
            <w:t>National Info Service</w:t>
          </w:r>
        </w:p>
        <w:p w14:paraId="46F328FB" w14:textId="77777777" w:rsidR="002B348E" w:rsidRDefault="002B348E" w:rsidP="002B348E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/>
            <w:ind w:left="52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>
            <w:rPr>
              <w:rFonts w:cs="HelveticaNeue-Light"/>
              <w:color w:val="646464"/>
              <w:sz w:val="16"/>
              <w:szCs w:val="16"/>
              <w:lang w:val="en-US" w:bidi="en-US"/>
            </w:rPr>
            <w:t>TTY</w:t>
          </w:r>
        </w:p>
      </w:tc>
      <w:tc>
        <w:tcPr>
          <w:tcW w:w="1313" w:type="dxa"/>
          <w:tcBorders>
            <w:top w:val="single" w:sz="4" w:space="0" w:color="646464"/>
            <w:left w:val="nil"/>
            <w:bottom w:val="nil"/>
            <w:right w:val="nil"/>
          </w:tcBorders>
        </w:tcPr>
        <w:p w14:paraId="79780A09" w14:textId="77777777" w:rsidR="002B348E" w:rsidRDefault="002B348E" w:rsidP="002B348E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/>
            <w:textAlignment w:val="center"/>
            <w:rPr>
              <w:rFonts w:cs="HelveticaNeue-Light"/>
              <w:color w:val="646464"/>
              <w:sz w:val="10"/>
              <w:szCs w:val="10"/>
              <w:lang w:val="en-US" w:bidi="en-US"/>
            </w:rPr>
          </w:pPr>
        </w:p>
        <w:p w14:paraId="0D25E7D8" w14:textId="77777777" w:rsidR="002B348E" w:rsidRDefault="002B348E" w:rsidP="002B348E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>
            <w:rPr>
              <w:rFonts w:cs="HelveticaNeue-Light"/>
              <w:color w:val="646464"/>
              <w:sz w:val="16"/>
              <w:szCs w:val="16"/>
              <w:lang w:val="en-US" w:bidi="en-US"/>
            </w:rPr>
            <w:t>1300 369 711</w:t>
          </w:r>
        </w:p>
        <w:p w14:paraId="023C0497" w14:textId="77777777" w:rsidR="002B348E" w:rsidRDefault="002B348E" w:rsidP="002B348E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>
            <w:rPr>
              <w:rFonts w:cs="HelveticaNeue-Light"/>
              <w:color w:val="646464"/>
              <w:sz w:val="16"/>
              <w:szCs w:val="16"/>
              <w:lang w:val="en-US" w:bidi="en-US"/>
            </w:rPr>
            <w:t>1300 656 419</w:t>
          </w:r>
        </w:p>
        <w:p w14:paraId="5388D465" w14:textId="77777777" w:rsidR="002B348E" w:rsidRDefault="002B348E" w:rsidP="002B348E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>
            <w:rPr>
              <w:rFonts w:cs="HelveticaNeue-Light"/>
              <w:color w:val="646464"/>
              <w:sz w:val="16"/>
              <w:szCs w:val="16"/>
              <w:lang w:val="en-US" w:bidi="en-US"/>
            </w:rPr>
            <w:t>1800 620 241</w:t>
          </w:r>
        </w:p>
      </w:tc>
    </w:tr>
  </w:tbl>
  <w:p w14:paraId="62D44803" w14:textId="77777777" w:rsidR="00311E44" w:rsidRPr="003F2F20" w:rsidRDefault="00311E44" w:rsidP="003F2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FA45" w14:textId="77777777" w:rsidR="00E475DB" w:rsidRDefault="00E475DB" w:rsidP="00F14C6D">
      <w:r>
        <w:separator/>
      </w:r>
    </w:p>
  </w:footnote>
  <w:footnote w:type="continuationSeparator" w:id="0">
    <w:p w14:paraId="302435DD" w14:textId="77777777" w:rsidR="00E475DB" w:rsidRDefault="00E475DB" w:rsidP="00F14C6D">
      <w:r>
        <w:continuationSeparator/>
      </w:r>
    </w:p>
  </w:footnote>
  <w:footnote w:type="continuationNotice" w:id="1">
    <w:p w14:paraId="5F6FDB44" w14:textId="77777777" w:rsidR="00397658" w:rsidRDefault="00397658">
      <w:pPr>
        <w:spacing w:before="0" w:after="0"/>
      </w:pPr>
    </w:p>
  </w:footnote>
  <w:footnote w:id="2">
    <w:p w14:paraId="729F268D" w14:textId="6E8B9AD9" w:rsidR="00341F54" w:rsidRPr="00341F54" w:rsidRDefault="00341F54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 xml:space="preserve">See, for example, </w:t>
      </w:r>
      <w:r w:rsidR="00B20AEF" w:rsidRPr="00B20AEF">
        <w:rPr>
          <w:lang w:val="en-US"/>
        </w:rPr>
        <w:t xml:space="preserve">Australian Human Rights Commission, </w:t>
      </w:r>
      <w:r w:rsidR="00B20AEF" w:rsidRPr="00860750">
        <w:rPr>
          <w:i/>
          <w:iCs/>
          <w:lang w:val="en-US"/>
        </w:rPr>
        <w:t>Submission to the Senate Legal and Constitutional Affairs Legislation Committee on the Australian Citizenship Legislation (Strengthening the Requirements for Australian Citizenship and Other Measures) Bill 2017</w:t>
      </w:r>
      <w:r w:rsidR="00B20AEF" w:rsidRPr="00B20AEF">
        <w:rPr>
          <w:lang w:val="en-US"/>
        </w:rPr>
        <w:t>,</w:t>
      </w:r>
      <w:r w:rsidR="00B20AEF">
        <w:rPr>
          <w:lang w:val="en-US"/>
        </w:rPr>
        <w:t xml:space="preserve"> [77]–[</w:t>
      </w:r>
      <w:r w:rsidR="00261E7E">
        <w:rPr>
          <w:lang w:val="en-US"/>
        </w:rPr>
        <w:t>100</w:t>
      </w:r>
      <w:r w:rsidR="00B20AEF">
        <w:rPr>
          <w:lang w:val="en-US"/>
        </w:rPr>
        <w:t xml:space="preserve">], </w:t>
      </w:r>
      <w:hyperlink r:id="rId1" w:history="1">
        <w:r w:rsidR="00860750" w:rsidRPr="00860750">
          <w:rPr>
            <w:rStyle w:val="Hyperlink"/>
            <w:sz w:val="20"/>
          </w:rPr>
          <w:t>https://www.aph.gov.au/DocumentStore.ashx?id=f398c0c0-376d-4b96-9007-5b0b98cbf729&amp;subId=514189</w:t>
        </w:r>
      </w:hyperlink>
      <w:r w:rsidR="00B20AEF">
        <w:rPr>
          <w:lang w:val="en-US"/>
        </w:rPr>
        <w:t xml:space="preserve">; </w:t>
      </w:r>
      <w:r w:rsidR="00336F3F" w:rsidRPr="00336F3F">
        <w:rPr>
          <w:lang w:val="en-US"/>
        </w:rPr>
        <w:t>Australian Human Rights Commission,</w:t>
      </w:r>
      <w:r w:rsidR="00336F3F">
        <w:rPr>
          <w:lang w:val="en-US"/>
        </w:rPr>
        <w:t xml:space="preserve"> </w:t>
      </w:r>
      <w:r w:rsidR="00336F3F" w:rsidRPr="00014D9A">
        <w:rPr>
          <w:i/>
          <w:iCs/>
          <w:lang w:val="en-US"/>
        </w:rPr>
        <w:t>Submission to the Senate Legal and Constitutional Affairs Legislation Committee on the Australian Citizenship and Other Legislation Amendment Bill 2014</w:t>
      </w:r>
      <w:r w:rsidR="00336F3F">
        <w:rPr>
          <w:lang w:val="en-US"/>
        </w:rPr>
        <w:t>, [37]–[</w:t>
      </w:r>
      <w:r w:rsidR="00014D9A">
        <w:rPr>
          <w:lang w:val="en-US"/>
        </w:rPr>
        <w:t>57</w:t>
      </w:r>
      <w:r w:rsidR="008930C2">
        <w:rPr>
          <w:lang w:val="en-US"/>
        </w:rPr>
        <w:t xml:space="preserve">], </w:t>
      </w:r>
      <w:hyperlink r:id="rId2" w:history="1">
        <w:r w:rsidR="008930C2" w:rsidRPr="00CA5FB8">
          <w:rPr>
            <w:rStyle w:val="Hyperlink"/>
            <w:sz w:val="20"/>
            <w:lang w:val="en-US"/>
          </w:rPr>
          <w:t>https://www.aph.gov.au/DocumentStore.ashx?id=2ce044cf-a0dc-4fda-9d28-27a6f0b5a9f6&amp;subId=301530</w:t>
        </w:r>
      </w:hyperlink>
      <w:r w:rsidR="008930C2">
        <w:rPr>
          <w:lang w:val="en-US"/>
        </w:rPr>
        <w:t xml:space="preserve">.  </w:t>
      </w:r>
    </w:p>
  </w:footnote>
  <w:footnote w:id="3">
    <w:p w14:paraId="503B3189" w14:textId="48E665AA" w:rsidR="001233ED" w:rsidRPr="00DE4658" w:rsidRDefault="001233ED" w:rsidP="00261E7E">
      <w:pPr>
        <w:pStyle w:val="FootnoteText"/>
        <w:ind w:left="284" w:hanging="284"/>
        <w:rPr>
          <w:rFonts w:cs="Open Sans"/>
        </w:rPr>
      </w:pPr>
      <w:r w:rsidRPr="00EC6AF7">
        <w:rPr>
          <w:rStyle w:val="FootnoteReference"/>
          <w:rFonts w:cs="Open Sans"/>
        </w:rPr>
        <w:footnoteRef/>
      </w:r>
      <w:r w:rsidRPr="00EC6AF7">
        <w:rPr>
          <w:rFonts w:cs="Open Sans"/>
        </w:rPr>
        <w:t xml:space="preserve"> </w:t>
      </w:r>
      <w:r>
        <w:rPr>
          <w:rFonts w:cs="Open Sans"/>
        </w:rPr>
        <w:tab/>
      </w:r>
      <w:r w:rsidRPr="00DE4658">
        <w:rPr>
          <w:rFonts w:cs="Open Sans"/>
          <w:i/>
        </w:rPr>
        <w:t>International Covenant on Civil and Political Rights</w:t>
      </w:r>
      <w:r w:rsidRPr="00DE4658">
        <w:rPr>
          <w:rFonts w:cs="Open Sans"/>
        </w:rPr>
        <w:t>, opened for signature 19 December 1966, 999 UNTS 171 (entered into force 23 March 1976)</w:t>
      </w:r>
      <w:proofErr w:type="gramStart"/>
      <w:r w:rsidRPr="00DE4658">
        <w:rPr>
          <w:rFonts w:cs="Open Sans"/>
        </w:rPr>
        <w:t xml:space="preserve">. </w:t>
      </w:r>
      <w:r w:rsidR="009B18D3">
        <w:rPr>
          <w:rFonts w:cs="Open Sans"/>
        </w:rPr>
        <w:t xml:space="preserve"> </w:t>
      </w:r>
      <w:proofErr w:type="gramEnd"/>
      <w:r w:rsidR="009B18D3">
        <w:rPr>
          <w:rFonts w:cs="Open Sans"/>
        </w:rPr>
        <w:t>For more detail on the engagement of human rights by the mer</w:t>
      </w:r>
      <w:r w:rsidR="00A746A1">
        <w:rPr>
          <w:rFonts w:cs="Open Sans"/>
        </w:rPr>
        <w:t>its review process, see: Australian Human Rights Commi</w:t>
      </w:r>
      <w:r w:rsidR="00923FF1">
        <w:rPr>
          <w:rFonts w:cs="Open Sans"/>
        </w:rPr>
        <w:t>s</w:t>
      </w:r>
      <w:r w:rsidR="00A746A1">
        <w:rPr>
          <w:rFonts w:cs="Open Sans"/>
        </w:rPr>
        <w:t xml:space="preserve">sion, </w:t>
      </w:r>
      <w:r w:rsidR="00A746A1" w:rsidRPr="00A746A1">
        <w:rPr>
          <w:rFonts w:cs="Open Sans"/>
          <w:i/>
          <w:iCs/>
        </w:rPr>
        <w:t>Administrative Appeals Tribunal Statutory Review</w:t>
      </w:r>
      <w:r w:rsidR="00A746A1">
        <w:rPr>
          <w:rFonts w:cs="Open Sans"/>
        </w:rPr>
        <w:t>, submission to the Hon Ian Callinan AC QC, 24 August 2018.</w:t>
      </w:r>
    </w:p>
  </w:footnote>
  <w:footnote w:id="4">
    <w:p w14:paraId="7AB47B36" w14:textId="39C84CD9" w:rsidR="00913365" w:rsidRPr="00913365" w:rsidRDefault="00913365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 xml:space="preserve">Australian Human Rights Commission, </w:t>
      </w:r>
      <w:r w:rsidRPr="00997E43">
        <w:rPr>
          <w:i/>
          <w:iCs/>
          <w:lang w:val="en-US"/>
        </w:rPr>
        <w:t>Lives on hold: Refugees and asylum seekers in the ‘Legacy caseload’</w:t>
      </w:r>
      <w:r>
        <w:rPr>
          <w:lang w:val="en-US"/>
        </w:rPr>
        <w:t xml:space="preserve"> (2019), at </w:t>
      </w:r>
      <w:hyperlink r:id="rId3" w:history="1">
        <w:r w:rsidR="00997E43" w:rsidRPr="00CA5FB8">
          <w:rPr>
            <w:rStyle w:val="Hyperlink"/>
            <w:sz w:val="20"/>
            <w:lang w:val="en-US"/>
          </w:rPr>
          <w:t>https://humanrights.gov.au/our-work/asylum-seekers-and-refugees/publications/lives-hold-refugees-and-asylum-seekers-legacy</w:t>
        </w:r>
      </w:hyperlink>
      <w:r w:rsidR="00997E43">
        <w:rPr>
          <w:lang w:val="en-US"/>
        </w:rPr>
        <w:t xml:space="preserve">. </w:t>
      </w:r>
    </w:p>
  </w:footnote>
  <w:footnote w:id="5">
    <w:p w14:paraId="3CCED59D" w14:textId="057A07FF" w:rsidR="005001C1" w:rsidRPr="005001C1" w:rsidRDefault="005001C1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="005225E0">
        <w:rPr>
          <w:lang w:val="en-US"/>
        </w:rPr>
        <w:t xml:space="preserve">As </w:t>
      </w:r>
      <w:proofErr w:type="gramStart"/>
      <w:r w:rsidR="005225E0">
        <w:rPr>
          <w:lang w:val="en-US"/>
        </w:rPr>
        <w:t>at</w:t>
      </w:r>
      <w:proofErr w:type="gramEnd"/>
      <w:r w:rsidR="005225E0">
        <w:rPr>
          <w:lang w:val="en-US"/>
        </w:rPr>
        <w:t xml:space="preserve"> 30 June 2021, the AAT had 56,036 </w:t>
      </w:r>
      <w:r w:rsidR="00B94CE4">
        <w:rPr>
          <w:lang w:val="en-US"/>
        </w:rPr>
        <w:t xml:space="preserve">applications on hand in the Migration and Refugee Division, comprising </w:t>
      </w:r>
      <w:r w:rsidR="005225E0">
        <w:rPr>
          <w:lang w:val="en-US"/>
        </w:rPr>
        <w:t xml:space="preserve">86% of the </w:t>
      </w:r>
      <w:r w:rsidR="00B94CE4">
        <w:rPr>
          <w:lang w:val="en-US"/>
        </w:rPr>
        <w:t xml:space="preserve">total </w:t>
      </w:r>
      <w:r w:rsidR="00C8518D">
        <w:rPr>
          <w:lang w:val="en-US"/>
        </w:rPr>
        <w:t xml:space="preserve">of applications on hand </w:t>
      </w:r>
      <w:r w:rsidR="00EC2437">
        <w:rPr>
          <w:lang w:val="en-US"/>
        </w:rPr>
        <w:t>across all Divisions of the</w:t>
      </w:r>
      <w:r w:rsidR="00C8518D">
        <w:rPr>
          <w:lang w:val="en-US"/>
        </w:rPr>
        <w:t xml:space="preserve"> </w:t>
      </w:r>
      <w:r w:rsidR="00B94CE4">
        <w:rPr>
          <w:lang w:val="en-US"/>
        </w:rPr>
        <w:t>AAT</w:t>
      </w:r>
      <w:r w:rsidR="00C8518D">
        <w:rPr>
          <w:lang w:val="en-US"/>
        </w:rPr>
        <w:t xml:space="preserve">.  </w:t>
      </w:r>
      <w:proofErr w:type="gramStart"/>
      <w:r w:rsidR="00C8518D">
        <w:rPr>
          <w:lang w:val="en-US"/>
        </w:rPr>
        <w:t>During the course of</w:t>
      </w:r>
      <w:proofErr w:type="gramEnd"/>
      <w:r w:rsidR="00C8518D">
        <w:rPr>
          <w:lang w:val="en-US"/>
        </w:rPr>
        <w:t xml:space="preserve"> </w:t>
      </w:r>
      <w:r w:rsidR="00EC2437">
        <w:rPr>
          <w:lang w:val="en-US"/>
        </w:rPr>
        <w:t>the 2020-21</w:t>
      </w:r>
      <w:r w:rsidR="00C8518D">
        <w:rPr>
          <w:lang w:val="en-US"/>
        </w:rPr>
        <w:t xml:space="preserve"> year, there were </w:t>
      </w:r>
      <w:r w:rsidR="007C6D2A">
        <w:rPr>
          <w:lang w:val="en-US"/>
        </w:rPr>
        <w:t xml:space="preserve">15,969 applications lodged in the Migration and Refugee Division, comprising 43% of all new applications to the AAT.  See Administrative Appeals Tribunal, </w:t>
      </w:r>
      <w:r w:rsidR="007C6D2A" w:rsidRPr="00D53219">
        <w:rPr>
          <w:i/>
          <w:iCs/>
          <w:lang w:val="en-US"/>
        </w:rPr>
        <w:t>2020-21 At a glance</w:t>
      </w:r>
      <w:r w:rsidR="007C6D2A">
        <w:rPr>
          <w:lang w:val="en-US"/>
        </w:rPr>
        <w:t xml:space="preserve">, </w:t>
      </w:r>
      <w:hyperlink r:id="rId4" w:history="1">
        <w:r w:rsidR="00EC2437" w:rsidRPr="00CA5FB8">
          <w:rPr>
            <w:rStyle w:val="Hyperlink"/>
            <w:sz w:val="20"/>
            <w:lang w:val="en-US"/>
          </w:rPr>
          <w:t>https://www.aat.gov.au/AAT/media/AAT/Files/Reports/AR202021/2020-21-At-a-glance.pdf</w:t>
        </w:r>
      </w:hyperlink>
      <w:r w:rsidR="00EC2437">
        <w:rPr>
          <w:lang w:val="en-US"/>
        </w:rPr>
        <w:t xml:space="preserve">. </w:t>
      </w:r>
    </w:p>
  </w:footnote>
  <w:footnote w:id="6">
    <w:p w14:paraId="3B0516BC" w14:textId="6A632700" w:rsidR="00B9725F" w:rsidRPr="00B9725F" w:rsidRDefault="00B9725F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>Migration Act, s </w:t>
      </w:r>
      <w:r w:rsidR="006C3E54">
        <w:rPr>
          <w:lang w:val="en-US"/>
        </w:rPr>
        <w:t>5</w:t>
      </w:r>
      <w:r>
        <w:rPr>
          <w:lang w:val="en-US"/>
        </w:rPr>
        <w:t xml:space="preserve"> (definition of </w:t>
      </w:r>
      <w:r w:rsidR="006C3E54">
        <w:rPr>
          <w:lang w:val="en-US"/>
        </w:rPr>
        <w:t>‘fast track applicant’).</w:t>
      </w:r>
    </w:p>
  </w:footnote>
  <w:footnote w:id="7">
    <w:p w14:paraId="48F9338F" w14:textId="38038E7A" w:rsidR="00067507" w:rsidRPr="00067507" w:rsidRDefault="00067507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>Migration Act, s 473BA (</w:t>
      </w:r>
      <w:r w:rsidR="00F803D6">
        <w:rPr>
          <w:lang w:val="en-US"/>
        </w:rPr>
        <w:t>simplified outline of Part 7AA).</w:t>
      </w:r>
    </w:p>
  </w:footnote>
  <w:footnote w:id="8">
    <w:p w14:paraId="00538992" w14:textId="32FEF150" w:rsidR="00924C54" w:rsidRPr="00924C54" w:rsidRDefault="00924C54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 xml:space="preserve">Migration Act, </w:t>
      </w:r>
      <w:r w:rsidR="00BA4373">
        <w:rPr>
          <w:lang w:val="en-US"/>
        </w:rPr>
        <w:t>s</w:t>
      </w:r>
      <w:r>
        <w:rPr>
          <w:lang w:val="en-US"/>
        </w:rPr>
        <w:t>s 473</w:t>
      </w:r>
      <w:r w:rsidR="00F47811">
        <w:rPr>
          <w:lang w:val="en-US"/>
        </w:rPr>
        <w:t>DB(1)(a)</w:t>
      </w:r>
      <w:r w:rsidR="00BA4373">
        <w:rPr>
          <w:lang w:val="en-US"/>
        </w:rPr>
        <w:t xml:space="preserve"> and </w:t>
      </w:r>
      <w:r w:rsidR="00155765">
        <w:rPr>
          <w:lang w:val="en-US"/>
        </w:rPr>
        <w:t>473DD</w:t>
      </w:r>
      <w:r w:rsidR="00F47811">
        <w:rPr>
          <w:lang w:val="en-US"/>
        </w:rPr>
        <w:t>.</w:t>
      </w:r>
    </w:p>
  </w:footnote>
  <w:footnote w:id="9">
    <w:p w14:paraId="6F22F3EE" w14:textId="6837187E" w:rsidR="00586DEB" w:rsidRPr="00586DEB" w:rsidRDefault="00586DEB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>Migration Act, s 473DB(1)(b).</w:t>
      </w:r>
    </w:p>
  </w:footnote>
  <w:footnote w:id="10">
    <w:p w14:paraId="48EDB24A" w14:textId="47AF0815" w:rsidR="00B42BB2" w:rsidRPr="00B42BB2" w:rsidRDefault="00B42BB2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="0086160C">
        <w:rPr>
          <w:lang w:val="en-US"/>
        </w:rPr>
        <w:t xml:space="preserve">Australian Human Rights Commission, </w:t>
      </w:r>
      <w:r w:rsidR="0086160C" w:rsidRPr="001D6277">
        <w:rPr>
          <w:i/>
          <w:iCs/>
          <w:lang w:val="en-US"/>
        </w:rPr>
        <w:t>Migration and Maritime Powers Legislation Amendment (Resolving the Asylum Legacy Caseload) Bill 2014</w:t>
      </w:r>
      <w:r w:rsidR="0086160C">
        <w:rPr>
          <w:lang w:val="en-US"/>
        </w:rPr>
        <w:t xml:space="preserve">, </w:t>
      </w:r>
      <w:r w:rsidR="00D307B2">
        <w:rPr>
          <w:lang w:val="en-US"/>
        </w:rPr>
        <w:t xml:space="preserve">submission to the Senate Legal and Constitutional Affairs Legislation Committee, 31 October 2014, at </w:t>
      </w:r>
      <w:r w:rsidR="00C70582">
        <w:rPr>
          <w:lang w:val="en-US"/>
        </w:rPr>
        <w:t>[85]–</w:t>
      </w:r>
      <w:r w:rsidR="00A65042">
        <w:rPr>
          <w:lang w:val="en-US"/>
        </w:rPr>
        <w:t xml:space="preserve">[98] and </w:t>
      </w:r>
      <w:r w:rsidR="00A83A97">
        <w:rPr>
          <w:lang w:val="en-US"/>
        </w:rPr>
        <w:t>[109]</w:t>
      </w:r>
      <w:r w:rsidR="00915AAB">
        <w:rPr>
          <w:lang w:val="en-US"/>
        </w:rPr>
        <w:t>,</w:t>
      </w:r>
      <w:r w:rsidR="00A83A97">
        <w:rPr>
          <w:lang w:val="en-US"/>
        </w:rPr>
        <w:t xml:space="preserve"> </w:t>
      </w:r>
      <w:hyperlink r:id="rId5" w:history="1">
        <w:r w:rsidR="00A65042" w:rsidRPr="00CA5FB8">
          <w:rPr>
            <w:rStyle w:val="Hyperlink"/>
            <w:sz w:val="20"/>
            <w:lang w:val="en-US"/>
          </w:rPr>
          <w:t>https://www.aph.gov.au/DocumentStore.ashx?id=e50d519a-f240-4c6e-8f7e-baa7e3af7c33&amp;subId=301611</w:t>
        </w:r>
      </w:hyperlink>
      <w:r w:rsidR="00C14506">
        <w:rPr>
          <w:lang w:val="en-US"/>
        </w:rPr>
        <w:t xml:space="preserve">. </w:t>
      </w:r>
    </w:p>
  </w:footnote>
  <w:footnote w:id="11">
    <w:p w14:paraId="557375BA" w14:textId="2CBAECF1" w:rsidR="00A22303" w:rsidRPr="00B42BB2" w:rsidRDefault="00A22303" w:rsidP="00A22303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 xml:space="preserve">Australian Human Rights Commission, </w:t>
      </w:r>
      <w:r w:rsidRPr="001D6277">
        <w:rPr>
          <w:i/>
          <w:iCs/>
          <w:lang w:val="en-US"/>
        </w:rPr>
        <w:t>Migration and Maritime Powers Legislation Amendment (Resolving the Asylum Legacy Caseload) Bill 2014</w:t>
      </w:r>
      <w:r>
        <w:rPr>
          <w:lang w:val="en-US"/>
        </w:rPr>
        <w:t>, submission to the Senate Legal and Constitutional Affairs Legislation Committee, 31 October 2014, at [</w:t>
      </w:r>
      <w:r w:rsidR="009C549E">
        <w:rPr>
          <w:lang w:val="en-US"/>
        </w:rPr>
        <w:t>69</w:t>
      </w:r>
      <w:r>
        <w:rPr>
          <w:lang w:val="en-US"/>
        </w:rPr>
        <w:t>]</w:t>
      </w:r>
      <w:proofErr w:type="gramStart"/>
      <w:r>
        <w:rPr>
          <w:lang w:val="en-US"/>
        </w:rPr>
        <w:t>–[</w:t>
      </w:r>
      <w:proofErr w:type="gramEnd"/>
      <w:r w:rsidR="00E24314">
        <w:rPr>
          <w:lang w:val="en-US"/>
        </w:rPr>
        <w:t>156</w:t>
      </w:r>
      <w:r>
        <w:rPr>
          <w:lang w:val="en-US"/>
        </w:rPr>
        <w:t xml:space="preserve">]. </w:t>
      </w:r>
    </w:p>
  </w:footnote>
  <w:footnote w:id="12">
    <w:p w14:paraId="6DEAAE9A" w14:textId="331A1D2E" w:rsidR="00470A44" w:rsidRPr="00470A44" w:rsidRDefault="00470A44" w:rsidP="00470A44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 xml:space="preserve">Australian Law Reform Commission, </w:t>
      </w:r>
      <w:r w:rsidRPr="00A65E50">
        <w:rPr>
          <w:i/>
          <w:iCs/>
          <w:lang w:val="en-US"/>
        </w:rPr>
        <w:t>Traditional Rights and Freedoms—Encroachments by Commonwealth Laws</w:t>
      </w:r>
      <w:r>
        <w:rPr>
          <w:lang w:val="en-US"/>
        </w:rPr>
        <w:t>, Final Report (201</w:t>
      </w:r>
      <w:r w:rsidR="001B5503">
        <w:rPr>
          <w:lang w:val="en-US"/>
        </w:rPr>
        <w:t>5</w:t>
      </w:r>
      <w:r>
        <w:rPr>
          <w:lang w:val="en-US"/>
        </w:rPr>
        <w:t>), at [</w:t>
      </w:r>
      <w:r w:rsidR="00073250">
        <w:rPr>
          <w:lang w:val="en-US"/>
        </w:rPr>
        <w:t>14.65</w:t>
      </w:r>
      <w:r>
        <w:rPr>
          <w:lang w:val="en-US"/>
        </w:rPr>
        <w:t>]–[</w:t>
      </w:r>
      <w:r w:rsidR="00073250">
        <w:rPr>
          <w:lang w:val="en-US"/>
        </w:rPr>
        <w:t>14.74</w:t>
      </w:r>
      <w:r>
        <w:rPr>
          <w:lang w:val="en-US"/>
        </w:rPr>
        <w:t xml:space="preserve">] and [14.83] </w:t>
      </w:r>
      <w:hyperlink r:id="rId6" w:history="1">
        <w:r w:rsidRPr="003A46FD">
          <w:rPr>
            <w:rStyle w:val="Hyperlink"/>
            <w:sz w:val="20"/>
            <w:lang w:val="en-US"/>
          </w:rPr>
          <w:t>https://www.alrc.gov.au/wp-content/uploads/2019/08/alrc_129_final_report_.pdf</w:t>
        </w:r>
      </w:hyperlink>
      <w:r>
        <w:rPr>
          <w:lang w:val="en-US"/>
        </w:rPr>
        <w:t>.</w:t>
      </w:r>
    </w:p>
  </w:footnote>
  <w:footnote w:id="13">
    <w:p w14:paraId="7E3D7379" w14:textId="45FF4CA7" w:rsidR="00E424AC" w:rsidRPr="00E424AC" w:rsidRDefault="00E424AC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 xml:space="preserve">Australian Human Rights Commission, </w:t>
      </w:r>
      <w:r w:rsidRPr="006D6921">
        <w:rPr>
          <w:i/>
          <w:iCs/>
          <w:lang w:val="en-US"/>
        </w:rPr>
        <w:t>Review processes associated with visa cancellations made on criminal grounds</w:t>
      </w:r>
      <w:r>
        <w:rPr>
          <w:lang w:val="en-US"/>
        </w:rPr>
        <w:t xml:space="preserve">, submission to the Joint Standing Committee on Migration, </w:t>
      </w:r>
      <w:r w:rsidR="00AE2E5D">
        <w:rPr>
          <w:lang w:val="en-US"/>
        </w:rPr>
        <w:t>27 April 2018, at [116]–[</w:t>
      </w:r>
      <w:r w:rsidR="00555BB2">
        <w:rPr>
          <w:lang w:val="en-US"/>
        </w:rPr>
        <w:t xml:space="preserve">144] </w:t>
      </w:r>
      <w:hyperlink r:id="rId7" w:history="1">
        <w:r w:rsidR="006D6921" w:rsidRPr="00CA5FB8">
          <w:rPr>
            <w:rStyle w:val="Hyperlink"/>
            <w:sz w:val="20"/>
            <w:lang w:val="en-US"/>
          </w:rPr>
          <w:t>https://www.aph.gov.au/DocumentStore.ashx?id=92c3250b-7f7f-44a7-be0e-148869775611&amp;subId=565322</w:t>
        </w:r>
      </w:hyperlink>
      <w:r w:rsidR="006D6921">
        <w:rPr>
          <w:lang w:val="en-US"/>
        </w:rPr>
        <w:t xml:space="preserve">. </w:t>
      </w:r>
    </w:p>
  </w:footnote>
  <w:footnote w:id="14">
    <w:p w14:paraId="71A5AD7E" w14:textId="5B90F96F" w:rsidR="00F32310" w:rsidRPr="00F32310" w:rsidRDefault="00F32310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="00256E18">
        <w:rPr>
          <w:lang w:val="en-US"/>
        </w:rPr>
        <w:t xml:space="preserve">In 2020-21, 380 new applications of this kind were lodged with the AAT: Administrative Appeals Tribunal, </w:t>
      </w:r>
      <w:r w:rsidR="00256E18" w:rsidRPr="00990C80">
        <w:rPr>
          <w:i/>
          <w:iCs/>
          <w:lang w:val="en-US"/>
        </w:rPr>
        <w:t>Annual Report 2020-21</w:t>
      </w:r>
      <w:r w:rsidR="00256E18">
        <w:rPr>
          <w:lang w:val="en-US"/>
        </w:rPr>
        <w:t>, p </w:t>
      </w:r>
      <w:r w:rsidR="00990C80">
        <w:rPr>
          <w:lang w:val="en-US"/>
        </w:rPr>
        <w:t xml:space="preserve">44, </w:t>
      </w:r>
      <w:hyperlink r:id="rId8" w:history="1">
        <w:r w:rsidR="00990C80" w:rsidRPr="00CA5FB8">
          <w:rPr>
            <w:rStyle w:val="Hyperlink"/>
            <w:sz w:val="20"/>
            <w:lang w:val="en-US"/>
          </w:rPr>
          <w:t>https://www.aat.gov.au/AAT/media/AAT/Files/Reports/AR202021/AR2020%e2%80%9321.pdf</w:t>
        </w:r>
      </w:hyperlink>
      <w:r w:rsidR="00990C80">
        <w:rPr>
          <w:lang w:val="en-US"/>
        </w:rPr>
        <w:t xml:space="preserve">. </w:t>
      </w:r>
    </w:p>
  </w:footnote>
  <w:footnote w:id="15">
    <w:p w14:paraId="2FB28580" w14:textId="0096A296" w:rsidR="00D965B3" w:rsidRPr="00D965B3" w:rsidRDefault="00D965B3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>Personal decisions of a Minister under ss 501, 501A, 501B, 501BA and 501CA of the Migration Act are not subject to merits review in the AAT</w:t>
      </w:r>
      <w:proofErr w:type="gramStart"/>
      <w:r>
        <w:rPr>
          <w:lang w:val="en-US"/>
        </w:rPr>
        <w:t xml:space="preserve">.  </w:t>
      </w:r>
      <w:proofErr w:type="gramEnd"/>
      <w:r>
        <w:rPr>
          <w:lang w:val="en-US"/>
        </w:rPr>
        <w:t>Decisions by delegates of the Minister under ss 501 or 501</w:t>
      </w:r>
      <w:proofErr w:type="gramStart"/>
      <w:r>
        <w:rPr>
          <w:lang w:val="en-US"/>
        </w:rPr>
        <w:t>CA(</w:t>
      </w:r>
      <w:proofErr w:type="gramEnd"/>
      <w:r>
        <w:rPr>
          <w:lang w:val="en-US"/>
        </w:rPr>
        <w:t xml:space="preserve">4) </w:t>
      </w:r>
      <w:r w:rsidR="003D630B">
        <w:rPr>
          <w:lang w:val="en-US"/>
        </w:rPr>
        <w:t>are reviewable by the AAT</w:t>
      </w:r>
      <w:r w:rsidR="00114AE4">
        <w:rPr>
          <w:lang w:val="en-US"/>
        </w:rPr>
        <w:t xml:space="preserve"> (see s 500(1)</w:t>
      </w:r>
      <w:r w:rsidR="002D00F9">
        <w:rPr>
          <w:lang w:val="en-US"/>
        </w:rPr>
        <w:t>(b) and (</w:t>
      </w:r>
      <w:proofErr w:type="spellStart"/>
      <w:r w:rsidR="002D00F9">
        <w:rPr>
          <w:lang w:val="en-US"/>
        </w:rPr>
        <w:t>ba</w:t>
      </w:r>
      <w:proofErr w:type="spellEnd"/>
      <w:r w:rsidR="002D00F9">
        <w:rPr>
          <w:lang w:val="en-US"/>
        </w:rPr>
        <w:t>))</w:t>
      </w:r>
      <w:r w:rsidR="003D630B">
        <w:rPr>
          <w:lang w:val="en-US"/>
        </w:rPr>
        <w:t>.</w:t>
      </w:r>
    </w:p>
  </w:footnote>
  <w:footnote w:id="16">
    <w:p w14:paraId="06D71040" w14:textId="257D7F64" w:rsidR="00FB32B1" w:rsidRPr="00FB32B1" w:rsidRDefault="00FB32B1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>Administrative Appeals Tribu</w:t>
      </w:r>
      <w:r w:rsidR="0074639F">
        <w:rPr>
          <w:lang w:val="en-US"/>
        </w:rPr>
        <w:t>n</w:t>
      </w:r>
      <w:r>
        <w:rPr>
          <w:lang w:val="en-US"/>
        </w:rPr>
        <w:t xml:space="preserve">al, </w:t>
      </w:r>
      <w:r w:rsidRPr="0074639F">
        <w:rPr>
          <w:i/>
          <w:iCs/>
          <w:lang w:val="en-US"/>
        </w:rPr>
        <w:t>About the AAT</w:t>
      </w:r>
      <w:r>
        <w:rPr>
          <w:lang w:val="en-US"/>
        </w:rPr>
        <w:t xml:space="preserve">, at </w:t>
      </w:r>
      <w:hyperlink r:id="rId9" w:history="1">
        <w:r w:rsidR="0074639F" w:rsidRPr="00CA5FB8">
          <w:rPr>
            <w:rStyle w:val="Hyperlink"/>
            <w:sz w:val="20"/>
            <w:lang w:val="en-US"/>
          </w:rPr>
          <w:t>https://www.aat.gov.au/about-the-aat</w:t>
        </w:r>
      </w:hyperlink>
      <w:r w:rsidR="0074639F">
        <w:rPr>
          <w:lang w:val="en-US"/>
        </w:rPr>
        <w:t xml:space="preserve">. </w:t>
      </w:r>
    </w:p>
  </w:footnote>
  <w:footnote w:id="17">
    <w:p w14:paraId="2FAF118A" w14:textId="4C398520" w:rsidR="00CA52AE" w:rsidRPr="00CA52AE" w:rsidRDefault="00CA52AE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 xml:space="preserve">The AAT maintains an exhaustive list of Commonwealth laws under which decisions may be made that the AAT can review: </w:t>
      </w:r>
      <w:hyperlink r:id="rId10" w:history="1">
        <w:r w:rsidRPr="00CA5FB8">
          <w:rPr>
            <w:rStyle w:val="Hyperlink"/>
            <w:sz w:val="20"/>
            <w:lang w:val="en-US"/>
          </w:rPr>
          <w:t>https://www.aat.gov.au/AAT/media/AAT/Files/Lists/List-of-Reviewable-Decisions.pdf</w:t>
        </w:r>
      </w:hyperlink>
      <w:r>
        <w:rPr>
          <w:lang w:val="en-US"/>
        </w:rPr>
        <w:t>.</w:t>
      </w:r>
    </w:p>
  </w:footnote>
  <w:footnote w:id="18">
    <w:p w14:paraId="5F0EC5B2" w14:textId="6BC3E430" w:rsidR="009D3A10" w:rsidRPr="009D3A10" w:rsidRDefault="009D3A10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>Migration Act, ss </w:t>
      </w:r>
      <w:r w:rsidR="00430279">
        <w:rPr>
          <w:lang w:val="en-US"/>
        </w:rPr>
        <w:t>501</w:t>
      </w:r>
      <w:proofErr w:type="gramStart"/>
      <w:r w:rsidR="00430279">
        <w:rPr>
          <w:lang w:val="en-US"/>
        </w:rPr>
        <w:t>A(</w:t>
      </w:r>
      <w:proofErr w:type="gramEnd"/>
      <w:r w:rsidR="00430279">
        <w:rPr>
          <w:lang w:val="en-US"/>
        </w:rPr>
        <w:t xml:space="preserve">3) and 501BA(2).  See also Australian Human Rights Commission, </w:t>
      </w:r>
      <w:r w:rsidR="00430279" w:rsidRPr="006D6921">
        <w:rPr>
          <w:i/>
          <w:iCs/>
          <w:lang w:val="en-US"/>
        </w:rPr>
        <w:t>Review processes associated with visa cancellations made on criminal grounds</w:t>
      </w:r>
      <w:r w:rsidR="00430279">
        <w:rPr>
          <w:lang w:val="en-US"/>
        </w:rPr>
        <w:t>, submission to the Joint Standing Committee on Migration, 27 April 2018, at [</w:t>
      </w:r>
      <w:r w:rsidR="000A3F5E">
        <w:rPr>
          <w:lang w:val="en-US"/>
        </w:rPr>
        <w:t>189</w:t>
      </w:r>
      <w:r w:rsidR="00430279">
        <w:rPr>
          <w:lang w:val="en-US"/>
        </w:rPr>
        <w:t>]–[</w:t>
      </w:r>
      <w:r w:rsidR="001B47AF">
        <w:rPr>
          <w:lang w:val="en-US"/>
        </w:rPr>
        <w:t>194</w:t>
      </w:r>
      <w:r w:rsidR="00430279">
        <w:rPr>
          <w:lang w:val="en-US"/>
        </w:rPr>
        <w:t xml:space="preserve">] </w:t>
      </w:r>
      <w:hyperlink r:id="rId11" w:history="1">
        <w:r w:rsidR="00430279" w:rsidRPr="00CA5FB8">
          <w:rPr>
            <w:rStyle w:val="Hyperlink"/>
            <w:sz w:val="20"/>
            <w:lang w:val="en-US"/>
          </w:rPr>
          <w:t>https://www.aph.gov.au/DocumentStore.ashx?id=92c3250b-7f7f-44a7-be0e-148869775611&amp;subId=565322</w:t>
        </w:r>
      </w:hyperlink>
      <w:r w:rsidR="00430279">
        <w:rPr>
          <w:lang w:val="en-US"/>
        </w:rPr>
        <w:t>.</w:t>
      </w:r>
    </w:p>
  </w:footnote>
  <w:footnote w:id="19">
    <w:p w14:paraId="3AD05745" w14:textId="5F3DEC79" w:rsidR="00B40EDA" w:rsidRPr="00B40EDA" w:rsidRDefault="00B40EDA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>Migration Act, s 501</w:t>
      </w:r>
      <w:proofErr w:type="gramStart"/>
      <w:r>
        <w:rPr>
          <w:lang w:val="en-US"/>
        </w:rPr>
        <w:t>A</w:t>
      </w:r>
      <w:r w:rsidR="001875C6">
        <w:rPr>
          <w:lang w:val="en-US"/>
        </w:rPr>
        <w:t>(</w:t>
      </w:r>
      <w:proofErr w:type="gramEnd"/>
      <w:r w:rsidR="001875C6">
        <w:rPr>
          <w:lang w:val="en-US"/>
        </w:rPr>
        <w:t xml:space="preserve">2) and </w:t>
      </w:r>
      <w:r>
        <w:rPr>
          <w:lang w:val="en-US"/>
        </w:rPr>
        <w:t>(3)</w:t>
      </w:r>
      <w:r w:rsidR="006B65FD">
        <w:rPr>
          <w:lang w:val="en-US"/>
        </w:rPr>
        <w:t>.  See also s 501</w:t>
      </w:r>
      <w:proofErr w:type="gramStart"/>
      <w:r w:rsidR="006B65FD">
        <w:rPr>
          <w:lang w:val="en-US"/>
        </w:rPr>
        <w:t>BA</w:t>
      </w:r>
      <w:r w:rsidR="002E56C2">
        <w:rPr>
          <w:lang w:val="en-US"/>
        </w:rPr>
        <w:t>(</w:t>
      </w:r>
      <w:proofErr w:type="gramEnd"/>
      <w:r w:rsidR="002E56C2">
        <w:rPr>
          <w:lang w:val="en-US"/>
        </w:rPr>
        <w:t xml:space="preserve">2): the Minister may </w:t>
      </w:r>
      <w:r w:rsidR="00475829">
        <w:rPr>
          <w:lang w:val="en-US"/>
        </w:rPr>
        <w:t xml:space="preserve">set aside a decision </w:t>
      </w:r>
      <w:r w:rsidR="00474BBE">
        <w:rPr>
          <w:lang w:val="en-US"/>
        </w:rPr>
        <w:t xml:space="preserve">by the AAT </w:t>
      </w:r>
      <w:r w:rsidR="00606761">
        <w:rPr>
          <w:lang w:val="en-US"/>
        </w:rPr>
        <w:t xml:space="preserve">under s 501CA </w:t>
      </w:r>
      <w:r w:rsidR="00475829">
        <w:rPr>
          <w:lang w:val="en-US"/>
        </w:rPr>
        <w:t xml:space="preserve">to revoke a ‘mandatory’ cancellation decision </w:t>
      </w:r>
      <w:r w:rsidR="00474BBE">
        <w:rPr>
          <w:lang w:val="en-US"/>
        </w:rPr>
        <w:t>of a delegate of the Minister unde</w:t>
      </w:r>
      <w:r w:rsidR="00606761">
        <w:rPr>
          <w:lang w:val="en-US"/>
        </w:rPr>
        <w:t>r s 501(3A)</w:t>
      </w:r>
      <w:r w:rsidR="00474BBE">
        <w:rPr>
          <w:lang w:val="en-US"/>
        </w:rPr>
        <w:t xml:space="preserve">, and </w:t>
      </w:r>
      <w:r w:rsidR="00483F5A">
        <w:rPr>
          <w:lang w:val="en-US"/>
        </w:rPr>
        <w:t xml:space="preserve">instead </w:t>
      </w:r>
      <w:r w:rsidR="00474BBE">
        <w:rPr>
          <w:lang w:val="en-US"/>
        </w:rPr>
        <w:t>can</w:t>
      </w:r>
      <w:r w:rsidR="00483F5A">
        <w:rPr>
          <w:lang w:val="en-US"/>
        </w:rPr>
        <w:t>cel a visa that has been granted to a person.</w:t>
      </w:r>
    </w:p>
  </w:footnote>
  <w:footnote w:id="20">
    <w:p w14:paraId="1E98C016" w14:textId="3BD3947C" w:rsidR="00895D37" w:rsidRPr="00895D37" w:rsidRDefault="00895D37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Pr="00C743E0">
        <w:rPr>
          <w:lang w:val="en-US"/>
        </w:rPr>
        <w:t xml:space="preserve">Administrative Review Council, </w:t>
      </w:r>
      <w:proofErr w:type="gramStart"/>
      <w:r w:rsidRPr="00C743E0">
        <w:rPr>
          <w:i/>
          <w:iCs/>
          <w:lang w:val="en-US"/>
        </w:rPr>
        <w:t>What</w:t>
      </w:r>
      <w:proofErr w:type="gramEnd"/>
      <w:r w:rsidRPr="00C743E0">
        <w:rPr>
          <w:i/>
          <w:iCs/>
          <w:lang w:val="en-US"/>
        </w:rPr>
        <w:t xml:space="preserve"> decisions should be subject to merits review?</w:t>
      </w:r>
      <w:r w:rsidRPr="00C743E0">
        <w:rPr>
          <w:lang w:val="en-US"/>
        </w:rPr>
        <w:t xml:space="preserve"> (1999)</w:t>
      </w:r>
      <w:r w:rsidR="00F449D9">
        <w:rPr>
          <w:lang w:val="en-US"/>
        </w:rPr>
        <w:t xml:space="preserve">, </w:t>
      </w:r>
      <w:hyperlink r:id="rId12" w:history="1">
        <w:r w:rsidRPr="00CA5FB8">
          <w:rPr>
            <w:rStyle w:val="Hyperlink"/>
            <w:sz w:val="20"/>
            <w:lang w:val="en-US"/>
          </w:rPr>
          <w:t>https://www.ag.gov.au/legal-system/administrative-law/administrative-review-council-publications/what-decisions-should-be-subject-merit-review-1999</w:t>
        </w:r>
      </w:hyperlink>
      <w:r>
        <w:rPr>
          <w:lang w:val="en-US"/>
        </w:rPr>
        <w:t>.</w:t>
      </w:r>
    </w:p>
  </w:footnote>
  <w:footnote w:id="21">
    <w:p w14:paraId="65C21481" w14:textId="60372F19" w:rsidR="00531C87" w:rsidRPr="00531C87" w:rsidRDefault="00531C87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="0071299E">
        <w:rPr>
          <w:lang w:val="en-US"/>
        </w:rPr>
        <w:t xml:space="preserve">See, for </w:t>
      </w:r>
      <w:r>
        <w:rPr>
          <w:lang w:val="en-US"/>
        </w:rPr>
        <w:t>example</w:t>
      </w:r>
      <w:r w:rsidR="0071299E">
        <w:rPr>
          <w:lang w:val="en-US"/>
        </w:rPr>
        <w:t xml:space="preserve">, </w:t>
      </w:r>
      <w:r w:rsidR="0079218E">
        <w:rPr>
          <w:lang w:val="en-US"/>
        </w:rPr>
        <w:t xml:space="preserve">Explanatory Memorandum for the Australian Security Intelligence </w:t>
      </w:r>
      <w:proofErr w:type="spellStart"/>
      <w:r w:rsidR="0079218E">
        <w:rPr>
          <w:lang w:val="en-US"/>
        </w:rPr>
        <w:t>Organisation</w:t>
      </w:r>
      <w:proofErr w:type="spellEnd"/>
      <w:r w:rsidR="0079218E">
        <w:rPr>
          <w:lang w:val="en-US"/>
        </w:rPr>
        <w:t xml:space="preserve"> Amendment Bill 2020 (</w:t>
      </w:r>
      <w:proofErr w:type="spellStart"/>
      <w:r w:rsidR="0079218E">
        <w:rPr>
          <w:lang w:val="en-US"/>
        </w:rPr>
        <w:t>Cth</w:t>
      </w:r>
      <w:proofErr w:type="spellEnd"/>
      <w:r w:rsidR="0079218E">
        <w:rPr>
          <w:lang w:val="en-US"/>
        </w:rPr>
        <w:t xml:space="preserve">), at </w:t>
      </w:r>
      <w:r w:rsidR="00D62DAE">
        <w:rPr>
          <w:lang w:val="en-US"/>
        </w:rPr>
        <w:t>[132]-[133].</w:t>
      </w:r>
    </w:p>
  </w:footnote>
  <w:footnote w:id="22">
    <w:p w14:paraId="16A332E5" w14:textId="44245E2D" w:rsidR="00B22183" w:rsidRPr="00B22183" w:rsidRDefault="00B22183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="003546BC" w:rsidRPr="00C743E0">
        <w:rPr>
          <w:lang w:val="en-US"/>
        </w:rPr>
        <w:t xml:space="preserve">Administrative Review Council, </w:t>
      </w:r>
      <w:proofErr w:type="gramStart"/>
      <w:r w:rsidR="003546BC" w:rsidRPr="00C743E0">
        <w:rPr>
          <w:i/>
          <w:iCs/>
          <w:lang w:val="en-US"/>
        </w:rPr>
        <w:t>What</w:t>
      </w:r>
      <w:proofErr w:type="gramEnd"/>
      <w:r w:rsidR="003546BC" w:rsidRPr="00C743E0">
        <w:rPr>
          <w:i/>
          <w:iCs/>
          <w:lang w:val="en-US"/>
        </w:rPr>
        <w:t xml:space="preserve"> decisions should be subject to merits review?</w:t>
      </w:r>
      <w:r w:rsidR="003546BC" w:rsidRPr="00C743E0">
        <w:rPr>
          <w:lang w:val="en-US"/>
        </w:rPr>
        <w:t xml:space="preserve"> (1999)</w:t>
      </w:r>
      <w:r w:rsidR="003546BC">
        <w:rPr>
          <w:lang w:val="en-US"/>
        </w:rPr>
        <w:t xml:space="preserve">, at </w:t>
      </w:r>
      <w:r w:rsidR="00F3037E">
        <w:rPr>
          <w:lang w:val="en-US"/>
        </w:rPr>
        <w:t>[2.1].</w:t>
      </w:r>
      <w:r w:rsidR="00E6351B">
        <w:rPr>
          <w:lang w:val="en-US"/>
        </w:rPr>
        <w:t xml:space="preserve"> </w:t>
      </w:r>
    </w:p>
  </w:footnote>
  <w:footnote w:id="23">
    <w:p w14:paraId="4569CE32" w14:textId="29A0A788" w:rsidR="00412541" w:rsidRPr="00412541" w:rsidRDefault="00412541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Pr="00C743E0">
        <w:rPr>
          <w:lang w:val="en-US"/>
        </w:rPr>
        <w:t xml:space="preserve">Administrative Review Council, </w:t>
      </w:r>
      <w:proofErr w:type="gramStart"/>
      <w:r w:rsidRPr="00C743E0">
        <w:rPr>
          <w:i/>
          <w:iCs/>
          <w:lang w:val="en-US"/>
        </w:rPr>
        <w:t>What</w:t>
      </w:r>
      <w:proofErr w:type="gramEnd"/>
      <w:r w:rsidRPr="00C743E0">
        <w:rPr>
          <w:i/>
          <w:iCs/>
          <w:lang w:val="en-US"/>
        </w:rPr>
        <w:t xml:space="preserve"> decisions should be subject to merits review?</w:t>
      </w:r>
      <w:r w:rsidRPr="00C743E0">
        <w:rPr>
          <w:lang w:val="en-US"/>
        </w:rPr>
        <w:t xml:space="preserve"> (1999)</w:t>
      </w:r>
      <w:r w:rsidR="003546BC">
        <w:rPr>
          <w:lang w:val="en-US"/>
        </w:rPr>
        <w:t>,</w:t>
      </w:r>
      <w:r>
        <w:rPr>
          <w:lang w:val="en-US"/>
        </w:rPr>
        <w:t xml:space="preserve"> at </w:t>
      </w:r>
      <w:r w:rsidR="004F7320">
        <w:rPr>
          <w:lang w:val="en-US"/>
        </w:rPr>
        <w:t>[5.16], [5.20]</w:t>
      </w:r>
      <w:proofErr w:type="gramStart"/>
      <w:r w:rsidR="004F7320">
        <w:rPr>
          <w:lang w:val="en-US"/>
        </w:rPr>
        <w:t>-[</w:t>
      </w:r>
      <w:proofErr w:type="gramEnd"/>
      <w:r w:rsidR="004F7320">
        <w:rPr>
          <w:lang w:val="en-US"/>
        </w:rPr>
        <w:t>5.23]</w:t>
      </w:r>
      <w:r w:rsidRPr="00C743E0">
        <w:rPr>
          <w:lang w:val="en-US"/>
        </w:rPr>
        <w:t>.</w:t>
      </w:r>
    </w:p>
  </w:footnote>
  <w:footnote w:id="24">
    <w:p w14:paraId="11D4286A" w14:textId="1C1B79E5" w:rsidR="0021632A" w:rsidRPr="0021632A" w:rsidRDefault="0021632A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Pr="0021632A">
        <w:rPr>
          <w:lang w:val="en-US"/>
        </w:rPr>
        <w:t>Senate Standing Committee for the Scrutiny of Bills, Scrutiny Digest 7 of 2017, 21 June 2017 at</w:t>
      </w:r>
      <w:r>
        <w:rPr>
          <w:lang w:val="en-US"/>
        </w:rPr>
        <w:t xml:space="preserve"> </w:t>
      </w:r>
      <w:r w:rsidRPr="0021632A">
        <w:rPr>
          <w:lang w:val="en-US"/>
        </w:rPr>
        <w:t>[1.56]</w:t>
      </w:r>
      <w:r>
        <w:rPr>
          <w:lang w:val="en-US"/>
        </w:rPr>
        <w:t xml:space="preserve">, </w:t>
      </w:r>
      <w:hyperlink r:id="rId13" w:history="1">
        <w:r w:rsidR="00E76CA2" w:rsidRPr="00CA5FB8">
          <w:rPr>
            <w:rStyle w:val="Hyperlink"/>
            <w:sz w:val="20"/>
            <w:lang w:val="en-US"/>
          </w:rPr>
          <w:t>http://www.aph.gov.au/~/media/Committees/Senate/committee/scrutiny/scrutiny digest/PDF/d07.pdf?la=</w:t>
        </w:r>
        <w:proofErr w:type="spellStart"/>
        <w:r w:rsidR="00E76CA2" w:rsidRPr="00CA5FB8">
          <w:rPr>
            <w:rStyle w:val="Hyperlink"/>
            <w:sz w:val="20"/>
            <w:lang w:val="en-US"/>
          </w:rPr>
          <w:t>en</w:t>
        </w:r>
        <w:proofErr w:type="spellEnd"/>
      </w:hyperlink>
      <w:r w:rsidR="009C1683">
        <w:rPr>
          <w:lang w:val="en-US"/>
        </w:rPr>
        <w:t xml:space="preserve">. </w:t>
      </w:r>
    </w:p>
  </w:footnote>
  <w:footnote w:id="25">
    <w:p w14:paraId="785BA519" w14:textId="0468FBA4" w:rsidR="00684851" w:rsidRPr="00684851" w:rsidRDefault="00684851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Pr="00684851">
        <w:rPr>
          <w:i/>
          <w:iCs/>
          <w:lang w:val="en-US"/>
        </w:rPr>
        <w:t>Migration Reform Act 1992</w:t>
      </w:r>
      <w:r w:rsidRPr="00684851">
        <w:rPr>
          <w:lang w:val="en-US"/>
        </w:rPr>
        <w:t xml:space="preserve"> (</w:t>
      </w:r>
      <w:proofErr w:type="spellStart"/>
      <w:r w:rsidRPr="00684851">
        <w:rPr>
          <w:lang w:val="en-US"/>
        </w:rPr>
        <w:t>Cth</w:t>
      </w:r>
      <w:proofErr w:type="spellEnd"/>
      <w:r w:rsidRPr="00684851">
        <w:rPr>
          <w:lang w:val="en-US"/>
        </w:rPr>
        <w:t xml:space="preserve">), the changes introducing Part 8 </w:t>
      </w:r>
      <w:r w:rsidR="00241A2F">
        <w:rPr>
          <w:lang w:val="en-US"/>
        </w:rPr>
        <w:t xml:space="preserve">of the Migration Act </w:t>
      </w:r>
      <w:r w:rsidRPr="00684851">
        <w:rPr>
          <w:lang w:val="en-US"/>
        </w:rPr>
        <w:t>came into effect on 1 September</w:t>
      </w:r>
      <w:r>
        <w:rPr>
          <w:lang w:val="en-US"/>
        </w:rPr>
        <w:t xml:space="preserve"> </w:t>
      </w:r>
      <w:r w:rsidRPr="00684851">
        <w:rPr>
          <w:lang w:val="en-US"/>
        </w:rPr>
        <w:t>1994.</w:t>
      </w:r>
    </w:p>
  </w:footnote>
  <w:footnote w:id="26">
    <w:p w14:paraId="6ED45690" w14:textId="0A32C98D" w:rsidR="00C05141" w:rsidRPr="00C05141" w:rsidRDefault="00C05141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="00125B5B" w:rsidRPr="00125B5B">
        <w:rPr>
          <w:lang w:val="en-US"/>
        </w:rPr>
        <w:t xml:space="preserve">Department of Immigration and Citizenship, </w:t>
      </w:r>
      <w:r w:rsidR="00125B5B" w:rsidRPr="00125B5B">
        <w:rPr>
          <w:i/>
          <w:iCs/>
          <w:lang w:val="en-US"/>
        </w:rPr>
        <w:t>Submission to the Administrative Review Council Consultation Paper on Judicial Review in Australia</w:t>
      </w:r>
      <w:r w:rsidR="00125B5B" w:rsidRPr="00125B5B">
        <w:rPr>
          <w:lang w:val="en-US"/>
        </w:rPr>
        <w:t xml:space="preserve"> (2011), p 2</w:t>
      </w:r>
      <w:r w:rsidR="00125B5B">
        <w:rPr>
          <w:lang w:val="en-US"/>
        </w:rPr>
        <w:t xml:space="preserve">. </w:t>
      </w:r>
    </w:p>
  </w:footnote>
  <w:footnote w:id="27">
    <w:p w14:paraId="2EB3BC83" w14:textId="78D1CCFD" w:rsidR="00D5422D" w:rsidRPr="00D5422D" w:rsidRDefault="00D5422D" w:rsidP="00A65E50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 xml:space="preserve">Australian Human Rights Commission, </w:t>
      </w:r>
      <w:r w:rsidRPr="008F0743">
        <w:rPr>
          <w:i/>
          <w:iCs/>
          <w:lang w:val="en-US"/>
        </w:rPr>
        <w:t>Migration Amendment (Clarification of Jurisdiction) Bill 2018</w:t>
      </w:r>
      <w:r>
        <w:rPr>
          <w:lang w:val="en-US"/>
        </w:rPr>
        <w:t xml:space="preserve">, submission to the </w:t>
      </w:r>
      <w:r w:rsidR="003A43B6">
        <w:rPr>
          <w:lang w:val="en-US"/>
        </w:rPr>
        <w:t xml:space="preserve">Senate Legal and Constitutional Affairs Legislation Committee, 4 April 2018, at [68]–[100], </w:t>
      </w:r>
      <w:hyperlink r:id="rId14" w:history="1">
        <w:r w:rsidR="002A7001" w:rsidRPr="00CA5FB8">
          <w:rPr>
            <w:rStyle w:val="Hyperlink"/>
            <w:sz w:val="20"/>
            <w:lang w:val="en-US"/>
          </w:rPr>
          <w:t>https://www.aph.gov.au/DocumentStore.ashx?id=a62b50cc-c67f-4158-87a7-2f1e0b673175&amp;subId=564701</w:t>
        </w:r>
      </w:hyperlink>
      <w:r w:rsidR="002A7001">
        <w:rPr>
          <w:lang w:val="en-US"/>
        </w:rPr>
        <w:t xml:space="preserve">. </w:t>
      </w:r>
      <w:r w:rsidR="004550B0">
        <w:rPr>
          <w:lang w:val="en-US"/>
        </w:rPr>
        <w:t>See also Australian Law Reform Commission</w:t>
      </w:r>
      <w:r w:rsidR="00A65E50">
        <w:rPr>
          <w:lang w:val="en-US"/>
        </w:rPr>
        <w:t xml:space="preserve">, </w:t>
      </w:r>
      <w:r w:rsidR="00A65E50" w:rsidRPr="00A65E50">
        <w:rPr>
          <w:i/>
          <w:iCs/>
          <w:lang w:val="en-US"/>
        </w:rPr>
        <w:t>Traditional Rights and Freedoms—Encroachments by Commonwealth Laws</w:t>
      </w:r>
      <w:r w:rsidR="00A65E50">
        <w:rPr>
          <w:lang w:val="en-US"/>
        </w:rPr>
        <w:t xml:space="preserve">, Final Report (2014), </w:t>
      </w:r>
      <w:r w:rsidR="00BC4B30">
        <w:rPr>
          <w:lang w:val="en-US"/>
        </w:rPr>
        <w:t>at [15.37]–[15.</w:t>
      </w:r>
      <w:r w:rsidR="007D5F2B">
        <w:rPr>
          <w:lang w:val="en-US"/>
        </w:rPr>
        <w:t>52]</w:t>
      </w:r>
      <w:r w:rsidR="00B5407C">
        <w:rPr>
          <w:lang w:val="en-US"/>
        </w:rPr>
        <w:t xml:space="preserve"> and [15.64]–[15.65] </w:t>
      </w:r>
      <w:hyperlink r:id="rId15" w:history="1">
        <w:r w:rsidR="007D5F2B" w:rsidRPr="003A46FD">
          <w:rPr>
            <w:rStyle w:val="Hyperlink"/>
            <w:sz w:val="20"/>
            <w:lang w:val="en-US"/>
          </w:rPr>
          <w:t>https://www.alrc.gov.au/wp-content/uploads/2019/08/alrc_129_final_report_.pdf</w:t>
        </w:r>
      </w:hyperlink>
      <w:r w:rsidR="007D5F2B">
        <w:rPr>
          <w:lang w:val="en-US"/>
        </w:rPr>
        <w:t xml:space="preserve">. </w:t>
      </w:r>
    </w:p>
  </w:footnote>
  <w:footnote w:id="28">
    <w:p w14:paraId="1F99430C" w14:textId="6C144A27" w:rsidR="001613C6" w:rsidRPr="001613C6" w:rsidRDefault="001613C6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Pr="001613C6">
        <w:rPr>
          <w:lang w:val="en-US"/>
        </w:rPr>
        <w:t xml:space="preserve">Administrative Review Council, </w:t>
      </w:r>
      <w:r w:rsidRPr="001613C6">
        <w:rPr>
          <w:i/>
          <w:iCs/>
          <w:lang w:val="en-US"/>
        </w:rPr>
        <w:t>Federal Judicial Review in Australia</w:t>
      </w:r>
      <w:r w:rsidRPr="001613C6">
        <w:rPr>
          <w:lang w:val="en-US"/>
        </w:rPr>
        <w:t>, Report No. 50 (2012), p</w:t>
      </w:r>
      <w:r>
        <w:rPr>
          <w:lang w:val="en-US"/>
        </w:rPr>
        <w:t> </w:t>
      </w:r>
      <w:r w:rsidRPr="001613C6">
        <w:rPr>
          <w:lang w:val="en-US"/>
        </w:rPr>
        <w:t>119</w:t>
      </w:r>
      <w:r>
        <w:rPr>
          <w:lang w:val="en-US"/>
        </w:rPr>
        <w:t xml:space="preserve"> </w:t>
      </w:r>
      <w:r w:rsidRPr="001613C6">
        <w:rPr>
          <w:lang w:val="en-US"/>
        </w:rPr>
        <w:t>[6.19]</w:t>
      </w:r>
      <w:r>
        <w:rPr>
          <w:lang w:val="en-US"/>
        </w:rPr>
        <w:t xml:space="preserve">, </w:t>
      </w:r>
      <w:hyperlink r:id="rId16" w:history="1">
        <w:r w:rsidR="00D53225" w:rsidRPr="00CA5FB8">
          <w:rPr>
            <w:rStyle w:val="Hyperlink"/>
            <w:sz w:val="20"/>
            <w:lang w:val="en-US"/>
          </w:rPr>
          <w:t>https://www.ag.gov.au/legal-system/publications/report-50-federal-judicial-review-australia-2012</w:t>
        </w:r>
      </w:hyperlink>
      <w:r w:rsidR="00D53225">
        <w:rPr>
          <w:lang w:val="en-US"/>
        </w:rPr>
        <w:t xml:space="preserve">. </w:t>
      </w:r>
    </w:p>
  </w:footnote>
  <w:footnote w:id="29">
    <w:p w14:paraId="69DA90A6" w14:textId="5A6D3244" w:rsidR="00E768C2" w:rsidRPr="00E768C2" w:rsidRDefault="00E768C2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 xml:space="preserve">Migration Act, </w:t>
      </w:r>
      <w:r w:rsidR="002D1346">
        <w:rPr>
          <w:lang w:val="en-US"/>
        </w:rPr>
        <w:t>s</w:t>
      </w:r>
      <w:r>
        <w:rPr>
          <w:lang w:val="en-US"/>
        </w:rPr>
        <w:t>s 501(3)</w:t>
      </w:r>
      <w:r w:rsidR="002D1346">
        <w:rPr>
          <w:lang w:val="en-US"/>
        </w:rPr>
        <w:t xml:space="preserve"> and 501</w:t>
      </w:r>
      <w:proofErr w:type="gramStart"/>
      <w:r w:rsidR="002D1346">
        <w:rPr>
          <w:lang w:val="en-US"/>
        </w:rPr>
        <w:t>A(</w:t>
      </w:r>
      <w:proofErr w:type="gramEnd"/>
      <w:r w:rsidR="002D1346">
        <w:rPr>
          <w:lang w:val="en-US"/>
        </w:rPr>
        <w:t>3).</w:t>
      </w:r>
    </w:p>
  </w:footnote>
  <w:footnote w:id="30">
    <w:p w14:paraId="4B6E8B83" w14:textId="0C6C067F" w:rsidR="00982354" w:rsidRPr="00982354" w:rsidRDefault="00982354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>Migration Act, s 501C.</w:t>
      </w:r>
    </w:p>
  </w:footnote>
  <w:footnote w:id="31">
    <w:p w14:paraId="12AD975C" w14:textId="3E0B278A" w:rsidR="004C51E4" w:rsidRPr="004C51E4" w:rsidRDefault="004C51E4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>Migration Act, s 501</w:t>
      </w:r>
      <w:proofErr w:type="gramStart"/>
      <w:r>
        <w:rPr>
          <w:lang w:val="en-US"/>
        </w:rPr>
        <w:t>C(</w:t>
      </w:r>
      <w:proofErr w:type="gramEnd"/>
      <w:r>
        <w:rPr>
          <w:lang w:val="en-US"/>
        </w:rPr>
        <w:t>8).</w:t>
      </w:r>
    </w:p>
  </w:footnote>
  <w:footnote w:id="32">
    <w:p w14:paraId="3C8B2329" w14:textId="77777777" w:rsidR="00EB6AAE" w:rsidRPr="00007C4D" w:rsidRDefault="00EB6AAE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 xml:space="preserve">Australian Human Rights Commission, </w:t>
      </w:r>
      <w:r w:rsidRPr="006D6921">
        <w:rPr>
          <w:i/>
          <w:iCs/>
          <w:lang w:val="en-US"/>
        </w:rPr>
        <w:t>Review processes associated with visa cancellations made on criminal grounds</w:t>
      </w:r>
      <w:r>
        <w:rPr>
          <w:lang w:val="en-US"/>
        </w:rPr>
        <w:t xml:space="preserve">, submission to the Joint Standing Committee on Migration, 27 April 2018, at [212]–[222] and Annexure A </w:t>
      </w:r>
      <w:hyperlink r:id="rId17" w:history="1">
        <w:r w:rsidRPr="00CA5FB8">
          <w:rPr>
            <w:rStyle w:val="Hyperlink"/>
            <w:sz w:val="20"/>
            <w:lang w:val="en-US"/>
          </w:rPr>
          <w:t>https://www.aph.gov.au/DocumentStore.ashx?id=92c3250b-7f7f-44a7-be0e-148869775611&amp;subId=565322</w:t>
        </w:r>
      </w:hyperlink>
      <w:r>
        <w:rPr>
          <w:lang w:val="en-US"/>
        </w:rPr>
        <w:t>.</w:t>
      </w:r>
    </w:p>
  </w:footnote>
  <w:footnote w:id="33">
    <w:p w14:paraId="3D5E30FC" w14:textId="036A6396" w:rsidR="000F442F" w:rsidRPr="000F442F" w:rsidRDefault="000F442F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Pr="000F442F">
        <w:rPr>
          <w:lang w:val="en-US"/>
        </w:rPr>
        <w:t>Australian Citizenship Legislation (Strengthening the Requirements for Australian Citizenship and</w:t>
      </w:r>
      <w:r>
        <w:rPr>
          <w:lang w:val="en-US"/>
        </w:rPr>
        <w:t xml:space="preserve"> </w:t>
      </w:r>
      <w:r w:rsidRPr="000F442F">
        <w:rPr>
          <w:lang w:val="en-US"/>
        </w:rPr>
        <w:t>Other Measures) Bill 2017 (</w:t>
      </w:r>
      <w:proofErr w:type="spellStart"/>
      <w:r w:rsidRPr="000F442F">
        <w:rPr>
          <w:lang w:val="en-US"/>
        </w:rPr>
        <w:t>Cth</w:t>
      </w:r>
      <w:proofErr w:type="spellEnd"/>
      <w:r w:rsidRPr="000F442F">
        <w:rPr>
          <w:lang w:val="en-US"/>
        </w:rPr>
        <w:t xml:space="preserve">) </w:t>
      </w:r>
      <w:r>
        <w:rPr>
          <w:lang w:val="en-US"/>
        </w:rPr>
        <w:t xml:space="preserve">proposed </w:t>
      </w:r>
      <w:r w:rsidRPr="000F442F">
        <w:rPr>
          <w:lang w:val="en-US"/>
        </w:rPr>
        <w:t>s 52B</w:t>
      </w:r>
      <w:r>
        <w:rPr>
          <w:lang w:val="en-US"/>
        </w:rPr>
        <w:t>.</w:t>
      </w:r>
    </w:p>
  </w:footnote>
  <w:footnote w:id="34">
    <w:p w14:paraId="3275B8BE" w14:textId="7951471F" w:rsidR="00923D0F" w:rsidRPr="00CE41BD" w:rsidRDefault="00923D0F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 xml:space="preserve">Commonwealth Administrative Review Committee, </w:t>
      </w:r>
      <w:r w:rsidRPr="0029405C">
        <w:rPr>
          <w:i/>
          <w:iCs/>
          <w:lang w:val="en-US"/>
        </w:rPr>
        <w:t>Report</w:t>
      </w:r>
      <w:r>
        <w:rPr>
          <w:lang w:val="en-US"/>
        </w:rPr>
        <w:t>, Parliamentary Paper No. 144 (1971), chaired by the Hon Justice JR Kerr CMG, p 103</w:t>
      </w:r>
      <w:r w:rsidR="003328B4">
        <w:rPr>
          <w:lang w:val="en-US"/>
        </w:rPr>
        <w:t xml:space="preserve">, </w:t>
      </w:r>
      <w:hyperlink r:id="rId18" w:anchor="page/n108/mode/1up" w:history="1">
        <w:r w:rsidR="003328B4" w:rsidRPr="00CA5FB8">
          <w:rPr>
            <w:rStyle w:val="Hyperlink"/>
            <w:sz w:val="20"/>
            <w:lang w:val="en-US"/>
          </w:rPr>
          <w:t>https://nla.gov.au/nla.obj-1928610510/view?partId=nla.obj-1933499998#page/n108/mode/1up</w:t>
        </w:r>
      </w:hyperlink>
      <w:r>
        <w:rPr>
          <w:lang w:val="en-US"/>
        </w:rPr>
        <w:t>.</w:t>
      </w:r>
    </w:p>
  </w:footnote>
  <w:footnote w:id="35">
    <w:p w14:paraId="720BECD3" w14:textId="505D4C35" w:rsidR="00004EE3" w:rsidRPr="00004EE3" w:rsidRDefault="00004EE3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 xml:space="preserve">Australian Government, </w:t>
      </w:r>
      <w:r w:rsidRPr="00E9715F">
        <w:rPr>
          <w:i/>
          <w:iCs/>
          <w:lang w:val="en-US"/>
        </w:rPr>
        <w:t>Bud</w:t>
      </w:r>
      <w:r w:rsidR="009E6F6D" w:rsidRPr="00E9715F">
        <w:rPr>
          <w:i/>
          <w:iCs/>
          <w:lang w:val="en-US"/>
        </w:rPr>
        <w:t>get 2015-16, Budget Measures, Budget Paper No. 2</w:t>
      </w:r>
      <w:r w:rsidR="009E6F6D">
        <w:rPr>
          <w:lang w:val="en-US"/>
        </w:rPr>
        <w:t>,</w:t>
      </w:r>
      <w:r>
        <w:rPr>
          <w:lang w:val="en-US"/>
        </w:rPr>
        <w:t xml:space="preserve"> p 65, at </w:t>
      </w:r>
      <w:hyperlink r:id="rId19" w:history="1">
        <w:r w:rsidR="009E6F6D" w:rsidRPr="00CA5FB8">
          <w:rPr>
            <w:rStyle w:val="Hyperlink"/>
            <w:sz w:val="20"/>
            <w:lang w:val="en-US"/>
          </w:rPr>
          <w:t>https://archive.budget.gov.au/2015-16/bp2/BP2_consolidated.pdf</w:t>
        </w:r>
      </w:hyperlink>
      <w:r w:rsidR="009E6F6D">
        <w:rPr>
          <w:lang w:val="en-US"/>
        </w:rPr>
        <w:t xml:space="preserve">. </w:t>
      </w:r>
    </w:p>
  </w:footnote>
  <w:footnote w:id="36">
    <w:p w14:paraId="7220B91C" w14:textId="06E82691" w:rsidR="00C8641D" w:rsidRPr="00C8641D" w:rsidRDefault="00C8641D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="00B11FF2">
        <w:rPr>
          <w:lang w:val="en-US"/>
        </w:rPr>
        <w:t xml:space="preserve">IDF Callinan AC, </w:t>
      </w:r>
      <w:r w:rsidR="00B11FF2" w:rsidRPr="00727CBB">
        <w:rPr>
          <w:i/>
          <w:iCs/>
          <w:lang w:val="en-US"/>
        </w:rPr>
        <w:t>Review: section 4 of the Tribunals Amalgamation Act 2015 (</w:t>
      </w:r>
      <w:proofErr w:type="spellStart"/>
      <w:r w:rsidR="00B11FF2" w:rsidRPr="00727CBB">
        <w:rPr>
          <w:i/>
          <w:iCs/>
          <w:lang w:val="en-US"/>
        </w:rPr>
        <w:t>Cth</w:t>
      </w:r>
      <w:proofErr w:type="spellEnd"/>
      <w:r w:rsidR="00B11FF2" w:rsidRPr="00727CBB">
        <w:rPr>
          <w:i/>
          <w:iCs/>
          <w:lang w:val="en-US"/>
        </w:rPr>
        <w:t>)</w:t>
      </w:r>
      <w:r w:rsidR="00B11FF2">
        <w:rPr>
          <w:lang w:val="en-US"/>
        </w:rPr>
        <w:t xml:space="preserve">, Report </w:t>
      </w:r>
      <w:r w:rsidR="0082166E">
        <w:rPr>
          <w:lang w:val="en-US"/>
        </w:rPr>
        <w:t>(</w:t>
      </w:r>
      <w:r w:rsidR="002F2C7E">
        <w:rPr>
          <w:lang w:val="en-US"/>
        </w:rPr>
        <w:t>2018</w:t>
      </w:r>
      <w:r w:rsidR="0082166E">
        <w:rPr>
          <w:lang w:val="en-US"/>
        </w:rPr>
        <w:t xml:space="preserve">) </w:t>
      </w:r>
      <w:r w:rsidR="00B11FF2">
        <w:rPr>
          <w:lang w:val="en-US"/>
        </w:rPr>
        <w:t>at</w:t>
      </w:r>
      <w:r w:rsidR="00400348">
        <w:rPr>
          <w:lang w:val="en-US"/>
        </w:rPr>
        <w:t xml:space="preserve"> [1.27]</w:t>
      </w:r>
      <w:r w:rsidR="00727CBB">
        <w:rPr>
          <w:lang w:val="en-US"/>
        </w:rPr>
        <w:t>,</w:t>
      </w:r>
      <w:r w:rsidR="00B11FF2">
        <w:rPr>
          <w:lang w:val="en-US"/>
        </w:rPr>
        <w:t xml:space="preserve"> </w:t>
      </w:r>
      <w:hyperlink r:id="rId20" w:history="1">
        <w:r w:rsidR="00400348" w:rsidRPr="00CA5FB8">
          <w:rPr>
            <w:rStyle w:val="Hyperlink"/>
            <w:sz w:val="20"/>
            <w:lang w:val="en-US"/>
          </w:rPr>
          <w:t>https://www.ag.gov.au/sites/default/files/2020-03/report-statutory-review-aat.pdf</w:t>
        </w:r>
      </w:hyperlink>
      <w:r w:rsidR="00400348">
        <w:rPr>
          <w:lang w:val="en-US"/>
        </w:rPr>
        <w:t xml:space="preserve">. </w:t>
      </w:r>
    </w:p>
  </w:footnote>
  <w:footnote w:id="37">
    <w:p w14:paraId="35291ADA" w14:textId="3C957B31" w:rsidR="0082166E" w:rsidRPr="00C8641D" w:rsidRDefault="0082166E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 xml:space="preserve">IDF Callinan AC, </w:t>
      </w:r>
      <w:r w:rsidRPr="00727CBB">
        <w:rPr>
          <w:i/>
          <w:iCs/>
          <w:lang w:val="en-US"/>
        </w:rPr>
        <w:t>Review: section 4 of the Tribunals Amalgamation Act 2015 (</w:t>
      </w:r>
      <w:proofErr w:type="spellStart"/>
      <w:r w:rsidRPr="00727CBB">
        <w:rPr>
          <w:i/>
          <w:iCs/>
          <w:lang w:val="en-US"/>
        </w:rPr>
        <w:t>Cth</w:t>
      </w:r>
      <w:proofErr w:type="spellEnd"/>
      <w:r w:rsidRPr="00727CBB">
        <w:rPr>
          <w:i/>
          <w:iCs/>
          <w:lang w:val="en-US"/>
        </w:rPr>
        <w:t>)</w:t>
      </w:r>
      <w:r>
        <w:rPr>
          <w:lang w:val="en-US"/>
        </w:rPr>
        <w:t xml:space="preserve">, Report (2018) recommendation 26. </w:t>
      </w:r>
    </w:p>
  </w:footnote>
  <w:footnote w:id="38">
    <w:p w14:paraId="393D1368" w14:textId="51999BDF" w:rsidR="000175C5" w:rsidRPr="000175C5" w:rsidRDefault="000175C5" w:rsidP="00261E7E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>AAT Act, s 51.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1DBD" w14:textId="77777777" w:rsidR="00CF6C2C" w:rsidRPr="00CF6C2C" w:rsidRDefault="00CF6C2C">
    <w:pPr>
      <w:pStyle w:val="Header"/>
      <w:rPr>
        <w:sz w:val="16"/>
      </w:rPr>
    </w:pPr>
  </w:p>
  <w:p w14:paraId="0F42A11F" w14:textId="77777777" w:rsidR="00867612" w:rsidRDefault="00860C16">
    <w:pPr>
      <w:pStyle w:val="Header"/>
    </w:pPr>
    <w:r>
      <w:t>Australian Human Rights Commission</w:t>
    </w:r>
  </w:p>
  <w:p w14:paraId="0A2BE45A" w14:textId="77777777" w:rsidR="00093A6D" w:rsidRPr="001334CB" w:rsidRDefault="00CE2800" w:rsidP="001334CB">
    <w:pPr>
      <w:pStyle w:val="Header"/>
      <w:rPr>
        <w:rStyle w:val="HeaderTitle"/>
      </w:rPr>
    </w:pPr>
    <w:r>
      <w:rPr>
        <w:rStyle w:val="HeaderTitle"/>
      </w:rPr>
      <w:t>Chief Executive</w:t>
    </w:r>
  </w:p>
  <w:p w14:paraId="50E40C1D" w14:textId="77777777" w:rsidR="00093A6D" w:rsidRDefault="00CE2800" w:rsidP="001334CB">
    <w:pPr>
      <w:pStyle w:val="Header"/>
      <w:rPr>
        <w:rStyle w:val="HeaderTitle"/>
      </w:rPr>
    </w:pPr>
    <w:r>
      <w:rPr>
        <w:rStyle w:val="HeaderTitle"/>
      </w:rPr>
      <w:t>Padma Raman PSM</w:t>
    </w:r>
  </w:p>
  <w:p w14:paraId="57B18FF2" w14:textId="77777777" w:rsidR="00CF6C2C" w:rsidRPr="00CF6C2C" w:rsidRDefault="00CF6C2C" w:rsidP="001334CB">
    <w:pPr>
      <w:pStyle w:val="Header"/>
      <w:rPr>
        <w:rStyle w:val="HeaderTitle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E5F3" w14:textId="77777777" w:rsidR="00785A81" w:rsidRPr="00BD0306" w:rsidRDefault="00785A81" w:rsidP="00C71D32">
    <w:pPr>
      <w:pStyle w:val="Header"/>
      <w:rPr>
        <w:sz w:val="16"/>
      </w:rPr>
    </w:pPr>
  </w:p>
  <w:p w14:paraId="624297BB" w14:textId="77777777" w:rsidR="00A4438B" w:rsidRDefault="00D5682C" w:rsidP="00C71D32">
    <w:pPr>
      <w:pStyle w:val="Header"/>
    </w:pPr>
    <w:r>
      <w:t>Australian Human Rights Commission</w:t>
    </w:r>
  </w:p>
  <w:p w14:paraId="2FC3D5E6" w14:textId="77777777" w:rsidR="000438F2" w:rsidRPr="001334CB" w:rsidRDefault="000438F2" w:rsidP="000438F2">
    <w:pPr>
      <w:pStyle w:val="Header"/>
      <w:rPr>
        <w:rStyle w:val="HeaderTitle"/>
      </w:rPr>
    </w:pPr>
    <w:r>
      <w:rPr>
        <w:rStyle w:val="HeaderTitle"/>
      </w:rPr>
      <w:t>President</w:t>
    </w:r>
  </w:p>
  <w:p w14:paraId="06F1A0CA" w14:textId="77777777" w:rsidR="000438F2" w:rsidRPr="001334CB" w:rsidRDefault="000438F2" w:rsidP="000438F2">
    <w:pPr>
      <w:pStyle w:val="Header"/>
      <w:rPr>
        <w:rStyle w:val="HeaderTitle"/>
      </w:rPr>
    </w:pPr>
    <w:r w:rsidRPr="0008469E">
      <w:rPr>
        <w:rStyle w:val="HeaderTitle"/>
      </w:rPr>
      <w:t>Emeritus Professor Rosalind Croucher AM</w:t>
    </w:r>
  </w:p>
  <w:p w14:paraId="7EB21CC0" w14:textId="77777777" w:rsidR="00093A6D" w:rsidRPr="001334CB" w:rsidRDefault="00093A6D" w:rsidP="000371DE">
    <w:pPr>
      <w:pStyle w:val="Header"/>
      <w:rPr>
        <w:rStyle w:val="HeaderTit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66"/>
      <w:gridCol w:w="5404"/>
    </w:tblGrid>
    <w:tr w:rsidR="003F2F20" w:rsidRPr="00F67D3F" w14:paraId="7648DCBF" w14:textId="77777777" w:rsidTr="006851C0">
      <w:trPr>
        <w:trHeight w:val="20"/>
      </w:trPr>
      <w:tc>
        <w:tcPr>
          <w:tcW w:w="1951" w:type="pct"/>
        </w:tcPr>
        <w:p w14:paraId="15D684C9" w14:textId="77777777" w:rsidR="003F2F20" w:rsidRPr="008D1634" w:rsidRDefault="003F2F20" w:rsidP="003F2F20">
          <w:pPr>
            <w:pStyle w:val="Header"/>
            <w:tabs>
              <w:tab w:val="clear" w:pos="4513"/>
              <w:tab w:val="clear" w:pos="9026"/>
            </w:tabs>
            <w:jc w:val="center"/>
            <w:rPr>
              <w:rFonts w:cs="ArialMT"/>
              <w:b/>
              <w:color w:val="000000"/>
              <w:spacing w:val="-20"/>
              <w:sz w:val="32"/>
              <w:lang w:val="en-US" w:eastAsia="en-US" w:bidi="en-US"/>
            </w:rPr>
          </w:pPr>
          <w:r>
            <w:rPr>
              <w:rFonts w:cs="ArialMT"/>
              <w:b/>
              <w:noProof/>
              <w:color w:val="000000"/>
              <w:spacing w:val="-20"/>
              <w:sz w:val="32"/>
            </w:rPr>
            <w:drawing>
              <wp:inline distT="0" distB="0" distL="0" distR="0" wp14:anchorId="61B619E1" wp14:editId="220BC7D9">
                <wp:extent cx="2181860" cy="746125"/>
                <wp:effectExtent l="0" t="0" r="8890" b="0"/>
                <wp:docPr id="82" name="Picture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HRC-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860" cy="746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9" w:type="pct"/>
          <w:vAlign w:val="bottom"/>
        </w:tcPr>
        <w:p w14:paraId="61B0D208" w14:textId="77777777" w:rsidR="000438F2" w:rsidRPr="004D31F9" w:rsidRDefault="000438F2" w:rsidP="000438F2">
          <w:pPr>
            <w:pStyle w:val="HeaderLogoType"/>
          </w:pPr>
          <w:r w:rsidRPr="004D31F9">
            <w:rPr>
              <w:noProof/>
              <w:lang w:val="en-AU" w:eastAsia="en-AU" w:bidi="ar-SA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8FE9404" wp14:editId="19814289">
                    <wp:simplePos x="0" y="0"/>
                    <wp:positionH relativeFrom="column">
                      <wp:posOffset>143510</wp:posOffset>
                    </wp:positionH>
                    <wp:positionV relativeFrom="paragraph">
                      <wp:posOffset>203835</wp:posOffset>
                    </wp:positionV>
                    <wp:extent cx="3140710" cy="0"/>
                    <wp:effectExtent l="0" t="0" r="21590" b="19050"/>
                    <wp:wrapNone/>
                    <wp:docPr id="2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1407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6D097AB" id="Line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pt,16.05pt" to="258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" strokecolor="#5f5f5f"/>
                </w:pict>
              </mc:Fallback>
            </mc:AlternateContent>
          </w:r>
          <w:r>
            <w:t>President</w:t>
          </w:r>
        </w:p>
        <w:p w14:paraId="577673E4" w14:textId="77777777" w:rsidR="003F2F20" w:rsidRPr="003C12AD" w:rsidRDefault="000438F2" w:rsidP="000438F2">
          <w:pPr>
            <w:pStyle w:val="HeaderLogoType"/>
            <w:spacing w:after="120"/>
          </w:pPr>
          <w:r>
            <w:t>Emeritus Professor Rosalind Croucher AM</w:t>
          </w:r>
        </w:p>
      </w:tc>
    </w:tr>
  </w:tbl>
  <w:p w14:paraId="6449934E" w14:textId="77777777" w:rsidR="003F2F20" w:rsidRPr="00E15E66" w:rsidRDefault="003F2F20" w:rsidP="003F2F20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F081F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 w15:restartNumberingAfterBreak="0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66965D9"/>
    <w:multiLevelType w:val="hybridMultilevel"/>
    <w:tmpl w:val="4462F236"/>
    <w:lvl w:ilvl="0" w:tplc="546080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F7A73"/>
    <w:multiLevelType w:val="multilevel"/>
    <w:tmpl w:val="75C8E29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0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C685BF8"/>
    <w:multiLevelType w:val="hybridMultilevel"/>
    <w:tmpl w:val="2DDE0BAA"/>
    <w:lvl w:ilvl="0" w:tplc="BD66A1EC">
      <w:start w:val="1"/>
      <w:numFmt w:val="bullet"/>
      <w:lvlText w:val=""/>
      <w:lvlJc w:val="left"/>
      <w:pPr>
        <w:ind w:left="11322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92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0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7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14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21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28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36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4335" w:hanging="360"/>
      </w:pPr>
      <w:rPr>
        <w:rFonts w:ascii="Wingdings" w:hAnsi="Wingdings" w:hint="default"/>
      </w:rPr>
    </w:lvl>
  </w:abstractNum>
  <w:abstractNum w:abstractNumId="25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1547C4C"/>
    <w:multiLevelType w:val="hybridMultilevel"/>
    <w:tmpl w:val="2AFC5CE2"/>
    <w:lvl w:ilvl="0" w:tplc="1090BF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1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20"/>
  </w:num>
  <w:num w:numId="18">
    <w:abstractNumId w:val="17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6"/>
  </w:num>
  <w:num w:numId="23">
    <w:abstractNumId w:val="28"/>
  </w:num>
  <w:num w:numId="24">
    <w:abstractNumId w:val="29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5"/>
  </w:num>
  <w:num w:numId="31">
    <w:abstractNumId w:val="18"/>
  </w:num>
  <w:num w:numId="32">
    <w:abstractNumId w:val="24"/>
  </w:num>
  <w:num w:numId="33">
    <w:abstractNumId w:val="9"/>
  </w:num>
  <w:num w:numId="34">
    <w:abstractNumId w:val="9"/>
  </w:num>
  <w:num w:numId="35">
    <w:abstractNumId w:val="9"/>
  </w:num>
  <w:num w:numId="36">
    <w:abstractNumId w:val="2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trackedChange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5f5f5f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59"/>
    <w:rsid w:val="000002B8"/>
    <w:rsid w:val="00000871"/>
    <w:rsid w:val="00001A29"/>
    <w:rsid w:val="00004EE3"/>
    <w:rsid w:val="00007C4D"/>
    <w:rsid w:val="00014D9A"/>
    <w:rsid w:val="000155B1"/>
    <w:rsid w:val="00016045"/>
    <w:rsid w:val="000175C5"/>
    <w:rsid w:val="000218DC"/>
    <w:rsid w:val="00024C4F"/>
    <w:rsid w:val="00031A24"/>
    <w:rsid w:val="000371DE"/>
    <w:rsid w:val="00040B26"/>
    <w:rsid w:val="00041650"/>
    <w:rsid w:val="000421F2"/>
    <w:rsid w:val="000438F2"/>
    <w:rsid w:val="00044091"/>
    <w:rsid w:val="0004519C"/>
    <w:rsid w:val="00050014"/>
    <w:rsid w:val="00051940"/>
    <w:rsid w:val="000579B1"/>
    <w:rsid w:val="000600AA"/>
    <w:rsid w:val="000642C5"/>
    <w:rsid w:val="00065104"/>
    <w:rsid w:val="0006516D"/>
    <w:rsid w:val="00065CE3"/>
    <w:rsid w:val="00066163"/>
    <w:rsid w:val="00067507"/>
    <w:rsid w:val="00073250"/>
    <w:rsid w:val="00074B3E"/>
    <w:rsid w:val="00075A4D"/>
    <w:rsid w:val="000803AB"/>
    <w:rsid w:val="00080D48"/>
    <w:rsid w:val="00087F07"/>
    <w:rsid w:val="00093A6D"/>
    <w:rsid w:val="00097D62"/>
    <w:rsid w:val="000A3F5E"/>
    <w:rsid w:val="000B0A5D"/>
    <w:rsid w:val="000B1DE3"/>
    <w:rsid w:val="000B229D"/>
    <w:rsid w:val="000B38AF"/>
    <w:rsid w:val="000B3EDA"/>
    <w:rsid w:val="000B53EE"/>
    <w:rsid w:val="000C16DB"/>
    <w:rsid w:val="000C2559"/>
    <w:rsid w:val="000D1D0B"/>
    <w:rsid w:val="000E38FA"/>
    <w:rsid w:val="000E3967"/>
    <w:rsid w:val="000F16EC"/>
    <w:rsid w:val="000F32C8"/>
    <w:rsid w:val="000F442F"/>
    <w:rsid w:val="0010022E"/>
    <w:rsid w:val="001113BF"/>
    <w:rsid w:val="0011237C"/>
    <w:rsid w:val="00114AE4"/>
    <w:rsid w:val="00117EB0"/>
    <w:rsid w:val="00123209"/>
    <w:rsid w:val="001233ED"/>
    <w:rsid w:val="001239A8"/>
    <w:rsid w:val="00125B5B"/>
    <w:rsid w:val="0013163B"/>
    <w:rsid w:val="001334CB"/>
    <w:rsid w:val="001367A1"/>
    <w:rsid w:val="001373D3"/>
    <w:rsid w:val="0014155D"/>
    <w:rsid w:val="001440CF"/>
    <w:rsid w:val="00144F8C"/>
    <w:rsid w:val="0015402D"/>
    <w:rsid w:val="00155765"/>
    <w:rsid w:val="001613C6"/>
    <w:rsid w:val="00162A8D"/>
    <w:rsid w:val="0016328E"/>
    <w:rsid w:val="001662B6"/>
    <w:rsid w:val="0017518D"/>
    <w:rsid w:val="00176220"/>
    <w:rsid w:val="0017707A"/>
    <w:rsid w:val="001804CC"/>
    <w:rsid w:val="00181378"/>
    <w:rsid w:val="00181606"/>
    <w:rsid w:val="001874EC"/>
    <w:rsid w:val="001875C6"/>
    <w:rsid w:val="00187CBF"/>
    <w:rsid w:val="00190378"/>
    <w:rsid w:val="001A1DCE"/>
    <w:rsid w:val="001A4BC6"/>
    <w:rsid w:val="001A6241"/>
    <w:rsid w:val="001A6EA1"/>
    <w:rsid w:val="001A7BBC"/>
    <w:rsid w:val="001B0353"/>
    <w:rsid w:val="001B0775"/>
    <w:rsid w:val="001B25B3"/>
    <w:rsid w:val="001B47AF"/>
    <w:rsid w:val="001B5503"/>
    <w:rsid w:val="001B76FD"/>
    <w:rsid w:val="001C01C5"/>
    <w:rsid w:val="001C06C2"/>
    <w:rsid w:val="001C146A"/>
    <w:rsid w:val="001C3412"/>
    <w:rsid w:val="001C674A"/>
    <w:rsid w:val="001C7AA6"/>
    <w:rsid w:val="001D5314"/>
    <w:rsid w:val="001D6250"/>
    <w:rsid w:val="001D6277"/>
    <w:rsid w:val="001E195B"/>
    <w:rsid w:val="001E3693"/>
    <w:rsid w:val="001E5FAF"/>
    <w:rsid w:val="001F110E"/>
    <w:rsid w:val="001F2A08"/>
    <w:rsid w:val="001F2BBB"/>
    <w:rsid w:val="001F520D"/>
    <w:rsid w:val="001F6816"/>
    <w:rsid w:val="001F7039"/>
    <w:rsid w:val="00201544"/>
    <w:rsid w:val="00201EFE"/>
    <w:rsid w:val="0020207F"/>
    <w:rsid w:val="0020636D"/>
    <w:rsid w:val="00206B09"/>
    <w:rsid w:val="00210494"/>
    <w:rsid w:val="00211A47"/>
    <w:rsid w:val="00213E08"/>
    <w:rsid w:val="00214DBF"/>
    <w:rsid w:val="00215015"/>
    <w:rsid w:val="0021632A"/>
    <w:rsid w:val="00216EFE"/>
    <w:rsid w:val="00222D5E"/>
    <w:rsid w:val="0022563C"/>
    <w:rsid w:val="00230C78"/>
    <w:rsid w:val="00237F56"/>
    <w:rsid w:val="002413B0"/>
    <w:rsid w:val="00241A2F"/>
    <w:rsid w:val="0024557E"/>
    <w:rsid w:val="00255F0B"/>
    <w:rsid w:val="002565CD"/>
    <w:rsid w:val="00256E18"/>
    <w:rsid w:val="002576EC"/>
    <w:rsid w:val="00261E7E"/>
    <w:rsid w:val="00273CFC"/>
    <w:rsid w:val="00275751"/>
    <w:rsid w:val="00276BD6"/>
    <w:rsid w:val="002822E9"/>
    <w:rsid w:val="00290649"/>
    <w:rsid w:val="002932DC"/>
    <w:rsid w:val="0029405C"/>
    <w:rsid w:val="0029430D"/>
    <w:rsid w:val="002A0BE3"/>
    <w:rsid w:val="002A4BB1"/>
    <w:rsid w:val="002A5B8C"/>
    <w:rsid w:val="002A5C77"/>
    <w:rsid w:val="002A7001"/>
    <w:rsid w:val="002B348E"/>
    <w:rsid w:val="002B715C"/>
    <w:rsid w:val="002C4FDC"/>
    <w:rsid w:val="002C5FED"/>
    <w:rsid w:val="002C68B1"/>
    <w:rsid w:val="002C6A2A"/>
    <w:rsid w:val="002D00F9"/>
    <w:rsid w:val="002D0913"/>
    <w:rsid w:val="002D0C4F"/>
    <w:rsid w:val="002D1346"/>
    <w:rsid w:val="002D30D7"/>
    <w:rsid w:val="002D5180"/>
    <w:rsid w:val="002D54E2"/>
    <w:rsid w:val="002E1678"/>
    <w:rsid w:val="002E56C2"/>
    <w:rsid w:val="002F2C7E"/>
    <w:rsid w:val="002F5C18"/>
    <w:rsid w:val="0030407B"/>
    <w:rsid w:val="00307A4D"/>
    <w:rsid w:val="00310ED4"/>
    <w:rsid w:val="00311864"/>
    <w:rsid w:val="00311E44"/>
    <w:rsid w:val="0031492A"/>
    <w:rsid w:val="00316C1A"/>
    <w:rsid w:val="0032128A"/>
    <w:rsid w:val="003225AE"/>
    <w:rsid w:val="00322D35"/>
    <w:rsid w:val="00325FD6"/>
    <w:rsid w:val="00331013"/>
    <w:rsid w:val="003328B4"/>
    <w:rsid w:val="003341CA"/>
    <w:rsid w:val="00336F3F"/>
    <w:rsid w:val="00340B0E"/>
    <w:rsid w:val="00341B82"/>
    <w:rsid w:val="00341F54"/>
    <w:rsid w:val="00346774"/>
    <w:rsid w:val="003546BC"/>
    <w:rsid w:val="003551F0"/>
    <w:rsid w:val="00357929"/>
    <w:rsid w:val="003672A8"/>
    <w:rsid w:val="00367BAC"/>
    <w:rsid w:val="00372C1E"/>
    <w:rsid w:val="003731B3"/>
    <w:rsid w:val="003773AF"/>
    <w:rsid w:val="00381022"/>
    <w:rsid w:val="00386CC7"/>
    <w:rsid w:val="00393289"/>
    <w:rsid w:val="00397506"/>
    <w:rsid w:val="00397658"/>
    <w:rsid w:val="003A43B6"/>
    <w:rsid w:val="003A6426"/>
    <w:rsid w:val="003A787C"/>
    <w:rsid w:val="003B2D5E"/>
    <w:rsid w:val="003C12AD"/>
    <w:rsid w:val="003C13D7"/>
    <w:rsid w:val="003C20D6"/>
    <w:rsid w:val="003C3D19"/>
    <w:rsid w:val="003C401F"/>
    <w:rsid w:val="003C486F"/>
    <w:rsid w:val="003C5EEB"/>
    <w:rsid w:val="003D2D12"/>
    <w:rsid w:val="003D4A7B"/>
    <w:rsid w:val="003D630B"/>
    <w:rsid w:val="003D6EB1"/>
    <w:rsid w:val="003E4367"/>
    <w:rsid w:val="003E6D9A"/>
    <w:rsid w:val="003E7C58"/>
    <w:rsid w:val="003F2C5E"/>
    <w:rsid w:val="003F2F20"/>
    <w:rsid w:val="00400348"/>
    <w:rsid w:val="0040127F"/>
    <w:rsid w:val="004079AB"/>
    <w:rsid w:val="0041134E"/>
    <w:rsid w:val="00412541"/>
    <w:rsid w:val="00420A32"/>
    <w:rsid w:val="00430279"/>
    <w:rsid w:val="0043069C"/>
    <w:rsid w:val="00431012"/>
    <w:rsid w:val="00431969"/>
    <w:rsid w:val="00435C6A"/>
    <w:rsid w:val="00436164"/>
    <w:rsid w:val="00436828"/>
    <w:rsid w:val="00436F36"/>
    <w:rsid w:val="004403BD"/>
    <w:rsid w:val="0044428F"/>
    <w:rsid w:val="0044690C"/>
    <w:rsid w:val="00447A77"/>
    <w:rsid w:val="00450B75"/>
    <w:rsid w:val="004510B9"/>
    <w:rsid w:val="004550B0"/>
    <w:rsid w:val="0046491B"/>
    <w:rsid w:val="00466BC1"/>
    <w:rsid w:val="004671E9"/>
    <w:rsid w:val="00470A44"/>
    <w:rsid w:val="0047319A"/>
    <w:rsid w:val="00474063"/>
    <w:rsid w:val="00474BBE"/>
    <w:rsid w:val="00475829"/>
    <w:rsid w:val="00476289"/>
    <w:rsid w:val="00477229"/>
    <w:rsid w:val="004802A2"/>
    <w:rsid w:val="00483F5A"/>
    <w:rsid w:val="00484F87"/>
    <w:rsid w:val="004940B8"/>
    <w:rsid w:val="00494A47"/>
    <w:rsid w:val="004954BD"/>
    <w:rsid w:val="004A3719"/>
    <w:rsid w:val="004A37F5"/>
    <w:rsid w:val="004A7AD4"/>
    <w:rsid w:val="004B3DFD"/>
    <w:rsid w:val="004B3F64"/>
    <w:rsid w:val="004B5119"/>
    <w:rsid w:val="004B619C"/>
    <w:rsid w:val="004B7185"/>
    <w:rsid w:val="004C186B"/>
    <w:rsid w:val="004C51E4"/>
    <w:rsid w:val="004C7E2F"/>
    <w:rsid w:val="004D208C"/>
    <w:rsid w:val="004D2BA8"/>
    <w:rsid w:val="004D31F9"/>
    <w:rsid w:val="004D6BC5"/>
    <w:rsid w:val="004E18F6"/>
    <w:rsid w:val="004E31F4"/>
    <w:rsid w:val="004E4F81"/>
    <w:rsid w:val="004E7C92"/>
    <w:rsid w:val="004F22DA"/>
    <w:rsid w:val="004F22ED"/>
    <w:rsid w:val="004F7320"/>
    <w:rsid w:val="005001C1"/>
    <w:rsid w:val="00500537"/>
    <w:rsid w:val="005062F0"/>
    <w:rsid w:val="00507BF8"/>
    <w:rsid w:val="00513540"/>
    <w:rsid w:val="00516DC2"/>
    <w:rsid w:val="00517FB8"/>
    <w:rsid w:val="005225E0"/>
    <w:rsid w:val="00523B0F"/>
    <w:rsid w:val="005260C4"/>
    <w:rsid w:val="00531C87"/>
    <w:rsid w:val="00536DCD"/>
    <w:rsid w:val="005519EA"/>
    <w:rsid w:val="00551DAB"/>
    <w:rsid w:val="00553324"/>
    <w:rsid w:val="00555BB2"/>
    <w:rsid w:val="00556DE2"/>
    <w:rsid w:val="00556E93"/>
    <w:rsid w:val="00557497"/>
    <w:rsid w:val="00563E05"/>
    <w:rsid w:val="00565DAA"/>
    <w:rsid w:val="00567593"/>
    <w:rsid w:val="0057219A"/>
    <w:rsid w:val="0057396F"/>
    <w:rsid w:val="005747B5"/>
    <w:rsid w:val="00575183"/>
    <w:rsid w:val="00583B58"/>
    <w:rsid w:val="00586299"/>
    <w:rsid w:val="00586548"/>
    <w:rsid w:val="0058661B"/>
    <w:rsid w:val="00586DEB"/>
    <w:rsid w:val="00590B4D"/>
    <w:rsid w:val="005959C8"/>
    <w:rsid w:val="00597014"/>
    <w:rsid w:val="005A3258"/>
    <w:rsid w:val="005B50D7"/>
    <w:rsid w:val="005C5992"/>
    <w:rsid w:val="005C5E50"/>
    <w:rsid w:val="005C5F55"/>
    <w:rsid w:val="005D1F34"/>
    <w:rsid w:val="005D6C9A"/>
    <w:rsid w:val="005E7D9D"/>
    <w:rsid w:val="005F36BE"/>
    <w:rsid w:val="005F3AA9"/>
    <w:rsid w:val="005F7015"/>
    <w:rsid w:val="005F7770"/>
    <w:rsid w:val="006048FC"/>
    <w:rsid w:val="00605B9E"/>
    <w:rsid w:val="00606761"/>
    <w:rsid w:val="006113F4"/>
    <w:rsid w:val="00611730"/>
    <w:rsid w:val="0061324D"/>
    <w:rsid w:val="00613481"/>
    <w:rsid w:val="00623C97"/>
    <w:rsid w:val="00625082"/>
    <w:rsid w:val="006252F8"/>
    <w:rsid w:val="00626C50"/>
    <w:rsid w:val="006357AE"/>
    <w:rsid w:val="00650E46"/>
    <w:rsid w:val="006546CD"/>
    <w:rsid w:val="00660465"/>
    <w:rsid w:val="00672161"/>
    <w:rsid w:val="00673572"/>
    <w:rsid w:val="00683698"/>
    <w:rsid w:val="006839C2"/>
    <w:rsid w:val="00684851"/>
    <w:rsid w:val="006851C0"/>
    <w:rsid w:val="00690436"/>
    <w:rsid w:val="006915AF"/>
    <w:rsid w:val="00695435"/>
    <w:rsid w:val="006A043F"/>
    <w:rsid w:val="006A12D7"/>
    <w:rsid w:val="006A6BB3"/>
    <w:rsid w:val="006A7984"/>
    <w:rsid w:val="006B2544"/>
    <w:rsid w:val="006B65FD"/>
    <w:rsid w:val="006B7F37"/>
    <w:rsid w:val="006C39B1"/>
    <w:rsid w:val="006C3E54"/>
    <w:rsid w:val="006C5E6B"/>
    <w:rsid w:val="006C6741"/>
    <w:rsid w:val="006D3BC7"/>
    <w:rsid w:val="006D5EE5"/>
    <w:rsid w:val="006D6921"/>
    <w:rsid w:val="006E2FE7"/>
    <w:rsid w:val="006F1E65"/>
    <w:rsid w:val="006F5E89"/>
    <w:rsid w:val="00703767"/>
    <w:rsid w:val="00704325"/>
    <w:rsid w:val="00705556"/>
    <w:rsid w:val="00705FDD"/>
    <w:rsid w:val="00707D60"/>
    <w:rsid w:val="00710059"/>
    <w:rsid w:val="00710819"/>
    <w:rsid w:val="0071299E"/>
    <w:rsid w:val="00712FA2"/>
    <w:rsid w:val="00714B44"/>
    <w:rsid w:val="007165DA"/>
    <w:rsid w:val="0071772C"/>
    <w:rsid w:val="00717EE4"/>
    <w:rsid w:val="00727CBB"/>
    <w:rsid w:val="00727DE5"/>
    <w:rsid w:val="00733539"/>
    <w:rsid w:val="0073435C"/>
    <w:rsid w:val="00736E7E"/>
    <w:rsid w:val="00740E26"/>
    <w:rsid w:val="0074639F"/>
    <w:rsid w:val="00751A01"/>
    <w:rsid w:val="00753062"/>
    <w:rsid w:val="007606CC"/>
    <w:rsid w:val="0076245D"/>
    <w:rsid w:val="00767735"/>
    <w:rsid w:val="00770DCB"/>
    <w:rsid w:val="007710E2"/>
    <w:rsid w:val="007727F4"/>
    <w:rsid w:val="007733AC"/>
    <w:rsid w:val="00774BD8"/>
    <w:rsid w:val="00775485"/>
    <w:rsid w:val="00776C10"/>
    <w:rsid w:val="0078142B"/>
    <w:rsid w:val="0078459E"/>
    <w:rsid w:val="00785A81"/>
    <w:rsid w:val="0079218E"/>
    <w:rsid w:val="00792DFA"/>
    <w:rsid w:val="007962B5"/>
    <w:rsid w:val="007A4AF6"/>
    <w:rsid w:val="007A5A83"/>
    <w:rsid w:val="007B082F"/>
    <w:rsid w:val="007B201B"/>
    <w:rsid w:val="007B2324"/>
    <w:rsid w:val="007C50B4"/>
    <w:rsid w:val="007C6D2A"/>
    <w:rsid w:val="007D1C4F"/>
    <w:rsid w:val="007D54C0"/>
    <w:rsid w:val="007D5F2B"/>
    <w:rsid w:val="007E0713"/>
    <w:rsid w:val="007E76DA"/>
    <w:rsid w:val="007F2DC8"/>
    <w:rsid w:val="007F4811"/>
    <w:rsid w:val="00802B0B"/>
    <w:rsid w:val="00803A38"/>
    <w:rsid w:val="00803D2B"/>
    <w:rsid w:val="0080441D"/>
    <w:rsid w:val="00805261"/>
    <w:rsid w:val="00805377"/>
    <w:rsid w:val="00807149"/>
    <w:rsid w:val="0080737D"/>
    <w:rsid w:val="008126B7"/>
    <w:rsid w:val="00815463"/>
    <w:rsid w:val="0082166E"/>
    <w:rsid w:val="00824AE0"/>
    <w:rsid w:val="00830269"/>
    <w:rsid w:val="008346A8"/>
    <w:rsid w:val="008511E3"/>
    <w:rsid w:val="00851E5C"/>
    <w:rsid w:val="00860750"/>
    <w:rsid w:val="00860C16"/>
    <w:rsid w:val="00860D88"/>
    <w:rsid w:val="008614DB"/>
    <w:rsid w:val="0086160C"/>
    <w:rsid w:val="00861CAE"/>
    <w:rsid w:val="008670BA"/>
    <w:rsid w:val="00867612"/>
    <w:rsid w:val="00870911"/>
    <w:rsid w:val="00870D4C"/>
    <w:rsid w:val="008724DE"/>
    <w:rsid w:val="008828B3"/>
    <w:rsid w:val="00884412"/>
    <w:rsid w:val="00884734"/>
    <w:rsid w:val="00884D86"/>
    <w:rsid w:val="0089214A"/>
    <w:rsid w:val="008930C2"/>
    <w:rsid w:val="00895D37"/>
    <w:rsid w:val="008A1C85"/>
    <w:rsid w:val="008A52F7"/>
    <w:rsid w:val="008A66C0"/>
    <w:rsid w:val="008B0CEE"/>
    <w:rsid w:val="008B3662"/>
    <w:rsid w:val="008B4531"/>
    <w:rsid w:val="008B4C13"/>
    <w:rsid w:val="008B5505"/>
    <w:rsid w:val="008C0505"/>
    <w:rsid w:val="008C15B1"/>
    <w:rsid w:val="008D08D5"/>
    <w:rsid w:val="008D0C2E"/>
    <w:rsid w:val="008D0F12"/>
    <w:rsid w:val="008D208A"/>
    <w:rsid w:val="008D6140"/>
    <w:rsid w:val="008E050C"/>
    <w:rsid w:val="008E3D60"/>
    <w:rsid w:val="008E4661"/>
    <w:rsid w:val="008E675D"/>
    <w:rsid w:val="008F0743"/>
    <w:rsid w:val="008F61EB"/>
    <w:rsid w:val="008F7147"/>
    <w:rsid w:val="0090165F"/>
    <w:rsid w:val="00901F4E"/>
    <w:rsid w:val="00907E14"/>
    <w:rsid w:val="00907E82"/>
    <w:rsid w:val="00911686"/>
    <w:rsid w:val="00913365"/>
    <w:rsid w:val="00915AAB"/>
    <w:rsid w:val="0091608A"/>
    <w:rsid w:val="00921E93"/>
    <w:rsid w:val="00923D0F"/>
    <w:rsid w:val="00923FF1"/>
    <w:rsid w:val="00924C54"/>
    <w:rsid w:val="00930CA5"/>
    <w:rsid w:val="00931D5E"/>
    <w:rsid w:val="009365FA"/>
    <w:rsid w:val="00945AAB"/>
    <w:rsid w:val="009478D3"/>
    <w:rsid w:val="00953633"/>
    <w:rsid w:val="00955F74"/>
    <w:rsid w:val="00957871"/>
    <w:rsid w:val="0096693A"/>
    <w:rsid w:val="00966C2F"/>
    <w:rsid w:val="00967D93"/>
    <w:rsid w:val="00967EC3"/>
    <w:rsid w:val="009709E5"/>
    <w:rsid w:val="00973707"/>
    <w:rsid w:val="00974980"/>
    <w:rsid w:val="00980661"/>
    <w:rsid w:val="00982354"/>
    <w:rsid w:val="009829E7"/>
    <w:rsid w:val="00982CEC"/>
    <w:rsid w:val="00985041"/>
    <w:rsid w:val="009872DF"/>
    <w:rsid w:val="00990C80"/>
    <w:rsid w:val="0099320C"/>
    <w:rsid w:val="00996CCB"/>
    <w:rsid w:val="00997E43"/>
    <w:rsid w:val="009B03DA"/>
    <w:rsid w:val="009B18D3"/>
    <w:rsid w:val="009B2E43"/>
    <w:rsid w:val="009B58B1"/>
    <w:rsid w:val="009C1683"/>
    <w:rsid w:val="009C1F65"/>
    <w:rsid w:val="009C549E"/>
    <w:rsid w:val="009D3A10"/>
    <w:rsid w:val="009D3AD2"/>
    <w:rsid w:val="009D62B4"/>
    <w:rsid w:val="009E2AF1"/>
    <w:rsid w:val="009E6F6D"/>
    <w:rsid w:val="009F59F6"/>
    <w:rsid w:val="00A0406E"/>
    <w:rsid w:val="00A133C4"/>
    <w:rsid w:val="00A13A69"/>
    <w:rsid w:val="00A21093"/>
    <w:rsid w:val="00A22303"/>
    <w:rsid w:val="00A30B76"/>
    <w:rsid w:val="00A312FF"/>
    <w:rsid w:val="00A32F15"/>
    <w:rsid w:val="00A37753"/>
    <w:rsid w:val="00A41355"/>
    <w:rsid w:val="00A43B92"/>
    <w:rsid w:val="00A4438B"/>
    <w:rsid w:val="00A44963"/>
    <w:rsid w:val="00A5443C"/>
    <w:rsid w:val="00A565C0"/>
    <w:rsid w:val="00A56DCF"/>
    <w:rsid w:val="00A60745"/>
    <w:rsid w:val="00A6109A"/>
    <w:rsid w:val="00A6179E"/>
    <w:rsid w:val="00A65042"/>
    <w:rsid w:val="00A65398"/>
    <w:rsid w:val="00A65E50"/>
    <w:rsid w:val="00A667F6"/>
    <w:rsid w:val="00A746A1"/>
    <w:rsid w:val="00A75E00"/>
    <w:rsid w:val="00A83A97"/>
    <w:rsid w:val="00A844EB"/>
    <w:rsid w:val="00A84699"/>
    <w:rsid w:val="00A90270"/>
    <w:rsid w:val="00A9225B"/>
    <w:rsid w:val="00A9582B"/>
    <w:rsid w:val="00A9693F"/>
    <w:rsid w:val="00AA0594"/>
    <w:rsid w:val="00AB00BF"/>
    <w:rsid w:val="00AB3A5A"/>
    <w:rsid w:val="00AB70CA"/>
    <w:rsid w:val="00AB7DE1"/>
    <w:rsid w:val="00AC38B0"/>
    <w:rsid w:val="00AC4237"/>
    <w:rsid w:val="00AE2E5D"/>
    <w:rsid w:val="00AE47CC"/>
    <w:rsid w:val="00AE4E17"/>
    <w:rsid w:val="00AE522F"/>
    <w:rsid w:val="00AF3DC4"/>
    <w:rsid w:val="00B0666A"/>
    <w:rsid w:val="00B10447"/>
    <w:rsid w:val="00B11D33"/>
    <w:rsid w:val="00B11FF2"/>
    <w:rsid w:val="00B135BC"/>
    <w:rsid w:val="00B15175"/>
    <w:rsid w:val="00B15F40"/>
    <w:rsid w:val="00B204ED"/>
    <w:rsid w:val="00B20AEF"/>
    <w:rsid w:val="00B22183"/>
    <w:rsid w:val="00B2494F"/>
    <w:rsid w:val="00B277E0"/>
    <w:rsid w:val="00B27974"/>
    <w:rsid w:val="00B312DF"/>
    <w:rsid w:val="00B31D0F"/>
    <w:rsid w:val="00B40EDA"/>
    <w:rsid w:val="00B42BB2"/>
    <w:rsid w:val="00B53A65"/>
    <w:rsid w:val="00B5407C"/>
    <w:rsid w:val="00B6026E"/>
    <w:rsid w:val="00B6701A"/>
    <w:rsid w:val="00B700C3"/>
    <w:rsid w:val="00B74244"/>
    <w:rsid w:val="00B75223"/>
    <w:rsid w:val="00B86D59"/>
    <w:rsid w:val="00B94624"/>
    <w:rsid w:val="00B94CE4"/>
    <w:rsid w:val="00B965D0"/>
    <w:rsid w:val="00B96EF7"/>
    <w:rsid w:val="00B9725F"/>
    <w:rsid w:val="00BA20B2"/>
    <w:rsid w:val="00BA262D"/>
    <w:rsid w:val="00BA4373"/>
    <w:rsid w:val="00BA79D2"/>
    <w:rsid w:val="00BB5E32"/>
    <w:rsid w:val="00BC3710"/>
    <w:rsid w:val="00BC4B30"/>
    <w:rsid w:val="00BD0306"/>
    <w:rsid w:val="00BD1FFC"/>
    <w:rsid w:val="00BD400C"/>
    <w:rsid w:val="00BD7F6A"/>
    <w:rsid w:val="00BE00F5"/>
    <w:rsid w:val="00BE7648"/>
    <w:rsid w:val="00BF19D7"/>
    <w:rsid w:val="00BF1C1B"/>
    <w:rsid w:val="00C05141"/>
    <w:rsid w:val="00C1056D"/>
    <w:rsid w:val="00C1300E"/>
    <w:rsid w:val="00C14506"/>
    <w:rsid w:val="00C15231"/>
    <w:rsid w:val="00C22712"/>
    <w:rsid w:val="00C25BDA"/>
    <w:rsid w:val="00C27BF3"/>
    <w:rsid w:val="00C33615"/>
    <w:rsid w:val="00C3563C"/>
    <w:rsid w:val="00C35AE0"/>
    <w:rsid w:val="00C37DE7"/>
    <w:rsid w:val="00C406AF"/>
    <w:rsid w:val="00C43076"/>
    <w:rsid w:val="00C43F2E"/>
    <w:rsid w:val="00C52035"/>
    <w:rsid w:val="00C60EDF"/>
    <w:rsid w:val="00C612A4"/>
    <w:rsid w:val="00C61C51"/>
    <w:rsid w:val="00C70582"/>
    <w:rsid w:val="00C71D32"/>
    <w:rsid w:val="00C743E0"/>
    <w:rsid w:val="00C82B14"/>
    <w:rsid w:val="00C832DE"/>
    <w:rsid w:val="00C837CF"/>
    <w:rsid w:val="00C83A66"/>
    <w:rsid w:val="00C8518D"/>
    <w:rsid w:val="00C8641D"/>
    <w:rsid w:val="00C87F1C"/>
    <w:rsid w:val="00C93AD2"/>
    <w:rsid w:val="00CA0D78"/>
    <w:rsid w:val="00CA40B8"/>
    <w:rsid w:val="00CA52AE"/>
    <w:rsid w:val="00CA774D"/>
    <w:rsid w:val="00CB23FC"/>
    <w:rsid w:val="00CB57E4"/>
    <w:rsid w:val="00CB582E"/>
    <w:rsid w:val="00CD324F"/>
    <w:rsid w:val="00CD6F5A"/>
    <w:rsid w:val="00CD78AC"/>
    <w:rsid w:val="00CE2800"/>
    <w:rsid w:val="00CE41BD"/>
    <w:rsid w:val="00CF0F91"/>
    <w:rsid w:val="00CF18B1"/>
    <w:rsid w:val="00CF3642"/>
    <w:rsid w:val="00CF6C2C"/>
    <w:rsid w:val="00D03DDC"/>
    <w:rsid w:val="00D04AE0"/>
    <w:rsid w:val="00D1390E"/>
    <w:rsid w:val="00D17C8D"/>
    <w:rsid w:val="00D21162"/>
    <w:rsid w:val="00D30205"/>
    <w:rsid w:val="00D307B2"/>
    <w:rsid w:val="00D32EC2"/>
    <w:rsid w:val="00D41C6C"/>
    <w:rsid w:val="00D4218D"/>
    <w:rsid w:val="00D4687E"/>
    <w:rsid w:val="00D46EF1"/>
    <w:rsid w:val="00D52509"/>
    <w:rsid w:val="00D52CEC"/>
    <w:rsid w:val="00D53219"/>
    <w:rsid w:val="00D53225"/>
    <w:rsid w:val="00D53259"/>
    <w:rsid w:val="00D5422D"/>
    <w:rsid w:val="00D5682C"/>
    <w:rsid w:val="00D60BF7"/>
    <w:rsid w:val="00D62DAE"/>
    <w:rsid w:val="00D65207"/>
    <w:rsid w:val="00D654DD"/>
    <w:rsid w:val="00D65C76"/>
    <w:rsid w:val="00D671F1"/>
    <w:rsid w:val="00D7157F"/>
    <w:rsid w:val="00D833E2"/>
    <w:rsid w:val="00D92983"/>
    <w:rsid w:val="00D965B3"/>
    <w:rsid w:val="00DA2F73"/>
    <w:rsid w:val="00DA4ABF"/>
    <w:rsid w:val="00DB264D"/>
    <w:rsid w:val="00DC125B"/>
    <w:rsid w:val="00DC2DA1"/>
    <w:rsid w:val="00DC2F7B"/>
    <w:rsid w:val="00DC462F"/>
    <w:rsid w:val="00DD1EB5"/>
    <w:rsid w:val="00DD37F1"/>
    <w:rsid w:val="00DD60AB"/>
    <w:rsid w:val="00DE047A"/>
    <w:rsid w:val="00DE2443"/>
    <w:rsid w:val="00DF3CF0"/>
    <w:rsid w:val="00E01FAE"/>
    <w:rsid w:val="00E029AC"/>
    <w:rsid w:val="00E033BB"/>
    <w:rsid w:val="00E05AE7"/>
    <w:rsid w:val="00E11D85"/>
    <w:rsid w:val="00E14A38"/>
    <w:rsid w:val="00E15E66"/>
    <w:rsid w:val="00E229D7"/>
    <w:rsid w:val="00E24314"/>
    <w:rsid w:val="00E24FA3"/>
    <w:rsid w:val="00E252AE"/>
    <w:rsid w:val="00E26C86"/>
    <w:rsid w:val="00E27C2E"/>
    <w:rsid w:val="00E30F42"/>
    <w:rsid w:val="00E35EC5"/>
    <w:rsid w:val="00E3606A"/>
    <w:rsid w:val="00E36B41"/>
    <w:rsid w:val="00E424AC"/>
    <w:rsid w:val="00E428E8"/>
    <w:rsid w:val="00E45621"/>
    <w:rsid w:val="00E45954"/>
    <w:rsid w:val="00E475DB"/>
    <w:rsid w:val="00E55050"/>
    <w:rsid w:val="00E57F61"/>
    <w:rsid w:val="00E60EEF"/>
    <w:rsid w:val="00E634D2"/>
    <w:rsid w:val="00E6351B"/>
    <w:rsid w:val="00E64855"/>
    <w:rsid w:val="00E73820"/>
    <w:rsid w:val="00E75425"/>
    <w:rsid w:val="00E768C2"/>
    <w:rsid w:val="00E76CA2"/>
    <w:rsid w:val="00E80443"/>
    <w:rsid w:val="00E86DC9"/>
    <w:rsid w:val="00E91F27"/>
    <w:rsid w:val="00E93ACA"/>
    <w:rsid w:val="00E95704"/>
    <w:rsid w:val="00E96BA6"/>
    <w:rsid w:val="00E9715F"/>
    <w:rsid w:val="00EA5208"/>
    <w:rsid w:val="00EA7DEA"/>
    <w:rsid w:val="00EB0923"/>
    <w:rsid w:val="00EB3C04"/>
    <w:rsid w:val="00EB6AAE"/>
    <w:rsid w:val="00EC2437"/>
    <w:rsid w:val="00ED0DC0"/>
    <w:rsid w:val="00ED739A"/>
    <w:rsid w:val="00EE34C4"/>
    <w:rsid w:val="00EE3AE1"/>
    <w:rsid w:val="00EE4E1A"/>
    <w:rsid w:val="00EE50BC"/>
    <w:rsid w:val="00EE69E3"/>
    <w:rsid w:val="00EE7B19"/>
    <w:rsid w:val="00EF1261"/>
    <w:rsid w:val="00EF6623"/>
    <w:rsid w:val="00EF77E9"/>
    <w:rsid w:val="00F01073"/>
    <w:rsid w:val="00F06925"/>
    <w:rsid w:val="00F100CE"/>
    <w:rsid w:val="00F14C6D"/>
    <w:rsid w:val="00F15D24"/>
    <w:rsid w:val="00F22C05"/>
    <w:rsid w:val="00F23257"/>
    <w:rsid w:val="00F24A07"/>
    <w:rsid w:val="00F25129"/>
    <w:rsid w:val="00F3037E"/>
    <w:rsid w:val="00F32310"/>
    <w:rsid w:val="00F3240B"/>
    <w:rsid w:val="00F449D9"/>
    <w:rsid w:val="00F460F0"/>
    <w:rsid w:val="00F476EA"/>
    <w:rsid w:val="00F47811"/>
    <w:rsid w:val="00F5382E"/>
    <w:rsid w:val="00F56BBB"/>
    <w:rsid w:val="00F5772D"/>
    <w:rsid w:val="00F67A1F"/>
    <w:rsid w:val="00F67D3F"/>
    <w:rsid w:val="00F70124"/>
    <w:rsid w:val="00F803D6"/>
    <w:rsid w:val="00F9240D"/>
    <w:rsid w:val="00F97D88"/>
    <w:rsid w:val="00FA2437"/>
    <w:rsid w:val="00FA24E8"/>
    <w:rsid w:val="00FA6159"/>
    <w:rsid w:val="00FA636A"/>
    <w:rsid w:val="00FB32B1"/>
    <w:rsid w:val="00FB4AA3"/>
    <w:rsid w:val="00FB4DDB"/>
    <w:rsid w:val="00FB4F6C"/>
    <w:rsid w:val="00FB5B3E"/>
    <w:rsid w:val="00FB6242"/>
    <w:rsid w:val="00FB625D"/>
    <w:rsid w:val="00FB751B"/>
    <w:rsid w:val="00FC1506"/>
    <w:rsid w:val="00FC3F0C"/>
    <w:rsid w:val="00FD5C39"/>
    <w:rsid w:val="00FD71D6"/>
    <w:rsid w:val="00FE0715"/>
    <w:rsid w:val="00FE4956"/>
    <w:rsid w:val="00FE68D9"/>
    <w:rsid w:val="00FF12B2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f5f5f"/>
    </o:shapedefaults>
    <o:shapelayout v:ext="edit">
      <o:idmap v:ext="edit" data="2"/>
    </o:shapelayout>
  </w:shapeDefaults>
  <w:decimalSymbol w:val="."/>
  <w:listSeparator w:val=","/>
  <w14:docId w14:val="1752615D"/>
  <w15:docId w15:val="{2891CE7C-90AD-4483-BF9C-946438FC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 w:qFormat="1"/>
    <w:lsdException w:name="endnote text" w:locked="0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0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locked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locked="0" w:uiPriority="21"/>
    <w:lsdException w:name="Subtle Reference" w:uiPriority="31"/>
    <w:lsdException w:name="Intense Reference" w:locked="0" w:uiPriority="32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7F4811"/>
    <w:pPr>
      <w:spacing w:before="240" w:after="240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201B"/>
    <w:pPr>
      <w:keepNext/>
      <w:keepLines/>
      <w:outlineLvl w:val="0"/>
    </w:pPr>
    <w:rPr>
      <w:b/>
      <w:bCs/>
      <w:sz w:val="36"/>
      <w:szCs w:val="28"/>
    </w:rPr>
  </w:style>
  <w:style w:type="paragraph" w:styleId="Heading2">
    <w:name w:val="heading 2"/>
    <w:basedOn w:val="Heading1"/>
    <w:next w:val="Normal"/>
    <w:link w:val="Heading2Char"/>
    <w:qFormat/>
    <w:rsid w:val="004940B8"/>
    <w:pPr>
      <w:numPr>
        <w:ilvl w:val="1"/>
      </w:numPr>
      <w:outlineLvl w:val="1"/>
    </w:pPr>
    <w:rPr>
      <w:bCs w:val="0"/>
      <w:color w:val="000000"/>
      <w:sz w:val="28"/>
      <w:szCs w:val="26"/>
    </w:rPr>
  </w:style>
  <w:style w:type="paragraph" w:styleId="Heading3">
    <w:name w:val="heading 3"/>
    <w:basedOn w:val="Heading2"/>
    <w:next w:val="Normal"/>
    <w:link w:val="Heading3Char"/>
    <w:qFormat/>
    <w:rsid w:val="00884412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locked/>
    <w:rsid w:val="00D65207"/>
    <w:pPr>
      <w:numPr>
        <w:ilvl w:val="3"/>
      </w:numPr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40B8"/>
    <w:rPr>
      <w:rFonts w:ascii="Open Sans" w:hAnsi="Open Sans"/>
      <w:b/>
      <w:bCs/>
      <w:sz w:val="36"/>
      <w:szCs w:val="28"/>
    </w:rPr>
  </w:style>
  <w:style w:type="character" w:customStyle="1" w:styleId="Heading2Char">
    <w:name w:val="Heading 2 Char"/>
    <w:link w:val="Heading2"/>
    <w:rsid w:val="004940B8"/>
    <w:rPr>
      <w:rFonts w:ascii="Open Sans" w:hAnsi="Open Sans"/>
      <w:b/>
      <w:color w:val="000000"/>
      <w:sz w:val="28"/>
      <w:szCs w:val="26"/>
    </w:rPr>
  </w:style>
  <w:style w:type="character" w:customStyle="1" w:styleId="Heading3Char">
    <w:name w:val="Heading 3 Char"/>
    <w:link w:val="Heading3"/>
    <w:rsid w:val="00884412"/>
    <w:rPr>
      <w:rFonts w:ascii="Open Sans" w:hAnsi="Open Sans"/>
      <w:bCs/>
      <w:sz w:val="24"/>
      <w:szCs w:val="26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locked/>
    <w:rsid w:val="007D54C0"/>
    <w:rPr>
      <w:rFonts w:ascii="Open Sans" w:hAnsi="Open Sans"/>
      <w:b w:val="0"/>
      <w:bCs/>
      <w:sz w:val="24"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E7B19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link w:val="Header"/>
    <w:semiHidden/>
    <w:rsid w:val="00EE7B19"/>
    <w:rPr>
      <w:rFonts w:ascii="Open Sans" w:hAnsi="Open Sans"/>
      <w:sz w:val="22"/>
      <w:szCs w:val="24"/>
    </w:rPr>
  </w:style>
  <w:style w:type="paragraph" w:styleId="Footer">
    <w:name w:val="footer"/>
    <w:basedOn w:val="Normal"/>
    <w:link w:val="FooterChar"/>
    <w:uiPriority w:val="99"/>
    <w:rsid w:val="00FE68D9"/>
    <w:pPr>
      <w:tabs>
        <w:tab w:val="center" w:pos="4513"/>
        <w:tab w:val="right" w:pos="9026"/>
      </w:tabs>
      <w:spacing w:before="0" w:after="0"/>
    </w:pPr>
    <w:rPr>
      <w:color w:val="808080" w:themeColor="background1" w:themeShade="80"/>
      <w:sz w:val="18"/>
    </w:rPr>
  </w:style>
  <w:style w:type="character" w:customStyle="1" w:styleId="FooterChar">
    <w:name w:val="Footer Char"/>
    <w:link w:val="Footer"/>
    <w:uiPriority w:val="99"/>
    <w:rsid w:val="00FE68D9"/>
    <w:rPr>
      <w:rFonts w:ascii="Open Sans" w:hAnsi="Open Sans"/>
      <w:color w:val="808080" w:themeColor="background1" w:themeShade="80"/>
      <w:sz w:val="18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uiPriority w:val="39"/>
    <w:semiHidden/>
    <w:qFormat/>
    <w:rsid w:val="00911686"/>
    <w:pPr>
      <w:tabs>
        <w:tab w:val="right" w:leader="dot" w:pos="9060"/>
      </w:tabs>
      <w:spacing w:after="0"/>
      <w:ind w:left="720" w:hanging="7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unhideWhenUsed/>
    <w:rsid w:val="0046491B"/>
    <w:rPr>
      <w:rFonts w:ascii="Open Sans" w:hAnsi="Open Sans"/>
      <w:color w:val="0000FF"/>
      <w:sz w:val="24"/>
      <w:u w:val="single"/>
    </w:rPr>
  </w:style>
  <w:style w:type="paragraph" w:styleId="TOCHeading">
    <w:name w:val="TOC Heading"/>
    <w:basedOn w:val="Normal"/>
    <w:next w:val="Normal"/>
    <w:uiPriority w:val="39"/>
    <w:qFormat/>
    <w:rsid w:val="009E2AF1"/>
    <w:pPr>
      <w:spacing w:before="480" w:after="0" w:line="276" w:lineRule="auto"/>
    </w:pPr>
    <w:rPr>
      <w:b/>
      <w:color w:val="000000"/>
      <w:lang w:val="en-US" w:eastAsia="en-US"/>
    </w:rPr>
  </w:style>
  <w:style w:type="paragraph" w:styleId="EndnoteText">
    <w:name w:val="endnote text"/>
    <w:basedOn w:val="Normal"/>
    <w:link w:val="EndnoteTextChar1"/>
    <w:qFormat/>
    <w:rsid w:val="001334CB"/>
    <w:rPr>
      <w:sz w:val="20"/>
      <w:szCs w:val="20"/>
    </w:rPr>
  </w:style>
  <w:style w:type="character" w:customStyle="1" w:styleId="EndnoteTextChar1">
    <w:name w:val="Endnote Text Char1"/>
    <w:link w:val="EndnoteText"/>
    <w:rsid w:val="001334CB"/>
    <w:rPr>
      <w:rFonts w:ascii="Open Sans" w:hAnsi="Open Sans"/>
    </w:rPr>
  </w:style>
  <w:style w:type="character" w:styleId="EndnoteReference">
    <w:name w:val="endnote reference"/>
    <w:qFormat/>
    <w:rsid w:val="001334CB"/>
    <w:rPr>
      <w:rFonts w:ascii="Open Sans" w:hAnsi="Open Sans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AE47CC"/>
    <w:pPr>
      <w:spacing w:after="120"/>
    </w:pPr>
    <w:rPr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AE47CC"/>
    <w:pPr>
      <w:spacing w:after="120"/>
      <w:ind w:left="283"/>
    </w:pPr>
    <w:rPr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locked/>
    <w:rsid w:val="00AE47CC"/>
    <w:rPr>
      <w:rFonts w:ascii="Open Sans" w:hAnsi="Open Sans"/>
      <w:i w:val="0"/>
      <w:iCs/>
      <w:sz w:val="24"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1334CB"/>
    <w:rPr>
      <w:rFonts w:cs="Arial"/>
      <w:szCs w:val="20"/>
    </w:rPr>
  </w:style>
  <w:style w:type="character" w:styleId="FootnoteReference">
    <w:name w:val="footnote reference"/>
    <w:semiHidden/>
    <w:locked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locked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46491B"/>
    <w:rPr>
      <w:rFonts w:ascii="Open Sans" w:hAnsi="Open Sans"/>
      <w:sz w:val="24"/>
    </w:rPr>
  </w:style>
  <w:style w:type="paragraph" w:styleId="HTMLAddress">
    <w:name w:val="HTML Address"/>
    <w:basedOn w:val="Normal"/>
    <w:semiHidden/>
    <w:locked/>
    <w:rsid w:val="0046491B"/>
    <w:rPr>
      <w:iCs/>
    </w:rPr>
  </w:style>
  <w:style w:type="character" w:styleId="HTMLCite">
    <w:name w:val="HTML Cite"/>
    <w:semiHidden/>
    <w:locked/>
    <w:rsid w:val="0046491B"/>
    <w:rPr>
      <w:rFonts w:ascii="Open Sans" w:hAnsi="Open Sans"/>
      <w:i w:val="0"/>
      <w:iCs/>
      <w:sz w:val="24"/>
    </w:rPr>
  </w:style>
  <w:style w:type="character" w:styleId="HTMLCode">
    <w:name w:val="HTML Code"/>
    <w:semiHidden/>
    <w:locked/>
    <w:rsid w:val="0046491B"/>
    <w:rPr>
      <w:rFonts w:ascii="Open Sans" w:hAnsi="Open Sans" w:cs="Courier New"/>
      <w:sz w:val="24"/>
      <w:szCs w:val="20"/>
    </w:rPr>
  </w:style>
  <w:style w:type="character" w:styleId="HTMLDefinition">
    <w:name w:val="HTML Definition"/>
    <w:semiHidden/>
    <w:locked/>
    <w:rsid w:val="0046491B"/>
    <w:rPr>
      <w:rFonts w:ascii="Open Sans" w:hAnsi="Open Sans"/>
      <w:i w:val="0"/>
      <w:iCs/>
      <w:sz w:val="24"/>
    </w:rPr>
  </w:style>
  <w:style w:type="character" w:styleId="HTMLKeyboard">
    <w:name w:val="HTML Keyboard"/>
    <w:semiHidden/>
    <w:locked/>
    <w:rsid w:val="0046491B"/>
    <w:rPr>
      <w:rFonts w:ascii="Open Sans" w:hAnsi="Open Sans" w:cs="Courier New"/>
      <w:sz w:val="24"/>
      <w:szCs w:val="20"/>
    </w:rPr>
  </w:style>
  <w:style w:type="paragraph" w:styleId="HTMLPreformatted">
    <w:name w:val="HTML Preformatted"/>
    <w:basedOn w:val="Normal"/>
    <w:semiHidden/>
    <w:locked/>
    <w:rsid w:val="0046491B"/>
    <w:rPr>
      <w:rFonts w:cs="Courier New"/>
      <w:szCs w:val="20"/>
    </w:rPr>
  </w:style>
  <w:style w:type="character" w:styleId="HTMLSample">
    <w:name w:val="HTML Sample"/>
    <w:semiHidden/>
    <w:locked/>
    <w:rsid w:val="0046491B"/>
    <w:rPr>
      <w:rFonts w:ascii="Open Sans" w:hAnsi="Open Sans" w:cs="Courier New"/>
      <w:sz w:val="24"/>
    </w:rPr>
  </w:style>
  <w:style w:type="character" w:styleId="HTMLTypewriter">
    <w:name w:val="HTML Typewriter"/>
    <w:semiHidden/>
    <w:locked/>
    <w:rsid w:val="0046491B"/>
    <w:rPr>
      <w:rFonts w:ascii="Open Sans" w:hAnsi="Open Sans" w:cs="Courier New"/>
      <w:sz w:val="24"/>
      <w:szCs w:val="20"/>
    </w:rPr>
  </w:style>
  <w:style w:type="character" w:styleId="HTMLVariable">
    <w:name w:val="HTML Variable"/>
    <w:semiHidden/>
    <w:locked/>
    <w:rsid w:val="0046491B"/>
    <w:rPr>
      <w:rFonts w:ascii="Open Sans" w:hAnsi="Open Sans"/>
      <w:i w:val="0"/>
      <w:iCs/>
      <w:sz w:val="24"/>
    </w:rPr>
  </w:style>
  <w:style w:type="character" w:styleId="LineNumber">
    <w:name w:val="line number"/>
    <w:basedOn w:val="DefaultParagraphFont"/>
    <w:semiHidden/>
    <w:unhideWhenUsed/>
    <w:locked/>
    <w:rsid w:val="00C43F2E"/>
    <w:rPr>
      <w:rFonts w:ascii="Open Sans" w:hAnsi="Open Sans"/>
      <w:sz w:val="24"/>
    </w:rPr>
  </w:style>
  <w:style w:type="paragraph" w:styleId="List">
    <w:name w:val="List"/>
    <w:basedOn w:val="Normal"/>
    <w:semiHidden/>
    <w:unhideWhenUsed/>
    <w:locked/>
    <w:rsid w:val="00C43F2E"/>
    <w:pPr>
      <w:ind w:left="283" w:hanging="283"/>
      <w:contextualSpacing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qFormat/>
    <w:rsid w:val="003551F0"/>
    <w:pPr>
      <w:numPr>
        <w:numId w:val="7"/>
      </w:numPr>
      <w:spacing w:after="120"/>
      <w:ind w:left="357" w:hanging="357"/>
    </w:pPr>
  </w:style>
  <w:style w:type="paragraph" w:styleId="ListBullet2">
    <w:name w:val="List Bullet 2"/>
    <w:basedOn w:val="Normal"/>
    <w:semiHidden/>
    <w:unhideWhenUsed/>
    <w:locked/>
    <w:rsid w:val="007F4811"/>
    <w:pPr>
      <w:numPr>
        <w:numId w:val="8"/>
      </w:numPr>
      <w:contextualSpacing/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qFormat/>
    <w:rsid w:val="007F4811"/>
    <w:pPr>
      <w:numPr>
        <w:numId w:val="12"/>
      </w:numPr>
      <w:spacing w:after="120"/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locked/>
    <w:rsid w:val="007F4811"/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7D54C0"/>
    <w:rPr>
      <w:rFonts w:ascii="Open Sans" w:hAnsi="Open Sans"/>
      <w:sz w:val="18"/>
    </w:rPr>
  </w:style>
  <w:style w:type="paragraph" w:styleId="PlainText">
    <w:name w:val="Plain Text"/>
    <w:basedOn w:val="Normal"/>
    <w:semiHidden/>
    <w:rsid w:val="007D54C0"/>
    <w:rPr>
      <w:rFonts w:cs="Courier New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1334CB"/>
    <w:rPr>
      <w:rFonts w:ascii="Open Sans" w:hAnsi="Open Sans"/>
      <w:color w:val="800080"/>
      <w:sz w:val="24"/>
      <w:u w:val="single"/>
    </w:rPr>
  </w:style>
  <w:style w:type="paragraph" w:customStyle="1" w:styleId="AddressBlock">
    <w:name w:val="Address Block"/>
    <w:basedOn w:val="BodyText"/>
    <w:semiHidden/>
    <w:locked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locked/>
    <w:rsid w:val="00AE47CC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cs="ArialMT"/>
      <w:lang w:val="en-US" w:bidi="en-US"/>
    </w:rPr>
  </w:style>
  <w:style w:type="paragraph" w:customStyle="1" w:styleId="OurRef">
    <w:name w:val="Our Ref:"/>
    <w:basedOn w:val="BodyText"/>
    <w:semiHidden/>
    <w:locked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locked/>
    <w:rsid w:val="00000871"/>
    <w:rPr>
      <w:lang w:val="en-US" w:bidi="en-US"/>
    </w:rPr>
  </w:style>
  <w:style w:type="paragraph" w:customStyle="1" w:styleId="Dash">
    <w:name w:val="Dash"/>
    <w:basedOn w:val="Normal"/>
    <w:semiHidden/>
    <w:locked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styleId="Index1">
    <w:name w:val="index 1"/>
    <w:basedOn w:val="Normal"/>
    <w:next w:val="Normal"/>
    <w:semiHidden/>
    <w:unhideWhenUsed/>
    <w:locked/>
    <w:rsid w:val="00016045"/>
    <w:pPr>
      <w:spacing w:before="0" w:after="0"/>
      <w:ind w:left="240" w:hanging="240"/>
    </w:pPr>
  </w:style>
  <w:style w:type="paragraph" w:customStyle="1" w:styleId="HeaderLogoType">
    <w:name w:val="Header Logo Type"/>
    <w:basedOn w:val="Header"/>
    <w:semiHidden/>
    <w:locked/>
    <w:rsid w:val="004D31F9"/>
    <w:pPr>
      <w:tabs>
        <w:tab w:val="clear" w:pos="4513"/>
        <w:tab w:val="clear" w:pos="9026"/>
        <w:tab w:val="left" w:pos="7088"/>
        <w:tab w:val="left" w:pos="7242"/>
      </w:tabs>
    </w:pPr>
    <w:rPr>
      <w:rFonts w:cs="ArialMT"/>
      <w:b/>
      <w:color w:val="646464"/>
      <w:kern w:val="144"/>
      <w:sz w:val="24"/>
      <w:lang w:val="en-US" w:eastAsia="en-US" w:bidi="en-US"/>
    </w:rPr>
  </w:style>
  <w:style w:type="character" w:customStyle="1" w:styleId="CharChar">
    <w:name w:val="Char Char"/>
    <w:semiHidden/>
    <w:locked/>
    <w:rsid w:val="00AE47CC"/>
    <w:rPr>
      <w:rFonts w:ascii="Open Sans" w:hAnsi="Open Sans" w:cs="Arial"/>
      <w:sz w:val="24"/>
      <w:lang w:val="en-AU" w:eastAsia="en-AU" w:bidi="ar-SA"/>
    </w:rPr>
  </w:style>
  <w:style w:type="character" w:customStyle="1" w:styleId="EndnoteTextChar">
    <w:name w:val="Endnote Text Char"/>
    <w:semiHidden/>
    <w:rsid w:val="001334CB"/>
    <w:rPr>
      <w:rFonts w:ascii="Open Sans" w:hAnsi="Open Sans"/>
      <w:sz w:val="24"/>
      <w:lang w:bidi="ar-SA"/>
    </w:rPr>
  </w:style>
  <w:style w:type="paragraph" w:styleId="BalloonText">
    <w:name w:val="Balloon Text"/>
    <w:basedOn w:val="Normal"/>
    <w:semiHidden/>
    <w:locked/>
    <w:rsid w:val="00AE47CC"/>
    <w:rPr>
      <w:rFonts w:cs="Tahoma"/>
      <w:szCs w:val="16"/>
    </w:rPr>
  </w:style>
  <w:style w:type="character" w:customStyle="1" w:styleId="description">
    <w:name w:val="description"/>
    <w:basedOn w:val="DefaultParagraphFont"/>
    <w:locked/>
    <w:rsid w:val="00AE47CC"/>
    <w:rPr>
      <w:rFonts w:ascii="Open Sans" w:hAnsi="Open San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D54C0"/>
    <w:pPr>
      <w:spacing w:before="200" w:after="160"/>
      <w:ind w:left="864" w:right="864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7D54C0"/>
    <w:rPr>
      <w:rFonts w:ascii="Open Sans" w:hAnsi="Open Sans"/>
      <w:iCs/>
      <w:sz w:val="22"/>
      <w:szCs w:val="24"/>
    </w:rPr>
  </w:style>
  <w:style w:type="character" w:styleId="BookTitle">
    <w:name w:val="Book Title"/>
    <w:basedOn w:val="DefaultParagraphFont"/>
    <w:uiPriority w:val="33"/>
    <w:qFormat/>
    <w:rsid w:val="00907E82"/>
    <w:rPr>
      <w:rFonts w:ascii="Open Sans" w:hAnsi="Open Sans"/>
      <w:b w:val="0"/>
      <w:bCs/>
      <w:i/>
      <w:iCs/>
      <w:spacing w:val="5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AE47CC"/>
  </w:style>
  <w:style w:type="paragraph" w:styleId="Caption">
    <w:name w:val="caption"/>
    <w:basedOn w:val="Normal"/>
    <w:next w:val="Normal"/>
    <w:semiHidden/>
    <w:unhideWhenUsed/>
    <w:locked/>
    <w:rsid w:val="00AE47CC"/>
    <w:pPr>
      <w:spacing w:before="0" w:after="200"/>
    </w:pPr>
    <w:rPr>
      <w:iCs/>
      <w:szCs w:val="18"/>
    </w:rPr>
  </w:style>
  <w:style w:type="character" w:styleId="CommentReference">
    <w:name w:val="annotation reference"/>
    <w:basedOn w:val="DefaultParagraphFont"/>
    <w:semiHidden/>
    <w:unhideWhenUsed/>
    <w:locked/>
    <w:rsid w:val="00AE47CC"/>
    <w:rPr>
      <w:rFonts w:ascii="Open Sans" w:hAnsi="Open Sans"/>
      <w:sz w:val="24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AE47CC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47CC"/>
    <w:rPr>
      <w:rFonts w:ascii="Open Sans" w:hAnsi="Open Sans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AE47CC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47CC"/>
    <w:rPr>
      <w:rFonts w:ascii="Open Sans" w:hAnsi="Open Sans"/>
      <w:bCs/>
      <w:sz w:val="24"/>
    </w:rPr>
  </w:style>
  <w:style w:type="paragraph" w:styleId="DocumentMap">
    <w:name w:val="Document Map"/>
    <w:basedOn w:val="Normal"/>
    <w:link w:val="DocumentMapChar"/>
    <w:semiHidden/>
    <w:unhideWhenUsed/>
    <w:locked/>
    <w:rsid w:val="00AE47CC"/>
    <w:pPr>
      <w:spacing w:before="0" w:after="0"/>
    </w:pPr>
    <w:rPr>
      <w:rFonts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AE47CC"/>
    <w:rPr>
      <w:rFonts w:ascii="Open Sans" w:hAnsi="Open Sans" w:cs="Segoe UI"/>
      <w:sz w:val="24"/>
      <w:szCs w:val="16"/>
    </w:rPr>
  </w:style>
  <w:style w:type="character" w:customStyle="1" w:styleId="HeaderTitle">
    <w:name w:val="Header Title"/>
    <w:basedOn w:val="DefaultParagraphFont"/>
    <w:uiPriority w:val="1"/>
    <w:qFormat/>
    <w:rsid w:val="001334CB"/>
    <w:rPr>
      <w:rFonts w:ascii="Open Sans" w:hAnsi="Open Sans"/>
      <w:b/>
      <w:sz w:val="18"/>
    </w:rPr>
  </w:style>
  <w:style w:type="paragraph" w:styleId="Index2">
    <w:name w:val="index 2"/>
    <w:basedOn w:val="Normal"/>
    <w:next w:val="Normal"/>
    <w:semiHidden/>
    <w:unhideWhenUsed/>
    <w:locked/>
    <w:rsid w:val="00016045"/>
    <w:pPr>
      <w:spacing w:before="0" w:after="0"/>
      <w:ind w:left="480" w:hanging="240"/>
    </w:pPr>
  </w:style>
  <w:style w:type="paragraph" w:styleId="Index3">
    <w:name w:val="index 3"/>
    <w:basedOn w:val="Normal"/>
    <w:next w:val="Normal"/>
    <w:semiHidden/>
    <w:unhideWhenUsed/>
    <w:locked/>
    <w:rsid w:val="00016045"/>
    <w:pPr>
      <w:spacing w:before="0" w:after="0"/>
      <w:ind w:left="720" w:hanging="240"/>
    </w:pPr>
  </w:style>
  <w:style w:type="paragraph" w:styleId="Index4">
    <w:name w:val="index 4"/>
    <w:basedOn w:val="Normal"/>
    <w:next w:val="Normal"/>
    <w:semiHidden/>
    <w:unhideWhenUsed/>
    <w:locked/>
    <w:rsid w:val="00016045"/>
    <w:pPr>
      <w:spacing w:before="0" w:after="0"/>
      <w:ind w:left="960" w:hanging="240"/>
    </w:pPr>
  </w:style>
  <w:style w:type="paragraph" w:styleId="Index5">
    <w:name w:val="index 5"/>
    <w:basedOn w:val="Normal"/>
    <w:next w:val="Normal"/>
    <w:semiHidden/>
    <w:unhideWhenUsed/>
    <w:locked/>
    <w:rsid w:val="00016045"/>
    <w:pPr>
      <w:spacing w:before="0" w:after="0"/>
      <w:ind w:left="1200" w:hanging="240"/>
    </w:pPr>
  </w:style>
  <w:style w:type="paragraph" w:styleId="Index6">
    <w:name w:val="index 6"/>
    <w:basedOn w:val="Normal"/>
    <w:next w:val="Normal"/>
    <w:semiHidden/>
    <w:unhideWhenUsed/>
    <w:locked/>
    <w:rsid w:val="00016045"/>
    <w:pPr>
      <w:spacing w:before="0" w:after="0"/>
      <w:ind w:left="1440" w:hanging="240"/>
    </w:pPr>
  </w:style>
  <w:style w:type="paragraph" w:styleId="Index7">
    <w:name w:val="index 7"/>
    <w:basedOn w:val="Normal"/>
    <w:next w:val="Normal"/>
    <w:semiHidden/>
    <w:unhideWhenUsed/>
    <w:locked/>
    <w:rsid w:val="00016045"/>
    <w:pPr>
      <w:spacing w:before="0" w:after="0"/>
      <w:ind w:left="1680" w:hanging="240"/>
    </w:pPr>
  </w:style>
  <w:style w:type="paragraph" w:styleId="Index8">
    <w:name w:val="index 8"/>
    <w:basedOn w:val="Normal"/>
    <w:next w:val="Normal"/>
    <w:semiHidden/>
    <w:unhideWhenUsed/>
    <w:locked/>
    <w:rsid w:val="00016045"/>
    <w:pPr>
      <w:spacing w:before="0" w:after="0"/>
      <w:ind w:left="1920" w:hanging="240"/>
    </w:pPr>
  </w:style>
  <w:style w:type="paragraph" w:styleId="Index9">
    <w:name w:val="index 9"/>
    <w:basedOn w:val="Normal"/>
    <w:next w:val="Normal"/>
    <w:semiHidden/>
    <w:unhideWhenUsed/>
    <w:locked/>
    <w:rsid w:val="00016045"/>
    <w:pPr>
      <w:spacing w:before="0" w:after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locked/>
    <w:rsid w:val="00016045"/>
    <w:rPr>
      <w:rFonts w:eastAsiaTheme="majorEastAsia" w:cstheme="majorBidi"/>
      <w:bCs/>
    </w:rPr>
  </w:style>
  <w:style w:type="character" w:styleId="IntenseEmphasis">
    <w:name w:val="Intense Emphasis"/>
    <w:basedOn w:val="DefaultParagraphFont"/>
    <w:uiPriority w:val="21"/>
    <w:locked/>
    <w:rsid w:val="00016045"/>
    <w:rPr>
      <w:rFonts w:ascii="Open Sans" w:hAnsi="Open Sans"/>
      <w:i w:val="0"/>
      <w:iCs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016045"/>
    <w:pPr>
      <w:spacing w:before="360" w:after="360"/>
      <w:ind w:left="864" w:right="864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045"/>
    <w:rPr>
      <w:rFonts w:ascii="Open Sans" w:hAnsi="Open Sans"/>
      <w:iCs/>
      <w:sz w:val="24"/>
      <w:szCs w:val="24"/>
    </w:rPr>
  </w:style>
  <w:style w:type="character" w:styleId="IntenseReference">
    <w:name w:val="Intense Reference"/>
    <w:basedOn w:val="DefaultParagraphFont"/>
    <w:uiPriority w:val="32"/>
    <w:locked/>
    <w:rsid w:val="00C43F2E"/>
    <w:rPr>
      <w:rFonts w:ascii="Open Sans" w:hAnsi="Open Sans"/>
      <w:b w:val="0"/>
      <w:bCs/>
      <w:caps w:val="0"/>
      <w:smallCaps w:val="0"/>
      <w:color w:val="auto"/>
      <w:spacing w:val="5"/>
      <w:sz w:val="24"/>
    </w:rPr>
  </w:style>
  <w:style w:type="paragraph" w:styleId="MacroText">
    <w:name w:val="macro"/>
    <w:link w:val="MacroTextChar"/>
    <w:semiHidden/>
    <w:unhideWhenUsed/>
    <w:locked/>
    <w:rsid w:val="007F4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240"/>
    </w:pPr>
    <w:rPr>
      <w:rFonts w:ascii="Open Sans" w:hAnsi="Open Sans" w:cs="Consolas"/>
      <w:sz w:val="24"/>
    </w:rPr>
  </w:style>
  <w:style w:type="character" w:customStyle="1" w:styleId="MacroTextChar">
    <w:name w:val="Macro Text Char"/>
    <w:basedOn w:val="DefaultParagraphFont"/>
    <w:link w:val="MacroText"/>
    <w:semiHidden/>
    <w:rsid w:val="007F4811"/>
    <w:rPr>
      <w:rFonts w:ascii="Open Sans" w:hAnsi="Open Sans" w:cs="Consolas"/>
      <w:sz w:val="24"/>
    </w:rPr>
  </w:style>
  <w:style w:type="paragraph" w:styleId="NoSpacing">
    <w:name w:val="No Spacing"/>
    <w:uiPriority w:val="1"/>
    <w:qFormat/>
    <w:locked/>
    <w:rsid w:val="00611730"/>
    <w:rPr>
      <w:rFonts w:ascii="Open Sans" w:hAnsi="Open Sans"/>
      <w:sz w:val="24"/>
      <w:szCs w:val="24"/>
    </w:rPr>
  </w:style>
  <w:style w:type="paragraph" w:styleId="ListParagraph">
    <w:name w:val="List Paragraph"/>
    <w:basedOn w:val="Normal"/>
    <w:uiPriority w:val="34"/>
    <w:locked/>
    <w:rsid w:val="004802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08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50B0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resident.ahrc@humanrights.gov.au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t.gov.au/AAT/media/AAT/Files/Reports/AR202021/AR2020%e2%80%9321.pdf" TargetMode="External"/><Relationship Id="rId13" Type="http://schemas.openxmlformats.org/officeDocument/2006/relationships/hyperlink" Target="http://www.aph.gov.au/~/media/Committees/Senate/committee/scrutiny/scrutiny%20digest/PDF/d07.pdf?la=en" TargetMode="External"/><Relationship Id="rId18" Type="http://schemas.openxmlformats.org/officeDocument/2006/relationships/hyperlink" Target="https://nla.gov.au/nla.obj-1928610510/view?partId=nla.obj-1933499998" TargetMode="External"/><Relationship Id="rId3" Type="http://schemas.openxmlformats.org/officeDocument/2006/relationships/hyperlink" Target="https://humanrights.gov.au/our-work/asylum-seekers-and-refugees/publications/lives-hold-refugees-and-asylum-seekers-legacy" TargetMode="External"/><Relationship Id="rId7" Type="http://schemas.openxmlformats.org/officeDocument/2006/relationships/hyperlink" Target="https://www.aph.gov.au/DocumentStore.ashx?id=92c3250b-7f7f-44a7-be0e-148869775611&amp;subId=565322" TargetMode="External"/><Relationship Id="rId12" Type="http://schemas.openxmlformats.org/officeDocument/2006/relationships/hyperlink" Target="https://www.ag.gov.au/legal-system/administrative-law/administrative-review-council-publications/what-decisions-should-be-subject-merit-review-1999" TargetMode="External"/><Relationship Id="rId17" Type="http://schemas.openxmlformats.org/officeDocument/2006/relationships/hyperlink" Target="https://www.aph.gov.au/DocumentStore.ashx?id=92c3250b-7f7f-44a7-be0e-148869775611&amp;subId=565322" TargetMode="External"/><Relationship Id="rId2" Type="http://schemas.openxmlformats.org/officeDocument/2006/relationships/hyperlink" Target="https://www.aph.gov.au/DocumentStore.ashx?id=2ce044cf-a0dc-4fda-9d28-27a6f0b5a9f6&amp;subId=301530" TargetMode="External"/><Relationship Id="rId16" Type="http://schemas.openxmlformats.org/officeDocument/2006/relationships/hyperlink" Target="https://www.ag.gov.au/legal-system/publications/report-50-federal-judicial-review-australia-2012" TargetMode="External"/><Relationship Id="rId20" Type="http://schemas.openxmlformats.org/officeDocument/2006/relationships/hyperlink" Target="https://www.ag.gov.au/sites/default/files/2020-03/report-statutory-review-aat.pdf" TargetMode="External"/><Relationship Id="rId1" Type="http://schemas.openxmlformats.org/officeDocument/2006/relationships/hyperlink" Target="https://www.aph.gov.au/DocumentStore.ashx?id=f398c0c0-376d-4b96-9007-5b0b98cbf729&amp;subId=514189" TargetMode="External"/><Relationship Id="rId6" Type="http://schemas.openxmlformats.org/officeDocument/2006/relationships/hyperlink" Target="https://www.alrc.gov.au/wp-content/uploads/2019/08/alrc_129_final_report_.pdf" TargetMode="External"/><Relationship Id="rId11" Type="http://schemas.openxmlformats.org/officeDocument/2006/relationships/hyperlink" Target="https://www.aph.gov.au/DocumentStore.ashx?id=92c3250b-7f7f-44a7-be0e-148869775611&amp;subId=565322" TargetMode="External"/><Relationship Id="rId5" Type="http://schemas.openxmlformats.org/officeDocument/2006/relationships/hyperlink" Target="https://www.aph.gov.au/DocumentStore.ashx?id=e50d519a-f240-4c6e-8f7e-baa7e3af7c33&amp;subId=301611" TargetMode="External"/><Relationship Id="rId15" Type="http://schemas.openxmlformats.org/officeDocument/2006/relationships/hyperlink" Target="https://www.alrc.gov.au/wp-content/uploads/2019/08/alrc_129_final_report_.pdf" TargetMode="External"/><Relationship Id="rId10" Type="http://schemas.openxmlformats.org/officeDocument/2006/relationships/hyperlink" Target="https://www.aat.gov.au/AAT/media/AAT/Files/Lists/List-of-Reviewable-Decisions.pdf" TargetMode="External"/><Relationship Id="rId19" Type="http://schemas.openxmlformats.org/officeDocument/2006/relationships/hyperlink" Target="https://archive.budget.gov.au/2015-16/bp2/BP2_consolidated.pdf" TargetMode="External"/><Relationship Id="rId4" Type="http://schemas.openxmlformats.org/officeDocument/2006/relationships/hyperlink" Target="https://www.aat.gov.au/AAT/media/AAT/Files/Reports/AR202021/2020-21-At-a-glance.pdf" TargetMode="External"/><Relationship Id="rId9" Type="http://schemas.openxmlformats.org/officeDocument/2006/relationships/hyperlink" Target="https://www.aat.gov.au/about-the-aat" TargetMode="External"/><Relationship Id="rId14" Type="http://schemas.openxmlformats.org/officeDocument/2006/relationships/hyperlink" Target="https://www.aph.gov.au/DocumentStore.ashx?id=a62b50cc-c67f-4158-87a7-2f1e0b673175&amp;subId=564701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ustralianhrc.sharepoint.com/sites/radical/AHRCTemplateHub/Commission/AHRC%20Executive%20Letterhead/Rosalind%20Croucher%20-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975c5ac6-a0cc-43ed-b850-4a2ae59237b6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55D95DF676046B99E394FD3A716A8" ma:contentTypeVersion="653" ma:contentTypeDescription="Create a new document." ma:contentTypeScope="" ma:versionID="f9fc1403281b2246f6f00a229a239113">
  <xsd:schema xmlns:xsd="http://www.w3.org/2001/XMLSchema" xmlns:xs="http://www.w3.org/2001/XMLSchema" xmlns:p="http://schemas.microsoft.com/office/2006/metadata/properties" xmlns:ns2="57f1fb52-79b9-4278-9d54-1e5db41bfcda" xmlns:ns3="6500fe01-343b-4fb9-a1b0-68ac19d62e01" xmlns:ns4="1a69bdef-c635-48ac-9cf9-b687dab64bb7" targetNamespace="http://schemas.microsoft.com/office/2006/metadata/properties" ma:root="true" ma:fieldsID="98fcf6e74e987bc9f34e01231bd29ea5" ns2:_="" ns3:_="" ns4:_="">
    <xsd:import namespace="57f1fb52-79b9-4278-9d54-1e5db41bfcda"/>
    <xsd:import namespace="6500fe01-343b-4fb9-a1b0-68ac19d62e01"/>
    <xsd:import namespace="1a69bdef-c635-48ac-9cf9-b687dab64bb7"/>
    <xsd:element name="properties">
      <xsd:complexType>
        <xsd:sequence>
          <xsd:element name="documentManagement">
            <xsd:complexType>
              <xsd:all>
                <xsd:element ref="ns3:Divider" minOccurs="0"/>
                <xsd:element ref="ns2:Subdivider" minOccurs="0"/>
                <xsd:element ref="ns3:TaxKeywordTaxHTField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2:h1905e97e92e42caaf2a314461ed6a1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2:From1" minOccurs="0"/>
                <xsd:element ref="ns2:Received_x002f_Sent" minOccurs="0"/>
                <xsd:element ref="ns4:EmailasAttachment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1fb52-79b9-4278-9d54-1e5db41bfcda" elementFormDefault="qualified">
    <xsd:import namespace="http://schemas.microsoft.com/office/2006/documentManagement/types"/>
    <xsd:import namespace="http://schemas.microsoft.com/office/infopath/2007/PartnerControls"/>
    <xsd:element name="Subdivider" ma:index="3" nillable="true" ma:displayName="Subdivider" ma:format="Dropdown" ma:hidden="true" ma:indexed="true" ma:internalName="Subdivider" ma:readOnly="false">
      <xsd:simpleType>
        <xsd:union memberTypes="dms:Text">
          <xsd:simpleType>
            <xsd:restriction base="dms:Choice">
              <xsd:enumeration value="-"/>
            </xsd:restriction>
          </xsd:simpleType>
        </xsd:union>
      </xsd:simpleType>
    </xsd:element>
    <xsd:element name="h1905e97e92e42caaf2a314461ed6a1e" ma:index="18" nillable="true" ma:taxonomy="true" ma:internalName="h1905e97e92e42caaf2a314461ed6a1e" ma:taxonomyFieldName="Document_x0020_Type" ma:displayName="Document Type" ma:default="" ma:fieldId="{11905e97-e92e-42ca-af2a-314461ed6a1e}" ma:sspId="975c5ac6-a0cc-43ed-b850-4a2ae59237b6" ma:termSetId="5c0fb424-e810-48cd-89f5-068486990c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rom1" ma:index="27" nillable="true" ma:displayName="From" ma:indexed="true" ma:internalName="From1">
      <xsd:simpleType>
        <xsd:restriction base="dms:Text">
          <xsd:maxLength value="255"/>
        </xsd:restriction>
      </xsd:simpleType>
    </xsd:element>
    <xsd:element name="Received_x002f_Sent" ma:index="28" nillable="true" ma:displayName="Received/Sent" ma:indexed="true" ma:internalName="Received_x002F_Sent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fe01-343b-4fb9-a1b0-68ac19d62e01" elementFormDefault="qualified">
    <xsd:import namespace="http://schemas.microsoft.com/office/2006/documentManagement/types"/>
    <xsd:import namespace="http://schemas.microsoft.com/office/infopath/2007/PartnerControls"/>
    <xsd:element name="Divider" ma:index="2" nillable="true" ma:displayName="Divider" ma:format="Dropdown" ma:hidden="true" ma:indexed="true" ma:internalName="Divider" ma:readOnly="false">
      <xsd:simpleType>
        <xsd:union memberTypes="dms:Text">
          <xsd:simpleType>
            <xsd:restriction base="dms:Choice">
              <xsd:enumeration value="-"/>
            </xsd:restriction>
          </xsd:simpleType>
        </xsd:union>
      </xsd:simpleType>
    </xsd:element>
    <xsd:element name="TaxKeywordTaxHTField" ma:index="7" nillable="true" ma:taxonomy="true" ma:internalName="TaxKeywordTaxHTField" ma:taxonomyFieldName="TaxKeyword" ma:displayName="Enterprise Keywords" ma:fieldId="{23f27201-bee3-471e-b2e7-b64fd8b7ca38}" ma:taxonomyMulti="true" ma:sspId="975c5ac6-a0cc-43ed-b850-4a2ae5923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f386e28e-d76d-4cdd-8585-6723f400076b}" ma:internalName="TaxCatchAll" ma:showField="CatchAllData" ma:web="57f1fb52-79b9-4278-9d54-1e5db41bf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386e28e-d76d-4cdd-8585-6723f400076b}" ma:internalName="TaxCatchAllLabel" ma:readOnly="true" ma:showField="CatchAllDataLabel" ma:web="57f1fb52-79b9-4278-9d54-1e5db41bf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9bdef-c635-48ac-9cf9-b687dab6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EmailasAttachment" ma:index="30" nillable="true" ma:displayName="Email as Attachment" ma:format="Hyperlink" ma:internalName="EmailasAttach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 ma:index="36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00fe01-343b-4fb9-a1b0-68ac19d62e01" xsi:nil="true"/>
    <TaxKeywordTaxHTField xmlns="6500fe01-343b-4fb9-a1b0-68ac19d62e01">
      <Terms xmlns="http://schemas.microsoft.com/office/infopath/2007/PartnerControls"/>
    </TaxKeywordTaxHTField>
    <_dlc_DocId xmlns="6500fe01-343b-4fb9-a1b0-68ac19d62e01">DGE6U7RJ2EFV-31920988-8535</_dlc_DocId>
    <_dlc_DocIdUrl xmlns="6500fe01-343b-4fb9-a1b0-68ac19d62e01">
      <Url>https://australianhrc.sharepoint.com/sites/LegalServicesWorkspace/_layouts/15/DocIdRedir.aspx?ID=DGE6U7RJ2EFV-31920988-8535</Url>
      <Description>DGE6U7RJ2EFV-31920988-8535</Description>
    </_dlc_DocIdUrl>
    <Received_x002f_Sent xmlns="57f1fb52-79b9-4278-9d54-1e5db41bfcda" xsi:nil="true"/>
    <EmailasAttachment xmlns="1a69bdef-c635-48ac-9cf9-b687dab64bb7">
      <Url xsi:nil="true"/>
      <Description xsi:nil="true"/>
    </EmailasAttachment>
    <Divider xmlns="6500fe01-343b-4fb9-a1b0-68ac19d62e01" xsi:nil="true"/>
    <h1905e97e92e42caaf2a314461ed6a1e xmlns="57f1fb52-79b9-4278-9d54-1e5db41bfcda">
      <Terms xmlns="http://schemas.microsoft.com/office/infopath/2007/PartnerControls"/>
    </h1905e97e92e42caaf2a314461ed6a1e>
    <From1 xmlns="57f1fb52-79b9-4278-9d54-1e5db41bfcda" xsi:nil="true"/>
    <Subdivider xmlns="57f1fb52-79b9-4278-9d54-1e5db41bfcda" xsi:nil="true"/>
  </documentManagement>
</p:properties>
</file>

<file path=customXml/itemProps1.xml><?xml version="1.0" encoding="utf-8"?>
<ds:datastoreItem xmlns:ds="http://schemas.openxmlformats.org/officeDocument/2006/customXml" ds:itemID="{07A8F0B1-554C-4309-B123-A4DDA4FFF0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2CA6C9-FE34-4BE0-8B81-CEBF2FCCA4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4931DC-8649-42FD-8F2F-7A222FB581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432E62-3794-414F-BD56-46B0809CB788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C7ADF1A-D654-4E49-9D10-8FD1576F378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9EA1719-B67F-4330-A998-042318FE7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1fb52-79b9-4278-9d54-1e5db41bfcda"/>
    <ds:schemaRef ds:uri="6500fe01-343b-4fb9-a1b0-68ac19d62e01"/>
    <ds:schemaRef ds:uri="1a69bdef-c635-48ac-9cf9-b687dab64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01EB0F3-2282-4330-904E-28B25F33C00A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57f1fb52-79b9-4278-9d54-1e5db41bfcda"/>
    <ds:schemaRef ds:uri="http://purl.org/dc/dcmitype/"/>
    <ds:schemaRef ds:uri="1a69bdef-c635-48ac-9cf9-b687dab64bb7"/>
    <ds:schemaRef ds:uri="http://schemas.microsoft.com/office/infopath/2007/PartnerControls"/>
    <ds:schemaRef ds:uri="http://schemas.openxmlformats.org/package/2006/metadata/core-properties"/>
    <ds:schemaRef ds:uri="6500fe01-343b-4fb9-a1b0-68ac19d62e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Rosalind%20Croucher%20-%20Letterhead</Template>
  <TotalTime>2756</TotalTime>
  <Pages>13</Pages>
  <Words>3098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19864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subject/>
  <dc:creator>AHRC User</dc:creator>
  <cp:keywords/>
  <dc:description/>
  <cp:lastModifiedBy>Graeme Edgerton</cp:lastModifiedBy>
  <cp:revision>536</cp:revision>
  <cp:lastPrinted>2011-08-09T23:51:00Z</cp:lastPrinted>
  <dcterms:created xsi:type="dcterms:W3CDTF">2021-11-16T23:11:00Z</dcterms:created>
  <dcterms:modified xsi:type="dcterms:W3CDTF">2021-11-24T01:11:00Z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0x01010084B55D95DF676046B99E394FD3A716A8</vt:lpwstr>
  </property>
  <property fmtid="{D5CDD505-2E9C-101B-9397-08002B2CF9AE}" pid="3" name="_dlc_DocIdItemGuid">
    <vt:lpwstr>ed726056-510d-43a1-a2ab-be35d9d8f435</vt:lpwstr>
  </property>
  <property fmtid="{D5CDD505-2E9C-101B-9397-08002B2CF9AE}" pid="4" name="TaxKeyword">
    <vt:lpwstr/>
  </property>
  <property fmtid="{D5CDD505-2E9C-101B-9397-08002B2CF9AE}" pid="5" name="Document Type">
    <vt:lpwstr/>
  </property>
</Properties>
</file>