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49A1" w14:textId="340EB5E3" w:rsidR="00525EFA" w:rsidRDefault="00D33CC7" w:rsidP="00525EFA">
      <w:pPr>
        <w:pStyle w:val="MainTitle"/>
        <w:ind w:left="851"/>
      </w:pPr>
      <w:r>
        <w:t>Public Interest Disclosure Amendment (</w:t>
      </w:r>
      <w:r w:rsidR="00845300">
        <w:t>Review</w:t>
      </w:r>
      <w:r>
        <w:t>)</w:t>
      </w:r>
      <w:r w:rsidR="00845300">
        <w:t xml:space="preserve"> </w:t>
      </w:r>
      <w:r>
        <w:t xml:space="preserve">Bill </w:t>
      </w:r>
      <w:r w:rsidR="00651330">
        <w:t>2022</w:t>
      </w:r>
    </w:p>
    <w:p w14:paraId="35E16947" w14:textId="77777777" w:rsidR="00651330" w:rsidRPr="00651330" w:rsidRDefault="00651330" w:rsidP="00651330">
      <w:pPr>
        <w:pStyle w:val="Subtitle"/>
      </w:pPr>
    </w:p>
    <w:p w14:paraId="41576B26" w14:textId="3EC7F165" w:rsidR="00817C73" w:rsidRPr="00E66FC4" w:rsidRDefault="00C86324" w:rsidP="006F5EFB">
      <w:pPr>
        <w:pStyle w:val="Date"/>
        <w:spacing w:before="560"/>
        <w:rPr>
          <w:color w:val="2E74B5" w:themeColor="accent1" w:themeShade="BF"/>
          <w:sz w:val="28"/>
        </w:rPr>
      </w:pPr>
      <w:bookmarkStart w:id="0" w:name="_Toc525894097"/>
      <w:r w:rsidRPr="00E66FC4">
        <w:rPr>
          <w:color w:val="2E74B5" w:themeColor="accent1" w:themeShade="BF"/>
          <w:sz w:val="28"/>
        </w:rPr>
        <w:t xml:space="preserve">Submission to the </w:t>
      </w:r>
      <w:bookmarkEnd w:id="0"/>
      <w:r w:rsidR="00651330">
        <w:rPr>
          <w:color w:val="2E74B5" w:themeColor="accent1" w:themeShade="BF"/>
          <w:sz w:val="28"/>
        </w:rPr>
        <w:t xml:space="preserve">Senate Legal and Constitutional Affairs Legislation Committee </w:t>
      </w:r>
    </w:p>
    <w:p w14:paraId="51B65F54" w14:textId="628305D6" w:rsidR="00F220A5" w:rsidRPr="00817C73" w:rsidRDefault="00F64997" w:rsidP="00AA1402">
      <w:pPr>
        <w:pStyle w:val="Date"/>
        <w:spacing w:before="360"/>
      </w:pPr>
      <w:r>
        <w:t xml:space="preserve">20 </w:t>
      </w:r>
      <w:r w:rsidR="00CF670C">
        <w:t xml:space="preserve">January </w:t>
      </w:r>
      <w:r w:rsidR="0087410B">
        <w:t>202</w:t>
      </w:r>
      <w:r w:rsidR="00CF670C">
        <w:t>3</w:t>
      </w:r>
    </w:p>
    <w:p w14:paraId="5C740124" w14:textId="77777777" w:rsidR="00AC636D" w:rsidRDefault="00AC636D" w:rsidP="00AC636D"/>
    <w:p w14:paraId="695CA3EF" w14:textId="77777777" w:rsidR="009E4BD0" w:rsidRPr="00AC636D" w:rsidRDefault="009E4BD0" w:rsidP="000E4837">
      <w:pPr>
        <w:pStyle w:val="Subtitle"/>
        <w:sectPr w:rsidR="009E4BD0" w:rsidRPr="00AC636D" w:rsidSect="00AC636D">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40DE5B7C" w14:textId="5FE4C6E8" w:rsidR="006A209C" w:rsidRDefault="000E4837">
      <w:pPr>
        <w:pStyle w:val="TOC1"/>
        <w:rPr>
          <w:rFonts w:asciiTheme="minorHAnsi" w:eastAsiaTheme="minorEastAsia" w:hAnsiTheme="minorHAnsi" w:cstheme="minorBidi"/>
          <w:b w:val="0"/>
          <w:sz w:val="22"/>
          <w:szCs w:val="22"/>
        </w:rPr>
      </w:pPr>
      <w:r>
        <w:rPr>
          <w:b w:val="0"/>
        </w:rPr>
        <w:lastRenderedPageBreak/>
        <w:fldChar w:fldCharType="begin"/>
      </w:r>
      <w:r>
        <w:rPr>
          <w:b w:val="0"/>
        </w:rPr>
        <w:instrText xml:space="preserve"> TOC \o "1-3" \h \z \u </w:instrText>
      </w:r>
      <w:r>
        <w:rPr>
          <w:b w:val="0"/>
        </w:rPr>
        <w:fldChar w:fldCharType="separate"/>
      </w:r>
      <w:hyperlink w:anchor="_Toc125116079" w:history="1">
        <w:r w:rsidR="006A209C" w:rsidRPr="00351D5B">
          <w:rPr>
            <w:rStyle w:val="Hyperlink"/>
          </w:rPr>
          <w:t>1</w:t>
        </w:r>
        <w:r w:rsidR="006A209C">
          <w:rPr>
            <w:rFonts w:asciiTheme="minorHAnsi" w:eastAsiaTheme="minorEastAsia" w:hAnsiTheme="minorHAnsi" w:cstheme="minorBidi"/>
            <w:b w:val="0"/>
            <w:sz w:val="22"/>
            <w:szCs w:val="22"/>
          </w:rPr>
          <w:tab/>
        </w:r>
        <w:r w:rsidR="006A209C" w:rsidRPr="00351D5B">
          <w:rPr>
            <w:rStyle w:val="Hyperlink"/>
          </w:rPr>
          <w:t>Introduction</w:t>
        </w:r>
        <w:r w:rsidR="006A209C">
          <w:rPr>
            <w:webHidden/>
          </w:rPr>
          <w:tab/>
        </w:r>
        <w:r w:rsidR="006A209C">
          <w:rPr>
            <w:webHidden/>
          </w:rPr>
          <w:fldChar w:fldCharType="begin"/>
        </w:r>
        <w:r w:rsidR="006A209C">
          <w:rPr>
            <w:webHidden/>
          </w:rPr>
          <w:instrText xml:space="preserve"> PAGEREF _Toc125116079 \h </w:instrText>
        </w:r>
        <w:r w:rsidR="006A209C">
          <w:rPr>
            <w:webHidden/>
          </w:rPr>
        </w:r>
        <w:r w:rsidR="006A209C">
          <w:rPr>
            <w:webHidden/>
          </w:rPr>
          <w:fldChar w:fldCharType="separate"/>
        </w:r>
        <w:r w:rsidR="006F77C1">
          <w:rPr>
            <w:webHidden/>
          </w:rPr>
          <w:t>3</w:t>
        </w:r>
        <w:r w:rsidR="006A209C">
          <w:rPr>
            <w:webHidden/>
          </w:rPr>
          <w:fldChar w:fldCharType="end"/>
        </w:r>
      </w:hyperlink>
    </w:p>
    <w:p w14:paraId="2D686AB5" w14:textId="2309ACA1" w:rsidR="006A209C" w:rsidRDefault="00000000">
      <w:pPr>
        <w:pStyle w:val="TOC1"/>
        <w:rPr>
          <w:rFonts w:asciiTheme="minorHAnsi" w:eastAsiaTheme="minorEastAsia" w:hAnsiTheme="minorHAnsi" w:cstheme="minorBidi"/>
          <w:b w:val="0"/>
          <w:sz w:val="22"/>
          <w:szCs w:val="22"/>
        </w:rPr>
      </w:pPr>
      <w:hyperlink w:anchor="_Toc125116080" w:history="1">
        <w:r w:rsidR="006A209C" w:rsidRPr="00351D5B">
          <w:rPr>
            <w:rStyle w:val="Hyperlink"/>
          </w:rPr>
          <w:t>2</w:t>
        </w:r>
        <w:r w:rsidR="006A209C">
          <w:rPr>
            <w:rFonts w:asciiTheme="minorHAnsi" w:eastAsiaTheme="minorEastAsia" w:hAnsiTheme="minorHAnsi" w:cstheme="minorBidi"/>
            <w:b w:val="0"/>
            <w:sz w:val="22"/>
            <w:szCs w:val="22"/>
          </w:rPr>
          <w:tab/>
        </w:r>
        <w:r w:rsidR="006A209C" w:rsidRPr="00351D5B">
          <w:rPr>
            <w:rStyle w:val="Hyperlink"/>
          </w:rPr>
          <w:t>Summary</w:t>
        </w:r>
        <w:r w:rsidR="006A209C">
          <w:rPr>
            <w:webHidden/>
          </w:rPr>
          <w:tab/>
        </w:r>
        <w:r w:rsidR="006A209C">
          <w:rPr>
            <w:webHidden/>
          </w:rPr>
          <w:fldChar w:fldCharType="begin"/>
        </w:r>
        <w:r w:rsidR="006A209C">
          <w:rPr>
            <w:webHidden/>
          </w:rPr>
          <w:instrText xml:space="preserve"> PAGEREF _Toc125116080 \h </w:instrText>
        </w:r>
        <w:r w:rsidR="006A209C">
          <w:rPr>
            <w:webHidden/>
          </w:rPr>
        </w:r>
        <w:r w:rsidR="006A209C">
          <w:rPr>
            <w:webHidden/>
          </w:rPr>
          <w:fldChar w:fldCharType="separate"/>
        </w:r>
        <w:r w:rsidR="006F77C1">
          <w:rPr>
            <w:webHidden/>
          </w:rPr>
          <w:t>3</w:t>
        </w:r>
        <w:r w:rsidR="006A209C">
          <w:rPr>
            <w:webHidden/>
          </w:rPr>
          <w:fldChar w:fldCharType="end"/>
        </w:r>
      </w:hyperlink>
    </w:p>
    <w:p w14:paraId="19D2603F" w14:textId="69812803" w:rsidR="006A209C" w:rsidRDefault="00000000">
      <w:pPr>
        <w:pStyle w:val="TOC1"/>
        <w:rPr>
          <w:rFonts w:asciiTheme="minorHAnsi" w:eastAsiaTheme="minorEastAsia" w:hAnsiTheme="minorHAnsi" w:cstheme="minorBidi"/>
          <w:b w:val="0"/>
          <w:sz w:val="22"/>
          <w:szCs w:val="22"/>
        </w:rPr>
      </w:pPr>
      <w:hyperlink w:anchor="_Toc125116081" w:history="1">
        <w:r w:rsidR="006A209C" w:rsidRPr="00351D5B">
          <w:rPr>
            <w:rStyle w:val="Hyperlink"/>
          </w:rPr>
          <w:t>3</w:t>
        </w:r>
        <w:r w:rsidR="006A209C">
          <w:rPr>
            <w:rFonts w:asciiTheme="minorHAnsi" w:eastAsiaTheme="minorEastAsia" w:hAnsiTheme="minorHAnsi" w:cstheme="minorBidi"/>
            <w:b w:val="0"/>
            <w:sz w:val="22"/>
            <w:szCs w:val="22"/>
          </w:rPr>
          <w:tab/>
        </w:r>
        <w:r w:rsidR="006A209C" w:rsidRPr="00351D5B">
          <w:rPr>
            <w:rStyle w:val="Hyperlink"/>
          </w:rPr>
          <w:t>Recommendations</w:t>
        </w:r>
        <w:r w:rsidR="006A209C">
          <w:rPr>
            <w:webHidden/>
          </w:rPr>
          <w:tab/>
        </w:r>
        <w:r w:rsidR="006A209C">
          <w:rPr>
            <w:webHidden/>
          </w:rPr>
          <w:fldChar w:fldCharType="begin"/>
        </w:r>
        <w:r w:rsidR="006A209C">
          <w:rPr>
            <w:webHidden/>
          </w:rPr>
          <w:instrText xml:space="preserve"> PAGEREF _Toc125116081 \h </w:instrText>
        </w:r>
        <w:r w:rsidR="006A209C">
          <w:rPr>
            <w:webHidden/>
          </w:rPr>
        </w:r>
        <w:r w:rsidR="006A209C">
          <w:rPr>
            <w:webHidden/>
          </w:rPr>
          <w:fldChar w:fldCharType="separate"/>
        </w:r>
        <w:r w:rsidR="006F77C1">
          <w:rPr>
            <w:webHidden/>
          </w:rPr>
          <w:t>6</w:t>
        </w:r>
        <w:r w:rsidR="006A209C">
          <w:rPr>
            <w:webHidden/>
          </w:rPr>
          <w:fldChar w:fldCharType="end"/>
        </w:r>
      </w:hyperlink>
    </w:p>
    <w:p w14:paraId="36C31718" w14:textId="7511B408" w:rsidR="006A209C" w:rsidRDefault="00000000">
      <w:pPr>
        <w:pStyle w:val="TOC1"/>
        <w:rPr>
          <w:rFonts w:asciiTheme="minorHAnsi" w:eastAsiaTheme="minorEastAsia" w:hAnsiTheme="minorHAnsi" w:cstheme="minorBidi"/>
          <w:b w:val="0"/>
          <w:sz w:val="22"/>
          <w:szCs w:val="22"/>
        </w:rPr>
      </w:pPr>
      <w:hyperlink w:anchor="_Toc125116082" w:history="1">
        <w:r w:rsidR="006A209C" w:rsidRPr="00351D5B">
          <w:rPr>
            <w:rStyle w:val="Hyperlink"/>
          </w:rPr>
          <w:t>4</w:t>
        </w:r>
        <w:r w:rsidR="006A209C">
          <w:rPr>
            <w:rFonts w:asciiTheme="minorHAnsi" w:eastAsiaTheme="minorEastAsia" w:hAnsiTheme="minorHAnsi" w:cstheme="minorBidi"/>
            <w:b w:val="0"/>
            <w:sz w:val="22"/>
            <w:szCs w:val="22"/>
          </w:rPr>
          <w:tab/>
        </w:r>
        <w:r w:rsidR="006A209C" w:rsidRPr="00351D5B">
          <w:rPr>
            <w:rStyle w:val="Hyperlink"/>
          </w:rPr>
          <w:t>Relevant human rights</w:t>
        </w:r>
        <w:r w:rsidR="006A209C">
          <w:rPr>
            <w:webHidden/>
          </w:rPr>
          <w:tab/>
        </w:r>
        <w:r w:rsidR="006A209C">
          <w:rPr>
            <w:webHidden/>
          </w:rPr>
          <w:fldChar w:fldCharType="begin"/>
        </w:r>
        <w:r w:rsidR="006A209C">
          <w:rPr>
            <w:webHidden/>
          </w:rPr>
          <w:instrText xml:space="preserve"> PAGEREF _Toc125116082 \h </w:instrText>
        </w:r>
        <w:r w:rsidR="006A209C">
          <w:rPr>
            <w:webHidden/>
          </w:rPr>
        </w:r>
        <w:r w:rsidR="006A209C">
          <w:rPr>
            <w:webHidden/>
          </w:rPr>
          <w:fldChar w:fldCharType="separate"/>
        </w:r>
        <w:r w:rsidR="006F77C1">
          <w:rPr>
            <w:webHidden/>
          </w:rPr>
          <w:t>8</w:t>
        </w:r>
        <w:r w:rsidR="006A209C">
          <w:rPr>
            <w:webHidden/>
          </w:rPr>
          <w:fldChar w:fldCharType="end"/>
        </w:r>
      </w:hyperlink>
    </w:p>
    <w:p w14:paraId="7559D51F" w14:textId="4FE4298B" w:rsidR="006A209C" w:rsidRDefault="00000000">
      <w:pPr>
        <w:pStyle w:val="TOC1"/>
        <w:rPr>
          <w:rFonts w:asciiTheme="minorHAnsi" w:eastAsiaTheme="minorEastAsia" w:hAnsiTheme="minorHAnsi" w:cstheme="minorBidi"/>
          <w:b w:val="0"/>
          <w:sz w:val="22"/>
          <w:szCs w:val="22"/>
        </w:rPr>
      </w:pPr>
      <w:hyperlink w:anchor="_Toc125116083" w:history="1">
        <w:r w:rsidR="006A209C" w:rsidRPr="00351D5B">
          <w:rPr>
            <w:rStyle w:val="Hyperlink"/>
          </w:rPr>
          <w:t>5</w:t>
        </w:r>
        <w:r w:rsidR="006A209C">
          <w:rPr>
            <w:rFonts w:asciiTheme="minorHAnsi" w:eastAsiaTheme="minorEastAsia" w:hAnsiTheme="minorHAnsi" w:cstheme="minorBidi"/>
            <w:b w:val="0"/>
            <w:sz w:val="22"/>
            <w:szCs w:val="22"/>
          </w:rPr>
          <w:tab/>
        </w:r>
        <w:r w:rsidR="006A209C" w:rsidRPr="00351D5B">
          <w:rPr>
            <w:rStyle w:val="Hyperlink"/>
          </w:rPr>
          <w:t>Background</w:t>
        </w:r>
        <w:r w:rsidR="006A209C">
          <w:rPr>
            <w:webHidden/>
          </w:rPr>
          <w:tab/>
        </w:r>
        <w:r w:rsidR="006A209C">
          <w:rPr>
            <w:webHidden/>
          </w:rPr>
          <w:fldChar w:fldCharType="begin"/>
        </w:r>
        <w:r w:rsidR="006A209C">
          <w:rPr>
            <w:webHidden/>
          </w:rPr>
          <w:instrText xml:space="preserve"> PAGEREF _Toc125116083 \h </w:instrText>
        </w:r>
        <w:r w:rsidR="006A209C">
          <w:rPr>
            <w:webHidden/>
          </w:rPr>
        </w:r>
        <w:r w:rsidR="006A209C">
          <w:rPr>
            <w:webHidden/>
          </w:rPr>
          <w:fldChar w:fldCharType="separate"/>
        </w:r>
        <w:r w:rsidR="006F77C1">
          <w:rPr>
            <w:webHidden/>
          </w:rPr>
          <w:t>9</w:t>
        </w:r>
        <w:r w:rsidR="006A209C">
          <w:rPr>
            <w:webHidden/>
          </w:rPr>
          <w:fldChar w:fldCharType="end"/>
        </w:r>
      </w:hyperlink>
    </w:p>
    <w:p w14:paraId="12520B90" w14:textId="37CFD038" w:rsidR="006A209C" w:rsidRDefault="00000000">
      <w:pPr>
        <w:pStyle w:val="TOC2"/>
        <w:rPr>
          <w:rFonts w:asciiTheme="minorHAnsi" w:eastAsiaTheme="minorEastAsia" w:hAnsiTheme="minorHAnsi" w:cstheme="minorBidi"/>
          <w:b w:val="0"/>
          <w:i w:val="0"/>
          <w:sz w:val="22"/>
          <w:szCs w:val="22"/>
        </w:rPr>
      </w:pPr>
      <w:hyperlink w:anchor="_Toc125116084" w:history="1">
        <w:r w:rsidR="006A209C" w:rsidRPr="00351D5B">
          <w:rPr>
            <w:rStyle w:val="Hyperlink"/>
          </w:rPr>
          <w:t>5.1</w:t>
        </w:r>
        <w:r w:rsidR="006A209C">
          <w:rPr>
            <w:rFonts w:asciiTheme="minorHAnsi" w:eastAsiaTheme="minorEastAsia" w:hAnsiTheme="minorHAnsi" w:cstheme="minorBidi"/>
            <w:b w:val="0"/>
            <w:i w:val="0"/>
            <w:sz w:val="22"/>
            <w:szCs w:val="22"/>
          </w:rPr>
          <w:tab/>
        </w:r>
        <w:r w:rsidR="006A209C" w:rsidRPr="00351D5B">
          <w:rPr>
            <w:rStyle w:val="Hyperlink"/>
          </w:rPr>
          <w:t>Operation of the PID Act</w:t>
        </w:r>
        <w:r w:rsidR="006A209C">
          <w:rPr>
            <w:webHidden/>
          </w:rPr>
          <w:tab/>
        </w:r>
        <w:r w:rsidR="006A209C">
          <w:rPr>
            <w:webHidden/>
          </w:rPr>
          <w:fldChar w:fldCharType="begin"/>
        </w:r>
        <w:r w:rsidR="006A209C">
          <w:rPr>
            <w:webHidden/>
          </w:rPr>
          <w:instrText xml:space="preserve"> PAGEREF _Toc125116084 \h </w:instrText>
        </w:r>
        <w:r w:rsidR="006A209C">
          <w:rPr>
            <w:webHidden/>
          </w:rPr>
        </w:r>
        <w:r w:rsidR="006A209C">
          <w:rPr>
            <w:webHidden/>
          </w:rPr>
          <w:fldChar w:fldCharType="separate"/>
        </w:r>
        <w:r w:rsidR="006F77C1">
          <w:rPr>
            <w:webHidden/>
          </w:rPr>
          <w:t>9</w:t>
        </w:r>
        <w:r w:rsidR="006A209C">
          <w:rPr>
            <w:webHidden/>
          </w:rPr>
          <w:fldChar w:fldCharType="end"/>
        </w:r>
      </w:hyperlink>
    </w:p>
    <w:p w14:paraId="70924C2E" w14:textId="06E4FC52" w:rsidR="006A209C" w:rsidRDefault="00000000">
      <w:pPr>
        <w:pStyle w:val="TOC2"/>
        <w:rPr>
          <w:rFonts w:asciiTheme="minorHAnsi" w:eastAsiaTheme="minorEastAsia" w:hAnsiTheme="minorHAnsi" w:cstheme="minorBidi"/>
          <w:b w:val="0"/>
          <w:i w:val="0"/>
          <w:sz w:val="22"/>
          <w:szCs w:val="22"/>
        </w:rPr>
      </w:pPr>
      <w:hyperlink w:anchor="_Toc125116085" w:history="1">
        <w:r w:rsidR="006A209C" w:rsidRPr="00351D5B">
          <w:rPr>
            <w:rStyle w:val="Hyperlink"/>
          </w:rPr>
          <w:t>5.2</w:t>
        </w:r>
        <w:r w:rsidR="006A209C">
          <w:rPr>
            <w:rFonts w:asciiTheme="minorHAnsi" w:eastAsiaTheme="minorEastAsia" w:hAnsiTheme="minorHAnsi" w:cstheme="minorBidi"/>
            <w:b w:val="0"/>
            <w:i w:val="0"/>
            <w:sz w:val="22"/>
            <w:szCs w:val="22"/>
          </w:rPr>
          <w:tab/>
        </w:r>
        <w:r w:rsidR="006A209C" w:rsidRPr="00351D5B">
          <w:rPr>
            <w:rStyle w:val="Hyperlink"/>
          </w:rPr>
          <w:t>Review of the PID Act</w:t>
        </w:r>
        <w:r w:rsidR="006A209C">
          <w:rPr>
            <w:webHidden/>
          </w:rPr>
          <w:tab/>
        </w:r>
        <w:r w:rsidR="006A209C">
          <w:rPr>
            <w:webHidden/>
          </w:rPr>
          <w:fldChar w:fldCharType="begin"/>
        </w:r>
        <w:r w:rsidR="006A209C">
          <w:rPr>
            <w:webHidden/>
          </w:rPr>
          <w:instrText xml:space="preserve"> PAGEREF _Toc125116085 \h </w:instrText>
        </w:r>
        <w:r w:rsidR="006A209C">
          <w:rPr>
            <w:webHidden/>
          </w:rPr>
        </w:r>
        <w:r w:rsidR="006A209C">
          <w:rPr>
            <w:webHidden/>
          </w:rPr>
          <w:fldChar w:fldCharType="separate"/>
        </w:r>
        <w:r w:rsidR="006F77C1">
          <w:rPr>
            <w:webHidden/>
          </w:rPr>
          <w:t>12</w:t>
        </w:r>
        <w:r w:rsidR="006A209C">
          <w:rPr>
            <w:webHidden/>
          </w:rPr>
          <w:fldChar w:fldCharType="end"/>
        </w:r>
      </w:hyperlink>
    </w:p>
    <w:p w14:paraId="37817BBE" w14:textId="2432CB84" w:rsidR="006A209C" w:rsidRDefault="00000000">
      <w:pPr>
        <w:pStyle w:val="TOC1"/>
        <w:rPr>
          <w:rFonts w:asciiTheme="minorHAnsi" w:eastAsiaTheme="minorEastAsia" w:hAnsiTheme="minorHAnsi" w:cstheme="minorBidi"/>
          <w:b w:val="0"/>
          <w:sz w:val="22"/>
          <w:szCs w:val="22"/>
        </w:rPr>
      </w:pPr>
      <w:hyperlink w:anchor="_Toc125116086" w:history="1">
        <w:r w:rsidR="006A209C" w:rsidRPr="00351D5B">
          <w:rPr>
            <w:rStyle w:val="Hyperlink"/>
          </w:rPr>
          <w:t>6</w:t>
        </w:r>
        <w:r w:rsidR="006A209C">
          <w:rPr>
            <w:rFonts w:asciiTheme="minorHAnsi" w:eastAsiaTheme="minorEastAsia" w:hAnsiTheme="minorHAnsi" w:cstheme="minorBidi"/>
            <w:b w:val="0"/>
            <w:sz w:val="22"/>
            <w:szCs w:val="22"/>
          </w:rPr>
          <w:tab/>
        </w:r>
        <w:r w:rsidR="006A209C" w:rsidRPr="00351D5B">
          <w:rPr>
            <w:rStyle w:val="Hyperlink"/>
          </w:rPr>
          <w:t>Main amendments proposed in the Bill</w:t>
        </w:r>
        <w:r w:rsidR="006A209C">
          <w:rPr>
            <w:webHidden/>
          </w:rPr>
          <w:tab/>
        </w:r>
        <w:r w:rsidR="006A209C">
          <w:rPr>
            <w:webHidden/>
          </w:rPr>
          <w:fldChar w:fldCharType="begin"/>
        </w:r>
        <w:r w:rsidR="006A209C">
          <w:rPr>
            <w:webHidden/>
          </w:rPr>
          <w:instrText xml:space="preserve"> PAGEREF _Toc125116086 \h </w:instrText>
        </w:r>
        <w:r w:rsidR="006A209C">
          <w:rPr>
            <w:webHidden/>
          </w:rPr>
        </w:r>
        <w:r w:rsidR="006A209C">
          <w:rPr>
            <w:webHidden/>
          </w:rPr>
          <w:fldChar w:fldCharType="separate"/>
        </w:r>
        <w:r w:rsidR="006F77C1">
          <w:rPr>
            <w:webHidden/>
          </w:rPr>
          <w:t>13</w:t>
        </w:r>
        <w:r w:rsidR="006A209C">
          <w:rPr>
            <w:webHidden/>
          </w:rPr>
          <w:fldChar w:fldCharType="end"/>
        </w:r>
      </w:hyperlink>
    </w:p>
    <w:p w14:paraId="7D750BC0" w14:textId="2B5F0371" w:rsidR="006A209C" w:rsidRDefault="00000000">
      <w:pPr>
        <w:pStyle w:val="TOC1"/>
        <w:rPr>
          <w:rFonts w:asciiTheme="minorHAnsi" w:eastAsiaTheme="minorEastAsia" w:hAnsiTheme="minorHAnsi" w:cstheme="minorBidi"/>
          <w:b w:val="0"/>
          <w:sz w:val="22"/>
          <w:szCs w:val="22"/>
        </w:rPr>
      </w:pPr>
      <w:hyperlink w:anchor="_Toc125116087" w:history="1">
        <w:r w:rsidR="006A209C" w:rsidRPr="00351D5B">
          <w:rPr>
            <w:rStyle w:val="Hyperlink"/>
          </w:rPr>
          <w:t>7</w:t>
        </w:r>
        <w:r w:rsidR="006A209C">
          <w:rPr>
            <w:rFonts w:asciiTheme="minorHAnsi" w:eastAsiaTheme="minorEastAsia" w:hAnsiTheme="minorHAnsi" w:cstheme="minorBidi"/>
            <w:b w:val="0"/>
            <w:sz w:val="22"/>
            <w:szCs w:val="22"/>
          </w:rPr>
          <w:tab/>
        </w:r>
        <w:r w:rsidR="006A209C" w:rsidRPr="00351D5B">
          <w:rPr>
            <w:rStyle w:val="Hyperlink"/>
          </w:rPr>
          <w:t>Recommended further reforms</w:t>
        </w:r>
        <w:r w:rsidR="006A209C">
          <w:rPr>
            <w:webHidden/>
          </w:rPr>
          <w:tab/>
        </w:r>
        <w:r w:rsidR="006A209C">
          <w:rPr>
            <w:webHidden/>
          </w:rPr>
          <w:fldChar w:fldCharType="begin"/>
        </w:r>
        <w:r w:rsidR="006A209C">
          <w:rPr>
            <w:webHidden/>
          </w:rPr>
          <w:instrText xml:space="preserve"> PAGEREF _Toc125116087 \h </w:instrText>
        </w:r>
        <w:r w:rsidR="006A209C">
          <w:rPr>
            <w:webHidden/>
          </w:rPr>
        </w:r>
        <w:r w:rsidR="006A209C">
          <w:rPr>
            <w:webHidden/>
          </w:rPr>
          <w:fldChar w:fldCharType="separate"/>
        </w:r>
        <w:r w:rsidR="006F77C1">
          <w:rPr>
            <w:webHidden/>
          </w:rPr>
          <w:t>15</w:t>
        </w:r>
        <w:r w:rsidR="006A209C">
          <w:rPr>
            <w:webHidden/>
          </w:rPr>
          <w:fldChar w:fldCharType="end"/>
        </w:r>
      </w:hyperlink>
    </w:p>
    <w:p w14:paraId="0E50BBE4" w14:textId="4E089BF3" w:rsidR="006A209C" w:rsidRDefault="00000000">
      <w:pPr>
        <w:pStyle w:val="TOC2"/>
        <w:rPr>
          <w:rFonts w:asciiTheme="minorHAnsi" w:eastAsiaTheme="minorEastAsia" w:hAnsiTheme="minorHAnsi" w:cstheme="minorBidi"/>
          <w:b w:val="0"/>
          <w:i w:val="0"/>
          <w:sz w:val="22"/>
          <w:szCs w:val="22"/>
        </w:rPr>
      </w:pPr>
      <w:hyperlink w:anchor="_Toc125116088" w:history="1">
        <w:r w:rsidR="006A209C" w:rsidRPr="00351D5B">
          <w:rPr>
            <w:rStyle w:val="Hyperlink"/>
          </w:rPr>
          <w:t>7.1</w:t>
        </w:r>
        <w:r w:rsidR="006A209C">
          <w:rPr>
            <w:rFonts w:asciiTheme="minorHAnsi" w:eastAsiaTheme="minorEastAsia" w:hAnsiTheme="minorHAnsi" w:cstheme="minorBidi"/>
            <w:b w:val="0"/>
            <w:i w:val="0"/>
            <w:sz w:val="22"/>
            <w:szCs w:val="22"/>
          </w:rPr>
          <w:tab/>
        </w:r>
        <w:r w:rsidR="006A209C" w:rsidRPr="00351D5B">
          <w:rPr>
            <w:rStyle w:val="Hyperlink"/>
          </w:rPr>
          <w:t>Secrecy provisions</w:t>
        </w:r>
        <w:r w:rsidR="006A209C">
          <w:rPr>
            <w:webHidden/>
          </w:rPr>
          <w:tab/>
        </w:r>
        <w:r w:rsidR="006A209C">
          <w:rPr>
            <w:webHidden/>
          </w:rPr>
          <w:fldChar w:fldCharType="begin"/>
        </w:r>
        <w:r w:rsidR="006A209C">
          <w:rPr>
            <w:webHidden/>
          </w:rPr>
          <w:instrText xml:space="preserve"> PAGEREF _Toc125116088 \h </w:instrText>
        </w:r>
        <w:r w:rsidR="006A209C">
          <w:rPr>
            <w:webHidden/>
          </w:rPr>
        </w:r>
        <w:r w:rsidR="006A209C">
          <w:rPr>
            <w:webHidden/>
          </w:rPr>
          <w:fldChar w:fldCharType="separate"/>
        </w:r>
        <w:r w:rsidR="006F77C1">
          <w:rPr>
            <w:webHidden/>
          </w:rPr>
          <w:t>15</w:t>
        </w:r>
        <w:r w:rsidR="006A209C">
          <w:rPr>
            <w:webHidden/>
          </w:rPr>
          <w:fldChar w:fldCharType="end"/>
        </w:r>
      </w:hyperlink>
    </w:p>
    <w:p w14:paraId="4A44C61C" w14:textId="13D78E30" w:rsidR="006A209C" w:rsidRDefault="00000000">
      <w:pPr>
        <w:pStyle w:val="TOC2"/>
        <w:rPr>
          <w:rFonts w:asciiTheme="minorHAnsi" w:eastAsiaTheme="minorEastAsia" w:hAnsiTheme="minorHAnsi" w:cstheme="minorBidi"/>
          <w:b w:val="0"/>
          <w:i w:val="0"/>
          <w:sz w:val="22"/>
          <w:szCs w:val="22"/>
        </w:rPr>
      </w:pPr>
      <w:hyperlink w:anchor="_Toc125116089" w:history="1">
        <w:r w:rsidR="006A209C" w:rsidRPr="00351D5B">
          <w:rPr>
            <w:rStyle w:val="Hyperlink"/>
          </w:rPr>
          <w:t>7.2</w:t>
        </w:r>
        <w:r w:rsidR="006A209C">
          <w:rPr>
            <w:rFonts w:asciiTheme="minorHAnsi" w:eastAsiaTheme="minorEastAsia" w:hAnsiTheme="minorHAnsi" w:cstheme="minorBidi"/>
            <w:b w:val="0"/>
            <w:i w:val="0"/>
            <w:sz w:val="22"/>
            <w:szCs w:val="22"/>
          </w:rPr>
          <w:tab/>
        </w:r>
        <w:r w:rsidR="006A209C" w:rsidRPr="00351D5B">
          <w:rPr>
            <w:rStyle w:val="Hyperlink"/>
          </w:rPr>
          <w:t>Whistleblower protection authority</w:t>
        </w:r>
        <w:r w:rsidR="006A209C">
          <w:rPr>
            <w:webHidden/>
          </w:rPr>
          <w:tab/>
        </w:r>
        <w:r w:rsidR="006A209C">
          <w:rPr>
            <w:webHidden/>
          </w:rPr>
          <w:fldChar w:fldCharType="begin"/>
        </w:r>
        <w:r w:rsidR="006A209C">
          <w:rPr>
            <w:webHidden/>
          </w:rPr>
          <w:instrText xml:space="preserve"> PAGEREF _Toc125116089 \h </w:instrText>
        </w:r>
        <w:r w:rsidR="006A209C">
          <w:rPr>
            <w:webHidden/>
          </w:rPr>
        </w:r>
        <w:r w:rsidR="006A209C">
          <w:rPr>
            <w:webHidden/>
          </w:rPr>
          <w:fldChar w:fldCharType="separate"/>
        </w:r>
        <w:r w:rsidR="006F77C1">
          <w:rPr>
            <w:webHidden/>
          </w:rPr>
          <w:t>18</w:t>
        </w:r>
        <w:r w:rsidR="006A209C">
          <w:rPr>
            <w:webHidden/>
          </w:rPr>
          <w:fldChar w:fldCharType="end"/>
        </w:r>
      </w:hyperlink>
    </w:p>
    <w:p w14:paraId="4B71076C" w14:textId="12DCCC13" w:rsidR="006A209C" w:rsidRDefault="00000000">
      <w:pPr>
        <w:pStyle w:val="TOC2"/>
        <w:rPr>
          <w:rFonts w:asciiTheme="minorHAnsi" w:eastAsiaTheme="minorEastAsia" w:hAnsiTheme="minorHAnsi" w:cstheme="minorBidi"/>
          <w:b w:val="0"/>
          <w:i w:val="0"/>
          <w:sz w:val="22"/>
          <w:szCs w:val="22"/>
        </w:rPr>
      </w:pPr>
      <w:hyperlink w:anchor="_Toc125116090" w:history="1">
        <w:r w:rsidR="006A209C" w:rsidRPr="00351D5B">
          <w:rPr>
            <w:rStyle w:val="Hyperlink"/>
          </w:rPr>
          <w:t>7.3</w:t>
        </w:r>
        <w:r w:rsidR="006A209C">
          <w:rPr>
            <w:rFonts w:asciiTheme="minorHAnsi" w:eastAsiaTheme="minorEastAsia" w:hAnsiTheme="minorHAnsi" w:cstheme="minorBidi"/>
            <w:b w:val="0"/>
            <w:i w:val="0"/>
            <w:sz w:val="22"/>
            <w:szCs w:val="22"/>
          </w:rPr>
          <w:tab/>
        </w:r>
        <w:r w:rsidR="006A209C" w:rsidRPr="00351D5B">
          <w:rPr>
            <w:rStyle w:val="Hyperlink"/>
          </w:rPr>
          <w:t>Making it easier for whistleblowers to get advice and help</w:t>
        </w:r>
        <w:r w:rsidR="006A209C">
          <w:rPr>
            <w:webHidden/>
          </w:rPr>
          <w:tab/>
        </w:r>
        <w:r w:rsidR="006A209C">
          <w:rPr>
            <w:webHidden/>
          </w:rPr>
          <w:fldChar w:fldCharType="begin"/>
        </w:r>
        <w:r w:rsidR="006A209C">
          <w:rPr>
            <w:webHidden/>
          </w:rPr>
          <w:instrText xml:space="preserve"> PAGEREF _Toc125116090 \h </w:instrText>
        </w:r>
        <w:r w:rsidR="006A209C">
          <w:rPr>
            <w:webHidden/>
          </w:rPr>
        </w:r>
        <w:r w:rsidR="006A209C">
          <w:rPr>
            <w:webHidden/>
          </w:rPr>
          <w:fldChar w:fldCharType="separate"/>
        </w:r>
        <w:r w:rsidR="006F77C1">
          <w:rPr>
            <w:webHidden/>
          </w:rPr>
          <w:t>19</w:t>
        </w:r>
        <w:r w:rsidR="006A209C">
          <w:rPr>
            <w:webHidden/>
          </w:rPr>
          <w:fldChar w:fldCharType="end"/>
        </w:r>
      </w:hyperlink>
    </w:p>
    <w:p w14:paraId="4A369F9D" w14:textId="45FCD1D7" w:rsidR="006A209C" w:rsidRDefault="00000000">
      <w:pPr>
        <w:pStyle w:val="TOC3"/>
        <w:rPr>
          <w:rFonts w:asciiTheme="minorHAnsi" w:eastAsiaTheme="minorEastAsia" w:hAnsiTheme="minorHAnsi" w:cstheme="minorBidi"/>
          <w:i w:val="0"/>
          <w:sz w:val="22"/>
          <w:szCs w:val="22"/>
        </w:rPr>
      </w:pPr>
      <w:hyperlink w:anchor="_Toc125116091" w:history="1">
        <w:r w:rsidR="006A209C" w:rsidRPr="00351D5B">
          <w:rPr>
            <w:rStyle w:val="Hyperlink"/>
            <w:iCs/>
          </w:rPr>
          <w:t>(a)</w:t>
        </w:r>
        <w:r w:rsidR="006A209C">
          <w:rPr>
            <w:rFonts w:asciiTheme="minorHAnsi" w:eastAsiaTheme="minorEastAsia" w:hAnsiTheme="minorHAnsi" w:cstheme="minorBidi"/>
            <w:i w:val="0"/>
            <w:sz w:val="22"/>
            <w:szCs w:val="22"/>
          </w:rPr>
          <w:tab/>
        </w:r>
        <w:r w:rsidR="006A209C" w:rsidRPr="00351D5B">
          <w:rPr>
            <w:rStyle w:val="Hyperlink"/>
            <w:iCs/>
          </w:rPr>
          <w:t>Seeking advice from a security cleared lawyer</w:t>
        </w:r>
        <w:r w:rsidR="006A209C">
          <w:rPr>
            <w:webHidden/>
          </w:rPr>
          <w:tab/>
        </w:r>
        <w:r w:rsidR="006A209C">
          <w:rPr>
            <w:webHidden/>
          </w:rPr>
          <w:fldChar w:fldCharType="begin"/>
        </w:r>
        <w:r w:rsidR="006A209C">
          <w:rPr>
            <w:webHidden/>
          </w:rPr>
          <w:instrText xml:space="preserve"> PAGEREF _Toc125116091 \h </w:instrText>
        </w:r>
        <w:r w:rsidR="006A209C">
          <w:rPr>
            <w:webHidden/>
          </w:rPr>
        </w:r>
        <w:r w:rsidR="006A209C">
          <w:rPr>
            <w:webHidden/>
          </w:rPr>
          <w:fldChar w:fldCharType="separate"/>
        </w:r>
        <w:r w:rsidR="006F77C1">
          <w:rPr>
            <w:webHidden/>
          </w:rPr>
          <w:t>19</w:t>
        </w:r>
        <w:r w:rsidR="006A209C">
          <w:rPr>
            <w:webHidden/>
          </w:rPr>
          <w:fldChar w:fldCharType="end"/>
        </w:r>
      </w:hyperlink>
    </w:p>
    <w:p w14:paraId="2C961AA9" w14:textId="32C9A843" w:rsidR="006A209C" w:rsidRDefault="00000000">
      <w:pPr>
        <w:pStyle w:val="TOC3"/>
        <w:rPr>
          <w:rFonts w:asciiTheme="minorHAnsi" w:eastAsiaTheme="minorEastAsia" w:hAnsiTheme="minorHAnsi" w:cstheme="minorBidi"/>
          <w:i w:val="0"/>
          <w:sz w:val="22"/>
          <w:szCs w:val="22"/>
        </w:rPr>
      </w:pPr>
      <w:hyperlink w:anchor="_Toc125116092" w:history="1">
        <w:r w:rsidR="006A209C" w:rsidRPr="00351D5B">
          <w:rPr>
            <w:rStyle w:val="Hyperlink"/>
            <w:iCs/>
          </w:rPr>
          <w:t>(b)</w:t>
        </w:r>
        <w:r w:rsidR="006A209C">
          <w:rPr>
            <w:rFonts w:asciiTheme="minorHAnsi" w:eastAsiaTheme="minorEastAsia" w:hAnsiTheme="minorHAnsi" w:cstheme="minorBidi"/>
            <w:i w:val="0"/>
            <w:sz w:val="22"/>
            <w:szCs w:val="22"/>
          </w:rPr>
          <w:tab/>
        </w:r>
        <w:r w:rsidR="006A209C" w:rsidRPr="00351D5B">
          <w:rPr>
            <w:rStyle w:val="Hyperlink"/>
            <w:iCs/>
          </w:rPr>
          <w:t>Secrecy offence applicable to lawyers</w:t>
        </w:r>
        <w:r w:rsidR="006A209C">
          <w:rPr>
            <w:webHidden/>
          </w:rPr>
          <w:tab/>
        </w:r>
        <w:r w:rsidR="006A209C">
          <w:rPr>
            <w:webHidden/>
          </w:rPr>
          <w:fldChar w:fldCharType="begin"/>
        </w:r>
        <w:r w:rsidR="006A209C">
          <w:rPr>
            <w:webHidden/>
          </w:rPr>
          <w:instrText xml:space="preserve"> PAGEREF _Toc125116092 \h </w:instrText>
        </w:r>
        <w:r w:rsidR="006A209C">
          <w:rPr>
            <w:webHidden/>
          </w:rPr>
        </w:r>
        <w:r w:rsidR="006A209C">
          <w:rPr>
            <w:webHidden/>
          </w:rPr>
          <w:fldChar w:fldCharType="separate"/>
        </w:r>
        <w:r w:rsidR="006F77C1">
          <w:rPr>
            <w:webHidden/>
          </w:rPr>
          <w:t>23</w:t>
        </w:r>
        <w:r w:rsidR="006A209C">
          <w:rPr>
            <w:webHidden/>
          </w:rPr>
          <w:fldChar w:fldCharType="end"/>
        </w:r>
      </w:hyperlink>
    </w:p>
    <w:p w14:paraId="158989F5" w14:textId="6ED09274" w:rsidR="006A209C" w:rsidRDefault="00000000">
      <w:pPr>
        <w:pStyle w:val="TOC3"/>
        <w:rPr>
          <w:rFonts w:asciiTheme="minorHAnsi" w:eastAsiaTheme="minorEastAsia" w:hAnsiTheme="minorHAnsi" w:cstheme="minorBidi"/>
          <w:i w:val="0"/>
          <w:sz w:val="22"/>
          <w:szCs w:val="22"/>
        </w:rPr>
      </w:pPr>
      <w:hyperlink w:anchor="_Toc125116093" w:history="1">
        <w:r w:rsidR="006A209C" w:rsidRPr="00351D5B">
          <w:rPr>
            <w:rStyle w:val="Hyperlink"/>
            <w:iCs/>
          </w:rPr>
          <w:t>(c)</w:t>
        </w:r>
        <w:r w:rsidR="006A209C">
          <w:rPr>
            <w:rFonts w:asciiTheme="minorHAnsi" w:eastAsiaTheme="minorEastAsia" w:hAnsiTheme="minorHAnsi" w:cstheme="minorBidi"/>
            <w:i w:val="0"/>
            <w:sz w:val="22"/>
            <w:szCs w:val="22"/>
          </w:rPr>
          <w:tab/>
        </w:r>
        <w:r w:rsidR="006A209C" w:rsidRPr="00351D5B">
          <w:rPr>
            <w:rStyle w:val="Hyperlink"/>
            <w:iCs/>
          </w:rPr>
          <w:t>Obtaining advice from other professionals</w:t>
        </w:r>
        <w:r w:rsidR="006A209C">
          <w:rPr>
            <w:webHidden/>
          </w:rPr>
          <w:tab/>
        </w:r>
        <w:r w:rsidR="006A209C">
          <w:rPr>
            <w:webHidden/>
          </w:rPr>
          <w:fldChar w:fldCharType="begin"/>
        </w:r>
        <w:r w:rsidR="006A209C">
          <w:rPr>
            <w:webHidden/>
          </w:rPr>
          <w:instrText xml:space="preserve"> PAGEREF _Toc125116093 \h </w:instrText>
        </w:r>
        <w:r w:rsidR="006A209C">
          <w:rPr>
            <w:webHidden/>
          </w:rPr>
        </w:r>
        <w:r w:rsidR="006A209C">
          <w:rPr>
            <w:webHidden/>
          </w:rPr>
          <w:fldChar w:fldCharType="separate"/>
        </w:r>
        <w:r w:rsidR="006F77C1">
          <w:rPr>
            <w:webHidden/>
          </w:rPr>
          <w:t>24</w:t>
        </w:r>
        <w:r w:rsidR="006A209C">
          <w:rPr>
            <w:webHidden/>
          </w:rPr>
          <w:fldChar w:fldCharType="end"/>
        </w:r>
      </w:hyperlink>
    </w:p>
    <w:p w14:paraId="587E3732" w14:textId="611FD607" w:rsidR="006A209C" w:rsidRDefault="00000000">
      <w:pPr>
        <w:pStyle w:val="TOC2"/>
        <w:rPr>
          <w:rFonts w:asciiTheme="minorHAnsi" w:eastAsiaTheme="minorEastAsia" w:hAnsiTheme="minorHAnsi" w:cstheme="minorBidi"/>
          <w:b w:val="0"/>
          <w:i w:val="0"/>
          <w:sz w:val="22"/>
          <w:szCs w:val="22"/>
        </w:rPr>
      </w:pPr>
      <w:hyperlink w:anchor="_Toc125116094" w:history="1">
        <w:r w:rsidR="006A209C" w:rsidRPr="00351D5B">
          <w:rPr>
            <w:rStyle w:val="Hyperlink"/>
          </w:rPr>
          <w:t>7.4</w:t>
        </w:r>
        <w:r w:rsidR="006A209C">
          <w:rPr>
            <w:rFonts w:asciiTheme="minorHAnsi" w:eastAsiaTheme="minorEastAsia" w:hAnsiTheme="minorHAnsi" w:cstheme="minorBidi"/>
            <w:b w:val="0"/>
            <w:i w:val="0"/>
            <w:sz w:val="22"/>
            <w:szCs w:val="22"/>
          </w:rPr>
          <w:tab/>
        </w:r>
        <w:r w:rsidR="006A209C" w:rsidRPr="00351D5B">
          <w:rPr>
            <w:rStyle w:val="Hyperlink"/>
          </w:rPr>
          <w:t>Limiting discretion not to investigate</w:t>
        </w:r>
        <w:r w:rsidR="006A209C">
          <w:rPr>
            <w:webHidden/>
          </w:rPr>
          <w:tab/>
        </w:r>
        <w:r w:rsidR="006A209C">
          <w:rPr>
            <w:webHidden/>
          </w:rPr>
          <w:fldChar w:fldCharType="begin"/>
        </w:r>
        <w:r w:rsidR="006A209C">
          <w:rPr>
            <w:webHidden/>
          </w:rPr>
          <w:instrText xml:space="preserve"> PAGEREF _Toc125116094 \h </w:instrText>
        </w:r>
        <w:r w:rsidR="006A209C">
          <w:rPr>
            <w:webHidden/>
          </w:rPr>
        </w:r>
        <w:r w:rsidR="006A209C">
          <w:rPr>
            <w:webHidden/>
          </w:rPr>
          <w:fldChar w:fldCharType="separate"/>
        </w:r>
        <w:r w:rsidR="006F77C1">
          <w:rPr>
            <w:webHidden/>
          </w:rPr>
          <w:t>25</w:t>
        </w:r>
        <w:r w:rsidR="006A209C">
          <w:rPr>
            <w:webHidden/>
          </w:rPr>
          <w:fldChar w:fldCharType="end"/>
        </w:r>
      </w:hyperlink>
    </w:p>
    <w:p w14:paraId="7D186608" w14:textId="6E629D16" w:rsidR="006A209C" w:rsidRDefault="00000000">
      <w:pPr>
        <w:pStyle w:val="TOC2"/>
        <w:rPr>
          <w:rFonts w:asciiTheme="minorHAnsi" w:eastAsiaTheme="minorEastAsia" w:hAnsiTheme="minorHAnsi" w:cstheme="minorBidi"/>
          <w:b w:val="0"/>
          <w:i w:val="0"/>
          <w:sz w:val="22"/>
          <w:szCs w:val="22"/>
        </w:rPr>
      </w:pPr>
      <w:hyperlink w:anchor="_Toc125116095" w:history="1">
        <w:r w:rsidR="006A209C" w:rsidRPr="00351D5B">
          <w:rPr>
            <w:rStyle w:val="Hyperlink"/>
          </w:rPr>
          <w:t>7.5</w:t>
        </w:r>
        <w:r w:rsidR="006A209C">
          <w:rPr>
            <w:rFonts w:asciiTheme="minorHAnsi" w:eastAsiaTheme="minorEastAsia" w:hAnsiTheme="minorHAnsi" w:cstheme="minorBidi"/>
            <w:b w:val="0"/>
            <w:i w:val="0"/>
            <w:sz w:val="22"/>
            <w:szCs w:val="22"/>
          </w:rPr>
          <w:tab/>
        </w:r>
        <w:r w:rsidR="006A209C" w:rsidRPr="00351D5B">
          <w:rPr>
            <w:rStyle w:val="Hyperlink"/>
          </w:rPr>
          <w:t>Application of PID Act to parliamentary staff</w:t>
        </w:r>
        <w:r w:rsidR="006A209C">
          <w:rPr>
            <w:webHidden/>
          </w:rPr>
          <w:tab/>
        </w:r>
        <w:r w:rsidR="006A209C">
          <w:rPr>
            <w:webHidden/>
          </w:rPr>
          <w:fldChar w:fldCharType="begin"/>
        </w:r>
        <w:r w:rsidR="006A209C">
          <w:rPr>
            <w:webHidden/>
          </w:rPr>
          <w:instrText xml:space="preserve"> PAGEREF _Toc125116095 \h </w:instrText>
        </w:r>
        <w:r w:rsidR="006A209C">
          <w:rPr>
            <w:webHidden/>
          </w:rPr>
        </w:r>
        <w:r w:rsidR="006A209C">
          <w:rPr>
            <w:webHidden/>
          </w:rPr>
          <w:fldChar w:fldCharType="separate"/>
        </w:r>
        <w:r w:rsidR="006F77C1">
          <w:rPr>
            <w:webHidden/>
          </w:rPr>
          <w:t>27</w:t>
        </w:r>
        <w:r w:rsidR="006A209C">
          <w:rPr>
            <w:webHidden/>
          </w:rPr>
          <w:fldChar w:fldCharType="end"/>
        </w:r>
      </w:hyperlink>
    </w:p>
    <w:p w14:paraId="2C0F3E30" w14:textId="770B976E" w:rsidR="006A209C" w:rsidRDefault="00000000">
      <w:pPr>
        <w:pStyle w:val="TOC2"/>
        <w:rPr>
          <w:rFonts w:asciiTheme="minorHAnsi" w:eastAsiaTheme="minorEastAsia" w:hAnsiTheme="minorHAnsi" w:cstheme="minorBidi"/>
          <w:b w:val="0"/>
          <w:i w:val="0"/>
          <w:sz w:val="22"/>
          <w:szCs w:val="22"/>
        </w:rPr>
      </w:pPr>
      <w:hyperlink w:anchor="_Toc125116096" w:history="1">
        <w:r w:rsidR="006A209C" w:rsidRPr="00351D5B">
          <w:rPr>
            <w:rStyle w:val="Hyperlink"/>
          </w:rPr>
          <w:t>7.6</w:t>
        </w:r>
        <w:r w:rsidR="006A209C">
          <w:rPr>
            <w:rFonts w:asciiTheme="minorHAnsi" w:eastAsiaTheme="minorEastAsia" w:hAnsiTheme="minorHAnsi" w:cstheme="minorBidi"/>
            <w:b w:val="0"/>
            <w:i w:val="0"/>
            <w:sz w:val="22"/>
            <w:szCs w:val="22"/>
          </w:rPr>
          <w:tab/>
        </w:r>
        <w:r w:rsidR="006A209C" w:rsidRPr="00351D5B">
          <w:rPr>
            <w:rStyle w:val="Hyperlink"/>
          </w:rPr>
          <w:t>Improving the ability to make public disclosures</w:t>
        </w:r>
        <w:r w:rsidR="006A209C">
          <w:rPr>
            <w:webHidden/>
          </w:rPr>
          <w:tab/>
        </w:r>
        <w:r w:rsidR="006A209C">
          <w:rPr>
            <w:webHidden/>
          </w:rPr>
          <w:fldChar w:fldCharType="begin"/>
        </w:r>
        <w:r w:rsidR="006A209C">
          <w:rPr>
            <w:webHidden/>
          </w:rPr>
          <w:instrText xml:space="preserve"> PAGEREF _Toc125116096 \h </w:instrText>
        </w:r>
        <w:r w:rsidR="006A209C">
          <w:rPr>
            <w:webHidden/>
          </w:rPr>
        </w:r>
        <w:r w:rsidR="006A209C">
          <w:rPr>
            <w:webHidden/>
          </w:rPr>
          <w:fldChar w:fldCharType="separate"/>
        </w:r>
        <w:r w:rsidR="006F77C1">
          <w:rPr>
            <w:webHidden/>
          </w:rPr>
          <w:t>31</w:t>
        </w:r>
        <w:r w:rsidR="006A209C">
          <w:rPr>
            <w:webHidden/>
          </w:rPr>
          <w:fldChar w:fldCharType="end"/>
        </w:r>
      </w:hyperlink>
    </w:p>
    <w:p w14:paraId="5FD185E3" w14:textId="01B4FB64" w:rsidR="006A209C" w:rsidRDefault="00000000">
      <w:pPr>
        <w:pStyle w:val="TOC3"/>
        <w:rPr>
          <w:rFonts w:asciiTheme="minorHAnsi" w:eastAsiaTheme="minorEastAsia" w:hAnsiTheme="minorHAnsi" w:cstheme="minorBidi"/>
          <w:i w:val="0"/>
          <w:sz w:val="22"/>
          <w:szCs w:val="22"/>
        </w:rPr>
      </w:pPr>
      <w:hyperlink w:anchor="_Toc125116097" w:history="1">
        <w:r w:rsidR="006A209C" w:rsidRPr="00351D5B">
          <w:rPr>
            <w:rStyle w:val="Hyperlink"/>
            <w:iCs/>
          </w:rPr>
          <w:t>(a)</w:t>
        </w:r>
        <w:r w:rsidR="006A209C">
          <w:rPr>
            <w:rFonts w:asciiTheme="minorHAnsi" w:eastAsiaTheme="minorEastAsia" w:hAnsiTheme="minorHAnsi" w:cstheme="minorBidi"/>
            <w:i w:val="0"/>
            <w:sz w:val="22"/>
            <w:szCs w:val="22"/>
          </w:rPr>
          <w:tab/>
        </w:r>
        <w:r w:rsidR="006A209C" w:rsidRPr="00351D5B">
          <w:rPr>
            <w:rStyle w:val="Hyperlink"/>
            <w:iCs/>
          </w:rPr>
          <w:t>Failures during an internal investigation</w:t>
        </w:r>
        <w:r w:rsidR="006A209C">
          <w:rPr>
            <w:webHidden/>
          </w:rPr>
          <w:tab/>
        </w:r>
        <w:r w:rsidR="006A209C">
          <w:rPr>
            <w:webHidden/>
          </w:rPr>
          <w:fldChar w:fldCharType="begin"/>
        </w:r>
        <w:r w:rsidR="006A209C">
          <w:rPr>
            <w:webHidden/>
          </w:rPr>
          <w:instrText xml:space="preserve"> PAGEREF _Toc125116097 \h </w:instrText>
        </w:r>
        <w:r w:rsidR="006A209C">
          <w:rPr>
            <w:webHidden/>
          </w:rPr>
        </w:r>
        <w:r w:rsidR="006A209C">
          <w:rPr>
            <w:webHidden/>
          </w:rPr>
          <w:fldChar w:fldCharType="separate"/>
        </w:r>
        <w:r w:rsidR="006F77C1">
          <w:rPr>
            <w:webHidden/>
          </w:rPr>
          <w:t>32</w:t>
        </w:r>
        <w:r w:rsidR="006A209C">
          <w:rPr>
            <w:webHidden/>
          </w:rPr>
          <w:fldChar w:fldCharType="end"/>
        </w:r>
      </w:hyperlink>
    </w:p>
    <w:p w14:paraId="040A3620" w14:textId="47C20BD9" w:rsidR="006A209C" w:rsidRDefault="00000000">
      <w:pPr>
        <w:pStyle w:val="TOC3"/>
        <w:rPr>
          <w:rFonts w:asciiTheme="minorHAnsi" w:eastAsiaTheme="minorEastAsia" w:hAnsiTheme="minorHAnsi" w:cstheme="minorBidi"/>
          <w:i w:val="0"/>
          <w:sz w:val="22"/>
          <w:szCs w:val="22"/>
        </w:rPr>
      </w:pPr>
      <w:hyperlink w:anchor="_Toc125116098" w:history="1">
        <w:r w:rsidR="006A209C" w:rsidRPr="00351D5B">
          <w:rPr>
            <w:rStyle w:val="Hyperlink"/>
            <w:iCs/>
          </w:rPr>
          <w:t>(b)</w:t>
        </w:r>
        <w:r w:rsidR="006A209C">
          <w:rPr>
            <w:rFonts w:asciiTheme="minorHAnsi" w:eastAsiaTheme="minorEastAsia" w:hAnsiTheme="minorHAnsi" w:cstheme="minorBidi"/>
            <w:i w:val="0"/>
            <w:sz w:val="22"/>
            <w:szCs w:val="22"/>
          </w:rPr>
          <w:tab/>
        </w:r>
        <w:r w:rsidR="006A209C" w:rsidRPr="00351D5B">
          <w:rPr>
            <w:rStyle w:val="Hyperlink"/>
            <w:iCs/>
          </w:rPr>
          <w:t>Delay in investigation</w:t>
        </w:r>
        <w:r w:rsidR="006A209C">
          <w:rPr>
            <w:webHidden/>
          </w:rPr>
          <w:tab/>
        </w:r>
        <w:r w:rsidR="006A209C">
          <w:rPr>
            <w:webHidden/>
          </w:rPr>
          <w:fldChar w:fldCharType="begin"/>
        </w:r>
        <w:r w:rsidR="006A209C">
          <w:rPr>
            <w:webHidden/>
          </w:rPr>
          <w:instrText xml:space="preserve"> PAGEREF _Toc125116098 \h </w:instrText>
        </w:r>
        <w:r w:rsidR="006A209C">
          <w:rPr>
            <w:webHidden/>
          </w:rPr>
        </w:r>
        <w:r w:rsidR="006A209C">
          <w:rPr>
            <w:webHidden/>
          </w:rPr>
          <w:fldChar w:fldCharType="separate"/>
        </w:r>
        <w:r w:rsidR="006F77C1">
          <w:rPr>
            <w:webHidden/>
          </w:rPr>
          <w:t>34</w:t>
        </w:r>
        <w:r w:rsidR="006A209C">
          <w:rPr>
            <w:webHidden/>
          </w:rPr>
          <w:fldChar w:fldCharType="end"/>
        </w:r>
      </w:hyperlink>
    </w:p>
    <w:p w14:paraId="5996EC9C" w14:textId="16CB293E" w:rsidR="00C86324" w:rsidRDefault="000E4837">
      <w:pPr>
        <w:spacing w:before="0" w:after="0"/>
        <w:rPr>
          <w:b/>
          <w:noProof/>
        </w:rPr>
      </w:pPr>
      <w:r>
        <w:rPr>
          <w:b/>
          <w:noProof/>
        </w:rPr>
        <w:fldChar w:fldCharType="end"/>
      </w:r>
      <w:r w:rsidR="00C86324">
        <w:br w:type="page"/>
      </w:r>
    </w:p>
    <w:p w14:paraId="0E0013A9" w14:textId="77777777" w:rsidR="00510390" w:rsidRDefault="009F2764" w:rsidP="00A27ABE">
      <w:pPr>
        <w:pStyle w:val="Heading1"/>
      </w:pPr>
      <w:bookmarkStart w:id="2" w:name="_Toc207761830"/>
      <w:bookmarkStart w:id="3" w:name="_Toc209578266"/>
      <w:bookmarkStart w:id="4" w:name="_Toc209941766"/>
      <w:bookmarkStart w:id="5" w:name="_Toc525894098"/>
      <w:bookmarkStart w:id="6" w:name="_Toc125116079"/>
      <w:r w:rsidRPr="009E08D1">
        <w:lastRenderedPageBreak/>
        <w:t>Introduction</w:t>
      </w:r>
      <w:bookmarkEnd w:id="2"/>
      <w:bookmarkEnd w:id="3"/>
      <w:bookmarkEnd w:id="4"/>
      <w:bookmarkEnd w:id="5"/>
      <w:bookmarkEnd w:id="6"/>
    </w:p>
    <w:p w14:paraId="16607738" w14:textId="4A25DB10" w:rsidR="00B75646" w:rsidRDefault="00B75646" w:rsidP="00B75646">
      <w:pPr>
        <w:pStyle w:val="ListNumber"/>
      </w:pPr>
      <w:bookmarkStart w:id="7" w:name="_Toc525894099"/>
      <w:r>
        <w:t xml:space="preserve">The Australian Human Rights Commission </w:t>
      </w:r>
      <w:r w:rsidR="007E597A">
        <w:t xml:space="preserve">(Commission) </w:t>
      </w:r>
      <w:r>
        <w:t xml:space="preserve">makes this submission to the </w:t>
      </w:r>
      <w:r w:rsidR="00FB7D78" w:rsidRPr="00FB7D78">
        <w:t xml:space="preserve">Senate Legal and Constitutional Affairs </w:t>
      </w:r>
      <w:r w:rsidR="00FB7D78">
        <w:t xml:space="preserve">Legislation </w:t>
      </w:r>
      <w:r w:rsidR="00FB7D78" w:rsidRPr="00FB7D78">
        <w:t>Committee</w:t>
      </w:r>
      <w:r w:rsidR="00FB7D78">
        <w:t xml:space="preserve"> </w:t>
      </w:r>
      <w:r w:rsidR="00A14D8F">
        <w:t xml:space="preserve">in relation to its </w:t>
      </w:r>
      <w:r w:rsidR="003D0AAB">
        <w:t xml:space="preserve">inquiry into the </w:t>
      </w:r>
      <w:r w:rsidR="003D0AAB" w:rsidRPr="003D0AAB">
        <w:t>Public Interest Disclosure Amendment (Review) Bill 2022</w:t>
      </w:r>
      <w:r w:rsidR="003D0AAB">
        <w:t xml:space="preserve"> </w:t>
      </w:r>
      <w:r w:rsidR="006A209C">
        <w:t>(</w:t>
      </w:r>
      <w:proofErr w:type="spellStart"/>
      <w:r w:rsidR="006A209C">
        <w:t>Cth</w:t>
      </w:r>
      <w:proofErr w:type="spellEnd"/>
      <w:r w:rsidR="006A209C">
        <w:t xml:space="preserve">) </w:t>
      </w:r>
      <w:r w:rsidR="003D0AAB">
        <w:t>(Bill)</w:t>
      </w:r>
      <w:r w:rsidR="00A14D8F">
        <w:t>.</w:t>
      </w:r>
      <w:r w:rsidR="00B324FE">
        <w:t xml:space="preserve"> </w:t>
      </w:r>
    </w:p>
    <w:p w14:paraId="33FEFEF4" w14:textId="7CA16182" w:rsidR="009F2764" w:rsidRDefault="003423F4" w:rsidP="009E08D1">
      <w:pPr>
        <w:pStyle w:val="Heading1"/>
      </w:pPr>
      <w:bookmarkStart w:id="8" w:name="_Toc125116080"/>
      <w:r>
        <w:t>Summary</w:t>
      </w:r>
      <w:bookmarkEnd w:id="7"/>
      <w:bookmarkEnd w:id="8"/>
    </w:p>
    <w:p w14:paraId="79F96431" w14:textId="5704A249" w:rsidR="00090DD5" w:rsidRDefault="00C940D0" w:rsidP="00B75646">
      <w:pPr>
        <w:pStyle w:val="ListNumber"/>
      </w:pPr>
      <w:r>
        <w:t xml:space="preserve">Australia has had a whistleblowing regime for </w:t>
      </w:r>
      <w:r w:rsidR="001A765D">
        <w:t xml:space="preserve">the </w:t>
      </w:r>
      <w:r>
        <w:t xml:space="preserve">public </w:t>
      </w:r>
      <w:r w:rsidR="001A765D">
        <w:t xml:space="preserve">sector </w:t>
      </w:r>
      <w:r>
        <w:t>since 2014</w:t>
      </w:r>
      <w:r w:rsidR="00F2236C">
        <w:t xml:space="preserve">.  </w:t>
      </w:r>
      <w:r w:rsidR="002755CD">
        <w:t xml:space="preserve">The </w:t>
      </w:r>
      <w:r w:rsidR="00790622" w:rsidRPr="00790622">
        <w:rPr>
          <w:i/>
          <w:iCs/>
        </w:rPr>
        <w:t>Public Interest Disclosure Act 2013</w:t>
      </w:r>
      <w:r w:rsidR="00790622">
        <w:t xml:space="preserve"> (</w:t>
      </w:r>
      <w:proofErr w:type="spellStart"/>
      <w:r w:rsidR="00790622">
        <w:t>Cth</w:t>
      </w:r>
      <w:proofErr w:type="spellEnd"/>
      <w:r w:rsidR="00790622">
        <w:t xml:space="preserve">) </w:t>
      </w:r>
      <w:r w:rsidR="00893152">
        <w:t xml:space="preserve">(PID Act) </w:t>
      </w:r>
      <w:r w:rsidR="00790622">
        <w:t xml:space="preserve">was an important step towards a more </w:t>
      </w:r>
      <w:r w:rsidR="003532CB">
        <w:t xml:space="preserve">transparent and accountable public service. </w:t>
      </w:r>
    </w:p>
    <w:p w14:paraId="0A369F71" w14:textId="1A6A672D" w:rsidR="00434DFA" w:rsidRDefault="00933337" w:rsidP="00B75646">
      <w:pPr>
        <w:pStyle w:val="ListNumber"/>
      </w:pPr>
      <w:r>
        <w:t>A statu</w:t>
      </w:r>
      <w:r w:rsidR="007B5231">
        <w:t xml:space="preserve">tory review </w:t>
      </w:r>
      <w:r w:rsidR="00893152">
        <w:t xml:space="preserve">of the PID Act </w:t>
      </w:r>
      <w:r w:rsidR="00824F9E">
        <w:t xml:space="preserve">was </w:t>
      </w:r>
      <w:r w:rsidR="00893152">
        <w:t>undertaken in 2016.</w:t>
      </w:r>
      <w:r w:rsidR="00507408">
        <w:t xml:space="preserve"> </w:t>
      </w:r>
      <w:r w:rsidR="00512613">
        <w:t xml:space="preserve"> At that time, agencies reported that </w:t>
      </w:r>
      <w:r w:rsidR="00C74405">
        <w:t xml:space="preserve">a </w:t>
      </w:r>
      <w:r w:rsidR="00282E14">
        <w:t xml:space="preserve">small </w:t>
      </w:r>
      <w:r w:rsidR="00C74405">
        <w:t xml:space="preserve">number of </w:t>
      </w:r>
      <w:r w:rsidR="0085139A">
        <w:t>disclosures of significant wrongdoing</w:t>
      </w:r>
      <w:r w:rsidR="00C74405">
        <w:t xml:space="preserve"> had been made</w:t>
      </w:r>
      <w:r w:rsidR="00625220">
        <w:t xml:space="preserve">, </w:t>
      </w:r>
      <w:r w:rsidR="00C74405">
        <w:t xml:space="preserve">along with a larger number of disclosures of </w:t>
      </w:r>
      <w:r w:rsidR="000252FA">
        <w:t>personal employment-related grievances.</w:t>
      </w:r>
      <w:r w:rsidR="006D61A9">
        <w:rPr>
          <w:rStyle w:val="EndnoteReference"/>
        </w:rPr>
        <w:endnoteReference w:id="2"/>
      </w:r>
      <w:r w:rsidR="0085139A">
        <w:t xml:space="preserve"> </w:t>
      </w:r>
      <w:r w:rsidR="000252FA">
        <w:t xml:space="preserve"> </w:t>
      </w:r>
      <w:r w:rsidR="00434DFA">
        <w:t xml:space="preserve">In the six years </w:t>
      </w:r>
      <w:r w:rsidR="00D52A4A">
        <w:t xml:space="preserve">since then, there </w:t>
      </w:r>
      <w:r w:rsidR="00062026">
        <w:t xml:space="preserve">has </w:t>
      </w:r>
      <w:r w:rsidR="00D52A4A">
        <w:t xml:space="preserve">been an average of </w:t>
      </w:r>
      <w:r w:rsidR="00A24767">
        <w:t xml:space="preserve">around </w:t>
      </w:r>
      <w:r w:rsidR="00D52A4A">
        <w:t xml:space="preserve">375 </w:t>
      </w:r>
      <w:r w:rsidR="00A45FD0">
        <w:t xml:space="preserve">disclosures each year that </w:t>
      </w:r>
      <w:r w:rsidR="00636E24">
        <w:t xml:space="preserve">have </w:t>
      </w:r>
      <w:r w:rsidR="00A45FD0">
        <w:t>met the threshold for a public interest disclosure.</w:t>
      </w:r>
      <w:r w:rsidR="005C5F07">
        <w:rPr>
          <w:rStyle w:val="EndnoteReference"/>
        </w:rPr>
        <w:endnoteReference w:id="3"/>
      </w:r>
      <w:r w:rsidR="00A45FD0">
        <w:t xml:space="preserve">  </w:t>
      </w:r>
    </w:p>
    <w:p w14:paraId="31F20DEF" w14:textId="6C15C5D8" w:rsidR="00A82318" w:rsidRDefault="000C78CC" w:rsidP="00B75646">
      <w:pPr>
        <w:pStyle w:val="ListNumber"/>
      </w:pPr>
      <w:r>
        <w:t>The statutory</w:t>
      </w:r>
      <w:r w:rsidR="00507408">
        <w:t xml:space="preserve"> review identified </w:t>
      </w:r>
      <w:r w:rsidR="00080D78">
        <w:t xml:space="preserve">several issues </w:t>
      </w:r>
      <w:r>
        <w:t xml:space="preserve">of concern </w:t>
      </w:r>
      <w:r w:rsidR="00080D78">
        <w:t xml:space="preserve">with the regime.  </w:t>
      </w:r>
      <w:proofErr w:type="spellStart"/>
      <w:r w:rsidR="00080D78">
        <w:t>Whistleblowers</w:t>
      </w:r>
      <w:proofErr w:type="spellEnd"/>
      <w:r w:rsidR="00080D78">
        <w:t xml:space="preserve"> reported that they </w:t>
      </w:r>
      <w:r w:rsidR="00043306">
        <w:t xml:space="preserve">did not feel supported, that their concerns were not properly responded to and that they had experienced </w:t>
      </w:r>
      <w:r w:rsidR="00491CE6">
        <w:t xml:space="preserve">reprisals </w:t>
      </w:r>
      <w:proofErr w:type="gramStart"/>
      <w:r w:rsidR="00491CE6">
        <w:t>as a result of</w:t>
      </w:r>
      <w:proofErr w:type="gramEnd"/>
      <w:r w:rsidR="00491CE6">
        <w:t xml:space="preserve"> bringing forward their concerns.  Agencies found the regime complex and difficult to </w:t>
      </w:r>
      <w:proofErr w:type="gramStart"/>
      <w:r w:rsidR="00491CE6">
        <w:t>apply</w:t>
      </w:r>
      <w:r w:rsidR="003C782A">
        <w:t>, and</w:t>
      </w:r>
      <w:proofErr w:type="gramEnd"/>
      <w:r w:rsidR="003C782A">
        <w:t xml:space="preserve"> considered the definition of ‘disclosable conduct’ to be too broad, particularly in picking up </w:t>
      </w:r>
      <w:r w:rsidR="00DC2B49">
        <w:t>personal employment-related grievances.</w:t>
      </w:r>
      <w:r w:rsidR="00A7583A">
        <w:rPr>
          <w:rStyle w:val="EndnoteReference"/>
        </w:rPr>
        <w:endnoteReference w:id="4"/>
      </w:r>
    </w:p>
    <w:p w14:paraId="3D21CE55" w14:textId="77777777" w:rsidR="000577BC" w:rsidRDefault="00933337" w:rsidP="00B75646">
      <w:pPr>
        <w:pStyle w:val="ListNumber"/>
      </w:pPr>
      <w:r>
        <w:t xml:space="preserve">The present Bill seeks to implement </w:t>
      </w:r>
      <w:proofErr w:type="gramStart"/>
      <w:r>
        <w:t>a number of</w:t>
      </w:r>
      <w:proofErr w:type="gramEnd"/>
      <w:r>
        <w:t xml:space="preserve"> recommendations from </w:t>
      </w:r>
      <w:r w:rsidR="007B5231">
        <w:t xml:space="preserve">that </w:t>
      </w:r>
      <w:r>
        <w:t>statutory review</w:t>
      </w:r>
      <w:r w:rsidR="007B5231">
        <w:t xml:space="preserve"> as well as recommendations from two other parliamentary reviews.  </w:t>
      </w:r>
      <w:r w:rsidR="00061A8D">
        <w:t xml:space="preserve">In general terms, the </w:t>
      </w:r>
      <w:r w:rsidR="000577BC">
        <w:t xml:space="preserve">Bill would: </w:t>
      </w:r>
    </w:p>
    <w:p w14:paraId="6B78A9C6" w14:textId="4FCE81C4" w:rsidR="006534C9" w:rsidRDefault="000577BC" w:rsidP="000577BC">
      <w:pPr>
        <w:pStyle w:val="ListNumber"/>
        <w:numPr>
          <w:ilvl w:val="0"/>
          <w:numId w:val="41"/>
        </w:numPr>
      </w:pPr>
      <w:r>
        <w:t xml:space="preserve">narrow the scope of disclosable conduct, so that it no longer applies to </w:t>
      </w:r>
      <w:r w:rsidR="00F25BC1">
        <w:t xml:space="preserve">personal work-related </w:t>
      </w:r>
      <w:proofErr w:type="gramStart"/>
      <w:r w:rsidR="00F25BC1">
        <w:t>conduct</w:t>
      </w:r>
      <w:proofErr w:type="gramEnd"/>
    </w:p>
    <w:p w14:paraId="1969CA9F" w14:textId="0224CACF" w:rsidR="00F25BC1" w:rsidRDefault="00516E25" w:rsidP="000577BC">
      <w:pPr>
        <w:pStyle w:val="ListNumber"/>
        <w:numPr>
          <w:ilvl w:val="0"/>
          <w:numId w:val="41"/>
        </w:numPr>
      </w:pPr>
      <w:r>
        <w:t xml:space="preserve">increase the discretion available to agencies to refer disclosures to other, more appropriate investigatory </w:t>
      </w:r>
      <w:proofErr w:type="gramStart"/>
      <w:r>
        <w:t>mechanisms</w:t>
      </w:r>
      <w:proofErr w:type="gramEnd"/>
    </w:p>
    <w:p w14:paraId="30270FA9" w14:textId="05E97BAC" w:rsidR="00EE1A08" w:rsidRDefault="00721F1B" w:rsidP="000577BC">
      <w:pPr>
        <w:pStyle w:val="ListNumber"/>
        <w:numPr>
          <w:ilvl w:val="0"/>
          <w:numId w:val="41"/>
        </w:numPr>
      </w:pPr>
      <w:r>
        <w:t>improve protections</w:t>
      </w:r>
      <w:r w:rsidR="00130DBB">
        <w:t xml:space="preserve"> against reprisals</w:t>
      </w:r>
      <w:r>
        <w:t xml:space="preserve">, </w:t>
      </w:r>
      <w:r w:rsidR="00431106">
        <w:t xml:space="preserve">and provide witnesses </w:t>
      </w:r>
      <w:r>
        <w:t>assist</w:t>
      </w:r>
      <w:r w:rsidR="00431106">
        <w:t>ing</w:t>
      </w:r>
      <w:r>
        <w:t xml:space="preserve"> an inquiry</w:t>
      </w:r>
      <w:r w:rsidR="00431106">
        <w:t xml:space="preserve"> with the same protections as </w:t>
      </w:r>
      <w:proofErr w:type="spellStart"/>
      <w:proofErr w:type="gramStart"/>
      <w:r w:rsidR="00431106">
        <w:t>whistleblowers</w:t>
      </w:r>
      <w:proofErr w:type="spellEnd"/>
      <w:proofErr w:type="gramEnd"/>
    </w:p>
    <w:p w14:paraId="36F062EE" w14:textId="4CEBB201" w:rsidR="00721F1B" w:rsidRDefault="00721F1B" w:rsidP="000577BC">
      <w:pPr>
        <w:pStyle w:val="ListNumber"/>
        <w:numPr>
          <w:ilvl w:val="0"/>
          <w:numId w:val="41"/>
        </w:numPr>
      </w:pPr>
      <w:r>
        <w:t xml:space="preserve">enhance the assistance and support provided by agencies to </w:t>
      </w:r>
      <w:proofErr w:type="spellStart"/>
      <w:proofErr w:type="gramStart"/>
      <w:r>
        <w:t>whistleblowers</w:t>
      </w:r>
      <w:proofErr w:type="spellEnd"/>
      <w:proofErr w:type="gramEnd"/>
    </w:p>
    <w:p w14:paraId="0700DDA5" w14:textId="50AD3808" w:rsidR="00516E25" w:rsidRDefault="00C87294" w:rsidP="000577BC">
      <w:pPr>
        <w:pStyle w:val="ListNumber"/>
        <w:numPr>
          <w:ilvl w:val="0"/>
          <w:numId w:val="41"/>
        </w:numPr>
      </w:pPr>
      <w:r>
        <w:lastRenderedPageBreak/>
        <w:t xml:space="preserve">increase </w:t>
      </w:r>
      <w:r w:rsidR="004100BD">
        <w:t xml:space="preserve">oversight of the regime by the </w:t>
      </w:r>
      <w:r>
        <w:t xml:space="preserve">Ombudsman and </w:t>
      </w:r>
      <w:r w:rsidR="00C85EBE">
        <w:t>the Inspector General of Intelligence and Security (IGIS)</w:t>
      </w:r>
      <w:r w:rsidR="00DF3288">
        <w:t xml:space="preserve">, including by </w:t>
      </w:r>
      <w:r w:rsidR="009929AE">
        <w:t xml:space="preserve">empowering them to </w:t>
      </w:r>
      <w:r w:rsidR="00DF3288">
        <w:t xml:space="preserve">review and making recommendations in relation to agency investigation </w:t>
      </w:r>
      <w:proofErr w:type="gramStart"/>
      <w:r w:rsidR="00DF3288">
        <w:t>reports</w:t>
      </w:r>
      <w:proofErr w:type="gramEnd"/>
      <w:r>
        <w:t xml:space="preserve"> </w:t>
      </w:r>
    </w:p>
    <w:p w14:paraId="47E5FFB7" w14:textId="5BE7B7E9" w:rsidR="004100BD" w:rsidRDefault="00D61682" w:rsidP="000577BC">
      <w:pPr>
        <w:pStyle w:val="ListNumber"/>
        <w:numPr>
          <w:ilvl w:val="0"/>
          <w:numId w:val="41"/>
        </w:numPr>
      </w:pPr>
      <w:r>
        <w:t xml:space="preserve">increase </w:t>
      </w:r>
      <w:r w:rsidR="003F3117">
        <w:t xml:space="preserve">the ability of agencies to share information about a disclosure where necessary, </w:t>
      </w:r>
      <w:proofErr w:type="gramStart"/>
      <w:r w:rsidR="003F3117">
        <w:t>in order to</w:t>
      </w:r>
      <w:proofErr w:type="gramEnd"/>
      <w:r w:rsidR="003F3117">
        <w:t xml:space="preserve"> improve </w:t>
      </w:r>
      <w:r>
        <w:t>internal investigations into disclosures.</w:t>
      </w:r>
    </w:p>
    <w:p w14:paraId="7B4CB740" w14:textId="418FE676" w:rsidR="00000654" w:rsidRDefault="00000654" w:rsidP="007C3FFC">
      <w:pPr>
        <w:pStyle w:val="ListNumber"/>
      </w:pPr>
      <w:r>
        <w:t>The Commission supports these aspects of the Bill.</w:t>
      </w:r>
    </w:p>
    <w:p w14:paraId="05439E9A" w14:textId="2C7D7FB1" w:rsidR="007C3FFC" w:rsidRDefault="00E25933" w:rsidP="007C3FFC">
      <w:pPr>
        <w:pStyle w:val="ListNumber"/>
      </w:pPr>
      <w:r>
        <w:t>In introducing the Bill, t</w:t>
      </w:r>
      <w:r w:rsidR="00044280">
        <w:t xml:space="preserve">he Government announced that it intends to introduce further reforms </w:t>
      </w:r>
      <w:r w:rsidR="000C5A3C">
        <w:t xml:space="preserve">to address the underlying complexity of the scheme.  It also intends to publicly consult on whether there is a need to establish a </w:t>
      </w:r>
      <w:proofErr w:type="spellStart"/>
      <w:r w:rsidR="000C5A3C">
        <w:t>whistleblower</w:t>
      </w:r>
      <w:proofErr w:type="spellEnd"/>
      <w:r w:rsidR="000C5A3C">
        <w:t xml:space="preserve"> protection authority or </w:t>
      </w:r>
      <w:r w:rsidR="00450223">
        <w:t>Commissioner.</w:t>
      </w:r>
      <w:r w:rsidR="00A03FAA">
        <w:t xml:space="preserve">  </w:t>
      </w:r>
      <w:r>
        <w:t xml:space="preserve">Subsequently, the Attorney-General </w:t>
      </w:r>
      <w:r w:rsidR="00213F70">
        <w:t xml:space="preserve">asked his department to conduct a review of Commonwealth secrecy provisions. </w:t>
      </w:r>
      <w:r w:rsidR="00A03FAA">
        <w:t>The Commission looks forward to engaging with these processes</w:t>
      </w:r>
      <w:r w:rsidR="00735927">
        <w:t>.</w:t>
      </w:r>
    </w:p>
    <w:p w14:paraId="74972A05" w14:textId="706B53EE" w:rsidR="001A6FE5" w:rsidRDefault="00450223" w:rsidP="007C3FFC">
      <w:pPr>
        <w:pStyle w:val="ListNumber"/>
      </w:pPr>
      <w:r>
        <w:t xml:space="preserve">The Commission’s </w:t>
      </w:r>
      <w:r w:rsidR="009D6E57">
        <w:t xml:space="preserve">first recommendation is that </w:t>
      </w:r>
      <w:r w:rsidR="001A6FE5">
        <w:t xml:space="preserve">the continued reform to the public sector whistleblowing regime needs to </w:t>
      </w:r>
      <w:proofErr w:type="gramStart"/>
      <w:r w:rsidR="001A6FE5">
        <w:t>take into account</w:t>
      </w:r>
      <w:proofErr w:type="gramEnd"/>
      <w:r w:rsidR="001A6FE5">
        <w:t xml:space="preserve"> the </w:t>
      </w:r>
      <w:r w:rsidR="00462FA3">
        <w:t xml:space="preserve">range and complexity </w:t>
      </w:r>
      <w:r w:rsidR="001A6FE5">
        <w:t xml:space="preserve">of </w:t>
      </w:r>
      <w:r w:rsidR="00462FA3">
        <w:t xml:space="preserve">secrecy laws that apply to the public service.  There are </w:t>
      </w:r>
      <w:proofErr w:type="gramStart"/>
      <w:r w:rsidR="00462FA3">
        <w:t>a number of</w:t>
      </w:r>
      <w:proofErr w:type="gramEnd"/>
      <w:r w:rsidR="00462FA3">
        <w:t xml:space="preserve"> recommendations from the Australian Law Reform Commission’s </w:t>
      </w:r>
      <w:r w:rsidR="00CD0D6E">
        <w:t xml:space="preserve">review into secrecy laws that remain unaddressed.  Secrecy and public interest disclosure are </w:t>
      </w:r>
      <w:r w:rsidR="00AC7173">
        <w:t xml:space="preserve">intimately linked, and a simplification of the secrecy </w:t>
      </w:r>
      <w:r w:rsidR="006C1133">
        <w:t>laws</w:t>
      </w:r>
      <w:r w:rsidR="00AC7173">
        <w:t xml:space="preserve"> that appl</w:t>
      </w:r>
      <w:r w:rsidR="006C1133">
        <w:t>y</w:t>
      </w:r>
      <w:r w:rsidR="00AC7173">
        <w:t xml:space="preserve"> to public servants would assist significantly in ensuring that </w:t>
      </w:r>
      <w:r w:rsidR="00565253">
        <w:t>necessary disclosures about public sector wrongdoing can be made.</w:t>
      </w:r>
      <w:r w:rsidR="00051C10">
        <w:t xml:space="preserve">  The </w:t>
      </w:r>
      <w:r w:rsidR="0080415B">
        <w:t xml:space="preserve">further reforms to the PID Act should include public consultation about secrecy </w:t>
      </w:r>
      <w:proofErr w:type="gramStart"/>
      <w:r w:rsidR="00934494">
        <w:t>offences</w:t>
      </w:r>
      <w:r w:rsidR="0080415B">
        <w:t>, and</w:t>
      </w:r>
      <w:proofErr w:type="gramEnd"/>
      <w:r w:rsidR="0080415B">
        <w:t xml:space="preserve"> take into account the results of the current review by the Attorney-General’s Department.</w:t>
      </w:r>
    </w:p>
    <w:p w14:paraId="43D44E1A" w14:textId="429991D6" w:rsidR="00B34A6D" w:rsidRDefault="003D6ADD" w:rsidP="007C3FFC">
      <w:pPr>
        <w:pStyle w:val="ListNumber"/>
      </w:pPr>
      <w:r>
        <w:t>The Commission’s other recommendations</w:t>
      </w:r>
      <w:r w:rsidR="00591804">
        <w:t xml:space="preserve"> are limited to the PID Act and</w:t>
      </w:r>
      <w:r>
        <w:t xml:space="preserve"> take the structure of the Act as it currently is. </w:t>
      </w:r>
    </w:p>
    <w:p w14:paraId="4FA35A45" w14:textId="14AB633E" w:rsidR="007E5C4A" w:rsidRDefault="00D55149" w:rsidP="007C3FFC">
      <w:pPr>
        <w:pStyle w:val="ListNumber"/>
      </w:pPr>
      <w:r>
        <w:t xml:space="preserve">Five </w:t>
      </w:r>
      <w:r w:rsidR="003B3AFD">
        <w:t xml:space="preserve">recommendations are designed to make it easier for public servants to get advice and </w:t>
      </w:r>
      <w:r w:rsidR="00537CB3">
        <w:t xml:space="preserve">help both before and after making a disclosure.  The Commission recommends that a list of security cleared lawyers be </w:t>
      </w:r>
      <w:r w:rsidR="00E933BB">
        <w:t xml:space="preserve">created and published to permit </w:t>
      </w:r>
      <w:r w:rsidR="00656878">
        <w:t xml:space="preserve">potential and actual </w:t>
      </w:r>
      <w:proofErr w:type="spellStart"/>
      <w:r w:rsidR="00656878">
        <w:t>whistleblowers</w:t>
      </w:r>
      <w:proofErr w:type="spellEnd"/>
      <w:r w:rsidR="00656878">
        <w:t xml:space="preserve"> to </w:t>
      </w:r>
      <w:r w:rsidR="00E933BB">
        <w:t xml:space="preserve">access to such lawyers where necessary.  </w:t>
      </w:r>
      <w:r w:rsidR="00641BB1">
        <w:t xml:space="preserve">The Commission also recommends that recourse to security cleared lawyers only be required when it is necessary to discuss information with a protective security classification of </w:t>
      </w:r>
      <w:r w:rsidR="00E30D03">
        <w:t>‘</w:t>
      </w:r>
      <w:r w:rsidR="00641BB1">
        <w:t>secret</w:t>
      </w:r>
      <w:r w:rsidR="00E30D03">
        <w:t>’</w:t>
      </w:r>
      <w:r w:rsidR="00641BB1">
        <w:t xml:space="preserve"> or </w:t>
      </w:r>
      <w:r w:rsidR="00E30D03">
        <w:t>‘</w:t>
      </w:r>
      <w:r w:rsidR="00641BB1">
        <w:t>top secret</w:t>
      </w:r>
      <w:r w:rsidR="00E30D03">
        <w:t>’</w:t>
      </w:r>
      <w:r w:rsidR="00641BB1">
        <w:t>.</w:t>
      </w:r>
      <w:r w:rsidR="00933903">
        <w:t xml:space="preserve">  This would permit </w:t>
      </w:r>
      <w:proofErr w:type="spellStart"/>
      <w:r w:rsidR="00933903">
        <w:t>whistleblowers</w:t>
      </w:r>
      <w:proofErr w:type="spellEnd"/>
      <w:r w:rsidR="00933903">
        <w:t xml:space="preserve"> to obtain legal advice more easily in </w:t>
      </w:r>
      <w:r w:rsidR="00933903">
        <w:lastRenderedPageBreak/>
        <w:t xml:space="preserve">relation to </w:t>
      </w:r>
      <w:r w:rsidR="00C144C5">
        <w:t xml:space="preserve">information the disclosure of which carries lower risks.  </w:t>
      </w:r>
      <w:r w:rsidR="003018E3">
        <w:t xml:space="preserve">The Commission recommends that staff in the Australian Intelligence Community should also have access to legal advice </w:t>
      </w:r>
      <w:r w:rsidR="00B83732">
        <w:t xml:space="preserve">prior to making internal disclosures to an intelligence agency or the </w:t>
      </w:r>
      <w:r w:rsidR="00C85EBE">
        <w:t xml:space="preserve">IGIS </w:t>
      </w:r>
      <w:r w:rsidR="00B83732">
        <w:t xml:space="preserve">about </w:t>
      </w:r>
      <w:r w:rsidR="00B34A6D">
        <w:t xml:space="preserve">‘intelligence information’.  </w:t>
      </w:r>
    </w:p>
    <w:p w14:paraId="5D3A82FC" w14:textId="13A72319" w:rsidR="00450223" w:rsidRDefault="007E5C4A" w:rsidP="007C3FFC">
      <w:pPr>
        <w:pStyle w:val="ListNumber"/>
      </w:pPr>
      <w:r>
        <w:t>T</w:t>
      </w:r>
      <w:r w:rsidR="009B73E9">
        <w:t xml:space="preserve">he Commission recommends that the offence attaching to </w:t>
      </w:r>
      <w:r w:rsidR="00B3633A">
        <w:t xml:space="preserve">disclosures by lawyers </w:t>
      </w:r>
      <w:r w:rsidR="00B70BF3">
        <w:t xml:space="preserve">advising a </w:t>
      </w:r>
      <w:proofErr w:type="spellStart"/>
      <w:r w:rsidR="00B70BF3">
        <w:t>whistleblower</w:t>
      </w:r>
      <w:proofErr w:type="spellEnd"/>
      <w:r w:rsidR="00B70BF3">
        <w:t xml:space="preserve"> </w:t>
      </w:r>
      <w:proofErr w:type="gramStart"/>
      <w:r w:rsidR="00B3633A">
        <w:t>be</w:t>
      </w:r>
      <w:proofErr w:type="gramEnd"/>
      <w:r w:rsidR="00B3633A">
        <w:t xml:space="preserve"> narrowed (while continuing to protect against the disclosure of any secret, top secret or </w:t>
      </w:r>
      <w:r w:rsidR="00D26EED">
        <w:t>intelligence information).</w:t>
      </w:r>
      <w:r w:rsidR="00B70BF3">
        <w:t xml:space="preserve"> </w:t>
      </w:r>
    </w:p>
    <w:p w14:paraId="59022801" w14:textId="77E14218" w:rsidR="00D26EED" w:rsidRDefault="005B71C3" w:rsidP="007C3FFC">
      <w:pPr>
        <w:pStyle w:val="ListNumber"/>
      </w:pPr>
      <w:r>
        <w:t xml:space="preserve">Finally, in relation to improving </w:t>
      </w:r>
      <w:r w:rsidR="00F471C3">
        <w:t xml:space="preserve">access to advice and help, the Commission recommends that </w:t>
      </w:r>
      <w:proofErr w:type="spellStart"/>
      <w:r w:rsidR="00F471C3">
        <w:t>whistleblowers</w:t>
      </w:r>
      <w:proofErr w:type="spellEnd"/>
      <w:r w:rsidR="00F471C3">
        <w:t xml:space="preserve"> be permitted to speak with other relevant </w:t>
      </w:r>
      <w:r w:rsidR="00625C02">
        <w:t>advisers</w:t>
      </w:r>
      <w:r w:rsidR="00F471C3">
        <w:t>, including a union or a person providing an employee assistance program, for the purpose of obtaining advice and assistance in relation</w:t>
      </w:r>
      <w:r w:rsidR="00FD2371">
        <w:t xml:space="preserve"> to making a disclosure.  Those disclosures would also need to be covered by appropriate secrecy</w:t>
      </w:r>
      <w:r w:rsidR="00621FD4">
        <w:t xml:space="preserve"> provisions.</w:t>
      </w:r>
    </w:p>
    <w:p w14:paraId="476E9E93" w14:textId="7B46F89A" w:rsidR="00FD2371" w:rsidRDefault="00621FD4" w:rsidP="007C3FFC">
      <w:pPr>
        <w:pStyle w:val="ListNumber"/>
      </w:pPr>
      <w:r>
        <w:t xml:space="preserve">The Commission </w:t>
      </w:r>
      <w:r w:rsidR="002B311D">
        <w:t xml:space="preserve">supports the amendments in the Bill to </w:t>
      </w:r>
      <w:r w:rsidR="0058193B">
        <w:t xml:space="preserve">exclude </w:t>
      </w:r>
      <w:r w:rsidR="0058193B" w:rsidRPr="0058193B">
        <w:t xml:space="preserve">personal work-related conduct </w:t>
      </w:r>
      <w:r w:rsidR="0029653E">
        <w:t xml:space="preserve">and to permit referrals where the conduct disclosed is more appropriately dealt with under a different mechanism.  </w:t>
      </w:r>
      <w:proofErr w:type="gramStart"/>
      <w:r w:rsidR="0029653E">
        <w:t>In light of</w:t>
      </w:r>
      <w:proofErr w:type="gramEnd"/>
      <w:r w:rsidR="0029653E">
        <w:t xml:space="preserve"> those changes, the Commission </w:t>
      </w:r>
      <w:r w:rsidR="00D97445">
        <w:t>submits</w:t>
      </w:r>
      <w:r w:rsidR="0029653E">
        <w:t xml:space="preserve"> that the existing discretion afforded to the principal officer of an agency to which the disclosure relates </w:t>
      </w:r>
      <w:r w:rsidR="0046487A" w:rsidRPr="0046487A">
        <w:rPr>
          <w:i/>
          <w:iCs/>
        </w:rPr>
        <w:t>not</w:t>
      </w:r>
      <w:r w:rsidR="0046487A">
        <w:t xml:space="preserve"> to investigate on the ground that the conduct is not ‘serious’ be removed from the Act. </w:t>
      </w:r>
      <w:r w:rsidR="0073028B">
        <w:t xml:space="preserve"> </w:t>
      </w:r>
      <w:r w:rsidR="007A6876">
        <w:t xml:space="preserve">This would </w:t>
      </w:r>
      <w:r w:rsidR="004C7518">
        <w:t xml:space="preserve">avoid the need for </w:t>
      </w:r>
      <w:r w:rsidR="0004574C">
        <w:t xml:space="preserve">agencies </w:t>
      </w:r>
      <w:r w:rsidR="004C7518">
        <w:t xml:space="preserve">to engage in a value judgement </w:t>
      </w:r>
      <w:r w:rsidR="007A6876">
        <w:t xml:space="preserve">that </w:t>
      </w:r>
      <w:r w:rsidR="00F13DDA">
        <w:t>has the potential to impact on both the perceived and actual integrity of the regime.</w:t>
      </w:r>
    </w:p>
    <w:p w14:paraId="5177A8CF" w14:textId="0E570540" w:rsidR="00F13DDA" w:rsidRDefault="0004574C" w:rsidP="00AF6FC8">
      <w:pPr>
        <w:pStyle w:val="ListNumber"/>
      </w:pPr>
      <w:r>
        <w:t xml:space="preserve">For the reasons given in the </w:t>
      </w:r>
      <w:r w:rsidRPr="007719AC">
        <w:rPr>
          <w:i/>
          <w:iCs/>
        </w:rPr>
        <w:t>Set the Standard</w:t>
      </w:r>
      <w:r>
        <w:t xml:space="preserve"> report into Commonwealth parliamentary workplaces, the Commission does not support the proposal in the Bill to clarify that the PID Act does not apply to </w:t>
      </w:r>
      <w:r w:rsidR="003244A2">
        <w:t xml:space="preserve">parliamentary staff.  The Commission </w:t>
      </w:r>
      <w:r w:rsidR="00955296">
        <w:t xml:space="preserve">agrees with the comments made in the </w:t>
      </w:r>
      <w:r w:rsidR="004174D7">
        <w:t xml:space="preserve">report of the </w:t>
      </w:r>
      <w:r w:rsidR="00955296">
        <w:t xml:space="preserve">2009 </w:t>
      </w:r>
      <w:r w:rsidR="004174D7">
        <w:t xml:space="preserve">parliamentary </w:t>
      </w:r>
      <w:r w:rsidR="00955296">
        <w:t xml:space="preserve">inquiry that </w:t>
      </w:r>
      <w:r w:rsidR="004174D7">
        <w:t xml:space="preserve">led to the PID Act that parliamentary staff may have insider access to information, be </w:t>
      </w:r>
      <w:proofErr w:type="gramStart"/>
      <w:r w:rsidR="004174D7">
        <w:t>in a position</w:t>
      </w:r>
      <w:proofErr w:type="gramEnd"/>
      <w:r w:rsidR="004174D7">
        <w:t xml:space="preserve"> to observe serious conduct contrary to the public interest and face risks of reprisal for speaking out</w:t>
      </w:r>
      <w:r w:rsidR="007719AC">
        <w:t xml:space="preserve">.  They should be supported to do so and provided with the protections afforded by the PID Act.  The Commission recommends that </w:t>
      </w:r>
      <w:r w:rsidR="003244A2">
        <w:t>parliamentary staff should be included as ‘public officials’ in the PID Act.</w:t>
      </w:r>
    </w:p>
    <w:p w14:paraId="440F8575" w14:textId="4506EC50" w:rsidR="007719AC" w:rsidRDefault="00947766" w:rsidP="00AF6FC8">
      <w:pPr>
        <w:pStyle w:val="ListNumber"/>
      </w:pPr>
      <w:r>
        <w:t xml:space="preserve">Finally, the Commission makes two recommendations designed to permit a public disclosure of information where </w:t>
      </w:r>
      <w:r w:rsidR="009C6A2A">
        <w:t xml:space="preserve">agencies have failed to </w:t>
      </w:r>
      <w:r w:rsidR="009C6A2A">
        <w:lastRenderedPageBreak/>
        <w:t>comply with the</w:t>
      </w:r>
      <w:r w:rsidR="002A6C02">
        <w:t>ir</w:t>
      </w:r>
      <w:r w:rsidR="009C6A2A">
        <w:t xml:space="preserve"> obligations attaching to internal investigations.  </w:t>
      </w:r>
      <w:r w:rsidR="005C2AEF">
        <w:t xml:space="preserve">First, </w:t>
      </w:r>
      <w:r w:rsidR="009C6A2A">
        <w:t xml:space="preserve">an </w:t>
      </w:r>
      <w:r w:rsidR="008F1778">
        <w:t xml:space="preserve">external disclosure should be permitted where there has been a failure by an authorised officer to </w:t>
      </w:r>
      <w:r w:rsidR="0029772D">
        <w:t xml:space="preserve">make a timely decision about the allocation of a disclosure for investigation.  This </w:t>
      </w:r>
      <w:r w:rsidR="005C2AEF">
        <w:t xml:space="preserve">was one of the recommendations of the 2016 statutory review.  Secondly, </w:t>
      </w:r>
      <w:r w:rsidR="00345536">
        <w:t xml:space="preserve">an external disclosure should be permitted where an internal </w:t>
      </w:r>
      <w:r w:rsidR="00100788">
        <w:t>investigation has not been completed within 90 days</w:t>
      </w:r>
      <w:r w:rsidR="007F06CF">
        <w:t>, and the other requirements for an external disclosure are met</w:t>
      </w:r>
      <w:r w:rsidR="00100788">
        <w:t xml:space="preserve">.  This would </w:t>
      </w:r>
      <w:r w:rsidR="00D44953">
        <w:t xml:space="preserve">provide greater certainty about </w:t>
      </w:r>
      <w:r w:rsidR="00346293">
        <w:t xml:space="preserve">when an external disclosure may be made, </w:t>
      </w:r>
      <w:r w:rsidR="00472B28">
        <w:t xml:space="preserve">encourage </w:t>
      </w:r>
      <w:r w:rsidR="00346293">
        <w:t xml:space="preserve">prompt </w:t>
      </w:r>
      <w:r w:rsidR="00472B28">
        <w:t xml:space="preserve">processing of internal investigations, and increase consistency with the whistleblowing regime that applies to the private sector under the </w:t>
      </w:r>
      <w:r w:rsidR="00472B28" w:rsidRPr="00472B28">
        <w:rPr>
          <w:i/>
          <w:iCs/>
        </w:rPr>
        <w:t>Corporations Act 2001</w:t>
      </w:r>
      <w:r w:rsidR="00472B28">
        <w:t xml:space="preserve"> (</w:t>
      </w:r>
      <w:proofErr w:type="spellStart"/>
      <w:r w:rsidR="00472B28">
        <w:t>Cth</w:t>
      </w:r>
      <w:proofErr w:type="spellEnd"/>
      <w:r w:rsidR="00472B28">
        <w:t>).</w:t>
      </w:r>
    </w:p>
    <w:p w14:paraId="69B24308" w14:textId="77777777" w:rsidR="00D03307" w:rsidRDefault="00D03307" w:rsidP="001C04F6">
      <w:pPr>
        <w:pStyle w:val="Heading1"/>
      </w:pPr>
      <w:bookmarkStart w:id="9" w:name="_Toc525894100"/>
      <w:bookmarkStart w:id="10" w:name="_Toc125116081"/>
      <w:r>
        <w:t>Recommendations</w:t>
      </w:r>
      <w:bookmarkEnd w:id="9"/>
      <w:bookmarkEnd w:id="10"/>
    </w:p>
    <w:p w14:paraId="76C2872F" w14:textId="72B6EFD0" w:rsidR="003423F4" w:rsidRDefault="00B67435" w:rsidP="00852FA7">
      <w:pPr>
        <w:pStyle w:val="ListNumber"/>
        <w:keepNext/>
      </w:pPr>
      <w:r>
        <w:t>T</w:t>
      </w:r>
      <w:r w:rsidR="003423F4">
        <w:t xml:space="preserve">he </w:t>
      </w:r>
      <w:r w:rsidR="00B75646">
        <w:t>C</w:t>
      </w:r>
      <w:r w:rsidR="003423F4">
        <w:t xml:space="preserve">ommission </w:t>
      </w:r>
      <w:r w:rsidR="00B75646">
        <w:t xml:space="preserve">makes the following </w:t>
      </w:r>
      <w:r w:rsidR="003423F4">
        <w:t>recommend</w:t>
      </w:r>
      <w:r w:rsidR="00B75646">
        <w:t>ations.</w:t>
      </w:r>
    </w:p>
    <w:p w14:paraId="52BA18E1" w14:textId="77777777" w:rsidR="00B850D8" w:rsidRPr="00B850D8" w:rsidRDefault="00B850D8" w:rsidP="00B850D8">
      <w:pPr>
        <w:pStyle w:val="ListNumber"/>
        <w:keepNext/>
        <w:numPr>
          <w:ilvl w:val="0"/>
          <w:numId w:val="0"/>
        </w:numPr>
        <w:ind w:left="1094"/>
        <w:rPr>
          <w:b/>
          <w:bCs/>
        </w:rPr>
      </w:pPr>
      <w:r w:rsidRPr="00B850D8">
        <w:rPr>
          <w:b/>
          <w:bCs/>
        </w:rPr>
        <w:t>Recommendation 1</w:t>
      </w:r>
    </w:p>
    <w:p w14:paraId="485944B5" w14:textId="73EE4D6C" w:rsidR="00B850D8" w:rsidRDefault="00B850D8" w:rsidP="00B850D8">
      <w:pPr>
        <w:pStyle w:val="ListNumber"/>
        <w:numPr>
          <w:ilvl w:val="0"/>
          <w:numId w:val="0"/>
        </w:numPr>
        <w:ind w:left="1094"/>
      </w:pPr>
      <w:r>
        <w:t xml:space="preserve">The Commission recommends that the next stage of reform of public interest disclosure laws include public consultation in relation to the breadth and appropriateness of Commonwealth secrecy </w:t>
      </w:r>
      <w:proofErr w:type="gramStart"/>
      <w:r>
        <w:t>offences</w:t>
      </w:r>
      <w:r w:rsidR="003670CD">
        <w:t>, and</w:t>
      </w:r>
      <w:proofErr w:type="gramEnd"/>
      <w:r w:rsidR="003670CD">
        <w:t xml:space="preserve"> have regard to the findings of the Attorney-General’s Department’s current review of secrecy provisions</w:t>
      </w:r>
      <w:r>
        <w:t>.</w:t>
      </w:r>
    </w:p>
    <w:p w14:paraId="38F73CEA" w14:textId="77777777" w:rsidR="000F6BF0" w:rsidRPr="00BB1ADF" w:rsidRDefault="000F6BF0" w:rsidP="000F6BF0">
      <w:pPr>
        <w:pStyle w:val="ListNumber"/>
        <w:keepNext/>
        <w:numPr>
          <w:ilvl w:val="0"/>
          <w:numId w:val="0"/>
        </w:numPr>
        <w:ind w:left="1094"/>
        <w:rPr>
          <w:b/>
          <w:bCs/>
        </w:rPr>
      </w:pPr>
      <w:r w:rsidRPr="00BB1ADF">
        <w:rPr>
          <w:b/>
          <w:bCs/>
        </w:rPr>
        <w:t xml:space="preserve">Recommendation </w:t>
      </w:r>
      <w:r>
        <w:rPr>
          <w:b/>
          <w:bCs/>
        </w:rPr>
        <w:t>2</w:t>
      </w:r>
    </w:p>
    <w:p w14:paraId="7FE89D25" w14:textId="32F78C2B" w:rsidR="000F6BF0" w:rsidRDefault="000F6BF0" w:rsidP="000F6BF0">
      <w:pPr>
        <w:pStyle w:val="ListNumber"/>
        <w:numPr>
          <w:ilvl w:val="0"/>
          <w:numId w:val="0"/>
        </w:numPr>
        <w:ind w:left="1094"/>
      </w:pPr>
      <w:r>
        <w:t xml:space="preserve">The Commission recommends that a list of security cleared lawyers be created and published in places where potential </w:t>
      </w:r>
      <w:proofErr w:type="spellStart"/>
      <w:r>
        <w:t>whistleblowers</w:t>
      </w:r>
      <w:proofErr w:type="spellEnd"/>
      <w:r>
        <w:t xml:space="preserve"> can easily find it, such as the websites of the </w:t>
      </w:r>
      <w:r w:rsidR="00A46F70">
        <w:t xml:space="preserve">Commonwealth </w:t>
      </w:r>
      <w:r>
        <w:t xml:space="preserve">Ombudsman, the </w:t>
      </w:r>
      <w:r w:rsidR="00CD422B">
        <w:t>Inspector-General of Intelligence and Security,</w:t>
      </w:r>
      <w:r>
        <w:t xml:space="preserve"> and the Attorney-General’s Department.</w:t>
      </w:r>
    </w:p>
    <w:p w14:paraId="172C8494" w14:textId="77777777" w:rsidR="00942F48" w:rsidRPr="00B11A45" w:rsidRDefault="00942F48" w:rsidP="00942F48">
      <w:pPr>
        <w:pStyle w:val="ListNumber"/>
        <w:keepNext/>
        <w:numPr>
          <w:ilvl w:val="0"/>
          <w:numId w:val="0"/>
        </w:numPr>
        <w:ind w:left="1094"/>
        <w:rPr>
          <w:b/>
          <w:bCs/>
        </w:rPr>
      </w:pPr>
      <w:r w:rsidRPr="00B11A45">
        <w:rPr>
          <w:b/>
          <w:bCs/>
        </w:rPr>
        <w:t xml:space="preserve">Recommendation </w:t>
      </w:r>
      <w:r>
        <w:rPr>
          <w:b/>
          <w:bCs/>
        </w:rPr>
        <w:t>3</w:t>
      </w:r>
    </w:p>
    <w:p w14:paraId="21E6EF3E" w14:textId="52AF079C" w:rsidR="00942F48" w:rsidRDefault="00942F48" w:rsidP="00942F48">
      <w:pPr>
        <w:pStyle w:val="ListNumber"/>
        <w:numPr>
          <w:ilvl w:val="0"/>
          <w:numId w:val="0"/>
        </w:numPr>
        <w:ind w:left="1094"/>
      </w:pPr>
      <w:r>
        <w:t xml:space="preserve">The Commission recommends that item 4 in the table in s 26(1) of the PID Act be amended so that a legal practitioner disclosure is only required to be made to a lawyer with a relevant security clearance if the </w:t>
      </w:r>
      <w:proofErr w:type="spellStart"/>
      <w:r>
        <w:t>whistleblower</w:t>
      </w:r>
      <w:proofErr w:type="spellEnd"/>
      <w:r>
        <w:t xml:space="preserve"> knew, or ought reasonably to have known, that any of the information had a protective security classification of </w:t>
      </w:r>
      <w:r w:rsidR="00A46F70">
        <w:t>‘</w:t>
      </w:r>
      <w:r>
        <w:t>secret</w:t>
      </w:r>
      <w:r w:rsidR="00A46F70">
        <w:t>’</w:t>
      </w:r>
      <w:r>
        <w:t xml:space="preserve"> or </w:t>
      </w:r>
      <w:r w:rsidR="00A46F70">
        <w:t>‘</w:t>
      </w:r>
      <w:r>
        <w:t>top secret</w:t>
      </w:r>
      <w:r w:rsidR="00A46F70">
        <w:t>’</w:t>
      </w:r>
      <w:r>
        <w:t>.</w:t>
      </w:r>
    </w:p>
    <w:p w14:paraId="7BF78E1E" w14:textId="77777777" w:rsidR="00CC4D77" w:rsidRPr="00006C60" w:rsidRDefault="00CC4D77" w:rsidP="00CC4D77">
      <w:pPr>
        <w:pStyle w:val="ListNumber"/>
        <w:keepNext/>
        <w:numPr>
          <w:ilvl w:val="0"/>
          <w:numId w:val="0"/>
        </w:numPr>
        <w:ind w:left="1094"/>
        <w:rPr>
          <w:b/>
          <w:bCs/>
        </w:rPr>
      </w:pPr>
      <w:r w:rsidRPr="00006C60">
        <w:rPr>
          <w:b/>
          <w:bCs/>
        </w:rPr>
        <w:lastRenderedPageBreak/>
        <w:t>Recommendation 4</w:t>
      </w:r>
    </w:p>
    <w:p w14:paraId="6313FCAC" w14:textId="77777777" w:rsidR="00CC4D77" w:rsidRDefault="00CC4D77" w:rsidP="00CC4D77">
      <w:pPr>
        <w:pStyle w:val="ListNumber"/>
        <w:numPr>
          <w:ilvl w:val="0"/>
          <w:numId w:val="0"/>
        </w:numPr>
        <w:ind w:left="1094"/>
      </w:pPr>
      <w:r>
        <w:t>The Commission recommends that the Government consider an appropriate mechanism to ensure that staff within the Australian Intelligence Community can access legal advice about the potential to make an internal disclosure under the PID Act that includes intelligence information.</w:t>
      </w:r>
    </w:p>
    <w:p w14:paraId="014EE70C" w14:textId="6469C856" w:rsidR="00942F48" w:rsidRPr="009131FB" w:rsidRDefault="00942F48" w:rsidP="00942F48">
      <w:pPr>
        <w:pStyle w:val="ListNumber"/>
        <w:keepNext/>
        <w:numPr>
          <w:ilvl w:val="0"/>
          <w:numId w:val="0"/>
        </w:numPr>
        <w:ind w:left="1094"/>
        <w:rPr>
          <w:b/>
          <w:bCs/>
        </w:rPr>
      </w:pPr>
      <w:r w:rsidRPr="009131FB">
        <w:rPr>
          <w:b/>
          <w:bCs/>
        </w:rPr>
        <w:t xml:space="preserve">Recommendation </w:t>
      </w:r>
      <w:r w:rsidR="00CC4D77">
        <w:rPr>
          <w:b/>
          <w:bCs/>
        </w:rPr>
        <w:t>5</w:t>
      </w:r>
    </w:p>
    <w:p w14:paraId="57484C85" w14:textId="77777777" w:rsidR="00A66016" w:rsidRDefault="00A66016" w:rsidP="00A66016">
      <w:pPr>
        <w:pStyle w:val="ListNumber"/>
        <w:numPr>
          <w:ilvl w:val="0"/>
          <w:numId w:val="0"/>
        </w:numPr>
        <w:ind w:left="1094"/>
      </w:pPr>
      <w:r>
        <w:t>The Commission recommends that the offence provision in s 67 of the PID Act applying to legal practitioners be amended so that it is limited to a disclosure or use of information that caused, or was likely or intended to cause, harm to an identified essential public interest, or disclosure of narrow categories of information where harm to an essential public interest is implicit.</w:t>
      </w:r>
    </w:p>
    <w:p w14:paraId="096EB3AB" w14:textId="7047049B" w:rsidR="00942F48" w:rsidRPr="00891407" w:rsidRDefault="00942F48" w:rsidP="00942F48">
      <w:pPr>
        <w:pStyle w:val="ListNumber"/>
        <w:keepNext/>
        <w:numPr>
          <w:ilvl w:val="0"/>
          <w:numId w:val="0"/>
        </w:numPr>
        <w:ind w:left="1094"/>
        <w:rPr>
          <w:b/>
          <w:bCs/>
        </w:rPr>
      </w:pPr>
      <w:r w:rsidRPr="00891407">
        <w:rPr>
          <w:b/>
          <w:bCs/>
        </w:rPr>
        <w:t xml:space="preserve">Recommendation </w:t>
      </w:r>
      <w:r w:rsidR="00CC4D77">
        <w:rPr>
          <w:b/>
          <w:bCs/>
        </w:rPr>
        <w:t>6</w:t>
      </w:r>
    </w:p>
    <w:p w14:paraId="76EF63BC" w14:textId="59E577E0" w:rsidR="00942F48" w:rsidRDefault="00942F48" w:rsidP="00942F48">
      <w:pPr>
        <w:pStyle w:val="ListNumber"/>
        <w:numPr>
          <w:ilvl w:val="0"/>
          <w:numId w:val="0"/>
        </w:numPr>
        <w:ind w:left="1094"/>
      </w:pPr>
      <w:r>
        <w:t xml:space="preserve">The Commission recommends that item 4 in the table in s 26(1) of the PID Act be amended to permit a </w:t>
      </w:r>
      <w:proofErr w:type="spellStart"/>
      <w:r>
        <w:t>whistleblower</w:t>
      </w:r>
      <w:proofErr w:type="spellEnd"/>
      <w:r>
        <w:t xml:space="preserve"> to make a disclosure to other relevant </w:t>
      </w:r>
      <w:r w:rsidR="00492EF6">
        <w:t>advisers</w:t>
      </w:r>
      <w:r>
        <w:t xml:space="preserve">, including a union or a person providing an employee assistance program, for the purpose of obtaining advice and assistance in relation to </w:t>
      </w:r>
      <w:r w:rsidR="0081321B">
        <w:t xml:space="preserve">making or having made </w:t>
      </w:r>
      <w:r>
        <w:t xml:space="preserve">a public interest disclosure. </w:t>
      </w:r>
    </w:p>
    <w:p w14:paraId="5DDADB62" w14:textId="65D0150C" w:rsidR="00942F48" w:rsidRPr="00CA2BE5" w:rsidRDefault="00942F48" w:rsidP="00942F48">
      <w:pPr>
        <w:pStyle w:val="ListNumber"/>
        <w:keepNext/>
        <w:numPr>
          <w:ilvl w:val="0"/>
          <w:numId w:val="0"/>
        </w:numPr>
        <w:ind w:left="1094"/>
        <w:rPr>
          <w:b/>
          <w:bCs/>
        </w:rPr>
      </w:pPr>
      <w:r w:rsidRPr="00CA2BE5">
        <w:rPr>
          <w:b/>
          <w:bCs/>
        </w:rPr>
        <w:t xml:space="preserve">Recommendation </w:t>
      </w:r>
      <w:r w:rsidR="00CC4D77">
        <w:rPr>
          <w:b/>
          <w:bCs/>
        </w:rPr>
        <w:t>7</w:t>
      </w:r>
    </w:p>
    <w:p w14:paraId="301F1957" w14:textId="05A68FA2" w:rsidR="00942F48" w:rsidRDefault="00942F48" w:rsidP="00942F48">
      <w:pPr>
        <w:pStyle w:val="ListNumber"/>
        <w:numPr>
          <w:ilvl w:val="0"/>
          <w:numId w:val="0"/>
        </w:numPr>
        <w:ind w:left="1094"/>
      </w:pPr>
      <w:r>
        <w:t xml:space="preserve">The Commission recommends that s 48(1)(c) of the PID Act </w:t>
      </w:r>
      <w:r w:rsidR="00492EF6">
        <w:t xml:space="preserve">be </w:t>
      </w:r>
      <w:r>
        <w:t>repealed.</w:t>
      </w:r>
    </w:p>
    <w:p w14:paraId="33E69A56" w14:textId="59AF6162" w:rsidR="00967831" w:rsidRPr="00213BBA" w:rsidRDefault="00967831" w:rsidP="00967831">
      <w:pPr>
        <w:pStyle w:val="ListNumber"/>
        <w:keepNext/>
        <w:numPr>
          <w:ilvl w:val="0"/>
          <w:numId w:val="0"/>
        </w:numPr>
        <w:ind w:left="1094"/>
        <w:rPr>
          <w:b/>
          <w:bCs/>
        </w:rPr>
      </w:pPr>
      <w:r w:rsidRPr="00213BBA">
        <w:rPr>
          <w:b/>
          <w:bCs/>
        </w:rPr>
        <w:t xml:space="preserve">Recommendation </w:t>
      </w:r>
      <w:r w:rsidR="00CC4D77">
        <w:rPr>
          <w:b/>
          <w:bCs/>
        </w:rPr>
        <w:t>8</w:t>
      </w:r>
    </w:p>
    <w:p w14:paraId="30BB9828" w14:textId="77777777" w:rsidR="00967831" w:rsidRDefault="00967831" w:rsidP="00967831">
      <w:pPr>
        <w:pStyle w:val="ListNumber"/>
        <w:numPr>
          <w:ilvl w:val="0"/>
          <w:numId w:val="0"/>
        </w:numPr>
        <w:ind w:left="1094"/>
      </w:pPr>
      <w:r>
        <w:t xml:space="preserve">The Commission recommends that people employed under the </w:t>
      </w:r>
      <w:r w:rsidRPr="009C0937">
        <w:rPr>
          <w:i/>
          <w:iCs/>
        </w:rPr>
        <w:t>Members of Parliament (Staff) Act 1984</w:t>
      </w:r>
      <w:r>
        <w:t xml:space="preserve"> (</w:t>
      </w:r>
      <w:proofErr w:type="spellStart"/>
      <w:r>
        <w:t>Cth</w:t>
      </w:r>
      <w:proofErr w:type="spellEnd"/>
      <w:r>
        <w:t>) be included within the definition of ‘public officials’ in the PID Act.</w:t>
      </w:r>
    </w:p>
    <w:p w14:paraId="79765938" w14:textId="5200897A" w:rsidR="00967831" w:rsidRPr="00A21B62" w:rsidRDefault="00967831" w:rsidP="00967831">
      <w:pPr>
        <w:pStyle w:val="ListNumber"/>
        <w:keepNext/>
        <w:numPr>
          <w:ilvl w:val="0"/>
          <w:numId w:val="0"/>
        </w:numPr>
        <w:ind w:left="1094"/>
        <w:rPr>
          <w:b/>
          <w:bCs/>
        </w:rPr>
      </w:pPr>
      <w:r w:rsidRPr="00A21B62">
        <w:rPr>
          <w:b/>
          <w:bCs/>
        </w:rPr>
        <w:t xml:space="preserve">Recommendation </w:t>
      </w:r>
      <w:r w:rsidR="00CC4D77">
        <w:rPr>
          <w:b/>
          <w:bCs/>
        </w:rPr>
        <w:t>9</w:t>
      </w:r>
    </w:p>
    <w:p w14:paraId="4C49B799" w14:textId="77777777" w:rsidR="00967831" w:rsidRDefault="00967831" w:rsidP="00967831">
      <w:pPr>
        <w:pStyle w:val="ListNumber"/>
        <w:numPr>
          <w:ilvl w:val="0"/>
          <w:numId w:val="0"/>
        </w:numPr>
        <w:ind w:left="1094"/>
      </w:pPr>
      <w:r>
        <w:t xml:space="preserve">The Commission recommends that paragraph (c) in column 3 of item 2 in the table in s 26(1) of the PID Act be amended to provide that an external disclosure may be made if a </w:t>
      </w:r>
      <w:proofErr w:type="spellStart"/>
      <w:r>
        <w:t>whistleblower</w:t>
      </w:r>
      <w:proofErr w:type="spellEnd"/>
      <w:r>
        <w:t>:</w:t>
      </w:r>
    </w:p>
    <w:p w14:paraId="431544F8" w14:textId="77777777" w:rsidR="00967831" w:rsidRDefault="00967831" w:rsidP="00967831">
      <w:pPr>
        <w:pStyle w:val="ListNumber"/>
        <w:numPr>
          <w:ilvl w:val="0"/>
          <w:numId w:val="38"/>
        </w:numPr>
        <w:ind w:left="1451" w:hanging="357"/>
      </w:pPr>
      <w:r>
        <w:t xml:space="preserve">has provided their name and contact details in connection with making the disclosure; and </w:t>
      </w:r>
    </w:p>
    <w:p w14:paraId="2203B683" w14:textId="77777777" w:rsidR="00967831" w:rsidRDefault="00967831" w:rsidP="00967831">
      <w:pPr>
        <w:pStyle w:val="ListNumber"/>
        <w:numPr>
          <w:ilvl w:val="0"/>
          <w:numId w:val="38"/>
        </w:numPr>
        <w:ind w:left="1451" w:hanging="357"/>
      </w:pPr>
      <w:r>
        <w:t xml:space="preserve">has </w:t>
      </w:r>
      <w:r w:rsidRPr="00EB59CB">
        <w:t xml:space="preserve">not been provided with a notice under </w:t>
      </w:r>
      <w:r>
        <w:t>sections</w:t>
      </w:r>
      <w:r w:rsidRPr="00EB59CB">
        <w:t xml:space="preserve"> 44(4) or 44</w:t>
      </w:r>
      <w:proofErr w:type="gramStart"/>
      <w:r w:rsidRPr="00EB59CB">
        <w:t>A(</w:t>
      </w:r>
      <w:proofErr w:type="gramEnd"/>
      <w:r w:rsidRPr="00EB59CB">
        <w:t xml:space="preserve">3) </w:t>
      </w:r>
      <w:r>
        <w:t xml:space="preserve">of the PID Act </w:t>
      </w:r>
      <w:r w:rsidRPr="00EB59CB">
        <w:t>within 28 days of making the disclosure</w:t>
      </w:r>
      <w:r>
        <w:t xml:space="preserve">, confirming </w:t>
      </w:r>
      <w:r>
        <w:lastRenderedPageBreak/>
        <w:t>that a decision about the allocation of their disclosure has been made.</w:t>
      </w:r>
    </w:p>
    <w:p w14:paraId="4D135089" w14:textId="0A47123A" w:rsidR="00967831" w:rsidRPr="00D5212A" w:rsidRDefault="00967831" w:rsidP="00967831">
      <w:pPr>
        <w:pStyle w:val="ListNumber"/>
        <w:keepNext/>
        <w:numPr>
          <w:ilvl w:val="0"/>
          <w:numId w:val="0"/>
        </w:numPr>
        <w:ind w:left="1094" w:hanging="737"/>
        <w:rPr>
          <w:b/>
          <w:bCs/>
        </w:rPr>
      </w:pPr>
      <w:r>
        <w:rPr>
          <w:b/>
          <w:bCs/>
        </w:rPr>
        <w:tab/>
      </w:r>
      <w:r w:rsidRPr="00D5212A">
        <w:rPr>
          <w:b/>
          <w:bCs/>
        </w:rPr>
        <w:t xml:space="preserve">Recommendation </w:t>
      </w:r>
      <w:r w:rsidR="00CC4D77">
        <w:rPr>
          <w:b/>
          <w:bCs/>
        </w:rPr>
        <w:t>10</w:t>
      </w:r>
    </w:p>
    <w:p w14:paraId="790577C0" w14:textId="04CF7B90" w:rsidR="00967831" w:rsidRDefault="00967831" w:rsidP="00967831">
      <w:pPr>
        <w:pStyle w:val="ListNumber"/>
        <w:numPr>
          <w:ilvl w:val="0"/>
          <w:numId w:val="0"/>
        </w:numPr>
        <w:ind w:left="1094" w:hanging="737"/>
      </w:pPr>
      <w:r>
        <w:tab/>
        <w:t xml:space="preserve">The Commission recommends that paragraph (c) in column 3 of item 2 in the table in s 26(1) of the PID Act be amended to provide that a </w:t>
      </w:r>
      <w:proofErr w:type="spellStart"/>
      <w:r>
        <w:t>whistleblower</w:t>
      </w:r>
      <w:proofErr w:type="spellEnd"/>
      <w:r>
        <w:t xml:space="preserve"> may make an external disclosure if an internal investigation has not been completed within 90 days.</w:t>
      </w:r>
    </w:p>
    <w:p w14:paraId="3B6887C1" w14:textId="4EC338A1" w:rsidR="00A3633C" w:rsidRDefault="00A16AA1" w:rsidP="00E2391C">
      <w:pPr>
        <w:pStyle w:val="Heading1"/>
      </w:pPr>
      <w:bookmarkStart w:id="11" w:name="_Toc125116082"/>
      <w:r>
        <w:t>Relevant human rights</w:t>
      </w:r>
      <w:bookmarkEnd w:id="11"/>
    </w:p>
    <w:p w14:paraId="50DE218A" w14:textId="7A28C159" w:rsidR="001E67E4" w:rsidRDefault="008008B7" w:rsidP="000A4E21">
      <w:pPr>
        <w:pStyle w:val="ListNumber"/>
      </w:pPr>
      <w:r>
        <w:t xml:space="preserve">Public servants, </w:t>
      </w:r>
      <w:r w:rsidR="00860FC6">
        <w:t xml:space="preserve">in common with </w:t>
      </w:r>
      <w:r>
        <w:t>all members of the community, enjoy the right to freedom of expression</w:t>
      </w:r>
      <w:r w:rsidR="002B3F86">
        <w:t xml:space="preserve">.  This right is recognised in article 19 of the </w:t>
      </w:r>
      <w:r w:rsidR="002B3F86" w:rsidRPr="00E2391C">
        <w:rPr>
          <w:i/>
          <w:iCs/>
        </w:rPr>
        <w:t>International Covenant on Civil and Political Rights</w:t>
      </w:r>
      <w:r w:rsidR="00172851">
        <w:t xml:space="preserve"> (ICCPR)</w:t>
      </w:r>
      <w:r w:rsidR="002B3F86">
        <w:t xml:space="preserve">.  </w:t>
      </w:r>
      <w:r w:rsidR="00CA3512">
        <w:t>Article 19</w:t>
      </w:r>
      <w:r w:rsidR="005D7144">
        <w:t>(3)</w:t>
      </w:r>
      <w:r w:rsidR="00CA3512">
        <w:t xml:space="preserve"> </w:t>
      </w:r>
      <w:r w:rsidR="005D7144">
        <w:t xml:space="preserve">provides </w:t>
      </w:r>
      <w:r w:rsidR="00CA3512">
        <w:t>that the right caries special duties and responsibilities</w:t>
      </w:r>
      <w:r w:rsidR="00B3750A">
        <w:t xml:space="preserve"> and therefore may be subject to certain restrictions </w:t>
      </w:r>
      <w:r w:rsidR="00181026">
        <w:t xml:space="preserve">that are </w:t>
      </w:r>
      <w:r w:rsidR="00B3750A">
        <w:t>provide</w:t>
      </w:r>
      <w:r w:rsidR="0076706F">
        <w:t>d</w:t>
      </w:r>
      <w:r w:rsidR="00B3750A">
        <w:t xml:space="preserve"> for by </w:t>
      </w:r>
      <w:proofErr w:type="gramStart"/>
      <w:r w:rsidR="00B3750A">
        <w:t>law</w:t>
      </w:r>
      <w:r w:rsidR="00181026">
        <w:t>, and</w:t>
      </w:r>
      <w:proofErr w:type="gramEnd"/>
      <w:r w:rsidR="00181026">
        <w:t xml:space="preserve"> are necessary</w:t>
      </w:r>
      <w:r w:rsidR="00B3750A">
        <w:t xml:space="preserve"> in order to respect the rights and reputations of others</w:t>
      </w:r>
      <w:r w:rsidR="00B70D31">
        <w:t>,</w:t>
      </w:r>
      <w:r w:rsidR="00B3750A">
        <w:t xml:space="preserve"> </w:t>
      </w:r>
      <w:r w:rsidR="00F2562E">
        <w:t xml:space="preserve">or </w:t>
      </w:r>
      <w:r w:rsidR="00B70D31">
        <w:t xml:space="preserve">to </w:t>
      </w:r>
      <w:r w:rsidR="00D85A75">
        <w:t xml:space="preserve">protect </w:t>
      </w:r>
      <w:r w:rsidR="00B70D31">
        <w:t>national security, public order</w:t>
      </w:r>
      <w:r w:rsidR="00DF004E">
        <w:t>,</w:t>
      </w:r>
      <w:r w:rsidR="00B70D31">
        <w:t xml:space="preserve"> </w:t>
      </w:r>
      <w:r w:rsidR="00DF004E">
        <w:t xml:space="preserve">or </w:t>
      </w:r>
      <w:r w:rsidR="007F7728">
        <w:t>public health</w:t>
      </w:r>
      <w:r w:rsidR="00DF004E">
        <w:t xml:space="preserve"> or morals</w:t>
      </w:r>
      <w:r w:rsidR="007F7728">
        <w:t>.</w:t>
      </w:r>
    </w:p>
    <w:p w14:paraId="4FC9F86A" w14:textId="0E1EC9D4" w:rsidR="007F7728" w:rsidRDefault="007F7728" w:rsidP="00F16BB3">
      <w:pPr>
        <w:pStyle w:val="ListNumber"/>
      </w:pPr>
      <w:r>
        <w:t xml:space="preserve">The free speech of public servants </w:t>
      </w:r>
      <w:r w:rsidR="003E01A6">
        <w:t xml:space="preserve">needs to accommodate their </w:t>
      </w:r>
      <w:r w:rsidR="005B1A52">
        <w:t xml:space="preserve">common law </w:t>
      </w:r>
      <w:r w:rsidR="003E01A6">
        <w:t>duty of trust and fidelity to the government of the day</w:t>
      </w:r>
      <w:r w:rsidR="00B73D5B">
        <w:t xml:space="preserve">, </w:t>
      </w:r>
      <w:r w:rsidR="005B1A52">
        <w:t xml:space="preserve">as well as obligations </w:t>
      </w:r>
      <w:r w:rsidR="00D10DDE">
        <w:t>contained in the APS Code of Conduct</w:t>
      </w:r>
      <w:r w:rsidR="00A66398">
        <w:t xml:space="preserve">.  This </w:t>
      </w:r>
      <w:r w:rsidR="004D0D64">
        <w:t xml:space="preserve">means that some restrictions on political speech </w:t>
      </w:r>
      <w:r w:rsidR="00EA0820">
        <w:t>are permissible.</w:t>
      </w:r>
      <w:r w:rsidR="00D66EB3">
        <w:rPr>
          <w:rStyle w:val="EndnoteReference"/>
        </w:rPr>
        <w:endnoteReference w:id="5"/>
      </w:r>
      <w:r w:rsidR="00EA0820">
        <w:t xml:space="preserve"> </w:t>
      </w:r>
      <w:r w:rsidR="00D66EB3">
        <w:t xml:space="preserve"> Further, </w:t>
      </w:r>
      <w:r w:rsidR="004B1D1A">
        <w:t xml:space="preserve">some work by public servants is </w:t>
      </w:r>
      <w:r w:rsidR="009D30E5">
        <w:t xml:space="preserve">properly </w:t>
      </w:r>
      <w:r w:rsidR="001437AC">
        <w:t xml:space="preserve">regulated by </w:t>
      </w:r>
      <w:r w:rsidR="002739D1">
        <w:t xml:space="preserve">secrecy provisions.  </w:t>
      </w:r>
      <w:r w:rsidR="002370E8">
        <w:t xml:space="preserve">The Australian Law Reform Commission published a report </w:t>
      </w:r>
      <w:r w:rsidR="00FE5681">
        <w:t>in 2009</w:t>
      </w:r>
      <w:r w:rsidR="007245B9">
        <w:t>,</w:t>
      </w:r>
      <w:r w:rsidR="00FE5681">
        <w:t xml:space="preserve"> </w:t>
      </w:r>
      <w:r w:rsidR="002370E8" w:rsidRPr="00A27B6D">
        <w:rPr>
          <w:i/>
          <w:iCs/>
        </w:rPr>
        <w:t xml:space="preserve">Secrecy Laws and Open Government in Australia </w:t>
      </w:r>
      <w:r w:rsidR="002370E8">
        <w:t>(ALRC Secrecy Report)</w:t>
      </w:r>
      <w:r w:rsidR="007245B9">
        <w:t>,</w:t>
      </w:r>
      <w:r w:rsidR="00FE5681">
        <w:t xml:space="preserve"> which provided </w:t>
      </w:r>
      <w:r w:rsidR="00F87273">
        <w:t xml:space="preserve">a </w:t>
      </w:r>
      <w:r w:rsidR="00FE5681">
        <w:t xml:space="preserve">comprehensive review of Commonwealth secrecy </w:t>
      </w:r>
      <w:r w:rsidR="00F87273">
        <w:t>laws</w:t>
      </w:r>
      <w:r w:rsidR="00E14946">
        <w:t>.</w:t>
      </w:r>
      <w:r w:rsidR="00A27B6D">
        <w:rPr>
          <w:rStyle w:val="EndnoteReference"/>
        </w:rPr>
        <w:endnoteReference w:id="6"/>
      </w:r>
      <w:r w:rsidR="00E14946">
        <w:t xml:space="preserve"> </w:t>
      </w:r>
      <w:r w:rsidR="00A27B6D">
        <w:t xml:space="preserve"> </w:t>
      </w:r>
      <w:r w:rsidR="00E14946">
        <w:t xml:space="preserve">The ALRC </w:t>
      </w:r>
      <w:r w:rsidR="00FD075B">
        <w:t xml:space="preserve">noted that while secrecy </w:t>
      </w:r>
      <w:r w:rsidR="004500E5">
        <w:t xml:space="preserve">was </w:t>
      </w:r>
      <w:r w:rsidR="00362979">
        <w:t xml:space="preserve">necessary in some circumstances, </w:t>
      </w:r>
      <w:r w:rsidR="004500E5">
        <w:t xml:space="preserve">it </w:t>
      </w:r>
      <w:r w:rsidR="00362979">
        <w:t xml:space="preserve">needed to be properly circumscribed </w:t>
      </w:r>
      <w:proofErr w:type="gramStart"/>
      <w:r w:rsidR="00362979">
        <w:t>in order to</w:t>
      </w:r>
      <w:proofErr w:type="gramEnd"/>
      <w:r w:rsidR="00362979">
        <w:t xml:space="preserve"> achieve </w:t>
      </w:r>
      <w:r w:rsidR="00175A5E">
        <w:t xml:space="preserve">the aim of open and accountable government. </w:t>
      </w:r>
    </w:p>
    <w:p w14:paraId="46217DD6" w14:textId="4ED5329B" w:rsidR="00EA0820" w:rsidRDefault="00EA0820" w:rsidP="000A4E21">
      <w:pPr>
        <w:pStyle w:val="ListNumber"/>
      </w:pPr>
      <w:r>
        <w:t xml:space="preserve">Public sector whistleblowing legislation such as the PID Act is designed to facilitate </w:t>
      </w:r>
      <w:r w:rsidR="00E05E39">
        <w:t>speech (including, in some instances, public speech) by public ser</w:t>
      </w:r>
      <w:r w:rsidR="002D05C5">
        <w:t>vants</w:t>
      </w:r>
      <w:r w:rsidR="00175A5E">
        <w:t>, particularly those subject to secrecy provisions that would otherwise limit their speech</w:t>
      </w:r>
      <w:r w:rsidR="00427A14">
        <w:t>,</w:t>
      </w:r>
      <w:r w:rsidR="002D05C5">
        <w:t xml:space="preserve"> by providing them with </w:t>
      </w:r>
      <w:r w:rsidR="00DA536D">
        <w:t xml:space="preserve">legal protections for disclosing </w:t>
      </w:r>
      <w:r w:rsidR="0020123E">
        <w:t>serious mis</w:t>
      </w:r>
      <w:r w:rsidR="00DA536D">
        <w:t xml:space="preserve">conduct </w:t>
      </w:r>
      <w:r w:rsidR="0020123E">
        <w:t xml:space="preserve">such as </w:t>
      </w:r>
      <w:r w:rsidR="00583770">
        <w:t>fraud, corruption or maladministration.</w:t>
      </w:r>
      <w:r w:rsidR="00A951B6">
        <w:t xml:space="preserve">  This kind</w:t>
      </w:r>
      <w:r w:rsidR="00AB372A">
        <w:t xml:space="preserve"> of speech promotes the rule of law and democratic accountability that underpins </w:t>
      </w:r>
      <w:r w:rsidR="00E2391C">
        <w:t xml:space="preserve">the protection and fulfilment </w:t>
      </w:r>
      <w:r w:rsidR="00DF004E">
        <w:t xml:space="preserve">of </w:t>
      </w:r>
      <w:r w:rsidR="004539EF">
        <w:t>a range of other important rights.</w:t>
      </w:r>
    </w:p>
    <w:p w14:paraId="71EC9C9C" w14:textId="5087A483" w:rsidR="00583770" w:rsidRDefault="002C6199" w:rsidP="000A4E21">
      <w:pPr>
        <w:pStyle w:val="ListNumber"/>
      </w:pPr>
      <w:r>
        <w:lastRenderedPageBreak/>
        <w:t>W</w:t>
      </w:r>
      <w:r w:rsidR="005D10DF">
        <w:t xml:space="preserve">histleblowing can come at great personal cost to </w:t>
      </w:r>
      <w:r>
        <w:t>individuals who are prepared to disclose wrongdoing.  A</w:t>
      </w:r>
      <w:r w:rsidR="00114978">
        <w:t xml:space="preserve">s a result, it is important that </w:t>
      </w:r>
      <w:r w:rsidR="008327C4">
        <w:t xml:space="preserve">the privacy of </w:t>
      </w:r>
      <w:proofErr w:type="spellStart"/>
      <w:r w:rsidR="008327C4">
        <w:t>whistleblowers</w:t>
      </w:r>
      <w:proofErr w:type="spellEnd"/>
      <w:r w:rsidR="00172851">
        <w:t xml:space="preserve"> is also protected</w:t>
      </w:r>
      <w:r w:rsidR="00DF004E">
        <w:t>, reflecting the general right to privacy outlined in article 17 of the ICCPR</w:t>
      </w:r>
      <w:r w:rsidR="00172851">
        <w:t xml:space="preserve">.  </w:t>
      </w:r>
      <w:r w:rsidR="00611064">
        <w:t xml:space="preserve">The PID </w:t>
      </w:r>
      <w:r w:rsidR="00E9259F">
        <w:t xml:space="preserve">Act </w:t>
      </w:r>
      <w:r w:rsidR="00611064">
        <w:t xml:space="preserve">seeks to do this by including offences </w:t>
      </w:r>
      <w:r w:rsidR="00E61891">
        <w:t xml:space="preserve">designed to protect the identity of </w:t>
      </w:r>
      <w:proofErr w:type="spellStart"/>
      <w:r w:rsidR="006F1E55">
        <w:t>whistleblowers</w:t>
      </w:r>
      <w:proofErr w:type="spellEnd"/>
      <w:r w:rsidR="00E61891">
        <w:t xml:space="preserve"> and by including civil and criminal </w:t>
      </w:r>
      <w:r w:rsidR="004E0858">
        <w:t>provisions prohibiting reprisals.</w:t>
      </w:r>
      <w:r w:rsidR="00A25405">
        <w:t xml:space="preserve">  The provisions prohibiting reprisals </w:t>
      </w:r>
      <w:r w:rsidR="001534A9">
        <w:t>also assist in protecting the right to work and the right to just and favourable conditions of work in articles 6(1)</w:t>
      </w:r>
      <w:r w:rsidR="00C16C82">
        <w:t xml:space="preserve"> and</w:t>
      </w:r>
      <w:r w:rsidR="001534A9">
        <w:t xml:space="preserve"> 7 of the </w:t>
      </w:r>
      <w:r w:rsidR="001534A9" w:rsidRPr="001534A9">
        <w:rPr>
          <w:i/>
          <w:iCs/>
        </w:rPr>
        <w:t>International Covenant on Economic, Social and Cultural Rights</w:t>
      </w:r>
      <w:r w:rsidR="001534A9">
        <w:t>.</w:t>
      </w:r>
    </w:p>
    <w:p w14:paraId="1ED32729" w14:textId="5B33C8A5" w:rsidR="00DA6298" w:rsidRDefault="000079E5" w:rsidP="000A4E21">
      <w:pPr>
        <w:pStyle w:val="ListNumber"/>
      </w:pPr>
      <w:r>
        <w:t>Australia has ratified the United Nations Convention against Corruption</w:t>
      </w:r>
      <w:r w:rsidR="000A27EE">
        <w:t>.</w:t>
      </w:r>
      <w:r w:rsidR="000A27EE">
        <w:rPr>
          <w:rStyle w:val="EndnoteReference"/>
        </w:rPr>
        <w:endnoteReference w:id="7"/>
      </w:r>
      <w:r w:rsidR="000A27EE">
        <w:t xml:space="preserve">  </w:t>
      </w:r>
      <w:r w:rsidR="00DB04B9">
        <w:t>Article 33 of that instrument provides:</w:t>
      </w:r>
    </w:p>
    <w:p w14:paraId="7DF2CD13" w14:textId="77ED1D65" w:rsidR="00DB04B9" w:rsidRPr="005B6C6B" w:rsidRDefault="005B6C6B" w:rsidP="005B6C6B">
      <w:pPr>
        <w:pStyle w:val="ListNumber"/>
        <w:numPr>
          <w:ilvl w:val="0"/>
          <w:numId w:val="0"/>
        </w:numPr>
        <w:ind w:left="1440"/>
        <w:rPr>
          <w:sz w:val="22"/>
          <w:szCs w:val="22"/>
        </w:rPr>
      </w:pPr>
      <w:r w:rsidRPr="005B6C6B">
        <w:rPr>
          <w:sz w:val="22"/>
          <w:szCs w:val="22"/>
        </w:rPr>
        <w:t>Each State Party shall consider incorporating into its domestic legal system appropriate measures to provide protection against any unjustified treatment for any person who reports in good faith and on reasonable grounds to the competent authorities any facts concerning offences established in accordance with this Convention.</w:t>
      </w:r>
    </w:p>
    <w:p w14:paraId="7FB057E9" w14:textId="7CA0ABE1" w:rsidR="004E0858" w:rsidRDefault="004F7C68" w:rsidP="000A4E21">
      <w:pPr>
        <w:pStyle w:val="ListNumber"/>
      </w:pPr>
      <w:r>
        <w:t xml:space="preserve">The </w:t>
      </w:r>
      <w:r w:rsidR="00CB61DF">
        <w:t xml:space="preserve">recommendations made by the Commission in this submission in relation to the proposed amendments to the PID Act are </w:t>
      </w:r>
      <w:r w:rsidR="00CE16C4">
        <w:t xml:space="preserve">designed to ensure that </w:t>
      </w:r>
      <w:proofErr w:type="spellStart"/>
      <w:r w:rsidR="00CE16C4">
        <w:t>whistleblowers</w:t>
      </w:r>
      <w:proofErr w:type="spellEnd"/>
      <w:r w:rsidR="00CE16C4">
        <w:t xml:space="preserve"> are properly informed about their rights, </w:t>
      </w:r>
      <w:r w:rsidR="00534983">
        <w:t xml:space="preserve">that they are well protected in making disclosures, </w:t>
      </w:r>
      <w:r w:rsidR="00F54958">
        <w:t xml:space="preserve">that these protections extend to </w:t>
      </w:r>
      <w:r w:rsidR="008241FA">
        <w:t xml:space="preserve">all relevant Commonwealth public servants, </w:t>
      </w:r>
      <w:r w:rsidR="006C0128">
        <w:t>that disclosures are properly investigated</w:t>
      </w:r>
      <w:r w:rsidR="008241FA">
        <w:t xml:space="preserve">, and that </w:t>
      </w:r>
      <w:r w:rsidR="002C45DF">
        <w:t>there is greater protection for appropriate public disclosures.</w:t>
      </w:r>
      <w:r w:rsidR="00CF681E">
        <w:t xml:space="preserve">  In doing so</w:t>
      </w:r>
      <w:r w:rsidR="00E17637">
        <w:t>,</w:t>
      </w:r>
      <w:r w:rsidR="00CF681E">
        <w:t xml:space="preserve"> the Commission is guided by </w:t>
      </w:r>
      <w:r w:rsidR="00544035">
        <w:t xml:space="preserve">the importance of protecting </w:t>
      </w:r>
      <w:r w:rsidR="00CF681E">
        <w:t>the human rights identified above.</w:t>
      </w:r>
    </w:p>
    <w:p w14:paraId="1FC90AE4" w14:textId="63191DAA" w:rsidR="003423F4" w:rsidRDefault="001A7B03" w:rsidP="003423F4">
      <w:pPr>
        <w:pStyle w:val="Heading1"/>
      </w:pPr>
      <w:bookmarkStart w:id="12" w:name="_Toc125116083"/>
      <w:r>
        <w:t>Background</w:t>
      </w:r>
      <w:bookmarkEnd w:id="12"/>
    </w:p>
    <w:p w14:paraId="1C1CA738" w14:textId="14BFB9A4" w:rsidR="00CC6B22" w:rsidRDefault="00CC6B22" w:rsidP="00227D5A">
      <w:pPr>
        <w:pStyle w:val="Heading2"/>
      </w:pPr>
      <w:bookmarkStart w:id="13" w:name="_Toc125116084"/>
      <w:r>
        <w:t xml:space="preserve">Operation of the </w:t>
      </w:r>
      <w:r w:rsidR="00CB6F69">
        <w:t>PID Act</w:t>
      </w:r>
      <w:bookmarkEnd w:id="13"/>
    </w:p>
    <w:p w14:paraId="5DC8EAD7" w14:textId="5F8FE01F" w:rsidR="003E6DFC" w:rsidRDefault="00CE436E" w:rsidP="00292CA0">
      <w:pPr>
        <w:pStyle w:val="ListNumber"/>
      </w:pPr>
      <w:r>
        <w:t xml:space="preserve">The </w:t>
      </w:r>
      <w:r w:rsidR="00312011">
        <w:t>PID Act</w:t>
      </w:r>
      <w:r>
        <w:t xml:space="preserve"> </w:t>
      </w:r>
      <w:r w:rsidR="00C96D28">
        <w:t xml:space="preserve">provides protections for </w:t>
      </w:r>
      <w:r w:rsidR="009F482A">
        <w:t xml:space="preserve">current and former public officials </w:t>
      </w:r>
      <w:r w:rsidR="00743D08">
        <w:t xml:space="preserve">and public contractors </w:t>
      </w:r>
      <w:r w:rsidR="009F482A">
        <w:t>who seek to disclose wrong</w:t>
      </w:r>
      <w:r w:rsidR="0083412A">
        <w:t>doing in the public sector</w:t>
      </w:r>
      <w:r w:rsidR="00A702C1">
        <w:t xml:space="preserve"> (</w:t>
      </w:r>
      <w:proofErr w:type="spellStart"/>
      <w:r w:rsidR="00A702C1">
        <w:t>whistleblowers</w:t>
      </w:r>
      <w:proofErr w:type="spellEnd"/>
      <w:r w:rsidR="00A702C1">
        <w:t>)</w:t>
      </w:r>
      <w:r w:rsidR="0083412A">
        <w:t xml:space="preserve">. </w:t>
      </w:r>
      <w:r w:rsidR="00E92F65">
        <w:t xml:space="preserve">The policy aim is to encourage such disclosures </w:t>
      </w:r>
      <w:r w:rsidR="00C32C2D">
        <w:t>so that they can be properly investigated and reduce the incidence of such wrongdoing.</w:t>
      </w:r>
    </w:p>
    <w:p w14:paraId="53469AD1" w14:textId="52AFFFCE" w:rsidR="00C32C2D" w:rsidRDefault="000F19BC" w:rsidP="00292CA0">
      <w:pPr>
        <w:pStyle w:val="ListNumber"/>
      </w:pPr>
      <w:proofErr w:type="spellStart"/>
      <w:r>
        <w:t>Whistleblowers</w:t>
      </w:r>
      <w:proofErr w:type="spellEnd"/>
      <w:r>
        <w:t xml:space="preserve"> are provided with </w:t>
      </w:r>
      <w:r w:rsidR="00BC3E9D">
        <w:t xml:space="preserve">immunity from </w:t>
      </w:r>
      <w:r w:rsidR="00877478">
        <w:t xml:space="preserve">civil, </w:t>
      </w:r>
      <w:proofErr w:type="gramStart"/>
      <w:r w:rsidR="00877478">
        <w:t>criminal</w:t>
      </w:r>
      <w:proofErr w:type="gramEnd"/>
      <w:r w:rsidR="00877478">
        <w:t xml:space="preserve"> or administrative liability for the making </w:t>
      </w:r>
      <w:r w:rsidR="003C7C19">
        <w:t>of the disclosure</w:t>
      </w:r>
      <w:r w:rsidR="00587AA8">
        <w:t xml:space="preserve"> (including any </w:t>
      </w:r>
      <w:r w:rsidR="00587AA8">
        <w:lastRenderedPageBreak/>
        <w:t>liability for defamation or breach of contract)</w:t>
      </w:r>
      <w:r w:rsidR="003C7C19">
        <w:t>.</w:t>
      </w:r>
      <w:r w:rsidR="003569D7">
        <w:rPr>
          <w:rStyle w:val="EndnoteReference"/>
        </w:rPr>
        <w:endnoteReference w:id="8"/>
      </w:r>
      <w:r w:rsidR="00354E37">
        <w:t xml:space="preserve"> However, </w:t>
      </w:r>
      <w:proofErr w:type="spellStart"/>
      <w:r w:rsidR="00477FA7">
        <w:t>whistleblowers</w:t>
      </w:r>
      <w:proofErr w:type="spellEnd"/>
      <w:r w:rsidR="00477FA7">
        <w:t xml:space="preserve"> who report about their own wrongdoing are not provided with immunity in relation to the conduct that is the subject of the disclosure.</w:t>
      </w:r>
      <w:r w:rsidR="00024DB9">
        <w:rPr>
          <w:rStyle w:val="EndnoteReference"/>
        </w:rPr>
        <w:endnoteReference w:id="9"/>
      </w:r>
      <w:r w:rsidR="00477FA7">
        <w:t xml:space="preserve"> </w:t>
      </w:r>
      <w:r w:rsidR="00601061">
        <w:t xml:space="preserve">There are both civil and criminal prohibitions against taking reprisal action against </w:t>
      </w:r>
      <w:proofErr w:type="spellStart"/>
      <w:r w:rsidR="00601061">
        <w:t>w</w:t>
      </w:r>
      <w:r w:rsidR="00C053F9">
        <w:t>histleblowers</w:t>
      </w:r>
      <w:proofErr w:type="spellEnd"/>
      <w:r w:rsidR="00601061">
        <w:t>.</w:t>
      </w:r>
      <w:r w:rsidR="00024DB9">
        <w:rPr>
          <w:rStyle w:val="EndnoteReference"/>
        </w:rPr>
        <w:endnoteReference w:id="10"/>
      </w:r>
    </w:p>
    <w:p w14:paraId="6E01948D" w14:textId="71FD237F" w:rsidR="00527F9D" w:rsidRDefault="00312011" w:rsidP="00292CA0">
      <w:pPr>
        <w:pStyle w:val="ListNumber"/>
      </w:pPr>
      <w:r>
        <w:t>The PID Act</w:t>
      </w:r>
      <w:r w:rsidR="009729F0">
        <w:t xml:space="preserve"> only protects disclosures by </w:t>
      </w:r>
      <w:proofErr w:type="spellStart"/>
      <w:r w:rsidR="009729F0">
        <w:t>whistleblowers</w:t>
      </w:r>
      <w:proofErr w:type="spellEnd"/>
      <w:r w:rsidR="009729F0">
        <w:t xml:space="preserve"> </w:t>
      </w:r>
      <w:r w:rsidR="0031541C">
        <w:t xml:space="preserve">in relation to certain kinds of conduct (disclosable conduct) </w:t>
      </w:r>
      <w:r w:rsidR="009729F0">
        <w:t xml:space="preserve">that are made </w:t>
      </w:r>
      <w:r w:rsidR="00527F9D">
        <w:t xml:space="preserve">in the way provided for by </w:t>
      </w:r>
      <w:r>
        <w:t>the PID Act</w:t>
      </w:r>
      <w:r w:rsidR="00527F9D">
        <w:t>.</w:t>
      </w:r>
    </w:p>
    <w:p w14:paraId="616E2672" w14:textId="7AFB452C" w:rsidR="006864A9" w:rsidRDefault="00117783" w:rsidP="00292CA0">
      <w:pPr>
        <w:pStyle w:val="ListNumber"/>
      </w:pPr>
      <w:r>
        <w:t>‘</w:t>
      </w:r>
      <w:r w:rsidR="006864A9">
        <w:t>Disclosable conduct</w:t>
      </w:r>
      <w:r w:rsidR="00903B3F">
        <w:t>’</w:t>
      </w:r>
      <w:r w:rsidR="006864A9">
        <w:t xml:space="preserve">, in general terms, is conduct that is unlawful, </w:t>
      </w:r>
      <w:r w:rsidR="00E41B73">
        <w:t xml:space="preserve">corrupt, </w:t>
      </w:r>
      <w:r w:rsidR="00315503">
        <w:t xml:space="preserve">perverts the course of justice, </w:t>
      </w:r>
      <w:r w:rsidR="00910BC3">
        <w:t>constitutes maladministration</w:t>
      </w:r>
      <w:r w:rsidR="00714EF3">
        <w:t xml:space="preserve">, </w:t>
      </w:r>
      <w:r w:rsidR="00D43DB2">
        <w:t xml:space="preserve">is an abuse of public trust, </w:t>
      </w:r>
      <w:r w:rsidR="00DA03BA">
        <w:t xml:space="preserve">involves misconduct in relation to scientific research </w:t>
      </w:r>
      <w:r w:rsidR="009C1A21">
        <w:t xml:space="preserve">or analysis, </w:t>
      </w:r>
      <w:r w:rsidR="00714EF3">
        <w:t xml:space="preserve">results in the wastage of public money or property, </w:t>
      </w:r>
      <w:r w:rsidR="00653934">
        <w:t>unreasonabl</w:t>
      </w:r>
      <w:r w:rsidR="009C1A21">
        <w:t>y</w:t>
      </w:r>
      <w:r w:rsidR="00653934">
        <w:t xml:space="preserve"> results in a danger to health or safety</w:t>
      </w:r>
      <w:r w:rsidR="00315503">
        <w:t xml:space="preserve"> or results in a danger to the environment.</w:t>
      </w:r>
      <w:r w:rsidR="004A7777">
        <w:rPr>
          <w:rStyle w:val="EndnoteReference"/>
        </w:rPr>
        <w:endnoteReference w:id="11"/>
      </w:r>
    </w:p>
    <w:p w14:paraId="522FB5F9" w14:textId="47119A61" w:rsidR="00363746" w:rsidRDefault="00C8300C" w:rsidP="00292CA0">
      <w:pPr>
        <w:pStyle w:val="ListNumber"/>
      </w:pPr>
      <w:r>
        <w:t xml:space="preserve">Certain conduct </w:t>
      </w:r>
      <w:r w:rsidR="00D833F0">
        <w:t>is excluded from the definition of disclosable conduct, including</w:t>
      </w:r>
      <w:r w:rsidR="00CB66D3">
        <w:t>:</w:t>
      </w:r>
      <w:r w:rsidR="00D833F0">
        <w:t xml:space="preserve"> </w:t>
      </w:r>
    </w:p>
    <w:p w14:paraId="51C764CA" w14:textId="7777128C" w:rsidR="00363746" w:rsidRDefault="00363746" w:rsidP="00363746">
      <w:pPr>
        <w:pStyle w:val="ListNumber"/>
        <w:numPr>
          <w:ilvl w:val="0"/>
          <w:numId w:val="37"/>
        </w:numPr>
      </w:pPr>
      <w:r>
        <w:t>c</w:t>
      </w:r>
      <w:r w:rsidR="00D833F0">
        <w:t xml:space="preserve">onduct by judicial </w:t>
      </w:r>
      <w:proofErr w:type="gramStart"/>
      <w:r w:rsidR="00D833F0">
        <w:t>off</w:t>
      </w:r>
      <w:r w:rsidR="000949C7">
        <w:t>ic</w:t>
      </w:r>
      <w:r w:rsidR="00D833F0">
        <w:t>ers</w:t>
      </w:r>
      <w:proofErr w:type="gramEnd"/>
    </w:p>
    <w:p w14:paraId="3F20913F" w14:textId="26770127" w:rsidR="00C8300C" w:rsidRDefault="00D2082D" w:rsidP="00363746">
      <w:pPr>
        <w:pStyle w:val="ListNumber"/>
        <w:numPr>
          <w:ilvl w:val="0"/>
          <w:numId w:val="37"/>
        </w:numPr>
      </w:pPr>
      <w:r>
        <w:t xml:space="preserve">conduct </w:t>
      </w:r>
      <w:r w:rsidR="00363746">
        <w:t xml:space="preserve">related </w:t>
      </w:r>
      <w:r w:rsidR="008F5CAD">
        <w:t xml:space="preserve">only </w:t>
      </w:r>
      <w:r w:rsidR="00363746">
        <w:t xml:space="preserve">to action by a Minister, the Speaker of the House of Representatives or the President of the Senate </w:t>
      </w:r>
      <w:r w:rsidR="00AD3ACB">
        <w:t xml:space="preserve">with which a person </w:t>
      </w:r>
      <w:proofErr w:type="gramStart"/>
      <w:r w:rsidR="00AD3ACB">
        <w:t>disagrees</w:t>
      </w:r>
      <w:proofErr w:type="gramEnd"/>
      <w:r w:rsidR="00AD3ACB">
        <w:t xml:space="preserve"> </w:t>
      </w:r>
    </w:p>
    <w:p w14:paraId="737F076D" w14:textId="42F198E4" w:rsidR="00AD3ACB" w:rsidRDefault="00AD3ACB" w:rsidP="00363746">
      <w:pPr>
        <w:pStyle w:val="ListNumber"/>
        <w:numPr>
          <w:ilvl w:val="0"/>
          <w:numId w:val="37"/>
        </w:numPr>
      </w:pPr>
      <w:r>
        <w:t xml:space="preserve">conduct related </w:t>
      </w:r>
      <w:r w:rsidR="008F5CAD">
        <w:t xml:space="preserve">only </w:t>
      </w:r>
      <w:r>
        <w:t xml:space="preserve">to </w:t>
      </w:r>
      <w:r w:rsidR="008F5CAD">
        <w:t xml:space="preserve">policies or proposed policies of the </w:t>
      </w:r>
      <w:r w:rsidR="004C752F">
        <w:t>Australian</w:t>
      </w:r>
      <w:r w:rsidR="008F5CAD">
        <w:t xml:space="preserve"> Government with which a person </w:t>
      </w:r>
      <w:proofErr w:type="gramStart"/>
      <w:r w:rsidR="008F5CAD">
        <w:t>disagrees</w:t>
      </w:r>
      <w:proofErr w:type="gramEnd"/>
    </w:p>
    <w:p w14:paraId="681C8703" w14:textId="095C5934" w:rsidR="008F5CAD" w:rsidRDefault="008F5CAD" w:rsidP="00363746">
      <w:pPr>
        <w:pStyle w:val="ListNumber"/>
        <w:numPr>
          <w:ilvl w:val="0"/>
          <w:numId w:val="37"/>
        </w:numPr>
      </w:pPr>
      <w:r>
        <w:t xml:space="preserve">conduct related only to </w:t>
      </w:r>
      <w:r w:rsidR="001B3370">
        <w:t xml:space="preserve">expenditure on </w:t>
      </w:r>
      <w:r w:rsidR="00CB66D3">
        <w:t xml:space="preserve">government </w:t>
      </w:r>
      <w:proofErr w:type="spellStart"/>
      <w:r w:rsidR="00CB66D3">
        <w:t>polices</w:t>
      </w:r>
      <w:proofErr w:type="spellEnd"/>
      <w:r w:rsidR="00CB66D3">
        <w:t xml:space="preserve"> or the actions of Ministers, the </w:t>
      </w:r>
      <w:proofErr w:type="gramStart"/>
      <w:r w:rsidR="00CB66D3">
        <w:t>Speaker</w:t>
      </w:r>
      <w:proofErr w:type="gramEnd"/>
      <w:r w:rsidR="00CB66D3">
        <w:t xml:space="preserve"> or the President.</w:t>
      </w:r>
      <w:r w:rsidR="00CB66D3">
        <w:rPr>
          <w:rStyle w:val="EndnoteReference"/>
        </w:rPr>
        <w:endnoteReference w:id="12"/>
      </w:r>
    </w:p>
    <w:p w14:paraId="7F0840FD" w14:textId="4B6F94B4" w:rsidR="00826AF1" w:rsidRDefault="00826AF1" w:rsidP="005B2464">
      <w:pPr>
        <w:pStyle w:val="ListNumber"/>
        <w:keepNext/>
      </w:pPr>
      <w:bookmarkStart w:id="14" w:name="_Ref124617748"/>
      <w:r>
        <w:t>Four kinds of disclosure are permitted:</w:t>
      </w:r>
      <w:bookmarkEnd w:id="14"/>
    </w:p>
    <w:p w14:paraId="6C1FBD2D" w14:textId="2932B767" w:rsidR="00826AF1" w:rsidRDefault="00826AF1" w:rsidP="003C0610">
      <w:pPr>
        <w:pStyle w:val="ListNumber"/>
        <w:numPr>
          <w:ilvl w:val="0"/>
          <w:numId w:val="0"/>
        </w:numPr>
        <w:ind w:left="1440" w:hanging="346"/>
      </w:pPr>
      <w:r>
        <w:t>(a)</w:t>
      </w:r>
      <w:r>
        <w:tab/>
      </w:r>
      <w:r w:rsidR="002B58D7">
        <w:t>T</w:t>
      </w:r>
      <w:r w:rsidR="002106A4">
        <w:t xml:space="preserve">he primary form of disclosure is </w:t>
      </w:r>
      <w:r>
        <w:t xml:space="preserve">an </w:t>
      </w:r>
      <w:r w:rsidR="002106A4">
        <w:t>‘</w:t>
      </w:r>
      <w:r>
        <w:t>internal disclosure</w:t>
      </w:r>
      <w:r w:rsidR="002106A4">
        <w:t xml:space="preserve">’ </w:t>
      </w:r>
      <w:r w:rsidR="003C0610">
        <w:t>within government</w:t>
      </w:r>
      <w:r w:rsidR="002B58D7">
        <w:t xml:space="preserve">.  </w:t>
      </w:r>
      <w:r w:rsidR="00710327">
        <w:t>In most cases, t</w:t>
      </w:r>
      <w:r w:rsidR="002B58D7">
        <w:t>his may be made</w:t>
      </w:r>
      <w:r w:rsidR="003C0610">
        <w:t xml:space="preserve"> to the </w:t>
      </w:r>
      <w:proofErr w:type="spellStart"/>
      <w:r w:rsidR="003C0610">
        <w:t>whistleblower’s</w:t>
      </w:r>
      <w:proofErr w:type="spellEnd"/>
      <w:r w:rsidR="003C0610">
        <w:t xml:space="preserve"> supervisor, </w:t>
      </w:r>
      <w:r w:rsidR="00A244DB">
        <w:t xml:space="preserve">to </w:t>
      </w:r>
      <w:r w:rsidR="003C0610">
        <w:t xml:space="preserve">an authorised officer of </w:t>
      </w:r>
      <w:r w:rsidR="000E3E9C">
        <w:t xml:space="preserve">the </w:t>
      </w:r>
      <w:proofErr w:type="spellStart"/>
      <w:r w:rsidR="000E3E9C">
        <w:t>whistleblower’s</w:t>
      </w:r>
      <w:proofErr w:type="spellEnd"/>
      <w:r w:rsidR="000E3E9C">
        <w:t xml:space="preserve"> agency or the agency to which the conduct relates, </w:t>
      </w:r>
      <w:r w:rsidR="00A244DB">
        <w:t xml:space="preserve">or to the Ombudsman.  In the case of </w:t>
      </w:r>
      <w:r w:rsidR="00F33AF2">
        <w:t xml:space="preserve">conduct that relates to an intelligence agency, the disclosure may be made to that intelligence agency or to the </w:t>
      </w:r>
      <w:r w:rsidR="00BC2689">
        <w:t>IGIS</w:t>
      </w:r>
      <w:r w:rsidR="00F33AF2">
        <w:t>.</w:t>
      </w:r>
    </w:p>
    <w:p w14:paraId="5956984D" w14:textId="6CC6BCD1" w:rsidR="00F33AF2" w:rsidRDefault="00F33AF2" w:rsidP="003C0610">
      <w:pPr>
        <w:pStyle w:val="ListNumber"/>
        <w:numPr>
          <w:ilvl w:val="0"/>
          <w:numId w:val="0"/>
        </w:numPr>
        <w:ind w:left="1440" w:hanging="346"/>
      </w:pPr>
      <w:r>
        <w:t>(b)</w:t>
      </w:r>
      <w:r>
        <w:tab/>
        <w:t xml:space="preserve">An </w:t>
      </w:r>
      <w:proofErr w:type="spellStart"/>
      <w:r>
        <w:t>‘external</w:t>
      </w:r>
      <w:proofErr w:type="spellEnd"/>
      <w:r>
        <w:t xml:space="preserve"> disclosure’ </w:t>
      </w:r>
      <w:r w:rsidR="00D16774">
        <w:t xml:space="preserve">outside of government may only be made in limited circumstances. </w:t>
      </w:r>
      <w:r w:rsidR="003A1BAC">
        <w:t xml:space="preserve"> Unless it is an emergency (see (c) below), the </w:t>
      </w:r>
      <w:proofErr w:type="spellStart"/>
      <w:r w:rsidR="003A1BAC">
        <w:t>whistleblower</w:t>
      </w:r>
      <w:proofErr w:type="spellEnd"/>
      <w:r w:rsidR="003A1BAC">
        <w:t xml:space="preserve"> must first make an internal </w:t>
      </w:r>
      <w:r w:rsidR="00277D60">
        <w:t>disclosure.  An external disclosure is permitted if:</w:t>
      </w:r>
    </w:p>
    <w:p w14:paraId="72725237" w14:textId="46DF4A31" w:rsidR="00277D60" w:rsidRDefault="00277D60" w:rsidP="00277D60">
      <w:pPr>
        <w:pStyle w:val="ListNumber"/>
        <w:numPr>
          <w:ilvl w:val="0"/>
          <w:numId w:val="38"/>
        </w:numPr>
      </w:pPr>
      <w:r>
        <w:lastRenderedPageBreak/>
        <w:t xml:space="preserve">an </w:t>
      </w:r>
      <w:r w:rsidR="000D655E">
        <w:t xml:space="preserve">investigation was </w:t>
      </w:r>
      <w:proofErr w:type="gramStart"/>
      <w:r w:rsidR="000D655E">
        <w:t>conducted</w:t>
      </w:r>
      <w:proofErr w:type="gramEnd"/>
      <w:r w:rsidR="000D655E">
        <w:t xml:space="preserve"> and the </w:t>
      </w:r>
      <w:proofErr w:type="spellStart"/>
      <w:r w:rsidR="000D655E">
        <w:t>whistleblower</w:t>
      </w:r>
      <w:proofErr w:type="spellEnd"/>
      <w:r w:rsidR="000D655E">
        <w:t xml:space="preserve"> believes on reasonable grounds that </w:t>
      </w:r>
      <w:r w:rsidR="004F69E2">
        <w:t>that the investigation was inadequate</w:t>
      </w:r>
    </w:p>
    <w:p w14:paraId="251BF31B" w14:textId="26316ECB" w:rsidR="004F69E2" w:rsidRDefault="00FE0CCB" w:rsidP="00277D60">
      <w:pPr>
        <w:pStyle w:val="ListNumber"/>
        <w:numPr>
          <w:ilvl w:val="0"/>
          <w:numId w:val="38"/>
        </w:numPr>
      </w:pPr>
      <w:r>
        <w:t xml:space="preserve">an investigation was </w:t>
      </w:r>
      <w:proofErr w:type="gramStart"/>
      <w:r>
        <w:t>conducted</w:t>
      </w:r>
      <w:proofErr w:type="gramEnd"/>
      <w:r>
        <w:t xml:space="preserve"> and the </w:t>
      </w:r>
      <w:proofErr w:type="spellStart"/>
      <w:r>
        <w:t>whistleblower</w:t>
      </w:r>
      <w:proofErr w:type="spellEnd"/>
      <w:r>
        <w:t xml:space="preserve"> believes on reasonable grounds that the response </w:t>
      </w:r>
      <w:r w:rsidR="00210D84">
        <w:t>to the investigation was inadequate</w:t>
      </w:r>
    </w:p>
    <w:p w14:paraId="6EF44B24" w14:textId="4E9935F4" w:rsidR="00210D84" w:rsidRDefault="00210D84" w:rsidP="00277D60">
      <w:pPr>
        <w:pStyle w:val="ListNumber"/>
        <w:numPr>
          <w:ilvl w:val="0"/>
          <w:numId w:val="38"/>
        </w:numPr>
      </w:pPr>
      <w:r>
        <w:t xml:space="preserve">an investigation </w:t>
      </w:r>
      <w:r w:rsidR="00B30904">
        <w:t xml:space="preserve">has not been completed within the time limit prescribed by s 52 – this issue is considered further in section </w:t>
      </w:r>
      <w:r w:rsidR="00624564">
        <w:fldChar w:fldCharType="begin"/>
      </w:r>
      <w:r w:rsidR="00624564">
        <w:instrText xml:space="preserve"> REF _Ref124750902 \r \h </w:instrText>
      </w:r>
      <w:r w:rsidR="00624564">
        <w:fldChar w:fldCharType="separate"/>
      </w:r>
      <w:r w:rsidR="006F77C1">
        <w:t>7.6</w:t>
      </w:r>
      <w:r w:rsidR="00624564">
        <w:fldChar w:fldCharType="end"/>
      </w:r>
      <w:r w:rsidR="00B30904">
        <w:t xml:space="preserve"> below.</w:t>
      </w:r>
    </w:p>
    <w:p w14:paraId="23E85162" w14:textId="07C21C23" w:rsidR="00B30904" w:rsidRDefault="007E5C81" w:rsidP="00B30904">
      <w:pPr>
        <w:pStyle w:val="ListNumber"/>
        <w:numPr>
          <w:ilvl w:val="0"/>
          <w:numId w:val="0"/>
        </w:numPr>
        <w:ind w:left="1440"/>
      </w:pPr>
      <w:r>
        <w:t xml:space="preserve">Provided that one of these criteria </w:t>
      </w:r>
      <w:r w:rsidR="00481A9E">
        <w:t xml:space="preserve">is </w:t>
      </w:r>
      <w:r>
        <w:t xml:space="preserve">satisfied, an external disclosure may be made, but only if </w:t>
      </w:r>
      <w:proofErr w:type="gramStart"/>
      <w:r>
        <w:t>all of</w:t>
      </w:r>
      <w:proofErr w:type="gramEnd"/>
      <w:r>
        <w:t xml:space="preserve"> the following criteria are also met:</w:t>
      </w:r>
    </w:p>
    <w:p w14:paraId="3286B9C2" w14:textId="416CF898" w:rsidR="007E5C81" w:rsidRDefault="0088146F" w:rsidP="007E5C81">
      <w:pPr>
        <w:pStyle w:val="ListNumber"/>
        <w:numPr>
          <w:ilvl w:val="0"/>
          <w:numId w:val="38"/>
        </w:numPr>
      </w:pPr>
      <w:r>
        <w:t>The disclosure is not, on balance, contrary to the public interest.</w:t>
      </w:r>
    </w:p>
    <w:p w14:paraId="1BC3B828" w14:textId="2D1556DB" w:rsidR="0088146F" w:rsidRDefault="0088146F" w:rsidP="007E5C81">
      <w:pPr>
        <w:pStyle w:val="ListNumber"/>
        <w:numPr>
          <w:ilvl w:val="0"/>
          <w:numId w:val="38"/>
        </w:numPr>
      </w:pPr>
      <w:r>
        <w:t xml:space="preserve">No more information is publicly disclosed than is reasonably necessary to identify one or more </w:t>
      </w:r>
      <w:r w:rsidR="00E30AFD">
        <w:t>instances of disclosable conduct.</w:t>
      </w:r>
    </w:p>
    <w:p w14:paraId="1253BFBB" w14:textId="49127D38" w:rsidR="00E30AFD" w:rsidRDefault="00E30AFD" w:rsidP="007E5C81">
      <w:pPr>
        <w:pStyle w:val="ListNumber"/>
        <w:numPr>
          <w:ilvl w:val="0"/>
          <w:numId w:val="38"/>
        </w:numPr>
      </w:pPr>
      <w:r>
        <w:t>The information does not include intelligence information.</w:t>
      </w:r>
    </w:p>
    <w:p w14:paraId="61EF0631" w14:textId="7EF4FB04" w:rsidR="00E30AFD" w:rsidRDefault="00E30AFD" w:rsidP="007E5C81">
      <w:pPr>
        <w:pStyle w:val="ListNumber"/>
        <w:numPr>
          <w:ilvl w:val="0"/>
          <w:numId w:val="38"/>
        </w:numPr>
      </w:pPr>
      <w:r>
        <w:t>None of the conduct with which the disclosure is concerned relates to an intelligence agency.</w:t>
      </w:r>
    </w:p>
    <w:p w14:paraId="7ACB492D" w14:textId="0571CC22" w:rsidR="00DA68F6" w:rsidRDefault="00DA68F6" w:rsidP="00C774FE">
      <w:pPr>
        <w:pStyle w:val="ListNumber"/>
        <w:numPr>
          <w:ilvl w:val="0"/>
          <w:numId w:val="0"/>
        </w:numPr>
        <w:ind w:left="1440" w:hanging="346"/>
      </w:pPr>
      <w:r>
        <w:t>(c)</w:t>
      </w:r>
      <w:r>
        <w:tab/>
        <w:t>A</w:t>
      </w:r>
      <w:r w:rsidR="00007D72">
        <w:t xml:space="preserve">n ‘emergency disclosure’ can be made publicly if the </w:t>
      </w:r>
      <w:proofErr w:type="spellStart"/>
      <w:r w:rsidR="00007D72">
        <w:t>whistleblower</w:t>
      </w:r>
      <w:proofErr w:type="spellEnd"/>
      <w:r w:rsidR="00C774FE">
        <w:t xml:space="preserve"> believes on reasonable grounds that the information concerns a ‘</w:t>
      </w:r>
      <w:r w:rsidR="00EB2C12">
        <w:t>substantial and imminent danger to the health or safety of one or more persons or to the environment’.</w:t>
      </w:r>
      <w:r w:rsidR="00AA6646">
        <w:t xml:space="preserve">  In addition, there must be ‘exceptional circumstances’ justifying not making an internal disclosure or waiting for an internal investigation to </w:t>
      </w:r>
      <w:r w:rsidR="00F61320">
        <w:t xml:space="preserve">be completed.  As with a standard external disclosure, an emergency disclosure must be limited to the minimum </w:t>
      </w:r>
      <w:r w:rsidR="00CC5D77">
        <w:t>necessary – in this case</w:t>
      </w:r>
      <w:r w:rsidR="001D1021">
        <w:t xml:space="preserve">, to alert the recipient to the substantial and imminent danger.  Even in emergency situations, </w:t>
      </w:r>
      <w:r w:rsidR="00883015">
        <w:t>the information must not include intelligence information of any kind.</w:t>
      </w:r>
    </w:p>
    <w:p w14:paraId="591B16AA" w14:textId="6B9E6A75" w:rsidR="0075275D" w:rsidRDefault="0075275D" w:rsidP="00C774FE">
      <w:pPr>
        <w:pStyle w:val="ListNumber"/>
        <w:numPr>
          <w:ilvl w:val="0"/>
          <w:numId w:val="0"/>
        </w:numPr>
        <w:ind w:left="1440" w:hanging="346"/>
      </w:pPr>
      <w:r>
        <w:t>(d)</w:t>
      </w:r>
      <w:r>
        <w:tab/>
        <w:t xml:space="preserve">A </w:t>
      </w:r>
      <w:r w:rsidR="00477373">
        <w:t xml:space="preserve">potential or actual </w:t>
      </w:r>
      <w:proofErr w:type="spellStart"/>
      <w:r w:rsidR="00477373">
        <w:t>whistleblower</w:t>
      </w:r>
      <w:proofErr w:type="spellEnd"/>
      <w:r w:rsidR="00477373">
        <w:t xml:space="preserve"> may </w:t>
      </w:r>
      <w:r w:rsidR="00E1745F">
        <w:t xml:space="preserve">make a </w:t>
      </w:r>
      <w:r>
        <w:t xml:space="preserve">‘legal practitioner disclosure’ </w:t>
      </w:r>
      <w:r w:rsidR="00E1745F">
        <w:t xml:space="preserve">to a lawyer for the purpose of obtaining legal advice </w:t>
      </w:r>
      <w:r w:rsidR="003E5275">
        <w:t xml:space="preserve">or professional assistance.  If the person making the disclosure knew, or ought </w:t>
      </w:r>
      <w:r w:rsidR="00850005">
        <w:t xml:space="preserve">reasonably to have known, that any of the information has a national security classification, the </w:t>
      </w:r>
      <w:proofErr w:type="spellStart"/>
      <w:r w:rsidR="007C7BD8">
        <w:t>whistleblower</w:t>
      </w:r>
      <w:proofErr w:type="spellEnd"/>
      <w:r w:rsidR="007C7BD8">
        <w:t xml:space="preserve"> must ensure that </w:t>
      </w:r>
      <w:r w:rsidR="00850005">
        <w:t>the lawyer h</w:t>
      </w:r>
      <w:r w:rsidR="007C7BD8">
        <w:t>olds the appropriate level of security clearance</w:t>
      </w:r>
      <w:r w:rsidR="00B34CA6">
        <w:t>.  As with other disclosures, intelligence information may not be disclosed.</w:t>
      </w:r>
    </w:p>
    <w:p w14:paraId="3CFD8815" w14:textId="2E712869" w:rsidR="009729F0" w:rsidRDefault="00312011" w:rsidP="00292CA0">
      <w:pPr>
        <w:pStyle w:val="ListNumber"/>
      </w:pPr>
      <w:r>
        <w:lastRenderedPageBreak/>
        <w:t>The PID Act</w:t>
      </w:r>
      <w:r w:rsidR="00527F9D">
        <w:t xml:space="preserve"> </w:t>
      </w:r>
      <w:r w:rsidR="009729F0">
        <w:t xml:space="preserve">provides for the </w:t>
      </w:r>
      <w:r w:rsidR="00527F9D">
        <w:t xml:space="preserve">investigation of </w:t>
      </w:r>
      <w:r w:rsidR="007B7E7E">
        <w:t xml:space="preserve">internal </w:t>
      </w:r>
      <w:r w:rsidR="00527F9D">
        <w:t>disclosures</w:t>
      </w:r>
      <w:r w:rsidR="007B7E7E">
        <w:t>, either by</w:t>
      </w:r>
      <w:r w:rsidR="00614174">
        <w:t xml:space="preserve"> the agency </w:t>
      </w:r>
      <w:r w:rsidR="00B15AC3">
        <w:t>to which the disclosure relates, the Ombudsman or the IGIS.</w:t>
      </w:r>
      <w:r w:rsidR="00DE7CA4">
        <w:rPr>
          <w:rStyle w:val="EndnoteReference"/>
        </w:rPr>
        <w:endnoteReference w:id="13"/>
      </w:r>
      <w:r w:rsidR="007B7E7E">
        <w:t xml:space="preserve"> </w:t>
      </w:r>
      <w:r w:rsidR="002D6A3D">
        <w:t xml:space="preserve"> </w:t>
      </w:r>
      <w:r w:rsidR="00DD31A4">
        <w:t xml:space="preserve">There </w:t>
      </w:r>
      <w:r w:rsidR="007462DD">
        <w:t xml:space="preserve">are </w:t>
      </w:r>
      <w:r w:rsidR="00DD31A4">
        <w:t xml:space="preserve">a range of </w:t>
      </w:r>
      <w:r w:rsidR="002D6A3D">
        <w:t xml:space="preserve">circumstances in which an officer of the relevant agency has a discretion not to investigate – this issue is considered in more detail in section </w:t>
      </w:r>
      <w:r w:rsidR="003D7B33">
        <w:fldChar w:fldCharType="begin"/>
      </w:r>
      <w:r w:rsidR="003D7B33">
        <w:instrText xml:space="preserve"> REF _Ref124750816 \r \h </w:instrText>
      </w:r>
      <w:r w:rsidR="003D7B33">
        <w:fldChar w:fldCharType="separate"/>
      </w:r>
      <w:r w:rsidR="006F77C1">
        <w:t>7.4</w:t>
      </w:r>
      <w:r w:rsidR="003D7B33">
        <w:fldChar w:fldCharType="end"/>
      </w:r>
      <w:r w:rsidR="002D6A3D">
        <w:t xml:space="preserve"> below.</w:t>
      </w:r>
      <w:r w:rsidR="00110B0A">
        <w:rPr>
          <w:rStyle w:val="EndnoteReference"/>
        </w:rPr>
        <w:endnoteReference w:id="14"/>
      </w:r>
      <w:r w:rsidR="002D6A3D">
        <w:t xml:space="preserve">  There </w:t>
      </w:r>
      <w:r w:rsidR="00CF63C3">
        <w:t xml:space="preserve">is an </w:t>
      </w:r>
      <w:r w:rsidR="00A51EC3">
        <w:t xml:space="preserve">initial time limit for </w:t>
      </w:r>
      <w:r w:rsidR="00CF63C3">
        <w:t xml:space="preserve">the investigation of 90 days, but this can be extended </w:t>
      </w:r>
      <w:r w:rsidR="003F20EF">
        <w:t>indefinitely by the Ombudsman</w:t>
      </w:r>
      <w:r w:rsidR="00531506">
        <w:t xml:space="preserve"> or</w:t>
      </w:r>
      <w:r w:rsidR="00FA023A">
        <w:t xml:space="preserve"> the</w:t>
      </w:r>
      <w:r w:rsidR="00531506">
        <w:t xml:space="preserve"> IGIS</w:t>
      </w:r>
      <w:r w:rsidR="003F20EF">
        <w:t>.</w:t>
      </w:r>
      <w:r w:rsidR="003B1130">
        <w:rPr>
          <w:rStyle w:val="EndnoteReference"/>
        </w:rPr>
        <w:endnoteReference w:id="15"/>
      </w:r>
      <w:r w:rsidR="00016827">
        <w:t xml:space="preserve">  At the conclusion of the investigation, </w:t>
      </w:r>
      <w:r w:rsidR="00BD7B2F">
        <w:t xml:space="preserve">the agency must prepare </w:t>
      </w:r>
      <w:r w:rsidR="00016827">
        <w:t xml:space="preserve">a report </w:t>
      </w:r>
      <w:r w:rsidR="00DC39A1">
        <w:t xml:space="preserve">including details of any findings and action to be taken as a result, </w:t>
      </w:r>
      <w:r w:rsidR="00BD7B2F">
        <w:t xml:space="preserve">and provide a copy of the report to the </w:t>
      </w:r>
      <w:proofErr w:type="spellStart"/>
      <w:r w:rsidR="00BD7B2F">
        <w:t>whistleblower</w:t>
      </w:r>
      <w:proofErr w:type="spellEnd"/>
      <w:r w:rsidR="00BD7B2F">
        <w:t>.</w:t>
      </w:r>
      <w:r w:rsidR="00E85CA6">
        <w:rPr>
          <w:rStyle w:val="EndnoteReference"/>
        </w:rPr>
        <w:endnoteReference w:id="16"/>
      </w:r>
      <w:r w:rsidR="007504B0">
        <w:t xml:space="preserve">  The </w:t>
      </w:r>
      <w:r w:rsidR="00176065">
        <w:t xml:space="preserve">principal </w:t>
      </w:r>
      <w:r w:rsidR="007504B0">
        <w:t xml:space="preserve">officer of the agency must ensure that appropriate action is taken </w:t>
      </w:r>
      <w:r w:rsidR="00ED7F7E">
        <w:t>in response to the report and its recommendations.</w:t>
      </w:r>
      <w:r w:rsidR="00ED7F7E">
        <w:rPr>
          <w:rStyle w:val="EndnoteReference"/>
        </w:rPr>
        <w:endnoteReference w:id="17"/>
      </w:r>
    </w:p>
    <w:p w14:paraId="734EC4A6" w14:textId="38897966" w:rsidR="007601B8" w:rsidRDefault="00716CFF" w:rsidP="00292CA0">
      <w:pPr>
        <w:pStyle w:val="ListNumber"/>
      </w:pPr>
      <w:r>
        <w:t xml:space="preserve">This submission is focused on proposed amendments to </w:t>
      </w:r>
      <w:r w:rsidR="00312011">
        <w:t>the PID Act</w:t>
      </w:r>
      <w:r w:rsidR="00B625B3">
        <w:t xml:space="preserve"> </w:t>
      </w:r>
      <w:r w:rsidR="00776E2E">
        <w:t>that</w:t>
      </w:r>
      <w:r w:rsidR="00B625B3">
        <w:t xml:space="preserve"> deal with public sector whistleblowing</w:t>
      </w:r>
      <w:r>
        <w:t xml:space="preserve">.  </w:t>
      </w:r>
      <w:r w:rsidR="0076515E">
        <w:t>I</w:t>
      </w:r>
      <w:r>
        <w:t xml:space="preserve">t also </w:t>
      </w:r>
      <w:proofErr w:type="gramStart"/>
      <w:r w:rsidR="00B625B3">
        <w:t xml:space="preserve">makes </w:t>
      </w:r>
      <w:r>
        <w:t>reference</w:t>
      </w:r>
      <w:proofErr w:type="gramEnd"/>
      <w:r>
        <w:t xml:space="preserve"> </w:t>
      </w:r>
      <w:r w:rsidR="00B625B3">
        <w:t xml:space="preserve">to the regime for </w:t>
      </w:r>
      <w:proofErr w:type="spellStart"/>
      <w:r w:rsidR="00B625B3">
        <w:t>whistleblower</w:t>
      </w:r>
      <w:proofErr w:type="spellEnd"/>
      <w:r w:rsidR="00B625B3">
        <w:t xml:space="preserve"> protections in the </w:t>
      </w:r>
      <w:r w:rsidR="00B625B3" w:rsidRPr="003E7104">
        <w:rPr>
          <w:i/>
          <w:iCs/>
        </w:rPr>
        <w:t>Corporations Act 2001</w:t>
      </w:r>
      <w:r w:rsidR="00B625B3">
        <w:t xml:space="preserve"> (</w:t>
      </w:r>
      <w:proofErr w:type="spellStart"/>
      <w:r w:rsidR="00B625B3">
        <w:t>Cth</w:t>
      </w:r>
      <w:proofErr w:type="spellEnd"/>
      <w:r w:rsidR="00B625B3">
        <w:t xml:space="preserve">) which, since </w:t>
      </w:r>
      <w:r w:rsidR="009C63A1">
        <w:t>2019, covers the corporate, financial and credit sectors.</w:t>
      </w:r>
      <w:r w:rsidR="003E7104">
        <w:rPr>
          <w:rStyle w:val="EndnoteReference"/>
        </w:rPr>
        <w:endnoteReference w:id="18"/>
      </w:r>
      <w:r w:rsidR="009C63A1">
        <w:t xml:space="preserve"> </w:t>
      </w:r>
      <w:r w:rsidR="00170E79">
        <w:t xml:space="preserve"> A separate regime also applies </w:t>
      </w:r>
      <w:r w:rsidR="00F45F31">
        <w:t xml:space="preserve">under the </w:t>
      </w:r>
      <w:r w:rsidR="00F45F31" w:rsidRPr="00F45F31">
        <w:rPr>
          <w:i/>
          <w:iCs/>
        </w:rPr>
        <w:t>Taxation Administration Act 1953</w:t>
      </w:r>
      <w:r w:rsidR="00F45F31">
        <w:t xml:space="preserve"> (</w:t>
      </w:r>
      <w:proofErr w:type="spellStart"/>
      <w:r w:rsidR="00F45F31">
        <w:t>Cth</w:t>
      </w:r>
      <w:proofErr w:type="spellEnd"/>
      <w:r w:rsidR="00F45F31">
        <w:t>).</w:t>
      </w:r>
      <w:r w:rsidR="00F45F31">
        <w:rPr>
          <w:rStyle w:val="EndnoteReference"/>
        </w:rPr>
        <w:endnoteReference w:id="19"/>
      </w:r>
    </w:p>
    <w:p w14:paraId="59E2D7EE" w14:textId="46464B50" w:rsidR="00227D5A" w:rsidRDefault="00227D5A" w:rsidP="00227D5A">
      <w:pPr>
        <w:pStyle w:val="Heading2"/>
      </w:pPr>
      <w:bookmarkStart w:id="15" w:name="_Toc125116085"/>
      <w:r>
        <w:t xml:space="preserve">Review of </w:t>
      </w:r>
      <w:r w:rsidR="00312011">
        <w:t>the PID Act</w:t>
      </w:r>
      <w:bookmarkEnd w:id="15"/>
    </w:p>
    <w:p w14:paraId="492B2C0C" w14:textId="4EDC4E32" w:rsidR="007F75FA" w:rsidRDefault="00312011" w:rsidP="00292CA0">
      <w:pPr>
        <w:pStyle w:val="ListNumber"/>
      </w:pPr>
      <w:r>
        <w:t>The PID Act</w:t>
      </w:r>
      <w:r w:rsidR="00CE436E">
        <w:t xml:space="preserve"> </w:t>
      </w:r>
      <w:r w:rsidR="007536EE">
        <w:t xml:space="preserve">commenced on </w:t>
      </w:r>
      <w:r w:rsidR="006B7A75">
        <w:t>15 January 2014.</w:t>
      </w:r>
      <w:r w:rsidR="00093DFB">
        <w:t xml:space="preserve"> </w:t>
      </w:r>
      <w:r w:rsidR="00971351">
        <w:t xml:space="preserve"> </w:t>
      </w:r>
      <w:r w:rsidR="00093DFB">
        <w:t xml:space="preserve">Section 82A provided that the Minister </w:t>
      </w:r>
      <w:r w:rsidR="00E20D9E">
        <w:t>must cause a review of the operation of the Act to be undertaken, to start 2 years after commencement and to be completed within 6 months.</w:t>
      </w:r>
    </w:p>
    <w:p w14:paraId="3D8E227E" w14:textId="3F9C0035" w:rsidR="00E20D9E" w:rsidRDefault="004E3F40" w:rsidP="00292CA0">
      <w:pPr>
        <w:pStyle w:val="ListNumber"/>
      </w:pPr>
      <w:r>
        <w:t>The review was undertaken by Mr Philip Moss AM</w:t>
      </w:r>
      <w:r w:rsidR="009035E8">
        <w:t xml:space="preserve"> </w:t>
      </w:r>
      <w:r w:rsidR="0031452B">
        <w:t xml:space="preserve">(Moss Review) </w:t>
      </w:r>
      <w:r w:rsidR="009035E8">
        <w:t xml:space="preserve">and </w:t>
      </w:r>
      <w:r w:rsidR="00556AA0">
        <w:t xml:space="preserve">the report of the review was </w:t>
      </w:r>
      <w:r w:rsidR="009035E8">
        <w:t>provided to the Minister Assisting the Prime Minister for the Public Service on 15 July 2016.</w:t>
      </w:r>
      <w:r w:rsidR="001A411E">
        <w:rPr>
          <w:rStyle w:val="EndnoteReference"/>
        </w:rPr>
        <w:endnoteReference w:id="20"/>
      </w:r>
      <w:r w:rsidR="009035E8">
        <w:t xml:space="preserve">  Mr Moss was the Integrity </w:t>
      </w:r>
      <w:r w:rsidR="006F7F53" w:rsidRPr="006F7F53">
        <w:t>Commissioner and head of the Australian Commission for Law Enforcement Integrity between 2007 and 2014</w:t>
      </w:r>
      <w:r w:rsidR="006F7F53">
        <w:t>.</w:t>
      </w:r>
      <w:r w:rsidR="00B96C37">
        <w:t xml:space="preserve">  The</w:t>
      </w:r>
      <w:r w:rsidR="00D20548">
        <w:t xml:space="preserve"> then</w:t>
      </w:r>
      <w:r w:rsidR="00B96C37">
        <w:t xml:space="preserve"> Australian Government released its response to the Moss Review on 16 December 2020.</w:t>
      </w:r>
      <w:r w:rsidR="00B96C37">
        <w:rPr>
          <w:rStyle w:val="EndnoteReference"/>
        </w:rPr>
        <w:endnoteReference w:id="21"/>
      </w:r>
    </w:p>
    <w:p w14:paraId="31E39B00" w14:textId="504676B1" w:rsidR="006F7F53" w:rsidRDefault="00D74DD0" w:rsidP="00292CA0">
      <w:pPr>
        <w:pStyle w:val="ListNumber"/>
      </w:pPr>
      <w:r>
        <w:t xml:space="preserve">The Moss </w:t>
      </w:r>
      <w:r w:rsidR="00B85F7C">
        <w:t xml:space="preserve">Review made </w:t>
      </w:r>
      <w:r w:rsidR="00BC5EE6">
        <w:t xml:space="preserve">33 </w:t>
      </w:r>
      <w:r w:rsidR="006912D1">
        <w:t>recommendations</w:t>
      </w:r>
      <w:r w:rsidR="00B5486E">
        <w:t xml:space="preserve">. The present Bill is primarily aimed at </w:t>
      </w:r>
      <w:r w:rsidR="008973CE">
        <w:t>the implementation of 21 of those recommendations. It also seeks to implement</w:t>
      </w:r>
      <w:r w:rsidR="00BA3271">
        <w:t xml:space="preserve"> certain</w:t>
      </w:r>
      <w:r w:rsidR="008973CE">
        <w:t xml:space="preserve"> </w:t>
      </w:r>
      <w:r w:rsidR="002B6DA7">
        <w:t xml:space="preserve">recommendations from </w:t>
      </w:r>
      <w:r w:rsidR="005806F0">
        <w:t xml:space="preserve">the reports of </w:t>
      </w:r>
      <w:r w:rsidR="002B6DA7">
        <w:t>two other parliamentary inquiries</w:t>
      </w:r>
      <w:r w:rsidR="00F168A9">
        <w:t>:</w:t>
      </w:r>
    </w:p>
    <w:p w14:paraId="3E5AC82C" w14:textId="3A44572B" w:rsidR="00F168A9" w:rsidRDefault="00B2619A" w:rsidP="00C80293">
      <w:pPr>
        <w:pStyle w:val="ListNumber"/>
        <w:numPr>
          <w:ilvl w:val="0"/>
          <w:numId w:val="38"/>
        </w:numPr>
        <w:ind w:left="1451" w:hanging="357"/>
      </w:pPr>
      <w:r>
        <w:t xml:space="preserve">the 2017 Parliamentary Joint Committee on Corporations and Financial Services </w:t>
      </w:r>
      <w:r w:rsidR="001F208A" w:rsidRPr="00BB4E7B">
        <w:rPr>
          <w:i/>
          <w:iCs/>
        </w:rPr>
        <w:t xml:space="preserve">Inquiry into </w:t>
      </w:r>
      <w:proofErr w:type="spellStart"/>
      <w:r w:rsidR="001F208A" w:rsidRPr="00BB4E7B">
        <w:rPr>
          <w:i/>
          <w:iCs/>
        </w:rPr>
        <w:t>Whistleblower</w:t>
      </w:r>
      <w:proofErr w:type="spellEnd"/>
      <w:r w:rsidR="001F208A" w:rsidRPr="00BB4E7B">
        <w:rPr>
          <w:i/>
          <w:iCs/>
        </w:rPr>
        <w:t xml:space="preserve"> protections in the </w:t>
      </w:r>
      <w:r w:rsidR="001F208A" w:rsidRPr="00BB4E7B">
        <w:rPr>
          <w:i/>
          <w:iCs/>
        </w:rPr>
        <w:lastRenderedPageBreak/>
        <w:t xml:space="preserve">corporate, </w:t>
      </w:r>
      <w:proofErr w:type="gramStart"/>
      <w:r w:rsidR="001F208A" w:rsidRPr="00BB4E7B">
        <w:rPr>
          <w:i/>
          <w:iCs/>
        </w:rPr>
        <w:t>public</w:t>
      </w:r>
      <w:proofErr w:type="gramEnd"/>
      <w:r w:rsidR="001F208A" w:rsidRPr="00BB4E7B">
        <w:rPr>
          <w:i/>
          <w:iCs/>
        </w:rPr>
        <w:t xml:space="preserve"> and not-for-profit sectors</w:t>
      </w:r>
      <w:r w:rsidR="001F208A">
        <w:t xml:space="preserve"> </w:t>
      </w:r>
      <w:r w:rsidR="00BB4E7B">
        <w:t xml:space="preserve">(PJCCFS </w:t>
      </w:r>
      <w:proofErr w:type="spellStart"/>
      <w:r w:rsidR="00BB4E7B">
        <w:t>Whistleblower</w:t>
      </w:r>
      <w:proofErr w:type="spellEnd"/>
      <w:r w:rsidR="00BB4E7B">
        <w:t xml:space="preserve"> Report)</w:t>
      </w:r>
    </w:p>
    <w:p w14:paraId="7852E839" w14:textId="17311416" w:rsidR="00BB4E7B" w:rsidRDefault="00BB4E7B" w:rsidP="00C80293">
      <w:pPr>
        <w:pStyle w:val="ListNumber"/>
        <w:numPr>
          <w:ilvl w:val="0"/>
          <w:numId w:val="38"/>
        </w:numPr>
        <w:ind w:left="1451" w:hanging="357"/>
      </w:pPr>
      <w:r>
        <w:t>the 2020</w:t>
      </w:r>
      <w:r w:rsidR="0021092B">
        <w:t xml:space="preserve"> Parliamentary Joint Committee on Intelligence and Security </w:t>
      </w:r>
      <w:r w:rsidR="0021092B" w:rsidRPr="00B00BE6">
        <w:rPr>
          <w:i/>
          <w:iCs/>
        </w:rPr>
        <w:t>Inquiry into the impact of the exercise of law enforcement and intelligence powers</w:t>
      </w:r>
      <w:r w:rsidR="005806F0" w:rsidRPr="00B00BE6">
        <w:rPr>
          <w:i/>
          <w:iCs/>
        </w:rPr>
        <w:t xml:space="preserve"> on the freedom of the press</w:t>
      </w:r>
      <w:r w:rsidR="005806F0">
        <w:t xml:space="preserve"> (PJCIS</w:t>
      </w:r>
      <w:r w:rsidR="00B00BE6">
        <w:t xml:space="preserve"> Press Freedom Report).</w:t>
      </w:r>
    </w:p>
    <w:p w14:paraId="4CD59BD8" w14:textId="5147004B" w:rsidR="00F912BB" w:rsidRDefault="00F912BB" w:rsidP="000B2833">
      <w:pPr>
        <w:pStyle w:val="Heading1"/>
      </w:pPr>
      <w:bookmarkStart w:id="16" w:name="_Toc125116086"/>
      <w:r>
        <w:t xml:space="preserve">Main amendments proposed in the </w:t>
      </w:r>
      <w:proofErr w:type="gramStart"/>
      <w:r>
        <w:t>Bill</w:t>
      </w:r>
      <w:bookmarkEnd w:id="16"/>
      <w:proofErr w:type="gramEnd"/>
    </w:p>
    <w:p w14:paraId="5DF9D88D" w14:textId="093EBED0" w:rsidR="004A10C8" w:rsidRDefault="004E2171" w:rsidP="001E63CF">
      <w:pPr>
        <w:pStyle w:val="ListNumber"/>
      </w:pPr>
      <w:r>
        <w:t>In general, t</w:t>
      </w:r>
      <w:r w:rsidR="002B6DA7">
        <w:t xml:space="preserve">he Commission welcomes </w:t>
      </w:r>
      <w:r w:rsidR="000F429A">
        <w:t xml:space="preserve">the amendments proposed by the Bill.  </w:t>
      </w:r>
      <w:r w:rsidR="004A10C8">
        <w:t xml:space="preserve">This submission does not deal in detail with </w:t>
      </w:r>
      <w:proofErr w:type="gramStart"/>
      <w:r w:rsidR="004A10C8">
        <w:t>all of</w:t>
      </w:r>
      <w:proofErr w:type="gramEnd"/>
      <w:r w:rsidR="004A10C8">
        <w:t xml:space="preserve"> the proposed amendments.  </w:t>
      </w:r>
      <w:r w:rsidR="00062132">
        <w:t>The main amendments are summarised in this section</w:t>
      </w:r>
      <w:r w:rsidR="00454B29">
        <w:t>. S</w:t>
      </w:r>
      <w:r w:rsidR="00062132">
        <w:t xml:space="preserve">ection </w:t>
      </w:r>
      <w:r w:rsidR="00253DF2">
        <w:fldChar w:fldCharType="begin"/>
      </w:r>
      <w:r w:rsidR="00253DF2">
        <w:instrText xml:space="preserve"> REF _Ref124593387 \r \h </w:instrText>
      </w:r>
      <w:r w:rsidR="00253DF2">
        <w:fldChar w:fldCharType="separate"/>
      </w:r>
      <w:r w:rsidR="006F77C1">
        <w:t>7</w:t>
      </w:r>
      <w:r w:rsidR="00253DF2">
        <w:fldChar w:fldCharType="end"/>
      </w:r>
      <w:r w:rsidR="00062132">
        <w:t xml:space="preserve"> below </w:t>
      </w:r>
      <w:r w:rsidR="00253DF2">
        <w:t xml:space="preserve">discusses </w:t>
      </w:r>
      <w:r w:rsidR="004A10C8">
        <w:t xml:space="preserve">further amendments to </w:t>
      </w:r>
      <w:r w:rsidR="00312011">
        <w:t>the PID Act</w:t>
      </w:r>
      <w:r w:rsidR="004A10C8">
        <w:t xml:space="preserve">, </w:t>
      </w:r>
      <w:r w:rsidR="00A64BE9">
        <w:t>and</w:t>
      </w:r>
      <w:r w:rsidR="004A10C8">
        <w:t xml:space="preserve"> further broader reforms, </w:t>
      </w:r>
      <w:r w:rsidR="00253DF2">
        <w:t xml:space="preserve">that the Commission considers </w:t>
      </w:r>
      <w:r w:rsidR="004A10C8">
        <w:t xml:space="preserve">are warranted. </w:t>
      </w:r>
    </w:p>
    <w:p w14:paraId="6BDFA4E4" w14:textId="71B3509E" w:rsidR="004E2171" w:rsidRDefault="006B734B" w:rsidP="004E2171">
      <w:pPr>
        <w:pStyle w:val="ListNumber"/>
      </w:pPr>
      <w:r>
        <w:t xml:space="preserve">Schedule 1 of the Bill contains what are described as the ‘main </w:t>
      </w:r>
      <w:proofErr w:type="gramStart"/>
      <w:r>
        <w:t>amendments’</w:t>
      </w:r>
      <w:proofErr w:type="gramEnd"/>
      <w:r>
        <w:t xml:space="preserve">.  The schedule is in seven parts. </w:t>
      </w:r>
      <w:r w:rsidR="00357C4F">
        <w:t xml:space="preserve"> Each of those parts are </w:t>
      </w:r>
      <w:r w:rsidR="00FF7BB9">
        <w:t>referred to below.</w:t>
      </w:r>
    </w:p>
    <w:p w14:paraId="7710D24F" w14:textId="489BF9E9" w:rsidR="00281BB4" w:rsidRDefault="00DC6793" w:rsidP="004E2171">
      <w:pPr>
        <w:pStyle w:val="ListNumber"/>
      </w:pPr>
      <w:bookmarkStart w:id="17" w:name="_Ref124690441"/>
      <w:r>
        <w:t xml:space="preserve">Part 1 </w:t>
      </w:r>
      <w:r w:rsidR="00357C4F">
        <w:t xml:space="preserve">of Schedule 1 </w:t>
      </w:r>
      <w:r w:rsidR="008A3466">
        <w:t xml:space="preserve">of the Bill </w:t>
      </w:r>
      <w:r w:rsidR="003B6659">
        <w:t xml:space="preserve">narrows the definition of ‘disclosable conduct’ </w:t>
      </w:r>
      <w:r w:rsidR="00474CC3">
        <w:t xml:space="preserve">so that it does not include ‘personal work-related conduct’. </w:t>
      </w:r>
      <w:r w:rsidR="00CA2BAA">
        <w:t xml:space="preserve"> </w:t>
      </w:r>
      <w:r w:rsidR="00453AD3">
        <w:t>This Part implements recommendations 5, 6 and 7 of the Moss Review</w:t>
      </w:r>
      <w:r w:rsidR="00D77177">
        <w:t xml:space="preserve"> and is designed to ensure that </w:t>
      </w:r>
      <w:r w:rsidR="00312011">
        <w:t>the PID Act</w:t>
      </w:r>
      <w:r w:rsidR="00D77177">
        <w:t xml:space="preserve"> has a stronger focus on significant wrongdoing</w:t>
      </w:r>
      <w:r w:rsidR="00453AD3">
        <w:t xml:space="preserve">. </w:t>
      </w:r>
      <w:r w:rsidR="00CA2BAA">
        <w:t xml:space="preserve"> </w:t>
      </w:r>
      <w:r w:rsidR="00181D63">
        <w:t xml:space="preserve">The Moss Review observed that </w:t>
      </w:r>
      <w:r w:rsidR="00800B3F">
        <w:t xml:space="preserve">during the first two years of operation of </w:t>
      </w:r>
      <w:r w:rsidR="00312011">
        <w:t>the PID Act</w:t>
      </w:r>
      <w:r w:rsidR="00800B3F">
        <w:t xml:space="preserve">, </w:t>
      </w:r>
      <w:proofErr w:type="gramStart"/>
      <w:r w:rsidR="00181D63">
        <w:t>the overwhelming majority of</w:t>
      </w:r>
      <w:proofErr w:type="gramEnd"/>
      <w:r w:rsidR="00181D63">
        <w:t xml:space="preserve"> disclosures </w:t>
      </w:r>
      <w:r w:rsidR="000B2833">
        <w:t xml:space="preserve">concerned issues </w:t>
      </w:r>
      <w:r w:rsidR="002B621F">
        <w:t>‘like workplace bullying and harassment, forms of disrespect from colleagues or managers, or minor allegations of wrongdoing’.</w:t>
      </w:r>
      <w:r w:rsidR="004B01AE">
        <w:rPr>
          <w:rStyle w:val="EndnoteReference"/>
        </w:rPr>
        <w:endnoteReference w:id="22"/>
      </w:r>
      <w:r w:rsidR="00056B45">
        <w:t xml:space="preserve">  The </w:t>
      </w:r>
      <w:r w:rsidR="00760863">
        <w:t xml:space="preserve">Moss Review recommended that the scope of disclosable conduct be narrowed to focus on </w:t>
      </w:r>
      <w:r w:rsidR="00797344">
        <w:t xml:space="preserve">fraud, serious misconduct and corrupt conduct.  </w:t>
      </w:r>
      <w:r w:rsidR="0044028A">
        <w:t>Workplace</w:t>
      </w:r>
      <w:r w:rsidR="008C03B7">
        <w:t xml:space="preserve"> grievances were more appropriately hand</w:t>
      </w:r>
      <w:r w:rsidR="00D74BA8">
        <w:t>l</w:t>
      </w:r>
      <w:r w:rsidR="008C03B7">
        <w:t xml:space="preserve">ed through other frameworks </w:t>
      </w:r>
      <w:r w:rsidR="00D74BA8">
        <w:t xml:space="preserve">– </w:t>
      </w:r>
      <w:r w:rsidR="008C03B7">
        <w:t xml:space="preserve">including </w:t>
      </w:r>
      <w:r w:rsidR="00447375">
        <w:t xml:space="preserve">those dealing with alleged breaches of the APS Code of Conduct.  </w:t>
      </w:r>
      <w:r w:rsidR="00797344">
        <w:t xml:space="preserve">At the same time, it was important that </w:t>
      </w:r>
      <w:proofErr w:type="spellStart"/>
      <w:r w:rsidR="00797344">
        <w:t>whistleblowers</w:t>
      </w:r>
      <w:proofErr w:type="spellEnd"/>
      <w:r w:rsidR="00797344">
        <w:t xml:space="preserve"> </w:t>
      </w:r>
      <w:r w:rsidR="00676566">
        <w:t>continued to be protected from reprisal actions in their workplace for disclosing such conduct.</w:t>
      </w:r>
      <w:r w:rsidR="00A07741">
        <w:t xml:space="preserve">  The changes in Part 1 would bring </w:t>
      </w:r>
      <w:r w:rsidR="00312011">
        <w:t>the PID Act</w:t>
      </w:r>
      <w:r w:rsidR="00A07741">
        <w:t xml:space="preserve"> into line with equivalent provisions in the </w:t>
      </w:r>
      <w:r w:rsidR="001B67F8">
        <w:t xml:space="preserve">private sector </w:t>
      </w:r>
      <w:proofErr w:type="spellStart"/>
      <w:r w:rsidR="00A07741">
        <w:t>whistleblower</w:t>
      </w:r>
      <w:proofErr w:type="spellEnd"/>
      <w:r w:rsidR="00A07741">
        <w:t xml:space="preserve"> scheme in the </w:t>
      </w:r>
      <w:r w:rsidR="00A07741" w:rsidRPr="001B67F8">
        <w:rPr>
          <w:i/>
          <w:iCs/>
        </w:rPr>
        <w:t xml:space="preserve">Corporations Act </w:t>
      </w:r>
      <w:r w:rsidR="001B67F8" w:rsidRPr="001B67F8">
        <w:rPr>
          <w:i/>
          <w:iCs/>
        </w:rPr>
        <w:t>2001</w:t>
      </w:r>
      <w:r w:rsidR="001B67F8">
        <w:t xml:space="preserve"> (</w:t>
      </w:r>
      <w:proofErr w:type="spellStart"/>
      <w:r w:rsidR="001B67F8">
        <w:t>Cth</w:t>
      </w:r>
      <w:proofErr w:type="spellEnd"/>
      <w:r w:rsidR="001B67F8">
        <w:t>).</w:t>
      </w:r>
      <w:r w:rsidR="006C27A3">
        <w:rPr>
          <w:rStyle w:val="EndnoteReference"/>
        </w:rPr>
        <w:endnoteReference w:id="23"/>
      </w:r>
      <w:bookmarkEnd w:id="17"/>
    </w:p>
    <w:p w14:paraId="0CE88758" w14:textId="66CD68E3" w:rsidR="00476CD0" w:rsidRDefault="0055205B" w:rsidP="004E2171">
      <w:pPr>
        <w:pStyle w:val="ListNumber"/>
      </w:pPr>
      <w:bookmarkStart w:id="18" w:name="_Ref124690447"/>
      <w:r>
        <w:t xml:space="preserve">Part 2 </w:t>
      </w:r>
      <w:r w:rsidR="00FF7BB9">
        <w:t xml:space="preserve">of Schedule 1 </w:t>
      </w:r>
      <w:r w:rsidR="00611763">
        <w:t xml:space="preserve">deals with the allocation of investigations and disclosures.  This Part implements recommendations </w:t>
      </w:r>
      <w:r w:rsidR="00FD5869">
        <w:t xml:space="preserve">3, 14, 31, 32 and </w:t>
      </w:r>
      <w:r w:rsidR="00FD5869">
        <w:lastRenderedPageBreak/>
        <w:t>33 of the Moss Review</w:t>
      </w:r>
      <w:r w:rsidR="00C72136">
        <w:t xml:space="preserve"> and recommendation 10 of the PJCIS Press Freedom Review</w:t>
      </w:r>
      <w:r w:rsidR="00FD5869">
        <w:t xml:space="preserve">.  </w:t>
      </w:r>
      <w:r w:rsidR="00C21535">
        <w:t xml:space="preserve">It would permit agencies (and particularly smaller agencies) to allocate </w:t>
      </w:r>
      <w:r w:rsidR="00D634BE">
        <w:t xml:space="preserve">the investigation of </w:t>
      </w:r>
      <w:r w:rsidR="00C21535">
        <w:t xml:space="preserve">an internal </w:t>
      </w:r>
      <w:r w:rsidR="00D634BE">
        <w:t xml:space="preserve">disclosure </w:t>
      </w:r>
      <w:r w:rsidR="00C21535">
        <w:t xml:space="preserve">to another agency </w:t>
      </w:r>
      <w:r w:rsidR="00D634BE">
        <w:t xml:space="preserve">such as the agency’s portfolio department.  </w:t>
      </w:r>
      <w:r w:rsidR="00BC7B7F">
        <w:t xml:space="preserve">It would also permit agencies </w:t>
      </w:r>
      <w:r w:rsidR="00BC7B7F" w:rsidRPr="00661A75">
        <w:rPr>
          <w:i/>
          <w:iCs/>
        </w:rPr>
        <w:t>not</w:t>
      </w:r>
      <w:r w:rsidR="00BC7B7F">
        <w:t xml:space="preserve"> to allocate </w:t>
      </w:r>
      <w:r w:rsidR="00744124">
        <w:t>a disclosure for investigation</w:t>
      </w:r>
      <w:r w:rsidR="00E66DE3">
        <w:t xml:space="preserve">, or </w:t>
      </w:r>
      <w:r w:rsidR="00E66DE3" w:rsidRPr="00C86940">
        <w:rPr>
          <w:i/>
          <w:iCs/>
        </w:rPr>
        <w:t>not</w:t>
      </w:r>
      <w:r w:rsidR="00E66DE3">
        <w:t xml:space="preserve"> to investigate </w:t>
      </w:r>
      <w:r w:rsidR="00BD0784">
        <w:t xml:space="preserve">or further investigate a </w:t>
      </w:r>
      <w:proofErr w:type="gramStart"/>
      <w:r w:rsidR="00BD0784">
        <w:t>disclosure,</w:t>
      </w:r>
      <w:r w:rsidR="00744124">
        <w:t xml:space="preserve"> if</w:t>
      </w:r>
      <w:proofErr w:type="gramEnd"/>
      <w:r w:rsidR="00744124">
        <w:t xml:space="preserve"> </w:t>
      </w:r>
      <w:r w:rsidR="007B1B86">
        <w:t xml:space="preserve">the conduct disclosed </w:t>
      </w:r>
      <w:r w:rsidR="0054658E">
        <w:t xml:space="preserve">would be more appropriately investigated under another law or power.  In those circumstances, the </w:t>
      </w:r>
      <w:r w:rsidR="003E10B5">
        <w:t xml:space="preserve">relevant officer </w:t>
      </w:r>
      <w:r w:rsidR="0054658E">
        <w:t xml:space="preserve">would have </w:t>
      </w:r>
      <w:r w:rsidR="00E02A0D">
        <w:t xml:space="preserve">an obligation to refer the conduct for investigation </w:t>
      </w:r>
      <w:r w:rsidR="00336A1D">
        <w:t xml:space="preserve">by the relevant authority </w:t>
      </w:r>
      <w:r w:rsidR="00E02A0D">
        <w:t>under that other law or power.</w:t>
      </w:r>
      <w:r w:rsidR="004C7701">
        <w:t xml:space="preserve">  </w:t>
      </w:r>
      <w:r w:rsidR="00BF4D71">
        <w:t xml:space="preserve">Where conduct was investigated under </w:t>
      </w:r>
      <w:r w:rsidR="00312011">
        <w:t>the PID Act</w:t>
      </w:r>
      <w:r w:rsidR="00BF4D71">
        <w:t>, i</w:t>
      </w:r>
      <w:r w:rsidR="004C7701">
        <w:t xml:space="preserve">nvestigation reports would have to be provided, not only to the </w:t>
      </w:r>
      <w:proofErr w:type="spellStart"/>
      <w:r w:rsidR="004C7701">
        <w:t>whistleblower</w:t>
      </w:r>
      <w:proofErr w:type="spellEnd"/>
      <w:r w:rsidR="004C7701">
        <w:t xml:space="preserve">, but also to the Ombudsman or </w:t>
      </w:r>
      <w:r w:rsidR="00E33F24">
        <w:t xml:space="preserve">the </w:t>
      </w:r>
      <w:r w:rsidR="004C7701">
        <w:t xml:space="preserve">IGIS.  </w:t>
      </w:r>
      <w:r w:rsidR="00CC473A">
        <w:t xml:space="preserve">Further, the Ombudsman and </w:t>
      </w:r>
      <w:r w:rsidR="00E33F24">
        <w:t xml:space="preserve">the </w:t>
      </w:r>
      <w:r w:rsidR="00CC473A">
        <w:t xml:space="preserve">IGIS would be given expanded powers to </w:t>
      </w:r>
      <w:r w:rsidR="006A6CC4">
        <w:t xml:space="preserve">review the handling of disclosures and </w:t>
      </w:r>
      <w:r w:rsidR="00CC473A">
        <w:t xml:space="preserve">make </w:t>
      </w:r>
      <w:r w:rsidR="0039682F">
        <w:t xml:space="preserve">recommendations to the investigating agency.  </w:t>
      </w:r>
      <w:r w:rsidR="004C7701">
        <w:t xml:space="preserve">This would improve </w:t>
      </w:r>
      <w:r w:rsidR="0039682F">
        <w:t>the oversight of the regime.</w:t>
      </w:r>
      <w:bookmarkEnd w:id="18"/>
    </w:p>
    <w:p w14:paraId="126D3269" w14:textId="45C6374B" w:rsidR="000E282B" w:rsidRDefault="000E282B" w:rsidP="004E2171">
      <w:pPr>
        <w:pStyle w:val="ListNumber"/>
      </w:pPr>
      <w:r>
        <w:t xml:space="preserve">Part 3 </w:t>
      </w:r>
      <w:r w:rsidR="00CD110D">
        <w:t xml:space="preserve">of </w:t>
      </w:r>
      <w:r w:rsidR="0060298B">
        <w:t xml:space="preserve">Schedule 1 </w:t>
      </w:r>
      <w:r w:rsidR="001A62AC">
        <w:t xml:space="preserve">provides additional protections to </w:t>
      </w:r>
      <w:proofErr w:type="spellStart"/>
      <w:r w:rsidR="001A62AC">
        <w:t>whistle</w:t>
      </w:r>
      <w:r w:rsidR="00384884">
        <w:t>blowers</w:t>
      </w:r>
      <w:proofErr w:type="spellEnd"/>
      <w:r w:rsidR="00384884">
        <w:t xml:space="preserve"> and witnesses.  It implements recommendations </w:t>
      </w:r>
      <w:r w:rsidR="00D85B67">
        <w:t xml:space="preserve">18, </w:t>
      </w:r>
      <w:r w:rsidR="00547E9B">
        <w:t xml:space="preserve">19, </w:t>
      </w:r>
      <w:r w:rsidR="00D85B67">
        <w:t xml:space="preserve">20, </w:t>
      </w:r>
      <w:r w:rsidR="00D074A5">
        <w:t xml:space="preserve">21, </w:t>
      </w:r>
      <w:r w:rsidR="00D85B67">
        <w:t>22, 23</w:t>
      </w:r>
      <w:r w:rsidR="00384884">
        <w:t xml:space="preserve"> </w:t>
      </w:r>
      <w:r w:rsidR="00D074A5">
        <w:t xml:space="preserve">and 28 of </w:t>
      </w:r>
      <w:r w:rsidR="00384884">
        <w:t>the Moss Review</w:t>
      </w:r>
      <w:r w:rsidR="00D074A5">
        <w:t xml:space="preserve"> and recommendation </w:t>
      </w:r>
      <w:r w:rsidR="006E2A9C">
        <w:t xml:space="preserve">6.3 of the PJCCFS </w:t>
      </w:r>
      <w:proofErr w:type="spellStart"/>
      <w:r w:rsidR="006E2A9C">
        <w:t>Whistleblower</w:t>
      </w:r>
      <w:proofErr w:type="spellEnd"/>
      <w:r w:rsidR="006E2A9C">
        <w:t xml:space="preserve"> Report</w:t>
      </w:r>
      <w:r w:rsidR="00384884">
        <w:t>.</w:t>
      </w:r>
      <w:r w:rsidR="006E2A9C">
        <w:t xml:space="preserve">  </w:t>
      </w:r>
      <w:r w:rsidR="006C7E8D">
        <w:t xml:space="preserve">Importantly, witnesses </w:t>
      </w:r>
      <w:proofErr w:type="gramStart"/>
      <w:r w:rsidR="00103BAC">
        <w:t>providing assistance</w:t>
      </w:r>
      <w:proofErr w:type="gramEnd"/>
      <w:r w:rsidR="00103BAC">
        <w:t xml:space="preserve"> in relation to a disclosure </w:t>
      </w:r>
      <w:r w:rsidR="006C7E8D">
        <w:t xml:space="preserve">would receive the </w:t>
      </w:r>
      <w:r w:rsidR="00103BAC">
        <w:t xml:space="preserve">same </w:t>
      </w:r>
      <w:r w:rsidR="000E44F3">
        <w:t xml:space="preserve">immunity from civil, criminal and administrative action, and the </w:t>
      </w:r>
      <w:r w:rsidR="006C7E8D">
        <w:t xml:space="preserve">same protections </w:t>
      </w:r>
      <w:r w:rsidR="000E44F3">
        <w:t xml:space="preserve">against reprisals, as </w:t>
      </w:r>
      <w:proofErr w:type="spellStart"/>
      <w:r w:rsidR="000E44F3">
        <w:t>whistleblowers</w:t>
      </w:r>
      <w:proofErr w:type="spellEnd"/>
      <w:r w:rsidR="000E44F3">
        <w:t xml:space="preserve">.  </w:t>
      </w:r>
      <w:r w:rsidR="002F2505">
        <w:t xml:space="preserve">Supervisors would have an obligation to explain the PID </w:t>
      </w:r>
      <w:r w:rsidR="00DD5C90">
        <w:t xml:space="preserve">Act </w:t>
      </w:r>
      <w:r w:rsidR="002F2505">
        <w:t xml:space="preserve">process to </w:t>
      </w:r>
      <w:proofErr w:type="spellStart"/>
      <w:r w:rsidR="00907CD5">
        <w:t>whistleblowers</w:t>
      </w:r>
      <w:proofErr w:type="spellEnd"/>
      <w:r w:rsidR="00907CD5">
        <w:t xml:space="preserve"> that they supervise.  </w:t>
      </w:r>
      <w:r w:rsidR="00A83E1A">
        <w:t xml:space="preserve">Principal officers of </w:t>
      </w:r>
      <w:r w:rsidR="007A16FF">
        <w:t xml:space="preserve">investigating agencies would have a positive obligation to support </w:t>
      </w:r>
      <w:proofErr w:type="spellStart"/>
      <w:r w:rsidR="007A16FF">
        <w:t>whistleblowers</w:t>
      </w:r>
      <w:proofErr w:type="spellEnd"/>
      <w:r w:rsidR="007A16FF">
        <w:t xml:space="preserve"> and witnesses, </w:t>
      </w:r>
      <w:r w:rsidR="004B0E73">
        <w:t xml:space="preserve">to </w:t>
      </w:r>
      <w:r w:rsidR="004B29FA">
        <w:t xml:space="preserve">protect their staff against reprisals, </w:t>
      </w:r>
      <w:r w:rsidR="00907CD5">
        <w:t>to assist other public officials performing function</w:t>
      </w:r>
      <w:r w:rsidR="00897BD3">
        <w:t>s</w:t>
      </w:r>
      <w:r w:rsidR="00907CD5">
        <w:t xml:space="preserve"> under </w:t>
      </w:r>
      <w:r w:rsidR="00312011">
        <w:t>the PID Act</w:t>
      </w:r>
      <w:r w:rsidR="00907CD5">
        <w:t xml:space="preserve">, </w:t>
      </w:r>
      <w:r w:rsidR="004B29FA">
        <w:t xml:space="preserve">and </w:t>
      </w:r>
      <w:r w:rsidR="004B0E73">
        <w:t>to provide ongoing training and education to their staff</w:t>
      </w:r>
      <w:r w:rsidR="004B29FA">
        <w:t>.</w:t>
      </w:r>
    </w:p>
    <w:p w14:paraId="5C3495FF" w14:textId="5B548745" w:rsidR="00FE5937" w:rsidRDefault="004029CA" w:rsidP="004E2171">
      <w:pPr>
        <w:pStyle w:val="ListNumber"/>
      </w:pPr>
      <w:r>
        <w:t xml:space="preserve">Part 4 </w:t>
      </w:r>
      <w:r w:rsidR="00F635DC">
        <w:t xml:space="preserve">of </w:t>
      </w:r>
      <w:r w:rsidR="00A73204">
        <w:t xml:space="preserve">Schedule 1 </w:t>
      </w:r>
      <w:r w:rsidR="007C0F96">
        <w:t xml:space="preserve">aims to </w:t>
      </w:r>
      <w:r w:rsidR="00A518B5">
        <w:t xml:space="preserve">increase the ability for agencies to share information about disclosures to assist in their investigation, and to </w:t>
      </w:r>
      <w:r w:rsidR="00A30AF1">
        <w:t>provide for more regular</w:t>
      </w:r>
      <w:r w:rsidR="00DF43FE">
        <w:t xml:space="preserve"> reporting</w:t>
      </w:r>
      <w:r w:rsidR="00A30AF1">
        <w:t xml:space="preserve"> by the </w:t>
      </w:r>
      <w:r w:rsidR="00C83D42">
        <w:t>Ombudsman (every six months)</w:t>
      </w:r>
      <w:r w:rsidR="00DF43FE">
        <w:t xml:space="preserve">.  It implements recommendations </w:t>
      </w:r>
      <w:r w:rsidR="003E7891">
        <w:t xml:space="preserve">4 and 16 of the Moss Review and recommendation 11 of the PJCIS Press Freedom Review.  </w:t>
      </w:r>
      <w:r w:rsidR="008D7282">
        <w:t xml:space="preserve">The general secrecy offence in relation to </w:t>
      </w:r>
      <w:r w:rsidR="00F363EC">
        <w:t xml:space="preserve">publishing </w:t>
      </w:r>
      <w:r w:rsidR="008D7282">
        <w:t xml:space="preserve">information that is the subject of a </w:t>
      </w:r>
      <w:r w:rsidR="00F363EC">
        <w:t>disclosure would be repealed (</w:t>
      </w:r>
      <w:r w:rsidR="00452C0F">
        <w:t xml:space="preserve">other </w:t>
      </w:r>
      <w:r w:rsidR="00F363EC">
        <w:t xml:space="preserve">substantive secrecy offences in other legislation would remain in force).  </w:t>
      </w:r>
      <w:r w:rsidR="00AB023E">
        <w:t xml:space="preserve">The Moss review identified the secrecy offence in s 65 of </w:t>
      </w:r>
      <w:r w:rsidR="00312011">
        <w:t>the PID Act</w:t>
      </w:r>
      <w:r w:rsidR="00AB023E">
        <w:t xml:space="preserve"> as impeding the ability of agencies to appropriately share information about a </w:t>
      </w:r>
      <w:r w:rsidR="00AB023E">
        <w:lastRenderedPageBreak/>
        <w:t>disclosure to assist in its investigation.</w:t>
      </w:r>
      <w:r w:rsidR="003E0EE8">
        <w:rPr>
          <w:rStyle w:val="EndnoteReference"/>
        </w:rPr>
        <w:endnoteReference w:id="24"/>
      </w:r>
      <w:r w:rsidR="00AB023E">
        <w:t xml:space="preserve">  In the place of the offence provision, a new s 65 would provide for </w:t>
      </w:r>
      <w:r w:rsidR="008948A7">
        <w:t xml:space="preserve">an explicit authorisation </w:t>
      </w:r>
      <w:r w:rsidR="002C292D">
        <w:t xml:space="preserve">for agencies </w:t>
      </w:r>
      <w:r w:rsidR="008948A7">
        <w:t xml:space="preserve">to share information in particular circumstances. </w:t>
      </w:r>
      <w:r w:rsidR="00200A20">
        <w:t xml:space="preserve"> Importantly, the other secrecy offence in s 20 aimed at protecting the identity of </w:t>
      </w:r>
      <w:proofErr w:type="spellStart"/>
      <w:r w:rsidR="008307E4">
        <w:t>whistleblowers</w:t>
      </w:r>
      <w:proofErr w:type="spellEnd"/>
      <w:r w:rsidR="008307E4">
        <w:t xml:space="preserve"> would be retained (with some amendments</w:t>
      </w:r>
      <w:r w:rsidR="002D5B03">
        <w:t>, including to implement recommendation 19 of the Moss Review</w:t>
      </w:r>
      <w:r w:rsidR="008307E4">
        <w:t>).</w:t>
      </w:r>
    </w:p>
    <w:p w14:paraId="229EF1E2" w14:textId="0A35F7CD" w:rsidR="00DB1718" w:rsidRDefault="00DB1718" w:rsidP="004E2171">
      <w:pPr>
        <w:pStyle w:val="ListNumber"/>
      </w:pPr>
      <w:r>
        <w:t xml:space="preserve">Part 5 </w:t>
      </w:r>
      <w:r w:rsidR="003C34C5">
        <w:t xml:space="preserve">of Schedule 1 </w:t>
      </w:r>
      <w:r w:rsidR="000921C9">
        <w:t xml:space="preserve">describes the </w:t>
      </w:r>
      <w:r w:rsidR="005D2ACF">
        <w:t xml:space="preserve">kinds of complaints that may be made to </w:t>
      </w:r>
      <w:r w:rsidR="000921C9">
        <w:t>the Ombudsman and</w:t>
      </w:r>
      <w:r w:rsidR="00FA023A">
        <w:t xml:space="preserve"> the</w:t>
      </w:r>
      <w:r w:rsidR="000921C9">
        <w:t xml:space="preserve"> IGIS </w:t>
      </w:r>
      <w:r w:rsidR="005D2ACF">
        <w:t xml:space="preserve">about </w:t>
      </w:r>
      <w:r w:rsidR="00931CA4">
        <w:t xml:space="preserve">the handling of a disclosure and compliance with </w:t>
      </w:r>
      <w:r w:rsidR="00312011">
        <w:t>the PID Act</w:t>
      </w:r>
      <w:r w:rsidR="00931CA4">
        <w:t>.</w:t>
      </w:r>
      <w:r w:rsidR="00357681">
        <w:t xml:space="preserve">  This provides useful clarity </w:t>
      </w:r>
      <w:r w:rsidR="00DB3D37">
        <w:t xml:space="preserve">for people who have a grievance about the operation of </w:t>
      </w:r>
      <w:r w:rsidR="00312011">
        <w:t>the Act</w:t>
      </w:r>
      <w:r w:rsidR="00DB3D37">
        <w:t>.</w:t>
      </w:r>
    </w:p>
    <w:p w14:paraId="38D102C6" w14:textId="12B81140" w:rsidR="00931CA4" w:rsidRDefault="00DB3D37" w:rsidP="004E2171">
      <w:pPr>
        <w:pStyle w:val="ListNumber"/>
      </w:pPr>
      <w:r>
        <w:t xml:space="preserve">Part 6 </w:t>
      </w:r>
      <w:r w:rsidR="003C34C5">
        <w:t xml:space="preserve">of Schedule 1 </w:t>
      </w:r>
      <w:r w:rsidR="00C16315">
        <w:t xml:space="preserve">includes provisions to provide for the continuity of </w:t>
      </w:r>
      <w:r w:rsidR="0093393D">
        <w:t>investigations into disclosures despite machinery of government changes.</w:t>
      </w:r>
    </w:p>
    <w:p w14:paraId="3686A514" w14:textId="53F7BE6D" w:rsidR="0093393D" w:rsidRDefault="0093393D" w:rsidP="004E2171">
      <w:pPr>
        <w:pStyle w:val="ListNumber"/>
      </w:pPr>
      <w:r>
        <w:t xml:space="preserve">Part 7 </w:t>
      </w:r>
      <w:r w:rsidR="003C34C5">
        <w:t xml:space="preserve">of Schedule 1 </w:t>
      </w:r>
      <w:r w:rsidR="004234B3">
        <w:t xml:space="preserve">amends the definitions of </w:t>
      </w:r>
      <w:r w:rsidR="00412861">
        <w:t>‘agency’</w:t>
      </w:r>
      <w:r w:rsidR="00527FE1">
        <w:t xml:space="preserve">, ‘public official’ and ‘principal officer’.  </w:t>
      </w:r>
      <w:r w:rsidR="00D97647">
        <w:t xml:space="preserve">This implements recommendations 26 and </w:t>
      </w:r>
      <w:r w:rsidR="00221B2D">
        <w:t>29 of the Moss Review</w:t>
      </w:r>
      <w:r w:rsidR="00A93D4A">
        <w:t>, but not recommendation 27</w:t>
      </w:r>
      <w:r w:rsidR="00221B2D">
        <w:t>.  The failure</w:t>
      </w:r>
      <w:r w:rsidR="00A947B7">
        <w:t xml:space="preserve"> (at least at this stage)</w:t>
      </w:r>
      <w:r w:rsidR="00221B2D">
        <w:t xml:space="preserve"> to implement recommendation 27, dealing with the extension of the regime to </w:t>
      </w:r>
      <w:r w:rsidR="00FA4CBB">
        <w:t>parliamentary staff</w:t>
      </w:r>
      <w:r w:rsidR="00673BAC">
        <w:t>,</w:t>
      </w:r>
      <w:r w:rsidR="00FA4CBB">
        <w:t xml:space="preserve"> is considered </w:t>
      </w:r>
      <w:r w:rsidR="00673BAC">
        <w:t xml:space="preserve">in more detail in section </w:t>
      </w:r>
      <w:r w:rsidR="00303420">
        <w:fldChar w:fldCharType="begin"/>
      </w:r>
      <w:r w:rsidR="00303420">
        <w:instrText xml:space="preserve"> REF _Ref124751011 \r \h </w:instrText>
      </w:r>
      <w:r w:rsidR="00303420">
        <w:fldChar w:fldCharType="separate"/>
      </w:r>
      <w:r w:rsidR="006F77C1">
        <w:t>7.5</w:t>
      </w:r>
      <w:r w:rsidR="00303420">
        <w:fldChar w:fldCharType="end"/>
      </w:r>
      <w:r w:rsidR="00673BAC">
        <w:t xml:space="preserve"> below.  Part 7 would also </w:t>
      </w:r>
      <w:r w:rsidR="00DF53DD">
        <w:t xml:space="preserve">clarify that former officials can make a disclosure, implementing recommendation 6.1 of the PJCCFS </w:t>
      </w:r>
      <w:proofErr w:type="spellStart"/>
      <w:r w:rsidR="00DF53DD">
        <w:t>Whistleblower</w:t>
      </w:r>
      <w:proofErr w:type="spellEnd"/>
      <w:r w:rsidR="00DF53DD">
        <w:t xml:space="preserve"> Report.</w:t>
      </w:r>
    </w:p>
    <w:p w14:paraId="080EAA3E" w14:textId="6F6E8BE4" w:rsidR="00071142" w:rsidRDefault="00071142" w:rsidP="004E2171">
      <w:pPr>
        <w:pStyle w:val="ListNumber"/>
      </w:pPr>
      <w:r>
        <w:t xml:space="preserve">Other amendments to </w:t>
      </w:r>
      <w:r w:rsidR="00312011">
        <w:t>the PID Act</w:t>
      </w:r>
      <w:r>
        <w:t xml:space="preserve"> include </w:t>
      </w:r>
      <w:r w:rsidR="00CC7CAF">
        <w:t>the replacement of s 82A, to provide for a further review of the Act in 5 years (recommendation 1 of the Moss Review).</w:t>
      </w:r>
    </w:p>
    <w:p w14:paraId="546D922D" w14:textId="38E9316F" w:rsidR="005347C5" w:rsidRDefault="00CC0907" w:rsidP="006829B4">
      <w:pPr>
        <w:pStyle w:val="Heading1"/>
      </w:pPr>
      <w:bookmarkStart w:id="19" w:name="_Ref124593387"/>
      <w:bookmarkStart w:id="20" w:name="_Toc125116087"/>
      <w:r>
        <w:t>Recommended f</w:t>
      </w:r>
      <w:r w:rsidR="00376C7C">
        <w:t xml:space="preserve">urther </w:t>
      </w:r>
      <w:proofErr w:type="gramStart"/>
      <w:r w:rsidR="00834A84">
        <w:t>reforms</w:t>
      </w:r>
      <w:bookmarkEnd w:id="19"/>
      <w:bookmarkEnd w:id="20"/>
      <w:proofErr w:type="gramEnd"/>
    </w:p>
    <w:p w14:paraId="63999CF6" w14:textId="5E989722" w:rsidR="00C53757" w:rsidRDefault="00637BA7" w:rsidP="00195CC7">
      <w:pPr>
        <w:pStyle w:val="Heading2"/>
      </w:pPr>
      <w:bookmarkStart w:id="21" w:name="_Toc125116088"/>
      <w:r>
        <w:t>Secrecy provisions</w:t>
      </w:r>
      <w:bookmarkEnd w:id="21"/>
    </w:p>
    <w:p w14:paraId="55B5F79E" w14:textId="59B73C97" w:rsidR="0036383A" w:rsidRDefault="00332FDD" w:rsidP="005347C5">
      <w:pPr>
        <w:pStyle w:val="ListNumber"/>
      </w:pPr>
      <w:r>
        <w:t xml:space="preserve">It is impossible to fully evaluate the operation of </w:t>
      </w:r>
      <w:r w:rsidR="0036383A">
        <w:t xml:space="preserve">a public interest disclosure regime </w:t>
      </w:r>
      <w:r w:rsidR="00F30988">
        <w:t>that applies in the public sector</w:t>
      </w:r>
      <w:r w:rsidR="005366E6">
        <w:t>,</w:t>
      </w:r>
      <w:r w:rsidR="00F30988">
        <w:t xml:space="preserve"> </w:t>
      </w:r>
      <w:r w:rsidR="0036383A">
        <w:t xml:space="preserve">without also considering the suite of </w:t>
      </w:r>
      <w:r w:rsidR="00E00F07">
        <w:t xml:space="preserve">Commonwealth </w:t>
      </w:r>
      <w:r w:rsidR="0036383A">
        <w:t>secrecy laws</w:t>
      </w:r>
      <w:r w:rsidR="00F30988">
        <w:t>.</w:t>
      </w:r>
      <w:r w:rsidR="00A262A9">
        <w:t xml:space="preserve">  In </w:t>
      </w:r>
      <w:r w:rsidR="00E00F07">
        <w:t>some</w:t>
      </w:r>
      <w:r w:rsidR="00A262A9">
        <w:t xml:space="preserve"> cases, the breadth of those secrecy laws is </w:t>
      </w:r>
      <w:r w:rsidR="006D712E">
        <w:t xml:space="preserve">an </w:t>
      </w:r>
      <w:r w:rsidR="00A262A9">
        <w:t xml:space="preserve">impediment to </w:t>
      </w:r>
      <w:r w:rsidR="0047439B">
        <w:t>disclosures that may otherwise be in the public interest.</w:t>
      </w:r>
    </w:p>
    <w:p w14:paraId="4069A798" w14:textId="2AF5B03A" w:rsidR="00BC333C" w:rsidRDefault="00BC333C" w:rsidP="005347C5">
      <w:pPr>
        <w:pStyle w:val="ListNumber"/>
      </w:pPr>
      <w:r>
        <w:t xml:space="preserve">Secrecy laws </w:t>
      </w:r>
      <w:r w:rsidR="002F3C37">
        <w:t xml:space="preserve">engage the right to freedom of expression under </w:t>
      </w:r>
      <w:r w:rsidR="005366E6">
        <w:t>article </w:t>
      </w:r>
      <w:r w:rsidR="002F3C37">
        <w:t xml:space="preserve">19 of the </w:t>
      </w:r>
      <w:r w:rsidR="00A6213B">
        <w:t>ICCPR</w:t>
      </w:r>
      <w:r w:rsidR="002F3C37">
        <w:t xml:space="preserve">.  </w:t>
      </w:r>
      <w:r w:rsidR="00B034BC">
        <w:t xml:space="preserve">The right to freedom of expression can be </w:t>
      </w:r>
      <w:r w:rsidR="00F95608">
        <w:t xml:space="preserve">legitimately </w:t>
      </w:r>
      <w:r w:rsidR="00B034BC">
        <w:t xml:space="preserve">limited </w:t>
      </w:r>
      <w:r w:rsidR="00F95608">
        <w:t xml:space="preserve">if the limitation is rationally connected to a </w:t>
      </w:r>
      <w:r w:rsidR="00F95608">
        <w:lastRenderedPageBreak/>
        <w:t>legitimate purpose and the scope of the limitation is proportionate to achieving that purpose.</w:t>
      </w:r>
    </w:p>
    <w:p w14:paraId="1F962AB1" w14:textId="0AFC7AFE" w:rsidR="00F95608" w:rsidRDefault="00F95608" w:rsidP="005347C5">
      <w:pPr>
        <w:pStyle w:val="ListNumber"/>
      </w:pPr>
      <w:r>
        <w:t>The Human Rights Committee has said that</w:t>
      </w:r>
      <w:r w:rsidR="0057317A">
        <w:t xml:space="preserve"> it is not a permissible limitation on the right to freedom of expression</w:t>
      </w:r>
      <w:r>
        <w:t>:</w:t>
      </w:r>
    </w:p>
    <w:p w14:paraId="348FC725" w14:textId="3D80617B" w:rsidR="00F95608" w:rsidRDefault="00FE2425" w:rsidP="00FE2425">
      <w:pPr>
        <w:pStyle w:val="ListNumber"/>
        <w:numPr>
          <w:ilvl w:val="0"/>
          <w:numId w:val="0"/>
        </w:numPr>
        <w:ind w:left="1440"/>
      </w:pPr>
      <w:r w:rsidRPr="00FE2425">
        <w:rPr>
          <w:sz w:val="22"/>
          <w:szCs w:val="22"/>
        </w:rPr>
        <w:t>to invoke such [secrecy] laws to suppress or withhold from the public information of legitimate public interest that does not harm national security or to prosecute journalists, researchers, environmental activists, human rights defenders, or others, for having disseminated such information.</w:t>
      </w:r>
      <w:r>
        <w:rPr>
          <w:rStyle w:val="EndnoteReference"/>
          <w:szCs w:val="22"/>
        </w:rPr>
        <w:endnoteReference w:id="25"/>
      </w:r>
    </w:p>
    <w:p w14:paraId="3F822F96" w14:textId="0064E92F" w:rsidR="00F03C56" w:rsidRDefault="00AE0628" w:rsidP="005347C5">
      <w:pPr>
        <w:pStyle w:val="ListNumber"/>
      </w:pPr>
      <w:r>
        <w:t>As noted above, i</w:t>
      </w:r>
      <w:r w:rsidR="00F03C56">
        <w:t>n 2009</w:t>
      </w:r>
      <w:r>
        <w:t xml:space="preserve"> the ALRC Secrecy Report was published </w:t>
      </w:r>
      <w:r w:rsidR="00956C6E">
        <w:t>in response to terms of reference issued by then Attorney-General, the Hon Robert McClelland MP.</w:t>
      </w:r>
      <w:r>
        <w:t xml:space="preserve"> </w:t>
      </w:r>
      <w:r w:rsidR="00DA2AD5">
        <w:t xml:space="preserve"> One aspect of the terms of reference was </w:t>
      </w:r>
      <w:r w:rsidR="001B4975">
        <w:t>‘the importance of balancing the need to protect Commonwealth information and the public interest in an open and accountable system of government’.</w:t>
      </w:r>
      <w:r w:rsidR="004722BF">
        <w:rPr>
          <w:rStyle w:val="EndnoteReference"/>
        </w:rPr>
        <w:endnoteReference w:id="26"/>
      </w:r>
      <w:r w:rsidR="00BA2E86">
        <w:t xml:space="preserve">  The ALRC Secrecy Report identified </w:t>
      </w:r>
      <w:r w:rsidR="00845B2F">
        <w:t>506 secrecy provisions in 176 pieces of legislation, including 358 distinct criminal offences.</w:t>
      </w:r>
      <w:r w:rsidR="003D1290">
        <w:rPr>
          <w:rStyle w:val="EndnoteReference"/>
        </w:rPr>
        <w:endnoteReference w:id="27"/>
      </w:r>
      <w:r w:rsidR="003D1290">
        <w:t xml:space="preserve">  It made </w:t>
      </w:r>
      <w:proofErr w:type="gramStart"/>
      <w:r w:rsidR="003D1290">
        <w:t>a number of</w:t>
      </w:r>
      <w:proofErr w:type="gramEnd"/>
      <w:r w:rsidR="003D1290">
        <w:t xml:space="preserve"> recommendations in relation to </w:t>
      </w:r>
      <w:r w:rsidR="004E04D0">
        <w:t xml:space="preserve">both </w:t>
      </w:r>
      <w:r w:rsidR="003D1290">
        <w:t>‘general’ and ‘specific’ secrecy offences.</w:t>
      </w:r>
    </w:p>
    <w:p w14:paraId="3FF0DA02" w14:textId="090A79F9" w:rsidR="00D473C5" w:rsidRDefault="00997883" w:rsidP="00C40DA4">
      <w:pPr>
        <w:pStyle w:val="ListNumber"/>
      </w:pPr>
      <w:r>
        <w:t xml:space="preserve">In 2018, </w:t>
      </w:r>
      <w:r w:rsidR="00A569E3">
        <w:t xml:space="preserve">the </w:t>
      </w:r>
      <w:r w:rsidR="00521071">
        <w:t xml:space="preserve">general </w:t>
      </w:r>
      <w:r w:rsidR="00A569E3">
        <w:t xml:space="preserve">secrecy offences in ss 70 and 79(3) of the </w:t>
      </w:r>
      <w:r w:rsidR="00A569E3" w:rsidRPr="008F2B39">
        <w:rPr>
          <w:i/>
          <w:iCs/>
        </w:rPr>
        <w:t>Crimes Act 1914</w:t>
      </w:r>
      <w:r w:rsidR="00A569E3">
        <w:t xml:space="preserve"> (</w:t>
      </w:r>
      <w:proofErr w:type="spellStart"/>
      <w:r w:rsidR="00A569E3">
        <w:t>Cth</w:t>
      </w:r>
      <w:proofErr w:type="spellEnd"/>
      <w:r w:rsidR="00A569E3">
        <w:t xml:space="preserve">) were repealed and new </w:t>
      </w:r>
      <w:r w:rsidR="000F1829">
        <w:t xml:space="preserve">general </w:t>
      </w:r>
      <w:r w:rsidR="00A569E3">
        <w:t xml:space="preserve">secrecy offences were inserted into </w:t>
      </w:r>
      <w:r w:rsidR="00D44407">
        <w:t>Part 5.6 of the</w:t>
      </w:r>
      <w:r w:rsidR="00A569E3">
        <w:t xml:space="preserve"> </w:t>
      </w:r>
      <w:r w:rsidR="00A569E3" w:rsidRPr="008F2B39">
        <w:rPr>
          <w:i/>
          <w:iCs/>
        </w:rPr>
        <w:t>Criminal Code</w:t>
      </w:r>
      <w:r w:rsidR="007C5245">
        <w:t xml:space="preserve"> (</w:t>
      </w:r>
      <w:proofErr w:type="spellStart"/>
      <w:r w:rsidR="007C5245">
        <w:t>Cth</w:t>
      </w:r>
      <w:proofErr w:type="spellEnd"/>
      <w:r w:rsidR="007C5245">
        <w:t>)</w:t>
      </w:r>
      <w:r w:rsidR="00A569E3">
        <w:t>.</w:t>
      </w:r>
      <w:r w:rsidR="007C5245">
        <w:rPr>
          <w:rStyle w:val="EndnoteReference"/>
        </w:rPr>
        <w:endnoteReference w:id="28"/>
      </w:r>
      <w:r w:rsidR="0087094D">
        <w:t xml:space="preserve">  </w:t>
      </w:r>
      <w:r w:rsidR="00EC25CD">
        <w:t xml:space="preserve">Those amendments went some way to implementing </w:t>
      </w:r>
      <w:r w:rsidR="008B1D5A">
        <w:t xml:space="preserve">some </w:t>
      </w:r>
      <w:r w:rsidR="00732FF1">
        <w:t>recommendations from the ALRC Secrecy Report</w:t>
      </w:r>
      <w:r w:rsidR="005A3EE1">
        <w:t xml:space="preserve">, including by more tightly tying </w:t>
      </w:r>
      <w:r w:rsidR="00393925">
        <w:t xml:space="preserve">some </w:t>
      </w:r>
      <w:r w:rsidR="003314A0">
        <w:t xml:space="preserve">offences </w:t>
      </w:r>
      <w:r w:rsidR="005A3EE1">
        <w:t xml:space="preserve">to </w:t>
      </w:r>
      <w:r w:rsidR="00C66D40">
        <w:t xml:space="preserve">actual or anticipated </w:t>
      </w:r>
      <w:r w:rsidR="003314A0">
        <w:t>harm to Australia’s interests;</w:t>
      </w:r>
      <w:r w:rsidR="00917C18">
        <w:rPr>
          <w:rStyle w:val="EndnoteReference"/>
        </w:rPr>
        <w:endnoteReference w:id="29"/>
      </w:r>
      <w:r w:rsidR="003314A0">
        <w:t xml:space="preserve"> and by including </w:t>
      </w:r>
      <w:r w:rsidR="000F1829">
        <w:t>a defence for public interest disclosures by journalists.</w:t>
      </w:r>
      <w:r w:rsidR="00365D56">
        <w:rPr>
          <w:rStyle w:val="EndnoteReference"/>
        </w:rPr>
        <w:endnoteReference w:id="30"/>
      </w:r>
      <w:r w:rsidR="008F2B39">
        <w:t xml:space="preserve">  </w:t>
      </w:r>
      <w:r w:rsidR="00015597">
        <w:t>Further a</w:t>
      </w:r>
      <w:r w:rsidR="00D83D98">
        <w:t>mendments were made to the Bill that introduced Part 5.6 to address a number of human rights concerns</w:t>
      </w:r>
      <w:r w:rsidR="00015597">
        <w:t xml:space="preserve"> identified as part of the scrutiny process</w:t>
      </w:r>
      <w:r w:rsidR="00D83D98">
        <w:t xml:space="preserve">, </w:t>
      </w:r>
      <w:r w:rsidR="001A4C15">
        <w:t>h</w:t>
      </w:r>
      <w:r w:rsidR="000F1829">
        <w:t xml:space="preserve">owever, </w:t>
      </w:r>
      <w:r w:rsidR="001A4C15">
        <w:t>in its final report on the Bill</w:t>
      </w:r>
      <w:r w:rsidR="00BD10A7">
        <w:t>,</w:t>
      </w:r>
      <w:r w:rsidR="001A4C15">
        <w:t xml:space="preserve"> </w:t>
      </w:r>
      <w:r w:rsidR="00BD34B9">
        <w:t xml:space="preserve">the Parliamentary Joint Committee on Human Rights identified a number of outstanding </w:t>
      </w:r>
      <w:r w:rsidR="00D83D98">
        <w:t xml:space="preserve">concerns </w:t>
      </w:r>
      <w:r w:rsidR="001A4C15">
        <w:t xml:space="preserve">that </w:t>
      </w:r>
      <w:r w:rsidR="00D83D98">
        <w:t>remained.</w:t>
      </w:r>
      <w:r w:rsidR="001A4C15">
        <w:rPr>
          <w:rStyle w:val="EndnoteReference"/>
        </w:rPr>
        <w:endnoteReference w:id="31"/>
      </w:r>
      <w:r w:rsidR="00BD34B9">
        <w:t xml:space="preserve"> </w:t>
      </w:r>
    </w:p>
    <w:p w14:paraId="0AC0083B" w14:textId="7111F855" w:rsidR="004B456D" w:rsidRDefault="00182DF8" w:rsidP="005347C5">
      <w:pPr>
        <w:pStyle w:val="ListNumber"/>
      </w:pPr>
      <w:r>
        <w:t xml:space="preserve">A review of </w:t>
      </w:r>
      <w:r w:rsidR="00A859EA">
        <w:t xml:space="preserve">Part 5.6 </w:t>
      </w:r>
      <w:r w:rsidR="00526326">
        <w:t xml:space="preserve">of the Criminal Code </w:t>
      </w:r>
      <w:r>
        <w:t xml:space="preserve">by the Independent National Security Legislation Monitor </w:t>
      </w:r>
      <w:r w:rsidR="00410481">
        <w:t xml:space="preserve">(INSLM) </w:t>
      </w:r>
      <w:r>
        <w:t xml:space="preserve">is </w:t>
      </w:r>
      <w:r w:rsidR="00015597">
        <w:t xml:space="preserve">currently </w:t>
      </w:r>
      <w:r>
        <w:t>due.</w:t>
      </w:r>
      <w:r w:rsidR="00751309">
        <w:rPr>
          <w:rStyle w:val="EndnoteReference"/>
        </w:rPr>
        <w:endnoteReference w:id="32"/>
      </w:r>
      <w:r w:rsidR="00383C4A">
        <w:t xml:space="preserve">  According to the Attorney-General’s Department, this review has been commenced but </w:t>
      </w:r>
      <w:r w:rsidR="00410481">
        <w:t>the INSLM is not expected to report until 2024.</w:t>
      </w:r>
      <w:r w:rsidR="00A20070">
        <w:rPr>
          <w:rStyle w:val="EndnoteReference"/>
        </w:rPr>
        <w:endnoteReference w:id="33"/>
      </w:r>
    </w:p>
    <w:p w14:paraId="5421DE40" w14:textId="096223D6" w:rsidR="008A325F" w:rsidRDefault="00994867" w:rsidP="005347C5">
      <w:pPr>
        <w:pStyle w:val="ListNumber"/>
      </w:pPr>
      <w:r>
        <w:t>In introducing the present Bill</w:t>
      </w:r>
      <w:r w:rsidR="00CF0F32">
        <w:t xml:space="preserve"> on 30 November 2022</w:t>
      </w:r>
      <w:r>
        <w:t>, the Attorney-General</w:t>
      </w:r>
      <w:r w:rsidR="005E793B">
        <w:t>, the Hon Mark Dreyfus KC</w:t>
      </w:r>
      <w:r>
        <w:t xml:space="preserve"> </w:t>
      </w:r>
      <w:r w:rsidR="00E0344C">
        <w:t xml:space="preserve">MP, </w:t>
      </w:r>
      <w:r w:rsidR="00FE510D">
        <w:t>emphasised that it was ‘only the first stage of reform’ to public interest disclosure laws.</w:t>
      </w:r>
      <w:r w:rsidR="00730B51">
        <w:t xml:space="preserve">  He indicated that the second stage of reform would include public consultation on</w:t>
      </w:r>
      <w:r w:rsidR="007C5448">
        <w:t>:</w:t>
      </w:r>
    </w:p>
    <w:p w14:paraId="734F8F1E" w14:textId="74AF8217" w:rsidR="007C5448" w:rsidRDefault="007C5448" w:rsidP="007C5448">
      <w:pPr>
        <w:pStyle w:val="ListNumber"/>
        <w:numPr>
          <w:ilvl w:val="0"/>
          <w:numId w:val="0"/>
        </w:numPr>
        <w:ind w:left="1440" w:hanging="346"/>
      </w:pPr>
      <w:r>
        <w:lastRenderedPageBreak/>
        <w:t xml:space="preserve">(a) </w:t>
      </w:r>
      <w:r>
        <w:tab/>
        <w:t xml:space="preserve">further reforms to address the underlying complexity of the scheme and provide effective and accessible </w:t>
      </w:r>
      <w:r w:rsidR="00786DE3">
        <w:t xml:space="preserve">protections to public sector </w:t>
      </w:r>
      <w:proofErr w:type="spellStart"/>
      <w:proofErr w:type="gramStart"/>
      <w:r w:rsidR="00786DE3">
        <w:t>whistleblowers</w:t>
      </w:r>
      <w:proofErr w:type="spellEnd"/>
      <w:r w:rsidR="00786DE3">
        <w:t>;</w:t>
      </w:r>
      <w:proofErr w:type="gramEnd"/>
    </w:p>
    <w:p w14:paraId="1030774D" w14:textId="352D067B" w:rsidR="00786DE3" w:rsidRDefault="00786DE3" w:rsidP="007C5448">
      <w:pPr>
        <w:pStyle w:val="ListNumber"/>
        <w:numPr>
          <w:ilvl w:val="0"/>
          <w:numId w:val="0"/>
        </w:numPr>
        <w:ind w:left="1440" w:hanging="346"/>
      </w:pPr>
      <w:r>
        <w:t>(b)</w:t>
      </w:r>
      <w:r>
        <w:tab/>
        <w:t xml:space="preserve">a discussion paper on whether there is a need to establish a </w:t>
      </w:r>
      <w:proofErr w:type="spellStart"/>
      <w:r>
        <w:t>whistleblower</w:t>
      </w:r>
      <w:proofErr w:type="spellEnd"/>
      <w:r>
        <w:t xml:space="preserve"> </w:t>
      </w:r>
      <w:r w:rsidR="00732B34">
        <w:t>protection authority or commissioner.</w:t>
      </w:r>
      <w:r w:rsidR="00FF1BC3">
        <w:rPr>
          <w:rStyle w:val="EndnoteReference"/>
        </w:rPr>
        <w:endnoteReference w:id="34"/>
      </w:r>
    </w:p>
    <w:p w14:paraId="35BCFE6F" w14:textId="71FA76F6" w:rsidR="001B12AF" w:rsidRDefault="00927459" w:rsidP="005347C5">
      <w:pPr>
        <w:pStyle w:val="ListNumber"/>
      </w:pPr>
      <w:r>
        <w:t>On 22 December 2022</w:t>
      </w:r>
      <w:r w:rsidR="001B12AF">
        <w:t>, the Attorney</w:t>
      </w:r>
      <w:r>
        <w:t xml:space="preserve">-General </w:t>
      </w:r>
      <w:r w:rsidR="00CF0F32">
        <w:t xml:space="preserve">announced that </w:t>
      </w:r>
      <w:r w:rsidR="00BA0A3D">
        <w:t xml:space="preserve">his department would </w:t>
      </w:r>
      <w:r w:rsidR="006066F5">
        <w:t xml:space="preserve">also </w:t>
      </w:r>
      <w:r w:rsidR="00BA0A3D">
        <w:t xml:space="preserve">conduct a review of </w:t>
      </w:r>
      <w:r w:rsidR="00C6669E">
        <w:t>Commonwealth secrecy offences.</w:t>
      </w:r>
      <w:r w:rsidR="00C6669E">
        <w:rPr>
          <w:rStyle w:val="EndnoteReference"/>
        </w:rPr>
        <w:endnoteReference w:id="35"/>
      </w:r>
      <w:r w:rsidR="006D4E3C">
        <w:t xml:space="preserve">  The terms of reference</w:t>
      </w:r>
      <w:r w:rsidR="00380759">
        <w:t xml:space="preserve"> </w:t>
      </w:r>
      <w:r w:rsidR="006D4E3C">
        <w:t xml:space="preserve">require the department to </w:t>
      </w:r>
      <w:r w:rsidR="00E40E10">
        <w:t>conduct an inquiry and report on:</w:t>
      </w:r>
    </w:p>
    <w:p w14:paraId="21DF3035" w14:textId="2A5AF2A2" w:rsidR="00C50E69" w:rsidRPr="00C50E69" w:rsidRDefault="00C50E69" w:rsidP="00C50E69">
      <w:pPr>
        <w:pStyle w:val="ListNumber"/>
        <w:numPr>
          <w:ilvl w:val="0"/>
          <w:numId w:val="38"/>
        </w:numPr>
      </w:pPr>
      <w:r w:rsidRPr="00C50E69">
        <w:t xml:space="preserve">any specific secrecy offences in Commonwealth legislation that are no longer required in light of the introduction of the general secrecy offences </w:t>
      </w:r>
      <w:r w:rsidR="00526A33">
        <w:t xml:space="preserve">introduced in </w:t>
      </w:r>
      <w:proofErr w:type="gramStart"/>
      <w:r w:rsidR="00526A33">
        <w:t>2018</w:t>
      </w:r>
      <w:proofErr w:type="gramEnd"/>
    </w:p>
    <w:p w14:paraId="0A492691" w14:textId="0C180C1A" w:rsidR="00C50E69" w:rsidRPr="00C50E69" w:rsidRDefault="00C50E69" w:rsidP="00C50E69">
      <w:pPr>
        <w:pStyle w:val="ListNumber"/>
        <w:numPr>
          <w:ilvl w:val="0"/>
          <w:numId w:val="38"/>
        </w:numPr>
      </w:pPr>
      <w:r w:rsidRPr="00C50E69">
        <w:t xml:space="preserve">the suitability and appropriate framing of the general and specific secrecy offences in Commonwealth legislation, having </w:t>
      </w:r>
      <w:proofErr w:type="gramStart"/>
      <w:r w:rsidRPr="00C50E69">
        <w:t>particular regard</w:t>
      </w:r>
      <w:proofErr w:type="gramEnd"/>
      <w:r w:rsidRPr="00C50E69">
        <w:t xml:space="preserve"> to:</w:t>
      </w:r>
    </w:p>
    <w:p w14:paraId="33593CD4" w14:textId="79498912" w:rsidR="00C50E69" w:rsidRPr="00C50E69" w:rsidRDefault="00C50E69" w:rsidP="00C50E69">
      <w:pPr>
        <w:pStyle w:val="ListNumber"/>
        <w:numPr>
          <w:ilvl w:val="1"/>
          <w:numId w:val="38"/>
        </w:numPr>
        <w:ind w:left="2160"/>
      </w:pPr>
      <w:r w:rsidRPr="00C50E69">
        <w:t>the principles outlined in the ALRC’s report</w:t>
      </w:r>
      <w:r w:rsidR="002102A8">
        <w:t xml:space="preserve"> </w:t>
      </w:r>
      <w:r w:rsidRPr="00C50E69">
        <w:rPr>
          <w:i/>
          <w:iCs/>
        </w:rPr>
        <w:t>Secrecy Laws and Open Government in Australia</w:t>
      </w:r>
    </w:p>
    <w:p w14:paraId="017F54AE" w14:textId="567349CE" w:rsidR="00C50E69" w:rsidRPr="00C50E69" w:rsidRDefault="00C50E69" w:rsidP="00C50E69">
      <w:pPr>
        <w:pStyle w:val="ListNumber"/>
        <w:numPr>
          <w:ilvl w:val="1"/>
          <w:numId w:val="38"/>
        </w:numPr>
        <w:ind w:left="2160"/>
      </w:pPr>
      <w:r w:rsidRPr="00C50E69">
        <w:t>other relevant principles, including but not limited to those set out in the</w:t>
      </w:r>
      <w:r w:rsidR="002102A8">
        <w:t xml:space="preserve"> </w:t>
      </w:r>
      <w:r w:rsidRPr="00C50E69">
        <w:t>Guide to Framing Commonwealth Offences, Infringement Notices and Enforcement Powers</w:t>
      </w:r>
    </w:p>
    <w:p w14:paraId="0CE04B84" w14:textId="5D55EA67" w:rsidR="00C50E69" w:rsidRPr="00C50E69" w:rsidRDefault="00C50E69" w:rsidP="00C50E69">
      <w:pPr>
        <w:pStyle w:val="ListNumber"/>
        <w:numPr>
          <w:ilvl w:val="0"/>
          <w:numId w:val="38"/>
        </w:numPr>
      </w:pPr>
      <w:r w:rsidRPr="00C50E69">
        <w:t xml:space="preserve">any amendments to general and specific secrecy offences in Commonwealth legislation that are necessary to adequately protect individuals who provide information to Royal Commissions (balanced against other essential public interests) </w:t>
      </w:r>
    </w:p>
    <w:p w14:paraId="0D0E6905" w14:textId="39EA4058" w:rsidR="00E40E10" w:rsidRDefault="00C50E69" w:rsidP="00C50E69">
      <w:pPr>
        <w:pStyle w:val="ListNumber"/>
        <w:numPr>
          <w:ilvl w:val="0"/>
          <w:numId w:val="38"/>
        </w:numPr>
      </w:pPr>
      <w:r w:rsidRPr="00C50E69">
        <w:t>any amendments that are necessary to adequately protect public interest journalism (balanced against other essential public interests).</w:t>
      </w:r>
      <w:r w:rsidR="00DA11B0">
        <w:rPr>
          <w:rStyle w:val="EndnoteReference"/>
        </w:rPr>
        <w:endnoteReference w:id="36"/>
      </w:r>
    </w:p>
    <w:p w14:paraId="474F6D57" w14:textId="7FCF3F7A" w:rsidR="008E3916" w:rsidRDefault="00C0374F" w:rsidP="005347C5">
      <w:pPr>
        <w:pStyle w:val="ListNumber"/>
      </w:pPr>
      <w:r>
        <w:t xml:space="preserve">The department is </w:t>
      </w:r>
      <w:r w:rsidR="00381663">
        <w:t>required to consult with Commonwealth departments and agencies</w:t>
      </w:r>
      <w:r w:rsidR="00A545BB">
        <w:t>, civil society</w:t>
      </w:r>
      <w:r w:rsidR="0016795F">
        <w:t xml:space="preserve"> (including media organisations and legal experts) and current royal commissions.  It is </w:t>
      </w:r>
      <w:r>
        <w:t xml:space="preserve">due to report by </w:t>
      </w:r>
      <w:r w:rsidR="002D603A">
        <w:t>30 June 2023.</w:t>
      </w:r>
    </w:p>
    <w:p w14:paraId="2BF1EFBA" w14:textId="261C60DB" w:rsidR="007C5448" w:rsidRDefault="00732B34" w:rsidP="005347C5">
      <w:pPr>
        <w:pStyle w:val="ListNumber"/>
      </w:pPr>
      <w:r>
        <w:t xml:space="preserve">Given the importance of the scope of secrecy offences to </w:t>
      </w:r>
      <w:r w:rsidR="009B534F">
        <w:t xml:space="preserve">the PID Act </w:t>
      </w:r>
      <w:r>
        <w:t xml:space="preserve">regime, the Commission considers that </w:t>
      </w:r>
      <w:r w:rsidR="00D22BC5">
        <w:t xml:space="preserve">the </w:t>
      </w:r>
      <w:r w:rsidR="009F3435">
        <w:t xml:space="preserve">anticipated </w:t>
      </w:r>
      <w:r>
        <w:t xml:space="preserve">further reform </w:t>
      </w:r>
      <w:r w:rsidR="00864428">
        <w:t xml:space="preserve">of the PID Act </w:t>
      </w:r>
      <w:r>
        <w:t xml:space="preserve">should also include public discussion about whether existing secrecy offences </w:t>
      </w:r>
      <w:r w:rsidR="008E349C">
        <w:t xml:space="preserve">strike the right balance between the need to protect Commonwealth information and the public interest in an open </w:t>
      </w:r>
      <w:r w:rsidR="008E349C">
        <w:lastRenderedPageBreak/>
        <w:t>and accountable system of government</w:t>
      </w:r>
      <w:r w:rsidR="00C6611F">
        <w:t>, and have regard to any recommendations of the Attorney-General’s Department in relation to secrecy laws</w:t>
      </w:r>
      <w:r w:rsidR="008E349C">
        <w:t>.</w:t>
      </w:r>
    </w:p>
    <w:p w14:paraId="6CC6C004" w14:textId="61B3AC13" w:rsidR="008E349C" w:rsidRPr="008E349C" w:rsidRDefault="008E349C" w:rsidP="008E349C">
      <w:pPr>
        <w:pStyle w:val="ListNumber"/>
        <w:keepNext/>
        <w:numPr>
          <w:ilvl w:val="0"/>
          <w:numId w:val="0"/>
        </w:numPr>
        <w:ind w:left="1094"/>
        <w:rPr>
          <w:b/>
          <w:bCs/>
        </w:rPr>
      </w:pPr>
      <w:r w:rsidRPr="008E349C">
        <w:rPr>
          <w:b/>
          <w:bCs/>
        </w:rPr>
        <w:t>Recommendation 1</w:t>
      </w:r>
    </w:p>
    <w:p w14:paraId="769E8670" w14:textId="641995FA" w:rsidR="008E349C" w:rsidRDefault="008E349C" w:rsidP="008E349C">
      <w:pPr>
        <w:pStyle w:val="ListNumber"/>
        <w:numPr>
          <w:ilvl w:val="0"/>
          <w:numId w:val="0"/>
        </w:numPr>
        <w:ind w:left="1094"/>
      </w:pPr>
      <w:r>
        <w:t>The Commission recommends that the</w:t>
      </w:r>
      <w:r w:rsidR="00BC5AD6">
        <w:t xml:space="preserve"> next stage of reform of public interest disclosure laws include public consultation in relation to the breadth and appropriateness of </w:t>
      </w:r>
      <w:r w:rsidR="007B391C">
        <w:t xml:space="preserve">Commonwealth secrecy </w:t>
      </w:r>
      <w:proofErr w:type="gramStart"/>
      <w:r w:rsidR="007B391C">
        <w:t>offences</w:t>
      </w:r>
      <w:r w:rsidR="00696BD8">
        <w:t>, and</w:t>
      </w:r>
      <w:proofErr w:type="gramEnd"/>
      <w:r w:rsidR="00696BD8">
        <w:t xml:space="preserve"> have regard to the findings of the Attorney-General’s Department’s </w:t>
      </w:r>
      <w:r w:rsidR="0081690E">
        <w:t>current review of secrecy provisions</w:t>
      </w:r>
      <w:r w:rsidR="007B391C">
        <w:t>.</w:t>
      </w:r>
    </w:p>
    <w:p w14:paraId="2356DE09" w14:textId="0F413C42" w:rsidR="007317BF" w:rsidRDefault="007317BF" w:rsidP="00195CC7">
      <w:pPr>
        <w:pStyle w:val="Heading2"/>
      </w:pPr>
      <w:bookmarkStart w:id="22" w:name="_Toc125116089"/>
      <w:proofErr w:type="spellStart"/>
      <w:r>
        <w:t>Whistleblower</w:t>
      </w:r>
      <w:proofErr w:type="spellEnd"/>
      <w:r>
        <w:t xml:space="preserve"> protection authority</w:t>
      </w:r>
      <w:bookmarkEnd w:id="22"/>
    </w:p>
    <w:p w14:paraId="7697C8F3" w14:textId="724C2858" w:rsidR="00CB1EF6" w:rsidRDefault="005C715B" w:rsidP="00055673">
      <w:pPr>
        <w:pStyle w:val="ListNumber"/>
      </w:pPr>
      <w:r>
        <w:t xml:space="preserve">The establishment of a </w:t>
      </w:r>
      <w:r w:rsidR="0056427A">
        <w:t xml:space="preserve">‘one-stop shop’ </w:t>
      </w:r>
      <w:proofErr w:type="spellStart"/>
      <w:r>
        <w:t>whistleblower</w:t>
      </w:r>
      <w:proofErr w:type="spellEnd"/>
      <w:r>
        <w:t xml:space="preserve"> </w:t>
      </w:r>
      <w:r w:rsidR="0056427A">
        <w:t xml:space="preserve">protection authority to cover both the public and private sectors was a key recommendation of </w:t>
      </w:r>
      <w:r w:rsidR="00F3260E">
        <w:t xml:space="preserve">the </w:t>
      </w:r>
      <w:r w:rsidR="00EE269F">
        <w:t xml:space="preserve">PJCCFS </w:t>
      </w:r>
      <w:proofErr w:type="spellStart"/>
      <w:r w:rsidR="00EE269F">
        <w:t>Whistleblower</w:t>
      </w:r>
      <w:proofErr w:type="spellEnd"/>
      <w:r w:rsidR="00EE269F">
        <w:t xml:space="preserve"> Report.</w:t>
      </w:r>
      <w:r w:rsidR="009D1086">
        <w:rPr>
          <w:rStyle w:val="EndnoteReference"/>
        </w:rPr>
        <w:endnoteReference w:id="37"/>
      </w:r>
      <w:r w:rsidR="009B604A">
        <w:t xml:space="preserve">  </w:t>
      </w:r>
      <w:r w:rsidR="00EE269F">
        <w:t xml:space="preserve">The Commission notes the </w:t>
      </w:r>
      <w:r w:rsidR="002E73A8">
        <w:t>G</w:t>
      </w:r>
      <w:r w:rsidR="00EE269F">
        <w:t xml:space="preserve">overnment’s intention to prepare a discussion paper </w:t>
      </w:r>
      <w:r w:rsidR="009D1086">
        <w:t xml:space="preserve">in relation to the establishment of such a body.  </w:t>
      </w:r>
    </w:p>
    <w:p w14:paraId="17886BA4" w14:textId="0258FBBA" w:rsidR="00EE269F" w:rsidRDefault="009D1086" w:rsidP="007317BF">
      <w:pPr>
        <w:pStyle w:val="ListNumber"/>
      </w:pPr>
      <w:r>
        <w:t xml:space="preserve">It may be that </w:t>
      </w:r>
      <w:r w:rsidR="006E6CD0">
        <w:t xml:space="preserve">the establishment of a </w:t>
      </w:r>
      <w:proofErr w:type="spellStart"/>
      <w:r w:rsidR="006E6CD0">
        <w:t>whistleblower</w:t>
      </w:r>
      <w:proofErr w:type="spellEnd"/>
      <w:r w:rsidR="006E6CD0">
        <w:t xml:space="preserve"> protection authority could assist </w:t>
      </w:r>
      <w:r w:rsidR="00EA7D71">
        <w:t xml:space="preserve">in </w:t>
      </w:r>
      <w:r w:rsidR="00CB1EF6">
        <w:t>achieving the aim of recommendation 2 of the Moss Report</w:t>
      </w:r>
      <w:r w:rsidR="00042D1D">
        <w:t>,</w:t>
      </w:r>
      <w:r w:rsidR="00CB1EF6">
        <w:t xml:space="preserve"> but in a different way.  Recommendation 2 was that </w:t>
      </w:r>
      <w:r w:rsidR="001E34AE">
        <w:t xml:space="preserve">a range of existing agencies </w:t>
      </w:r>
      <w:r w:rsidR="00CB51E0">
        <w:t xml:space="preserve">with inquiry functions </w:t>
      </w:r>
      <w:r w:rsidR="001E34AE">
        <w:t xml:space="preserve">be designated </w:t>
      </w:r>
      <w:r w:rsidR="00CB51E0">
        <w:t xml:space="preserve">as ‘investigative agencies’ under </w:t>
      </w:r>
      <w:r w:rsidR="00312011">
        <w:t>the PID Act</w:t>
      </w:r>
      <w:r w:rsidR="00CB51E0">
        <w:t xml:space="preserve"> in order to support a ‘no wrong doors’ approach to </w:t>
      </w:r>
      <w:r w:rsidR="001E4097">
        <w:t>reporting.</w:t>
      </w:r>
      <w:r w:rsidR="001E4097">
        <w:rPr>
          <w:rStyle w:val="EndnoteReference"/>
        </w:rPr>
        <w:endnoteReference w:id="38"/>
      </w:r>
      <w:r w:rsidR="001E4097">
        <w:t xml:space="preserve">  </w:t>
      </w:r>
      <w:r w:rsidR="00312011">
        <w:t>The PID Act</w:t>
      </w:r>
      <w:r w:rsidR="00427DB6">
        <w:t xml:space="preserve"> provides that </w:t>
      </w:r>
      <w:r w:rsidR="00250029">
        <w:t>the Ombudsman and the IGIS are ‘investigative agencies’</w:t>
      </w:r>
      <w:r w:rsidR="000561D6">
        <w:t>,</w:t>
      </w:r>
      <w:r w:rsidR="00250029">
        <w:t xml:space="preserve"> along with any other agency </w:t>
      </w:r>
      <w:r w:rsidR="00622EBF">
        <w:t xml:space="preserve">prescribed in the </w:t>
      </w:r>
      <w:r w:rsidR="00EA10AE">
        <w:t>Public Interest Disclosure Rules made by the Minister under s 83</w:t>
      </w:r>
      <w:r w:rsidR="00622EBF">
        <w:t>.</w:t>
      </w:r>
      <w:r w:rsidR="00622EBF">
        <w:rPr>
          <w:rStyle w:val="EndnoteReference"/>
        </w:rPr>
        <w:endnoteReference w:id="39"/>
      </w:r>
      <w:r w:rsidR="00622EBF">
        <w:t xml:space="preserve">  </w:t>
      </w:r>
      <w:r w:rsidR="00E613CC">
        <w:t xml:space="preserve">In </w:t>
      </w:r>
      <w:r w:rsidR="008740F2">
        <w:t xml:space="preserve">its response to the Moss Review in </w:t>
      </w:r>
      <w:r w:rsidR="00E613CC">
        <w:t xml:space="preserve">December 2020, the </w:t>
      </w:r>
      <w:r w:rsidR="00714F8A">
        <w:t xml:space="preserve">then Government </w:t>
      </w:r>
      <w:r w:rsidR="008740F2">
        <w:t xml:space="preserve">said that it agreed in principle with </w:t>
      </w:r>
      <w:r w:rsidR="00D77061">
        <w:t>recommendation 2, including the list of agencies to be prescribed and that it intended to liaise with each of them</w:t>
      </w:r>
      <w:r w:rsidR="00445576">
        <w:t xml:space="preserve"> about this issue.</w:t>
      </w:r>
      <w:r w:rsidR="00445576">
        <w:rPr>
          <w:rStyle w:val="EndnoteReference"/>
        </w:rPr>
        <w:endnoteReference w:id="40"/>
      </w:r>
      <w:r w:rsidR="00445576">
        <w:t xml:space="preserve">  </w:t>
      </w:r>
      <w:r w:rsidR="00622EBF">
        <w:t xml:space="preserve">However, no </w:t>
      </w:r>
      <w:r w:rsidR="00DC683E">
        <w:t xml:space="preserve">other </w:t>
      </w:r>
      <w:r w:rsidR="00622EBF">
        <w:t xml:space="preserve">agencies </w:t>
      </w:r>
      <w:r w:rsidR="00BD7948">
        <w:t>are currently</w:t>
      </w:r>
      <w:r w:rsidR="00622EBF">
        <w:t xml:space="preserve"> prescribed as investigative agencies.</w:t>
      </w:r>
      <w:r w:rsidR="00BD7948">
        <w:rPr>
          <w:rStyle w:val="EndnoteReference"/>
        </w:rPr>
        <w:endnoteReference w:id="41"/>
      </w:r>
      <w:r w:rsidR="00B06872">
        <w:t xml:space="preserve">  The Commission is not aware of any statement by the </w:t>
      </w:r>
      <w:r w:rsidR="008B7AE4">
        <w:t>current G</w:t>
      </w:r>
      <w:r w:rsidR="00B06872">
        <w:t xml:space="preserve">overnment that it intends to </w:t>
      </w:r>
      <w:r w:rsidR="00E249AC">
        <w:t xml:space="preserve">prescribe further investigative agencies. </w:t>
      </w:r>
    </w:p>
    <w:p w14:paraId="5EFE7C4A" w14:textId="7DDD34B6" w:rsidR="001E4097" w:rsidRDefault="004410FE" w:rsidP="007317BF">
      <w:pPr>
        <w:pStyle w:val="ListNumber"/>
      </w:pPr>
      <w:r>
        <w:t xml:space="preserve">The establishment of a single </w:t>
      </w:r>
      <w:proofErr w:type="spellStart"/>
      <w:r>
        <w:t>whistleblower</w:t>
      </w:r>
      <w:proofErr w:type="spellEnd"/>
      <w:r>
        <w:t xml:space="preserve"> protection authority could raise the profile of </w:t>
      </w:r>
      <w:proofErr w:type="spellStart"/>
      <w:r w:rsidR="003660E1">
        <w:t>whistleblower</w:t>
      </w:r>
      <w:proofErr w:type="spellEnd"/>
      <w:r w:rsidR="003660E1">
        <w:t xml:space="preserve"> protections and make it clear where a prospective </w:t>
      </w:r>
      <w:proofErr w:type="spellStart"/>
      <w:r w:rsidR="003660E1">
        <w:t>whistleblower</w:t>
      </w:r>
      <w:proofErr w:type="spellEnd"/>
      <w:r w:rsidR="003660E1">
        <w:t xml:space="preserve"> would go to make a disclosure.</w:t>
      </w:r>
    </w:p>
    <w:p w14:paraId="1A372BC8" w14:textId="201815FC" w:rsidR="00BD4F0E" w:rsidRDefault="004C35CC" w:rsidP="007317BF">
      <w:pPr>
        <w:pStyle w:val="ListNumber"/>
      </w:pPr>
      <w:r>
        <w:lastRenderedPageBreak/>
        <w:t xml:space="preserve">The Commission does not make any specific recommendations about </w:t>
      </w:r>
      <w:r w:rsidR="002A7007">
        <w:t xml:space="preserve">a </w:t>
      </w:r>
      <w:proofErr w:type="spellStart"/>
      <w:r w:rsidR="002A7007">
        <w:t>whistleblower</w:t>
      </w:r>
      <w:proofErr w:type="spellEnd"/>
      <w:r w:rsidR="002A7007">
        <w:t xml:space="preserve"> protection authority </w:t>
      </w:r>
      <w:proofErr w:type="gramStart"/>
      <w:r w:rsidR="002A7007">
        <w:t>at this time</w:t>
      </w:r>
      <w:proofErr w:type="gramEnd"/>
      <w:r w:rsidR="002A7007">
        <w:t>, noting the intention for further public consultation about this issue.</w:t>
      </w:r>
    </w:p>
    <w:p w14:paraId="321236CD" w14:textId="53B28089" w:rsidR="00201200" w:rsidRDefault="00E40900" w:rsidP="00201200">
      <w:pPr>
        <w:pStyle w:val="Heading2"/>
      </w:pPr>
      <w:bookmarkStart w:id="23" w:name="_Toc125116090"/>
      <w:r>
        <w:t xml:space="preserve">Making it easier for </w:t>
      </w:r>
      <w:proofErr w:type="spellStart"/>
      <w:r>
        <w:t>whistleblowers</w:t>
      </w:r>
      <w:proofErr w:type="spellEnd"/>
      <w:r>
        <w:t xml:space="preserve"> to get advice and </w:t>
      </w:r>
      <w:proofErr w:type="gramStart"/>
      <w:r>
        <w:t>help</w:t>
      </w:r>
      <w:bookmarkEnd w:id="23"/>
      <w:proofErr w:type="gramEnd"/>
    </w:p>
    <w:p w14:paraId="45BA9288" w14:textId="57E97559" w:rsidR="00412DDA" w:rsidRDefault="00BF6717" w:rsidP="00201200">
      <w:pPr>
        <w:pStyle w:val="ListNumber"/>
      </w:pPr>
      <w:r>
        <w:t xml:space="preserve">It is important for potential </w:t>
      </w:r>
      <w:proofErr w:type="spellStart"/>
      <w:r>
        <w:t>whistleblowers</w:t>
      </w:r>
      <w:proofErr w:type="spellEnd"/>
      <w:r>
        <w:t xml:space="preserve"> to be able to access advice and assistance prior to </w:t>
      </w:r>
      <w:r w:rsidR="000772CF">
        <w:t xml:space="preserve">and after </w:t>
      </w:r>
      <w:r>
        <w:t>mak</w:t>
      </w:r>
      <w:r w:rsidR="00E75933">
        <w:t>ing</w:t>
      </w:r>
      <w:r>
        <w:t xml:space="preserve"> a d</w:t>
      </w:r>
      <w:r w:rsidR="000772CF">
        <w:t>isclosure.</w:t>
      </w:r>
    </w:p>
    <w:p w14:paraId="01368E94" w14:textId="5F22EAE0" w:rsidR="000772CF" w:rsidRDefault="002D2426" w:rsidP="00201200">
      <w:pPr>
        <w:pStyle w:val="ListNumber"/>
      </w:pPr>
      <w:r>
        <w:t xml:space="preserve">As noted in paragraph </w:t>
      </w:r>
      <w:r w:rsidR="005F7C4C">
        <w:fldChar w:fldCharType="begin"/>
      </w:r>
      <w:r w:rsidR="005F7C4C">
        <w:instrText xml:space="preserve"> REF _Ref124617748 \r \h </w:instrText>
      </w:r>
      <w:r w:rsidR="005F7C4C">
        <w:fldChar w:fldCharType="separate"/>
      </w:r>
      <w:r w:rsidR="006F77C1">
        <w:t>28</w:t>
      </w:r>
      <w:r w:rsidR="005F7C4C">
        <w:fldChar w:fldCharType="end"/>
      </w:r>
      <w:r w:rsidR="005F7C4C">
        <w:t>(d)</w:t>
      </w:r>
      <w:r>
        <w:t xml:space="preserve"> above, </w:t>
      </w:r>
      <w:r w:rsidR="00312011">
        <w:t>the PID Act</w:t>
      </w:r>
      <w:r w:rsidR="000772CF">
        <w:t xml:space="preserve"> </w:t>
      </w:r>
      <w:r w:rsidR="0070773D">
        <w:t xml:space="preserve">permits disclosures for the purpose of obtaining </w:t>
      </w:r>
      <w:r w:rsidR="00171138">
        <w:t xml:space="preserve">legal </w:t>
      </w:r>
      <w:r w:rsidR="0070773D">
        <w:t xml:space="preserve">advice and </w:t>
      </w:r>
      <w:r w:rsidR="00171138">
        <w:t>professional assistance</w:t>
      </w:r>
      <w:r w:rsidR="00FA2FCC">
        <w:t>,</w:t>
      </w:r>
      <w:r w:rsidR="003F7DE1">
        <w:t xml:space="preserve"> but such disclosures are limited in two </w:t>
      </w:r>
      <w:proofErr w:type="gramStart"/>
      <w:r w:rsidR="003F7DE1">
        <w:t>key ways</w:t>
      </w:r>
      <w:proofErr w:type="gramEnd"/>
      <w:r w:rsidR="003F7DE1">
        <w:t xml:space="preserve">.  First, the disclosure may only be made to </w:t>
      </w:r>
      <w:r w:rsidR="003503E5">
        <w:t xml:space="preserve">an Australian legal practitioner.  Secondly, </w:t>
      </w:r>
      <w:r w:rsidR="0010619B">
        <w:t xml:space="preserve">if the </w:t>
      </w:r>
      <w:proofErr w:type="spellStart"/>
      <w:r w:rsidR="0010619B">
        <w:t>whistleblower</w:t>
      </w:r>
      <w:proofErr w:type="spellEnd"/>
      <w:r w:rsidR="0010619B">
        <w:t xml:space="preserve"> knew or ought to have known that the information </w:t>
      </w:r>
      <w:r w:rsidR="00DC3AF7">
        <w:t xml:space="preserve">has a </w:t>
      </w:r>
      <w:r w:rsidR="00FF2B4B">
        <w:t xml:space="preserve">national security or other </w:t>
      </w:r>
      <w:r w:rsidR="00DC3AF7">
        <w:t xml:space="preserve">protective security classification, </w:t>
      </w:r>
      <w:r w:rsidR="003503E5">
        <w:t xml:space="preserve">the onus is on the </w:t>
      </w:r>
      <w:proofErr w:type="spellStart"/>
      <w:r w:rsidR="003503E5">
        <w:t>whistleblower</w:t>
      </w:r>
      <w:proofErr w:type="spellEnd"/>
      <w:r w:rsidR="003503E5">
        <w:t xml:space="preserve"> to </w:t>
      </w:r>
      <w:r w:rsidR="00FF2B4B">
        <w:t xml:space="preserve">ensure that the lawyer to whom the disclosure is made </w:t>
      </w:r>
      <w:r w:rsidR="00D4030F">
        <w:t>holds the appropriate level of security clearance.</w:t>
      </w:r>
      <w:r w:rsidR="00BF7B8D">
        <w:rPr>
          <w:rStyle w:val="EndnoteReference"/>
        </w:rPr>
        <w:endnoteReference w:id="42"/>
      </w:r>
    </w:p>
    <w:p w14:paraId="48428B5C" w14:textId="29E4C98E" w:rsidR="00B80FCA" w:rsidRDefault="00B80FCA" w:rsidP="00201200">
      <w:pPr>
        <w:pStyle w:val="ListNumber"/>
      </w:pPr>
      <w:r>
        <w:t xml:space="preserve">The Moss Review made two recommendations directed to making it easier for </w:t>
      </w:r>
      <w:proofErr w:type="spellStart"/>
      <w:r>
        <w:t>whistleblowers</w:t>
      </w:r>
      <w:proofErr w:type="spellEnd"/>
      <w:r>
        <w:t xml:space="preserve"> to </w:t>
      </w:r>
      <w:r w:rsidR="0064351A">
        <w:t>make a disclosure for the purpose of obtaining advice, which have not been adopted in the Bill.</w:t>
      </w:r>
    </w:p>
    <w:p w14:paraId="7A4780AD" w14:textId="759C0074" w:rsidR="002305EE" w:rsidRPr="00A941E4" w:rsidRDefault="00C4116F" w:rsidP="002305EE">
      <w:pPr>
        <w:pStyle w:val="Heading3"/>
        <w:rPr>
          <w:i/>
          <w:iCs/>
        </w:rPr>
      </w:pPr>
      <w:bookmarkStart w:id="24" w:name="_Toc125116091"/>
      <w:r>
        <w:rPr>
          <w:i/>
          <w:iCs/>
        </w:rPr>
        <w:t>S</w:t>
      </w:r>
      <w:r w:rsidR="002305EE">
        <w:rPr>
          <w:i/>
          <w:iCs/>
        </w:rPr>
        <w:t>eek</w:t>
      </w:r>
      <w:r>
        <w:rPr>
          <w:i/>
          <w:iCs/>
        </w:rPr>
        <w:t>ing</w:t>
      </w:r>
      <w:r w:rsidR="002305EE">
        <w:rPr>
          <w:i/>
          <w:iCs/>
        </w:rPr>
        <w:t xml:space="preserve"> advice from </w:t>
      </w:r>
      <w:r>
        <w:rPr>
          <w:i/>
          <w:iCs/>
        </w:rPr>
        <w:t xml:space="preserve">a </w:t>
      </w:r>
      <w:r w:rsidR="002305EE">
        <w:rPr>
          <w:i/>
          <w:iCs/>
        </w:rPr>
        <w:t xml:space="preserve">security cleared </w:t>
      </w:r>
      <w:proofErr w:type="gramStart"/>
      <w:r w:rsidR="002305EE">
        <w:rPr>
          <w:i/>
          <w:iCs/>
        </w:rPr>
        <w:t>lawyer</w:t>
      </w:r>
      <w:bookmarkEnd w:id="24"/>
      <w:proofErr w:type="gramEnd"/>
      <w:r w:rsidR="002305EE">
        <w:rPr>
          <w:i/>
          <w:iCs/>
        </w:rPr>
        <w:t xml:space="preserve"> </w:t>
      </w:r>
    </w:p>
    <w:p w14:paraId="67781770" w14:textId="380A7CC0" w:rsidR="008E4F6E" w:rsidRDefault="008E4F6E" w:rsidP="00201200">
      <w:pPr>
        <w:pStyle w:val="ListNumber"/>
      </w:pPr>
      <w:r>
        <w:t>Recommendation 2</w:t>
      </w:r>
      <w:r w:rsidR="00702F25">
        <w:t>4</w:t>
      </w:r>
      <w:r>
        <w:t xml:space="preserve"> of the Moss Review </w:t>
      </w:r>
      <w:r w:rsidR="006665C1">
        <w:t xml:space="preserve">was that </w:t>
      </w:r>
      <w:r w:rsidR="00312011">
        <w:t>the PID Act</w:t>
      </w:r>
      <w:r w:rsidR="006665C1">
        <w:t xml:space="preserve"> be amended to permit disclosures of security classified information (other than intelligence information) to a lawyer for the purpose of seeking legal advice about a public interest disclosure, without requiring the lawyer to </w:t>
      </w:r>
      <w:r w:rsidR="00FD35BB">
        <w:t>hold the requisite security clearance.</w:t>
      </w:r>
    </w:p>
    <w:p w14:paraId="71F1AD9E" w14:textId="3F76BD9E" w:rsidR="00FD35BB" w:rsidRDefault="00BB7482" w:rsidP="00201200">
      <w:pPr>
        <w:pStyle w:val="ListNumber"/>
      </w:pPr>
      <w:r>
        <w:t xml:space="preserve">The Moss Review noted that </w:t>
      </w:r>
      <w:r w:rsidR="00ED2702">
        <w:t xml:space="preserve">several survey respondents said that they would never </w:t>
      </w:r>
      <w:r w:rsidR="00527C46">
        <w:t xml:space="preserve">choose to make a disclosure, particularly an external disclosure, without legal advice.  However, it </w:t>
      </w:r>
      <w:r w:rsidR="007C211B">
        <w:t xml:space="preserve">was difficult for people to find a security cleared lawyer, and many people </w:t>
      </w:r>
      <w:r w:rsidR="00691568">
        <w:t>may prefer to seek advice from their own trusted lawyer.</w:t>
      </w:r>
      <w:r w:rsidR="008E321A">
        <w:rPr>
          <w:rStyle w:val="EndnoteReference"/>
        </w:rPr>
        <w:endnoteReference w:id="43"/>
      </w:r>
    </w:p>
    <w:p w14:paraId="7835A119" w14:textId="3F575F65" w:rsidR="00691568" w:rsidRDefault="00165881" w:rsidP="00201200">
      <w:pPr>
        <w:pStyle w:val="ListNumber"/>
      </w:pPr>
      <w:r>
        <w:t>In December 2020, t</w:t>
      </w:r>
      <w:r w:rsidR="00691568">
        <w:t xml:space="preserve">he then Government </w:t>
      </w:r>
      <w:r>
        <w:t xml:space="preserve">said that it agreed with this recommendation in part </w:t>
      </w:r>
      <w:r w:rsidR="00FC689E">
        <w:t>and that it was considering options for creating a list of security cleared lawyers that may be used by public officials who wish to seek le</w:t>
      </w:r>
      <w:r w:rsidR="004B1575">
        <w:t>gal advice in relation to information that has a national security or other protective security classification.</w:t>
      </w:r>
      <w:r w:rsidR="00D77DA4">
        <w:rPr>
          <w:rStyle w:val="EndnoteReference"/>
        </w:rPr>
        <w:endnoteReference w:id="44"/>
      </w:r>
      <w:r w:rsidR="004B1575">
        <w:t xml:space="preserve">  The Commission supports this </w:t>
      </w:r>
      <w:r w:rsidR="00CF3370">
        <w:t>proposal</w:t>
      </w:r>
      <w:r w:rsidR="00B80124">
        <w:t xml:space="preserve">.  The Commission </w:t>
      </w:r>
      <w:r w:rsidR="00ED1805">
        <w:t xml:space="preserve">is not aware that any such list has been made publicly available.  </w:t>
      </w:r>
      <w:r w:rsidR="0009424C">
        <w:t xml:space="preserve">To the extent that this </w:t>
      </w:r>
      <w:r w:rsidR="0009424C">
        <w:lastRenderedPageBreak/>
        <w:t xml:space="preserve">proposal has not </w:t>
      </w:r>
      <w:r w:rsidR="00C32EED">
        <w:t>already been acted upon, t</w:t>
      </w:r>
      <w:r w:rsidR="00ED1805">
        <w:t xml:space="preserve">he Commission recommends the creation </w:t>
      </w:r>
      <w:r w:rsidR="0009424C">
        <w:t>of such a list and the pu</w:t>
      </w:r>
      <w:r w:rsidR="00C32EED">
        <w:t>blication of the list in appropriate places, for example on the websites of the Ombudsman, the IGIS and the Attorney-General’s Department.</w:t>
      </w:r>
    </w:p>
    <w:p w14:paraId="12B0C092" w14:textId="0AF42F41" w:rsidR="00BB1ADF" w:rsidRPr="00BB1ADF" w:rsidRDefault="00BB1ADF" w:rsidP="000F6BF0">
      <w:pPr>
        <w:pStyle w:val="ListNumber"/>
        <w:keepNext/>
        <w:numPr>
          <w:ilvl w:val="0"/>
          <w:numId w:val="0"/>
        </w:numPr>
        <w:ind w:left="1094"/>
        <w:rPr>
          <w:b/>
          <w:bCs/>
        </w:rPr>
      </w:pPr>
      <w:r w:rsidRPr="00BB1ADF">
        <w:rPr>
          <w:b/>
          <w:bCs/>
        </w:rPr>
        <w:t xml:space="preserve">Recommendation </w:t>
      </w:r>
      <w:r w:rsidR="000F6BF0">
        <w:rPr>
          <w:b/>
          <w:bCs/>
        </w:rPr>
        <w:t>2</w:t>
      </w:r>
    </w:p>
    <w:p w14:paraId="18C65F0B" w14:textId="024016E1" w:rsidR="00BB1ADF" w:rsidRDefault="00BB1ADF" w:rsidP="00BB1ADF">
      <w:pPr>
        <w:pStyle w:val="ListNumber"/>
        <w:numPr>
          <w:ilvl w:val="0"/>
          <w:numId w:val="0"/>
        </w:numPr>
        <w:ind w:left="1094"/>
      </w:pPr>
      <w:r>
        <w:t xml:space="preserve">The Commission recommends that </w:t>
      </w:r>
      <w:r w:rsidR="00EA1F86">
        <w:t xml:space="preserve">a list of security cleared lawyers be created and published </w:t>
      </w:r>
      <w:r w:rsidR="00BF49FE">
        <w:t xml:space="preserve">in places where potential </w:t>
      </w:r>
      <w:proofErr w:type="spellStart"/>
      <w:r w:rsidR="00BF49FE">
        <w:t>whistleblowers</w:t>
      </w:r>
      <w:proofErr w:type="spellEnd"/>
      <w:r w:rsidR="00BF49FE">
        <w:t xml:space="preserve"> can easily find it, such as the websites of the </w:t>
      </w:r>
      <w:r w:rsidR="00380E26">
        <w:t xml:space="preserve">Commonwealth </w:t>
      </w:r>
      <w:r w:rsidR="00BF49FE">
        <w:t xml:space="preserve">Ombudsman, the </w:t>
      </w:r>
      <w:r w:rsidR="00BC2689">
        <w:t xml:space="preserve">Inspector General of Intelligence and Security </w:t>
      </w:r>
      <w:r w:rsidR="00BF49FE">
        <w:t>and the Attorney-General’s Department.</w:t>
      </w:r>
    </w:p>
    <w:p w14:paraId="24B429B5" w14:textId="4918184F" w:rsidR="00C158A6" w:rsidRDefault="00CE1323" w:rsidP="00201200">
      <w:pPr>
        <w:pStyle w:val="ListNumber"/>
      </w:pPr>
      <w:r>
        <w:t xml:space="preserve">The Commission considers that the requirement to </w:t>
      </w:r>
      <w:r w:rsidR="00C158A6">
        <w:t xml:space="preserve">seek out a security cleared lawyer should be limited to situations where </w:t>
      </w:r>
      <w:r w:rsidR="00C12E36">
        <w:t>the information is particularly sensitive.</w:t>
      </w:r>
    </w:p>
    <w:p w14:paraId="2C99A144" w14:textId="410E0F84" w:rsidR="00C12E36" w:rsidRDefault="00C12E36" w:rsidP="00201200">
      <w:pPr>
        <w:pStyle w:val="ListNumber"/>
      </w:pPr>
      <w:r>
        <w:t xml:space="preserve">The Australian Government currently uses three security classifications: </w:t>
      </w:r>
      <w:r w:rsidR="00FD307E">
        <w:t>‘</w:t>
      </w:r>
      <w:r>
        <w:t>protected</w:t>
      </w:r>
      <w:r w:rsidR="00FD307E">
        <w:t>’</w:t>
      </w:r>
      <w:r>
        <w:t xml:space="preserve">, </w:t>
      </w:r>
      <w:r w:rsidR="00FD307E">
        <w:t>‘</w:t>
      </w:r>
      <w:r>
        <w:t>secret</w:t>
      </w:r>
      <w:r w:rsidR="00FD307E">
        <w:t>’</w:t>
      </w:r>
      <w:r>
        <w:t xml:space="preserve"> and </w:t>
      </w:r>
      <w:r w:rsidR="00FD307E">
        <w:t>‘</w:t>
      </w:r>
      <w:r>
        <w:t>top secret</w:t>
      </w:r>
      <w:r w:rsidR="00FD307E">
        <w:t>’</w:t>
      </w:r>
      <w:r>
        <w:t xml:space="preserve">.  All other information from business operations and services is ‘official’ </w:t>
      </w:r>
      <w:r w:rsidR="000803C5">
        <w:t>or ‘official: sensitive’.</w:t>
      </w:r>
      <w:r w:rsidR="00D219C3">
        <w:rPr>
          <w:rStyle w:val="EndnoteReference"/>
        </w:rPr>
        <w:endnoteReference w:id="45"/>
      </w:r>
    </w:p>
    <w:p w14:paraId="3E48BF7C" w14:textId="5752A8F3" w:rsidR="000803C5" w:rsidRDefault="00FD3843" w:rsidP="00201200">
      <w:pPr>
        <w:pStyle w:val="ListNumber"/>
      </w:pPr>
      <w:r>
        <w:t xml:space="preserve">When </w:t>
      </w:r>
      <w:r w:rsidR="004A7E32">
        <w:t xml:space="preserve">the </w:t>
      </w:r>
      <w:r w:rsidR="00BE4652">
        <w:t xml:space="preserve">then </w:t>
      </w:r>
      <w:r w:rsidR="004A7E32">
        <w:t>Government was considering new ‘general’ secrecy offences in 201</w:t>
      </w:r>
      <w:r w:rsidR="006C2AEA">
        <w:t>7</w:t>
      </w:r>
      <w:r w:rsidR="004A7E32">
        <w:t xml:space="preserve">, it initially proposed that the disclosure of any </w:t>
      </w:r>
      <w:r w:rsidR="005C6FB2">
        <w:t xml:space="preserve">information with a protective security classification was inherently harmful and should be subject to criminal sanctions.  </w:t>
      </w:r>
      <w:r w:rsidR="005E026F">
        <w:t xml:space="preserve">This issue was considered </w:t>
      </w:r>
      <w:r w:rsidR="00CE6AC6">
        <w:t>by the Parliamentary Joint Committee on Intelligence and Security (PJCIS) and the Parliamentary Joint Committee on Human Rights.</w:t>
      </w:r>
      <w:r w:rsidR="0025325A">
        <w:t xml:space="preserve">  Submitters to the PJCIS noted </w:t>
      </w:r>
      <w:proofErr w:type="gramStart"/>
      <w:r w:rsidR="0025325A">
        <w:t>a number of</w:t>
      </w:r>
      <w:proofErr w:type="gramEnd"/>
      <w:r w:rsidR="0025325A">
        <w:t xml:space="preserve"> problems with </w:t>
      </w:r>
      <w:r w:rsidR="00A80D0F">
        <w:t>a broad security classification being the basis for criminal sanctions, including:</w:t>
      </w:r>
    </w:p>
    <w:p w14:paraId="179D5D4E" w14:textId="74B37F3F" w:rsidR="00A80D0F" w:rsidRDefault="004C0878" w:rsidP="00A80D0F">
      <w:pPr>
        <w:pStyle w:val="ListNumber"/>
        <w:numPr>
          <w:ilvl w:val="0"/>
          <w:numId w:val="38"/>
        </w:numPr>
      </w:pPr>
      <w:r>
        <w:t xml:space="preserve">evidence </w:t>
      </w:r>
      <w:r w:rsidR="00A80D0F">
        <w:t xml:space="preserve">that documents are </w:t>
      </w:r>
      <w:r>
        <w:t xml:space="preserve">routinely ‘over-classified’ or classified </w:t>
      </w:r>
      <w:proofErr w:type="gramStart"/>
      <w:r>
        <w:t>incorrectly</w:t>
      </w:r>
      <w:proofErr w:type="gramEnd"/>
    </w:p>
    <w:p w14:paraId="2EDFBA65" w14:textId="649FC1F6" w:rsidR="004C0878" w:rsidRDefault="007D244F" w:rsidP="00A80D0F">
      <w:pPr>
        <w:pStyle w:val="ListNumber"/>
        <w:numPr>
          <w:ilvl w:val="0"/>
          <w:numId w:val="38"/>
        </w:numPr>
      </w:pPr>
      <w:r>
        <w:t xml:space="preserve">evidence that </w:t>
      </w:r>
      <w:r w:rsidR="004C0878">
        <w:t>classification deci</w:t>
      </w:r>
      <w:r w:rsidR="003826C2">
        <w:t xml:space="preserve">sions are not routinely re-evaluated over </w:t>
      </w:r>
      <w:proofErr w:type="gramStart"/>
      <w:r w:rsidR="003826C2">
        <w:t>time</w:t>
      </w:r>
      <w:proofErr w:type="gramEnd"/>
    </w:p>
    <w:p w14:paraId="167FD70F" w14:textId="18FACA39" w:rsidR="003826C2" w:rsidRDefault="003826C2" w:rsidP="00A80D0F">
      <w:pPr>
        <w:pStyle w:val="ListNumber"/>
        <w:numPr>
          <w:ilvl w:val="0"/>
          <w:numId w:val="38"/>
        </w:numPr>
      </w:pPr>
      <w:r>
        <w:t xml:space="preserve">the approach of </w:t>
      </w:r>
      <w:r w:rsidR="00B06119">
        <w:t>basing</w:t>
      </w:r>
      <w:r>
        <w:t xml:space="preserve"> liability on the label attaching to a document </w:t>
      </w:r>
      <w:r w:rsidR="00D9552C">
        <w:t xml:space="preserve">did not necessarily reflect the harm that would be caused by its </w:t>
      </w:r>
      <w:proofErr w:type="gramStart"/>
      <w:r w:rsidR="00D9552C">
        <w:t>release</w:t>
      </w:r>
      <w:proofErr w:type="gramEnd"/>
      <w:r w:rsidR="00D9552C">
        <w:t xml:space="preserve"> </w:t>
      </w:r>
    </w:p>
    <w:p w14:paraId="05F720DE" w14:textId="3B734DA2" w:rsidR="003826C2" w:rsidRDefault="0035736D" w:rsidP="00A80D0F">
      <w:pPr>
        <w:pStyle w:val="ListNumber"/>
        <w:numPr>
          <w:ilvl w:val="0"/>
          <w:numId w:val="38"/>
        </w:numPr>
      </w:pPr>
      <w:r>
        <w:t>there was no mechanism to test the appropriateness of document classifications.</w:t>
      </w:r>
      <w:r w:rsidR="000B5644">
        <w:rPr>
          <w:rStyle w:val="EndnoteReference"/>
        </w:rPr>
        <w:endnoteReference w:id="46"/>
      </w:r>
    </w:p>
    <w:p w14:paraId="7E992C47" w14:textId="345C5FCC" w:rsidR="008176B4" w:rsidRDefault="008176B4" w:rsidP="008176B4">
      <w:pPr>
        <w:pStyle w:val="ListNumber"/>
      </w:pPr>
      <w:r>
        <w:lastRenderedPageBreak/>
        <w:t>Following consultation with the public and civil society, the</w:t>
      </w:r>
      <w:r w:rsidR="00845CD6">
        <w:t xml:space="preserve"> </w:t>
      </w:r>
      <w:r w:rsidR="004B78E8">
        <w:t xml:space="preserve">then </w:t>
      </w:r>
      <w:r>
        <w:t>Attorney-General</w:t>
      </w:r>
      <w:r w:rsidR="004B78E8">
        <w:t>, the Hon Christian Porter MP</w:t>
      </w:r>
      <w:r>
        <w:t xml:space="preserve"> proposed amendments to the Bill to limit these offences to the disclosure of material that was either secret or </w:t>
      </w:r>
      <w:r w:rsidR="001E2BF8">
        <w:t xml:space="preserve">top </w:t>
      </w:r>
      <w:r>
        <w:t>secret.</w:t>
      </w:r>
      <w:r>
        <w:rPr>
          <w:rStyle w:val="EndnoteReference"/>
        </w:rPr>
        <w:endnoteReference w:id="47"/>
      </w:r>
      <w:r>
        <w:t xml:space="preserve">  This was reflected in the definition of </w:t>
      </w:r>
      <w:r w:rsidR="003C4E75">
        <w:t>‘security classification’ in s 90.5 of the Criminal Code.</w:t>
      </w:r>
    </w:p>
    <w:p w14:paraId="1658F493" w14:textId="314272EA" w:rsidR="00F47670" w:rsidRDefault="0035736D" w:rsidP="00201200">
      <w:pPr>
        <w:pStyle w:val="ListNumber"/>
      </w:pPr>
      <w:r>
        <w:t xml:space="preserve">Similar issues arise when limiting a </w:t>
      </w:r>
      <w:proofErr w:type="spellStart"/>
      <w:r>
        <w:t>whistleblower’s</w:t>
      </w:r>
      <w:proofErr w:type="spellEnd"/>
      <w:r>
        <w:t xml:space="preserve"> ability to access legal advice </w:t>
      </w:r>
      <w:proofErr w:type="gramStart"/>
      <w:r w:rsidR="008A7D04">
        <w:t>on the basis of</w:t>
      </w:r>
      <w:proofErr w:type="gramEnd"/>
      <w:r w:rsidR="008A7D04">
        <w:t xml:space="preserve"> a broad protective security classification. </w:t>
      </w:r>
      <w:r w:rsidR="00220A93">
        <w:t xml:space="preserve"> </w:t>
      </w:r>
      <w:r w:rsidR="001E0ACB">
        <w:t xml:space="preserve">Adopting a broad approach </w:t>
      </w:r>
      <w:r w:rsidR="00A41350">
        <w:t xml:space="preserve">to security classification </w:t>
      </w:r>
      <w:r w:rsidR="001E0ACB">
        <w:t xml:space="preserve">will mean that </w:t>
      </w:r>
      <w:r w:rsidR="00A41350">
        <w:t>recourse to a security cleared lawyer</w:t>
      </w:r>
      <w:r w:rsidR="006F432A">
        <w:t xml:space="preserve">, rather than a lawyer of the </w:t>
      </w:r>
      <w:proofErr w:type="spellStart"/>
      <w:r w:rsidR="006F432A">
        <w:t>whistleblower’s</w:t>
      </w:r>
      <w:proofErr w:type="spellEnd"/>
      <w:r w:rsidR="006F432A">
        <w:t xml:space="preserve"> own choosing, will be required </w:t>
      </w:r>
      <w:r w:rsidR="004F6A98">
        <w:t xml:space="preserve">far more regularly and </w:t>
      </w:r>
      <w:r w:rsidR="007B007B">
        <w:t xml:space="preserve">in circumstances that </w:t>
      </w:r>
      <w:r w:rsidR="00AD5EA8">
        <w:t>may not be</w:t>
      </w:r>
      <w:r w:rsidR="007D158A" w:rsidRPr="00D13B4B">
        <w:t xml:space="preserve"> warranted</w:t>
      </w:r>
      <w:r w:rsidR="007D158A">
        <w:t xml:space="preserve">.  This additional obstacle to obtaining what, for many, is essential </w:t>
      </w:r>
      <w:r w:rsidR="00F47670">
        <w:t>preliminary advice</w:t>
      </w:r>
      <w:r w:rsidR="003F59AE">
        <w:t>,</w:t>
      </w:r>
      <w:r w:rsidR="00F47670">
        <w:t xml:space="preserve"> may discourage </w:t>
      </w:r>
      <w:proofErr w:type="spellStart"/>
      <w:r w:rsidR="0080404D">
        <w:t>whistleblowers</w:t>
      </w:r>
      <w:proofErr w:type="spellEnd"/>
      <w:r w:rsidR="0080404D">
        <w:t xml:space="preserve"> from</w:t>
      </w:r>
      <w:r w:rsidR="00F47670">
        <w:t xml:space="preserve"> making important public interest disclosures.</w:t>
      </w:r>
    </w:p>
    <w:p w14:paraId="3AED975D" w14:textId="06233D5A" w:rsidR="0035736D" w:rsidRDefault="00220A93" w:rsidP="00201200">
      <w:pPr>
        <w:pStyle w:val="ListNumber"/>
      </w:pPr>
      <w:r>
        <w:t xml:space="preserve">Those issues are amplified by the </w:t>
      </w:r>
      <w:r w:rsidR="00E52483">
        <w:t xml:space="preserve">secrecy provision in s 67 of </w:t>
      </w:r>
      <w:r w:rsidR="00312011">
        <w:t>the PID Act</w:t>
      </w:r>
      <w:r w:rsidR="00E52483">
        <w:t xml:space="preserve"> that </w:t>
      </w:r>
      <w:r w:rsidR="00F865C1">
        <w:t xml:space="preserve">imposes criminal sanctions on </w:t>
      </w:r>
      <w:r w:rsidR="00E52483">
        <w:t xml:space="preserve">the disclosure or use by a legal practitioner </w:t>
      </w:r>
      <w:r w:rsidR="00F865C1">
        <w:t>of information that was the subject of a legal practitioner disclosure.</w:t>
      </w:r>
      <w:r w:rsidR="006F432A">
        <w:t xml:space="preserve">  That secrecy provision </w:t>
      </w:r>
      <w:r w:rsidR="00960F3C">
        <w:t xml:space="preserve">includes no harm requirement and </w:t>
      </w:r>
      <w:r w:rsidR="006F432A">
        <w:t xml:space="preserve">is significantly broader than the </w:t>
      </w:r>
      <w:r w:rsidR="00B11A45">
        <w:t xml:space="preserve">general secrecy </w:t>
      </w:r>
      <w:r w:rsidR="00960F3C">
        <w:t>offence in s </w:t>
      </w:r>
      <w:r w:rsidR="00677C78">
        <w:t xml:space="preserve">122.4A of the Criminal Code </w:t>
      </w:r>
      <w:r w:rsidR="003C772A">
        <w:t xml:space="preserve">as </w:t>
      </w:r>
      <w:r w:rsidR="00046D29">
        <w:t xml:space="preserve">inserted </w:t>
      </w:r>
      <w:r w:rsidR="00677C78">
        <w:t>in 2018.</w:t>
      </w:r>
    </w:p>
    <w:p w14:paraId="67371AD9" w14:textId="73D243BD" w:rsidR="008A7D04" w:rsidRDefault="003F404E" w:rsidP="00201200">
      <w:pPr>
        <w:pStyle w:val="ListNumber"/>
      </w:pPr>
      <w:r>
        <w:t xml:space="preserve">In the circumstances, the Commission recommends that </w:t>
      </w:r>
      <w:r w:rsidR="00F65977">
        <w:t xml:space="preserve">the requirement in s 26 for a legal practitioner disclosure to be limited to a security cleared lawyer </w:t>
      </w:r>
      <w:r w:rsidR="00D43BAA">
        <w:t xml:space="preserve">should </w:t>
      </w:r>
      <w:r w:rsidR="00F65977">
        <w:t xml:space="preserve">only apply if </w:t>
      </w:r>
      <w:r w:rsidR="00E71921">
        <w:t xml:space="preserve">the information had a </w:t>
      </w:r>
      <w:r w:rsidR="001C091D">
        <w:t xml:space="preserve">protective </w:t>
      </w:r>
      <w:r w:rsidR="00E71921">
        <w:t xml:space="preserve">security classification of </w:t>
      </w:r>
      <w:r w:rsidR="00D43BAA">
        <w:t>‘</w:t>
      </w:r>
      <w:r w:rsidR="00E71921">
        <w:t>secret</w:t>
      </w:r>
      <w:r w:rsidR="00D43BAA">
        <w:t>’</w:t>
      </w:r>
      <w:r w:rsidR="00E71921">
        <w:t xml:space="preserve"> or </w:t>
      </w:r>
      <w:r w:rsidR="00D43BAA">
        <w:t>‘</w:t>
      </w:r>
      <w:r w:rsidR="00E71921">
        <w:t>top secret</w:t>
      </w:r>
      <w:r w:rsidR="00D43BAA">
        <w:t>’</w:t>
      </w:r>
      <w:r w:rsidR="00E71921">
        <w:t>.</w:t>
      </w:r>
    </w:p>
    <w:p w14:paraId="085B462A" w14:textId="302BCC89" w:rsidR="00E71921" w:rsidRPr="00B11A45" w:rsidRDefault="00B11A45" w:rsidP="00B11A45">
      <w:pPr>
        <w:pStyle w:val="ListNumber"/>
        <w:keepNext/>
        <w:numPr>
          <w:ilvl w:val="0"/>
          <w:numId w:val="0"/>
        </w:numPr>
        <w:ind w:left="1094"/>
        <w:rPr>
          <w:b/>
          <w:bCs/>
        </w:rPr>
      </w:pPr>
      <w:r w:rsidRPr="00B11A45">
        <w:rPr>
          <w:b/>
          <w:bCs/>
        </w:rPr>
        <w:t xml:space="preserve">Recommendation </w:t>
      </w:r>
      <w:r w:rsidR="00942F48">
        <w:rPr>
          <w:b/>
          <w:bCs/>
        </w:rPr>
        <w:t>3</w:t>
      </w:r>
    </w:p>
    <w:p w14:paraId="2837EC40" w14:textId="68842957" w:rsidR="00B11A45" w:rsidRDefault="00B11A45" w:rsidP="00B11A45">
      <w:pPr>
        <w:pStyle w:val="ListNumber"/>
        <w:numPr>
          <w:ilvl w:val="0"/>
          <w:numId w:val="0"/>
        </w:numPr>
        <w:ind w:left="1094"/>
      </w:pPr>
      <w:r>
        <w:t xml:space="preserve">The Commission recommends that </w:t>
      </w:r>
      <w:r w:rsidR="00394247">
        <w:t xml:space="preserve">item 4 in the table in s 26(1) of </w:t>
      </w:r>
      <w:r w:rsidR="00312011">
        <w:t>the PID Act</w:t>
      </w:r>
      <w:r w:rsidR="00394247">
        <w:t xml:space="preserve"> be amended so that </w:t>
      </w:r>
      <w:r w:rsidR="00E111B7">
        <w:t xml:space="preserve">a legal practitioner disclosure is only required to be made to a lawyer with a relevant security clearance </w:t>
      </w:r>
      <w:r w:rsidR="003610AF">
        <w:t xml:space="preserve">if the </w:t>
      </w:r>
      <w:proofErr w:type="spellStart"/>
      <w:r w:rsidR="003610AF">
        <w:t>whistleblower</w:t>
      </w:r>
      <w:proofErr w:type="spellEnd"/>
      <w:r w:rsidR="003610AF">
        <w:t xml:space="preserve"> knew, or ought reasonably to have known, that </w:t>
      </w:r>
      <w:r w:rsidR="001C091D">
        <w:t xml:space="preserve">any of </w:t>
      </w:r>
      <w:r w:rsidR="00E111B7">
        <w:t xml:space="preserve">the information had a </w:t>
      </w:r>
      <w:r w:rsidR="001C091D">
        <w:t xml:space="preserve">protective </w:t>
      </w:r>
      <w:r w:rsidR="00E111B7">
        <w:t xml:space="preserve">security classification of </w:t>
      </w:r>
      <w:r w:rsidR="00D43BAA">
        <w:t>‘</w:t>
      </w:r>
      <w:r w:rsidR="00E111B7">
        <w:t>secret</w:t>
      </w:r>
      <w:r w:rsidR="00D43BAA">
        <w:t>’</w:t>
      </w:r>
      <w:r w:rsidR="00E111B7">
        <w:t xml:space="preserve"> or </w:t>
      </w:r>
      <w:r w:rsidR="00D43BAA">
        <w:t>‘</w:t>
      </w:r>
      <w:r w:rsidR="00E111B7">
        <w:t>top secret</w:t>
      </w:r>
      <w:r w:rsidR="00D43BAA">
        <w:t>’</w:t>
      </w:r>
      <w:r w:rsidR="001C091D">
        <w:t>.</w:t>
      </w:r>
    </w:p>
    <w:p w14:paraId="3CB030A7" w14:textId="244A049C" w:rsidR="00C74008" w:rsidRDefault="00C74008" w:rsidP="00C74008">
      <w:pPr>
        <w:pStyle w:val="ListNumber"/>
      </w:pPr>
      <w:r>
        <w:t xml:space="preserve">The Commission also considers that it is important for </w:t>
      </w:r>
      <w:r w:rsidR="00485F00">
        <w:t xml:space="preserve">staff in the Australian Intelligence Community </w:t>
      </w:r>
      <w:r w:rsidR="00C16CA0">
        <w:t xml:space="preserve">(AIC) </w:t>
      </w:r>
      <w:r w:rsidR="00485F00">
        <w:t>to be able to access legal assistance in relation to the making of a public interest disclosure.  A</w:t>
      </w:r>
      <w:r w:rsidR="00A46316">
        <w:t xml:space="preserve">t present, </w:t>
      </w:r>
      <w:r w:rsidR="00AB2AEA">
        <w:t xml:space="preserve">obtaining legal advice </w:t>
      </w:r>
      <w:r w:rsidR="001C2E93">
        <w:t xml:space="preserve">about the substance of the proposed disclosure </w:t>
      </w:r>
      <w:r w:rsidR="00AB2AEA">
        <w:t xml:space="preserve">may be </w:t>
      </w:r>
      <w:r w:rsidR="006A56A1">
        <w:t xml:space="preserve">effectively stymied </w:t>
      </w:r>
      <w:r w:rsidR="00AB2AEA">
        <w:t xml:space="preserve">in some cases because of </w:t>
      </w:r>
      <w:r w:rsidR="00A46316">
        <w:t xml:space="preserve">the broad definition of ‘intelligence information’ </w:t>
      </w:r>
      <w:r w:rsidR="00BA4617">
        <w:t xml:space="preserve">and the exclusion of </w:t>
      </w:r>
      <w:r w:rsidR="00BA4617">
        <w:lastRenderedPageBreak/>
        <w:t>intelligence information from the information that may be the subject of a legal practitioner disclosure</w:t>
      </w:r>
      <w:r w:rsidR="00A46316">
        <w:t xml:space="preserve">. </w:t>
      </w:r>
    </w:p>
    <w:p w14:paraId="14186832" w14:textId="09D90E4A" w:rsidR="00233519" w:rsidRDefault="00B23FC3" w:rsidP="00CB0279">
      <w:pPr>
        <w:pStyle w:val="ListNumber"/>
      </w:pPr>
      <w:r>
        <w:t>‘Intelligence information’ is defined in s 41 of the PID Act and includes ‘information that originated with, or has been received from, an intelligence agency’.</w:t>
      </w:r>
      <w:r w:rsidR="00886A3C">
        <w:t xml:space="preserve">  This is a particularly broad definition that </w:t>
      </w:r>
      <w:r w:rsidR="00F25E7A">
        <w:t xml:space="preserve">focuses on the source of the information rather than </w:t>
      </w:r>
      <w:r w:rsidR="00A806DA">
        <w:t xml:space="preserve">the harm that may be caused if it were to be released.  It is consistent with secrecy provisions </w:t>
      </w:r>
      <w:r w:rsidR="00C16CA0">
        <w:t xml:space="preserve">that apply to staff of the AIC.  The ALRC </w:t>
      </w:r>
      <w:r w:rsidR="00AF0274">
        <w:t xml:space="preserve">Secrecy Report concluded that </w:t>
      </w:r>
      <w:r w:rsidR="00C16CA0">
        <w:t>these kinds of secrecy provisions were justified</w:t>
      </w:r>
      <w:r w:rsidR="00161CE3">
        <w:t xml:space="preserve"> by the sensitive nature of the information and the special duties and responsibilities of officers and others who work in and with such agencies</w:t>
      </w:r>
      <w:r w:rsidR="000B4954">
        <w:t>.</w:t>
      </w:r>
      <w:r w:rsidR="000B4954">
        <w:rPr>
          <w:rStyle w:val="EndnoteReference"/>
        </w:rPr>
        <w:endnoteReference w:id="48"/>
      </w:r>
      <w:r w:rsidR="00B96758">
        <w:t xml:space="preserve">  An important factor in reaching that conclusion was the oversight provided by the IGIS</w:t>
      </w:r>
      <w:r w:rsidR="009A4ECD">
        <w:t xml:space="preserve"> and </w:t>
      </w:r>
      <w:r w:rsidR="005850BD">
        <w:t>the then</w:t>
      </w:r>
      <w:r w:rsidR="0023008B">
        <w:t xml:space="preserve"> proposed </w:t>
      </w:r>
      <w:proofErr w:type="spellStart"/>
      <w:r w:rsidR="0023008B">
        <w:t>whistleblower</w:t>
      </w:r>
      <w:proofErr w:type="spellEnd"/>
      <w:r w:rsidR="0023008B">
        <w:t xml:space="preserve"> laws</w:t>
      </w:r>
      <w:r w:rsidR="00B96758">
        <w:t>.</w:t>
      </w:r>
      <w:r w:rsidR="00B96758">
        <w:rPr>
          <w:rStyle w:val="EndnoteReference"/>
        </w:rPr>
        <w:endnoteReference w:id="49"/>
      </w:r>
    </w:p>
    <w:p w14:paraId="4ED1D6D2" w14:textId="7EB35DF2" w:rsidR="00CC4E11" w:rsidRDefault="00780CF7" w:rsidP="00C74008">
      <w:pPr>
        <w:pStyle w:val="ListNumber"/>
      </w:pPr>
      <w:r>
        <w:t>Under the PID Act, i</w:t>
      </w:r>
      <w:r w:rsidR="00D12177">
        <w:t xml:space="preserve">ntelligence information </w:t>
      </w:r>
      <w:r w:rsidR="00DD0552">
        <w:t xml:space="preserve">may only </w:t>
      </w:r>
      <w:r>
        <w:t xml:space="preserve">be disclosed as part of </w:t>
      </w:r>
      <w:r w:rsidR="00D12177">
        <w:t xml:space="preserve">an internal disclosure </w:t>
      </w:r>
      <w:r w:rsidR="0003696A">
        <w:t xml:space="preserve">to the relevant intelligence agency or to </w:t>
      </w:r>
      <w:r w:rsidR="00A47C6A">
        <w:t xml:space="preserve">the </w:t>
      </w:r>
      <w:r w:rsidR="0003696A">
        <w:t xml:space="preserve">IGIS. </w:t>
      </w:r>
      <w:r w:rsidR="00005BC3">
        <w:t xml:space="preserve"> Few such reports are made, but those that are made have the potential to be particularly important.  </w:t>
      </w:r>
      <w:r w:rsidR="005F24C4">
        <w:t>In 2021</w:t>
      </w:r>
      <w:r w:rsidR="005850BD">
        <w:t>–</w:t>
      </w:r>
      <w:r w:rsidR="005F24C4">
        <w:t xml:space="preserve">22 the IGIS reported that </w:t>
      </w:r>
      <w:r w:rsidR="00CF3CE4">
        <w:t xml:space="preserve">it had received 10 </w:t>
      </w:r>
      <w:r w:rsidR="00A424E0">
        <w:t xml:space="preserve">disclosures relating to intelligence agencies.  Four of those were allocated to intelligence agencies for investigation and </w:t>
      </w:r>
      <w:r w:rsidR="00A04A04">
        <w:t xml:space="preserve">three of the remaining six were </w:t>
      </w:r>
      <w:r w:rsidR="006345BC">
        <w:t xml:space="preserve">investigated by the IGIS either under the PID Act or under the </w:t>
      </w:r>
      <w:r w:rsidR="00F33BDC" w:rsidRPr="008031B8">
        <w:rPr>
          <w:i/>
          <w:iCs/>
        </w:rPr>
        <w:t>Inspector</w:t>
      </w:r>
      <w:r w:rsidR="008031B8" w:rsidRPr="008031B8">
        <w:rPr>
          <w:i/>
          <w:iCs/>
        </w:rPr>
        <w:t>-</w:t>
      </w:r>
      <w:r w:rsidR="00F33BDC" w:rsidRPr="008031B8">
        <w:rPr>
          <w:i/>
          <w:iCs/>
        </w:rPr>
        <w:t xml:space="preserve">General of Intelligence and Security </w:t>
      </w:r>
      <w:r w:rsidR="006345BC" w:rsidRPr="008031B8">
        <w:rPr>
          <w:i/>
          <w:iCs/>
        </w:rPr>
        <w:t>Act</w:t>
      </w:r>
      <w:r w:rsidR="00F33BDC" w:rsidRPr="008031B8">
        <w:rPr>
          <w:i/>
          <w:iCs/>
        </w:rPr>
        <w:t xml:space="preserve"> </w:t>
      </w:r>
      <w:r w:rsidR="008031B8" w:rsidRPr="008031B8">
        <w:rPr>
          <w:i/>
          <w:iCs/>
        </w:rPr>
        <w:t>1986</w:t>
      </w:r>
      <w:r w:rsidR="008031B8">
        <w:t xml:space="preserve"> (</w:t>
      </w:r>
      <w:proofErr w:type="spellStart"/>
      <w:r w:rsidR="008031B8">
        <w:t>Cth</w:t>
      </w:r>
      <w:proofErr w:type="spellEnd"/>
      <w:r w:rsidR="008031B8">
        <w:t>)</w:t>
      </w:r>
      <w:r w:rsidR="006345BC">
        <w:t>.</w:t>
      </w:r>
      <w:r w:rsidR="006345BC">
        <w:rPr>
          <w:rStyle w:val="EndnoteReference"/>
        </w:rPr>
        <w:endnoteReference w:id="50"/>
      </w:r>
    </w:p>
    <w:p w14:paraId="49132E7D" w14:textId="138F269F" w:rsidR="00F323A7" w:rsidRDefault="00F21E34" w:rsidP="00C74008">
      <w:pPr>
        <w:pStyle w:val="ListNumber"/>
      </w:pPr>
      <w:r>
        <w:t xml:space="preserve">In </w:t>
      </w:r>
      <w:r w:rsidR="00C639C1">
        <w:t>its submission to the Moss Review, t</w:t>
      </w:r>
      <w:r w:rsidR="00233519">
        <w:t xml:space="preserve">he IGIS </w:t>
      </w:r>
      <w:r w:rsidR="00C639C1">
        <w:t xml:space="preserve">recognised that </w:t>
      </w:r>
      <w:r w:rsidR="002323C6">
        <w:t xml:space="preserve">in </w:t>
      </w:r>
      <w:r w:rsidR="00C639C1">
        <w:t xml:space="preserve">some </w:t>
      </w:r>
      <w:r w:rsidR="002323C6">
        <w:t xml:space="preserve">cases a </w:t>
      </w:r>
      <w:r w:rsidR="00C639C1">
        <w:t xml:space="preserve">disclosure by </w:t>
      </w:r>
      <w:r w:rsidR="002323C6">
        <w:t xml:space="preserve">an </w:t>
      </w:r>
      <w:r w:rsidR="00C639C1">
        <w:t>AIC agenc</w:t>
      </w:r>
      <w:r w:rsidR="00BD6566">
        <w:t>y</w:t>
      </w:r>
      <w:r w:rsidR="00C639C1">
        <w:t xml:space="preserve"> </w:t>
      </w:r>
      <w:r w:rsidR="0001108F">
        <w:t>‘necessarily involve</w:t>
      </w:r>
      <w:r w:rsidR="002323C6">
        <w:t>s</w:t>
      </w:r>
      <w:r w:rsidR="0001108F">
        <w:t xml:space="preserve"> the communication of intelligence information’.</w:t>
      </w:r>
      <w:r w:rsidR="000D082A">
        <w:rPr>
          <w:rStyle w:val="EndnoteReference"/>
        </w:rPr>
        <w:endnoteReference w:id="51"/>
      </w:r>
      <w:r w:rsidR="00E156F8">
        <w:t xml:space="preserve">  In those circumstances, </w:t>
      </w:r>
      <w:r w:rsidR="00EF6F30">
        <w:t xml:space="preserve">the restrictions in the PID Act mean that the </w:t>
      </w:r>
      <w:r w:rsidR="007B34B6">
        <w:t xml:space="preserve">officer would not be able to obtain legal advice in relation to the </w:t>
      </w:r>
      <w:r w:rsidR="00534756">
        <w:t xml:space="preserve">substance of the </w:t>
      </w:r>
      <w:r w:rsidR="007B34B6">
        <w:t xml:space="preserve">disclosure, regardless of the security </w:t>
      </w:r>
      <w:r w:rsidR="00F323A7">
        <w:t xml:space="preserve">clearance of </w:t>
      </w:r>
      <w:r w:rsidR="001C6AE1">
        <w:t>any</w:t>
      </w:r>
      <w:r w:rsidR="00F323A7">
        <w:t xml:space="preserve"> lawyer. </w:t>
      </w:r>
      <w:r w:rsidR="005A760C">
        <w:t xml:space="preserve"> The Commission considers that this is undesirable and has the potential to limit </w:t>
      </w:r>
      <w:r w:rsidR="00AA466E">
        <w:t xml:space="preserve">the willingness of AIC staff to make </w:t>
      </w:r>
      <w:r w:rsidR="0074787A">
        <w:t>a disclosure.</w:t>
      </w:r>
      <w:r w:rsidR="009C0884">
        <w:t xml:space="preserve">  It may be that in responding to recommendation 2 above, the Government can also identify a subset of lawyers who are </w:t>
      </w:r>
      <w:r w:rsidR="00F77DE0">
        <w:t xml:space="preserve">able to provide legal advice to AIC staff about </w:t>
      </w:r>
      <w:r w:rsidR="008B72C8">
        <w:t xml:space="preserve">a </w:t>
      </w:r>
      <w:r w:rsidR="00F77DE0">
        <w:t xml:space="preserve">potential internal disclosure </w:t>
      </w:r>
      <w:r w:rsidR="008B72C8">
        <w:t>that includes intelligence information.</w:t>
      </w:r>
    </w:p>
    <w:p w14:paraId="433F0E21" w14:textId="31C69A72" w:rsidR="00A46316" w:rsidRPr="00006C60" w:rsidRDefault="008B72C8" w:rsidP="00006C60">
      <w:pPr>
        <w:pStyle w:val="ListNumber"/>
        <w:keepNext/>
        <w:numPr>
          <w:ilvl w:val="0"/>
          <w:numId w:val="0"/>
        </w:numPr>
        <w:ind w:left="1094"/>
        <w:rPr>
          <w:b/>
          <w:bCs/>
        </w:rPr>
      </w:pPr>
      <w:r w:rsidRPr="00006C60">
        <w:rPr>
          <w:b/>
          <w:bCs/>
        </w:rPr>
        <w:t>Recommendation 4</w:t>
      </w:r>
    </w:p>
    <w:p w14:paraId="21202E2A" w14:textId="23D1E6A2" w:rsidR="00233519" w:rsidRDefault="008B72C8" w:rsidP="00006C60">
      <w:pPr>
        <w:pStyle w:val="ListNumber"/>
        <w:numPr>
          <w:ilvl w:val="0"/>
          <w:numId w:val="0"/>
        </w:numPr>
        <w:ind w:left="1094"/>
      </w:pPr>
      <w:r>
        <w:t xml:space="preserve">The Commission recommends that the Government consider an appropriate mechanism to </w:t>
      </w:r>
      <w:r w:rsidR="00006C60">
        <w:t xml:space="preserve">ensure that staff within the Australian Intelligence Community can access legal advice about the potential to </w:t>
      </w:r>
      <w:r w:rsidR="00006C60">
        <w:lastRenderedPageBreak/>
        <w:t>make an internal disclosure under the PID Act that includes intelligence information.</w:t>
      </w:r>
    </w:p>
    <w:p w14:paraId="5BA9D5BD" w14:textId="1292583C" w:rsidR="008F0384" w:rsidRPr="00A941E4" w:rsidRDefault="008F0384" w:rsidP="008F0384">
      <w:pPr>
        <w:pStyle w:val="Heading3"/>
        <w:rPr>
          <w:i/>
          <w:iCs/>
        </w:rPr>
      </w:pPr>
      <w:bookmarkStart w:id="25" w:name="_Toc125116092"/>
      <w:r>
        <w:rPr>
          <w:i/>
          <w:iCs/>
        </w:rPr>
        <w:t>Secrecy offence applicable to lawyers</w:t>
      </w:r>
      <w:bookmarkEnd w:id="25"/>
    </w:p>
    <w:p w14:paraId="79432910" w14:textId="3FA65249" w:rsidR="00EE4A4C" w:rsidRDefault="00C406A9" w:rsidP="00EE4A4C">
      <w:pPr>
        <w:pStyle w:val="ListNumber"/>
      </w:pPr>
      <w:r>
        <w:t xml:space="preserve">As noted </w:t>
      </w:r>
      <w:r w:rsidR="00912E7B">
        <w:t xml:space="preserve">above, s 67 of </w:t>
      </w:r>
      <w:r w:rsidR="00312011">
        <w:t>the PID Act</w:t>
      </w:r>
      <w:r w:rsidR="00912E7B">
        <w:t xml:space="preserve"> provides that </w:t>
      </w:r>
      <w:r w:rsidR="00017FB2">
        <w:t xml:space="preserve">if a lawyer has received </w:t>
      </w:r>
      <w:r w:rsidR="008E4C14">
        <w:t xml:space="preserve">a legal practitioner disclosure and the person discloses the information to another person or uses the information, the lawyer commits an offence punishable by </w:t>
      </w:r>
      <w:r w:rsidR="00CD30EF">
        <w:t xml:space="preserve">up to 2 years imprisonment or a penalty of </w:t>
      </w:r>
      <w:r w:rsidR="006B7B06">
        <w:t xml:space="preserve">up to $33,000 or both.  </w:t>
      </w:r>
      <w:r w:rsidR="00B966B6">
        <w:t>This provision is significantly broader than the general secrecy provision</w:t>
      </w:r>
      <w:r w:rsidR="003A0394" w:rsidRPr="003A0394">
        <w:t xml:space="preserve"> </w:t>
      </w:r>
      <w:r w:rsidR="003A0394">
        <w:t>in s 122.4A of the Criminal Code</w:t>
      </w:r>
      <w:r w:rsidR="00535B15">
        <w:t>,</w:t>
      </w:r>
      <w:r w:rsidR="00B966B6">
        <w:t xml:space="preserve"> for </w:t>
      </w:r>
      <w:r w:rsidR="007B57BB">
        <w:t>people who are not Commonwealth officers</w:t>
      </w:r>
      <w:r w:rsidR="00535B15">
        <w:t>,</w:t>
      </w:r>
      <w:r w:rsidR="007B57BB">
        <w:t xml:space="preserve"> </w:t>
      </w:r>
      <w:r w:rsidR="002268B8">
        <w:t>in that it applies regardless of any harm that might be caused by disclosure</w:t>
      </w:r>
      <w:r w:rsidR="00B966B6">
        <w:t xml:space="preserve">.  </w:t>
      </w:r>
      <w:r w:rsidR="002268B8">
        <w:t xml:space="preserve">As a result, s 67 is contrary to the recommendations made by the ALRC </w:t>
      </w:r>
      <w:r w:rsidR="00F45162">
        <w:t>Secrecy Report.</w:t>
      </w:r>
      <w:r w:rsidR="00C920F5">
        <w:rPr>
          <w:rStyle w:val="EndnoteReference"/>
        </w:rPr>
        <w:endnoteReference w:id="52"/>
      </w:r>
      <w:r w:rsidR="00F45162">
        <w:t xml:space="preserve">  By contrast, s 122.4A </w:t>
      </w:r>
      <w:r w:rsidR="00EE4A4C">
        <w:t xml:space="preserve">prohibits further communication or dealing with information </w:t>
      </w:r>
      <w:r w:rsidR="00F45162">
        <w:t xml:space="preserve">received from a Commonwealth officer </w:t>
      </w:r>
      <w:r w:rsidR="00EE4A4C">
        <w:t>(unless a defence in s 122.5 applies) if:</w:t>
      </w:r>
    </w:p>
    <w:p w14:paraId="208B35F6" w14:textId="451BE41E" w:rsidR="00EE4A4C" w:rsidRDefault="00EE4A4C" w:rsidP="00EE4A4C">
      <w:pPr>
        <w:pStyle w:val="ListNumber"/>
        <w:numPr>
          <w:ilvl w:val="0"/>
          <w:numId w:val="38"/>
        </w:numPr>
      </w:pPr>
      <w:r>
        <w:t xml:space="preserve">the information has a security classification of </w:t>
      </w:r>
      <w:r w:rsidR="003A0394">
        <w:t>‘</w:t>
      </w:r>
      <w:r>
        <w:t>secret</w:t>
      </w:r>
      <w:r w:rsidR="003A0394">
        <w:t>’</w:t>
      </w:r>
      <w:r>
        <w:t xml:space="preserve"> or </w:t>
      </w:r>
      <w:r w:rsidR="003A0394">
        <w:t>‘</w:t>
      </w:r>
      <w:r>
        <w:t xml:space="preserve">top </w:t>
      </w:r>
      <w:proofErr w:type="gramStart"/>
      <w:r>
        <w:t>secret</w:t>
      </w:r>
      <w:r w:rsidR="003A0394">
        <w:t>’</w:t>
      </w:r>
      <w:proofErr w:type="gramEnd"/>
    </w:p>
    <w:p w14:paraId="17A1EE9E" w14:textId="77777777" w:rsidR="00EE4A4C" w:rsidRDefault="00EE4A4C" w:rsidP="00EE4A4C">
      <w:pPr>
        <w:pStyle w:val="ListNumber"/>
        <w:numPr>
          <w:ilvl w:val="0"/>
          <w:numId w:val="38"/>
        </w:numPr>
      </w:pPr>
      <w:r>
        <w:t>the communication of, or dealing with, the information:</w:t>
      </w:r>
    </w:p>
    <w:p w14:paraId="3A4BEB7B" w14:textId="77777777" w:rsidR="00EE4A4C" w:rsidRDefault="00EE4A4C" w:rsidP="00EE4A4C">
      <w:pPr>
        <w:pStyle w:val="ListNumber"/>
        <w:numPr>
          <w:ilvl w:val="1"/>
          <w:numId w:val="38"/>
        </w:numPr>
        <w:ind w:left="2160"/>
      </w:pPr>
      <w:r w:rsidRPr="0007257A">
        <w:t xml:space="preserve">damages the security or defence of </w:t>
      </w:r>
      <w:proofErr w:type="gramStart"/>
      <w:r w:rsidRPr="0007257A">
        <w:t>Australia</w:t>
      </w:r>
      <w:proofErr w:type="gramEnd"/>
    </w:p>
    <w:p w14:paraId="0D959D7C" w14:textId="77777777" w:rsidR="00EE4A4C" w:rsidRDefault="00EE4A4C" w:rsidP="00EE4A4C">
      <w:pPr>
        <w:pStyle w:val="ListNumber"/>
        <w:numPr>
          <w:ilvl w:val="1"/>
          <w:numId w:val="38"/>
        </w:numPr>
        <w:ind w:left="2160"/>
      </w:pPr>
      <w:r w:rsidRPr="007F546E">
        <w:t xml:space="preserve">interferes with or prejudices the prevention, detection, investigation, prosecution or punishment of a criminal offence against a law of the </w:t>
      </w:r>
      <w:proofErr w:type="gramStart"/>
      <w:r w:rsidRPr="007F546E">
        <w:t>Commonwealth</w:t>
      </w:r>
      <w:proofErr w:type="gramEnd"/>
    </w:p>
    <w:p w14:paraId="3FC762AE" w14:textId="77777777" w:rsidR="00EE4A4C" w:rsidRDefault="00EE4A4C" w:rsidP="00EE4A4C">
      <w:pPr>
        <w:pStyle w:val="ListNumber"/>
        <w:numPr>
          <w:ilvl w:val="1"/>
          <w:numId w:val="38"/>
        </w:numPr>
        <w:ind w:left="2160"/>
      </w:pPr>
      <w:r w:rsidRPr="007F546E">
        <w:t>harms or prejudices the health or safety of the Australian public or a section of the Australian public</w:t>
      </w:r>
      <w:r>
        <w:t>.</w:t>
      </w:r>
    </w:p>
    <w:p w14:paraId="3320BD69" w14:textId="29712643" w:rsidR="00A01E22" w:rsidRDefault="00454342" w:rsidP="00201200">
      <w:pPr>
        <w:pStyle w:val="ListNumber"/>
      </w:pPr>
      <w:r>
        <w:t xml:space="preserve">It may be that </w:t>
      </w:r>
      <w:r w:rsidR="00920099">
        <w:t xml:space="preserve">the specific secrecy offence in s 67 of </w:t>
      </w:r>
      <w:r w:rsidR="00312011">
        <w:t>the PID Act</w:t>
      </w:r>
      <w:r w:rsidR="00920099">
        <w:t xml:space="preserve"> is required to be broader than the general secrecy offence in s 122.5 </w:t>
      </w:r>
      <w:r w:rsidR="00F20868">
        <w:t xml:space="preserve">of the Criminal Code </w:t>
      </w:r>
      <w:r w:rsidR="00920099">
        <w:t xml:space="preserve">because a legal practitioner disclosure </w:t>
      </w:r>
      <w:r w:rsidR="00920099" w:rsidRPr="00920099">
        <w:rPr>
          <w:i/>
          <w:iCs/>
        </w:rPr>
        <w:t>may</w:t>
      </w:r>
      <w:r w:rsidR="00920099">
        <w:t xml:space="preserve"> include </w:t>
      </w:r>
      <w:r w:rsidR="00735994">
        <w:t xml:space="preserve">information the communication of which would otherwise be prohibited by another secrecy provision applying to the </w:t>
      </w:r>
      <w:proofErr w:type="spellStart"/>
      <w:r w:rsidR="00735994">
        <w:t>whistleblower</w:t>
      </w:r>
      <w:proofErr w:type="spellEnd"/>
      <w:r w:rsidR="00735994">
        <w:t>.  This means that the lawyer may receive information that</w:t>
      </w:r>
      <w:r w:rsidR="00156565">
        <w:t>,</w:t>
      </w:r>
      <w:r w:rsidR="00735994">
        <w:t xml:space="preserve"> under ordinary circumstances</w:t>
      </w:r>
      <w:r w:rsidR="00156565">
        <w:t>,</w:t>
      </w:r>
      <w:r w:rsidR="00735994">
        <w:t xml:space="preserve"> the </w:t>
      </w:r>
      <w:proofErr w:type="spellStart"/>
      <w:r w:rsidR="00735994">
        <w:t>whistleblower</w:t>
      </w:r>
      <w:proofErr w:type="spellEnd"/>
      <w:r w:rsidR="00735994">
        <w:t xml:space="preserve"> would not be authorised to </w:t>
      </w:r>
      <w:r w:rsidR="003E69BD">
        <w:t xml:space="preserve">disclose.  However, in prohibiting </w:t>
      </w:r>
      <w:r w:rsidR="00857BFA">
        <w:t xml:space="preserve">the </w:t>
      </w:r>
      <w:r w:rsidR="003E69BD">
        <w:t xml:space="preserve">further disclosure or use of </w:t>
      </w:r>
      <w:r w:rsidR="00857BFA" w:rsidRPr="00857BFA">
        <w:rPr>
          <w:i/>
          <w:iCs/>
        </w:rPr>
        <w:t>any</w:t>
      </w:r>
      <w:r w:rsidR="00857BFA">
        <w:t xml:space="preserve"> information disclosed to the lawyer, s 67 goes further than is necessary to protect </w:t>
      </w:r>
      <w:r w:rsidR="00145C07">
        <w:t>legitimately confidential information.</w:t>
      </w:r>
    </w:p>
    <w:p w14:paraId="58A4E5BB" w14:textId="77BF8676" w:rsidR="00346FBC" w:rsidRDefault="00346FBC" w:rsidP="00201200">
      <w:pPr>
        <w:pStyle w:val="ListNumber"/>
      </w:pPr>
      <w:r>
        <w:t>The Commission considers that s 67 should be amended in a way that is consistent with recommendation 8-2 of the ALRC Secrecy Report</w:t>
      </w:r>
      <w:r w:rsidR="00F758ED">
        <w:t xml:space="preserve"> </w:t>
      </w:r>
      <w:r w:rsidR="00F758ED">
        <w:lastRenderedPageBreak/>
        <w:t>(</w:t>
      </w:r>
      <w:r w:rsidR="002A5332">
        <w:t>including</w:t>
      </w:r>
      <w:r w:rsidR="00F758ED">
        <w:t>, if necessary, a prohibition on the further disclosure of intelligence information)</w:t>
      </w:r>
      <w:r>
        <w:t>.</w:t>
      </w:r>
    </w:p>
    <w:p w14:paraId="665E8B61" w14:textId="07992E77" w:rsidR="00DE30D6" w:rsidRPr="009131FB" w:rsidRDefault="009131FB" w:rsidP="00942F48">
      <w:pPr>
        <w:pStyle w:val="ListNumber"/>
        <w:keepNext/>
        <w:numPr>
          <w:ilvl w:val="0"/>
          <w:numId w:val="0"/>
        </w:numPr>
        <w:ind w:left="1094"/>
        <w:rPr>
          <w:b/>
          <w:bCs/>
        </w:rPr>
      </w:pPr>
      <w:r w:rsidRPr="009131FB">
        <w:rPr>
          <w:b/>
          <w:bCs/>
        </w:rPr>
        <w:t xml:space="preserve">Recommendation </w:t>
      </w:r>
      <w:r w:rsidR="00CC4D77">
        <w:rPr>
          <w:b/>
          <w:bCs/>
        </w:rPr>
        <w:t>5</w:t>
      </w:r>
    </w:p>
    <w:p w14:paraId="2BE58072" w14:textId="173D6567" w:rsidR="009131FB" w:rsidRDefault="009131FB" w:rsidP="009131FB">
      <w:pPr>
        <w:pStyle w:val="ListNumber"/>
        <w:numPr>
          <w:ilvl w:val="0"/>
          <w:numId w:val="0"/>
        </w:numPr>
        <w:ind w:left="1094"/>
      </w:pPr>
      <w:r>
        <w:t xml:space="preserve">The Commission recommends that the offence provision in s 67 of </w:t>
      </w:r>
      <w:r w:rsidR="00312011">
        <w:t>the PID Act</w:t>
      </w:r>
      <w:r>
        <w:t xml:space="preserve"> applying to legal practitioners be amended so that it is limited to </w:t>
      </w:r>
      <w:r w:rsidR="00BC0CF0">
        <w:t>a</w:t>
      </w:r>
      <w:r>
        <w:t xml:space="preserve"> disclosure o</w:t>
      </w:r>
      <w:r w:rsidR="00F778B6">
        <w:t xml:space="preserve">r use of information that </w:t>
      </w:r>
      <w:r w:rsidR="00BC0CF0">
        <w:t>caused, or was likely or intended to cause, harm to an identified essential public interest</w:t>
      </w:r>
      <w:r w:rsidR="004C1023">
        <w:t xml:space="preserve">, or disclosure of narrow categories of information where harm to an essential public interest </w:t>
      </w:r>
      <w:r w:rsidR="002A5332">
        <w:t>is implicit.</w:t>
      </w:r>
    </w:p>
    <w:p w14:paraId="5F51A6BF" w14:textId="201FC9D6" w:rsidR="006D6582" w:rsidRPr="00A941E4" w:rsidRDefault="006D6582" w:rsidP="00A941E4">
      <w:pPr>
        <w:pStyle w:val="Heading3"/>
        <w:rPr>
          <w:i/>
          <w:iCs/>
        </w:rPr>
      </w:pPr>
      <w:bookmarkStart w:id="26" w:name="_Toc125116093"/>
      <w:r w:rsidRPr="00A941E4">
        <w:rPr>
          <w:i/>
          <w:iCs/>
        </w:rPr>
        <w:t>Obtaining advice from other professionals</w:t>
      </w:r>
      <w:bookmarkEnd w:id="26"/>
    </w:p>
    <w:p w14:paraId="54A19C72" w14:textId="33475702" w:rsidR="00415938" w:rsidRDefault="00415938" w:rsidP="00415938">
      <w:pPr>
        <w:pStyle w:val="ListNumber"/>
      </w:pPr>
      <w:r>
        <w:t xml:space="preserve">Recommendation 25 of the Moss Review was that the class of people to whom disclosures could be made should be expanded to allow a </w:t>
      </w:r>
      <w:proofErr w:type="spellStart"/>
      <w:r>
        <w:t>whistleblower</w:t>
      </w:r>
      <w:proofErr w:type="spellEnd"/>
      <w:r>
        <w:t xml:space="preserve"> to seek ‘professional advice’ about using </w:t>
      </w:r>
      <w:r w:rsidR="00312011">
        <w:t>the PID Act</w:t>
      </w:r>
      <w:r>
        <w:t>.  The Moss Review had in mind disclosures to unions, employee assistance programs and professional associations.</w:t>
      </w:r>
      <w:r>
        <w:rPr>
          <w:rStyle w:val="EndnoteReference"/>
        </w:rPr>
        <w:endnoteReference w:id="53"/>
      </w:r>
      <w:r w:rsidR="00CB2556">
        <w:t xml:space="preserve">  </w:t>
      </w:r>
      <w:r w:rsidR="0043398F">
        <w:t>According to s</w:t>
      </w:r>
      <w:r w:rsidR="00E7618A">
        <w:t xml:space="preserve">ubmissions and survey responses to the </w:t>
      </w:r>
      <w:r w:rsidR="00CB2556">
        <w:t xml:space="preserve">Moss </w:t>
      </w:r>
      <w:r w:rsidR="00E7618A">
        <w:t>R</w:t>
      </w:r>
      <w:r w:rsidR="00CB2556">
        <w:t>eview</w:t>
      </w:r>
      <w:r w:rsidR="0043398F">
        <w:t>,</w:t>
      </w:r>
      <w:r w:rsidR="00CB2556">
        <w:t xml:space="preserve"> </w:t>
      </w:r>
      <w:r w:rsidR="00E7618A">
        <w:t xml:space="preserve">people who made a public interest disclosure </w:t>
      </w:r>
      <w:r w:rsidR="00886CB4">
        <w:t>re</w:t>
      </w:r>
      <w:r w:rsidR="0043398F">
        <w:t>ported long-term health and career effects because they reported wrongdoing.</w:t>
      </w:r>
      <w:r w:rsidR="00597B9F">
        <w:rPr>
          <w:rStyle w:val="EndnoteReference"/>
        </w:rPr>
        <w:endnoteReference w:id="54"/>
      </w:r>
      <w:r w:rsidR="0043398F">
        <w:t xml:space="preserve">  These are the kinds of impacts that an individual may legitimately seek to </w:t>
      </w:r>
      <w:r w:rsidR="00597B9F">
        <w:t>mitigate through expert advice and assistance.</w:t>
      </w:r>
    </w:p>
    <w:p w14:paraId="56FB94BC" w14:textId="7B031601" w:rsidR="00415938" w:rsidRDefault="00415938" w:rsidP="00415938">
      <w:pPr>
        <w:pStyle w:val="ListNumber"/>
      </w:pPr>
      <w:r>
        <w:t>In December 2020, the then Government said that it agreed with this recommendation in part</w:t>
      </w:r>
      <w:r w:rsidR="005B3278">
        <w:t>,</w:t>
      </w:r>
      <w:r>
        <w:t xml:space="preserve"> but considered that obtaining assistance from a lawyer, the </w:t>
      </w:r>
      <w:r w:rsidR="005B3278">
        <w:t xml:space="preserve">Commonwealth </w:t>
      </w:r>
      <w:r>
        <w:t xml:space="preserve">Ombudsman or </w:t>
      </w:r>
      <w:r w:rsidR="00FA023A">
        <w:t xml:space="preserve">the </w:t>
      </w:r>
      <w:r>
        <w:t>IGIS was sufficient.</w:t>
      </w:r>
      <w:r>
        <w:rPr>
          <w:rStyle w:val="EndnoteReference"/>
        </w:rPr>
        <w:endnoteReference w:id="55"/>
      </w:r>
    </w:p>
    <w:p w14:paraId="0C85C98A" w14:textId="6692875E" w:rsidR="00415938" w:rsidRDefault="00415938" w:rsidP="00415938">
      <w:pPr>
        <w:pStyle w:val="ListNumber"/>
      </w:pPr>
      <w:r>
        <w:t xml:space="preserve">The Commission considers that there is merit in expanding the range of assistance available to potential and actual </w:t>
      </w:r>
      <w:proofErr w:type="spellStart"/>
      <w:r>
        <w:t>whistleblowers</w:t>
      </w:r>
      <w:proofErr w:type="spellEnd"/>
      <w:r w:rsidR="005B3278">
        <w:t>,</w:t>
      </w:r>
      <w:r>
        <w:t xml:space="preserve"> given the different types of professional expertise and assistance that can usefully </w:t>
      </w:r>
      <w:r w:rsidR="008C5078">
        <w:t xml:space="preserve">be </w:t>
      </w:r>
      <w:r>
        <w:t xml:space="preserve">offered by </w:t>
      </w:r>
      <w:r w:rsidR="00395DB4">
        <w:t>people</w:t>
      </w:r>
      <w:r>
        <w:t xml:space="preserve"> who are not lawyers.  For example, the Moss Review noted the important role played by unions in advising workers on work, </w:t>
      </w:r>
      <w:proofErr w:type="gramStart"/>
      <w:r>
        <w:t>health</w:t>
      </w:r>
      <w:proofErr w:type="gramEnd"/>
      <w:r>
        <w:t xml:space="preserve"> and safety matters (recognised in the </w:t>
      </w:r>
      <w:r w:rsidRPr="00A205FB">
        <w:rPr>
          <w:i/>
          <w:iCs/>
        </w:rPr>
        <w:t>Work Health and Safety Act 2011</w:t>
      </w:r>
      <w:r>
        <w:t xml:space="preserve"> (</w:t>
      </w:r>
      <w:proofErr w:type="spellStart"/>
      <w:r>
        <w:t>Cth</w:t>
      </w:r>
      <w:proofErr w:type="spellEnd"/>
      <w:r>
        <w:t>)).</w:t>
      </w:r>
      <w:r>
        <w:rPr>
          <w:rStyle w:val="EndnoteReference"/>
        </w:rPr>
        <w:endnoteReference w:id="56"/>
      </w:r>
      <w:r>
        <w:t xml:space="preserve">  Similarly, employee assistance programs typically provide free, confidential and professional counselling services for public sector employees</w:t>
      </w:r>
      <w:r w:rsidR="00853F86">
        <w:t>, and</w:t>
      </w:r>
      <w:r>
        <w:t xml:space="preserve"> are an important aspect of addressing mental health concerns in the workplace. </w:t>
      </w:r>
    </w:p>
    <w:p w14:paraId="7E05CA3A" w14:textId="00BFCBCF" w:rsidR="00415938" w:rsidRDefault="00415938" w:rsidP="00415938">
      <w:pPr>
        <w:pStyle w:val="ListNumber"/>
      </w:pPr>
      <w:r>
        <w:t xml:space="preserve">In addition to any confidentiality requirements that apply to those </w:t>
      </w:r>
      <w:r w:rsidR="005B3278">
        <w:t>advis</w:t>
      </w:r>
      <w:r w:rsidR="004F5B3A">
        <w:t>ory</w:t>
      </w:r>
      <w:r w:rsidR="005B3278">
        <w:t xml:space="preserve"> </w:t>
      </w:r>
      <w:r>
        <w:t xml:space="preserve">relationships, the information contained in a disclosure to </w:t>
      </w:r>
      <w:r>
        <w:lastRenderedPageBreak/>
        <w:t xml:space="preserve">such </w:t>
      </w:r>
      <w:r w:rsidR="005B3278">
        <w:t xml:space="preserve">advisers </w:t>
      </w:r>
      <w:r>
        <w:t>would continue to be protected by the general secrecy provision in s 122.4A of the Criminal Code</w:t>
      </w:r>
      <w:r w:rsidR="00B40741">
        <w:t xml:space="preserve"> referred to above.</w:t>
      </w:r>
    </w:p>
    <w:p w14:paraId="3F2C04A9" w14:textId="261FD5B5" w:rsidR="00415938" w:rsidRDefault="00B40741" w:rsidP="00415938">
      <w:pPr>
        <w:pStyle w:val="ListNumber"/>
      </w:pPr>
      <w:r>
        <w:t xml:space="preserve">If there is a need to retain a specific secrecy offence in s 67 in relation to lawyers (bearing in mind </w:t>
      </w:r>
      <w:r w:rsidR="00891407">
        <w:t xml:space="preserve">recommendation </w:t>
      </w:r>
      <w:r w:rsidR="00C81F90">
        <w:t>5</w:t>
      </w:r>
      <w:r w:rsidR="00891407">
        <w:t xml:space="preserve"> above), then that secrecy offence could also be extended to those professionals providing additional assistance to </w:t>
      </w:r>
      <w:proofErr w:type="spellStart"/>
      <w:r w:rsidR="00891407">
        <w:t>whistleblowers</w:t>
      </w:r>
      <w:proofErr w:type="spellEnd"/>
      <w:r w:rsidR="00891407">
        <w:t xml:space="preserve">. </w:t>
      </w:r>
    </w:p>
    <w:p w14:paraId="79F1EAB4" w14:textId="76E6733E" w:rsidR="00201200" w:rsidRPr="00891407" w:rsidRDefault="00891407" w:rsidP="00891407">
      <w:pPr>
        <w:pStyle w:val="ListNumber"/>
        <w:keepNext/>
        <w:numPr>
          <w:ilvl w:val="0"/>
          <w:numId w:val="0"/>
        </w:numPr>
        <w:ind w:left="1094"/>
        <w:rPr>
          <w:b/>
          <w:bCs/>
        </w:rPr>
      </w:pPr>
      <w:r w:rsidRPr="00891407">
        <w:rPr>
          <w:b/>
          <w:bCs/>
        </w:rPr>
        <w:t xml:space="preserve">Recommendation </w:t>
      </w:r>
      <w:r w:rsidR="00763597">
        <w:rPr>
          <w:b/>
          <w:bCs/>
        </w:rPr>
        <w:t>6</w:t>
      </w:r>
    </w:p>
    <w:p w14:paraId="259ECB36" w14:textId="266E562A" w:rsidR="00891407" w:rsidRDefault="00891407" w:rsidP="00891407">
      <w:pPr>
        <w:pStyle w:val="ListNumber"/>
        <w:numPr>
          <w:ilvl w:val="0"/>
          <w:numId w:val="0"/>
        </w:numPr>
        <w:ind w:left="1094"/>
      </w:pPr>
      <w:r>
        <w:t xml:space="preserve">The Commission recommends that </w:t>
      </w:r>
      <w:r w:rsidR="00A13EBD">
        <w:t xml:space="preserve">item 4 in the table in s 26(1) of </w:t>
      </w:r>
      <w:r w:rsidR="00312011">
        <w:t>the PID Act</w:t>
      </w:r>
      <w:r w:rsidR="00A13EBD">
        <w:t xml:space="preserve"> be amended to permit a </w:t>
      </w:r>
      <w:proofErr w:type="spellStart"/>
      <w:r w:rsidR="00A13EBD">
        <w:t>whistleblower</w:t>
      </w:r>
      <w:proofErr w:type="spellEnd"/>
      <w:r w:rsidR="00A13EBD">
        <w:t xml:space="preserve"> to make a disclosure to </w:t>
      </w:r>
      <w:r w:rsidR="00A52DAA">
        <w:t xml:space="preserve">other relevant </w:t>
      </w:r>
      <w:r w:rsidR="00616692">
        <w:t>advisers</w:t>
      </w:r>
      <w:r w:rsidR="00A52DAA">
        <w:t>, including a union or a</w:t>
      </w:r>
      <w:r w:rsidR="00BF575E">
        <w:t xml:space="preserve"> person providing an employee assistance program</w:t>
      </w:r>
      <w:r w:rsidR="0053070C">
        <w:t xml:space="preserve">, for the purpose of obtaining advice and assistance </w:t>
      </w:r>
      <w:r w:rsidR="002E7D2B">
        <w:t>in relation to making or having made a public interest disclosure</w:t>
      </w:r>
      <w:r w:rsidR="0053070C">
        <w:t>.</w:t>
      </w:r>
      <w:r w:rsidR="00BF575E">
        <w:t xml:space="preserve"> </w:t>
      </w:r>
    </w:p>
    <w:p w14:paraId="04AD8889" w14:textId="00D5186F" w:rsidR="00201200" w:rsidRDefault="00211A08" w:rsidP="00195CC7">
      <w:pPr>
        <w:pStyle w:val="Heading2"/>
      </w:pPr>
      <w:bookmarkStart w:id="27" w:name="_Ref124750816"/>
      <w:bookmarkStart w:id="28" w:name="_Toc125116094"/>
      <w:r>
        <w:t>Limiting d</w:t>
      </w:r>
      <w:r w:rsidR="00E95DF4">
        <w:t>iscretion not to investigate</w:t>
      </w:r>
      <w:bookmarkEnd w:id="27"/>
      <w:bookmarkEnd w:id="28"/>
    </w:p>
    <w:p w14:paraId="21BA7506" w14:textId="57F950FE" w:rsidR="00D23B5E" w:rsidRDefault="00591153" w:rsidP="00277B47">
      <w:pPr>
        <w:pStyle w:val="ListNumber"/>
      </w:pPr>
      <w:r>
        <w:t xml:space="preserve">In accordance with recommendations of the Moss Review, the Bill proposes to make a series of amendments designed to provide a stronger focus on </w:t>
      </w:r>
      <w:r w:rsidR="00581597">
        <w:t xml:space="preserve">disclosures relating to </w:t>
      </w:r>
      <w:r w:rsidR="0083495F">
        <w:t>significant wrongdoing.  This includes excluding personal employment related conduct from the definition of ‘disclosable conduct’,</w:t>
      </w:r>
      <w:r w:rsidR="00754875">
        <w:rPr>
          <w:rStyle w:val="EndnoteReference"/>
        </w:rPr>
        <w:endnoteReference w:id="57"/>
      </w:r>
      <w:r w:rsidR="0083495F">
        <w:t xml:space="preserve"> and </w:t>
      </w:r>
      <w:r w:rsidR="002B4CA1">
        <w:t xml:space="preserve">permitting a relevant officer </w:t>
      </w:r>
      <w:r w:rsidR="001735A0" w:rsidRPr="002B4CA1">
        <w:t>not</w:t>
      </w:r>
      <w:r w:rsidR="001735A0">
        <w:t xml:space="preserve"> to allocate a disclosure for investigation, or </w:t>
      </w:r>
      <w:r w:rsidR="001735A0" w:rsidRPr="002B4CA1">
        <w:t>not</w:t>
      </w:r>
      <w:r w:rsidR="001735A0">
        <w:t xml:space="preserve"> to investigate or further investigate a disclosure, if the conduct disclosed would be more appropriately investigated under another law or power</w:t>
      </w:r>
      <w:r w:rsidR="00AE15F4">
        <w:t xml:space="preserve"> (see [</w:t>
      </w:r>
      <w:r w:rsidR="00AE15F4">
        <w:fldChar w:fldCharType="begin"/>
      </w:r>
      <w:r w:rsidR="00AE15F4">
        <w:instrText xml:space="preserve"> REF _Ref124690441 \r \h </w:instrText>
      </w:r>
      <w:r w:rsidR="00AE15F4">
        <w:fldChar w:fldCharType="separate"/>
      </w:r>
      <w:r w:rsidR="006F77C1">
        <w:t>36</w:t>
      </w:r>
      <w:r w:rsidR="00AE15F4">
        <w:fldChar w:fldCharType="end"/>
      </w:r>
      <w:r w:rsidR="00AE15F4">
        <w:t>]–[</w:t>
      </w:r>
      <w:r w:rsidR="00AE15F4">
        <w:fldChar w:fldCharType="begin"/>
      </w:r>
      <w:r w:rsidR="00AE15F4">
        <w:instrText xml:space="preserve"> REF _Ref124690447 \r \h </w:instrText>
      </w:r>
      <w:r w:rsidR="00AE15F4">
        <w:fldChar w:fldCharType="separate"/>
      </w:r>
      <w:r w:rsidR="006F77C1">
        <w:t>37</w:t>
      </w:r>
      <w:r w:rsidR="00AE15F4">
        <w:fldChar w:fldCharType="end"/>
      </w:r>
      <w:r w:rsidR="00AE15F4">
        <w:t>] above)</w:t>
      </w:r>
      <w:r w:rsidR="001735A0">
        <w:t>.</w:t>
      </w:r>
      <w:r w:rsidR="0059573D">
        <w:rPr>
          <w:rStyle w:val="EndnoteReference"/>
        </w:rPr>
        <w:endnoteReference w:id="58"/>
      </w:r>
      <w:r w:rsidR="001735A0">
        <w:t xml:space="preserve">  </w:t>
      </w:r>
    </w:p>
    <w:p w14:paraId="04BFA15D" w14:textId="692777F2" w:rsidR="001735A0" w:rsidRDefault="004809ED" w:rsidP="00277B47">
      <w:pPr>
        <w:pStyle w:val="ListNumber"/>
      </w:pPr>
      <w:r>
        <w:t xml:space="preserve">This new ground for </w:t>
      </w:r>
      <w:r w:rsidR="00D23B5E">
        <w:t xml:space="preserve">deciding not to investigate under </w:t>
      </w:r>
      <w:r w:rsidR="00312011">
        <w:t>the PID Act</w:t>
      </w:r>
      <w:r w:rsidR="00D23B5E">
        <w:t xml:space="preserve"> comes with safeguards to ensure, to the extent possible, that </w:t>
      </w:r>
      <w:r w:rsidR="004C687D">
        <w:t xml:space="preserve">the disclosure is appropriately investigated elsewhere.  </w:t>
      </w:r>
      <w:r w:rsidR="001735A0">
        <w:t>I</w:t>
      </w:r>
      <w:r w:rsidR="00401650">
        <w:t xml:space="preserve">f an officer decides </w:t>
      </w:r>
      <w:r w:rsidR="00106F28">
        <w:t xml:space="preserve">not to allocate or not to investigate a disclosure because it could be more appropriately investigated under another law or power, </w:t>
      </w:r>
      <w:r w:rsidR="001735A0">
        <w:t xml:space="preserve">the relevant officer </w:t>
      </w:r>
      <w:proofErr w:type="gramStart"/>
      <w:r w:rsidR="001735A0">
        <w:t>would</w:t>
      </w:r>
      <w:proofErr w:type="gramEnd"/>
      <w:r w:rsidR="001735A0">
        <w:t xml:space="preserve"> have an obligation to refer the conduct for investigation under that other law or power</w:t>
      </w:r>
      <w:r w:rsidR="00A62FE2">
        <w:t>.</w:t>
      </w:r>
      <w:r w:rsidR="004C687D">
        <w:rPr>
          <w:rStyle w:val="EndnoteReference"/>
        </w:rPr>
        <w:endnoteReference w:id="59"/>
      </w:r>
    </w:p>
    <w:p w14:paraId="7E9A6A1E" w14:textId="47B30ED3" w:rsidR="00AE15F4" w:rsidRDefault="007A3488" w:rsidP="00AE15F4">
      <w:pPr>
        <w:pStyle w:val="ListNumber"/>
      </w:pPr>
      <w:r>
        <w:t>T</w:t>
      </w:r>
      <w:r w:rsidR="00A62FE2">
        <w:t xml:space="preserve">his narrowing of the scheme to focus on more </w:t>
      </w:r>
      <w:r w:rsidR="00BB02A2">
        <w:t xml:space="preserve">significant </w:t>
      </w:r>
      <w:r w:rsidR="00A62FE2">
        <w:t>condu</w:t>
      </w:r>
      <w:r w:rsidR="00BB02A2">
        <w:t>ct</w:t>
      </w:r>
      <w:r w:rsidR="00A62FE2">
        <w:t xml:space="preserve">, and the ability to refer </w:t>
      </w:r>
      <w:r w:rsidR="00A32E8B">
        <w:t>disclosures</w:t>
      </w:r>
      <w:r w:rsidR="00BB02A2">
        <w:t xml:space="preserve"> to other complaint handling mechanisms, </w:t>
      </w:r>
      <w:r>
        <w:t xml:space="preserve">raises the question of whether </w:t>
      </w:r>
      <w:r w:rsidR="00EF533B">
        <w:t xml:space="preserve">s 48(1)(c) of </w:t>
      </w:r>
      <w:r w:rsidR="00312011">
        <w:t>the PID Act</w:t>
      </w:r>
      <w:r w:rsidR="00EF533B">
        <w:t xml:space="preserve"> </w:t>
      </w:r>
      <w:r w:rsidR="00C1339D">
        <w:t xml:space="preserve">should </w:t>
      </w:r>
      <w:r w:rsidR="00037527">
        <w:t xml:space="preserve">now </w:t>
      </w:r>
      <w:r w:rsidR="00C1339D">
        <w:t>be repealed</w:t>
      </w:r>
      <w:r w:rsidR="00EF533B">
        <w:t xml:space="preserve">. </w:t>
      </w:r>
    </w:p>
    <w:p w14:paraId="4188CDE7" w14:textId="47C1717F" w:rsidR="00CD0640" w:rsidRDefault="00EF533B" w:rsidP="00277B47">
      <w:pPr>
        <w:pStyle w:val="ListNumber"/>
      </w:pPr>
      <w:r>
        <w:t xml:space="preserve">Section 48(1)(c) </w:t>
      </w:r>
      <w:r w:rsidR="00A32304">
        <w:t xml:space="preserve">currently </w:t>
      </w:r>
      <w:r w:rsidR="00B024B6">
        <w:t xml:space="preserve">provides </w:t>
      </w:r>
      <w:r w:rsidR="00A32304">
        <w:t>the princip</w:t>
      </w:r>
      <w:r w:rsidR="00B024B6">
        <w:t>al</w:t>
      </w:r>
      <w:r w:rsidR="00A32304">
        <w:t xml:space="preserve"> officer of </w:t>
      </w:r>
      <w:r w:rsidR="00B024B6">
        <w:t xml:space="preserve">an agency to which a disclosure has been allocated with a discretion </w:t>
      </w:r>
      <w:r w:rsidR="00B72665" w:rsidRPr="00346AB5">
        <w:rPr>
          <w:i/>
          <w:iCs/>
        </w:rPr>
        <w:t>not</w:t>
      </w:r>
      <w:r w:rsidR="00B72665">
        <w:t xml:space="preserve"> to </w:t>
      </w:r>
      <w:r w:rsidR="00B72665">
        <w:lastRenderedPageBreak/>
        <w:t>investigate the disclosure</w:t>
      </w:r>
      <w:r w:rsidR="00ED70C7">
        <w:t>,</w:t>
      </w:r>
      <w:r w:rsidR="00B72665">
        <w:t xml:space="preserve"> if ‘the information does not, to any extent, concern </w:t>
      </w:r>
      <w:r w:rsidR="00B72665" w:rsidRPr="00B72665">
        <w:rPr>
          <w:i/>
          <w:iCs/>
        </w:rPr>
        <w:t>serious</w:t>
      </w:r>
      <w:r w:rsidR="00B72665">
        <w:t xml:space="preserve"> disclosable conduct’ (emphasis added).  In the Commission’s view, </w:t>
      </w:r>
      <w:r w:rsidR="0095145D">
        <w:t xml:space="preserve">this ground should </w:t>
      </w:r>
      <w:r w:rsidR="00747FD5">
        <w:t xml:space="preserve">be </w:t>
      </w:r>
      <w:r w:rsidR="007A3488">
        <w:t>r</w:t>
      </w:r>
      <w:r w:rsidR="00B61132">
        <w:t>epealed</w:t>
      </w:r>
      <w:r w:rsidR="00B72665">
        <w:t>.</w:t>
      </w:r>
    </w:p>
    <w:p w14:paraId="3D2C48C3" w14:textId="2D2F06EE" w:rsidR="00747FD5" w:rsidRDefault="00747FD5" w:rsidP="00747FD5">
      <w:pPr>
        <w:pStyle w:val="ListNumber"/>
      </w:pPr>
      <w:r>
        <w:t xml:space="preserve">By the time that the principal officer of an agency comes to exercise the discretion in s 48 of </w:t>
      </w:r>
      <w:r w:rsidR="00312011">
        <w:t>the PID Act</w:t>
      </w:r>
      <w:r>
        <w:t xml:space="preserve">, the disclosure must already have been allocated to the agency under s 43.  As a result, </w:t>
      </w:r>
      <w:r w:rsidR="000D6449">
        <w:t>an</w:t>
      </w:r>
      <w:r>
        <w:t xml:space="preserve"> authorised officer will already have been satisfied that the criterion for an internal disclosure in s 26 has been met.  That is, the officer will be satisfied that the information tends to show, or the </w:t>
      </w:r>
      <w:proofErr w:type="spellStart"/>
      <w:r w:rsidR="00CE7D2A">
        <w:t>whistleblower</w:t>
      </w:r>
      <w:proofErr w:type="spellEnd"/>
      <w:r>
        <w:t xml:space="preserve"> believes on reasonable grounds that the information tends to show, one or more instances of disclosable conduct. </w:t>
      </w:r>
      <w:r w:rsidR="006E0310">
        <w:t xml:space="preserve"> Further, </w:t>
      </w:r>
      <w:r w:rsidR="00E1268D">
        <w:t xml:space="preserve">some or </w:t>
      </w:r>
      <w:proofErr w:type="gramStart"/>
      <w:r w:rsidR="00E1268D">
        <w:t>all of</w:t>
      </w:r>
      <w:proofErr w:type="gramEnd"/>
      <w:r w:rsidR="00E1268D">
        <w:t xml:space="preserve"> the disclosable conduct must relate to the agency </w:t>
      </w:r>
      <w:r w:rsidR="00472AF1">
        <w:t>to which it is allocated.</w:t>
      </w:r>
      <w:r w:rsidR="00472AF1">
        <w:rPr>
          <w:rStyle w:val="EndnoteReference"/>
        </w:rPr>
        <w:endnoteReference w:id="60"/>
      </w:r>
    </w:p>
    <w:p w14:paraId="63F4AEBA" w14:textId="2348AF42" w:rsidR="00747FD5" w:rsidRDefault="00EC3812" w:rsidP="00277B47">
      <w:pPr>
        <w:pStyle w:val="ListNumber"/>
      </w:pPr>
      <w:r>
        <w:t>The discretion given to the principal officer under s 48(1)(c) is therefore to decline to investigate discl</w:t>
      </w:r>
      <w:r w:rsidR="0011513F">
        <w:t>osable conduct</w:t>
      </w:r>
      <w:r w:rsidR="005678B0">
        <w:t xml:space="preserve"> </w:t>
      </w:r>
      <w:r w:rsidR="0011513F">
        <w:t xml:space="preserve">because of a view formed by </w:t>
      </w:r>
      <w:r w:rsidR="0015328E">
        <w:t>that officer</w:t>
      </w:r>
      <w:r w:rsidR="0011513F">
        <w:t xml:space="preserve"> (the </w:t>
      </w:r>
      <w:r w:rsidR="0015328E">
        <w:t xml:space="preserve">principal officer of the </w:t>
      </w:r>
      <w:r w:rsidR="0011513F">
        <w:t xml:space="preserve">agency in respect of which the </w:t>
      </w:r>
      <w:r w:rsidR="00501494">
        <w:t xml:space="preserve">disclosable conduct relates) that </w:t>
      </w:r>
      <w:r w:rsidR="008812BD">
        <w:t xml:space="preserve">the conduct </w:t>
      </w:r>
      <w:r w:rsidR="00501494">
        <w:t>is not sufficiently serious to warrant investigation.</w:t>
      </w:r>
      <w:r w:rsidR="002B16B0">
        <w:t xml:space="preserve">  In the Commission’s view, such a provision is problematic</w:t>
      </w:r>
      <w:r w:rsidR="006E4469">
        <w:t>,</w:t>
      </w:r>
      <w:r w:rsidR="002B16B0">
        <w:t xml:space="preserve"> </w:t>
      </w:r>
      <w:r w:rsidR="001F7C8E">
        <w:t>because</w:t>
      </w:r>
      <w:r w:rsidR="002B16B0">
        <w:t xml:space="preserve"> it invites the officer to engage in a value judgement about </w:t>
      </w:r>
      <w:proofErr w:type="gramStart"/>
      <w:r w:rsidR="002B16B0">
        <w:t>whether or not</w:t>
      </w:r>
      <w:proofErr w:type="gramEnd"/>
      <w:r w:rsidR="002B16B0">
        <w:t xml:space="preserve"> a public interest disclosure is worthy of investigation.  The merits of such judgements are not further reviewable.</w:t>
      </w:r>
      <w:r w:rsidR="00A83EAA">
        <w:t xml:space="preserve">  </w:t>
      </w:r>
      <w:r w:rsidR="00A07BE3">
        <w:t>In addition</w:t>
      </w:r>
      <w:r w:rsidR="00A83EAA">
        <w:t>, unlike a decision made under the new s 48(</w:t>
      </w:r>
      <w:proofErr w:type="gramStart"/>
      <w:r w:rsidR="00A83EAA">
        <w:t>1)(</w:t>
      </w:r>
      <w:proofErr w:type="gramEnd"/>
      <w:r w:rsidR="00A83EAA">
        <w:t xml:space="preserve">ga), if a decision is made under s 48(1)(c), there is no obligation on the agency to refer </w:t>
      </w:r>
      <w:r w:rsidR="00493CF9">
        <w:t xml:space="preserve">the disclosure for consideration </w:t>
      </w:r>
      <w:r w:rsidR="00A83EAA">
        <w:t xml:space="preserve">under a different process.  The </w:t>
      </w:r>
      <w:proofErr w:type="spellStart"/>
      <w:r w:rsidR="00A83EAA">
        <w:t>whistleblower</w:t>
      </w:r>
      <w:proofErr w:type="spellEnd"/>
      <w:r w:rsidR="00197506">
        <w:t xml:space="preserve">, having </w:t>
      </w:r>
      <w:r w:rsidR="00547207">
        <w:t>made a disclosure that meets the initial criteria for internal investigation,</w:t>
      </w:r>
      <w:r w:rsidR="00A83EAA">
        <w:t xml:space="preserve"> could be left with nowhere to go. </w:t>
      </w:r>
    </w:p>
    <w:p w14:paraId="4974E989" w14:textId="08851C97" w:rsidR="00532D71" w:rsidRDefault="00CB14C7" w:rsidP="00277B47">
      <w:pPr>
        <w:pStyle w:val="ListNumber"/>
      </w:pPr>
      <w:r>
        <w:t>This issue was addressed in a submission to the Moss Review by Professor AJ Brown</w:t>
      </w:r>
      <w:r w:rsidR="00407F61">
        <w:t>,</w:t>
      </w:r>
      <w:r>
        <w:t xml:space="preserve"> </w:t>
      </w:r>
      <w:r w:rsidR="00140FAC">
        <w:t>who said:</w:t>
      </w:r>
    </w:p>
    <w:p w14:paraId="0BD81F65" w14:textId="64E0F2A8" w:rsidR="00140FAC" w:rsidRPr="0036491D" w:rsidRDefault="00140FAC" w:rsidP="00D276D0">
      <w:pPr>
        <w:pStyle w:val="ListNumber"/>
        <w:numPr>
          <w:ilvl w:val="0"/>
          <w:numId w:val="0"/>
        </w:numPr>
        <w:ind w:left="1440"/>
        <w:rPr>
          <w:sz w:val="22"/>
          <w:szCs w:val="22"/>
        </w:rPr>
      </w:pPr>
      <w:r w:rsidRPr="0036491D">
        <w:rPr>
          <w:sz w:val="22"/>
          <w:szCs w:val="22"/>
        </w:rPr>
        <w:t xml:space="preserve">This discretion </w:t>
      </w:r>
      <w:r w:rsidR="009547A3">
        <w:rPr>
          <w:sz w:val="22"/>
          <w:szCs w:val="22"/>
        </w:rPr>
        <w:t xml:space="preserve">[under s 48(1)(c)] </w:t>
      </w:r>
      <w:r w:rsidRPr="0036491D">
        <w:rPr>
          <w:sz w:val="22"/>
          <w:szCs w:val="22"/>
        </w:rPr>
        <w:t xml:space="preserve">had some utility when the overall definition of disclosable conduct was cast too wide, as above – and there was justification for a mechanism for filtering out disclosures about APS Code breaches that were not sufficiently serious to warrant the application of the PID Act. Apart from that purpose, however, </w:t>
      </w:r>
      <w:r w:rsidR="005E33F3" w:rsidRPr="0036491D">
        <w:rPr>
          <w:sz w:val="22"/>
          <w:szCs w:val="22"/>
        </w:rPr>
        <w:t>paragraph</w:t>
      </w:r>
      <w:r w:rsidR="005E33F3">
        <w:rPr>
          <w:sz w:val="22"/>
          <w:szCs w:val="22"/>
        </w:rPr>
        <w:t> </w:t>
      </w:r>
      <w:r w:rsidRPr="0036491D">
        <w:rPr>
          <w:sz w:val="22"/>
          <w:szCs w:val="22"/>
        </w:rPr>
        <w:t>(c) has the potential to defeat the</w:t>
      </w:r>
      <w:r w:rsidR="0036491D" w:rsidRPr="0036491D">
        <w:rPr>
          <w:sz w:val="22"/>
          <w:szCs w:val="22"/>
        </w:rPr>
        <w:t xml:space="preserve"> purpose of the Act, especially as it allows for qualifications to be placed on which disclosures will be dealt with (‘serious’) which is not present or defined anywhere else in the Act.</w:t>
      </w:r>
      <w:r w:rsidR="008276AC">
        <w:rPr>
          <w:rStyle w:val="EndnoteReference"/>
          <w:szCs w:val="22"/>
        </w:rPr>
        <w:endnoteReference w:id="61"/>
      </w:r>
    </w:p>
    <w:p w14:paraId="16909D51" w14:textId="3D686C30" w:rsidR="00A70915" w:rsidRDefault="00A70915" w:rsidP="00277B47">
      <w:pPr>
        <w:pStyle w:val="ListNumber"/>
      </w:pPr>
      <w:r>
        <w:t>The Moss Review considered this submission but did not make a recommendation for change</w:t>
      </w:r>
      <w:r w:rsidR="00057080">
        <w:t xml:space="preserve">, noting that </w:t>
      </w:r>
      <w:r w:rsidR="00080EF7">
        <w:t xml:space="preserve">over the first two years of </w:t>
      </w:r>
      <w:r w:rsidR="00080EF7">
        <w:lastRenderedPageBreak/>
        <w:t xml:space="preserve">operation of </w:t>
      </w:r>
      <w:r w:rsidR="00312011">
        <w:t>the PID Act</w:t>
      </w:r>
      <w:r w:rsidR="00080EF7">
        <w:t xml:space="preserve"> </w:t>
      </w:r>
      <w:r w:rsidR="00057080">
        <w:t xml:space="preserve">there was no evidence that the power had been misused by agencies. </w:t>
      </w:r>
      <w:r w:rsidR="006F49F4">
        <w:t xml:space="preserve"> It suggested that the operation of this provision be considered in future reviews.</w:t>
      </w:r>
      <w:r w:rsidR="0035286E">
        <w:rPr>
          <w:rStyle w:val="EndnoteReference"/>
        </w:rPr>
        <w:endnoteReference w:id="62"/>
      </w:r>
      <w:r w:rsidR="00F24B6C">
        <w:t xml:space="preserve">  </w:t>
      </w:r>
    </w:p>
    <w:p w14:paraId="5FA43D63" w14:textId="0D9817CF" w:rsidR="00F24B6C" w:rsidRDefault="00F24B6C" w:rsidP="00277B47">
      <w:pPr>
        <w:pStyle w:val="ListNumber"/>
      </w:pPr>
      <w:r>
        <w:t xml:space="preserve">The annual reports by the Ombudsman indicate that s 48(1)(c) is </w:t>
      </w:r>
      <w:r w:rsidR="006C69A7">
        <w:t xml:space="preserve">now </w:t>
      </w:r>
      <w:r w:rsidR="00693BD0">
        <w:t>regularly</w:t>
      </w:r>
      <w:r>
        <w:t xml:space="preserve"> </w:t>
      </w:r>
      <w:r w:rsidR="00DD3908">
        <w:t xml:space="preserve">one of </w:t>
      </w:r>
      <w:r>
        <w:t>the most common ground</w:t>
      </w:r>
      <w:r w:rsidR="00DD3908">
        <w:t>s</w:t>
      </w:r>
      <w:r w:rsidR="00FE2F2A">
        <w:t xml:space="preserve"> for declining to investigate a </w:t>
      </w:r>
      <w:r w:rsidR="004C61CD">
        <w:t>disclosure</w:t>
      </w:r>
      <w:r w:rsidR="00FE2F2A">
        <w:t xml:space="preserve">.  </w:t>
      </w:r>
      <w:r w:rsidR="00E01413">
        <w:t>Between 2014</w:t>
      </w:r>
      <w:r w:rsidR="004C5C7B">
        <w:t>–</w:t>
      </w:r>
      <w:r w:rsidR="00E01413">
        <w:t xml:space="preserve">15 and </w:t>
      </w:r>
      <w:r w:rsidR="006E4D6E">
        <w:t>2020</w:t>
      </w:r>
      <w:r w:rsidR="004C5C7B">
        <w:t>–</w:t>
      </w:r>
      <w:r w:rsidR="006E4D6E">
        <w:t xml:space="preserve">21, 25% </w:t>
      </w:r>
      <w:r w:rsidR="009747B9">
        <w:t xml:space="preserve">to </w:t>
      </w:r>
      <w:r w:rsidR="006E4D6E">
        <w:t xml:space="preserve">50% of </w:t>
      </w:r>
      <w:r w:rsidR="002043F6">
        <w:t xml:space="preserve">disclosures that agencies </w:t>
      </w:r>
      <w:r w:rsidR="008D54D1">
        <w:t>declined to investigate were declined on this ground</w:t>
      </w:r>
      <w:r w:rsidR="006E4D6E">
        <w:t>.</w:t>
      </w:r>
      <w:r w:rsidR="008D54D1">
        <w:t xml:space="preserve"> </w:t>
      </w:r>
      <w:r w:rsidR="006E4D6E">
        <w:t xml:space="preserve"> </w:t>
      </w:r>
      <w:r w:rsidR="004179DA">
        <w:t xml:space="preserve">By contrast, agencies have rarely used the </w:t>
      </w:r>
      <w:r w:rsidR="00FA5A98">
        <w:t xml:space="preserve">existing </w:t>
      </w:r>
      <w:r w:rsidR="004179DA">
        <w:t>ground in s 48</w:t>
      </w:r>
      <w:r w:rsidR="003F781B">
        <w:t>(1)(d)</w:t>
      </w:r>
      <w:r w:rsidR="009C7D1C">
        <w:t>:</w:t>
      </w:r>
      <w:r w:rsidR="003F781B">
        <w:t xml:space="preserve"> that the disclosure was friv</w:t>
      </w:r>
      <w:r w:rsidR="002F2A15">
        <w:t xml:space="preserve">olous or vexatious.  The highest reported figure for </w:t>
      </w:r>
      <w:r w:rsidR="0034480A">
        <w:t xml:space="preserve">frivolous or vexatious disclosures </w:t>
      </w:r>
      <w:r w:rsidR="002F2A15">
        <w:t>was in 2016</w:t>
      </w:r>
      <w:r w:rsidR="009747B9">
        <w:t>–</w:t>
      </w:r>
      <w:r w:rsidR="002F2A15">
        <w:t xml:space="preserve">17 when 6% of </w:t>
      </w:r>
      <w:r w:rsidR="0097215F">
        <w:t>disclosures were declined on this ground.  The ground has not been used at all in the past three years.</w:t>
      </w:r>
    </w:p>
    <w:p w14:paraId="07914E70" w14:textId="6B4E6D97" w:rsidR="00B0102C" w:rsidRDefault="00097E42" w:rsidP="00277B47">
      <w:pPr>
        <w:pStyle w:val="ListNumber"/>
      </w:pPr>
      <w:proofErr w:type="gramStart"/>
      <w:r>
        <w:t xml:space="preserve">Following the amendments in the Bill, </w:t>
      </w:r>
      <w:r w:rsidR="009747B9">
        <w:t>it</w:t>
      </w:r>
      <w:proofErr w:type="gramEnd"/>
      <w:r w:rsidR="00B0102C">
        <w:t xml:space="preserve"> can be expected that </w:t>
      </w:r>
      <w:r w:rsidR="00684ED4">
        <w:t>the</w:t>
      </w:r>
      <w:r>
        <w:t xml:space="preserve">re will be fewer disclosures that </w:t>
      </w:r>
      <w:r w:rsidR="00E744C4">
        <w:t xml:space="preserve">require the application of </w:t>
      </w:r>
      <w:r w:rsidR="00355BF3">
        <w:t xml:space="preserve">the discretion in </w:t>
      </w:r>
      <w:r w:rsidR="00E744C4">
        <w:t>s 48 at all, an</w:t>
      </w:r>
      <w:r w:rsidR="004A5A46">
        <w:t>d</w:t>
      </w:r>
      <w:r w:rsidR="00E744C4">
        <w:t xml:space="preserve"> that </w:t>
      </w:r>
      <w:r w:rsidR="004A5A46">
        <w:t xml:space="preserve">of those cases that remain, there will be an increase in referrals to other mechanisms if it appears that the scheme under </w:t>
      </w:r>
      <w:r w:rsidR="00312011">
        <w:t>the PID Act</w:t>
      </w:r>
      <w:r w:rsidR="004A5A46">
        <w:t xml:space="preserve"> is not the appropriate way to deal with the </w:t>
      </w:r>
      <w:r w:rsidR="00521BEA">
        <w:t xml:space="preserve">disclosure.  Further, s 48(1)(d) of </w:t>
      </w:r>
      <w:r w:rsidR="00312011">
        <w:t>the PID Act</w:t>
      </w:r>
      <w:r w:rsidR="00521BEA">
        <w:t xml:space="preserve"> provides a backstop for complaints that are truly unmeritorious.</w:t>
      </w:r>
    </w:p>
    <w:p w14:paraId="34587D66" w14:textId="7C3BAA25" w:rsidR="004E4EA8" w:rsidRDefault="00A70915" w:rsidP="00277B47">
      <w:pPr>
        <w:pStyle w:val="ListNumber"/>
      </w:pPr>
      <w:r>
        <w:t>T</w:t>
      </w:r>
      <w:r w:rsidR="00690400">
        <w:t>he Commission agrees</w:t>
      </w:r>
      <w:r w:rsidR="006A7684">
        <w:t xml:space="preserve"> with the submission of Prof</w:t>
      </w:r>
      <w:r w:rsidR="00AB4E74">
        <w:t>essor</w:t>
      </w:r>
      <w:r w:rsidR="006A7684">
        <w:t xml:space="preserve"> Brown</w:t>
      </w:r>
      <w:r w:rsidR="00690400">
        <w:t xml:space="preserve">.  </w:t>
      </w:r>
      <w:proofErr w:type="gramStart"/>
      <w:r w:rsidR="00A75A9A">
        <w:t>In light of</w:t>
      </w:r>
      <w:proofErr w:type="gramEnd"/>
      <w:r w:rsidR="00A75A9A">
        <w:t xml:space="preserve"> the other amendments in the Bill, s 48(1)(c) is </w:t>
      </w:r>
      <w:r w:rsidR="000F1943">
        <w:t xml:space="preserve">now </w:t>
      </w:r>
      <w:r w:rsidR="00A75A9A">
        <w:t xml:space="preserve">no longer necessary and has the potential to undermine an important aspect of </w:t>
      </w:r>
      <w:r w:rsidR="00312011">
        <w:t>the PID Act</w:t>
      </w:r>
      <w:r w:rsidR="00021F74">
        <w:t>,</w:t>
      </w:r>
      <w:r w:rsidR="00DB1F26">
        <w:t xml:space="preserve"> </w:t>
      </w:r>
      <w:r w:rsidR="00C35C62">
        <w:t xml:space="preserve">and public perceptions of the </w:t>
      </w:r>
      <w:r w:rsidR="00E05316">
        <w:t>regime</w:t>
      </w:r>
      <w:r w:rsidR="00021F74">
        <w:t>,</w:t>
      </w:r>
      <w:r w:rsidR="00E05316">
        <w:t xml:space="preserve"> </w:t>
      </w:r>
      <w:r w:rsidR="00DB1F26">
        <w:t xml:space="preserve">by </w:t>
      </w:r>
      <w:r w:rsidR="00E05316">
        <w:t xml:space="preserve">allowing agencies to hold that complaints about their own conduct are not sufficiently serious to justify investigation. </w:t>
      </w:r>
    </w:p>
    <w:p w14:paraId="64D13E52" w14:textId="0A06D5EA" w:rsidR="0076722D" w:rsidRPr="00CA2BE5" w:rsidRDefault="0076722D" w:rsidP="00CA2BE5">
      <w:pPr>
        <w:pStyle w:val="ListNumber"/>
        <w:keepNext/>
        <w:numPr>
          <w:ilvl w:val="0"/>
          <w:numId w:val="0"/>
        </w:numPr>
        <w:ind w:left="1094"/>
        <w:rPr>
          <w:b/>
          <w:bCs/>
        </w:rPr>
      </w:pPr>
      <w:r w:rsidRPr="00CA2BE5">
        <w:rPr>
          <w:b/>
          <w:bCs/>
        </w:rPr>
        <w:t xml:space="preserve">Recommendation </w:t>
      </w:r>
      <w:r w:rsidR="00763597">
        <w:rPr>
          <w:b/>
          <w:bCs/>
        </w:rPr>
        <w:t>7</w:t>
      </w:r>
    </w:p>
    <w:p w14:paraId="26704648" w14:textId="4269245C" w:rsidR="00277B47" w:rsidRDefault="0076722D" w:rsidP="00CA2BE5">
      <w:pPr>
        <w:pStyle w:val="ListNumber"/>
        <w:numPr>
          <w:ilvl w:val="0"/>
          <w:numId w:val="0"/>
        </w:numPr>
        <w:ind w:left="1094"/>
      </w:pPr>
      <w:r>
        <w:t xml:space="preserve">The Commission recommends that </w:t>
      </w:r>
      <w:r w:rsidR="00994E81">
        <w:t>s 48(1)(c)</w:t>
      </w:r>
      <w:r w:rsidR="00312011">
        <w:t xml:space="preserve"> of the PID Act</w:t>
      </w:r>
      <w:r w:rsidR="00994E81">
        <w:t xml:space="preserve"> </w:t>
      </w:r>
      <w:r w:rsidR="00B9553F">
        <w:t xml:space="preserve">be </w:t>
      </w:r>
      <w:r w:rsidR="00994E81">
        <w:t>repealed</w:t>
      </w:r>
      <w:r w:rsidR="00CA2BE5">
        <w:t>.</w:t>
      </w:r>
    </w:p>
    <w:p w14:paraId="30C6625E" w14:textId="517C908D" w:rsidR="004B1FE9" w:rsidRDefault="004B1FE9" w:rsidP="004B1FE9">
      <w:pPr>
        <w:pStyle w:val="Heading2"/>
      </w:pPr>
      <w:bookmarkStart w:id="29" w:name="_Ref124751011"/>
      <w:bookmarkStart w:id="30" w:name="_Toc125116095"/>
      <w:r>
        <w:t xml:space="preserve">Application </w:t>
      </w:r>
      <w:r w:rsidR="00503E36">
        <w:t xml:space="preserve">of </w:t>
      </w:r>
      <w:r w:rsidR="00211A08">
        <w:t xml:space="preserve">PID </w:t>
      </w:r>
      <w:r w:rsidR="00503E36">
        <w:t xml:space="preserve">Act to parliamentary </w:t>
      </w:r>
      <w:r>
        <w:t>staff</w:t>
      </w:r>
      <w:bookmarkEnd w:id="29"/>
      <w:bookmarkEnd w:id="30"/>
    </w:p>
    <w:p w14:paraId="0AF8EA03" w14:textId="73402051" w:rsidR="002A1F94" w:rsidRDefault="002A1F94" w:rsidP="002A1F94">
      <w:pPr>
        <w:pStyle w:val="ListNumber"/>
      </w:pPr>
      <w:r>
        <w:t xml:space="preserve">The House of Representatives Committee that proposed the </w:t>
      </w:r>
      <w:proofErr w:type="spellStart"/>
      <w:r>
        <w:t>whistleblower</w:t>
      </w:r>
      <w:proofErr w:type="spellEnd"/>
      <w:r>
        <w:t xml:space="preserve"> protection scheme for the public sector in 2009 recommended that it include disclosures by parliamentary staff.</w:t>
      </w:r>
      <w:r>
        <w:rPr>
          <w:rStyle w:val="EndnoteReference"/>
        </w:rPr>
        <w:endnoteReference w:id="63"/>
      </w:r>
      <w:r>
        <w:t xml:space="preserve">  However, this recommendation was not accepted by the then Government and did not form part of </w:t>
      </w:r>
      <w:r w:rsidR="00312011">
        <w:t>the PID Act</w:t>
      </w:r>
      <w:r>
        <w:t xml:space="preserve"> when it was first passed.</w:t>
      </w:r>
      <w:r>
        <w:rPr>
          <w:rStyle w:val="EndnoteReference"/>
        </w:rPr>
        <w:endnoteReference w:id="64"/>
      </w:r>
    </w:p>
    <w:p w14:paraId="0A36371B" w14:textId="631144DD" w:rsidR="002A1F94" w:rsidRDefault="00F9604B" w:rsidP="002A1F94">
      <w:pPr>
        <w:pStyle w:val="ListNumber"/>
      </w:pPr>
      <w:r>
        <w:lastRenderedPageBreak/>
        <w:t>A</w:t>
      </w:r>
      <w:r w:rsidR="002A1F94">
        <w:t xml:space="preserve"> disclosure by parliamentary staff need not relate to conduct by a parliamentarian and could relate to conduct by any agency in the public service.  As noted in the House of Representatives report in 2009, </w:t>
      </w:r>
      <w:r w:rsidR="00EE477D">
        <w:t xml:space="preserve">staff employed under the </w:t>
      </w:r>
      <w:r w:rsidR="00EE477D" w:rsidRPr="009C0937">
        <w:rPr>
          <w:i/>
          <w:iCs/>
        </w:rPr>
        <w:t>Members of Parliament (Staff) Act 1984</w:t>
      </w:r>
      <w:r w:rsidR="00EE477D">
        <w:t xml:space="preserve"> (</w:t>
      </w:r>
      <w:proofErr w:type="spellStart"/>
      <w:r w:rsidR="00EE477D">
        <w:t>Cth</w:t>
      </w:r>
      <w:proofErr w:type="spellEnd"/>
      <w:r w:rsidR="00EE477D">
        <w:t>) (</w:t>
      </w:r>
      <w:proofErr w:type="spellStart"/>
      <w:r w:rsidR="00EE477D">
        <w:t>MoP</w:t>
      </w:r>
      <w:proofErr w:type="spellEnd"/>
      <w:r w:rsidR="00EE477D">
        <w:t xml:space="preserve">(S) Act) </w:t>
      </w:r>
      <w:r w:rsidR="002A1F94">
        <w:t xml:space="preserve">‘may have “insider” access to information, be </w:t>
      </w:r>
      <w:proofErr w:type="gramStart"/>
      <w:r w:rsidR="002A1F94">
        <w:t>in a position</w:t>
      </w:r>
      <w:proofErr w:type="gramEnd"/>
      <w:r w:rsidR="002A1F94">
        <w:t xml:space="preserve"> to observe serious conduct contrary to the public interest and face risks of reprisal for speaking out’.</w:t>
      </w:r>
      <w:r w:rsidR="002A1F94">
        <w:rPr>
          <w:rStyle w:val="EndnoteReference"/>
        </w:rPr>
        <w:endnoteReference w:id="65"/>
      </w:r>
    </w:p>
    <w:p w14:paraId="0F69675D" w14:textId="79CB89FC" w:rsidR="00FD665C" w:rsidRDefault="00D82773" w:rsidP="00073D31">
      <w:pPr>
        <w:pStyle w:val="ListNumber"/>
      </w:pPr>
      <w:r>
        <w:t xml:space="preserve">In </w:t>
      </w:r>
      <w:r w:rsidR="002703A1">
        <w:t xml:space="preserve">November 2021, the Commission provided the </w:t>
      </w:r>
      <w:r w:rsidR="006F2276">
        <w:t xml:space="preserve">then </w:t>
      </w:r>
      <w:r w:rsidR="002703A1">
        <w:t>Attorney-General</w:t>
      </w:r>
      <w:r w:rsidR="0058738D">
        <w:t xml:space="preserve">, Senator the Hon </w:t>
      </w:r>
      <w:proofErr w:type="spellStart"/>
      <w:r w:rsidR="0058738D">
        <w:t>Michaelia</w:t>
      </w:r>
      <w:proofErr w:type="spellEnd"/>
      <w:r w:rsidR="0058738D">
        <w:t xml:space="preserve"> Cash,</w:t>
      </w:r>
      <w:r w:rsidR="002703A1">
        <w:t xml:space="preserve"> with a report of its review into Commonwealth Parliamentary Workplaces</w:t>
      </w:r>
      <w:r w:rsidR="00F9604B">
        <w:t>,</w:t>
      </w:r>
      <w:r w:rsidR="002703A1">
        <w:t xml:space="preserve"> </w:t>
      </w:r>
      <w:r w:rsidR="002703A1" w:rsidRPr="00F25E18">
        <w:rPr>
          <w:i/>
          <w:iCs/>
        </w:rPr>
        <w:t>Set the Standard</w:t>
      </w:r>
      <w:r w:rsidR="002703A1">
        <w:t>.</w:t>
      </w:r>
      <w:r w:rsidR="002703A1">
        <w:rPr>
          <w:rStyle w:val="EndnoteReference"/>
        </w:rPr>
        <w:endnoteReference w:id="66"/>
      </w:r>
      <w:r w:rsidR="002703A1">
        <w:t xml:space="preserve">  </w:t>
      </w:r>
      <w:r w:rsidR="006F2276">
        <w:t xml:space="preserve">One of the recommendations of the </w:t>
      </w:r>
      <w:r w:rsidR="006F2276" w:rsidRPr="006957C1">
        <w:rPr>
          <w:i/>
          <w:iCs/>
        </w:rPr>
        <w:t>Set the Standard</w:t>
      </w:r>
      <w:r w:rsidR="006F2276">
        <w:t xml:space="preserve"> report was that parliamentary staff employed under the </w:t>
      </w:r>
      <w:r w:rsidR="00675B59">
        <w:t>(</w:t>
      </w:r>
      <w:proofErr w:type="spellStart"/>
      <w:r w:rsidR="00700A08">
        <w:t>MoP</w:t>
      </w:r>
      <w:proofErr w:type="spellEnd"/>
      <w:r w:rsidR="00700A08">
        <w:t xml:space="preserve">(S) </w:t>
      </w:r>
      <w:r w:rsidR="00675B59">
        <w:t xml:space="preserve">Act) </w:t>
      </w:r>
      <w:r w:rsidR="00FD665C">
        <w:t xml:space="preserve">should be included as ‘public officials’ in s 69 of the </w:t>
      </w:r>
      <w:r w:rsidR="00166DE2" w:rsidRPr="004017A8">
        <w:t>P</w:t>
      </w:r>
      <w:r w:rsidR="004017A8" w:rsidRPr="004017A8">
        <w:t>ID Act</w:t>
      </w:r>
      <w:r w:rsidR="00FD665C">
        <w:t xml:space="preserve"> and be permitted to make public interest disclosures.</w:t>
      </w:r>
      <w:r w:rsidR="00F25E18">
        <w:t xml:space="preserve">  </w:t>
      </w:r>
      <w:r w:rsidR="0020147F">
        <w:t>This recommendation</w:t>
      </w:r>
      <w:r w:rsidR="006D580A">
        <w:t xml:space="preserve"> reflected </w:t>
      </w:r>
      <w:r w:rsidR="0020147F">
        <w:t xml:space="preserve">recommendation 27 of the Moss Review.  </w:t>
      </w:r>
    </w:p>
    <w:p w14:paraId="4674F9C6" w14:textId="19F4952F" w:rsidR="007C38F5" w:rsidRDefault="007C38F5" w:rsidP="00277B47">
      <w:pPr>
        <w:pStyle w:val="ListNumber"/>
      </w:pPr>
      <w:r>
        <w:t xml:space="preserve">Recommendation </w:t>
      </w:r>
      <w:r w:rsidR="00545037">
        <w:t xml:space="preserve">26 of the Moss Review was that </w:t>
      </w:r>
      <w:r w:rsidR="00312011">
        <w:t>the PID Act</w:t>
      </w:r>
      <w:r w:rsidR="00545037">
        <w:t xml:space="preserve"> be amended ‘to clarify that its provisions do not apply to reports about alleged wrongdoing by Senators, Members and their staff, or allegations made by them’.  The Bill would implement </w:t>
      </w:r>
      <w:r w:rsidR="00DF0A56">
        <w:t>this recommendation.  However, it is important to understand the context in which</w:t>
      </w:r>
      <w:r w:rsidR="006D2478">
        <w:t xml:space="preserve"> both</w:t>
      </w:r>
      <w:r w:rsidR="00DF0A56">
        <w:t xml:space="preserve"> this recommendation </w:t>
      </w:r>
      <w:r w:rsidR="006D2478">
        <w:t xml:space="preserve">and recommendation 27 were </w:t>
      </w:r>
      <w:r w:rsidR="00DF0A56">
        <w:t xml:space="preserve">made.  </w:t>
      </w:r>
      <w:r w:rsidR="00A25BE2">
        <w:t xml:space="preserve">The Moss Review considered that </w:t>
      </w:r>
      <w:r w:rsidR="00BD1C3A">
        <w:t xml:space="preserve">wrongdoing by or about </w:t>
      </w:r>
      <w:r w:rsidR="006A2FFE">
        <w:t>m</w:t>
      </w:r>
      <w:r w:rsidR="00BD1C3A">
        <w:t>embers of Parliament or their staff should be scrutinised by Parliament itself.</w:t>
      </w:r>
      <w:r w:rsidR="0015525F">
        <w:rPr>
          <w:rStyle w:val="EndnoteReference"/>
        </w:rPr>
        <w:endnoteReference w:id="67"/>
      </w:r>
      <w:r w:rsidR="0015525F">
        <w:t xml:space="preserve">  </w:t>
      </w:r>
      <w:r w:rsidR="00AC278A">
        <w:t xml:space="preserve">It noted the absence of </w:t>
      </w:r>
      <w:r w:rsidR="00C014EE">
        <w:t xml:space="preserve">‘an independent body outside or within the Parliament’ </w:t>
      </w:r>
      <w:r w:rsidR="007E120C">
        <w:t>responsible for investigating the conduct of parliamentarians and their staff</w:t>
      </w:r>
      <w:r w:rsidR="00B55A99">
        <w:t xml:space="preserve"> and was concerned about requiring politicians to investigate </w:t>
      </w:r>
      <w:r w:rsidR="005069B7">
        <w:t>disclosures.</w:t>
      </w:r>
      <w:r w:rsidR="005069B7">
        <w:rPr>
          <w:rStyle w:val="EndnoteReference"/>
        </w:rPr>
        <w:endnoteReference w:id="68"/>
      </w:r>
      <w:r w:rsidR="005069B7">
        <w:t xml:space="preserve">  </w:t>
      </w:r>
    </w:p>
    <w:p w14:paraId="793935AB" w14:textId="6302B391" w:rsidR="00B9599F" w:rsidRDefault="00B9599F" w:rsidP="00277B47">
      <w:pPr>
        <w:pStyle w:val="ListNumber"/>
      </w:pPr>
      <w:r>
        <w:t>Significantly, the Moss Review concluded:</w:t>
      </w:r>
    </w:p>
    <w:p w14:paraId="6388CA9F" w14:textId="091BB2B0" w:rsidR="00B9599F" w:rsidRPr="00B3776F" w:rsidRDefault="00B9599F" w:rsidP="00B3776F">
      <w:pPr>
        <w:pStyle w:val="ListNumber"/>
        <w:numPr>
          <w:ilvl w:val="0"/>
          <w:numId w:val="0"/>
        </w:numPr>
        <w:ind w:left="1440"/>
        <w:rPr>
          <w:sz w:val="22"/>
          <w:szCs w:val="22"/>
        </w:rPr>
      </w:pPr>
      <w:r w:rsidRPr="00B3776F">
        <w:rPr>
          <w:sz w:val="22"/>
          <w:szCs w:val="22"/>
        </w:rPr>
        <w:t xml:space="preserve">If an independent body is created with the </w:t>
      </w:r>
      <w:r w:rsidR="00825336" w:rsidRPr="00B3776F">
        <w:rPr>
          <w:sz w:val="22"/>
          <w:szCs w:val="22"/>
        </w:rPr>
        <w:t xml:space="preserve">power to scrutinise alleged wrongdoing by members of Parliament or their staff, such as a comprehensive federal integrity body, the Review recommends that consideration be given to </w:t>
      </w:r>
      <w:r w:rsidR="00B3776F" w:rsidRPr="00B3776F">
        <w:rPr>
          <w:sz w:val="22"/>
          <w:szCs w:val="22"/>
        </w:rPr>
        <w:t xml:space="preserve">extending the application of the PID Act to these groups.  </w:t>
      </w:r>
    </w:p>
    <w:p w14:paraId="2CCD973B" w14:textId="372989D3" w:rsidR="00B3776F" w:rsidRDefault="00B3776F" w:rsidP="00277B47">
      <w:pPr>
        <w:pStyle w:val="ListNumber"/>
      </w:pPr>
      <w:r>
        <w:t xml:space="preserve">The recommendation by the Commission in </w:t>
      </w:r>
      <w:r w:rsidRPr="00E14DDD">
        <w:rPr>
          <w:i/>
          <w:iCs/>
        </w:rPr>
        <w:t>Set the Standard</w:t>
      </w:r>
      <w:r>
        <w:t xml:space="preserve"> was mad</w:t>
      </w:r>
      <w:r w:rsidR="00AE2D8E">
        <w:t xml:space="preserve">e in the context of also recommending </w:t>
      </w:r>
      <w:r w:rsidR="00EE7D36">
        <w:t>the establishment of a</w:t>
      </w:r>
      <w:r w:rsidR="00AC3566">
        <w:t xml:space="preserve">n Independent Parliamentary Standards Commission </w:t>
      </w:r>
      <w:r w:rsidR="00EE7D36">
        <w:t>(IPSC)</w:t>
      </w:r>
      <w:r w:rsidR="000C3D30">
        <w:t xml:space="preserve">.  The report </w:t>
      </w:r>
      <w:r w:rsidR="00E83E29">
        <w:t xml:space="preserve">considered how </w:t>
      </w:r>
      <w:r w:rsidR="00BA3107">
        <w:t xml:space="preserve">such a body could </w:t>
      </w:r>
      <w:r w:rsidR="00434B0B">
        <w:t>be integrated into the regime in the PID Act</w:t>
      </w:r>
      <w:r w:rsidR="00097CE9">
        <w:t>:</w:t>
      </w:r>
    </w:p>
    <w:p w14:paraId="123C43AF" w14:textId="370EEED4" w:rsidR="00196838" w:rsidRPr="00196838" w:rsidRDefault="00196838" w:rsidP="00196838">
      <w:pPr>
        <w:pStyle w:val="ListNumber"/>
        <w:numPr>
          <w:ilvl w:val="0"/>
          <w:numId w:val="0"/>
        </w:numPr>
        <w:ind w:left="1440"/>
        <w:rPr>
          <w:sz w:val="22"/>
          <w:szCs w:val="22"/>
        </w:rPr>
      </w:pPr>
      <w:r w:rsidRPr="00196838">
        <w:rPr>
          <w:sz w:val="22"/>
          <w:szCs w:val="22"/>
        </w:rPr>
        <w:lastRenderedPageBreak/>
        <w:t>The IPSC (and, in the future, any Commonwealth Integrity Commission which may be established) should be made authorised recipients of disclosures by parliamentarians’ staff.</w:t>
      </w:r>
      <w:r w:rsidR="00675B59">
        <w:rPr>
          <w:rStyle w:val="EndnoteReference"/>
          <w:szCs w:val="22"/>
        </w:rPr>
        <w:endnoteReference w:id="69"/>
      </w:r>
    </w:p>
    <w:p w14:paraId="55FCACCB" w14:textId="469FA0E0" w:rsidR="00196838" w:rsidRDefault="00196838" w:rsidP="00277B47">
      <w:pPr>
        <w:pStyle w:val="ListNumber"/>
      </w:pPr>
      <w:r>
        <w:t xml:space="preserve">The recommendation of the </w:t>
      </w:r>
      <w:r w:rsidR="003B089C">
        <w:t>Commission</w:t>
      </w:r>
      <w:r w:rsidR="00896F34">
        <w:t xml:space="preserve"> in </w:t>
      </w:r>
      <w:r w:rsidR="00896F34">
        <w:rPr>
          <w:i/>
          <w:iCs/>
        </w:rPr>
        <w:t>Set the Standard</w:t>
      </w:r>
      <w:r w:rsidR="003B089C">
        <w:t xml:space="preserve"> </w:t>
      </w:r>
      <w:proofErr w:type="gramStart"/>
      <w:r w:rsidR="00FD0DB6">
        <w:t xml:space="preserve">took </w:t>
      </w:r>
      <w:r w:rsidR="003B089C">
        <w:t>into account</w:t>
      </w:r>
      <w:proofErr w:type="gramEnd"/>
      <w:r w:rsidR="003B089C">
        <w:t xml:space="preserve"> and reflect</w:t>
      </w:r>
      <w:r w:rsidR="00FD0DB6">
        <w:t>ed</w:t>
      </w:r>
      <w:r w:rsidR="003B089C">
        <w:t xml:space="preserve"> the conditions precedent identified by the Moss Review for making </w:t>
      </w:r>
      <w:proofErr w:type="spellStart"/>
      <w:r w:rsidR="00700A08">
        <w:t>MoP</w:t>
      </w:r>
      <w:proofErr w:type="spellEnd"/>
      <w:r w:rsidR="00700A08">
        <w:t xml:space="preserve">(S) </w:t>
      </w:r>
      <w:r w:rsidR="003B089C">
        <w:t xml:space="preserve">Act staff </w:t>
      </w:r>
      <w:r w:rsidR="00675B59">
        <w:t xml:space="preserve">subject to </w:t>
      </w:r>
      <w:r w:rsidR="00312011">
        <w:t>the PID Act</w:t>
      </w:r>
      <w:r w:rsidR="00675B59">
        <w:t xml:space="preserve">. </w:t>
      </w:r>
      <w:r w:rsidR="00AC3566">
        <w:t xml:space="preserve"> The present Bill contains schedules of amendments that are contingent on the coming into effect of the </w:t>
      </w:r>
      <w:r w:rsidR="00AC3566" w:rsidRPr="00E46C5D">
        <w:rPr>
          <w:i/>
          <w:iCs/>
        </w:rPr>
        <w:t xml:space="preserve">National Anti-Corruption Commission Act </w:t>
      </w:r>
      <w:r w:rsidR="00E46C5D" w:rsidRPr="00E46C5D">
        <w:rPr>
          <w:i/>
          <w:iCs/>
        </w:rPr>
        <w:t>2022</w:t>
      </w:r>
      <w:r w:rsidR="00E46C5D">
        <w:t xml:space="preserve"> (</w:t>
      </w:r>
      <w:proofErr w:type="spellStart"/>
      <w:r w:rsidR="00E46C5D">
        <w:t>Cth</w:t>
      </w:r>
      <w:proofErr w:type="spellEnd"/>
      <w:r w:rsidR="00E46C5D">
        <w:t>)</w:t>
      </w:r>
      <w:r w:rsidR="008054E0">
        <w:t xml:space="preserve"> (NACC Act)</w:t>
      </w:r>
      <w:r w:rsidR="00490A19">
        <w:t xml:space="preserve"> and the </w:t>
      </w:r>
      <w:r w:rsidR="00154E68" w:rsidRPr="00154E68">
        <w:rPr>
          <w:i/>
          <w:iCs/>
        </w:rPr>
        <w:t>National Anti-Corruption Commission (Consequential and Transitional Provisions) Act 2022</w:t>
      </w:r>
      <w:r w:rsidR="00154E68">
        <w:t xml:space="preserve"> (</w:t>
      </w:r>
      <w:proofErr w:type="spellStart"/>
      <w:r w:rsidR="00154E68">
        <w:t>Cth</w:t>
      </w:r>
      <w:proofErr w:type="spellEnd"/>
      <w:r w:rsidR="00154E68">
        <w:t>) (together, the NACC legislation)</w:t>
      </w:r>
      <w:r w:rsidR="00E46C5D">
        <w:t xml:space="preserve">.  </w:t>
      </w:r>
      <w:r w:rsidR="006E12D2">
        <w:t xml:space="preserve">It would clearly be possible to tie coverage of </w:t>
      </w:r>
      <w:proofErr w:type="spellStart"/>
      <w:r w:rsidR="00554A63">
        <w:t>MoP</w:t>
      </w:r>
      <w:proofErr w:type="spellEnd"/>
      <w:r w:rsidR="00554A63">
        <w:t xml:space="preserve">(S) </w:t>
      </w:r>
      <w:r w:rsidR="006E12D2">
        <w:t>Act staff</w:t>
      </w:r>
      <w:r w:rsidR="008054E0">
        <w:t xml:space="preserve"> under </w:t>
      </w:r>
      <w:r w:rsidR="00312011">
        <w:t>the PID Act</w:t>
      </w:r>
      <w:r w:rsidR="008054E0">
        <w:t xml:space="preserve"> to the commencement of the NACC </w:t>
      </w:r>
      <w:r w:rsidR="00154E68">
        <w:t>legislation</w:t>
      </w:r>
      <w:r w:rsidR="008054E0">
        <w:t>.</w:t>
      </w:r>
    </w:p>
    <w:p w14:paraId="23EA913F" w14:textId="399DFCEC" w:rsidR="00F6238E" w:rsidRDefault="00B47915" w:rsidP="00277B47">
      <w:pPr>
        <w:pStyle w:val="ListNumber"/>
      </w:pPr>
      <w:r>
        <w:t xml:space="preserve">The Explanatory Memorandum for the present Bill </w:t>
      </w:r>
      <w:r w:rsidR="003F33FF">
        <w:t xml:space="preserve">notes </w:t>
      </w:r>
      <w:r>
        <w:t xml:space="preserve">that </w:t>
      </w:r>
      <w:proofErr w:type="spellStart"/>
      <w:r w:rsidR="00700A08">
        <w:t>MoP</w:t>
      </w:r>
      <w:proofErr w:type="spellEnd"/>
      <w:r w:rsidR="00700A08">
        <w:t xml:space="preserve">(S) </w:t>
      </w:r>
      <w:r>
        <w:t xml:space="preserve">Act staff will have </w:t>
      </w:r>
      <w:r w:rsidR="00686FE7">
        <w:t xml:space="preserve">access to protections </w:t>
      </w:r>
      <w:r w:rsidR="0033197F">
        <w:t xml:space="preserve">against reprisal and detriment </w:t>
      </w:r>
      <w:r w:rsidR="00686FE7">
        <w:t>for making a disclosure of corruption issues to the NACC</w:t>
      </w:r>
      <w:r w:rsidR="009B030D">
        <w:t xml:space="preserve">.  It also notes that the Government will consider further protections for </w:t>
      </w:r>
      <w:proofErr w:type="spellStart"/>
      <w:r w:rsidR="009B030D">
        <w:t>MoP</w:t>
      </w:r>
      <w:proofErr w:type="spellEnd"/>
      <w:r w:rsidR="009B030D">
        <w:t xml:space="preserve">(s) Act staff </w:t>
      </w:r>
      <w:r w:rsidR="00D16869">
        <w:t xml:space="preserve">who report misconduct </w:t>
      </w:r>
      <w:r w:rsidR="009B030D">
        <w:t xml:space="preserve">in the context of </w:t>
      </w:r>
      <w:r w:rsidR="00453400">
        <w:t xml:space="preserve">implementing the recommendations of the </w:t>
      </w:r>
      <w:r w:rsidR="00453400" w:rsidRPr="006957C1">
        <w:rPr>
          <w:i/>
          <w:iCs/>
        </w:rPr>
        <w:t>Set the Standard</w:t>
      </w:r>
      <w:r w:rsidR="00453400">
        <w:t xml:space="preserve"> report and the establishment of the IPSC.</w:t>
      </w:r>
      <w:r w:rsidR="00453400">
        <w:rPr>
          <w:rStyle w:val="EndnoteReference"/>
        </w:rPr>
        <w:endnoteReference w:id="70"/>
      </w:r>
      <w:r w:rsidR="00453400">
        <w:t xml:space="preserve"> </w:t>
      </w:r>
      <w:r w:rsidR="00CB38F8">
        <w:t xml:space="preserve"> </w:t>
      </w:r>
      <w:r w:rsidR="008414C1">
        <w:t xml:space="preserve">This point was also emphasised by the Attorney-General </w:t>
      </w:r>
      <w:r w:rsidR="00CD319F">
        <w:t>in his second reading speech.</w:t>
      </w:r>
      <w:r w:rsidR="008E6E8F">
        <w:rPr>
          <w:rStyle w:val="EndnoteReference"/>
        </w:rPr>
        <w:endnoteReference w:id="71"/>
      </w:r>
    </w:p>
    <w:p w14:paraId="6243ED96" w14:textId="13DC3BCD" w:rsidR="00CB38F8" w:rsidRDefault="00CB38F8" w:rsidP="00CB38F8">
      <w:pPr>
        <w:pStyle w:val="ListNumber"/>
      </w:pPr>
      <w:r>
        <w:t>The Commission welcome</w:t>
      </w:r>
      <w:r w:rsidR="00D55A67">
        <w:t>d</w:t>
      </w:r>
      <w:r>
        <w:t xml:space="preserve"> the </w:t>
      </w:r>
      <w:r w:rsidR="00D55A67">
        <w:t xml:space="preserve">NACC </w:t>
      </w:r>
      <w:r w:rsidR="00731608">
        <w:t>legislation</w:t>
      </w:r>
      <w:r w:rsidR="00B023ED">
        <w:t>,</w:t>
      </w:r>
      <w:r w:rsidR="00731608">
        <w:t xml:space="preserve"> </w:t>
      </w:r>
      <w:r w:rsidR="006F7FF6">
        <w:t xml:space="preserve">including </w:t>
      </w:r>
      <w:r>
        <w:t xml:space="preserve">the protections afforded to </w:t>
      </w:r>
      <w:r w:rsidR="00D55A67">
        <w:t>people who make relevant disclosures about corruption issues.</w:t>
      </w:r>
      <w:r w:rsidR="00664FE8">
        <w:rPr>
          <w:rStyle w:val="EndnoteReference"/>
        </w:rPr>
        <w:endnoteReference w:id="72"/>
      </w:r>
      <w:r>
        <w:t xml:space="preserve"> </w:t>
      </w:r>
      <w:r w:rsidR="006F7FF6">
        <w:t xml:space="preserve"> It appears that there </w:t>
      </w:r>
      <w:r w:rsidR="00275B4F">
        <w:t xml:space="preserve">are significant similarities with the protections under </w:t>
      </w:r>
      <w:r w:rsidR="00312011">
        <w:t>the PID Act</w:t>
      </w:r>
      <w:r w:rsidR="00275B4F">
        <w:t xml:space="preserve"> </w:t>
      </w:r>
      <w:r w:rsidR="009B68C9">
        <w:t xml:space="preserve">(as amended by the present Bill) </w:t>
      </w:r>
      <w:r w:rsidR="00275B4F">
        <w:t>and the NACC Act</w:t>
      </w:r>
      <w:r w:rsidR="004C58B4">
        <w:t xml:space="preserve"> </w:t>
      </w:r>
      <w:r w:rsidR="003D5AE4">
        <w:t xml:space="preserve">(as amended by the present Bill) </w:t>
      </w:r>
      <w:r w:rsidR="004C58B4">
        <w:t>as set out in the following table.</w:t>
      </w:r>
      <w:r w:rsidR="007146D1">
        <w:t xml:space="preserve">  </w:t>
      </w:r>
    </w:p>
    <w:tbl>
      <w:tblPr>
        <w:tblStyle w:val="TableGrid"/>
        <w:tblW w:w="0" w:type="auto"/>
        <w:tblInd w:w="1094" w:type="dxa"/>
        <w:tblLook w:val="04A0" w:firstRow="1" w:lastRow="0" w:firstColumn="1" w:lastColumn="0" w:noHBand="0" w:noVBand="1"/>
      </w:tblPr>
      <w:tblGrid>
        <w:gridCol w:w="4855"/>
        <w:gridCol w:w="1559"/>
        <w:gridCol w:w="1552"/>
      </w:tblGrid>
      <w:tr w:rsidR="003D6F8F" w:rsidRPr="003D6F8F" w14:paraId="14E6F93E" w14:textId="77777777" w:rsidTr="003D6F8F">
        <w:tc>
          <w:tcPr>
            <w:tcW w:w="4855" w:type="dxa"/>
            <w:shd w:val="clear" w:color="auto" w:fill="DEEAF6" w:themeFill="accent1" w:themeFillTint="33"/>
          </w:tcPr>
          <w:p w14:paraId="319C087C" w14:textId="39373D91" w:rsidR="004C58B4" w:rsidRPr="003D6F8F" w:rsidRDefault="003D6F8F" w:rsidP="004C58B4">
            <w:pPr>
              <w:pStyle w:val="ListNumber"/>
              <w:numPr>
                <w:ilvl w:val="0"/>
                <w:numId w:val="0"/>
              </w:numPr>
              <w:rPr>
                <w:b/>
                <w:bCs/>
              </w:rPr>
            </w:pPr>
            <w:r w:rsidRPr="003D6F8F">
              <w:rPr>
                <w:b/>
                <w:bCs/>
              </w:rPr>
              <w:t>Provision</w:t>
            </w:r>
          </w:p>
        </w:tc>
        <w:tc>
          <w:tcPr>
            <w:tcW w:w="1559" w:type="dxa"/>
            <w:shd w:val="clear" w:color="auto" w:fill="DEEAF6" w:themeFill="accent1" w:themeFillTint="33"/>
          </w:tcPr>
          <w:p w14:paraId="49FE49C6" w14:textId="75DA40DE" w:rsidR="004C58B4" w:rsidRPr="003D6F8F" w:rsidRDefault="003D6F8F" w:rsidP="004C58B4">
            <w:pPr>
              <w:pStyle w:val="ListNumber"/>
              <w:numPr>
                <w:ilvl w:val="0"/>
                <w:numId w:val="0"/>
              </w:numPr>
              <w:rPr>
                <w:b/>
                <w:bCs/>
              </w:rPr>
            </w:pPr>
            <w:r w:rsidRPr="003D6F8F">
              <w:rPr>
                <w:b/>
                <w:bCs/>
              </w:rPr>
              <w:t>PID Act</w:t>
            </w:r>
          </w:p>
        </w:tc>
        <w:tc>
          <w:tcPr>
            <w:tcW w:w="1552" w:type="dxa"/>
            <w:shd w:val="clear" w:color="auto" w:fill="DEEAF6" w:themeFill="accent1" w:themeFillTint="33"/>
          </w:tcPr>
          <w:p w14:paraId="3B610AC5" w14:textId="15D4E486" w:rsidR="004C58B4" w:rsidRPr="003D6F8F" w:rsidRDefault="003D6F8F" w:rsidP="004C58B4">
            <w:pPr>
              <w:pStyle w:val="ListNumber"/>
              <w:numPr>
                <w:ilvl w:val="0"/>
                <w:numId w:val="0"/>
              </w:numPr>
              <w:rPr>
                <w:b/>
                <w:bCs/>
              </w:rPr>
            </w:pPr>
            <w:r w:rsidRPr="003D6F8F">
              <w:rPr>
                <w:b/>
                <w:bCs/>
              </w:rPr>
              <w:t>NACC Act</w:t>
            </w:r>
          </w:p>
        </w:tc>
      </w:tr>
      <w:tr w:rsidR="004C58B4" w14:paraId="71019975" w14:textId="77777777" w:rsidTr="003D6F8F">
        <w:tc>
          <w:tcPr>
            <w:tcW w:w="4855" w:type="dxa"/>
          </w:tcPr>
          <w:p w14:paraId="7BF4728C" w14:textId="1FE2C28A" w:rsidR="004C58B4" w:rsidRDefault="00C4407C" w:rsidP="004C58B4">
            <w:pPr>
              <w:pStyle w:val="ListNumber"/>
              <w:numPr>
                <w:ilvl w:val="0"/>
                <w:numId w:val="0"/>
              </w:numPr>
            </w:pPr>
            <w:r>
              <w:t xml:space="preserve">Protection for </w:t>
            </w:r>
            <w:proofErr w:type="spellStart"/>
            <w:r w:rsidR="00852F51">
              <w:t>whistleblowers</w:t>
            </w:r>
            <w:proofErr w:type="spellEnd"/>
            <w:r w:rsidR="00852F51">
              <w:t xml:space="preserve"> </w:t>
            </w:r>
            <w:r w:rsidR="00DE4C87">
              <w:t xml:space="preserve">against civil, </w:t>
            </w:r>
            <w:proofErr w:type="gramStart"/>
            <w:r w:rsidR="00DE4C87">
              <w:t>criminal</w:t>
            </w:r>
            <w:proofErr w:type="gramEnd"/>
            <w:r w:rsidR="00DE4C87">
              <w:t xml:space="preserve"> or administrative liability</w:t>
            </w:r>
            <w:r w:rsidR="00C94DF8">
              <w:t xml:space="preserve"> (including defamation) and contractual remedies</w:t>
            </w:r>
            <w:r w:rsidR="0034446B">
              <w:t xml:space="preserve"> for making the disclosure</w:t>
            </w:r>
          </w:p>
        </w:tc>
        <w:tc>
          <w:tcPr>
            <w:tcW w:w="1559" w:type="dxa"/>
          </w:tcPr>
          <w:p w14:paraId="6BDB5972" w14:textId="7CB181F8" w:rsidR="004C58B4" w:rsidRDefault="00DE4C87" w:rsidP="004C58B4">
            <w:pPr>
              <w:pStyle w:val="ListNumber"/>
              <w:numPr>
                <w:ilvl w:val="0"/>
                <w:numId w:val="0"/>
              </w:numPr>
            </w:pPr>
            <w:r>
              <w:t>s 10</w:t>
            </w:r>
          </w:p>
        </w:tc>
        <w:tc>
          <w:tcPr>
            <w:tcW w:w="1552" w:type="dxa"/>
          </w:tcPr>
          <w:p w14:paraId="59035C87" w14:textId="6DF2351D" w:rsidR="004C58B4" w:rsidRDefault="000568FC" w:rsidP="004C58B4">
            <w:pPr>
              <w:pStyle w:val="ListNumber"/>
              <w:numPr>
                <w:ilvl w:val="0"/>
                <w:numId w:val="0"/>
              </w:numPr>
            </w:pPr>
            <w:r>
              <w:t>s 24</w:t>
            </w:r>
          </w:p>
        </w:tc>
      </w:tr>
      <w:tr w:rsidR="004C58B4" w14:paraId="154A3A05" w14:textId="77777777" w:rsidTr="003D6F8F">
        <w:tc>
          <w:tcPr>
            <w:tcW w:w="4855" w:type="dxa"/>
          </w:tcPr>
          <w:p w14:paraId="6569055A" w14:textId="594DF336" w:rsidR="004C58B4" w:rsidRDefault="009B68C9" w:rsidP="004C58B4">
            <w:pPr>
              <w:pStyle w:val="ListNumber"/>
              <w:numPr>
                <w:ilvl w:val="0"/>
                <w:numId w:val="0"/>
              </w:numPr>
            </w:pPr>
            <w:r>
              <w:t xml:space="preserve">Protection for witnesses against civil, </w:t>
            </w:r>
            <w:proofErr w:type="gramStart"/>
            <w:r>
              <w:t>criminal</w:t>
            </w:r>
            <w:proofErr w:type="gramEnd"/>
            <w:r>
              <w:t xml:space="preserve"> or administrative liability (including defamation) and contractual remedies for </w:t>
            </w:r>
            <w:r w:rsidR="001E3303">
              <w:t>providing assistance in relation to</w:t>
            </w:r>
            <w:r>
              <w:t xml:space="preserve"> the disclosure</w:t>
            </w:r>
          </w:p>
        </w:tc>
        <w:tc>
          <w:tcPr>
            <w:tcW w:w="1559" w:type="dxa"/>
          </w:tcPr>
          <w:p w14:paraId="08FF449C" w14:textId="562CD440" w:rsidR="004C58B4" w:rsidRDefault="001E3303" w:rsidP="004C58B4">
            <w:pPr>
              <w:pStyle w:val="ListNumber"/>
              <w:numPr>
                <w:ilvl w:val="0"/>
                <w:numId w:val="0"/>
              </w:numPr>
            </w:pPr>
            <w:r>
              <w:t>s 12A</w:t>
            </w:r>
          </w:p>
        </w:tc>
        <w:tc>
          <w:tcPr>
            <w:tcW w:w="1552" w:type="dxa"/>
          </w:tcPr>
          <w:p w14:paraId="43F7D243" w14:textId="14F8C3D7" w:rsidR="004C58B4" w:rsidRDefault="00AF34B3" w:rsidP="004C58B4">
            <w:pPr>
              <w:pStyle w:val="ListNumber"/>
              <w:numPr>
                <w:ilvl w:val="0"/>
                <w:numId w:val="0"/>
              </w:numPr>
            </w:pPr>
            <w:r>
              <w:t>s 24</w:t>
            </w:r>
          </w:p>
        </w:tc>
      </w:tr>
      <w:tr w:rsidR="004C58B4" w14:paraId="1E7D708E" w14:textId="77777777" w:rsidTr="003D6F8F">
        <w:tc>
          <w:tcPr>
            <w:tcW w:w="4855" w:type="dxa"/>
          </w:tcPr>
          <w:p w14:paraId="5BA097F3" w14:textId="1E78389C" w:rsidR="004C58B4" w:rsidRDefault="003946B6" w:rsidP="004C58B4">
            <w:pPr>
              <w:pStyle w:val="ListNumber"/>
              <w:numPr>
                <w:ilvl w:val="0"/>
                <w:numId w:val="0"/>
              </w:numPr>
            </w:pPr>
            <w:r>
              <w:lastRenderedPageBreak/>
              <w:t xml:space="preserve">Civil liability </w:t>
            </w:r>
            <w:r w:rsidR="00690534">
              <w:t xml:space="preserve">for taking reprisals against </w:t>
            </w:r>
            <w:proofErr w:type="spellStart"/>
            <w:r w:rsidR="00852F51">
              <w:t>whistleblowers</w:t>
            </w:r>
            <w:proofErr w:type="spellEnd"/>
            <w:r w:rsidR="00852F51">
              <w:t xml:space="preserve"> </w:t>
            </w:r>
            <w:r w:rsidR="00690534">
              <w:t xml:space="preserve">or </w:t>
            </w:r>
            <w:r w:rsidR="00A00F8A">
              <w:t>witnesses</w:t>
            </w:r>
          </w:p>
        </w:tc>
        <w:tc>
          <w:tcPr>
            <w:tcW w:w="1559" w:type="dxa"/>
          </w:tcPr>
          <w:p w14:paraId="3AF21FB7" w14:textId="15B9B775" w:rsidR="00F27FAD" w:rsidRDefault="0073424D" w:rsidP="00C33E67">
            <w:pPr>
              <w:pStyle w:val="ListNumber"/>
              <w:numPr>
                <w:ilvl w:val="0"/>
                <w:numId w:val="0"/>
              </w:numPr>
            </w:pPr>
            <w:r>
              <w:t>s</w:t>
            </w:r>
            <w:r w:rsidR="00CE758A">
              <w:t>s</w:t>
            </w:r>
            <w:r w:rsidR="001E3303">
              <w:t> </w:t>
            </w:r>
            <w:r w:rsidR="00CE758A">
              <w:t>13–</w:t>
            </w:r>
            <w:r w:rsidR="00C33E67">
              <w:t>18</w:t>
            </w:r>
            <w:r w:rsidR="00F27FAD">
              <w:t xml:space="preserve"> </w:t>
            </w:r>
            <w:r w:rsidR="00972487">
              <w:t>and 19A</w:t>
            </w:r>
          </w:p>
        </w:tc>
        <w:tc>
          <w:tcPr>
            <w:tcW w:w="1552" w:type="dxa"/>
          </w:tcPr>
          <w:p w14:paraId="75B79288" w14:textId="3A4C8AD9" w:rsidR="003C0FFD" w:rsidRDefault="005145B4" w:rsidP="004C58B4">
            <w:pPr>
              <w:pStyle w:val="ListNumber"/>
              <w:numPr>
                <w:ilvl w:val="0"/>
                <w:numId w:val="0"/>
              </w:numPr>
            </w:pPr>
            <w:r>
              <w:t>N/A</w:t>
            </w:r>
          </w:p>
        </w:tc>
      </w:tr>
      <w:tr w:rsidR="004C58B4" w14:paraId="1548C39E" w14:textId="77777777" w:rsidTr="003D6F8F">
        <w:tc>
          <w:tcPr>
            <w:tcW w:w="4855" w:type="dxa"/>
          </w:tcPr>
          <w:p w14:paraId="4D53C8E2" w14:textId="052071EC" w:rsidR="004C58B4" w:rsidRDefault="003946B6" w:rsidP="004C58B4">
            <w:pPr>
              <w:pStyle w:val="ListNumber"/>
              <w:numPr>
                <w:ilvl w:val="0"/>
                <w:numId w:val="0"/>
              </w:numPr>
            </w:pPr>
            <w:r>
              <w:t xml:space="preserve">Criminal offence to take reprisals against </w:t>
            </w:r>
            <w:proofErr w:type="spellStart"/>
            <w:r w:rsidR="00852F51">
              <w:t>whistleblowers</w:t>
            </w:r>
            <w:proofErr w:type="spellEnd"/>
            <w:r w:rsidR="00852F51">
              <w:t xml:space="preserve"> </w:t>
            </w:r>
            <w:r>
              <w:t>or witnesses</w:t>
            </w:r>
          </w:p>
        </w:tc>
        <w:tc>
          <w:tcPr>
            <w:tcW w:w="1559" w:type="dxa"/>
          </w:tcPr>
          <w:p w14:paraId="224E6304" w14:textId="74A3D671" w:rsidR="004C58B4" w:rsidRDefault="005145B4" w:rsidP="004C58B4">
            <w:pPr>
              <w:pStyle w:val="ListNumber"/>
              <w:numPr>
                <w:ilvl w:val="0"/>
                <w:numId w:val="0"/>
              </w:numPr>
            </w:pPr>
            <w:r>
              <w:t>ss 13 and 19</w:t>
            </w:r>
          </w:p>
        </w:tc>
        <w:tc>
          <w:tcPr>
            <w:tcW w:w="1552" w:type="dxa"/>
          </w:tcPr>
          <w:p w14:paraId="34394CEC" w14:textId="563E5294" w:rsidR="004C58B4" w:rsidRDefault="0073424D" w:rsidP="004C58B4">
            <w:pPr>
              <w:pStyle w:val="ListNumber"/>
              <w:numPr>
                <w:ilvl w:val="0"/>
                <w:numId w:val="0"/>
              </w:numPr>
            </w:pPr>
            <w:r>
              <w:t>s</w:t>
            </w:r>
            <w:r w:rsidR="003946B6">
              <w:t>s 29–30</w:t>
            </w:r>
          </w:p>
        </w:tc>
      </w:tr>
      <w:tr w:rsidR="004962F1" w14:paraId="64EE531C" w14:textId="77777777" w:rsidTr="003D6F8F">
        <w:tc>
          <w:tcPr>
            <w:tcW w:w="4855" w:type="dxa"/>
          </w:tcPr>
          <w:p w14:paraId="58CCE252" w14:textId="42826829" w:rsidR="004962F1" w:rsidRPr="006C3933" w:rsidRDefault="006C3933" w:rsidP="004C58B4">
            <w:pPr>
              <w:pStyle w:val="ListNumber"/>
              <w:numPr>
                <w:ilvl w:val="0"/>
                <w:numId w:val="0"/>
              </w:numPr>
              <w:rPr>
                <w:highlight w:val="yellow"/>
              </w:rPr>
            </w:pPr>
            <w:r>
              <w:t xml:space="preserve">Protection of the identity of </w:t>
            </w:r>
            <w:proofErr w:type="spellStart"/>
            <w:r w:rsidR="00852F51">
              <w:t>whistleblowers</w:t>
            </w:r>
            <w:proofErr w:type="spellEnd"/>
          </w:p>
        </w:tc>
        <w:tc>
          <w:tcPr>
            <w:tcW w:w="1559" w:type="dxa"/>
          </w:tcPr>
          <w:p w14:paraId="47133B01" w14:textId="4A86D075" w:rsidR="004962F1" w:rsidRPr="006C3933" w:rsidRDefault="00EB45F1" w:rsidP="004C58B4">
            <w:pPr>
              <w:pStyle w:val="ListNumber"/>
              <w:numPr>
                <w:ilvl w:val="0"/>
                <w:numId w:val="0"/>
              </w:numPr>
              <w:rPr>
                <w:highlight w:val="yellow"/>
              </w:rPr>
            </w:pPr>
            <w:r>
              <w:t>s</w:t>
            </w:r>
            <w:r w:rsidR="00EB55C8">
              <w:t>s</w:t>
            </w:r>
            <w:r w:rsidRPr="00EB45F1">
              <w:t> 20</w:t>
            </w:r>
            <w:r w:rsidR="00D26E93">
              <w:t>–</w:t>
            </w:r>
            <w:r w:rsidR="00EB55C8">
              <w:t>21</w:t>
            </w:r>
          </w:p>
        </w:tc>
        <w:tc>
          <w:tcPr>
            <w:tcW w:w="1552" w:type="dxa"/>
          </w:tcPr>
          <w:p w14:paraId="47CB7FB0" w14:textId="44337C77" w:rsidR="004962F1" w:rsidRDefault="003157F5" w:rsidP="004C58B4">
            <w:pPr>
              <w:pStyle w:val="ListNumber"/>
              <w:numPr>
                <w:ilvl w:val="0"/>
                <w:numId w:val="0"/>
              </w:numPr>
            </w:pPr>
            <w:r>
              <w:t>ss 227–228</w:t>
            </w:r>
          </w:p>
        </w:tc>
      </w:tr>
    </w:tbl>
    <w:p w14:paraId="5A6B9503" w14:textId="77777777" w:rsidR="00D55A67" w:rsidRDefault="00D55A67" w:rsidP="004C58B4">
      <w:pPr>
        <w:pStyle w:val="ListNumber"/>
        <w:numPr>
          <w:ilvl w:val="0"/>
          <w:numId w:val="0"/>
        </w:numPr>
        <w:ind w:left="1094"/>
      </w:pPr>
    </w:p>
    <w:p w14:paraId="7DC77113" w14:textId="21BF7D87" w:rsidR="00315FB0" w:rsidRDefault="005A187D" w:rsidP="00277B47">
      <w:pPr>
        <w:pStyle w:val="ListNumber"/>
      </w:pPr>
      <w:r>
        <w:t>However, t</w:t>
      </w:r>
      <w:r w:rsidR="000D1B51">
        <w:t xml:space="preserve">he scope of </w:t>
      </w:r>
      <w:r w:rsidR="00D06B07">
        <w:t xml:space="preserve">protected </w:t>
      </w:r>
      <w:r w:rsidR="000D1B51">
        <w:t xml:space="preserve">disclosures that may be made under </w:t>
      </w:r>
      <w:r w:rsidR="00312011">
        <w:t>the PID Act</w:t>
      </w:r>
      <w:r w:rsidR="000D1B51">
        <w:t xml:space="preserve"> is broader than </w:t>
      </w:r>
      <w:r w:rsidR="00D06B07">
        <w:t xml:space="preserve">protected </w:t>
      </w:r>
      <w:r w:rsidR="00316197">
        <w:t>disc</w:t>
      </w:r>
      <w:r w:rsidR="0051740D">
        <w:t xml:space="preserve">losures </w:t>
      </w:r>
      <w:r>
        <w:t xml:space="preserve">that may be </w:t>
      </w:r>
      <w:r w:rsidR="0051740D">
        <w:t xml:space="preserve">made under the NACC Act.  </w:t>
      </w:r>
      <w:r w:rsidR="00781556">
        <w:t xml:space="preserve">The NACC Act is focused on </w:t>
      </w:r>
      <w:r w:rsidR="008B1F34">
        <w:t>‘</w:t>
      </w:r>
      <w:r w:rsidR="00781556">
        <w:t>corrupt conduct’</w:t>
      </w:r>
      <w:r w:rsidR="00D26E93">
        <w:t>,</w:t>
      </w:r>
      <w:r w:rsidR="00781556">
        <w:t xml:space="preserve"> which is defined in s 8 to m</w:t>
      </w:r>
      <w:r w:rsidR="008B1F34">
        <w:t xml:space="preserve">ean: </w:t>
      </w:r>
    </w:p>
    <w:p w14:paraId="6ADA7D79" w14:textId="7598D2C6" w:rsidR="0033606C" w:rsidRPr="006275E9" w:rsidRDefault="0033606C" w:rsidP="0033606C">
      <w:pPr>
        <w:pStyle w:val="ListNumber"/>
        <w:numPr>
          <w:ilvl w:val="0"/>
          <w:numId w:val="0"/>
        </w:numPr>
        <w:ind w:left="2506" w:hanging="1066"/>
        <w:rPr>
          <w:sz w:val="22"/>
          <w:szCs w:val="22"/>
        </w:rPr>
      </w:pPr>
      <w:r w:rsidRPr="006275E9">
        <w:rPr>
          <w:sz w:val="22"/>
          <w:szCs w:val="22"/>
        </w:rPr>
        <w:t xml:space="preserve">(a) </w:t>
      </w:r>
      <w:r w:rsidRPr="006275E9">
        <w:rPr>
          <w:sz w:val="22"/>
          <w:szCs w:val="22"/>
        </w:rPr>
        <w:tab/>
        <w:t>any conduct of any person (</w:t>
      </w:r>
      <w:proofErr w:type="gramStart"/>
      <w:r w:rsidRPr="006275E9">
        <w:rPr>
          <w:sz w:val="22"/>
          <w:szCs w:val="22"/>
        </w:rPr>
        <w:t>whether or not</w:t>
      </w:r>
      <w:proofErr w:type="gramEnd"/>
      <w:r w:rsidRPr="006275E9">
        <w:rPr>
          <w:sz w:val="22"/>
          <w:szCs w:val="22"/>
        </w:rPr>
        <w:t xml:space="preserve"> a public official) that adversely affects, or that could adversely affect, either directly or indirectly:</w:t>
      </w:r>
    </w:p>
    <w:p w14:paraId="2CCC0B91" w14:textId="77777777" w:rsidR="006275E9" w:rsidRPr="006275E9" w:rsidRDefault="0033606C" w:rsidP="006275E9">
      <w:pPr>
        <w:pStyle w:val="ListNumber"/>
        <w:numPr>
          <w:ilvl w:val="0"/>
          <w:numId w:val="0"/>
        </w:numPr>
        <w:ind w:left="3589" w:hanging="1083"/>
        <w:rPr>
          <w:sz w:val="22"/>
          <w:szCs w:val="22"/>
        </w:rPr>
      </w:pPr>
      <w:r w:rsidRPr="006275E9">
        <w:rPr>
          <w:sz w:val="22"/>
          <w:szCs w:val="22"/>
        </w:rPr>
        <w:t>(</w:t>
      </w:r>
      <w:proofErr w:type="spellStart"/>
      <w:r w:rsidRPr="006275E9">
        <w:rPr>
          <w:sz w:val="22"/>
          <w:szCs w:val="22"/>
        </w:rPr>
        <w:t>i</w:t>
      </w:r>
      <w:proofErr w:type="spellEnd"/>
      <w:r w:rsidRPr="006275E9">
        <w:rPr>
          <w:sz w:val="22"/>
          <w:szCs w:val="22"/>
        </w:rPr>
        <w:t xml:space="preserve">) </w:t>
      </w:r>
      <w:r w:rsidRPr="006275E9">
        <w:rPr>
          <w:sz w:val="22"/>
          <w:szCs w:val="22"/>
        </w:rPr>
        <w:tab/>
        <w:t>the honest or impartial exercise of any public official’s powers as a public official; or</w:t>
      </w:r>
    </w:p>
    <w:p w14:paraId="52A42C7B" w14:textId="3931A63C" w:rsidR="0033606C" w:rsidRPr="006275E9" w:rsidRDefault="0033606C" w:rsidP="006275E9">
      <w:pPr>
        <w:pStyle w:val="ListNumber"/>
        <w:numPr>
          <w:ilvl w:val="0"/>
          <w:numId w:val="0"/>
        </w:numPr>
        <w:ind w:left="3589" w:hanging="1083"/>
        <w:rPr>
          <w:sz w:val="22"/>
          <w:szCs w:val="22"/>
        </w:rPr>
      </w:pPr>
      <w:r w:rsidRPr="006275E9">
        <w:rPr>
          <w:sz w:val="22"/>
          <w:szCs w:val="22"/>
        </w:rPr>
        <w:t xml:space="preserve">(ii) </w:t>
      </w:r>
      <w:r w:rsidR="006275E9" w:rsidRPr="006275E9">
        <w:rPr>
          <w:sz w:val="22"/>
          <w:szCs w:val="22"/>
        </w:rPr>
        <w:tab/>
      </w:r>
      <w:r w:rsidRPr="006275E9">
        <w:rPr>
          <w:sz w:val="22"/>
          <w:szCs w:val="22"/>
        </w:rPr>
        <w:t xml:space="preserve">the honest or impartial performance of any public official’s functions or duties as a public </w:t>
      </w:r>
      <w:proofErr w:type="gramStart"/>
      <w:r w:rsidRPr="006275E9">
        <w:rPr>
          <w:sz w:val="22"/>
          <w:szCs w:val="22"/>
        </w:rPr>
        <w:t>official;</w:t>
      </w:r>
      <w:proofErr w:type="gramEnd"/>
    </w:p>
    <w:p w14:paraId="04B34450" w14:textId="05C403F2" w:rsidR="0033606C" w:rsidRPr="006275E9" w:rsidRDefault="0033606C" w:rsidP="006275E9">
      <w:pPr>
        <w:pStyle w:val="ListNumber"/>
        <w:numPr>
          <w:ilvl w:val="0"/>
          <w:numId w:val="0"/>
        </w:numPr>
        <w:ind w:left="2506" w:hanging="1066"/>
        <w:rPr>
          <w:sz w:val="22"/>
          <w:szCs w:val="22"/>
        </w:rPr>
      </w:pPr>
      <w:r w:rsidRPr="006275E9">
        <w:rPr>
          <w:sz w:val="22"/>
          <w:szCs w:val="22"/>
        </w:rPr>
        <w:t xml:space="preserve">(b) </w:t>
      </w:r>
      <w:r w:rsidR="006275E9" w:rsidRPr="006275E9">
        <w:rPr>
          <w:sz w:val="22"/>
          <w:szCs w:val="22"/>
        </w:rPr>
        <w:tab/>
      </w:r>
      <w:r w:rsidRPr="006275E9">
        <w:rPr>
          <w:sz w:val="22"/>
          <w:szCs w:val="22"/>
        </w:rPr>
        <w:t xml:space="preserve">any conduct of a public official that constitutes or involves a breach of public </w:t>
      </w:r>
      <w:proofErr w:type="gramStart"/>
      <w:r w:rsidRPr="006275E9">
        <w:rPr>
          <w:sz w:val="22"/>
          <w:szCs w:val="22"/>
        </w:rPr>
        <w:t>trust;</w:t>
      </w:r>
      <w:proofErr w:type="gramEnd"/>
    </w:p>
    <w:p w14:paraId="64AF0279" w14:textId="1D05899B" w:rsidR="0033606C" w:rsidRPr="006275E9" w:rsidRDefault="0033606C" w:rsidP="006275E9">
      <w:pPr>
        <w:pStyle w:val="ListNumber"/>
        <w:numPr>
          <w:ilvl w:val="0"/>
          <w:numId w:val="0"/>
        </w:numPr>
        <w:ind w:left="2506" w:hanging="1066"/>
        <w:rPr>
          <w:sz w:val="22"/>
          <w:szCs w:val="22"/>
        </w:rPr>
      </w:pPr>
      <w:r w:rsidRPr="006275E9">
        <w:rPr>
          <w:sz w:val="22"/>
          <w:szCs w:val="22"/>
        </w:rPr>
        <w:t xml:space="preserve">(c) </w:t>
      </w:r>
      <w:r w:rsidR="006275E9" w:rsidRPr="006275E9">
        <w:rPr>
          <w:sz w:val="22"/>
          <w:szCs w:val="22"/>
        </w:rPr>
        <w:tab/>
      </w:r>
      <w:r w:rsidRPr="006275E9">
        <w:rPr>
          <w:sz w:val="22"/>
          <w:szCs w:val="22"/>
        </w:rPr>
        <w:t xml:space="preserve">any conduct of a public official that constitutes, involves or is engaged in for the purpose of abuse of the person’s office as a public </w:t>
      </w:r>
      <w:proofErr w:type="gramStart"/>
      <w:r w:rsidRPr="006275E9">
        <w:rPr>
          <w:sz w:val="22"/>
          <w:szCs w:val="22"/>
        </w:rPr>
        <w:t>official;</w:t>
      </w:r>
      <w:proofErr w:type="gramEnd"/>
    </w:p>
    <w:p w14:paraId="7CA9B355" w14:textId="1F43A64B" w:rsidR="008B1F34" w:rsidRPr="006275E9" w:rsidRDefault="0033606C" w:rsidP="006275E9">
      <w:pPr>
        <w:pStyle w:val="ListNumber"/>
        <w:numPr>
          <w:ilvl w:val="0"/>
          <w:numId w:val="0"/>
        </w:numPr>
        <w:ind w:left="2506" w:hanging="1066"/>
        <w:rPr>
          <w:sz w:val="22"/>
          <w:szCs w:val="22"/>
        </w:rPr>
      </w:pPr>
      <w:r w:rsidRPr="006275E9">
        <w:rPr>
          <w:sz w:val="22"/>
          <w:szCs w:val="22"/>
        </w:rPr>
        <w:t xml:space="preserve">(d) </w:t>
      </w:r>
      <w:r w:rsidR="006275E9" w:rsidRPr="006275E9">
        <w:rPr>
          <w:sz w:val="22"/>
          <w:szCs w:val="22"/>
        </w:rPr>
        <w:tab/>
      </w:r>
      <w:r w:rsidRPr="006275E9">
        <w:rPr>
          <w:sz w:val="22"/>
          <w:szCs w:val="22"/>
        </w:rPr>
        <w:t>any conduct of a public official, or former public official, that constitutes or involves the misuse of information or documents acquired in the person’s capacity as a public official.</w:t>
      </w:r>
    </w:p>
    <w:p w14:paraId="5C695607" w14:textId="12C1121D" w:rsidR="008B1F34" w:rsidRDefault="00AF6C7C" w:rsidP="00277B47">
      <w:pPr>
        <w:pStyle w:val="ListNumber"/>
      </w:pPr>
      <w:r>
        <w:t xml:space="preserve">These elements of corrupt conduct are likely to overlap with </w:t>
      </w:r>
      <w:r w:rsidR="00A072CA">
        <w:t xml:space="preserve">some items of disclosable conduct in </w:t>
      </w:r>
      <w:r w:rsidR="0026285F">
        <w:t xml:space="preserve">the table in </w:t>
      </w:r>
      <w:r w:rsidR="00A072CA">
        <w:t>s 29</w:t>
      </w:r>
      <w:r w:rsidR="0026285F">
        <w:t>(1)</w:t>
      </w:r>
      <w:r w:rsidR="00A072CA">
        <w:t xml:space="preserve"> of the PID Act, including unlawful conduct (items 1 and 2)</w:t>
      </w:r>
      <w:r w:rsidR="001D5D6A">
        <w:t xml:space="preserve">, conduct that involves corruption or perverting the course of justice (item 3), conduct that constitutes </w:t>
      </w:r>
      <w:r w:rsidR="008F3BE9">
        <w:t xml:space="preserve">intentional maladministration (item 4(a)) and conduct that is an abuse of public trust (item 5).  However, </w:t>
      </w:r>
      <w:r w:rsidR="00240B24">
        <w:t>other elements of disclosable conduct in s 29 of the PID Act would not or would be unlikely to come within the definition of corrupt conduct.  These include</w:t>
      </w:r>
      <w:r w:rsidR="00856353">
        <w:t xml:space="preserve"> negligent maladministration (item 4(c))</w:t>
      </w:r>
      <w:r w:rsidR="00BD13D4">
        <w:t xml:space="preserve">, conduct </w:t>
      </w:r>
      <w:proofErr w:type="gramStart"/>
      <w:r w:rsidR="00BD13D4">
        <w:t>that results</w:t>
      </w:r>
      <w:proofErr w:type="gramEnd"/>
      <w:r w:rsidR="00BD13D4">
        <w:t xml:space="preserve"> in the wastage of </w:t>
      </w:r>
      <w:r w:rsidR="00B30B78">
        <w:t xml:space="preserve">public money or property (item 7), conduct that </w:t>
      </w:r>
      <w:r w:rsidR="00B30B78">
        <w:lastRenderedPageBreak/>
        <w:t>unreasonably results in a danger to the health and safety of one or more persons</w:t>
      </w:r>
      <w:r w:rsidR="0026285F">
        <w:t xml:space="preserve"> (item 8)</w:t>
      </w:r>
      <w:r w:rsidR="00A76F5E">
        <w:t xml:space="preserve"> and conduct that results in a danger to the environment (item 9).</w:t>
      </w:r>
    </w:p>
    <w:p w14:paraId="7D24C192" w14:textId="527E039D" w:rsidR="004333C0" w:rsidRDefault="001B3FCC" w:rsidP="00277B47">
      <w:pPr>
        <w:pStyle w:val="ListNumber"/>
      </w:pPr>
      <w:r>
        <w:t xml:space="preserve">The inclusion of </w:t>
      </w:r>
      <w:proofErr w:type="spellStart"/>
      <w:r>
        <w:t>MoP</w:t>
      </w:r>
      <w:proofErr w:type="spellEnd"/>
      <w:r>
        <w:t xml:space="preserve">(S) </w:t>
      </w:r>
      <w:r w:rsidR="00A572AB">
        <w:t>A</w:t>
      </w:r>
      <w:r>
        <w:t xml:space="preserve">ct staff within the scheme of the PID Act would ensure that they would be protected in relation to disclosures about these </w:t>
      </w:r>
      <w:r w:rsidR="00EF6DBB">
        <w:t xml:space="preserve">issues.  </w:t>
      </w:r>
      <w:r w:rsidR="00A60FC9">
        <w:t xml:space="preserve">Significantly, </w:t>
      </w:r>
      <w:r w:rsidR="009D613A">
        <w:t xml:space="preserve">there are </w:t>
      </w:r>
      <w:r w:rsidR="005537A5">
        <w:t xml:space="preserve">already </w:t>
      </w:r>
      <w:r w:rsidR="00981A6E">
        <w:t xml:space="preserve">provisions </w:t>
      </w:r>
      <w:r w:rsidR="009D613A">
        <w:t xml:space="preserve">in the PID Act </w:t>
      </w:r>
      <w:r w:rsidR="00981A6E">
        <w:t xml:space="preserve">that would prevent parliamentary staff from </w:t>
      </w:r>
      <w:r w:rsidR="00134988">
        <w:t>making disclosures only in relation to political decisions that they may disagree with.  C</w:t>
      </w:r>
      <w:r w:rsidR="00A60FC9">
        <w:t xml:space="preserve">onduct that relates only to </w:t>
      </w:r>
      <w:r w:rsidR="008868F2">
        <w:t>a Commonwealth policy</w:t>
      </w:r>
      <w:r w:rsidR="00134988">
        <w:t>,</w:t>
      </w:r>
      <w:r w:rsidR="008868F2">
        <w:t xml:space="preserve"> or </w:t>
      </w:r>
      <w:r w:rsidR="00F54867">
        <w:t>action by a Minister</w:t>
      </w:r>
      <w:r w:rsidR="00134988">
        <w:t>,</w:t>
      </w:r>
      <w:r w:rsidR="00F54867">
        <w:t xml:space="preserve"> </w:t>
      </w:r>
      <w:r w:rsidR="00EC7389">
        <w:t xml:space="preserve">or money expended for </w:t>
      </w:r>
      <w:r w:rsidR="00C97625">
        <w:t xml:space="preserve">either </w:t>
      </w:r>
      <w:r w:rsidR="00EC7389">
        <w:t xml:space="preserve">purpose, </w:t>
      </w:r>
      <w:r w:rsidR="008868F2">
        <w:t xml:space="preserve">with which the person disagrees, </w:t>
      </w:r>
      <w:r w:rsidR="00F54867">
        <w:t>is not disclosable conduct.</w:t>
      </w:r>
      <w:r w:rsidR="009D613A">
        <w:rPr>
          <w:rStyle w:val="EndnoteReference"/>
        </w:rPr>
        <w:endnoteReference w:id="73"/>
      </w:r>
      <w:r w:rsidR="00F54867">
        <w:t xml:space="preserve">  </w:t>
      </w:r>
    </w:p>
    <w:p w14:paraId="1D4D6FBA" w14:textId="2EF2BD1C" w:rsidR="00827621" w:rsidRDefault="00A572AB" w:rsidP="00277B47">
      <w:pPr>
        <w:pStyle w:val="ListNumber"/>
      </w:pPr>
      <w:r>
        <w:t xml:space="preserve">There do not appear to be any </w:t>
      </w:r>
      <w:r w:rsidR="00D2433C">
        <w:t xml:space="preserve">compelling </w:t>
      </w:r>
      <w:r>
        <w:t xml:space="preserve">legal reasons why </w:t>
      </w:r>
      <w:proofErr w:type="spellStart"/>
      <w:r>
        <w:t>MoP</w:t>
      </w:r>
      <w:proofErr w:type="spellEnd"/>
      <w:r>
        <w:t xml:space="preserve">(S) Act staff </w:t>
      </w:r>
      <w:r w:rsidR="008739CD">
        <w:t xml:space="preserve">could not be included within the scheme of the PID Act.  The Commission notes the submission from the Clerk of the Senate </w:t>
      </w:r>
      <w:r w:rsidR="00B539FE">
        <w:t xml:space="preserve">to the PJCCFS </w:t>
      </w:r>
      <w:proofErr w:type="spellStart"/>
      <w:r w:rsidR="00B539FE">
        <w:t>Whistleblower</w:t>
      </w:r>
      <w:proofErr w:type="spellEnd"/>
      <w:r w:rsidR="00B539FE">
        <w:t xml:space="preserve"> inquiry that: ‘there is no obstacle to including, in a </w:t>
      </w:r>
      <w:proofErr w:type="gramStart"/>
      <w:r w:rsidR="00B539FE">
        <w:t>properly-designed</w:t>
      </w:r>
      <w:proofErr w:type="gramEnd"/>
      <w:r w:rsidR="00B539FE">
        <w:t xml:space="preserve"> scheme, mechanisms for disclosures about, by or to members (or their staff)</w:t>
      </w:r>
      <w:r w:rsidR="00867497">
        <w:t xml:space="preserve">, provided the distinction between privilege and the </w:t>
      </w:r>
      <w:proofErr w:type="spellStart"/>
      <w:r w:rsidR="00867497">
        <w:t>whistleblower</w:t>
      </w:r>
      <w:proofErr w:type="spellEnd"/>
      <w:r w:rsidR="00867497">
        <w:t xml:space="preserve"> protection regime is maintained’.</w:t>
      </w:r>
      <w:r w:rsidR="00867497">
        <w:rPr>
          <w:rStyle w:val="EndnoteReference"/>
        </w:rPr>
        <w:endnoteReference w:id="74"/>
      </w:r>
    </w:p>
    <w:p w14:paraId="29D6838A" w14:textId="533B3205" w:rsidR="00A76F5E" w:rsidRDefault="00EF6DBB" w:rsidP="00277B47">
      <w:pPr>
        <w:pStyle w:val="ListNumber"/>
      </w:pPr>
      <w:r>
        <w:t>Th</w:t>
      </w:r>
      <w:r w:rsidR="00786024">
        <w:t>e Commission maintains that now that there is a</w:t>
      </w:r>
      <w:r w:rsidR="00DA7F23">
        <w:t>t least one</w:t>
      </w:r>
      <w:r w:rsidR="00786024">
        <w:t xml:space="preserve"> independent body </w:t>
      </w:r>
      <w:r w:rsidR="000C3C36">
        <w:t xml:space="preserve">with the power to scrutinise members of Parliament or their staff, it is appropriate </w:t>
      </w:r>
      <w:r w:rsidR="000456F8">
        <w:t xml:space="preserve">for </w:t>
      </w:r>
      <w:proofErr w:type="spellStart"/>
      <w:r w:rsidR="000456F8">
        <w:t>MoP</w:t>
      </w:r>
      <w:proofErr w:type="spellEnd"/>
      <w:r w:rsidR="000456F8">
        <w:t xml:space="preserve">(S) </w:t>
      </w:r>
      <w:r w:rsidR="00C31100">
        <w:t xml:space="preserve">Act </w:t>
      </w:r>
      <w:r w:rsidR="000456F8">
        <w:t xml:space="preserve">staff to have the protection of the PID Act.  Further, the unique position of </w:t>
      </w:r>
      <w:proofErr w:type="spellStart"/>
      <w:r w:rsidR="000456F8">
        <w:t>MoP</w:t>
      </w:r>
      <w:proofErr w:type="spellEnd"/>
      <w:r w:rsidR="000456F8">
        <w:t xml:space="preserve">(S) </w:t>
      </w:r>
      <w:r w:rsidR="00C31100">
        <w:t xml:space="preserve">Act </w:t>
      </w:r>
      <w:r w:rsidR="000456F8">
        <w:t>staff mean</w:t>
      </w:r>
      <w:r w:rsidR="00584485">
        <w:t>s</w:t>
      </w:r>
      <w:r w:rsidR="000456F8">
        <w:t xml:space="preserve"> that they should also have the protection of the PID Act for making disclosures in relation to </w:t>
      </w:r>
      <w:r w:rsidR="00213BBA">
        <w:t>conduct in other parts of the public service.</w:t>
      </w:r>
    </w:p>
    <w:p w14:paraId="258659A2" w14:textId="6627A61E" w:rsidR="00213BBA" w:rsidRPr="00213BBA" w:rsidRDefault="00213BBA" w:rsidP="00213BBA">
      <w:pPr>
        <w:pStyle w:val="ListNumber"/>
        <w:keepNext/>
        <w:numPr>
          <w:ilvl w:val="0"/>
          <w:numId w:val="0"/>
        </w:numPr>
        <w:ind w:left="1094"/>
        <w:rPr>
          <w:b/>
          <w:bCs/>
        </w:rPr>
      </w:pPr>
      <w:r w:rsidRPr="00213BBA">
        <w:rPr>
          <w:b/>
          <w:bCs/>
        </w:rPr>
        <w:t xml:space="preserve">Recommendation </w:t>
      </w:r>
      <w:r w:rsidR="00763597">
        <w:rPr>
          <w:b/>
          <w:bCs/>
        </w:rPr>
        <w:t>8</w:t>
      </w:r>
    </w:p>
    <w:p w14:paraId="4B05F0C4" w14:textId="7FD2E67B" w:rsidR="00213BBA" w:rsidRDefault="00213BBA" w:rsidP="00213BBA">
      <w:pPr>
        <w:pStyle w:val="ListNumber"/>
        <w:numPr>
          <w:ilvl w:val="0"/>
          <w:numId w:val="0"/>
        </w:numPr>
        <w:ind w:left="1094"/>
      </w:pPr>
      <w:r>
        <w:t xml:space="preserve">The Commission recommends that </w:t>
      </w:r>
      <w:r w:rsidR="005E0842">
        <w:t xml:space="preserve">people employed under the </w:t>
      </w:r>
      <w:r w:rsidR="005E0842" w:rsidRPr="009C0937">
        <w:rPr>
          <w:i/>
          <w:iCs/>
        </w:rPr>
        <w:t>Members of Parliament (Staff) Act 1984</w:t>
      </w:r>
      <w:r w:rsidR="005E0842">
        <w:t xml:space="preserve"> (</w:t>
      </w:r>
      <w:proofErr w:type="spellStart"/>
      <w:r w:rsidR="005E0842">
        <w:t>Cth</w:t>
      </w:r>
      <w:proofErr w:type="spellEnd"/>
      <w:r w:rsidR="005E0842">
        <w:t xml:space="preserve">) be included within the definition of </w:t>
      </w:r>
      <w:r w:rsidR="00A11D08">
        <w:t xml:space="preserve">‘public officials’ </w:t>
      </w:r>
      <w:r w:rsidR="00312011">
        <w:t>in the PID Act.</w:t>
      </w:r>
    </w:p>
    <w:p w14:paraId="30A94428" w14:textId="473CBB5C" w:rsidR="00637BA7" w:rsidRDefault="00CD5D08" w:rsidP="00195CC7">
      <w:pPr>
        <w:pStyle w:val="Heading2"/>
      </w:pPr>
      <w:bookmarkStart w:id="31" w:name="_Ref124750842"/>
      <w:bookmarkStart w:id="32" w:name="_Ref124750902"/>
      <w:bookmarkStart w:id="33" w:name="_Toc125116096"/>
      <w:r>
        <w:t xml:space="preserve">Improving </w:t>
      </w:r>
      <w:r w:rsidR="00CC7AFF">
        <w:t xml:space="preserve">the </w:t>
      </w:r>
      <w:r w:rsidR="001335CB">
        <w:t>ability to make</w:t>
      </w:r>
      <w:r>
        <w:t xml:space="preserve"> public </w:t>
      </w:r>
      <w:proofErr w:type="gramStart"/>
      <w:r>
        <w:t>disclosure</w:t>
      </w:r>
      <w:r w:rsidR="00195CC7">
        <w:t>s</w:t>
      </w:r>
      <w:bookmarkEnd w:id="31"/>
      <w:bookmarkEnd w:id="32"/>
      <w:bookmarkEnd w:id="33"/>
      <w:proofErr w:type="gramEnd"/>
    </w:p>
    <w:p w14:paraId="6CF14FD6" w14:textId="61047AB6" w:rsidR="00220093" w:rsidRDefault="00220093" w:rsidP="005347C5">
      <w:pPr>
        <w:pStyle w:val="ListNumber"/>
      </w:pPr>
      <w:r>
        <w:t xml:space="preserve">As noted in paragraph </w:t>
      </w:r>
      <w:r w:rsidR="00595DDA">
        <w:fldChar w:fldCharType="begin"/>
      </w:r>
      <w:r w:rsidR="00595DDA">
        <w:instrText xml:space="preserve"> REF _Ref124617748 \r \h </w:instrText>
      </w:r>
      <w:r w:rsidR="00595DDA">
        <w:fldChar w:fldCharType="separate"/>
      </w:r>
      <w:r w:rsidR="006F77C1">
        <w:t>28</w:t>
      </w:r>
      <w:r w:rsidR="00595DDA">
        <w:fldChar w:fldCharType="end"/>
      </w:r>
      <w:r w:rsidR="00595DDA">
        <w:t>(b)</w:t>
      </w:r>
      <w:r>
        <w:t xml:space="preserve"> above, there are limited circumstances in which </w:t>
      </w:r>
      <w:r w:rsidR="00595DDA">
        <w:t xml:space="preserve">an external disclosure is permitted. </w:t>
      </w:r>
      <w:r w:rsidR="00E2484B">
        <w:t xml:space="preserve"> In this submission, the Commission suggests two additional instances where an </w:t>
      </w:r>
      <w:r w:rsidR="00474598">
        <w:t xml:space="preserve">external disclosure </w:t>
      </w:r>
      <w:r w:rsidR="006A53A0">
        <w:t xml:space="preserve">should </w:t>
      </w:r>
      <w:r w:rsidR="00474598">
        <w:t>be permitted</w:t>
      </w:r>
      <w:r w:rsidR="002A169E">
        <w:t>,</w:t>
      </w:r>
      <w:r w:rsidR="00474598">
        <w:t xml:space="preserve"> to improve the transparency of the system and encourage prompt </w:t>
      </w:r>
      <w:r w:rsidR="007B0699">
        <w:t>investigation of complaints.</w:t>
      </w:r>
    </w:p>
    <w:p w14:paraId="6D1BF264" w14:textId="742F0548" w:rsidR="007B0699" w:rsidRPr="007B0699" w:rsidRDefault="007B0699" w:rsidP="007B0699">
      <w:pPr>
        <w:pStyle w:val="Heading3"/>
        <w:rPr>
          <w:i/>
          <w:iCs/>
        </w:rPr>
      </w:pPr>
      <w:bookmarkStart w:id="34" w:name="_Toc125116097"/>
      <w:r w:rsidRPr="007B0699">
        <w:rPr>
          <w:i/>
          <w:iCs/>
        </w:rPr>
        <w:lastRenderedPageBreak/>
        <w:t>Failures during an internal investigation</w:t>
      </w:r>
      <w:bookmarkEnd w:id="34"/>
    </w:p>
    <w:p w14:paraId="6CA3EA4A" w14:textId="3E2F1EE1" w:rsidR="00220093" w:rsidRDefault="00E32C6F" w:rsidP="005347C5">
      <w:pPr>
        <w:pStyle w:val="ListNumber"/>
      </w:pPr>
      <w:r>
        <w:t xml:space="preserve">Recommendation 9 of the Moss Review was that </w:t>
      </w:r>
      <w:r w:rsidR="004B078D">
        <w:t xml:space="preserve">an external disclosure be permitted if an authorised officer failed to allocate an internal </w:t>
      </w:r>
      <w:proofErr w:type="gramStart"/>
      <w:r w:rsidR="00220093">
        <w:t>disclosure</w:t>
      </w:r>
      <w:proofErr w:type="gramEnd"/>
      <w:r w:rsidR="00220093">
        <w:t xml:space="preserve"> or a supervisor failed to </w:t>
      </w:r>
      <w:r w:rsidR="0024227C">
        <w:t xml:space="preserve">report information they received about </w:t>
      </w:r>
      <w:r w:rsidR="00240CC7">
        <w:t>disclosable conduct to an authorised officer.</w:t>
      </w:r>
      <w:r w:rsidR="00A80A43">
        <w:t xml:space="preserve">  The Moss Review considered that </w:t>
      </w:r>
      <w:r w:rsidR="00B271CF">
        <w:t xml:space="preserve">the failure by an agency or supervisor to comply with </w:t>
      </w:r>
      <w:r w:rsidR="00D60F00">
        <w:t>the</w:t>
      </w:r>
      <w:r w:rsidR="00523E08">
        <w:t>se process</w:t>
      </w:r>
      <w:r w:rsidR="00D60F00">
        <w:t xml:space="preserve"> requirements of </w:t>
      </w:r>
      <w:r w:rsidR="00312011">
        <w:t>the PID Act</w:t>
      </w:r>
      <w:r w:rsidR="00D60F00">
        <w:t xml:space="preserve"> would be a threat to the integrity of the scheme</w:t>
      </w:r>
      <w:r w:rsidR="00A419FA">
        <w:t>.</w:t>
      </w:r>
      <w:r w:rsidR="00AC12A8">
        <w:rPr>
          <w:rStyle w:val="EndnoteReference"/>
        </w:rPr>
        <w:endnoteReference w:id="75"/>
      </w:r>
      <w:r w:rsidR="00A419FA">
        <w:t xml:space="preserve">  It considered that the approach of permitting an external disclosure in these circumstances (provided the other requirements of an external disclosure were met) would be consistent with </w:t>
      </w:r>
      <w:r w:rsidR="003C553E">
        <w:t>the existing grounds permitting an external disclosure based on agencies’ failure to conduct an adequate or timely investigation</w:t>
      </w:r>
      <w:r w:rsidR="00AC12A8">
        <w:t>, or to adequately respond to the findings of an investigation.</w:t>
      </w:r>
      <w:r w:rsidR="00AC12A8">
        <w:rPr>
          <w:rStyle w:val="EndnoteReference"/>
        </w:rPr>
        <w:endnoteReference w:id="76"/>
      </w:r>
    </w:p>
    <w:p w14:paraId="3857210B" w14:textId="0DAAF9F5" w:rsidR="00240CC7" w:rsidRDefault="00240CC7" w:rsidP="005347C5">
      <w:pPr>
        <w:pStyle w:val="ListNumber"/>
      </w:pPr>
      <w:r>
        <w:t xml:space="preserve">In December 2020, the then Government agreed with this recommendation in </w:t>
      </w:r>
      <w:r w:rsidR="000F19F5">
        <w:t xml:space="preserve">principle and </w:t>
      </w:r>
      <w:r w:rsidR="00654253">
        <w:t xml:space="preserve">said </w:t>
      </w:r>
      <w:r w:rsidR="000F19F5">
        <w:t xml:space="preserve">that the issue would be considered as part of </w:t>
      </w:r>
      <w:r w:rsidR="0052651C">
        <w:t>a review of the effectiveness of the external disclosure provisions.</w:t>
      </w:r>
      <w:r w:rsidR="0052651C">
        <w:rPr>
          <w:rStyle w:val="EndnoteReference"/>
        </w:rPr>
        <w:endnoteReference w:id="77"/>
      </w:r>
    </w:p>
    <w:p w14:paraId="5420D888" w14:textId="62D7D903" w:rsidR="008C11B9" w:rsidRDefault="004D0784" w:rsidP="005347C5">
      <w:pPr>
        <w:pStyle w:val="ListNumber"/>
      </w:pPr>
      <w:r>
        <w:t xml:space="preserve">Supervisors and authorised officers have different responsibilities under </w:t>
      </w:r>
      <w:r w:rsidR="00312011">
        <w:t>the PID Act</w:t>
      </w:r>
      <w:r>
        <w:t xml:space="preserve">.  </w:t>
      </w:r>
      <w:r w:rsidR="008C11B9">
        <w:t>A disclosure may be made either to a supervisor or to an authorised officer of an agency.</w:t>
      </w:r>
    </w:p>
    <w:p w14:paraId="01266949" w14:textId="4A9EA3B9" w:rsidR="00EC4DB5" w:rsidRDefault="00326EB5" w:rsidP="005347C5">
      <w:pPr>
        <w:pStyle w:val="ListNumber"/>
      </w:pPr>
      <w:r>
        <w:t>Under amendments proposed in the Bill, i</w:t>
      </w:r>
      <w:r w:rsidR="004D0784">
        <w:t xml:space="preserve">f a supervisor receives </w:t>
      </w:r>
      <w:r>
        <w:t xml:space="preserve">a disclosure, they have an obligation to </w:t>
      </w:r>
      <w:r w:rsidR="0010149A">
        <w:t xml:space="preserve">explain certain matters to the </w:t>
      </w:r>
      <w:proofErr w:type="spellStart"/>
      <w:r w:rsidR="0010149A">
        <w:t>whistleblower</w:t>
      </w:r>
      <w:proofErr w:type="spellEnd"/>
      <w:r w:rsidR="0010149A">
        <w:t xml:space="preserve"> about the operation of </w:t>
      </w:r>
      <w:r w:rsidR="00312011">
        <w:t>the PID Act</w:t>
      </w:r>
      <w:r w:rsidR="0010149A">
        <w:t xml:space="preserve">, and to give the information disclosed to an authorised officer ‘as soon as reasonably </w:t>
      </w:r>
      <w:r w:rsidR="0092064B">
        <w:t>practicable’ after the disclosure is made.</w:t>
      </w:r>
      <w:r w:rsidR="0092064B">
        <w:rPr>
          <w:rStyle w:val="EndnoteReference"/>
        </w:rPr>
        <w:endnoteReference w:id="78"/>
      </w:r>
    </w:p>
    <w:p w14:paraId="4E7CDA24" w14:textId="44191DAD" w:rsidR="00CD7280" w:rsidRDefault="00CD7280" w:rsidP="005347C5">
      <w:pPr>
        <w:pStyle w:val="ListNumber"/>
      </w:pPr>
      <w:r>
        <w:t xml:space="preserve">Under amendments proposed in the Bill, </w:t>
      </w:r>
      <w:r w:rsidR="008C11B9">
        <w:t xml:space="preserve">an authorised officer </w:t>
      </w:r>
      <w:r w:rsidR="00F52906">
        <w:t>must either allocate the disclosure to an agency or decide not to allocate the disclosure to an agency.</w:t>
      </w:r>
      <w:r w:rsidR="004E5B94">
        <w:rPr>
          <w:rStyle w:val="EndnoteReference"/>
        </w:rPr>
        <w:endnoteReference w:id="79"/>
      </w:r>
      <w:r w:rsidR="00F52906">
        <w:t xml:space="preserve">  </w:t>
      </w:r>
      <w:r w:rsidR="008E7406">
        <w:t>The authorised officer must use their best endeavours to make a decision about allocation within 14 days</w:t>
      </w:r>
      <w:r w:rsidR="00FF61C9">
        <w:t xml:space="preserve"> of the day the disclosure is given to the authorised officer, or of the day a recommendation </w:t>
      </w:r>
      <w:r w:rsidR="00C63F07">
        <w:t>is received from the Ombudsman or</w:t>
      </w:r>
      <w:r w:rsidR="00C81F90">
        <w:t xml:space="preserve"> the</w:t>
      </w:r>
      <w:r w:rsidR="00C63F07">
        <w:t xml:space="preserve"> IGIS about </w:t>
      </w:r>
      <w:r w:rsidR="00A862F6">
        <w:t>reallocation of the disclosure</w:t>
      </w:r>
      <w:r w:rsidR="008E7406">
        <w:t>.</w:t>
      </w:r>
      <w:r w:rsidR="003113EA">
        <w:rPr>
          <w:rStyle w:val="EndnoteReference"/>
        </w:rPr>
        <w:endnoteReference w:id="80"/>
      </w:r>
      <w:r w:rsidR="00AC7966">
        <w:t xml:space="preserve">  </w:t>
      </w:r>
    </w:p>
    <w:p w14:paraId="086AE324" w14:textId="3977411C" w:rsidR="00A862F6" w:rsidRDefault="004C154D" w:rsidP="005347C5">
      <w:pPr>
        <w:pStyle w:val="ListNumber"/>
      </w:pPr>
      <w:r>
        <w:t xml:space="preserve">In the Commission’s view, there are some aspects of the scheme that mean that it may be inappropriate to permit an external disclosure merely because of a failure by a supervisor to refer </w:t>
      </w:r>
      <w:r w:rsidR="00BB4F46">
        <w:t xml:space="preserve">a disclosure to an authorised officer.  </w:t>
      </w:r>
      <w:r w:rsidR="00A4510B">
        <w:t>In particular</w:t>
      </w:r>
      <w:r w:rsidR="00D91126">
        <w:t>:</w:t>
      </w:r>
    </w:p>
    <w:p w14:paraId="3B43A3CF" w14:textId="4E5838FE" w:rsidR="00D91126" w:rsidRDefault="00452793" w:rsidP="00D91126">
      <w:pPr>
        <w:pStyle w:val="ListNumber"/>
        <w:numPr>
          <w:ilvl w:val="0"/>
          <w:numId w:val="38"/>
        </w:numPr>
        <w:ind w:left="1451" w:hanging="357"/>
      </w:pPr>
      <w:r>
        <w:lastRenderedPageBreak/>
        <w:t>a</w:t>
      </w:r>
      <w:r w:rsidR="001865E8">
        <w:t xml:space="preserve"> public interest disclosure may be made without the </w:t>
      </w:r>
      <w:proofErr w:type="spellStart"/>
      <w:r>
        <w:t>whistleblower</w:t>
      </w:r>
      <w:proofErr w:type="spellEnd"/>
      <w:r>
        <w:t xml:space="preserve"> </w:t>
      </w:r>
      <w:r w:rsidR="001865E8">
        <w:t xml:space="preserve">asserting that the </w:t>
      </w:r>
      <w:r>
        <w:t xml:space="preserve">disclosure is made for the purposes of </w:t>
      </w:r>
      <w:r w:rsidR="00312011">
        <w:t>the PID Act</w:t>
      </w:r>
      <w:r>
        <w:rPr>
          <w:rStyle w:val="EndnoteReference"/>
        </w:rPr>
        <w:endnoteReference w:id="81"/>
      </w:r>
    </w:p>
    <w:p w14:paraId="3AAA3379" w14:textId="764D16B3" w:rsidR="00B77121" w:rsidRDefault="00EC183E" w:rsidP="00D91126">
      <w:pPr>
        <w:pStyle w:val="ListNumber"/>
        <w:numPr>
          <w:ilvl w:val="0"/>
          <w:numId w:val="38"/>
        </w:numPr>
        <w:ind w:left="1451" w:hanging="357"/>
      </w:pPr>
      <w:r>
        <w:t xml:space="preserve">many agencies </w:t>
      </w:r>
      <w:r w:rsidR="00B77121">
        <w:t xml:space="preserve">receive </w:t>
      </w:r>
      <w:r w:rsidR="000727B6">
        <w:t xml:space="preserve">few or no disclosures a year and </w:t>
      </w:r>
      <w:r w:rsidR="0044794F">
        <w:t xml:space="preserve">so </w:t>
      </w:r>
      <w:r w:rsidR="00BB5349">
        <w:t xml:space="preserve">staff </w:t>
      </w:r>
      <w:r w:rsidR="0044794F">
        <w:t xml:space="preserve">have little direct experience with </w:t>
      </w:r>
      <w:r w:rsidR="007D6D78">
        <w:t xml:space="preserve">the operation of </w:t>
      </w:r>
      <w:r w:rsidR="00312011">
        <w:t>the PID Act</w:t>
      </w:r>
      <w:r w:rsidR="004E464E">
        <w:t>, including identifying disclosures</w:t>
      </w:r>
      <w:r w:rsidR="0055025E">
        <w:rPr>
          <w:rStyle w:val="EndnoteReference"/>
        </w:rPr>
        <w:endnoteReference w:id="82"/>
      </w:r>
      <w:r w:rsidR="007D6D78">
        <w:t xml:space="preserve"> </w:t>
      </w:r>
    </w:p>
    <w:p w14:paraId="40268F1C" w14:textId="24A38742" w:rsidR="00452793" w:rsidRDefault="00AB08BE" w:rsidP="00D91126">
      <w:pPr>
        <w:pStyle w:val="ListNumber"/>
        <w:numPr>
          <w:ilvl w:val="0"/>
          <w:numId w:val="38"/>
        </w:numPr>
        <w:ind w:left="1451" w:hanging="357"/>
      </w:pPr>
      <w:r>
        <w:t xml:space="preserve">agencies </w:t>
      </w:r>
      <w:r w:rsidR="00CF129D">
        <w:t xml:space="preserve">told </w:t>
      </w:r>
      <w:r>
        <w:t xml:space="preserve">the Moss Review </w:t>
      </w:r>
      <w:r w:rsidR="00CF129D">
        <w:t xml:space="preserve">that </w:t>
      </w:r>
      <w:r w:rsidR="00B77121">
        <w:t>during the first two year</w:t>
      </w:r>
      <w:r w:rsidR="00747C22">
        <w:t>s</w:t>
      </w:r>
      <w:r w:rsidR="00B77121">
        <w:t xml:space="preserve"> of the operation of </w:t>
      </w:r>
      <w:r w:rsidR="00312011">
        <w:t>the PID Act</w:t>
      </w:r>
      <w:r w:rsidR="00B77121">
        <w:t xml:space="preserve">, </w:t>
      </w:r>
      <w:r w:rsidR="00CF129D">
        <w:t xml:space="preserve">supervisors often </w:t>
      </w:r>
      <w:r w:rsidR="00B77121">
        <w:t>did</w:t>
      </w:r>
      <w:r w:rsidR="00C82F8B">
        <w:t xml:space="preserve"> </w:t>
      </w:r>
      <w:r w:rsidR="00B77121">
        <w:t>n</w:t>
      </w:r>
      <w:r w:rsidR="00E8281C">
        <w:t>o</w:t>
      </w:r>
      <w:r w:rsidR="00B77121">
        <w:t xml:space="preserve">t </w:t>
      </w:r>
      <w:r w:rsidR="00CF129D">
        <w:t xml:space="preserve">understand or comply </w:t>
      </w:r>
      <w:r w:rsidR="00B77121">
        <w:t xml:space="preserve">with the obligation to refer </w:t>
      </w:r>
      <w:r w:rsidR="0055025E">
        <w:t>matters to an authorised officer.</w:t>
      </w:r>
      <w:r w:rsidR="0055025E">
        <w:rPr>
          <w:rStyle w:val="EndnoteReference"/>
        </w:rPr>
        <w:endnoteReference w:id="83"/>
      </w:r>
    </w:p>
    <w:p w14:paraId="5E66B8AD" w14:textId="04AF1959" w:rsidR="00BB4F46" w:rsidRDefault="00BB4F46" w:rsidP="005347C5">
      <w:pPr>
        <w:pStyle w:val="ListNumber"/>
      </w:pPr>
      <w:r>
        <w:t xml:space="preserve">Ultimately, if a </w:t>
      </w:r>
      <w:proofErr w:type="spellStart"/>
      <w:r>
        <w:t>whistleblower</w:t>
      </w:r>
      <w:proofErr w:type="spellEnd"/>
      <w:r>
        <w:t xml:space="preserve"> was dissatisfied with a supervisor’s failure to </w:t>
      </w:r>
      <w:r w:rsidR="00355B12">
        <w:t xml:space="preserve">give the information disclosed to an authorised officer, it would be open to the </w:t>
      </w:r>
      <w:proofErr w:type="spellStart"/>
      <w:r w:rsidR="00355B12">
        <w:t>whistleblower</w:t>
      </w:r>
      <w:proofErr w:type="spellEnd"/>
      <w:r w:rsidR="00355B12">
        <w:t xml:space="preserve"> to give the information to </w:t>
      </w:r>
      <w:r w:rsidR="0021659A">
        <w:t>an</w:t>
      </w:r>
      <w:r w:rsidR="00355B12">
        <w:t xml:space="preserve"> authorised officer directly.</w:t>
      </w:r>
    </w:p>
    <w:p w14:paraId="37509246" w14:textId="5E2DFC4C" w:rsidR="00582102" w:rsidRDefault="00582102" w:rsidP="00205941">
      <w:pPr>
        <w:pStyle w:val="ListNumber"/>
      </w:pPr>
      <w:r>
        <w:t xml:space="preserve">However, the situation is different in relation to the obligations of an authorised officer.  </w:t>
      </w:r>
      <w:r w:rsidR="000D5BCA">
        <w:t xml:space="preserve">Authorised officers are appointed </w:t>
      </w:r>
      <w:r w:rsidR="00BF2373">
        <w:t xml:space="preserve">in writing </w:t>
      </w:r>
      <w:r w:rsidR="00BB5349">
        <w:t xml:space="preserve">to a position that </w:t>
      </w:r>
      <w:r w:rsidR="002313AF">
        <w:t>carries with it specific duties.</w:t>
      </w:r>
      <w:r w:rsidR="003704A7">
        <w:rPr>
          <w:rStyle w:val="EndnoteReference"/>
        </w:rPr>
        <w:endnoteReference w:id="84"/>
      </w:r>
      <w:r w:rsidR="002313AF">
        <w:t xml:space="preserve">  Under amendments contain</w:t>
      </w:r>
      <w:r w:rsidR="00815381">
        <w:t>ed</w:t>
      </w:r>
      <w:r w:rsidR="002313AF">
        <w:t xml:space="preserve"> </w:t>
      </w:r>
      <w:r w:rsidR="00E8281C">
        <w:t xml:space="preserve">in </w:t>
      </w:r>
      <w:r w:rsidR="002313AF">
        <w:t xml:space="preserve">the Bill, principal officers of an agency must </w:t>
      </w:r>
      <w:r w:rsidR="00E16E5A">
        <w:t xml:space="preserve">ensure that their staff </w:t>
      </w:r>
      <w:r w:rsidR="00BB64BC">
        <w:t>are aware of the identity of each authorised officer,</w:t>
      </w:r>
      <w:r w:rsidR="005B47BA">
        <w:rPr>
          <w:rStyle w:val="EndnoteReference"/>
        </w:rPr>
        <w:endnoteReference w:id="85"/>
      </w:r>
      <w:r w:rsidR="00BB64BC">
        <w:t xml:space="preserve"> and must provide </w:t>
      </w:r>
      <w:r w:rsidR="005B47BA">
        <w:t xml:space="preserve">appropriate </w:t>
      </w:r>
      <w:r w:rsidR="00BB64BC">
        <w:t>training to authorised officers</w:t>
      </w:r>
      <w:r w:rsidR="005B47BA">
        <w:t>.</w:t>
      </w:r>
      <w:r w:rsidR="002618F5">
        <w:rPr>
          <w:rStyle w:val="EndnoteReference"/>
        </w:rPr>
        <w:endnoteReference w:id="86"/>
      </w:r>
      <w:r w:rsidR="00BB64BC">
        <w:t xml:space="preserve"> </w:t>
      </w:r>
      <w:r w:rsidR="00BA6F86">
        <w:t xml:space="preserve"> </w:t>
      </w:r>
      <w:r>
        <w:t xml:space="preserve">It is not open to </w:t>
      </w:r>
      <w:r w:rsidR="00896993">
        <w:t xml:space="preserve">a </w:t>
      </w:r>
      <w:proofErr w:type="spellStart"/>
      <w:r w:rsidR="00896993">
        <w:t>whistleblower</w:t>
      </w:r>
      <w:proofErr w:type="spellEnd"/>
      <w:r w:rsidR="00896993">
        <w:t xml:space="preserve"> to allocate </w:t>
      </w:r>
      <w:r w:rsidR="002D2E48">
        <w:t xml:space="preserve">their </w:t>
      </w:r>
      <w:r w:rsidR="00D91126">
        <w:t xml:space="preserve">own </w:t>
      </w:r>
      <w:r w:rsidR="002D2E48">
        <w:t xml:space="preserve">complaint to an agency for investigation.  The failure by an authorised officer to do so has the real potential to </w:t>
      </w:r>
      <w:r w:rsidR="005305FF">
        <w:t>delay or frustrate the conduct of an investigation.</w:t>
      </w:r>
    </w:p>
    <w:p w14:paraId="000B80D6" w14:textId="72F7A8F6" w:rsidR="005F4416" w:rsidRDefault="00582102" w:rsidP="005347C5">
      <w:pPr>
        <w:pStyle w:val="ListNumber"/>
      </w:pPr>
      <w:r>
        <w:t xml:space="preserve">While a </w:t>
      </w:r>
      <w:proofErr w:type="spellStart"/>
      <w:r>
        <w:t>whistleblower</w:t>
      </w:r>
      <w:proofErr w:type="spellEnd"/>
      <w:r>
        <w:t xml:space="preserve"> could make a disclosure directly to </w:t>
      </w:r>
      <w:r w:rsidR="00896993">
        <w:t>the Ombudsman,</w:t>
      </w:r>
      <w:r w:rsidR="00603135">
        <w:rPr>
          <w:rStyle w:val="EndnoteReference"/>
        </w:rPr>
        <w:endnoteReference w:id="87"/>
      </w:r>
      <w:r w:rsidR="00896993">
        <w:t xml:space="preserve"> the Ombudsman </w:t>
      </w:r>
      <w:r w:rsidR="005F4416">
        <w:t>discourages this.  On its website, the Ombudsman says:</w:t>
      </w:r>
    </w:p>
    <w:p w14:paraId="5885DFF9" w14:textId="77777777" w:rsidR="005F4416" w:rsidRPr="005F4416" w:rsidRDefault="005F4416" w:rsidP="005F4416">
      <w:pPr>
        <w:pStyle w:val="ListNumber"/>
        <w:numPr>
          <w:ilvl w:val="0"/>
          <w:numId w:val="0"/>
        </w:numPr>
        <w:ind w:left="1440"/>
        <w:rPr>
          <w:sz w:val="22"/>
          <w:szCs w:val="22"/>
        </w:rPr>
      </w:pPr>
      <w:r w:rsidRPr="005F4416">
        <w:rPr>
          <w:sz w:val="22"/>
          <w:szCs w:val="22"/>
        </w:rPr>
        <w:t xml:space="preserve">It is best to make a disclosure with the relevant Australian Government agency. </w:t>
      </w:r>
    </w:p>
    <w:p w14:paraId="3738ED8E" w14:textId="77777777" w:rsidR="005F4416" w:rsidRPr="005F4416" w:rsidRDefault="005F4416" w:rsidP="005F4416">
      <w:pPr>
        <w:pStyle w:val="ListNumber"/>
        <w:numPr>
          <w:ilvl w:val="0"/>
          <w:numId w:val="0"/>
        </w:numPr>
        <w:ind w:left="1440"/>
        <w:rPr>
          <w:sz w:val="22"/>
          <w:szCs w:val="22"/>
        </w:rPr>
      </w:pPr>
      <w:r w:rsidRPr="005F4416">
        <w:rPr>
          <w:sz w:val="22"/>
          <w:szCs w:val="22"/>
        </w:rPr>
        <w:t>If you believe that it is not appropriate for an agency to handle a disclosure, we can receive a PID.</w:t>
      </w:r>
    </w:p>
    <w:p w14:paraId="737813A2" w14:textId="2015C333" w:rsidR="00582102" w:rsidRPr="005F4416" w:rsidRDefault="005F4416" w:rsidP="005F4416">
      <w:pPr>
        <w:pStyle w:val="ListNumber"/>
        <w:numPr>
          <w:ilvl w:val="0"/>
          <w:numId w:val="0"/>
        </w:numPr>
        <w:ind w:left="1440"/>
        <w:rPr>
          <w:sz w:val="22"/>
          <w:szCs w:val="22"/>
        </w:rPr>
      </w:pPr>
      <w:r w:rsidRPr="005F4416">
        <w:rPr>
          <w:sz w:val="22"/>
          <w:szCs w:val="22"/>
        </w:rPr>
        <w:t>Where we do accept a PID, we will work with the discloser and the agency to give that matter back to the agency for investigation.</w:t>
      </w:r>
      <w:r>
        <w:rPr>
          <w:rStyle w:val="EndnoteReference"/>
          <w:szCs w:val="22"/>
        </w:rPr>
        <w:endnoteReference w:id="88"/>
      </w:r>
    </w:p>
    <w:p w14:paraId="0A643FC5" w14:textId="732D5807" w:rsidR="005F4416" w:rsidRDefault="00921D67" w:rsidP="005F4416">
      <w:pPr>
        <w:pStyle w:val="ListNumber"/>
      </w:pPr>
      <w:r>
        <w:t xml:space="preserve">The Commission considers that </w:t>
      </w:r>
      <w:r w:rsidR="009E414A">
        <w:t xml:space="preserve">a refusal or failure by an authorised officer to </w:t>
      </w:r>
      <w:r w:rsidR="007E3975">
        <w:t>either allocate an internal disclosure or decide not to all</w:t>
      </w:r>
      <w:r w:rsidR="00824767">
        <w:t xml:space="preserve">ocate an internal disclosure under </w:t>
      </w:r>
      <w:r w:rsidR="0074080D">
        <w:t xml:space="preserve">proposed </w:t>
      </w:r>
      <w:r w:rsidR="00252440">
        <w:t>s</w:t>
      </w:r>
      <w:r w:rsidR="0074080D">
        <w:t>s 43(3)</w:t>
      </w:r>
      <w:r w:rsidR="00252440">
        <w:t xml:space="preserve"> and (11) should </w:t>
      </w:r>
      <w:r w:rsidR="00C34E67">
        <w:t xml:space="preserve">give rise to an ability on the part of the </w:t>
      </w:r>
      <w:proofErr w:type="spellStart"/>
      <w:r w:rsidR="00C34E67">
        <w:t>whistleblower</w:t>
      </w:r>
      <w:proofErr w:type="spellEnd"/>
      <w:r w:rsidR="00C34E67">
        <w:t xml:space="preserve"> to make an external </w:t>
      </w:r>
      <w:r w:rsidR="00C34E67">
        <w:lastRenderedPageBreak/>
        <w:t>disclosure, provided that the other criteria for making an external disclosure are also met.</w:t>
      </w:r>
    </w:p>
    <w:p w14:paraId="091E7CDA" w14:textId="2F433212" w:rsidR="00D03A0A" w:rsidRDefault="00D03A0A" w:rsidP="005F4416">
      <w:pPr>
        <w:pStyle w:val="ListNumber"/>
      </w:pPr>
      <w:r>
        <w:t>This would p</w:t>
      </w:r>
      <w:r w:rsidR="00C130BC">
        <w:t xml:space="preserve">rovide an additional incentive </w:t>
      </w:r>
      <w:r w:rsidR="00FA07C0">
        <w:t>for</w:t>
      </w:r>
      <w:r w:rsidR="0080553B">
        <w:t xml:space="preserve"> </w:t>
      </w:r>
      <w:r w:rsidR="00C130BC">
        <w:t xml:space="preserve">those </w:t>
      </w:r>
      <w:r w:rsidR="00A8547E">
        <w:t xml:space="preserve">responsible for administering </w:t>
      </w:r>
      <w:r w:rsidR="00312011">
        <w:t>the PID Act</w:t>
      </w:r>
      <w:r w:rsidR="00EB59CB">
        <w:t>, and who have had specific training in relation to these responsibilities,</w:t>
      </w:r>
      <w:r w:rsidR="00A8547E">
        <w:t xml:space="preserve"> to </w:t>
      </w:r>
      <w:proofErr w:type="gramStart"/>
      <w:r w:rsidR="00EB59CB">
        <w:t>make a decision</w:t>
      </w:r>
      <w:proofErr w:type="gramEnd"/>
      <w:r w:rsidR="00EB59CB">
        <w:t xml:space="preserve"> in relation to allocation </w:t>
      </w:r>
      <w:r w:rsidR="00A8547E">
        <w:t>promptly.</w:t>
      </w:r>
    </w:p>
    <w:p w14:paraId="149B30C7" w14:textId="24A714D0" w:rsidR="00C34E67" w:rsidRDefault="00C34E67" w:rsidP="005F4416">
      <w:pPr>
        <w:pStyle w:val="ListNumber"/>
      </w:pPr>
      <w:r>
        <w:t xml:space="preserve">The Commission notes that the </w:t>
      </w:r>
      <w:proofErr w:type="gramStart"/>
      <w:r w:rsidR="00652F0C">
        <w:t>14 day</w:t>
      </w:r>
      <w:proofErr w:type="gramEnd"/>
      <w:r w:rsidR="00652F0C">
        <w:t xml:space="preserve"> deadline in proposed s 43(11) is a ‘best endeavours’ deadline.</w:t>
      </w:r>
      <w:r w:rsidR="00D03A0A">
        <w:t xml:space="preserve">  </w:t>
      </w:r>
      <w:r w:rsidR="00131B07">
        <w:t xml:space="preserve">Further, </w:t>
      </w:r>
      <w:r w:rsidR="00D57398">
        <w:t xml:space="preserve">proposed </w:t>
      </w:r>
      <w:r w:rsidR="004A4659">
        <w:t>s</w:t>
      </w:r>
      <w:r w:rsidR="00D57398">
        <w:t>s 44(4) and 44</w:t>
      </w:r>
      <w:proofErr w:type="gramStart"/>
      <w:r w:rsidR="00D57398">
        <w:t>A(</w:t>
      </w:r>
      <w:proofErr w:type="gramEnd"/>
      <w:r w:rsidR="00D57398">
        <w:t xml:space="preserve">3) provide an obligation on the authorised officer to </w:t>
      </w:r>
      <w:r w:rsidR="00A66012">
        <w:t xml:space="preserve">(if reasonably practicable) </w:t>
      </w:r>
      <w:r w:rsidR="00D57398">
        <w:t xml:space="preserve">give a </w:t>
      </w:r>
      <w:r w:rsidR="00A66012">
        <w:t xml:space="preserve">written notice to the </w:t>
      </w:r>
      <w:proofErr w:type="spellStart"/>
      <w:r w:rsidR="003417C1">
        <w:t>whistleblower</w:t>
      </w:r>
      <w:proofErr w:type="spellEnd"/>
      <w:r w:rsidR="003417C1">
        <w:t xml:space="preserve"> </w:t>
      </w:r>
      <w:r w:rsidR="00174BD0">
        <w:t>about the decision to allocate or not allocate the disclosure</w:t>
      </w:r>
      <w:r w:rsidR="00795F7A">
        <w:t xml:space="preserve"> as soon as reasonably practicable after that decision is made</w:t>
      </w:r>
      <w:r w:rsidR="00174BD0">
        <w:t xml:space="preserve">.  </w:t>
      </w:r>
      <w:proofErr w:type="gramStart"/>
      <w:r w:rsidR="00757826">
        <w:t>In light of</w:t>
      </w:r>
      <w:proofErr w:type="gramEnd"/>
      <w:r w:rsidR="00757826">
        <w:t xml:space="preserve"> these various obligations</w:t>
      </w:r>
      <w:r w:rsidR="003B6C84">
        <w:t xml:space="preserve"> (and the obligation on supervisors to refer complaints to an authorised officer ‘as soon as reasonably practicable’)</w:t>
      </w:r>
      <w:r w:rsidR="00757826">
        <w:t>, t</w:t>
      </w:r>
      <w:r w:rsidR="00D03A0A">
        <w:t xml:space="preserve">he Commission </w:t>
      </w:r>
      <w:r w:rsidR="00757826">
        <w:t xml:space="preserve">considers that </w:t>
      </w:r>
      <w:r w:rsidR="009C473B">
        <w:t xml:space="preserve">it would be reasonable to permit a </w:t>
      </w:r>
      <w:proofErr w:type="spellStart"/>
      <w:r w:rsidR="009C473B">
        <w:t>whistleblower</w:t>
      </w:r>
      <w:proofErr w:type="spellEnd"/>
      <w:r w:rsidR="009C473B">
        <w:t xml:space="preserve"> to make an external disclosure if:</w:t>
      </w:r>
    </w:p>
    <w:p w14:paraId="72BDDC5A" w14:textId="667F33B5" w:rsidR="009C473B" w:rsidRDefault="002F53B6" w:rsidP="002F53B6">
      <w:pPr>
        <w:pStyle w:val="ListNumber"/>
        <w:numPr>
          <w:ilvl w:val="0"/>
          <w:numId w:val="38"/>
        </w:numPr>
        <w:ind w:left="1451" w:hanging="357"/>
      </w:pPr>
      <w:r>
        <w:t xml:space="preserve">they have </w:t>
      </w:r>
      <w:r w:rsidR="004009DE">
        <w:t>provided their name and contact details</w:t>
      </w:r>
      <w:r w:rsidR="00784029">
        <w:t xml:space="preserve"> in connection with </w:t>
      </w:r>
      <w:r w:rsidR="004009DE">
        <w:t>making the disclosure</w:t>
      </w:r>
      <w:r w:rsidR="00357F05">
        <w:t xml:space="preserve">; and </w:t>
      </w:r>
    </w:p>
    <w:p w14:paraId="57A1B83A" w14:textId="6BB10F08" w:rsidR="004009DE" w:rsidRDefault="004009DE" w:rsidP="002F53B6">
      <w:pPr>
        <w:pStyle w:val="ListNumber"/>
        <w:numPr>
          <w:ilvl w:val="0"/>
          <w:numId w:val="38"/>
        </w:numPr>
        <w:ind w:left="1451" w:hanging="357"/>
      </w:pPr>
      <w:r>
        <w:t xml:space="preserve">they have not been provided with a notice under </w:t>
      </w:r>
      <w:r w:rsidR="004A4659">
        <w:t>proposed ss 44(4) or 44</w:t>
      </w:r>
      <w:proofErr w:type="gramStart"/>
      <w:r w:rsidR="004A4659">
        <w:t>A(</w:t>
      </w:r>
      <w:proofErr w:type="gramEnd"/>
      <w:r w:rsidR="004A4659">
        <w:t>3) within 28 days of making the disclosure.</w:t>
      </w:r>
      <w:r w:rsidR="00453EE1">
        <w:t xml:space="preserve">  </w:t>
      </w:r>
    </w:p>
    <w:p w14:paraId="15096C46" w14:textId="5CCA3D91" w:rsidR="009C473B" w:rsidRPr="00A21B62" w:rsidRDefault="00360661" w:rsidP="00A21B62">
      <w:pPr>
        <w:pStyle w:val="ListNumber"/>
        <w:keepNext/>
        <w:numPr>
          <w:ilvl w:val="0"/>
          <w:numId w:val="0"/>
        </w:numPr>
        <w:ind w:left="1094"/>
        <w:rPr>
          <w:b/>
          <w:bCs/>
        </w:rPr>
      </w:pPr>
      <w:r w:rsidRPr="00A21B62">
        <w:rPr>
          <w:b/>
          <w:bCs/>
        </w:rPr>
        <w:t xml:space="preserve">Recommendation </w:t>
      </w:r>
      <w:r w:rsidR="00763597">
        <w:rPr>
          <w:b/>
          <w:bCs/>
        </w:rPr>
        <w:t>9</w:t>
      </w:r>
    </w:p>
    <w:p w14:paraId="5E7D50E7" w14:textId="03993422" w:rsidR="00EB59CB" w:rsidRDefault="00360661" w:rsidP="00A21B62">
      <w:pPr>
        <w:pStyle w:val="ListNumber"/>
        <w:numPr>
          <w:ilvl w:val="0"/>
          <w:numId w:val="0"/>
        </w:numPr>
        <w:ind w:left="1094"/>
      </w:pPr>
      <w:r>
        <w:t xml:space="preserve">The Commission recommends that </w:t>
      </w:r>
      <w:r w:rsidR="00EB59CB">
        <w:t xml:space="preserve">paragraph (c) in column 3 of item 2 in the table in s 26(1) of the PID Act be amended to provide that an external disclosure may be made if a </w:t>
      </w:r>
      <w:proofErr w:type="spellStart"/>
      <w:r w:rsidR="00EB59CB">
        <w:t>whistleblower</w:t>
      </w:r>
      <w:proofErr w:type="spellEnd"/>
      <w:r w:rsidR="00EB59CB">
        <w:t>:</w:t>
      </w:r>
    </w:p>
    <w:p w14:paraId="25DE3A2D" w14:textId="674EC668" w:rsidR="00EB59CB" w:rsidRDefault="00EB59CB" w:rsidP="00EB59CB">
      <w:pPr>
        <w:pStyle w:val="ListNumber"/>
        <w:numPr>
          <w:ilvl w:val="0"/>
          <w:numId w:val="38"/>
        </w:numPr>
        <w:ind w:left="1451" w:hanging="357"/>
      </w:pPr>
      <w:r>
        <w:t xml:space="preserve">has provided their name and contact details in connection with making the disclosure; and </w:t>
      </w:r>
    </w:p>
    <w:p w14:paraId="0CCEA325" w14:textId="200BDB3D" w:rsidR="00360661" w:rsidRDefault="00EB59CB" w:rsidP="00EB59CB">
      <w:pPr>
        <w:pStyle w:val="ListNumber"/>
        <w:numPr>
          <w:ilvl w:val="0"/>
          <w:numId w:val="38"/>
        </w:numPr>
        <w:ind w:left="1451" w:hanging="357"/>
      </w:pPr>
      <w:r>
        <w:t xml:space="preserve">has </w:t>
      </w:r>
      <w:r w:rsidRPr="00EB59CB">
        <w:t xml:space="preserve">not been provided with a notice under </w:t>
      </w:r>
      <w:r>
        <w:t>sections</w:t>
      </w:r>
      <w:r w:rsidRPr="00EB59CB">
        <w:t xml:space="preserve"> 44(4) or 44</w:t>
      </w:r>
      <w:proofErr w:type="gramStart"/>
      <w:r w:rsidRPr="00EB59CB">
        <w:t>A(</w:t>
      </w:r>
      <w:proofErr w:type="gramEnd"/>
      <w:r w:rsidRPr="00EB59CB">
        <w:t xml:space="preserve">3) </w:t>
      </w:r>
      <w:r>
        <w:t xml:space="preserve">of the PID Act </w:t>
      </w:r>
      <w:r w:rsidRPr="00EB59CB">
        <w:t>within 28 days of making the disclosure</w:t>
      </w:r>
      <w:r>
        <w:t>, confirming that a decision about the allocation of their disclosure has been made.</w:t>
      </w:r>
    </w:p>
    <w:p w14:paraId="72AB448E" w14:textId="33EB1C9C" w:rsidR="00D65717" w:rsidRPr="00DB2A8D" w:rsidRDefault="00195CC7" w:rsidP="00DB2A8D">
      <w:pPr>
        <w:pStyle w:val="Heading3"/>
        <w:rPr>
          <w:i/>
          <w:iCs/>
        </w:rPr>
      </w:pPr>
      <w:bookmarkStart w:id="35" w:name="_Toc125116098"/>
      <w:r w:rsidRPr="00DB2A8D">
        <w:rPr>
          <w:i/>
          <w:iCs/>
        </w:rPr>
        <w:t>Delay in investigatio</w:t>
      </w:r>
      <w:r w:rsidR="00D65717" w:rsidRPr="00DB2A8D">
        <w:rPr>
          <w:i/>
          <w:iCs/>
        </w:rPr>
        <w:t>n</w:t>
      </w:r>
      <w:bookmarkEnd w:id="35"/>
    </w:p>
    <w:p w14:paraId="07DAABB0" w14:textId="4B17A385" w:rsidR="00794A5B" w:rsidRDefault="00312011" w:rsidP="00D65717">
      <w:pPr>
        <w:pStyle w:val="ListNumber"/>
      </w:pPr>
      <w:r>
        <w:t>The PID Act</w:t>
      </w:r>
      <w:r w:rsidR="00FD79CC">
        <w:t xml:space="preserve"> currently provides that an external disclosure may be made </w:t>
      </w:r>
      <w:r w:rsidR="00794A5B">
        <w:t>if:</w:t>
      </w:r>
    </w:p>
    <w:p w14:paraId="1FB84496" w14:textId="0ECC6FE4" w:rsidR="005355CF" w:rsidRDefault="00794A5B" w:rsidP="00353190">
      <w:pPr>
        <w:pStyle w:val="ListNumber"/>
        <w:numPr>
          <w:ilvl w:val="0"/>
          <w:numId w:val="38"/>
        </w:numPr>
        <w:ind w:left="1451" w:hanging="357"/>
      </w:pPr>
      <w:r>
        <w:t xml:space="preserve">an internal investigation </w:t>
      </w:r>
      <w:r w:rsidR="00353190">
        <w:t xml:space="preserve">has been </w:t>
      </w:r>
      <w:r w:rsidR="00353190" w:rsidRPr="00056976">
        <w:rPr>
          <w:u w:val="single"/>
        </w:rPr>
        <w:t>completed</w:t>
      </w:r>
      <w:r w:rsidR="00353190">
        <w:t xml:space="preserve">, and the </w:t>
      </w:r>
      <w:proofErr w:type="spellStart"/>
      <w:r w:rsidR="00353190">
        <w:t>whistleblower</w:t>
      </w:r>
      <w:proofErr w:type="spellEnd"/>
      <w:r w:rsidR="00353190">
        <w:t xml:space="preserve"> believes on reasonable grounds that</w:t>
      </w:r>
      <w:r w:rsidR="00056976">
        <w:t xml:space="preserve"> either the </w:t>
      </w:r>
      <w:r w:rsidR="00056976">
        <w:lastRenderedPageBreak/>
        <w:t xml:space="preserve">investigation or the </w:t>
      </w:r>
      <w:r w:rsidR="00337F5D">
        <w:t>response to the investigation was inadequate; or</w:t>
      </w:r>
    </w:p>
    <w:p w14:paraId="4C55BCD8" w14:textId="625906F1" w:rsidR="00337F5D" w:rsidRDefault="00337F5D" w:rsidP="00353190">
      <w:pPr>
        <w:pStyle w:val="ListNumber"/>
        <w:numPr>
          <w:ilvl w:val="0"/>
          <w:numId w:val="38"/>
        </w:numPr>
        <w:ind w:left="1451" w:hanging="357"/>
      </w:pPr>
      <w:r>
        <w:t xml:space="preserve">the investigation has </w:t>
      </w:r>
      <w:r w:rsidRPr="00D15AF3">
        <w:rPr>
          <w:u w:val="single"/>
        </w:rPr>
        <w:t>not been completed</w:t>
      </w:r>
      <w:r>
        <w:t xml:space="preserve"> within the time limit </w:t>
      </w:r>
      <w:r w:rsidR="00D15AF3">
        <w:t>under s 52.</w:t>
      </w:r>
    </w:p>
    <w:p w14:paraId="2F921495" w14:textId="4E847CD2" w:rsidR="00D15AF3" w:rsidRDefault="00D15AF3" w:rsidP="00D65717">
      <w:pPr>
        <w:pStyle w:val="ListNumber"/>
      </w:pPr>
      <w:r>
        <w:t xml:space="preserve">However, the time limit under s 52 is not a fixed limit.  </w:t>
      </w:r>
      <w:r w:rsidR="00C52BDE">
        <w:t xml:space="preserve">The section </w:t>
      </w:r>
      <w:r>
        <w:t>provides that an investigation must be completed with</w:t>
      </w:r>
      <w:r w:rsidR="00581266">
        <w:t>in</w:t>
      </w:r>
      <w:r>
        <w:t xml:space="preserve"> </w:t>
      </w:r>
      <w:r w:rsidR="0047508F">
        <w:t xml:space="preserve">90 days, but </w:t>
      </w:r>
      <w:r w:rsidR="00DA67DD">
        <w:t xml:space="preserve">then </w:t>
      </w:r>
      <w:r w:rsidR="00C52BDE">
        <w:t xml:space="preserve">also </w:t>
      </w:r>
      <w:r w:rsidR="00DA67DD">
        <w:t>provides</w:t>
      </w:r>
      <w:r w:rsidR="00C52BDE">
        <w:t xml:space="preserve"> for the </w:t>
      </w:r>
      <w:proofErr w:type="gramStart"/>
      <w:r w:rsidR="00C52BDE">
        <w:t>90 day</w:t>
      </w:r>
      <w:proofErr w:type="gramEnd"/>
      <w:r w:rsidR="00C52BDE">
        <w:t xml:space="preserve"> period to be extended by either the Ombudsman or the IGIS</w:t>
      </w:r>
      <w:r w:rsidR="00647C2E">
        <w:t xml:space="preserve"> (as appropriate)</w:t>
      </w:r>
      <w:r w:rsidR="005A5CE2">
        <w:t>.  There is no limit to the number of extensions that may be granted and there is no limit to the length of any individual extension.</w:t>
      </w:r>
    </w:p>
    <w:p w14:paraId="481B7AF6" w14:textId="314F6D9C" w:rsidR="00FA53BE" w:rsidRDefault="00FA53BE" w:rsidP="00D65717">
      <w:pPr>
        <w:pStyle w:val="ListNumber"/>
      </w:pPr>
      <w:r>
        <w:t xml:space="preserve">In practice, it appears that extensions </w:t>
      </w:r>
      <w:r w:rsidR="00DE6B11">
        <w:t xml:space="preserve">are regularly granted.  The annual reports of the Ombudsman </w:t>
      </w:r>
      <w:r w:rsidR="008A52C5">
        <w:t>since 2015</w:t>
      </w:r>
      <w:r w:rsidR="00621BD2">
        <w:t>–</w:t>
      </w:r>
      <w:r w:rsidR="008A52C5">
        <w:t xml:space="preserve">16 </w:t>
      </w:r>
      <w:r w:rsidR="00DE6B11">
        <w:t xml:space="preserve">include </w:t>
      </w:r>
      <w:r w:rsidR="00010E79">
        <w:t>data about</w:t>
      </w:r>
      <w:r w:rsidR="00830533">
        <w:t xml:space="preserve"> the number of </w:t>
      </w:r>
      <w:r w:rsidR="00AB0B42">
        <w:t xml:space="preserve">extensions of time granted under </w:t>
      </w:r>
      <w:r w:rsidR="00312011">
        <w:t>the PID Act</w:t>
      </w:r>
      <w:r w:rsidR="008A52C5">
        <w:t xml:space="preserve">.  </w:t>
      </w:r>
      <w:r w:rsidR="006E784B">
        <w:t>Since that time, there have been 1,099 requests for an extension, of which 1,049 were granted and 50 were either refused or withdrawn</w:t>
      </w:r>
      <w:r w:rsidR="00A63D32">
        <w:t xml:space="preserve"> prior to a decision being made</w:t>
      </w:r>
      <w:r w:rsidR="006E784B">
        <w:t xml:space="preserve">. </w:t>
      </w:r>
      <w:r w:rsidR="007049BD">
        <w:t xml:space="preserve"> The proportion of extension requests granted is greater than 95%.</w:t>
      </w:r>
    </w:p>
    <w:p w14:paraId="7A6D45FA" w14:textId="2DF355C8" w:rsidR="00DE6B11" w:rsidRDefault="00C52BCA" w:rsidP="00D65717">
      <w:pPr>
        <w:pStyle w:val="ListNumber"/>
      </w:pPr>
      <w:r>
        <w:t xml:space="preserve">The annual reports of the Ombudsman show that </w:t>
      </w:r>
      <w:r w:rsidR="008459CC">
        <w:t>in the 2015</w:t>
      </w:r>
      <w:r w:rsidR="00F17097">
        <w:t>–</w:t>
      </w:r>
      <w:r w:rsidR="008459CC">
        <w:t>16 and 2016</w:t>
      </w:r>
      <w:r w:rsidR="00F17097">
        <w:t>–</w:t>
      </w:r>
      <w:r w:rsidR="008459CC">
        <w:t xml:space="preserve">17 years, the proportion of </w:t>
      </w:r>
      <w:r w:rsidR="00F85FE6">
        <w:t xml:space="preserve">investigations completed within 90 days </w:t>
      </w:r>
      <w:r w:rsidR="00F17097">
        <w:t xml:space="preserve">was </w:t>
      </w:r>
      <w:r w:rsidR="00F85FE6">
        <w:t xml:space="preserve">82% and 85% respectively.  Since then, that figure has steadily declined each year.  From the </w:t>
      </w:r>
      <w:r w:rsidR="002C1E86">
        <w:t>2017</w:t>
      </w:r>
      <w:r w:rsidR="00F17097">
        <w:t>–</w:t>
      </w:r>
      <w:r w:rsidR="002C1E86">
        <w:t xml:space="preserve">18 annual report, the Ombudsman has reported on the proportion of investigations completed within 90 days, </w:t>
      </w:r>
      <w:r w:rsidR="00FA7D48">
        <w:t xml:space="preserve">between 91 and 180 days, and in more than 180 days.  These figures are </w:t>
      </w:r>
      <w:r w:rsidR="00D20ED2">
        <w:t>set out in the following table.</w:t>
      </w:r>
    </w:p>
    <w:p w14:paraId="705B9A5F" w14:textId="26F8C372" w:rsidR="00D20ED2" w:rsidRDefault="009508EA" w:rsidP="00D20ED2">
      <w:pPr>
        <w:pStyle w:val="ListNumber"/>
        <w:numPr>
          <w:ilvl w:val="0"/>
          <w:numId w:val="0"/>
        </w:numPr>
        <w:ind w:left="1094"/>
      </w:pPr>
      <w:r>
        <w:rPr>
          <w:noProof/>
        </w:rPr>
        <w:drawing>
          <wp:inline distT="0" distB="0" distL="0" distR="0" wp14:anchorId="306EC07C" wp14:editId="23DB273F">
            <wp:extent cx="4572000" cy="2743200"/>
            <wp:effectExtent l="0" t="0" r="0" b="0"/>
            <wp:docPr id="1" name="Chart 1">
              <a:extLst xmlns:a="http://schemas.openxmlformats.org/drawingml/2006/main">
                <a:ext uri="{FF2B5EF4-FFF2-40B4-BE49-F238E27FC236}">
                  <a16:creationId xmlns:a16="http://schemas.microsoft.com/office/drawing/2014/main" id="{B13DE95B-0702-5C8E-A851-1480A9A11A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8F2115" w14:textId="21F138F7" w:rsidR="00F85FE6" w:rsidRPr="00C60AB2" w:rsidRDefault="00C60AB2" w:rsidP="00C60AB2">
      <w:pPr>
        <w:pStyle w:val="ListNumber"/>
        <w:numPr>
          <w:ilvl w:val="0"/>
          <w:numId w:val="0"/>
        </w:numPr>
        <w:ind w:left="1094" w:hanging="737"/>
        <w:rPr>
          <w:sz w:val="22"/>
          <w:szCs w:val="22"/>
        </w:rPr>
      </w:pPr>
      <w:r w:rsidRPr="00C60AB2">
        <w:rPr>
          <w:sz w:val="22"/>
          <w:szCs w:val="22"/>
        </w:rPr>
        <w:tab/>
        <w:t>Source: Ombudsman annual reports.</w:t>
      </w:r>
    </w:p>
    <w:p w14:paraId="06E16D63" w14:textId="2F0FDD8C" w:rsidR="00C60AB2" w:rsidRDefault="0090140D" w:rsidP="00F955C0">
      <w:pPr>
        <w:pStyle w:val="ListNumber"/>
      </w:pPr>
      <w:r>
        <w:lastRenderedPageBreak/>
        <w:t xml:space="preserve">Now, only half of all investigations are completed within the initial </w:t>
      </w:r>
      <w:proofErr w:type="gramStart"/>
      <w:r>
        <w:t>90 day</w:t>
      </w:r>
      <w:proofErr w:type="gramEnd"/>
      <w:r>
        <w:t xml:space="preserve"> period prescribed by </w:t>
      </w:r>
      <w:r w:rsidR="00312011">
        <w:t>the PID Act</w:t>
      </w:r>
      <w:r>
        <w:t>.</w:t>
      </w:r>
      <w:r w:rsidR="00F070E7">
        <w:t xml:space="preserve">  In </w:t>
      </w:r>
      <w:r w:rsidR="00814211">
        <w:t xml:space="preserve">its </w:t>
      </w:r>
      <w:r w:rsidR="00603134">
        <w:t>202</w:t>
      </w:r>
      <w:r w:rsidR="00814211">
        <w:t xml:space="preserve">1–22 </w:t>
      </w:r>
      <w:r w:rsidR="00903EEB">
        <w:t xml:space="preserve">annual </w:t>
      </w:r>
      <w:r w:rsidR="00F070E7">
        <w:t xml:space="preserve">report, </w:t>
      </w:r>
      <w:r w:rsidR="009E38F2">
        <w:t xml:space="preserve">the Ombudsman recorded that 23% of investigations </w:t>
      </w:r>
      <w:r w:rsidR="00190744">
        <w:t xml:space="preserve">took longer than 180 days to complete.  The report does not </w:t>
      </w:r>
      <w:r w:rsidR="00694014">
        <w:t xml:space="preserve">indicate how long the longest investigations </w:t>
      </w:r>
      <w:r w:rsidR="00C50906">
        <w:t>took</w:t>
      </w:r>
      <w:r w:rsidR="00694014">
        <w:t xml:space="preserve"> to resolve.</w:t>
      </w:r>
    </w:p>
    <w:p w14:paraId="6074CF41" w14:textId="4F41EECD" w:rsidR="0090140D" w:rsidRDefault="00AB42BC" w:rsidP="00F955C0">
      <w:pPr>
        <w:pStyle w:val="ListNumber"/>
      </w:pPr>
      <w:r>
        <w:t xml:space="preserve">Amendments proposed in the Bill will provide some additional transparency around the </w:t>
      </w:r>
      <w:r w:rsidR="00FE1809">
        <w:t>length of time taken for investigations</w:t>
      </w:r>
      <w:r w:rsidR="0093031F">
        <w:t xml:space="preserve"> by allowing for a comparison </w:t>
      </w:r>
      <w:r w:rsidR="008A39E6">
        <w:t xml:space="preserve">of timeliness </w:t>
      </w:r>
      <w:r w:rsidR="0093031F">
        <w:t>between agencies</w:t>
      </w:r>
      <w:r w:rsidR="00FE1809">
        <w:t xml:space="preserve">.  </w:t>
      </w:r>
      <w:r w:rsidR="003977B3">
        <w:t xml:space="preserve">In its </w:t>
      </w:r>
      <w:r w:rsidR="00D459BD">
        <w:t>annual reports</w:t>
      </w:r>
      <w:r w:rsidR="003977B3">
        <w:t>,</w:t>
      </w:r>
      <w:r w:rsidR="00D459BD">
        <w:t xml:space="preserve"> the Ombudsman will </w:t>
      </w:r>
      <w:r w:rsidR="003977B3">
        <w:t xml:space="preserve">be </w:t>
      </w:r>
      <w:r w:rsidR="00D459BD">
        <w:t>require</w:t>
      </w:r>
      <w:r w:rsidR="003977B3">
        <w:t>d</w:t>
      </w:r>
      <w:r w:rsidR="00D459BD">
        <w:t xml:space="preserve"> to report on the number of </w:t>
      </w:r>
      <w:r w:rsidR="00D57FE9">
        <w:t>disclosures allocated to each agency during the financial year, and the time taken to conduct those disclosure investigations.</w:t>
      </w:r>
      <w:r w:rsidR="008A39E6">
        <w:rPr>
          <w:rStyle w:val="EndnoteReference"/>
        </w:rPr>
        <w:endnoteReference w:id="89"/>
      </w:r>
      <w:r w:rsidR="00D57FE9">
        <w:t xml:space="preserve"> </w:t>
      </w:r>
    </w:p>
    <w:p w14:paraId="3CF2802B" w14:textId="578F4464" w:rsidR="00F955C0" w:rsidRDefault="00E406AF" w:rsidP="00F955C0">
      <w:pPr>
        <w:pStyle w:val="ListNumber"/>
      </w:pPr>
      <w:r>
        <w:t xml:space="preserve">The provisions in </w:t>
      </w:r>
      <w:r w:rsidR="00312011">
        <w:t>the PID Act</w:t>
      </w:r>
      <w:r>
        <w:t xml:space="preserve"> relating to external disclosure </w:t>
      </w:r>
      <w:r w:rsidR="00F955C0">
        <w:t xml:space="preserve">stand in contrast to </w:t>
      </w:r>
      <w:r w:rsidR="005C7267">
        <w:t xml:space="preserve">the equivalent provision in the </w:t>
      </w:r>
      <w:r w:rsidR="00F955C0" w:rsidRPr="009B76CA">
        <w:rPr>
          <w:i/>
          <w:iCs/>
        </w:rPr>
        <w:t>Corporations Act 2001</w:t>
      </w:r>
      <w:r w:rsidR="00F955C0">
        <w:t xml:space="preserve"> (</w:t>
      </w:r>
      <w:proofErr w:type="spellStart"/>
      <w:r w:rsidR="00F955C0">
        <w:t>Cth</w:t>
      </w:r>
      <w:proofErr w:type="spellEnd"/>
      <w:r w:rsidR="00F955C0">
        <w:t>)</w:t>
      </w:r>
      <w:r w:rsidR="00CB4416">
        <w:t>,</w:t>
      </w:r>
      <w:r w:rsidR="00F955C0">
        <w:t xml:space="preserve"> which permits a </w:t>
      </w:r>
      <w:proofErr w:type="spellStart"/>
      <w:r w:rsidR="00F955C0">
        <w:t>whistleblower</w:t>
      </w:r>
      <w:proofErr w:type="spellEnd"/>
      <w:r w:rsidR="00F955C0">
        <w:t xml:space="preserve"> in the private sector to make</w:t>
      </w:r>
      <w:r w:rsidR="007A477F">
        <w:t xml:space="preserve"> a</w:t>
      </w:r>
      <w:r w:rsidR="00F955C0">
        <w:t xml:space="preserve"> public interest disclosure if at least 90 days have passed since the original disclosure and the </w:t>
      </w:r>
      <w:proofErr w:type="spellStart"/>
      <w:r w:rsidR="00F955C0">
        <w:t>whistleblower</w:t>
      </w:r>
      <w:proofErr w:type="spellEnd"/>
      <w:r w:rsidR="00F955C0">
        <w:t xml:space="preserve"> does not have reasonable grounds to believe that action is being, or has been, taken to address the matters to which the disclosure related.</w:t>
      </w:r>
      <w:r w:rsidR="005C7267">
        <w:rPr>
          <w:rStyle w:val="EndnoteReference"/>
        </w:rPr>
        <w:endnoteReference w:id="90"/>
      </w:r>
    </w:p>
    <w:p w14:paraId="421550AF" w14:textId="5355B37E" w:rsidR="00F955C0" w:rsidRDefault="00C013C4" w:rsidP="00D65717">
      <w:pPr>
        <w:pStyle w:val="ListNumber"/>
      </w:pPr>
      <w:r>
        <w:t xml:space="preserve">The Commission is concerned that </w:t>
      </w:r>
      <w:r w:rsidR="009C42BE">
        <w:t xml:space="preserve">there are no real effective time limits for investigation under the </w:t>
      </w:r>
      <w:r w:rsidR="008B6031">
        <w:t xml:space="preserve">PID Act </w:t>
      </w:r>
      <w:r w:rsidR="009C42BE">
        <w:t>and that</w:t>
      </w:r>
      <w:r w:rsidR="00CB4416">
        <w:t>,</w:t>
      </w:r>
      <w:r w:rsidR="009C42BE">
        <w:t xml:space="preserve"> in practice</w:t>
      </w:r>
      <w:r w:rsidR="00CB4416">
        <w:t>,</w:t>
      </w:r>
      <w:r w:rsidR="009C42BE">
        <w:t xml:space="preserve"> an external </w:t>
      </w:r>
      <w:r w:rsidR="005E53C8">
        <w:t>disclosure would not be permitted until an investigation</w:t>
      </w:r>
      <w:r w:rsidR="00BB38E5">
        <w:t>, including any extensions sought by an agency,</w:t>
      </w:r>
      <w:r w:rsidR="005E53C8">
        <w:t xml:space="preserve"> is completed</w:t>
      </w:r>
      <w:r w:rsidR="00BB38E5">
        <w:t xml:space="preserve">.  Consistently with recommendation </w:t>
      </w:r>
      <w:r w:rsidR="005B537C">
        <w:t>8 of the Moss Review, the Commission considers that setting effective time limits</w:t>
      </w:r>
      <w:r w:rsidR="00CB4416">
        <w:t>,</w:t>
      </w:r>
      <w:r w:rsidR="005B537C">
        <w:t xml:space="preserve"> </w:t>
      </w:r>
      <w:r w:rsidR="002E0F98">
        <w:t>after which an external disclosure may be made</w:t>
      </w:r>
      <w:r w:rsidR="00CB4416">
        <w:t>,</w:t>
      </w:r>
      <w:r w:rsidR="002E0F98">
        <w:t xml:space="preserve"> would </w:t>
      </w:r>
      <w:r w:rsidR="00B913F0">
        <w:t>be likely to lead to improved efficiency in the internal investigation process</w:t>
      </w:r>
      <w:r w:rsidR="0079591B">
        <w:t>.</w:t>
      </w:r>
      <w:r w:rsidR="002E0F98">
        <w:t xml:space="preserve"> </w:t>
      </w:r>
    </w:p>
    <w:p w14:paraId="03DAF4A6" w14:textId="21CDE3A3" w:rsidR="008668DC" w:rsidRDefault="008668DC" w:rsidP="00D65717">
      <w:pPr>
        <w:pStyle w:val="ListNumber"/>
      </w:pPr>
      <w:r>
        <w:t xml:space="preserve">The Commission considers that this would also be consistent with recommendation 3.1 of the </w:t>
      </w:r>
      <w:r w:rsidR="00082ABE">
        <w:t xml:space="preserve">PJCCFS </w:t>
      </w:r>
      <w:proofErr w:type="spellStart"/>
      <w:r w:rsidR="00082ABE">
        <w:t>Whistleblower</w:t>
      </w:r>
      <w:proofErr w:type="spellEnd"/>
      <w:r w:rsidR="00082ABE">
        <w:t xml:space="preserve"> Report </w:t>
      </w:r>
      <w:r w:rsidR="00972DA3">
        <w:t xml:space="preserve">and recommendation 9 of the PJCIS Press Freedom Report, each of </w:t>
      </w:r>
      <w:r w:rsidR="00082ABE">
        <w:t xml:space="preserve">which encouraged the Government to examine options for ensuring ongoing alignment between the public and private sector </w:t>
      </w:r>
      <w:proofErr w:type="spellStart"/>
      <w:r w:rsidR="00082ABE">
        <w:t>whistleblower</w:t>
      </w:r>
      <w:proofErr w:type="spellEnd"/>
      <w:r w:rsidR="00082ABE">
        <w:t xml:space="preserve"> protections.</w:t>
      </w:r>
      <w:r w:rsidR="004379B5">
        <w:t xml:space="preserve">  The Commission has also had regard to </w:t>
      </w:r>
      <w:r w:rsidR="00AE1C1C">
        <w:t>recommendation 8.</w:t>
      </w:r>
      <w:r w:rsidR="00583A55">
        <w:t xml:space="preserve">5 of the </w:t>
      </w:r>
      <w:r w:rsidR="00EE5411">
        <w:t xml:space="preserve">PJCCFS </w:t>
      </w:r>
      <w:proofErr w:type="spellStart"/>
      <w:r w:rsidR="00EE5411">
        <w:t>Whistleblower</w:t>
      </w:r>
      <w:proofErr w:type="spellEnd"/>
      <w:r w:rsidR="00EE5411">
        <w:t xml:space="preserve"> Report </w:t>
      </w:r>
      <w:r w:rsidR="00583A55">
        <w:t xml:space="preserve">which called for a simplification of the existing </w:t>
      </w:r>
      <w:proofErr w:type="spellStart"/>
      <w:r w:rsidR="00583A55">
        <w:t>whistleblower</w:t>
      </w:r>
      <w:proofErr w:type="spellEnd"/>
      <w:r w:rsidR="00583A55">
        <w:t xml:space="preserve"> protections for external disclosures</w:t>
      </w:r>
      <w:r w:rsidR="00C23EA5">
        <w:t xml:space="preserve"> under the PID Act</w:t>
      </w:r>
      <w:r w:rsidR="00583A55">
        <w:t xml:space="preserve">, including a more objective test. </w:t>
      </w:r>
    </w:p>
    <w:p w14:paraId="35F57CDB" w14:textId="7745B88C" w:rsidR="004F6331" w:rsidRPr="00D5212A" w:rsidRDefault="00D5212A" w:rsidP="00D5212A">
      <w:pPr>
        <w:pStyle w:val="ListNumber"/>
        <w:keepNext/>
        <w:numPr>
          <w:ilvl w:val="0"/>
          <w:numId w:val="0"/>
        </w:numPr>
        <w:ind w:left="1094"/>
        <w:rPr>
          <w:b/>
          <w:bCs/>
        </w:rPr>
      </w:pPr>
      <w:r w:rsidRPr="00D5212A">
        <w:rPr>
          <w:b/>
          <w:bCs/>
        </w:rPr>
        <w:t xml:space="preserve">Recommendation </w:t>
      </w:r>
      <w:r w:rsidR="00763597">
        <w:rPr>
          <w:b/>
          <w:bCs/>
        </w:rPr>
        <w:t>10</w:t>
      </w:r>
    </w:p>
    <w:p w14:paraId="4EDD3740" w14:textId="2F94AFB1" w:rsidR="00D5212A" w:rsidRDefault="00D5212A" w:rsidP="00D5212A">
      <w:pPr>
        <w:pStyle w:val="ListNumber"/>
        <w:numPr>
          <w:ilvl w:val="0"/>
          <w:numId w:val="0"/>
        </w:numPr>
        <w:ind w:left="1094"/>
      </w:pPr>
      <w:r>
        <w:t xml:space="preserve">The Commission recommends that </w:t>
      </w:r>
      <w:r w:rsidR="0032357E">
        <w:t xml:space="preserve">paragraph (c) in column 3 of item 2 in the table in s 26(1) of the PID Act be amended to provide that </w:t>
      </w:r>
      <w:r w:rsidR="00552C31">
        <w:t xml:space="preserve">a </w:t>
      </w:r>
      <w:proofErr w:type="spellStart"/>
      <w:r w:rsidR="00552C31">
        <w:lastRenderedPageBreak/>
        <w:t>whistleblower</w:t>
      </w:r>
      <w:proofErr w:type="spellEnd"/>
      <w:r w:rsidR="00552C31">
        <w:t xml:space="preserve"> may make </w:t>
      </w:r>
      <w:r w:rsidR="0032357E">
        <w:t>an external disclosure if</w:t>
      </w:r>
      <w:r w:rsidR="004A15BC">
        <w:t xml:space="preserve"> </w:t>
      </w:r>
      <w:r w:rsidR="0056116E">
        <w:t xml:space="preserve">an internal investigation </w:t>
      </w:r>
      <w:r w:rsidR="00552C31">
        <w:t>has not been completed within 90 days.</w:t>
      </w:r>
    </w:p>
    <w:p w14:paraId="76A86B06" w14:textId="77777777" w:rsidR="008841F1" w:rsidRDefault="008841F1" w:rsidP="008841F1">
      <w:pPr>
        <w:pStyle w:val="ListNumber"/>
        <w:numPr>
          <w:ilvl w:val="0"/>
          <w:numId w:val="0"/>
        </w:numPr>
      </w:pPr>
    </w:p>
    <w:p w14:paraId="53E3653B" w14:textId="1BC14063" w:rsidR="00C979CA" w:rsidRDefault="00C979CA">
      <w:pPr>
        <w:spacing w:before="0" w:after="0"/>
      </w:pPr>
      <w:r>
        <w:br w:type="page"/>
      </w:r>
    </w:p>
    <w:p w14:paraId="5FCFCFBC" w14:textId="5AB10E7F" w:rsidR="008841F1" w:rsidRPr="00C979CA" w:rsidRDefault="00C979CA" w:rsidP="008841F1">
      <w:pPr>
        <w:pStyle w:val="ListNumber"/>
        <w:numPr>
          <w:ilvl w:val="0"/>
          <w:numId w:val="0"/>
        </w:numPr>
        <w:rPr>
          <w:b/>
          <w:bCs/>
          <w:sz w:val="28"/>
          <w:szCs w:val="28"/>
        </w:rPr>
      </w:pPr>
      <w:r w:rsidRPr="00C979CA">
        <w:rPr>
          <w:b/>
          <w:bCs/>
          <w:sz w:val="28"/>
          <w:szCs w:val="28"/>
        </w:rPr>
        <w:lastRenderedPageBreak/>
        <w:t>Endnotes</w:t>
      </w:r>
    </w:p>
    <w:sectPr w:rsidR="008841F1" w:rsidRPr="00C979CA" w:rsidSect="001A7B03">
      <w:headerReference w:type="default" r:id="rId20"/>
      <w:headerReference w:type="first" r:id="rId21"/>
      <w:footerReference w:type="first" r:id="rId22"/>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DFAA" w14:textId="77777777" w:rsidR="00760D19" w:rsidRDefault="00760D19" w:rsidP="00F14C6D">
      <w:r>
        <w:separator/>
      </w:r>
    </w:p>
  </w:endnote>
  <w:endnote w:type="continuationSeparator" w:id="0">
    <w:p w14:paraId="61760AD1" w14:textId="77777777" w:rsidR="00760D19" w:rsidRDefault="00760D19" w:rsidP="00F14C6D">
      <w:r>
        <w:continuationSeparator/>
      </w:r>
    </w:p>
  </w:endnote>
  <w:endnote w:type="continuationNotice" w:id="1">
    <w:p w14:paraId="2A31A3AB" w14:textId="77777777" w:rsidR="00760D19" w:rsidRDefault="00760D19">
      <w:pPr>
        <w:spacing w:before="0" w:after="0"/>
      </w:pPr>
    </w:p>
  </w:endnote>
  <w:endnote w:id="2">
    <w:p w14:paraId="66CA9EA9" w14:textId="08B6AE37" w:rsidR="006D61A9" w:rsidRDefault="006D61A9" w:rsidP="005C5F07">
      <w:pPr>
        <w:pStyle w:val="EndnoteText"/>
        <w:ind w:left="284" w:hanging="284"/>
      </w:pPr>
      <w:r>
        <w:rPr>
          <w:rStyle w:val="EndnoteReference"/>
        </w:rPr>
        <w:endnoteRef/>
      </w:r>
      <w:r>
        <w:t xml:space="preserve"> </w:t>
      </w:r>
      <w:r>
        <w:tab/>
        <w:t>Moss Review, at [</w:t>
      </w:r>
      <w:r w:rsidR="005C5F07">
        <w:t>33].</w:t>
      </w:r>
    </w:p>
  </w:endnote>
  <w:endnote w:id="3">
    <w:p w14:paraId="4F2FBF34" w14:textId="79FFDC30" w:rsidR="005C5F07" w:rsidRDefault="005C5F07" w:rsidP="00260639">
      <w:pPr>
        <w:pStyle w:val="EndnoteText"/>
        <w:ind w:left="284" w:hanging="284"/>
      </w:pPr>
      <w:r>
        <w:rPr>
          <w:rStyle w:val="EndnoteReference"/>
        </w:rPr>
        <w:endnoteRef/>
      </w:r>
      <w:r>
        <w:t xml:space="preserve"> </w:t>
      </w:r>
      <w:r>
        <w:tab/>
        <w:t xml:space="preserve">Ombudsman Annual Reports from </w:t>
      </w:r>
      <w:r w:rsidR="00260639">
        <w:t>2016</w:t>
      </w:r>
      <w:r w:rsidR="00B220C4">
        <w:t>–</w:t>
      </w:r>
      <w:r w:rsidR="00260639">
        <w:t>17 to 2021</w:t>
      </w:r>
      <w:r w:rsidR="00B220C4">
        <w:t>–</w:t>
      </w:r>
      <w:r w:rsidR="00260639">
        <w:t>22.</w:t>
      </w:r>
    </w:p>
  </w:endnote>
  <w:endnote w:id="4">
    <w:p w14:paraId="7D7A1F4E" w14:textId="3BFF00C0" w:rsidR="00A7583A" w:rsidRDefault="00A7583A" w:rsidP="00A7583A">
      <w:pPr>
        <w:pStyle w:val="EndnoteText"/>
        <w:ind w:left="284" w:hanging="284"/>
      </w:pPr>
      <w:r>
        <w:rPr>
          <w:rStyle w:val="EndnoteReference"/>
        </w:rPr>
        <w:endnoteRef/>
      </w:r>
      <w:r>
        <w:t xml:space="preserve"> </w:t>
      </w:r>
      <w:r>
        <w:tab/>
        <w:t xml:space="preserve">Moss Review, at </w:t>
      </w:r>
      <w:r w:rsidR="008746B8">
        <w:t>[5]</w:t>
      </w:r>
      <w:r w:rsidR="008746B8">
        <w:t xml:space="preserve">–[6], </w:t>
      </w:r>
      <w:r>
        <w:t>[</w:t>
      </w:r>
      <w:r w:rsidR="00062672">
        <w:t>22</w:t>
      </w:r>
      <w:r>
        <w:t>]</w:t>
      </w:r>
      <w:r w:rsidR="00062672">
        <w:t xml:space="preserve">–[23], </w:t>
      </w:r>
      <w:r w:rsidR="009014CC">
        <w:t>[30]</w:t>
      </w:r>
      <w:r>
        <w:t>.</w:t>
      </w:r>
    </w:p>
  </w:endnote>
  <w:endnote w:id="5">
    <w:p w14:paraId="52D1886F" w14:textId="77777777" w:rsidR="00D66EB3" w:rsidRDefault="00D66EB3" w:rsidP="000A27EE">
      <w:pPr>
        <w:pStyle w:val="EndnoteText"/>
        <w:ind w:left="284" w:hanging="284"/>
      </w:pPr>
      <w:r>
        <w:rPr>
          <w:rStyle w:val="EndnoteReference"/>
        </w:rPr>
        <w:endnoteRef/>
      </w:r>
      <w:r>
        <w:t xml:space="preserve"> </w:t>
      </w:r>
      <w:r>
        <w:tab/>
      </w:r>
      <w:r w:rsidRPr="003C2F93">
        <w:rPr>
          <w:i/>
          <w:iCs/>
        </w:rPr>
        <w:t>Comcare v Banerji</w:t>
      </w:r>
      <w:r>
        <w:t xml:space="preserve"> (2019) 267 CLR 373 at [34].</w:t>
      </w:r>
    </w:p>
  </w:endnote>
  <w:endnote w:id="6">
    <w:p w14:paraId="621D4846" w14:textId="77777777" w:rsidR="00A27B6D" w:rsidRDefault="00A27B6D" w:rsidP="00A27B6D">
      <w:pPr>
        <w:pStyle w:val="EndnoteText"/>
        <w:ind w:left="284" w:hanging="284"/>
      </w:pPr>
      <w:r>
        <w:rPr>
          <w:rStyle w:val="EndnoteReference"/>
        </w:rPr>
        <w:endnoteRef/>
      </w:r>
      <w:r>
        <w:t xml:space="preserve"> </w:t>
      </w:r>
      <w:r>
        <w:tab/>
        <w:t xml:space="preserve">Australian Law Reform Commission, </w:t>
      </w:r>
      <w:r w:rsidRPr="00D832C9">
        <w:rPr>
          <w:i/>
          <w:iCs/>
        </w:rPr>
        <w:t>Secrecy Laws and Open Government in Australia</w:t>
      </w:r>
      <w:r>
        <w:t>, Report 112 (2009).</w:t>
      </w:r>
    </w:p>
  </w:endnote>
  <w:endnote w:id="7">
    <w:p w14:paraId="59A6CBC7" w14:textId="6CECD6BB" w:rsidR="000A27EE" w:rsidRDefault="000A27EE" w:rsidP="000A27EE">
      <w:pPr>
        <w:pStyle w:val="EndnoteText"/>
        <w:ind w:left="284" w:hanging="284"/>
      </w:pPr>
      <w:r>
        <w:rPr>
          <w:rStyle w:val="EndnoteReference"/>
        </w:rPr>
        <w:endnoteRef/>
      </w:r>
      <w:r>
        <w:t xml:space="preserve"> </w:t>
      </w:r>
      <w:r>
        <w:tab/>
      </w:r>
      <w:r w:rsidRPr="00DB04B9">
        <w:rPr>
          <w:i/>
          <w:iCs/>
        </w:rPr>
        <w:t>United Nations Convention against Corruption</w:t>
      </w:r>
      <w:r>
        <w:t>, opened for signature 31 October 2003, UN Doc A/RES/58/4 (entered into force 14 December 2005)</w:t>
      </w:r>
      <w:r w:rsidR="00DB04B9">
        <w:t>.</w:t>
      </w:r>
    </w:p>
  </w:endnote>
  <w:endnote w:id="8">
    <w:p w14:paraId="2B822A19" w14:textId="664E6F77" w:rsidR="003569D7" w:rsidRDefault="003569D7" w:rsidP="00DB04B9">
      <w:pPr>
        <w:pStyle w:val="EndnoteText"/>
        <w:ind w:left="284" w:hanging="284"/>
      </w:pPr>
      <w:r>
        <w:rPr>
          <w:rStyle w:val="EndnoteReference"/>
        </w:rPr>
        <w:endnoteRef/>
      </w:r>
      <w:r>
        <w:t xml:space="preserve"> </w:t>
      </w:r>
      <w:r>
        <w:tab/>
      </w:r>
      <w:r w:rsidR="00EB59CB">
        <w:t>PID Act</w:t>
      </w:r>
      <w:r>
        <w:t>, s </w:t>
      </w:r>
      <w:r w:rsidR="00024DB9">
        <w:t>10.</w:t>
      </w:r>
    </w:p>
  </w:endnote>
  <w:endnote w:id="9">
    <w:p w14:paraId="6BD694B9" w14:textId="0FCE3D2E" w:rsidR="00024DB9" w:rsidRDefault="00024DB9" w:rsidP="00DB04B9">
      <w:pPr>
        <w:pStyle w:val="EndnoteText"/>
        <w:ind w:left="284" w:hanging="284"/>
      </w:pPr>
      <w:r>
        <w:rPr>
          <w:rStyle w:val="EndnoteReference"/>
        </w:rPr>
        <w:endnoteRef/>
      </w:r>
      <w:r>
        <w:t xml:space="preserve"> </w:t>
      </w:r>
      <w:r>
        <w:tab/>
      </w:r>
      <w:r w:rsidR="00EB59CB">
        <w:t>PID Act</w:t>
      </w:r>
      <w:r>
        <w:t>, s 12.</w:t>
      </w:r>
    </w:p>
  </w:endnote>
  <w:endnote w:id="10">
    <w:p w14:paraId="1BB77F30" w14:textId="0976D794" w:rsidR="00024DB9" w:rsidRDefault="00024DB9" w:rsidP="00DB04B9">
      <w:pPr>
        <w:pStyle w:val="EndnoteText"/>
        <w:ind w:left="284" w:hanging="284"/>
      </w:pPr>
      <w:r>
        <w:rPr>
          <w:rStyle w:val="EndnoteReference"/>
        </w:rPr>
        <w:endnoteRef/>
      </w:r>
      <w:r>
        <w:t xml:space="preserve"> </w:t>
      </w:r>
      <w:r>
        <w:tab/>
      </w:r>
      <w:r w:rsidR="00EB59CB">
        <w:t>PID Act</w:t>
      </w:r>
      <w:r>
        <w:t>, s</w:t>
      </w:r>
      <w:r w:rsidR="00F92ADC">
        <w:t>s</w:t>
      </w:r>
      <w:r>
        <w:t> </w:t>
      </w:r>
      <w:r w:rsidR="00F92ADC">
        <w:t>13–19A</w:t>
      </w:r>
      <w:r w:rsidR="000D6D80">
        <w:t>.</w:t>
      </w:r>
    </w:p>
  </w:endnote>
  <w:endnote w:id="11">
    <w:p w14:paraId="7D03AB8A" w14:textId="379C2EEC" w:rsidR="004A7777" w:rsidRDefault="004A7777" w:rsidP="00DB04B9">
      <w:pPr>
        <w:pStyle w:val="EndnoteText"/>
        <w:ind w:left="284" w:hanging="284"/>
      </w:pPr>
      <w:r>
        <w:rPr>
          <w:rStyle w:val="EndnoteReference"/>
        </w:rPr>
        <w:endnoteRef/>
      </w:r>
      <w:r>
        <w:t xml:space="preserve"> </w:t>
      </w:r>
      <w:r>
        <w:tab/>
      </w:r>
      <w:r w:rsidR="00EB59CB">
        <w:t>PID Act</w:t>
      </w:r>
      <w:r>
        <w:t>, s 29.</w:t>
      </w:r>
    </w:p>
  </w:endnote>
  <w:endnote w:id="12">
    <w:p w14:paraId="36D6CAD3" w14:textId="6AF44E44" w:rsidR="00CB66D3" w:rsidRDefault="00CB66D3" w:rsidP="00DB04B9">
      <w:pPr>
        <w:pStyle w:val="EndnoteText"/>
        <w:ind w:left="284" w:hanging="284"/>
      </w:pPr>
      <w:r>
        <w:rPr>
          <w:rStyle w:val="EndnoteReference"/>
        </w:rPr>
        <w:endnoteRef/>
      </w:r>
      <w:r>
        <w:t xml:space="preserve"> </w:t>
      </w:r>
      <w:r>
        <w:tab/>
      </w:r>
      <w:r w:rsidR="00EB59CB">
        <w:t>PID Act</w:t>
      </w:r>
      <w:r>
        <w:t>, ss 31–32.</w:t>
      </w:r>
    </w:p>
  </w:endnote>
  <w:endnote w:id="13">
    <w:p w14:paraId="2A312CEE" w14:textId="69B96B57" w:rsidR="00DE7CA4" w:rsidRDefault="00DE7CA4" w:rsidP="00DB04B9">
      <w:pPr>
        <w:pStyle w:val="EndnoteText"/>
        <w:ind w:left="284" w:hanging="284"/>
      </w:pPr>
      <w:r>
        <w:rPr>
          <w:rStyle w:val="EndnoteReference"/>
        </w:rPr>
        <w:endnoteRef/>
      </w:r>
      <w:r>
        <w:t xml:space="preserve"> </w:t>
      </w:r>
      <w:r>
        <w:tab/>
      </w:r>
      <w:r w:rsidR="00EB59CB">
        <w:t>PID Act</w:t>
      </w:r>
      <w:r>
        <w:t>, s 43.</w:t>
      </w:r>
    </w:p>
  </w:endnote>
  <w:endnote w:id="14">
    <w:p w14:paraId="44DE44EB" w14:textId="0B8B4A62" w:rsidR="00110B0A" w:rsidRDefault="00110B0A" w:rsidP="00DB04B9">
      <w:pPr>
        <w:pStyle w:val="EndnoteText"/>
        <w:ind w:left="284" w:hanging="284"/>
      </w:pPr>
      <w:r>
        <w:rPr>
          <w:rStyle w:val="EndnoteReference"/>
        </w:rPr>
        <w:endnoteRef/>
      </w:r>
      <w:r>
        <w:t xml:space="preserve"> </w:t>
      </w:r>
      <w:r>
        <w:tab/>
      </w:r>
      <w:r w:rsidR="00EB59CB">
        <w:t>PID Act</w:t>
      </w:r>
      <w:r>
        <w:t>, s 48.</w:t>
      </w:r>
    </w:p>
  </w:endnote>
  <w:endnote w:id="15">
    <w:p w14:paraId="6580D8E4" w14:textId="23DB9D99" w:rsidR="003B1130" w:rsidRDefault="003B1130" w:rsidP="00DB04B9">
      <w:pPr>
        <w:pStyle w:val="EndnoteText"/>
        <w:ind w:left="284" w:hanging="284"/>
      </w:pPr>
      <w:r>
        <w:rPr>
          <w:rStyle w:val="EndnoteReference"/>
        </w:rPr>
        <w:endnoteRef/>
      </w:r>
      <w:r>
        <w:t xml:space="preserve"> </w:t>
      </w:r>
      <w:r>
        <w:tab/>
      </w:r>
      <w:r w:rsidR="00EB59CB">
        <w:t>PID Act</w:t>
      </w:r>
      <w:r>
        <w:t>, s 52.</w:t>
      </w:r>
    </w:p>
  </w:endnote>
  <w:endnote w:id="16">
    <w:p w14:paraId="1E7A3D2F" w14:textId="32DE1DD7" w:rsidR="00E85CA6" w:rsidRDefault="00E85CA6" w:rsidP="00DB04B9">
      <w:pPr>
        <w:pStyle w:val="EndnoteText"/>
        <w:ind w:left="284" w:hanging="284"/>
      </w:pPr>
      <w:r>
        <w:rPr>
          <w:rStyle w:val="EndnoteReference"/>
        </w:rPr>
        <w:endnoteRef/>
      </w:r>
      <w:r>
        <w:t xml:space="preserve"> </w:t>
      </w:r>
      <w:r>
        <w:tab/>
      </w:r>
      <w:r w:rsidR="00EB59CB">
        <w:t>PID Act</w:t>
      </w:r>
      <w:r>
        <w:t>, s 51.</w:t>
      </w:r>
    </w:p>
  </w:endnote>
  <w:endnote w:id="17">
    <w:p w14:paraId="078B7710" w14:textId="3857596F" w:rsidR="00ED7F7E" w:rsidRDefault="00ED7F7E" w:rsidP="00DB04B9">
      <w:pPr>
        <w:pStyle w:val="EndnoteText"/>
        <w:ind w:left="284" w:hanging="284"/>
      </w:pPr>
      <w:r>
        <w:rPr>
          <w:rStyle w:val="EndnoteReference"/>
        </w:rPr>
        <w:endnoteRef/>
      </w:r>
      <w:r>
        <w:t xml:space="preserve"> </w:t>
      </w:r>
      <w:r>
        <w:tab/>
      </w:r>
      <w:r w:rsidR="00EB59CB">
        <w:t>PID Act</w:t>
      </w:r>
      <w:r>
        <w:t>, s 59(4).</w:t>
      </w:r>
    </w:p>
  </w:endnote>
  <w:endnote w:id="18">
    <w:p w14:paraId="67C2D30D" w14:textId="6476E640" w:rsidR="003E7104" w:rsidRDefault="003E7104" w:rsidP="00DB04B9">
      <w:pPr>
        <w:pStyle w:val="EndnoteText"/>
        <w:ind w:left="284" w:hanging="284"/>
      </w:pPr>
      <w:r>
        <w:rPr>
          <w:rStyle w:val="EndnoteReference"/>
        </w:rPr>
        <w:endnoteRef/>
      </w:r>
      <w:r>
        <w:t xml:space="preserve"> </w:t>
      </w:r>
      <w:r>
        <w:tab/>
      </w:r>
      <w:r w:rsidRPr="00170E79">
        <w:rPr>
          <w:i/>
          <w:iCs/>
        </w:rPr>
        <w:t>Corporations Act 2001</w:t>
      </w:r>
      <w:r>
        <w:t xml:space="preserve"> (</w:t>
      </w:r>
      <w:r>
        <w:t>Cth), Part 9.4AAA</w:t>
      </w:r>
      <w:r w:rsidR="00170E79">
        <w:t xml:space="preserve">, substantially amended by the </w:t>
      </w:r>
      <w:r w:rsidR="00170E79" w:rsidRPr="00170E79">
        <w:rPr>
          <w:i/>
          <w:iCs/>
        </w:rPr>
        <w:t>Treasury Laws Amendment (Enhancing Whistleblower Protections) Act 2019</w:t>
      </w:r>
      <w:r w:rsidR="00170E79">
        <w:t xml:space="preserve"> (Cth).</w:t>
      </w:r>
      <w:r w:rsidR="00A74502">
        <w:t xml:space="preserve">  This amendment consolidated previous regimes found in the </w:t>
      </w:r>
      <w:r w:rsidR="00A74502" w:rsidRPr="00AA68B4">
        <w:rPr>
          <w:i/>
          <w:iCs/>
        </w:rPr>
        <w:t>Banking Act</w:t>
      </w:r>
      <w:r w:rsidR="00AA68B4" w:rsidRPr="00AA68B4">
        <w:rPr>
          <w:i/>
          <w:iCs/>
        </w:rPr>
        <w:t xml:space="preserve"> 1959</w:t>
      </w:r>
      <w:r w:rsidR="00AA68B4">
        <w:t xml:space="preserve"> (Cth)</w:t>
      </w:r>
      <w:r w:rsidR="00A74502">
        <w:t xml:space="preserve">, </w:t>
      </w:r>
      <w:r w:rsidR="00A74502" w:rsidRPr="00AA68B4">
        <w:rPr>
          <w:i/>
          <w:iCs/>
        </w:rPr>
        <w:t>Insurance Act</w:t>
      </w:r>
      <w:r w:rsidR="00AA68B4" w:rsidRPr="00AA68B4">
        <w:rPr>
          <w:i/>
          <w:iCs/>
        </w:rPr>
        <w:t xml:space="preserve"> 1973</w:t>
      </w:r>
      <w:r w:rsidR="00AA68B4">
        <w:t xml:space="preserve"> (Cth)</w:t>
      </w:r>
      <w:r w:rsidR="00A74502">
        <w:t xml:space="preserve">, </w:t>
      </w:r>
      <w:r w:rsidR="00A74502" w:rsidRPr="008A60F3">
        <w:rPr>
          <w:i/>
          <w:iCs/>
        </w:rPr>
        <w:t xml:space="preserve">Life Insurance Act </w:t>
      </w:r>
      <w:r w:rsidR="008A60F3" w:rsidRPr="008A60F3">
        <w:rPr>
          <w:i/>
          <w:iCs/>
        </w:rPr>
        <w:t>1995</w:t>
      </w:r>
      <w:r w:rsidR="008A60F3">
        <w:t xml:space="preserve"> (Cth) </w:t>
      </w:r>
      <w:r w:rsidR="00A74502">
        <w:t xml:space="preserve">and </w:t>
      </w:r>
      <w:r w:rsidR="00AA68B4" w:rsidRPr="008A60F3">
        <w:rPr>
          <w:i/>
          <w:iCs/>
        </w:rPr>
        <w:t>Superannuation Industry (Supervision) Act</w:t>
      </w:r>
      <w:r w:rsidR="008A60F3" w:rsidRPr="008A60F3">
        <w:rPr>
          <w:i/>
          <w:iCs/>
        </w:rPr>
        <w:t xml:space="preserve"> 1993</w:t>
      </w:r>
      <w:r w:rsidR="008A60F3">
        <w:t xml:space="preserve"> (Cth)</w:t>
      </w:r>
      <w:r w:rsidR="00AA68B4">
        <w:t>.</w:t>
      </w:r>
    </w:p>
  </w:endnote>
  <w:endnote w:id="19">
    <w:p w14:paraId="6125C9E4" w14:textId="53EE57BD" w:rsidR="00F45F31" w:rsidRDefault="00F45F31" w:rsidP="00DB04B9">
      <w:pPr>
        <w:pStyle w:val="EndnoteText"/>
        <w:ind w:left="284" w:hanging="284"/>
      </w:pPr>
      <w:r>
        <w:rPr>
          <w:rStyle w:val="EndnoteReference"/>
        </w:rPr>
        <w:endnoteRef/>
      </w:r>
      <w:r>
        <w:t xml:space="preserve"> </w:t>
      </w:r>
      <w:r>
        <w:tab/>
      </w:r>
      <w:r w:rsidRPr="003E6DFC">
        <w:rPr>
          <w:i/>
          <w:iCs/>
        </w:rPr>
        <w:t>Taxation Administration Act 1953</w:t>
      </w:r>
      <w:r>
        <w:t xml:space="preserve"> (</w:t>
      </w:r>
      <w:r>
        <w:t xml:space="preserve">Cth), Part </w:t>
      </w:r>
      <w:r w:rsidR="003E6DFC">
        <w:t>IVD.</w:t>
      </w:r>
    </w:p>
  </w:endnote>
  <w:endnote w:id="20">
    <w:p w14:paraId="1AAC0A13" w14:textId="74A7F66B" w:rsidR="001A411E" w:rsidRDefault="001A411E" w:rsidP="00DB04B9">
      <w:pPr>
        <w:pStyle w:val="EndnoteText"/>
        <w:ind w:left="284" w:hanging="284"/>
      </w:pPr>
      <w:r>
        <w:rPr>
          <w:rStyle w:val="EndnoteReference"/>
        </w:rPr>
        <w:endnoteRef/>
      </w:r>
      <w:r>
        <w:t xml:space="preserve"> </w:t>
      </w:r>
      <w:r>
        <w:tab/>
      </w:r>
      <w:r w:rsidR="00597E65">
        <w:t xml:space="preserve">Mr Philip Moss AM, </w:t>
      </w:r>
      <w:r w:rsidR="00597E65" w:rsidRPr="00597E65">
        <w:rPr>
          <w:i/>
          <w:iCs/>
        </w:rPr>
        <w:t>Review of the Public Interest Disclosure Act 2013</w:t>
      </w:r>
      <w:r w:rsidR="00597E65">
        <w:t xml:space="preserve"> (15 July 2016).</w:t>
      </w:r>
    </w:p>
  </w:endnote>
  <w:endnote w:id="21">
    <w:p w14:paraId="4FE0D69C" w14:textId="00716F74" w:rsidR="00B96C37" w:rsidRDefault="00B96C37" w:rsidP="00DB04B9">
      <w:pPr>
        <w:pStyle w:val="EndnoteText"/>
        <w:ind w:left="284" w:hanging="284"/>
      </w:pPr>
      <w:r>
        <w:rPr>
          <w:rStyle w:val="EndnoteReference"/>
        </w:rPr>
        <w:endnoteRef/>
      </w:r>
      <w:r>
        <w:t xml:space="preserve"> </w:t>
      </w:r>
      <w:r>
        <w:tab/>
        <w:t xml:space="preserve">Australian Government, </w:t>
      </w:r>
      <w:r w:rsidR="00696D38" w:rsidRPr="00696D38">
        <w:rPr>
          <w:i/>
          <w:iCs/>
        </w:rPr>
        <w:t>Australian Government response to the Review of the Public Interest Disclosure Act 2013 by Mr Philip Moss AM</w:t>
      </w:r>
      <w:r w:rsidR="00696D38">
        <w:t>, 16 December 2020.</w:t>
      </w:r>
    </w:p>
  </w:endnote>
  <w:endnote w:id="22">
    <w:p w14:paraId="5D39D535" w14:textId="4AC03AF8" w:rsidR="004B01AE" w:rsidRDefault="004B01AE" w:rsidP="00DB04B9">
      <w:pPr>
        <w:pStyle w:val="EndnoteText"/>
        <w:ind w:left="284" w:hanging="284"/>
      </w:pPr>
      <w:r>
        <w:rPr>
          <w:rStyle w:val="EndnoteReference"/>
        </w:rPr>
        <w:endnoteRef/>
      </w:r>
      <w:r>
        <w:t xml:space="preserve"> </w:t>
      </w:r>
      <w:r>
        <w:tab/>
        <w:t xml:space="preserve">Moss Review, </w:t>
      </w:r>
      <w:r w:rsidR="00A45743">
        <w:t>at [67]</w:t>
      </w:r>
      <w:r>
        <w:t>.</w:t>
      </w:r>
    </w:p>
  </w:endnote>
  <w:endnote w:id="23">
    <w:p w14:paraId="0BE77BF8" w14:textId="3E2DE127" w:rsidR="006C27A3" w:rsidRDefault="006C27A3" w:rsidP="00DB04B9">
      <w:pPr>
        <w:pStyle w:val="EndnoteText"/>
        <w:ind w:left="284" w:hanging="284"/>
      </w:pPr>
      <w:r>
        <w:rPr>
          <w:rStyle w:val="EndnoteReference"/>
        </w:rPr>
        <w:endnoteRef/>
      </w:r>
      <w:r>
        <w:t xml:space="preserve"> </w:t>
      </w:r>
      <w:r>
        <w:tab/>
      </w:r>
      <w:r w:rsidRPr="006C27A3">
        <w:rPr>
          <w:i/>
          <w:iCs/>
        </w:rPr>
        <w:t>Corporations Act 2001</w:t>
      </w:r>
      <w:r>
        <w:t xml:space="preserve"> (</w:t>
      </w:r>
      <w:r>
        <w:t>Cth), s 1317AADA.</w:t>
      </w:r>
    </w:p>
  </w:endnote>
  <w:endnote w:id="24">
    <w:p w14:paraId="19B9890A" w14:textId="7EE9D2CF" w:rsidR="003E0EE8" w:rsidRDefault="003E0EE8" w:rsidP="00DB04B9">
      <w:pPr>
        <w:pStyle w:val="EndnoteText"/>
        <w:ind w:left="284" w:hanging="284"/>
      </w:pPr>
      <w:r>
        <w:rPr>
          <w:rStyle w:val="EndnoteReference"/>
        </w:rPr>
        <w:endnoteRef/>
      </w:r>
      <w:r>
        <w:t xml:space="preserve"> </w:t>
      </w:r>
      <w:r>
        <w:tab/>
        <w:t xml:space="preserve">Moss Review, </w:t>
      </w:r>
      <w:r w:rsidR="00862ED3">
        <w:t>at [119]</w:t>
      </w:r>
      <w:r>
        <w:t>.</w:t>
      </w:r>
    </w:p>
  </w:endnote>
  <w:endnote w:id="25">
    <w:p w14:paraId="2CAD2EAB" w14:textId="1571BD25" w:rsidR="00FE2425" w:rsidRDefault="00FE2425" w:rsidP="00DB04B9">
      <w:pPr>
        <w:pStyle w:val="EndnoteText"/>
        <w:ind w:left="284" w:hanging="284"/>
      </w:pPr>
      <w:r>
        <w:rPr>
          <w:rStyle w:val="EndnoteReference"/>
        </w:rPr>
        <w:endnoteRef/>
      </w:r>
      <w:r>
        <w:t xml:space="preserve"> </w:t>
      </w:r>
      <w:r>
        <w:tab/>
      </w:r>
      <w:r w:rsidR="006F1B87">
        <w:t xml:space="preserve">UN Human Rights Committee, </w:t>
      </w:r>
      <w:r w:rsidR="006F1B87" w:rsidRPr="006F1B87">
        <w:rPr>
          <w:i/>
          <w:iCs/>
        </w:rPr>
        <w:t>General Comment No. 34, Article 19: Freedoms of opinion and expression</w:t>
      </w:r>
      <w:r w:rsidR="006F1B87">
        <w:t>, UN Doc CCPR/C/GC/34, (12 September 2011) [30].</w:t>
      </w:r>
    </w:p>
  </w:endnote>
  <w:endnote w:id="26">
    <w:p w14:paraId="5C9B55A8" w14:textId="536CC9A9" w:rsidR="004722BF" w:rsidRDefault="004722BF" w:rsidP="00DB04B9">
      <w:pPr>
        <w:pStyle w:val="EndnoteText"/>
        <w:ind w:left="284" w:hanging="284"/>
      </w:pPr>
      <w:r>
        <w:rPr>
          <w:rStyle w:val="EndnoteReference"/>
        </w:rPr>
        <w:endnoteRef/>
      </w:r>
      <w:r>
        <w:t xml:space="preserve"> </w:t>
      </w:r>
      <w:r>
        <w:tab/>
        <w:t>ALRC Secrecy Report, p 5.</w:t>
      </w:r>
    </w:p>
  </w:endnote>
  <w:endnote w:id="27">
    <w:p w14:paraId="10C8753B" w14:textId="610D94E0" w:rsidR="003D1290" w:rsidRDefault="003D1290" w:rsidP="00DB04B9">
      <w:pPr>
        <w:pStyle w:val="EndnoteText"/>
        <w:ind w:left="284" w:hanging="284"/>
      </w:pPr>
      <w:r>
        <w:rPr>
          <w:rStyle w:val="EndnoteReference"/>
        </w:rPr>
        <w:endnoteRef/>
      </w:r>
      <w:r>
        <w:t xml:space="preserve"> </w:t>
      </w:r>
      <w:r>
        <w:tab/>
        <w:t>ALRC Secrecy Report, p 22.</w:t>
      </w:r>
    </w:p>
  </w:endnote>
  <w:endnote w:id="28">
    <w:p w14:paraId="33841074" w14:textId="6C3A69E5" w:rsidR="007C5245" w:rsidRDefault="007C5245" w:rsidP="00DB04B9">
      <w:pPr>
        <w:pStyle w:val="EndnoteText"/>
        <w:ind w:left="284" w:hanging="284"/>
      </w:pPr>
      <w:r>
        <w:rPr>
          <w:rStyle w:val="EndnoteReference"/>
        </w:rPr>
        <w:endnoteRef/>
      </w:r>
      <w:r>
        <w:t xml:space="preserve"> </w:t>
      </w:r>
      <w:r>
        <w:tab/>
      </w:r>
      <w:r w:rsidRPr="007C5245">
        <w:rPr>
          <w:i/>
          <w:iCs/>
        </w:rPr>
        <w:t xml:space="preserve">National Security Legislation Amendment (Espionage and Foreign Interference) Act 2018 </w:t>
      </w:r>
      <w:r>
        <w:t>(</w:t>
      </w:r>
      <w:r>
        <w:t>Cth).</w:t>
      </w:r>
    </w:p>
  </w:endnote>
  <w:endnote w:id="29">
    <w:p w14:paraId="38355E64" w14:textId="2CBAEC8C" w:rsidR="00917C18" w:rsidRDefault="00917C18" w:rsidP="00DB04B9">
      <w:pPr>
        <w:pStyle w:val="EndnoteText"/>
        <w:ind w:left="284" w:hanging="284"/>
      </w:pPr>
      <w:r>
        <w:rPr>
          <w:rStyle w:val="EndnoteReference"/>
        </w:rPr>
        <w:endnoteRef/>
      </w:r>
      <w:r>
        <w:t xml:space="preserve"> </w:t>
      </w:r>
      <w:r>
        <w:tab/>
        <w:t>Criminal Code (</w:t>
      </w:r>
      <w:r>
        <w:t>Cth), s 122.2.</w:t>
      </w:r>
    </w:p>
  </w:endnote>
  <w:endnote w:id="30">
    <w:p w14:paraId="38ED4E80" w14:textId="32E0A7E0" w:rsidR="00365D56" w:rsidRDefault="00365D56" w:rsidP="00DB04B9">
      <w:pPr>
        <w:pStyle w:val="EndnoteText"/>
        <w:ind w:left="284" w:hanging="284"/>
      </w:pPr>
      <w:r>
        <w:rPr>
          <w:rStyle w:val="EndnoteReference"/>
        </w:rPr>
        <w:endnoteRef/>
      </w:r>
      <w:r>
        <w:t xml:space="preserve"> </w:t>
      </w:r>
      <w:r>
        <w:tab/>
        <w:t>Criminal Code (</w:t>
      </w:r>
      <w:r>
        <w:t>Cth), s 122.5(6).</w:t>
      </w:r>
    </w:p>
  </w:endnote>
  <w:endnote w:id="31">
    <w:p w14:paraId="166CF134" w14:textId="3AC8F877" w:rsidR="001A4C15" w:rsidRDefault="001A4C15" w:rsidP="00DB04B9">
      <w:pPr>
        <w:pStyle w:val="EndnoteText"/>
        <w:ind w:left="284" w:hanging="284"/>
      </w:pPr>
      <w:r>
        <w:rPr>
          <w:rStyle w:val="EndnoteReference"/>
        </w:rPr>
        <w:endnoteRef/>
      </w:r>
      <w:r>
        <w:t xml:space="preserve"> </w:t>
      </w:r>
      <w:r>
        <w:tab/>
      </w:r>
      <w:r w:rsidR="00333F4A">
        <w:t xml:space="preserve">Parliamentary Joint Committee on Human Rights, </w:t>
      </w:r>
      <w:r w:rsidR="00333F4A" w:rsidRPr="00333F4A">
        <w:rPr>
          <w:i/>
          <w:iCs/>
        </w:rPr>
        <w:t>Human rights scrutiny report</w:t>
      </w:r>
      <w:r w:rsidR="00333F4A">
        <w:t>, Report 3 of 2018, pp </w:t>
      </w:r>
      <w:r w:rsidR="004A2A60">
        <w:t>213–</w:t>
      </w:r>
      <w:r w:rsidR="00B819CF">
        <w:t>236</w:t>
      </w:r>
      <w:r w:rsidR="00333F4A">
        <w:t>.</w:t>
      </w:r>
    </w:p>
  </w:endnote>
  <w:endnote w:id="32">
    <w:p w14:paraId="2411F88C" w14:textId="2501236D" w:rsidR="00751309" w:rsidRDefault="00751309" w:rsidP="00DB04B9">
      <w:pPr>
        <w:pStyle w:val="EndnoteText"/>
        <w:ind w:left="284" w:hanging="284"/>
      </w:pPr>
      <w:r>
        <w:rPr>
          <w:rStyle w:val="EndnoteReference"/>
        </w:rPr>
        <w:endnoteRef/>
      </w:r>
      <w:r>
        <w:t xml:space="preserve"> </w:t>
      </w:r>
      <w:r>
        <w:tab/>
      </w:r>
      <w:r w:rsidRPr="00EB59CB">
        <w:rPr>
          <w:i/>
          <w:iCs/>
        </w:rPr>
        <w:t>Independent National Security Legislation Monitor Act 2010</w:t>
      </w:r>
      <w:r>
        <w:t xml:space="preserve"> (</w:t>
      </w:r>
      <w:r>
        <w:t>Cth), s 6</w:t>
      </w:r>
      <w:r w:rsidR="00F13A86">
        <w:t>(1</w:t>
      </w:r>
      <w:r>
        <w:t>B</w:t>
      </w:r>
      <w:r w:rsidR="00F13A86">
        <w:t xml:space="preserve">)(c).  The review of Part 5.6 was to commence as soon as practicable after </w:t>
      </w:r>
      <w:r w:rsidR="005C3BCE">
        <w:t>29 June 2021.</w:t>
      </w:r>
    </w:p>
  </w:endnote>
  <w:endnote w:id="33">
    <w:p w14:paraId="5970D7B4" w14:textId="488C230C" w:rsidR="00A20070" w:rsidRDefault="00A20070" w:rsidP="00A20070">
      <w:pPr>
        <w:pStyle w:val="EndnoteText"/>
        <w:ind w:left="284" w:hanging="284"/>
      </w:pPr>
      <w:r>
        <w:rPr>
          <w:rStyle w:val="EndnoteReference"/>
        </w:rPr>
        <w:endnoteRef/>
      </w:r>
      <w:r>
        <w:t xml:space="preserve"> </w:t>
      </w:r>
      <w:r>
        <w:tab/>
        <w:t xml:space="preserve">Attorney-General’s Department, </w:t>
      </w:r>
      <w:r w:rsidRPr="00A20070">
        <w:rPr>
          <w:i/>
          <w:iCs/>
        </w:rPr>
        <w:t>Terms of Reference – Review of Secrecy Provisions</w:t>
      </w:r>
      <w:r>
        <w:t xml:space="preserve">, at </w:t>
      </w:r>
      <w:hyperlink r:id="rId1" w:history="1">
        <w:r w:rsidRPr="005807BD">
          <w:rPr>
            <w:rStyle w:val="Hyperlink"/>
          </w:rPr>
          <w:t>https://www.ag.gov.au/crime/publications/terms-reference-review-secrecy-provisions</w:t>
        </w:r>
      </w:hyperlink>
      <w:r>
        <w:t xml:space="preserve">. </w:t>
      </w:r>
    </w:p>
  </w:endnote>
  <w:endnote w:id="34">
    <w:p w14:paraId="1B5E6F68" w14:textId="1600475A" w:rsidR="00FF1BC3" w:rsidRDefault="00FF1BC3" w:rsidP="00941C09">
      <w:pPr>
        <w:pStyle w:val="EndnoteText"/>
        <w:ind w:left="284" w:hanging="284"/>
      </w:pPr>
      <w:r>
        <w:rPr>
          <w:rStyle w:val="EndnoteReference"/>
        </w:rPr>
        <w:endnoteRef/>
      </w:r>
      <w:r>
        <w:t xml:space="preserve"> </w:t>
      </w:r>
      <w:r w:rsidR="00245603">
        <w:tab/>
      </w:r>
      <w:r w:rsidR="007B0601">
        <w:t xml:space="preserve">Australia, </w:t>
      </w:r>
      <w:r w:rsidR="007B0601" w:rsidRPr="00D313F2">
        <w:rPr>
          <w:i/>
          <w:iCs/>
        </w:rPr>
        <w:t>Parliamentary Debates</w:t>
      </w:r>
      <w:r w:rsidR="00D313F2">
        <w:t>, House of Representatives</w:t>
      </w:r>
      <w:r w:rsidR="00941C09">
        <w:t>,</w:t>
      </w:r>
      <w:r w:rsidR="00D313F2">
        <w:t xml:space="preserve"> </w:t>
      </w:r>
      <w:r w:rsidR="00941C09">
        <w:t>30 November 2022, p 76 (Attorney-General and Cabinet Secretary, the Hon Mark Dreyfus MP).</w:t>
      </w:r>
    </w:p>
  </w:endnote>
  <w:endnote w:id="35">
    <w:p w14:paraId="4D4EE25C" w14:textId="7635184E" w:rsidR="00C6669E" w:rsidRDefault="00C6669E" w:rsidP="00073281">
      <w:pPr>
        <w:pStyle w:val="EndnoteText"/>
        <w:ind w:left="284" w:hanging="284"/>
      </w:pPr>
      <w:r>
        <w:rPr>
          <w:rStyle w:val="EndnoteReference"/>
        </w:rPr>
        <w:endnoteRef/>
      </w:r>
      <w:r>
        <w:t xml:space="preserve"> </w:t>
      </w:r>
      <w:r>
        <w:tab/>
        <w:t xml:space="preserve">The Hon Mark Dreyfus KC MP, </w:t>
      </w:r>
      <w:r w:rsidR="00073281">
        <w:t xml:space="preserve">‘Review of Commonwealth secrecy offences’, </w:t>
      </w:r>
      <w:r w:rsidR="00073281" w:rsidRPr="00073281">
        <w:rPr>
          <w:i/>
          <w:iCs/>
        </w:rPr>
        <w:t>Media release</w:t>
      </w:r>
      <w:r w:rsidR="00073281">
        <w:t xml:space="preserve">, 22 December 2022, at </w:t>
      </w:r>
      <w:hyperlink r:id="rId2" w:history="1">
        <w:r w:rsidR="00073281" w:rsidRPr="005807BD">
          <w:rPr>
            <w:rStyle w:val="Hyperlink"/>
          </w:rPr>
          <w:t>https://ministers.ag.gov.au/media-centre/review-commonwealth-secrecy-offences-22-12-2022</w:t>
        </w:r>
      </w:hyperlink>
      <w:r w:rsidR="00073281">
        <w:t xml:space="preserve">. </w:t>
      </w:r>
    </w:p>
  </w:endnote>
  <w:endnote w:id="36">
    <w:p w14:paraId="20DFC828" w14:textId="77777777" w:rsidR="00DA11B0" w:rsidRDefault="00DA11B0" w:rsidP="00DA11B0">
      <w:pPr>
        <w:pStyle w:val="EndnoteText"/>
        <w:ind w:left="284" w:hanging="284"/>
      </w:pPr>
      <w:r>
        <w:rPr>
          <w:rStyle w:val="EndnoteReference"/>
        </w:rPr>
        <w:endnoteRef/>
      </w:r>
      <w:r>
        <w:t xml:space="preserve"> </w:t>
      </w:r>
      <w:r>
        <w:tab/>
        <w:t xml:space="preserve">Attorney-General’s Department, </w:t>
      </w:r>
      <w:r w:rsidRPr="00A20070">
        <w:rPr>
          <w:i/>
          <w:iCs/>
        </w:rPr>
        <w:t>Terms of Reference – Review of Secrecy Provisions</w:t>
      </w:r>
      <w:r>
        <w:t xml:space="preserve">, at </w:t>
      </w:r>
      <w:hyperlink r:id="rId3" w:history="1">
        <w:r w:rsidRPr="005807BD">
          <w:rPr>
            <w:rStyle w:val="Hyperlink"/>
          </w:rPr>
          <w:t>https://www.ag.gov.au/crime/publications/terms-reference-review-secrecy-provisions</w:t>
        </w:r>
      </w:hyperlink>
      <w:r>
        <w:t xml:space="preserve">. </w:t>
      </w:r>
    </w:p>
  </w:endnote>
  <w:endnote w:id="37">
    <w:p w14:paraId="58FEFF08" w14:textId="65BB07E4" w:rsidR="009D1086" w:rsidRDefault="009D1086" w:rsidP="00DB04B9">
      <w:pPr>
        <w:pStyle w:val="EndnoteText"/>
        <w:ind w:left="284" w:hanging="284"/>
      </w:pPr>
      <w:r>
        <w:rPr>
          <w:rStyle w:val="EndnoteReference"/>
        </w:rPr>
        <w:endnoteRef/>
      </w:r>
      <w:r>
        <w:t xml:space="preserve"> </w:t>
      </w:r>
      <w:r>
        <w:tab/>
        <w:t xml:space="preserve">PJCCFS </w:t>
      </w:r>
      <w:r>
        <w:t>Whistleblower Report, chapter 12.</w:t>
      </w:r>
    </w:p>
  </w:endnote>
  <w:endnote w:id="38">
    <w:p w14:paraId="64CA9699" w14:textId="5ADDBC46" w:rsidR="001E4097" w:rsidRDefault="001E4097" w:rsidP="00DB04B9">
      <w:pPr>
        <w:pStyle w:val="EndnoteText"/>
        <w:ind w:left="284" w:hanging="284"/>
      </w:pPr>
      <w:r>
        <w:rPr>
          <w:rStyle w:val="EndnoteReference"/>
        </w:rPr>
        <w:endnoteRef/>
      </w:r>
      <w:r>
        <w:t xml:space="preserve"> </w:t>
      </w:r>
      <w:r>
        <w:tab/>
        <w:t xml:space="preserve">Moss Report, at </w:t>
      </w:r>
      <w:r w:rsidR="00F34C0C">
        <w:t>[47]</w:t>
      </w:r>
      <w:r w:rsidR="00F34C0C">
        <w:t>–[53].</w:t>
      </w:r>
    </w:p>
  </w:endnote>
  <w:endnote w:id="39">
    <w:p w14:paraId="7AA07AD1" w14:textId="74671658" w:rsidR="00622EBF" w:rsidRDefault="00622EBF" w:rsidP="00DB04B9">
      <w:pPr>
        <w:pStyle w:val="EndnoteText"/>
        <w:ind w:left="284" w:hanging="284"/>
      </w:pPr>
      <w:r>
        <w:rPr>
          <w:rStyle w:val="EndnoteReference"/>
        </w:rPr>
        <w:endnoteRef/>
      </w:r>
      <w:r>
        <w:t xml:space="preserve"> </w:t>
      </w:r>
      <w:r>
        <w:tab/>
      </w:r>
      <w:r w:rsidR="00EB59CB">
        <w:t>PID Act</w:t>
      </w:r>
      <w:r>
        <w:t>, s 8 (definition of ‘</w:t>
      </w:r>
      <w:r w:rsidR="00427449">
        <w:t>investigative agency’).</w:t>
      </w:r>
    </w:p>
  </w:endnote>
  <w:endnote w:id="40">
    <w:p w14:paraId="02FE9A88" w14:textId="31500A00" w:rsidR="00445576" w:rsidRDefault="00445576" w:rsidP="00DB04B9">
      <w:pPr>
        <w:pStyle w:val="EndnoteText"/>
        <w:ind w:left="284" w:hanging="284"/>
      </w:pPr>
      <w:r>
        <w:rPr>
          <w:rStyle w:val="EndnoteReference"/>
        </w:rPr>
        <w:endnoteRef/>
      </w:r>
      <w:r>
        <w:t xml:space="preserve"> </w:t>
      </w:r>
      <w:r>
        <w:tab/>
      </w:r>
      <w:r w:rsidR="00BA49D5">
        <w:t xml:space="preserve">Australian Government, </w:t>
      </w:r>
      <w:r w:rsidR="00BA49D5" w:rsidRPr="00696D38">
        <w:rPr>
          <w:i/>
          <w:iCs/>
        </w:rPr>
        <w:t>Australian Government response to the Review of the Public Interest Disclosure Act 2013 by Mr Philip Moss AM</w:t>
      </w:r>
      <w:r w:rsidR="00BA49D5">
        <w:t>, 16 December 2020, p 6.</w:t>
      </w:r>
    </w:p>
  </w:endnote>
  <w:endnote w:id="41">
    <w:p w14:paraId="5622FFFC" w14:textId="34863D91" w:rsidR="00BD7948" w:rsidRDefault="00BD7948" w:rsidP="00DB04B9">
      <w:pPr>
        <w:pStyle w:val="EndnoteText"/>
        <w:ind w:left="284" w:hanging="284"/>
      </w:pPr>
      <w:r>
        <w:rPr>
          <w:rStyle w:val="EndnoteReference"/>
        </w:rPr>
        <w:endnoteRef/>
      </w:r>
      <w:r>
        <w:t xml:space="preserve"> </w:t>
      </w:r>
      <w:r>
        <w:tab/>
        <w:t>Public Interest Disclosure Rules 2019 (</w:t>
      </w:r>
      <w:r>
        <w:t>Cth).</w:t>
      </w:r>
    </w:p>
  </w:endnote>
  <w:endnote w:id="42">
    <w:p w14:paraId="195E6FE0" w14:textId="3CE00E08" w:rsidR="00BF7B8D" w:rsidRDefault="00BF7B8D" w:rsidP="00DB04B9">
      <w:pPr>
        <w:pStyle w:val="EndnoteText"/>
        <w:ind w:left="284" w:hanging="284"/>
      </w:pPr>
      <w:r>
        <w:rPr>
          <w:rStyle w:val="EndnoteReference"/>
        </w:rPr>
        <w:endnoteRef/>
      </w:r>
      <w:r>
        <w:t xml:space="preserve"> </w:t>
      </w:r>
      <w:r>
        <w:tab/>
      </w:r>
      <w:r w:rsidR="00EB59CB">
        <w:t>PID Act</w:t>
      </w:r>
      <w:r>
        <w:t>, s 26</w:t>
      </w:r>
      <w:r w:rsidR="00F85004">
        <w:t>(1), item 4 of the table dealing with a ‘legal practitioner disclosure’</w:t>
      </w:r>
      <w:r>
        <w:t>.</w:t>
      </w:r>
    </w:p>
  </w:endnote>
  <w:endnote w:id="43">
    <w:p w14:paraId="49552AEB" w14:textId="7C540BD8" w:rsidR="008E321A" w:rsidRDefault="008E321A" w:rsidP="00DB04B9">
      <w:pPr>
        <w:pStyle w:val="EndnoteText"/>
        <w:ind w:left="284" w:hanging="284"/>
      </w:pPr>
      <w:r>
        <w:rPr>
          <w:rStyle w:val="EndnoteReference"/>
        </w:rPr>
        <w:endnoteRef/>
      </w:r>
      <w:r>
        <w:t xml:space="preserve"> </w:t>
      </w:r>
      <w:r>
        <w:tab/>
        <w:t xml:space="preserve">Moss Review, at </w:t>
      </w:r>
      <w:r w:rsidR="00D77DA4">
        <w:t>[142].</w:t>
      </w:r>
    </w:p>
  </w:endnote>
  <w:endnote w:id="44">
    <w:p w14:paraId="15F37E56" w14:textId="24D7927A" w:rsidR="00D77DA4" w:rsidRDefault="00D77DA4" w:rsidP="00DB04B9">
      <w:pPr>
        <w:pStyle w:val="EndnoteText"/>
        <w:ind w:left="284" w:hanging="284"/>
      </w:pPr>
      <w:r>
        <w:rPr>
          <w:rStyle w:val="EndnoteReference"/>
        </w:rPr>
        <w:endnoteRef/>
      </w:r>
      <w:r>
        <w:t xml:space="preserve"> </w:t>
      </w:r>
      <w:r>
        <w:tab/>
        <w:t xml:space="preserve">Australian Government, </w:t>
      </w:r>
      <w:r w:rsidRPr="00696D38">
        <w:rPr>
          <w:i/>
          <w:iCs/>
        </w:rPr>
        <w:t>Australian Government response to the Review of the Public Interest Disclosure Act 2013 by Mr Philip Moss AM</w:t>
      </w:r>
      <w:r>
        <w:t>, 16 December 2020, p 16.</w:t>
      </w:r>
    </w:p>
  </w:endnote>
  <w:endnote w:id="45">
    <w:p w14:paraId="00405F66" w14:textId="1B18D292" w:rsidR="00D219C3" w:rsidRDefault="00D219C3" w:rsidP="00DB04B9">
      <w:pPr>
        <w:pStyle w:val="EndnoteText"/>
        <w:ind w:left="284" w:hanging="284"/>
      </w:pPr>
      <w:r>
        <w:rPr>
          <w:rStyle w:val="EndnoteReference"/>
        </w:rPr>
        <w:endnoteRef/>
      </w:r>
      <w:r>
        <w:t xml:space="preserve"> </w:t>
      </w:r>
      <w:r w:rsidR="006563A1">
        <w:tab/>
        <w:t xml:space="preserve">Attorney-General’s Department, </w:t>
      </w:r>
      <w:r w:rsidR="006563A1" w:rsidRPr="00E95A9B">
        <w:rPr>
          <w:i/>
          <w:iCs/>
        </w:rPr>
        <w:t>Protective Security and Policy Framework, Policy 8: Sensitive and classified information</w:t>
      </w:r>
      <w:r w:rsidR="006563A1">
        <w:t xml:space="preserve">, at </w:t>
      </w:r>
      <w:hyperlink r:id="rId4" w:history="1">
        <w:r w:rsidR="00E95A9B" w:rsidRPr="00341368">
          <w:rPr>
            <w:rStyle w:val="Hyperlink"/>
          </w:rPr>
          <w:t>https://www.protectivesecurity.gov.au/publications-library/policy-8-sensitive-and-classified-information</w:t>
        </w:r>
      </w:hyperlink>
      <w:r w:rsidR="00E95A9B">
        <w:t xml:space="preserve">. </w:t>
      </w:r>
    </w:p>
  </w:endnote>
  <w:endnote w:id="46">
    <w:p w14:paraId="51761A24" w14:textId="44CF761A" w:rsidR="000B5644" w:rsidRDefault="000B5644" w:rsidP="00DB04B9">
      <w:pPr>
        <w:pStyle w:val="EndnoteText"/>
        <w:ind w:left="284" w:hanging="284"/>
      </w:pPr>
      <w:r>
        <w:rPr>
          <w:rStyle w:val="EndnoteReference"/>
        </w:rPr>
        <w:endnoteRef/>
      </w:r>
      <w:r>
        <w:t xml:space="preserve"> </w:t>
      </w:r>
      <w:r>
        <w:tab/>
        <w:t xml:space="preserve">PJCIS, </w:t>
      </w:r>
      <w:r w:rsidR="00CE1D62">
        <w:t>Advisory Report on the National Security Legislation Amendment (Espionage and Foreign Interference) Bill 2017</w:t>
      </w:r>
      <w:r w:rsidR="00D252C8">
        <w:t>,</w:t>
      </w:r>
      <w:r w:rsidR="00CE1D62">
        <w:t xml:space="preserve"> (2018) </w:t>
      </w:r>
      <w:r>
        <w:t>at [</w:t>
      </w:r>
      <w:r>
        <w:t>3.110]ff.</w:t>
      </w:r>
      <w:r w:rsidR="00F714ED">
        <w:t xml:space="preserve">  See also ALRC Secrecy Report at [8.51]</w:t>
      </w:r>
      <w:r w:rsidR="008A4382">
        <w:t xml:space="preserve"> and reports cited in that paragraph</w:t>
      </w:r>
      <w:r w:rsidR="00F714ED">
        <w:t>.</w:t>
      </w:r>
    </w:p>
  </w:endnote>
  <w:endnote w:id="47">
    <w:p w14:paraId="55449009" w14:textId="77777777" w:rsidR="008176B4" w:rsidRDefault="008176B4" w:rsidP="00DB04B9">
      <w:pPr>
        <w:pStyle w:val="EndnoteText"/>
        <w:ind w:left="284" w:hanging="284"/>
      </w:pPr>
      <w:r>
        <w:rPr>
          <w:rStyle w:val="EndnoteReference"/>
        </w:rPr>
        <w:endnoteRef/>
      </w:r>
      <w:r>
        <w:t xml:space="preserve"> </w:t>
      </w:r>
      <w:r>
        <w:tab/>
        <w:t xml:space="preserve">Letter from the Attorney-General the Hon Christian Porter MP to the Chair of the Parliamentary Joint Committee on Intelligence and Security Mr Andrew Hastie MP (undated), at </w:t>
      </w:r>
      <w:hyperlink r:id="rId5" w:history="1">
        <w:r w:rsidRPr="00341368">
          <w:rPr>
            <w:rStyle w:val="Hyperlink"/>
          </w:rPr>
          <w:t>https://www.aph.gov.au/DocumentStore.ashx?id=0efb0f22-249e-44c2-9638-734eecdc8c0a&amp;subId=564119</w:t>
        </w:r>
      </w:hyperlink>
      <w:r>
        <w:t xml:space="preserve">. </w:t>
      </w:r>
    </w:p>
  </w:endnote>
  <w:endnote w:id="48">
    <w:p w14:paraId="6099A384" w14:textId="5E0A16AA" w:rsidR="000B4954" w:rsidRDefault="000B4954" w:rsidP="00DB04B9">
      <w:pPr>
        <w:pStyle w:val="EndnoteText"/>
        <w:ind w:left="284" w:hanging="284"/>
      </w:pPr>
      <w:r>
        <w:rPr>
          <w:rStyle w:val="EndnoteReference"/>
        </w:rPr>
        <w:endnoteRef/>
      </w:r>
      <w:r>
        <w:t xml:space="preserve"> </w:t>
      </w:r>
      <w:r>
        <w:tab/>
        <w:t xml:space="preserve">ALRC Secrecy Report, at </w:t>
      </w:r>
      <w:r w:rsidR="00AC5547">
        <w:t>[8.33]</w:t>
      </w:r>
      <w:r w:rsidR="00AC5547">
        <w:t xml:space="preserve">–[8.72], </w:t>
      </w:r>
      <w:r>
        <w:t>[8.144].</w:t>
      </w:r>
    </w:p>
  </w:endnote>
  <w:endnote w:id="49">
    <w:p w14:paraId="6A1E4553" w14:textId="795AE4C8" w:rsidR="00B96758" w:rsidRDefault="00B96758" w:rsidP="00DB04B9">
      <w:pPr>
        <w:pStyle w:val="EndnoteText"/>
        <w:ind w:left="284" w:hanging="284"/>
      </w:pPr>
      <w:r>
        <w:rPr>
          <w:rStyle w:val="EndnoteReference"/>
        </w:rPr>
        <w:endnoteRef/>
      </w:r>
      <w:r>
        <w:t xml:space="preserve"> </w:t>
      </w:r>
      <w:r>
        <w:tab/>
        <w:t>ALRC Secrecy Report, at [8.</w:t>
      </w:r>
      <w:r w:rsidR="009A4ECD">
        <w:t>67</w:t>
      </w:r>
      <w:r>
        <w:t>]</w:t>
      </w:r>
      <w:r>
        <w:t>–[8.</w:t>
      </w:r>
      <w:r w:rsidR="009A4ECD">
        <w:t>68</w:t>
      </w:r>
      <w:r>
        <w:t>].</w:t>
      </w:r>
    </w:p>
  </w:endnote>
  <w:endnote w:id="50">
    <w:p w14:paraId="6EEE9132" w14:textId="263B572A" w:rsidR="006345BC" w:rsidRDefault="006345BC" w:rsidP="00DB04B9">
      <w:pPr>
        <w:pStyle w:val="EndnoteText"/>
        <w:ind w:left="284" w:hanging="284"/>
      </w:pPr>
      <w:r>
        <w:rPr>
          <w:rStyle w:val="EndnoteReference"/>
        </w:rPr>
        <w:endnoteRef/>
      </w:r>
      <w:r>
        <w:t xml:space="preserve"> </w:t>
      </w:r>
      <w:r>
        <w:tab/>
        <w:t xml:space="preserve">Inspector General of Intelligence and Security, </w:t>
      </w:r>
      <w:r w:rsidRPr="00904CC8">
        <w:rPr>
          <w:i/>
          <w:iCs/>
        </w:rPr>
        <w:t>Annual Report 202</w:t>
      </w:r>
      <w:r w:rsidR="00904CC8" w:rsidRPr="00904CC8">
        <w:rPr>
          <w:i/>
          <w:iCs/>
        </w:rPr>
        <w:t>1-22</w:t>
      </w:r>
      <w:r w:rsidR="00904CC8">
        <w:t>, p 105.</w:t>
      </w:r>
    </w:p>
  </w:endnote>
  <w:endnote w:id="51">
    <w:p w14:paraId="7F5C000A" w14:textId="198470B3" w:rsidR="000D082A" w:rsidRDefault="000D082A" w:rsidP="00DB04B9">
      <w:pPr>
        <w:pStyle w:val="EndnoteText"/>
        <w:ind w:left="284" w:hanging="284"/>
      </w:pPr>
      <w:r>
        <w:rPr>
          <w:rStyle w:val="EndnoteReference"/>
        </w:rPr>
        <w:endnoteRef/>
      </w:r>
      <w:r>
        <w:t xml:space="preserve"> </w:t>
      </w:r>
      <w:r>
        <w:tab/>
        <w:t xml:space="preserve">Inspector General of Intelligence and Security, </w:t>
      </w:r>
      <w:r w:rsidR="005B7175" w:rsidRPr="00EF54C0">
        <w:rPr>
          <w:i/>
          <w:iCs/>
        </w:rPr>
        <w:t>Submission to the Moss Review of the PID Act</w:t>
      </w:r>
      <w:r w:rsidR="005B7175">
        <w:t xml:space="preserve">, March 2016, </w:t>
      </w:r>
      <w:r w:rsidR="00EF54C0">
        <w:t xml:space="preserve">p 4, </w:t>
      </w:r>
      <w:r w:rsidR="005B7175">
        <w:t xml:space="preserve">at </w:t>
      </w:r>
      <w:hyperlink r:id="rId6" w:history="1">
        <w:r w:rsidR="005B7175" w:rsidRPr="00C60BF2">
          <w:rPr>
            <w:rStyle w:val="Hyperlink"/>
          </w:rPr>
          <w:t>https://webarchive.nla.gov.au/awa/20160615184146/https://www.dpmc.gov.au/government/legislation-review/statutory-review-public-interest-disclosure-act-2013</w:t>
        </w:r>
      </w:hyperlink>
      <w:r w:rsidR="005B7175">
        <w:t xml:space="preserve">. </w:t>
      </w:r>
    </w:p>
  </w:endnote>
  <w:endnote w:id="52">
    <w:p w14:paraId="35461DD7" w14:textId="2C852CB5" w:rsidR="00C920F5" w:rsidRDefault="00C920F5" w:rsidP="00DB04B9">
      <w:pPr>
        <w:pStyle w:val="EndnoteText"/>
        <w:ind w:left="284" w:hanging="284"/>
      </w:pPr>
      <w:r>
        <w:rPr>
          <w:rStyle w:val="EndnoteReference"/>
        </w:rPr>
        <w:endnoteRef/>
      </w:r>
      <w:r>
        <w:t xml:space="preserve"> </w:t>
      </w:r>
      <w:r>
        <w:tab/>
        <w:t>ALRC Secrecy Report, recommendations 5-1</w:t>
      </w:r>
      <w:r w:rsidR="00781047">
        <w:t xml:space="preserve"> and 8-2.</w:t>
      </w:r>
    </w:p>
  </w:endnote>
  <w:endnote w:id="53">
    <w:p w14:paraId="16BBAF53" w14:textId="77777777" w:rsidR="00415938" w:rsidRDefault="00415938" w:rsidP="00DB04B9">
      <w:pPr>
        <w:pStyle w:val="EndnoteText"/>
        <w:ind w:left="284" w:hanging="284"/>
      </w:pPr>
      <w:r>
        <w:rPr>
          <w:rStyle w:val="EndnoteReference"/>
        </w:rPr>
        <w:endnoteRef/>
      </w:r>
      <w:r>
        <w:t xml:space="preserve"> </w:t>
      </w:r>
      <w:r>
        <w:tab/>
        <w:t>Moss Review, at [145].</w:t>
      </w:r>
    </w:p>
  </w:endnote>
  <w:endnote w:id="54">
    <w:p w14:paraId="3BE9F286" w14:textId="5980B70D" w:rsidR="00597B9F" w:rsidRDefault="00597B9F" w:rsidP="00DB04B9">
      <w:pPr>
        <w:pStyle w:val="EndnoteText"/>
        <w:ind w:left="284" w:hanging="284"/>
      </w:pPr>
      <w:r>
        <w:rPr>
          <w:rStyle w:val="EndnoteReference"/>
        </w:rPr>
        <w:endnoteRef/>
      </w:r>
      <w:r>
        <w:t xml:space="preserve"> </w:t>
      </w:r>
      <w:r>
        <w:tab/>
        <w:t>Moss Review, at [22].</w:t>
      </w:r>
    </w:p>
  </w:endnote>
  <w:endnote w:id="55">
    <w:p w14:paraId="3941B428" w14:textId="77777777" w:rsidR="00415938" w:rsidRDefault="00415938" w:rsidP="00DB04B9">
      <w:pPr>
        <w:pStyle w:val="EndnoteText"/>
        <w:ind w:left="284" w:hanging="284"/>
      </w:pPr>
      <w:r>
        <w:rPr>
          <w:rStyle w:val="EndnoteReference"/>
        </w:rPr>
        <w:endnoteRef/>
      </w:r>
      <w:r>
        <w:t xml:space="preserve"> </w:t>
      </w:r>
      <w:r>
        <w:tab/>
        <w:t xml:space="preserve">Australian Government, </w:t>
      </w:r>
      <w:r w:rsidRPr="00696D38">
        <w:rPr>
          <w:i/>
          <w:iCs/>
        </w:rPr>
        <w:t>Australian Government response to the Review of the Public Interest Disclosure Act 2013 by Mr Philip Moss AM</w:t>
      </w:r>
      <w:r>
        <w:t>, 16 December 2020, pp 16–17.</w:t>
      </w:r>
    </w:p>
  </w:endnote>
  <w:endnote w:id="56">
    <w:p w14:paraId="28A9346E" w14:textId="77777777" w:rsidR="00415938" w:rsidRDefault="00415938" w:rsidP="00DB04B9">
      <w:pPr>
        <w:pStyle w:val="EndnoteText"/>
        <w:ind w:left="284" w:hanging="284"/>
      </w:pPr>
      <w:r>
        <w:rPr>
          <w:rStyle w:val="EndnoteReference"/>
        </w:rPr>
        <w:endnoteRef/>
      </w:r>
      <w:r>
        <w:t xml:space="preserve"> </w:t>
      </w:r>
      <w:r>
        <w:tab/>
      </w:r>
      <w:r w:rsidRPr="00A205FB">
        <w:rPr>
          <w:i/>
          <w:iCs/>
        </w:rPr>
        <w:t>Work Health and Safety Act 2011</w:t>
      </w:r>
      <w:r>
        <w:t xml:space="preserve"> (</w:t>
      </w:r>
      <w:r>
        <w:t>Cth), s 121.</w:t>
      </w:r>
    </w:p>
  </w:endnote>
  <w:endnote w:id="57">
    <w:p w14:paraId="0BD7E99B" w14:textId="0DE602AE" w:rsidR="00754875" w:rsidRDefault="00754875" w:rsidP="00DB04B9">
      <w:pPr>
        <w:pStyle w:val="EndnoteText"/>
        <w:ind w:left="284" w:hanging="284"/>
      </w:pPr>
      <w:r>
        <w:rPr>
          <w:rStyle w:val="EndnoteReference"/>
        </w:rPr>
        <w:endnoteRef/>
      </w:r>
      <w:r>
        <w:t xml:space="preserve"> </w:t>
      </w:r>
      <w:r w:rsidR="0059573D">
        <w:tab/>
        <w:t>Bill, Schedule 1, Part 1.</w:t>
      </w:r>
    </w:p>
  </w:endnote>
  <w:endnote w:id="58">
    <w:p w14:paraId="4D4C4D1F" w14:textId="0CFCB3E1" w:rsidR="0059573D" w:rsidRDefault="0059573D" w:rsidP="00DB04B9">
      <w:pPr>
        <w:pStyle w:val="EndnoteText"/>
        <w:ind w:left="284" w:hanging="284"/>
      </w:pPr>
      <w:r>
        <w:rPr>
          <w:rStyle w:val="EndnoteReference"/>
        </w:rPr>
        <w:endnoteRef/>
      </w:r>
      <w:r>
        <w:t xml:space="preserve"> </w:t>
      </w:r>
      <w:r>
        <w:tab/>
        <w:t>Bill, Schedule 1, Part 2.</w:t>
      </w:r>
    </w:p>
  </w:endnote>
  <w:endnote w:id="59">
    <w:p w14:paraId="3BB5AC74" w14:textId="319E1836" w:rsidR="004C687D" w:rsidRDefault="004C687D" w:rsidP="00DB04B9">
      <w:pPr>
        <w:pStyle w:val="EndnoteText"/>
        <w:ind w:left="284" w:hanging="284"/>
      </w:pPr>
      <w:r>
        <w:rPr>
          <w:rStyle w:val="EndnoteReference"/>
        </w:rPr>
        <w:endnoteRef/>
      </w:r>
      <w:r>
        <w:t xml:space="preserve"> </w:t>
      </w:r>
      <w:r>
        <w:tab/>
        <w:t xml:space="preserve">Bill, Schedule 1, Part 2, item </w:t>
      </w:r>
      <w:r w:rsidR="00AA3700">
        <w:t>25, proposed s 50AA.</w:t>
      </w:r>
    </w:p>
  </w:endnote>
  <w:endnote w:id="60">
    <w:p w14:paraId="0D377CF9" w14:textId="2B27C3C3" w:rsidR="00472AF1" w:rsidRDefault="00472AF1" w:rsidP="00DB04B9">
      <w:pPr>
        <w:pStyle w:val="EndnoteText"/>
        <w:ind w:left="284" w:hanging="284"/>
      </w:pPr>
      <w:r>
        <w:rPr>
          <w:rStyle w:val="EndnoteReference"/>
        </w:rPr>
        <w:endnoteRef/>
      </w:r>
      <w:r>
        <w:t xml:space="preserve"> </w:t>
      </w:r>
      <w:r>
        <w:tab/>
      </w:r>
      <w:r w:rsidR="00EB59CB">
        <w:t>PID Act</w:t>
      </w:r>
      <w:r w:rsidR="00322E2B">
        <w:t>, s 43(3)(a)(</w:t>
      </w:r>
      <w:r w:rsidR="00322E2B">
        <w:t xml:space="preserve">i); see also Bill, Schedule 1, </w:t>
      </w:r>
      <w:r w:rsidR="003F0BD7">
        <w:t>Part 2, item 11, proposed s 43</w:t>
      </w:r>
      <w:r w:rsidR="00B068C7">
        <w:t>(5)(a)(i).</w:t>
      </w:r>
    </w:p>
  </w:endnote>
  <w:endnote w:id="61">
    <w:p w14:paraId="7C4E7F3D" w14:textId="578A37DC" w:rsidR="008276AC" w:rsidRDefault="008276AC" w:rsidP="00DB04B9">
      <w:pPr>
        <w:pStyle w:val="EndnoteText"/>
        <w:ind w:left="284" w:hanging="284"/>
      </w:pPr>
      <w:r>
        <w:rPr>
          <w:rStyle w:val="EndnoteReference"/>
        </w:rPr>
        <w:endnoteRef/>
      </w:r>
      <w:r>
        <w:t xml:space="preserve"> </w:t>
      </w:r>
      <w:r>
        <w:tab/>
      </w:r>
      <w:r w:rsidR="008E44B1">
        <w:t xml:space="preserve">Submission </w:t>
      </w:r>
      <w:r w:rsidR="00D32BEA">
        <w:t xml:space="preserve">(number 10) </w:t>
      </w:r>
      <w:r w:rsidR="008E44B1">
        <w:t>of Prof AJ Brown to the Moss Review, dated 6 May 2016</w:t>
      </w:r>
      <w:r w:rsidR="00E67B3F">
        <w:t xml:space="preserve">, </w:t>
      </w:r>
      <w:r w:rsidR="00C51A3A">
        <w:t xml:space="preserve">pp 2–3, </w:t>
      </w:r>
      <w:r w:rsidR="00E67B3F">
        <w:t xml:space="preserve">at </w:t>
      </w:r>
      <w:hyperlink r:id="rId7" w:history="1">
        <w:r w:rsidR="00E67B3F" w:rsidRPr="00341368">
          <w:rPr>
            <w:rStyle w:val="Hyperlink"/>
          </w:rPr>
          <w:t>https://webarchive.nla.gov.au/awa/20160615184146/https://www.dpmc.gov.au/government/legislation-review/statutory-review-public-interest-disclosure-act-2013</w:t>
        </w:r>
      </w:hyperlink>
      <w:r w:rsidR="00E67B3F">
        <w:t xml:space="preserve">. </w:t>
      </w:r>
    </w:p>
  </w:endnote>
  <w:endnote w:id="62">
    <w:p w14:paraId="7DA3591A" w14:textId="77777777" w:rsidR="0035286E" w:rsidRDefault="0035286E" w:rsidP="00DB04B9">
      <w:pPr>
        <w:pStyle w:val="EndnoteText"/>
        <w:ind w:left="284" w:hanging="284"/>
      </w:pPr>
      <w:r>
        <w:rPr>
          <w:rStyle w:val="EndnoteReference"/>
        </w:rPr>
        <w:endnoteRef/>
      </w:r>
      <w:r>
        <w:t xml:space="preserve"> </w:t>
      </w:r>
      <w:r>
        <w:tab/>
        <w:t>Moss Review, at [173].</w:t>
      </w:r>
    </w:p>
  </w:endnote>
  <w:endnote w:id="63">
    <w:p w14:paraId="5CECBB42" w14:textId="77777777" w:rsidR="002A1F94" w:rsidRDefault="002A1F94" w:rsidP="00DB04B9">
      <w:pPr>
        <w:pStyle w:val="EndnoteText"/>
        <w:ind w:left="284" w:hanging="284"/>
      </w:pPr>
      <w:r>
        <w:rPr>
          <w:rStyle w:val="EndnoteReference"/>
        </w:rPr>
        <w:endnoteRef/>
      </w:r>
      <w:r>
        <w:t xml:space="preserve"> </w:t>
      </w:r>
      <w:r>
        <w:tab/>
        <w:t xml:space="preserve">House of Representatives Standing Committee on Legal and Constitutional Affairs, </w:t>
      </w:r>
      <w:r w:rsidRPr="00E758CF">
        <w:rPr>
          <w:i/>
          <w:iCs/>
        </w:rPr>
        <w:t>Whistleblower protection: a comprehensive scheme for the Commonwealth public sector</w:t>
      </w:r>
      <w:r>
        <w:t xml:space="preserve"> (2009), pp 45–48, at </w:t>
      </w:r>
      <w:hyperlink r:id="rId8" w:history="1">
        <w:r w:rsidRPr="00341368">
          <w:rPr>
            <w:rStyle w:val="Hyperlink"/>
          </w:rPr>
          <w:t>https://www.aph.gov.au/Parliamentary_Business/Committees/House_of_Representatives_Committees?url=laca/whistleblowing/report/fullreport.pdf</w:t>
        </w:r>
      </w:hyperlink>
      <w:r>
        <w:t xml:space="preserve">. </w:t>
      </w:r>
    </w:p>
  </w:endnote>
  <w:endnote w:id="64">
    <w:p w14:paraId="00D8B284" w14:textId="77777777" w:rsidR="002A1F94" w:rsidRPr="00A379E0" w:rsidRDefault="002A1F94" w:rsidP="00DB04B9">
      <w:pPr>
        <w:pStyle w:val="EndnoteText"/>
        <w:ind w:left="284" w:hanging="284"/>
      </w:pPr>
      <w:r>
        <w:rPr>
          <w:rStyle w:val="EndnoteReference"/>
        </w:rPr>
        <w:endnoteRef/>
      </w:r>
      <w:r>
        <w:t xml:space="preserve"> </w:t>
      </w:r>
      <w:r>
        <w:tab/>
        <w:t xml:space="preserve">Government Response, House of Representatives Standing Committee on Legal and Constitutional Affairs, </w:t>
      </w:r>
      <w:r w:rsidRPr="00E758CF">
        <w:rPr>
          <w:i/>
          <w:iCs/>
        </w:rPr>
        <w:t>Whistleblower protection: a comprehensive scheme for the Commonwealth public sector</w:t>
      </w:r>
      <w:r>
        <w:t xml:space="preserve"> (2010), p 5.</w:t>
      </w:r>
    </w:p>
  </w:endnote>
  <w:endnote w:id="65">
    <w:p w14:paraId="144515C6" w14:textId="77777777" w:rsidR="002A1F94" w:rsidRDefault="002A1F94" w:rsidP="00DB04B9">
      <w:pPr>
        <w:pStyle w:val="EndnoteText"/>
        <w:ind w:left="284" w:hanging="284"/>
      </w:pPr>
      <w:r>
        <w:rPr>
          <w:rStyle w:val="EndnoteReference"/>
        </w:rPr>
        <w:endnoteRef/>
      </w:r>
      <w:r>
        <w:t xml:space="preserve"> </w:t>
      </w:r>
      <w:r>
        <w:tab/>
        <w:t xml:space="preserve">House of Representatives Standing Committee on Legal and Constitutional Affairs, </w:t>
      </w:r>
      <w:r w:rsidRPr="00E758CF">
        <w:rPr>
          <w:i/>
          <w:iCs/>
        </w:rPr>
        <w:t>Whistleblower protection: a comprehensive scheme for the Commonwealth public sector</w:t>
      </w:r>
      <w:r>
        <w:t xml:space="preserve"> (2009), p 45.</w:t>
      </w:r>
    </w:p>
  </w:endnote>
  <w:endnote w:id="66">
    <w:p w14:paraId="2ECF02BF" w14:textId="4A84D60E" w:rsidR="002703A1" w:rsidRDefault="002703A1" w:rsidP="00DB04B9">
      <w:pPr>
        <w:pStyle w:val="EndnoteText"/>
        <w:ind w:left="284" w:hanging="284"/>
      </w:pPr>
      <w:r>
        <w:rPr>
          <w:rStyle w:val="EndnoteReference"/>
        </w:rPr>
        <w:endnoteRef/>
      </w:r>
      <w:r>
        <w:t xml:space="preserve"> </w:t>
      </w:r>
      <w:r>
        <w:tab/>
        <w:t xml:space="preserve">Australian Human Rights Commission, </w:t>
      </w:r>
      <w:r w:rsidR="00082817" w:rsidRPr="00082817">
        <w:rPr>
          <w:i/>
          <w:iCs/>
        </w:rPr>
        <w:t>Set the Standard: Report on the Independent Review into Commonwealth Parliamentary Workplaces</w:t>
      </w:r>
      <w:r w:rsidR="00082817">
        <w:t xml:space="preserve"> (2021)</w:t>
      </w:r>
      <w:r w:rsidR="00675B59">
        <w:t>.</w:t>
      </w:r>
    </w:p>
  </w:endnote>
  <w:endnote w:id="67">
    <w:p w14:paraId="25650C43" w14:textId="0C59675D" w:rsidR="0015525F" w:rsidRDefault="0015525F" w:rsidP="00DB04B9">
      <w:pPr>
        <w:pStyle w:val="EndnoteText"/>
        <w:ind w:left="284" w:hanging="284"/>
      </w:pPr>
      <w:r>
        <w:rPr>
          <w:rStyle w:val="EndnoteReference"/>
        </w:rPr>
        <w:endnoteRef/>
      </w:r>
      <w:r>
        <w:t xml:space="preserve"> </w:t>
      </w:r>
      <w:r>
        <w:tab/>
        <w:t>Moss Review, at [158].</w:t>
      </w:r>
    </w:p>
  </w:endnote>
  <w:endnote w:id="68">
    <w:p w14:paraId="4CDDCD8E" w14:textId="51A0EB75" w:rsidR="005069B7" w:rsidRDefault="005069B7" w:rsidP="00DB04B9">
      <w:pPr>
        <w:pStyle w:val="EndnoteText"/>
        <w:ind w:left="284" w:hanging="284"/>
      </w:pPr>
      <w:r>
        <w:rPr>
          <w:rStyle w:val="EndnoteReference"/>
        </w:rPr>
        <w:endnoteRef/>
      </w:r>
      <w:r>
        <w:t xml:space="preserve"> </w:t>
      </w:r>
      <w:r>
        <w:tab/>
        <w:t>Moss Review, at [161].</w:t>
      </w:r>
    </w:p>
  </w:endnote>
  <w:endnote w:id="69">
    <w:p w14:paraId="52ED1827" w14:textId="06DC0D24" w:rsidR="00675B59" w:rsidRDefault="00675B59" w:rsidP="00DB04B9">
      <w:pPr>
        <w:pStyle w:val="EndnoteText"/>
        <w:ind w:left="284" w:hanging="284"/>
      </w:pPr>
      <w:r>
        <w:rPr>
          <w:rStyle w:val="EndnoteReference"/>
        </w:rPr>
        <w:endnoteRef/>
      </w:r>
      <w:r>
        <w:t xml:space="preserve"> </w:t>
      </w:r>
      <w:r>
        <w:tab/>
        <w:t xml:space="preserve">Australian Human Rights Commission, </w:t>
      </w:r>
      <w:r w:rsidRPr="00082817">
        <w:rPr>
          <w:i/>
          <w:iCs/>
        </w:rPr>
        <w:t>Set the Standard: Report on the Independent Review into Commonwealth Parliamentary Workplaces</w:t>
      </w:r>
      <w:r>
        <w:t xml:space="preserve"> (2021), p 24</w:t>
      </w:r>
      <w:r w:rsidR="00865716">
        <w:t>6</w:t>
      </w:r>
      <w:r>
        <w:t>.</w:t>
      </w:r>
    </w:p>
  </w:endnote>
  <w:endnote w:id="70">
    <w:p w14:paraId="5277BEDC" w14:textId="1C0F0997" w:rsidR="00453400" w:rsidRDefault="00453400" w:rsidP="00DB04B9">
      <w:pPr>
        <w:pStyle w:val="EndnoteText"/>
        <w:ind w:left="284" w:hanging="284"/>
      </w:pPr>
      <w:r>
        <w:rPr>
          <w:rStyle w:val="EndnoteReference"/>
        </w:rPr>
        <w:endnoteRef/>
      </w:r>
      <w:r>
        <w:t xml:space="preserve"> </w:t>
      </w:r>
      <w:r>
        <w:tab/>
        <w:t xml:space="preserve">Explanatory </w:t>
      </w:r>
      <w:r w:rsidR="006624D2">
        <w:t xml:space="preserve">Memorandum, </w:t>
      </w:r>
      <w:r w:rsidR="00503F3B">
        <w:t xml:space="preserve">Public Interest Disclosure Amendment (Review) Bill 2022, </w:t>
      </w:r>
      <w:r w:rsidR="006624D2">
        <w:t>p 12.</w:t>
      </w:r>
    </w:p>
  </w:endnote>
  <w:endnote w:id="71">
    <w:p w14:paraId="7CFCC49E" w14:textId="14E33CE7" w:rsidR="008E6E8F" w:rsidRDefault="008E6E8F" w:rsidP="005539A6">
      <w:pPr>
        <w:pStyle w:val="EndnoteText"/>
        <w:ind w:left="284" w:hanging="284"/>
      </w:pPr>
      <w:r>
        <w:rPr>
          <w:rStyle w:val="EndnoteReference"/>
        </w:rPr>
        <w:endnoteRef/>
      </w:r>
      <w:r>
        <w:t xml:space="preserve"> </w:t>
      </w:r>
      <w:r>
        <w:tab/>
      </w:r>
      <w:r w:rsidR="005539A6">
        <w:t xml:space="preserve">Australia, </w:t>
      </w:r>
      <w:r w:rsidR="005539A6" w:rsidRPr="00D313F2">
        <w:rPr>
          <w:i/>
          <w:iCs/>
        </w:rPr>
        <w:t>Parliamentary Debates</w:t>
      </w:r>
      <w:r w:rsidR="005539A6">
        <w:t>, House of Representatives, 30 November 2022, p 75 (Attorney-General and Cabinet Secretary, the Hon Mark Dreyfus MP).</w:t>
      </w:r>
    </w:p>
  </w:endnote>
  <w:endnote w:id="72">
    <w:p w14:paraId="68E8C780" w14:textId="37028C68" w:rsidR="00664FE8" w:rsidRDefault="00664FE8" w:rsidP="00DB04B9">
      <w:pPr>
        <w:pStyle w:val="EndnoteText"/>
        <w:ind w:left="284" w:hanging="284"/>
      </w:pPr>
      <w:r>
        <w:rPr>
          <w:rStyle w:val="EndnoteReference"/>
        </w:rPr>
        <w:endnoteRef/>
      </w:r>
      <w:r>
        <w:t xml:space="preserve"> </w:t>
      </w:r>
      <w:r w:rsidR="00E71698">
        <w:tab/>
        <w:t xml:space="preserve">Australian Human Rights Commission, Submission to the </w:t>
      </w:r>
      <w:r w:rsidR="00DE614B">
        <w:t>Joint Select Committee on National Anti-Corruption Commission Legislation</w:t>
      </w:r>
      <w:r w:rsidR="005F4D60">
        <w:t>, 14 October 2022.</w:t>
      </w:r>
    </w:p>
  </w:endnote>
  <w:endnote w:id="73">
    <w:p w14:paraId="222C7596" w14:textId="6F762A78" w:rsidR="009D613A" w:rsidRDefault="009D613A" w:rsidP="00DB04B9">
      <w:pPr>
        <w:pStyle w:val="EndnoteText"/>
        <w:ind w:left="284" w:hanging="284"/>
      </w:pPr>
      <w:r>
        <w:rPr>
          <w:rStyle w:val="EndnoteReference"/>
        </w:rPr>
        <w:endnoteRef/>
      </w:r>
      <w:r>
        <w:t xml:space="preserve"> </w:t>
      </w:r>
      <w:r>
        <w:tab/>
      </w:r>
      <w:r w:rsidR="00EB59CB">
        <w:t>PID Act</w:t>
      </w:r>
      <w:r>
        <w:t>, s 31.</w:t>
      </w:r>
    </w:p>
  </w:endnote>
  <w:endnote w:id="74">
    <w:p w14:paraId="4167C173" w14:textId="48FC206C" w:rsidR="00867497" w:rsidRDefault="00867497" w:rsidP="00DB04B9">
      <w:pPr>
        <w:pStyle w:val="EndnoteText"/>
        <w:ind w:left="284" w:hanging="284"/>
      </w:pPr>
      <w:r>
        <w:rPr>
          <w:rStyle w:val="EndnoteReference"/>
        </w:rPr>
        <w:endnoteRef/>
      </w:r>
      <w:r>
        <w:t xml:space="preserve"> </w:t>
      </w:r>
      <w:r>
        <w:tab/>
      </w:r>
      <w:r w:rsidR="00D44A31">
        <w:t xml:space="preserve">Letter from Mr Richard Pye, Clerk of the Senate, to Dr Patrick Hodder, Secretary of the Parliamentary Joint Committee on Corporation and Financial Services dated 21 June 2017, at </w:t>
      </w:r>
      <w:hyperlink r:id="rId9" w:history="1">
        <w:r w:rsidR="001C18A0" w:rsidRPr="00B9055D">
          <w:rPr>
            <w:rStyle w:val="Hyperlink"/>
          </w:rPr>
          <w:t>https://www.aph.gov.au/DocumentStore.ashx?id=bc814359-4016-4bec-9aa0-d290e9bd4853&amp;subId=512273</w:t>
        </w:r>
      </w:hyperlink>
      <w:r w:rsidR="001C18A0">
        <w:t xml:space="preserve">. </w:t>
      </w:r>
    </w:p>
  </w:endnote>
  <w:endnote w:id="75">
    <w:p w14:paraId="72396802" w14:textId="32A984BE" w:rsidR="00AC12A8" w:rsidRDefault="00AC12A8" w:rsidP="00DB04B9">
      <w:pPr>
        <w:pStyle w:val="EndnoteText"/>
        <w:ind w:left="284" w:hanging="284"/>
      </w:pPr>
      <w:r>
        <w:rPr>
          <w:rStyle w:val="EndnoteReference"/>
        </w:rPr>
        <w:endnoteRef/>
      </w:r>
      <w:r>
        <w:t xml:space="preserve"> </w:t>
      </w:r>
      <w:r>
        <w:tab/>
        <w:t>Moss Review, at [9</w:t>
      </w:r>
      <w:r w:rsidR="00EC4DB5">
        <w:t>0</w:t>
      </w:r>
      <w:r>
        <w:t>].</w:t>
      </w:r>
    </w:p>
  </w:endnote>
  <w:endnote w:id="76">
    <w:p w14:paraId="1E797F8C" w14:textId="7316618C" w:rsidR="00AC12A8" w:rsidRDefault="00AC12A8" w:rsidP="00DB04B9">
      <w:pPr>
        <w:pStyle w:val="EndnoteText"/>
        <w:ind w:left="284" w:hanging="284"/>
      </w:pPr>
      <w:r>
        <w:rPr>
          <w:rStyle w:val="EndnoteReference"/>
        </w:rPr>
        <w:endnoteRef/>
      </w:r>
      <w:r>
        <w:t xml:space="preserve"> </w:t>
      </w:r>
      <w:r>
        <w:tab/>
        <w:t>Moss Review, at [91].</w:t>
      </w:r>
    </w:p>
  </w:endnote>
  <w:endnote w:id="77">
    <w:p w14:paraId="17A435C7" w14:textId="30668A80" w:rsidR="0052651C" w:rsidRDefault="0052651C" w:rsidP="00DB04B9">
      <w:pPr>
        <w:pStyle w:val="EndnoteText"/>
        <w:ind w:left="284" w:hanging="284"/>
      </w:pPr>
      <w:r>
        <w:rPr>
          <w:rStyle w:val="EndnoteReference"/>
        </w:rPr>
        <w:endnoteRef/>
      </w:r>
      <w:r>
        <w:t xml:space="preserve"> </w:t>
      </w:r>
      <w:r>
        <w:tab/>
      </w:r>
      <w:r w:rsidR="002B3DFE">
        <w:t xml:space="preserve">Australian Government, </w:t>
      </w:r>
      <w:r w:rsidR="002B3DFE" w:rsidRPr="00696D38">
        <w:rPr>
          <w:i/>
          <w:iCs/>
        </w:rPr>
        <w:t>Australian Government response to the Review of the Public Interest Disclosure Act 2013 by Mr Philip Moss AM</w:t>
      </w:r>
      <w:r w:rsidR="002B3DFE">
        <w:t>, 16 December 2020, p 10.</w:t>
      </w:r>
    </w:p>
  </w:endnote>
  <w:endnote w:id="78">
    <w:p w14:paraId="24A67507" w14:textId="7D93C543" w:rsidR="0092064B" w:rsidRDefault="0092064B" w:rsidP="00DB04B9">
      <w:pPr>
        <w:pStyle w:val="EndnoteText"/>
        <w:ind w:left="284" w:hanging="284"/>
      </w:pPr>
      <w:r>
        <w:rPr>
          <w:rStyle w:val="EndnoteReference"/>
        </w:rPr>
        <w:endnoteRef/>
      </w:r>
      <w:r>
        <w:t xml:space="preserve"> </w:t>
      </w:r>
      <w:r>
        <w:tab/>
        <w:t xml:space="preserve">Bill, Schedule 1, Part 3, item </w:t>
      </w:r>
      <w:r w:rsidR="00CD7280">
        <w:t>59</w:t>
      </w:r>
      <w:r w:rsidR="00F943F2">
        <w:t xml:space="preserve">, </w:t>
      </w:r>
      <w:r w:rsidR="00582F8A">
        <w:t>proposed s 60A</w:t>
      </w:r>
      <w:r w:rsidR="00CD7280">
        <w:t>.</w:t>
      </w:r>
    </w:p>
  </w:endnote>
  <w:endnote w:id="79">
    <w:p w14:paraId="7E305EF5" w14:textId="3C15A3B7" w:rsidR="004E5B94" w:rsidRDefault="004E5B94" w:rsidP="00DB04B9">
      <w:pPr>
        <w:pStyle w:val="EndnoteText"/>
        <w:ind w:left="284" w:hanging="284"/>
      </w:pPr>
      <w:r>
        <w:rPr>
          <w:rStyle w:val="EndnoteReference"/>
        </w:rPr>
        <w:endnoteRef/>
      </w:r>
      <w:r>
        <w:t xml:space="preserve"> </w:t>
      </w:r>
      <w:r w:rsidR="00F943F2">
        <w:tab/>
        <w:t xml:space="preserve">Bill, Schedule 1, Part </w:t>
      </w:r>
      <w:r w:rsidR="00835C30">
        <w:t>2</w:t>
      </w:r>
      <w:r w:rsidR="00F943F2">
        <w:t xml:space="preserve">, item </w:t>
      </w:r>
      <w:r w:rsidR="003113EA">
        <w:t>11, proposed s 43(3).</w:t>
      </w:r>
    </w:p>
  </w:endnote>
  <w:endnote w:id="80">
    <w:p w14:paraId="2D6FB0AE" w14:textId="5459AF8E" w:rsidR="003113EA" w:rsidRDefault="003113EA" w:rsidP="00DB04B9">
      <w:pPr>
        <w:pStyle w:val="EndnoteText"/>
        <w:ind w:left="284" w:hanging="284"/>
      </w:pPr>
      <w:r>
        <w:rPr>
          <w:rStyle w:val="EndnoteReference"/>
        </w:rPr>
        <w:endnoteRef/>
      </w:r>
      <w:r>
        <w:t xml:space="preserve"> </w:t>
      </w:r>
      <w:r>
        <w:tab/>
        <w:t>Bill, Schedule 1, Part 2, item 11, proposed s 43(11).</w:t>
      </w:r>
    </w:p>
  </w:endnote>
  <w:endnote w:id="81">
    <w:p w14:paraId="42445AE6" w14:textId="25CDC8FA" w:rsidR="00452793" w:rsidRDefault="00452793" w:rsidP="00DB04B9">
      <w:pPr>
        <w:pStyle w:val="EndnoteText"/>
        <w:ind w:left="284" w:hanging="284"/>
      </w:pPr>
      <w:r>
        <w:rPr>
          <w:rStyle w:val="EndnoteReference"/>
        </w:rPr>
        <w:endnoteRef/>
      </w:r>
      <w:r>
        <w:t xml:space="preserve"> </w:t>
      </w:r>
      <w:r>
        <w:tab/>
      </w:r>
      <w:r w:rsidR="00EB59CB">
        <w:t>PID Act</w:t>
      </w:r>
      <w:r>
        <w:t>, s 28(3).</w:t>
      </w:r>
    </w:p>
  </w:endnote>
  <w:endnote w:id="82">
    <w:p w14:paraId="1AE12CFD" w14:textId="219BDC1F" w:rsidR="0055025E" w:rsidRDefault="0055025E" w:rsidP="00DB04B9">
      <w:pPr>
        <w:pStyle w:val="EndnoteText"/>
        <w:ind w:left="284" w:hanging="284"/>
      </w:pPr>
      <w:r>
        <w:rPr>
          <w:rStyle w:val="EndnoteReference"/>
        </w:rPr>
        <w:endnoteRef/>
      </w:r>
      <w:r>
        <w:t xml:space="preserve"> </w:t>
      </w:r>
      <w:r>
        <w:tab/>
        <w:t>Moss Review, at [29].</w:t>
      </w:r>
    </w:p>
  </w:endnote>
  <w:endnote w:id="83">
    <w:p w14:paraId="3A910367" w14:textId="67A8A65D" w:rsidR="0055025E" w:rsidRDefault="0055025E" w:rsidP="00DB04B9">
      <w:pPr>
        <w:pStyle w:val="EndnoteText"/>
        <w:ind w:left="284" w:hanging="284"/>
      </w:pPr>
      <w:r>
        <w:rPr>
          <w:rStyle w:val="EndnoteReference"/>
        </w:rPr>
        <w:endnoteRef/>
      </w:r>
      <w:r>
        <w:t xml:space="preserve"> </w:t>
      </w:r>
      <w:r>
        <w:tab/>
        <w:t>Moss Review, at [</w:t>
      </w:r>
      <w:r w:rsidR="004E464E">
        <w:t>30</w:t>
      </w:r>
      <w:r>
        <w:t>].</w:t>
      </w:r>
    </w:p>
  </w:endnote>
  <w:endnote w:id="84">
    <w:p w14:paraId="6A0133EE" w14:textId="4739A08F" w:rsidR="003704A7" w:rsidRDefault="003704A7" w:rsidP="00DB04B9">
      <w:pPr>
        <w:pStyle w:val="EndnoteText"/>
        <w:ind w:left="284" w:hanging="284"/>
      </w:pPr>
      <w:r>
        <w:rPr>
          <w:rStyle w:val="EndnoteReference"/>
        </w:rPr>
        <w:endnoteRef/>
      </w:r>
      <w:r>
        <w:t xml:space="preserve"> </w:t>
      </w:r>
      <w:r>
        <w:tab/>
      </w:r>
      <w:r w:rsidR="00EB59CB">
        <w:t>PID Act</w:t>
      </w:r>
      <w:r>
        <w:t>, s 36.</w:t>
      </w:r>
    </w:p>
  </w:endnote>
  <w:endnote w:id="85">
    <w:p w14:paraId="03576027" w14:textId="18D57E96" w:rsidR="005B47BA" w:rsidRDefault="005B47BA" w:rsidP="00DB04B9">
      <w:pPr>
        <w:pStyle w:val="EndnoteText"/>
        <w:ind w:left="284" w:hanging="284"/>
      </w:pPr>
      <w:r>
        <w:rPr>
          <w:rStyle w:val="EndnoteReference"/>
        </w:rPr>
        <w:endnoteRef/>
      </w:r>
      <w:r>
        <w:t xml:space="preserve"> </w:t>
      </w:r>
      <w:r>
        <w:tab/>
        <w:t xml:space="preserve">Bill, Schedule 1, Part 3, item </w:t>
      </w:r>
      <w:r w:rsidR="002618F5">
        <w:t>54, proposed s 59(1)(b).</w:t>
      </w:r>
    </w:p>
  </w:endnote>
  <w:endnote w:id="86">
    <w:p w14:paraId="58F7E0C2" w14:textId="722D2DBE" w:rsidR="002618F5" w:rsidRDefault="002618F5" w:rsidP="00DB04B9">
      <w:pPr>
        <w:pStyle w:val="EndnoteText"/>
        <w:ind w:left="284" w:hanging="284"/>
      </w:pPr>
      <w:r>
        <w:rPr>
          <w:rStyle w:val="EndnoteReference"/>
        </w:rPr>
        <w:endnoteRef/>
      </w:r>
      <w:r>
        <w:t xml:space="preserve"> </w:t>
      </w:r>
      <w:r>
        <w:tab/>
        <w:t>Bill, Schedule 1, Part 3, item 54, proposed s 59(</w:t>
      </w:r>
      <w:r w:rsidR="00FF6347">
        <w:t>8</w:t>
      </w:r>
      <w:r>
        <w:t>).</w:t>
      </w:r>
    </w:p>
  </w:endnote>
  <w:endnote w:id="87">
    <w:p w14:paraId="2219E918" w14:textId="79D4D230" w:rsidR="00603135" w:rsidRDefault="00603135" w:rsidP="00DB04B9">
      <w:pPr>
        <w:pStyle w:val="EndnoteText"/>
        <w:ind w:left="284" w:hanging="284"/>
      </w:pPr>
      <w:r>
        <w:rPr>
          <w:rStyle w:val="EndnoteReference"/>
        </w:rPr>
        <w:endnoteRef/>
      </w:r>
      <w:r>
        <w:t xml:space="preserve"> </w:t>
      </w:r>
      <w:r>
        <w:tab/>
        <w:t>PID Act, s </w:t>
      </w:r>
      <w:r w:rsidR="008C7E4C">
        <w:t>34, table</w:t>
      </w:r>
      <w:r w:rsidR="00EB59CB">
        <w:t>,</w:t>
      </w:r>
      <w:r w:rsidR="008C7E4C">
        <w:t xml:space="preserve"> item 1, column 2, paragraph (c).</w:t>
      </w:r>
    </w:p>
  </w:endnote>
  <w:endnote w:id="88">
    <w:p w14:paraId="7DEE4DF2" w14:textId="35439719" w:rsidR="005F4416" w:rsidRDefault="005F4416" w:rsidP="00DB04B9">
      <w:pPr>
        <w:pStyle w:val="EndnoteText"/>
        <w:ind w:left="284" w:hanging="284"/>
      </w:pPr>
      <w:r>
        <w:rPr>
          <w:rStyle w:val="EndnoteReference"/>
        </w:rPr>
        <w:endnoteRef/>
      </w:r>
      <w:r>
        <w:t xml:space="preserve"> </w:t>
      </w:r>
      <w:r>
        <w:tab/>
        <w:t xml:space="preserve">Commonwealth Ombudsman, </w:t>
      </w:r>
      <w:r w:rsidRPr="00D65BCB">
        <w:rPr>
          <w:i/>
          <w:iCs/>
        </w:rPr>
        <w:t>Information for Disclosers</w:t>
      </w:r>
      <w:r>
        <w:t xml:space="preserve">, at </w:t>
      </w:r>
      <w:hyperlink r:id="rId10" w:history="1">
        <w:r w:rsidR="00D65BCB" w:rsidRPr="00341368">
          <w:rPr>
            <w:rStyle w:val="Hyperlink"/>
          </w:rPr>
          <w:t>https://www.ombudsman.gov.au/Our-responsibilities/making-a-disclosure/information-for-disclosers</w:t>
        </w:r>
      </w:hyperlink>
      <w:r w:rsidR="00D65BCB">
        <w:t xml:space="preserve">. </w:t>
      </w:r>
    </w:p>
  </w:endnote>
  <w:endnote w:id="89">
    <w:p w14:paraId="40DF6B28" w14:textId="7E479962" w:rsidR="008A39E6" w:rsidRDefault="008A39E6" w:rsidP="00DB04B9">
      <w:pPr>
        <w:pStyle w:val="EndnoteText"/>
        <w:ind w:left="284" w:hanging="284"/>
      </w:pPr>
      <w:r>
        <w:rPr>
          <w:rStyle w:val="EndnoteReference"/>
        </w:rPr>
        <w:endnoteRef/>
      </w:r>
      <w:r>
        <w:t xml:space="preserve"> </w:t>
      </w:r>
      <w:r>
        <w:tab/>
        <w:t>Bill, Schedule 1, Part 4, item</w:t>
      </w:r>
      <w:r w:rsidR="00A237D0">
        <w:t>s 66 and 67, proposed ss 76(2)(</w:t>
      </w:r>
      <w:r w:rsidR="00A237D0">
        <w:t>a)(</w:t>
      </w:r>
      <w:r w:rsidR="00A237D0">
        <w:t>iia) and (</w:t>
      </w:r>
      <w:r w:rsidR="0089700E">
        <w:t>iiia).</w:t>
      </w:r>
    </w:p>
  </w:endnote>
  <w:endnote w:id="90">
    <w:p w14:paraId="358AEA34" w14:textId="33C82D47" w:rsidR="005C7267" w:rsidRDefault="005C7267" w:rsidP="00DB04B9">
      <w:pPr>
        <w:pStyle w:val="EndnoteText"/>
        <w:ind w:left="284" w:hanging="284"/>
      </w:pPr>
      <w:r>
        <w:rPr>
          <w:rStyle w:val="EndnoteReference"/>
        </w:rPr>
        <w:endnoteRef/>
      </w:r>
      <w:r>
        <w:t xml:space="preserve"> </w:t>
      </w:r>
      <w:r>
        <w:tab/>
      </w:r>
      <w:r w:rsidRPr="005C7267">
        <w:rPr>
          <w:i/>
          <w:iCs/>
        </w:rPr>
        <w:t>Corporations Act 2001</w:t>
      </w:r>
      <w:r>
        <w:t xml:space="preserve"> (</w:t>
      </w:r>
      <w:r>
        <w:t>Cth), s 1317AAD.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680702"/>
      <w:docPartObj>
        <w:docPartGallery w:val="Page Numbers (Bottom of Page)"/>
        <w:docPartUnique/>
      </w:docPartObj>
    </w:sdtPr>
    <w:sdtEndPr>
      <w:rPr>
        <w:noProof/>
      </w:rPr>
    </w:sdtEndPr>
    <w:sdtContent>
      <w:p w14:paraId="03D07C42" w14:textId="520B5029" w:rsidR="00192EB9" w:rsidRDefault="00192E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DEBD7" w14:textId="77777777" w:rsidR="00192EB9" w:rsidRDefault="00192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959941"/>
      <w:docPartObj>
        <w:docPartGallery w:val="Page Numbers (Bottom of Page)"/>
        <w:docPartUnique/>
      </w:docPartObj>
    </w:sdtPr>
    <w:sdtEndPr>
      <w:rPr>
        <w:noProof/>
      </w:rPr>
    </w:sdtEndPr>
    <w:sdtContent>
      <w:p w14:paraId="69403A47" w14:textId="66D2CCE8" w:rsidR="001E21F2" w:rsidRDefault="001E21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9580D1" w14:textId="6BEE028C" w:rsidR="00111F92" w:rsidRPr="00111F92" w:rsidRDefault="00111F92" w:rsidP="00111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0905" w14:textId="77777777" w:rsidR="00760D19" w:rsidRDefault="00760D19" w:rsidP="00F14C6D">
      <w:r>
        <w:separator/>
      </w:r>
    </w:p>
  </w:footnote>
  <w:footnote w:type="continuationSeparator" w:id="0">
    <w:p w14:paraId="1130050A" w14:textId="77777777" w:rsidR="00760D19" w:rsidRDefault="00760D19" w:rsidP="00F14C6D">
      <w:r>
        <w:continuationSeparator/>
      </w:r>
    </w:p>
  </w:footnote>
  <w:footnote w:type="continuationNotice" w:id="1">
    <w:p w14:paraId="374A8231" w14:textId="77777777" w:rsidR="00760D19" w:rsidRDefault="00760D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8C1" w14:textId="2AC372EA" w:rsidR="00F52828" w:rsidRPr="000465F1" w:rsidRDefault="00000000" w:rsidP="000465F1">
    <w:pPr>
      <w:pStyle w:val="Header"/>
    </w:pPr>
    <w:r>
      <w:pict w14:anchorId="0D9B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9" type="#_x0000_t75" alt="report watermark"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E94" w14:textId="271C324F" w:rsidR="00F52828" w:rsidRPr="000465F1" w:rsidRDefault="00000000" w:rsidP="000465F1">
    <w:r>
      <w:pict w14:anchorId="303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30" type="#_x0000_t75" alt="report watermark"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AB38" w14:textId="6BD1B0A8" w:rsidR="00F52828" w:rsidRDefault="00000000" w:rsidP="002012F7">
    <w:pPr>
      <w:pStyle w:val="Header"/>
    </w:pPr>
    <w:r>
      <w:pict w14:anchorId="7505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31" type="#_x0000_t75" alt="MS word cover1"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70D14E93">
        <v:shape id="WordPictureWatermark1034832" o:spid="_x0000_s1032" type="#_x0000_t75" alt="report watermark"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5BDE" w14:textId="77777777" w:rsidR="00F52828" w:rsidRPr="000465F1" w:rsidRDefault="00F52828" w:rsidP="00CA5D90">
    <w:pPr>
      <w:pStyle w:val="Header"/>
    </w:pPr>
    <w:r w:rsidRPr="000465F1">
      <w:t>Australian Human Rights Commission</w:t>
    </w:r>
  </w:p>
  <w:p w14:paraId="1E60EFF4" w14:textId="1E6F19DF" w:rsidR="006B7E9D" w:rsidRDefault="00993ECD" w:rsidP="0091342B">
    <w:pPr>
      <w:pStyle w:val="HeaderDocumentDate"/>
      <w:ind w:left="851"/>
    </w:pPr>
    <w:r>
      <w:rPr>
        <w:b/>
        <w:bCs/>
        <w:noProof/>
      </w:rPr>
      <w:t>Public Interest Disclosure Amendment (Review) Bill 2022</w:t>
    </w:r>
    <w:r w:rsidRPr="001F62CC">
      <w:rPr>
        <w:rStyle w:val="HeaderDocumentTitle"/>
      </w:rPr>
      <w:t>,</w:t>
    </w:r>
    <w:r>
      <w:t xml:space="preserve"> 20 January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3B0F" w14:textId="77777777" w:rsidR="00F52828" w:rsidRPr="000465F1" w:rsidRDefault="00F52828" w:rsidP="0063009F">
    <w:pPr>
      <w:pStyle w:val="Header"/>
    </w:pPr>
    <w:r w:rsidRPr="000465F1">
      <w:t>Australian Human Rights Commission</w:t>
    </w:r>
  </w:p>
  <w:p w14:paraId="32CD6F43" w14:textId="3E46F0BA" w:rsidR="00F52828" w:rsidRPr="000465F1" w:rsidRDefault="003A6DB1" w:rsidP="00525EFA">
    <w:pPr>
      <w:pStyle w:val="HeaderDocumentDate"/>
      <w:ind w:left="851"/>
    </w:pPr>
    <w:r>
      <w:rPr>
        <w:b/>
        <w:bCs/>
        <w:noProof/>
      </w:rPr>
      <w:t xml:space="preserve">Public Interest Disclosure Amendment (Review) </w:t>
    </w:r>
    <w:r w:rsidR="00993ECD">
      <w:rPr>
        <w:b/>
        <w:bCs/>
        <w:noProof/>
      </w:rPr>
      <w:t>Bill 2022</w:t>
    </w:r>
    <w:r w:rsidR="00032E6F" w:rsidRPr="001F62CC">
      <w:rPr>
        <w:rStyle w:val="HeaderDocumentTitle"/>
      </w:rPr>
      <w:t>,</w:t>
    </w:r>
    <w:r w:rsidR="00032E6F">
      <w:t xml:space="preserve"> </w:t>
    </w:r>
    <w:r w:rsidR="00993ECD">
      <w:t>20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B851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18333D2"/>
    <w:multiLevelType w:val="hybridMultilevel"/>
    <w:tmpl w:val="9E9A1856"/>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11" w15:restartNumberingAfterBreak="0">
    <w:nsid w:val="073113F7"/>
    <w:multiLevelType w:val="hybridMultilevel"/>
    <w:tmpl w:val="71C29A04"/>
    <w:lvl w:ilvl="0" w:tplc="FFFFFFFF">
      <w:start w:val="1"/>
      <w:numFmt w:val="lowerLetter"/>
      <w:lvlText w:val="(%1)"/>
      <w:lvlJc w:val="left"/>
      <w:pPr>
        <w:ind w:left="1800" w:hanging="72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279594D"/>
    <w:multiLevelType w:val="hybridMultilevel"/>
    <w:tmpl w:val="4F781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865B45"/>
    <w:multiLevelType w:val="hybridMultilevel"/>
    <w:tmpl w:val="42BA4A74"/>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14" w15:restartNumberingAfterBreak="0">
    <w:nsid w:val="14263BBC"/>
    <w:multiLevelType w:val="hybridMultilevel"/>
    <w:tmpl w:val="C498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F2C06B3"/>
    <w:multiLevelType w:val="hybridMultilevel"/>
    <w:tmpl w:val="504E401E"/>
    <w:lvl w:ilvl="0" w:tplc="0D7254BE">
      <w:numFmt w:val="bullet"/>
      <w:lvlText w:val=""/>
      <w:lvlJc w:val="left"/>
      <w:pPr>
        <w:ind w:left="1454" w:hanging="360"/>
      </w:pPr>
      <w:rPr>
        <w:rFonts w:ascii="Symbol" w:eastAsia="MS Mincho" w:hAnsi="Symbol" w:cs="Times New Roman" w:hint="default"/>
      </w:rPr>
    </w:lvl>
    <w:lvl w:ilvl="1" w:tplc="0C090003">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E9C6362"/>
    <w:multiLevelType w:val="multilevel"/>
    <w:tmpl w:val="C90EC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62FE3"/>
    <w:multiLevelType w:val="hybridMultilevel"/>
    <w:tmpl w:val="929CE6F2"/>
    <w:lvl w:ilvl="0" w:tplc="857A3324">
      <w:start w:val="1"/>
      <w:numFmt w:val="bullet"/>
      <w:lvlText w:val=""/>
      <w:lvlJc w:val="left"/>
      <w:pPr>
        <w:ind w:left="1800" w:hanging="360"/>
      </w:pPr>
      <w:rPr>
        <w:rFonts w:ascii="Symbol" w:eastAsia="MS Mincho" w:hAnsi="Symbol" w:cs="Times New Roman" w:hint="default"/>
      </w:rPr>
    </w:lvl>
    <w:lvl w:ilvl="1" w:tplc="0C090003">
      <w:start w:val="1"/>
      <w:numFmt w:val="bullet"/>
      <w:lvlText w:val="o"/>
      <w:lvlJc w:val="left"/>
      <w:pPr>
        <w:ind w:left="1786" w:hanging="360"/>
      </w:pPr>
      <w:rPr>
        <w:rFonts w:ascii="Courier New" w:hAnsi="Courier New" w:cs="Courier New" w:hint="default"/>
      </w:rPr>
    </w:lvl>
    <w:lvl w:ilvl="2" w:tplc="0C090005">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20" w15:restartNumberingAfterBreak="0">
    <w:nsid w:val="3A2F6D97"/>
    <w:multiLevelType w:val="hybridMultilevel"/>
    <w:tmpl w:val="5D669AFC"/>
    <w:lvl w:ilvl="0" w:tplc="FDBEF86E">
      <w:start w:val="20"/>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42C7ED2"/>
    <w:multiLevelType w:val="hybridMultilevel"/>
    <w:tmpl w:val="009E10B2"/>
    <w:lvl w:ilvl="0" w:tplc="EC9E13E0">
      <w:start w:val="20"/>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3" w15:restartNumberingAfterBreak="0">
    <w:nsid w:val="45BF7DB4"/>
    <w:multiLevelType w:val="hybridMultilevel"/>
    <w:tmpl w:val="7B5CE302"/>
    <w:lvl w:ilvl="0" w:tplc="04090001">
      <w:start w:val="1"/>
      <w:numFmt w:val="bullet"/>
      <w:lvlText w:val=""/>
      <w:lvlJc w:val="left"/>
      <w:pPr>
        <w:ind w:left="1454" w:hanging="360"/>
      </w:pPr>
      <w:rPr>
        <w:rFonts w:ascii="Symbol" w:hAnsi="Symbol" w:hint="default"/>
      </w:rPr>
    </w:lvl>
    <w:lvl w:ilvl="1" w:tplc="04090003">
      <w:start w:val="1"/>
      <w:numFmt w:val="bullet"/>
      <w:lvlText w:val="o"/>
      <w:lvlJc w:val="left"/>
      <w:pPr>
        <w:ind w:left="2174" w:hanging="360"/>
      </w:pPr>
      <w:rPr>
        <w:rFonts w:ascii="Courier New" w:hAnsi="Courier New" w:cs="Courier New" w:hint="default"/>
      </w:rPr>
    </w:lvl>
    <w:lvl w:ilvl="2" w:tplc="04090005">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4" w15:restartNumberingAfterBreak="0">
    <w:nsid w:val="489E1645"/>
    <w:multiLevelType w:val="hybridMultilevel"/>
    <w:tmpl w:val="C46CE0E2"/>
    <w:lvl w:ilvl="0" w:tplc="75B66BE6">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5"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2A24B4B"/>
    <w:multiLevelType w:val="hybridMultilevel"/>
    <w:tmpl w:val="3C223B0A"/>
    <w:lvl w:ilvl="0" w:tplc="857A3324">
      <w:start w:val="1"/>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8" w15:restartNumberingAfterBreak="0">
    <w:nsid w:val="5B330FF4"/>
    <w:multiLevelType w:val="hybridMultilevel"/>
    <w:tmpl w:val="71C29A04"/>
    <w:lvl w:ilvl="0" w:tplc="AA90FFB6">
      <w:start w:val="1"/>
      <w:numFmt w:val="lowerLetter"/>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8654555"/>
    <w:multiLevelType w:val="hybridMultilevel"/>
    <w:tmpl w:val="02445B1C"/>
    <w:lvl w:ilvl="0" w:tplc="F004733A">
      <w:start w:val="4"/>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30" w15:restartNumberingAfterBreak="0">
    <w:nsid w:val="794F20D1"/>
    <w:multiLevelType w:val="hybridMultilevel"/>
    <w:tmpl w:val="0B287286"/>
    <w:lvl w:ilvl="0" w:tplc="F042A158">
      <w:start w:val="1"/>
      <w:numFmt w:val="lowerLetter"/>
      <w:lvlText w:val="(%1)"/>
      <w:lvlJc w:val="left"/>
      <w:pPr>
        <w:ind w:left="1454" w:hanging="360"/>
      </w:pPr>
      <w:rPr>
        <w:rFonts w:ascii="Open Sans" w:eastAsia="MS Mincho" w:hAnsi="Open Sans" w:cs="Times New Roman"/>
      </w:rPr>
    </w:lvl>
    <w:lvl w:ilvl="1" w:tplc="0C090003">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num w:numId="1" w16cid:durableId="632254283">
    <w:abstractNumId w:val="25"/>
  </w:num>
  <w:num w:numId="2" w16cid:durableId="1527599058">
    <w:abstractNumId w:val="9"/>
  </w:num>
  <w:num w:numId="3" w16cid:durableId="267780280">
    <w:abstractNumId w:val="7"/>
  </w:num>
  <w:num w:numId="4" w16cid:durableId="1100293925">
    <w:abstractNumId w:val="6"/>
  </w:num>
  <w:num w:numId="5" w16cid:durableId="508712149">
    <w:abstractNumId w:val="5"/>
  </w:num>
  <w:num w:numId="6" w16cid:durableId="362094991">
    <w:abstractNumId w:val="4"/>
  </w:num>
  <w:num w:numId="7" w16cid:durableId="1598127759">
    <w:abstractNumId w:val="8"/>
  </w:num>
  <w:num w:numId="8" w16cid:durableId="902256162">
    <w:abstractNumId w:val="1"/>
  </w:num>
  <w:num w:numId="9" w16cid:durableId="965426996">
    <w:abstractNumId w:val="0"/>
  </w:num>
  <w:num w:numId="10" w16cid:durableId="1617247493">
    <w:abstractNumId w:val="3"/>
  </w:num>
  <w:num w:numId="11" w16cid:durableId="1264146508">
    <w:abstractNumId w:val="2"/>
  </w:num>
  <w:num w:numId="12" w16cid:durableId="2074886890">
    <w:abstractNumId w:val="26"/>
  </w:num>
  <w:num w:numId="13" w16cid:durableId="692463088">
    <w:abstractNumId w:val="21"/>
  </w:num>
  <w:num w:numId="14" w16cid:durableId="1395619106">
    <w:abstractNumId w:val="17"/>
  </w:num>
  <w:num w:numId="15" w16cid:durableId="1583559743">
    <w:abstractNumId w:val="15"/>
  </w:num>
  <w:num w:numId="16" w16cid:durableId="2023162233">
    <w:abstractNumId w:val="16"/>
  </w:num>
  <w:num w:numId="17" w16cid:durableId="1431389638">
    <w:abstractNumId w:val="12"/>
  </w:num>
  <w:num w:numId="18" w16cid:durableId="857740497">
    <w:abstractNumId w:val="30"/>
  </w:num>
  <w:num w:numId="19" w16cid:durableId="278608902">
    <w:abstractNumId w:val="29"/>
  </w:num>
  <w:num w:numId="20" w16cid:durableId="515773990">
    <w:abstractNumId w:val="23"/>
  </w:num>
  <w:num w:numId="21" w16cid:durableId="1748988945">
    <w:abstractNumId w:val="13"/>
  </w:num>
  <w:num w:numId="22" w16cid:durableId="1890920876">
    <w:abstractNumId w:val="10"/>
  </w:num>
  <w:num w:numId="23" w16cid:durableId="213662916">
    <w:abstractNumId w:val="3"/>
  </w:num>
  <w:num w:numId="24" w16cid:durableId="967009829">
    <w:abstractNumId w:val="28"/>
  </w:num>
  <w:num w:numId="25" w16cid:durableId="1555123814">
    <w:abstractNumId w:val="11"/>
  </w:num>
  <w:num w:numId="26" w16cid:durableId="1780181300">
    <w:abstractNumId w:val="14"/>
  </w:num>
  <w:num w:numId="27" w16cid:durableId="1478454519">
    <w:abstractNumId w:val="25"/>
  </w:num>
  <w:num w:numId="28" w16cid:durableId="998578312">
    <w:abstractNumId w:val="25"/>
  </w:num>
  <w:num w:numId="29" w16cid:durableId="1866628712">
    <w:abstractNumId w:val="25"/>
  </w:num>
  <w:num w:numId="30" w16cid:durableId="1816801384">
    <w:abstractNumId w:val="25"/>
  </w:num>
  <w:num w:numId="31" w16cid:durableId="1204441299">
    <w:abstractNumId w:val="25"/>
  </w:num>
  <w:num w:numId="32" w16cid:durableId="254099743">
    <w:abstractNumId w:val="20"/>
  </w:num>
  <w:num w:numId="33" w16cid:durableId="1598101336">
    <w:abstractNumId w:val="25"/>
  </w:num>
  <w:num w:numId="34" w16cid:durableId="432555972">
    <w:abstractNumId w:val="22"/>
  </w:num>
  <w:num w:numId="35" w16cid:durableId="1971738522">
    <w:abstractNumId w:val="25"/>
  </w:num>
  <w:num w:numId="36" w16cid:durableId="435558657">
    <w:abstractNumId w:val="25"/>
  </w:num>
  <w:num w:numId="37" w16cid:durableId="872114941">
    <w:abstractNumId w:val="27"/>
  </w:num>
  <w:num w:numId="38" w16cid:durableId="1467040146">
    <w:abstractNumId w:val="19"/>
  </w:num>
  <w:num w:numId="39" w16cid:durableId="1793937703">
    <w:abstractNumId w:val="25"/>
  </w:num>
  <w:num w:numId="40" w16cid:durableId="1050375396">
    <w:abstractNumId w:val="25"/>
  </w:num>
  <w:num w:numId="41" w16cid:durableId="1710839608">
    <w:abstractNumId w:val="24"/>
  </w:num>
  <w:num w:numId="42" w16cid:durableId="19836100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602"/>
    <w:rsid w:val="00000654"/>
    <w:rsid w:val="00000F1E"/>
    <w:rsid w:val="000015EC"/>
    <w:rsid w:val="000031D3"/>
    <w:rsid w:val="00003AE8"/>
    <w:rsid w:val="00003EA5"/>
    <w:rsid w:val="00004420"/>
    <w:rsid w:val="0000452F"/>
    <w:rsid w:val="00004614"/>
    <w:rsid w:val="00004617"/>
    <w:rsid w:val="0000464A"/>
    <w:rsid w:val="00004A16"/>
    <w:rsid w:val="00004F05"/>
    <w:rsid w:val="000053DE"/>
    <w:rsid w:val="0000549B"/>
    <w:rsid w:val="00005BC3"/>
    <w:rsid w:val="00005D96"/>
    <w:rsid w:val="00005FC2"/>
    <w:rsid w:val="00006C60"/>
    <w:rsid w:val="00006CFC"/>
    <w:rsid w:val="00007543"/>
    <w:rsid w:val="000079E5"/>
    <w:rsid w:val="00007AD6"/>
    <w:rsid w:val="00007B70"/>
    <w:rsid w:val="00007D72"/>
    <w:rsid w:val="00010258"/>
    <w:rsid w:val="0001041F"/>
    <w:rsid w:val="000107EA"/>
    <w:rsid w:val="00010B84"/>
    <w:rsid w:val="00010C5C"/>
    <w:rsid w:val="00010E79"/>
    <w:rsid w:val="0001108F"/>
    <w:rsid w:val="000110CC"/>
    <w:rsid w:val="000110FC"/>
    <w:rsid w:val="0001263D"/>
    <w:rsid w:val="00012685"/>
    <w:rsid w:val="00012708"/>
    <w:rsid w:val="000127B3"/>
    <w:rsid w:val="00012884"/>
    <w:rsid w:val="00012C5B"/>
    <w:rsid w:val="00012EC3"/>
    <w:rsid w:val="00013298"/>
    <w:rsid w:val="0001339D"/>
    <w:rsid w:val="0001364B"/>
    <w:rsid w:val="00013C2F"/>
    <w:rsid w:val="00013CF7"/>
    <w:rsid w:val="000153F2"/>
    <w:rsid w:val="00015597"/>
    <w:rsid w:val="00015706"/>
    <w:rsid w:val="0001574B"/>
    <w:rsid w:val="000161C2"/>
    <w:rsid w:val="000161FA"/>
    <w:rsid w:val="000164D3"/>
    <w:rsid w:val="00016614"/>
    <w:rsid w:val="000167C2"/>
    <w:rsid w:val="00016827"/>
    <w:rsid w:val="00016B90"/>
    <w:rsid w:val="0001716E"/>
    <w:rsid w:val="00017C6B"/>
    <w:rsid w:val="00017FB2"/>
    <w:rsid w:val="00020A17"/>
    <w:rsid w:val="00021A1B"/>
    <w:rsid w:val="00021F74"/>
    <w:rsid w:val="000221DF"/>
    <w:rsid w:val="000226D9"/>
    <w:rsid w:val="00022C07"/>
    <w:rsid w:val="00022EDA"/>
    <w:rsid w:val="000246AE"/>
    <w:rsid w:val="0002476A"/>
    <w:rsid w:val="00024B8F"/>
    <w:rsid w:val="00024C33"/>
    <w:rsid w:val="00024DB9"/>
    <w:rsid w:val="000252FA"/>
    <w:rsid w:val="000253CE"/>
    <w:rsid w:val="00025994"/>
    <w:rsid w:val="00025B66"/>
    <w:rsid w:val="00026C00"/>
    <w:rsid w:val="00027181"/>
    <w:rsid w:val="00027240"/>
    <w:rsid w:val="00027E26"/>
    <w:rsid w:val="00030335"/>
    <w:rsid w:val="00030522"/>
    <w:rsid w:val="000317AF"/>
    <w:rsid w:val="000318DB"/>
    <w:rsid w:val="00032107"/>
    <w:rsid w:val="00032373"/>
    <w:rsid w:val="00032380"/>
    <w:rsid w:val="00032C6D"/>
    <w:rsid w:val="00032E6F"/>
    <w:rsid w:val="000331EA"/>
    <w:rsid w:val="00033A58"/>
    <w:rsid w:val="0003419D"/>
    <w:rsid w:val="000360FD"/>
    <w:rsid w:val="00036820"/>
    <w:rsid w:val="0003696A"/>
    <w:rsid w:val="00036AA0"/>
    <w:rsid w:val="00036AC4"/>
    <w:rsid w:val="00036BE4"/>
    <w:rsid w:val="000374DF"/>
    <w:rsid w:val="00037527"/>
    <w:rsid w:val="000402A6"/>
    <w:rsid w:val="00040461"/>
    <w:rsid w:val="00040B1D"/>
    <w:rsid w:val="00040C96"/>
    <w:rsid w:val="00040DA8"/>
    <w:rsid w:val="00040ED4"/>
    <w:rsid w:val="000410D4"/>
    <w:rsid w:val="00041406"/>
    <w:rsid w:val="00041745"/>
    <w:rsid w:val="00041E65"/>
    <w:rsid w:val="00042081"/>
    <w:rsid w:val="000421EE"/>
    <w:rsid w:val="0004232B"/>
    <w:rsid w:val="0004276C"/>
    <w:rsid w:val="00042D1D"/>
    <w:rsid w:val="000430B8"/>
    <w:rsid w:val="00043306"/>
    <w:rsid w:val="00044280"/>
    <w:rsid w:val="0004509C"/>
    <w:rsid w:val="000456CF"/>
    <w:rsid w:val="000456F8"/>
    <w:rsid w:val="00045712"/>
    <w:rsid w:val="0004574C"/>
    <w:rsid w:val="00045C4B"/>
    <w:rsid w:val="000461C1"/>
    <w:rsid w:val="00046291"/>
    <w:rsid w:val="000465F1"/>
    <w:rsid w:val="00046D29"/>
    <w:rsid w:val="0004715D"/>
    <w:rsid w:val="00050C5F"/>
    <w:rsid w:val="00051C10"/>
    <w:rsid w:val="000520B7"/>
    <w:rsid w:val="00052329"/>
    <w:rsid w:val="00052430"/>
    <w:rsid w:val="000526A8"/>
    <w:rsid w:val="0005271E"/>
    <w:rsid w:val="00052816"/>
    <w:rsid w:val="00052B9E"/>
    <w:rsid w:val="00053DF4"/>
    <w:rsid w:val="0005507E"/>
    <w:rsid w:val="0005529B"/>
    <w:rsid w:val="0005545B"/>
    <w:rsid w:val="000561CC"/>
    <w:rsid w:val="000561D6"/>
    <w:rsid w:val="000565B8"/>
    <w:rsid w:val="000568FC"/>
    <w:rsid w:val="00056976"/>
    <w:rsid w:val="00056B45"/>
    <w:rsid w:val="00056C00"/>
    <w:rsid w:val="00056C2B"/>
    <w:rsid w:val="00056CF3"/>
    <w:rsid w:val="00057080"/>
    <w:rsid w:val="00057106"/>
    <w:rsid w:val="00057467"/>
    <w:rsid w:val="00057700"/>
    <w:rsid w:val="000577BC"/>
    <w:rsid w:val="000579B1"/>
    <w:rsid w:val="00060FD1"/>
    <w:rsid w:val="00061A8D"/>
    <w:rsid w:val="00061C6C"/>
    <w:rsid w:val="00062026"/>
    <w:rsid w:val="00062132"/>
    <w:rsid w:val="0006251C"/>
    <w:rsid w:val="00062556"/>
    <w:rsid w:val="00062672"/>
    <w:rsid w:val="00063025"/>
    <w:rsid w:val="00063C20"/>
    <w:rsid w:val="000648AE"/>
    <w:rsid w:val="00064ABC"/>
    <w:rsid w:val="000656E1"/>
    <w:rsid w:val="00065C57"/>
    <w:rsid w:val="00065C69"/>
    <w:rsid w:val="00065E5A"/>
    <w:rsid w:val="00065FDA"/>
    <w:rsid w:val="000662EF"/>
    <w:rsid w:val="0006646D"/>
    <w:rsid w:val="00066E9F"/>
    <w:rsid w:val="0006744B"/>
    <w:rsid w:val="000675D1"/>
    <w:rsid w:val="000675FA"/>
    <w:rsid w:val="00067C24"/>
    <w:rsid w:val="00070335"/>
    <w:rsid w:val="000705F2"/>
    <w:rsid w:val="00070EDA"/>
    <w:rsid w:val="00071142"/>
    <w:rsid w:val="00071164"/>
    <w:rsid w:val="0007154C"/>
    <w:rsid w:val="000715E2"/>
    <w:rsid w:val="000715FC"/>
    <w:rsid w:val="000724C7"/>
    <w:rsid w:val="0007257A"/>
    <w:rsid w:val="00072629"/>
    <w:rsid w:val="000727B6"/>
    <w:rsid w:val="00072BD4"/>
    <w:rsid w:val="00072EDA"/>
    <w:rsid w:val="000730A1"/>
    <w:rsid w:val="00073281"/>
    <w:rsid w:val="00073508"/>
    <w:rsid w:val="000738C9"/>
    <w:rsid w:val="00073FE7"/>
    <w:rsid w:val="00074B0E"/>
    <w:rsid w:val="00075141"/>
    <w:rsid w:val="0007525A"/>
    <w:rsid w:val="00075369"/>
    <w:rsid w:val="000753CB"/>
    <w:rsid w:val="0007549B"/>
    <w:rsid w:val="000757E6"/>
    <w:rsid w:val="000757E8"/>
    <w:rsid w:val="00076496"/>
    <w:rsid w:val="000764A3"/>
    <w:rsid w:val="000769B9"/>
    <w:rsid w:val="00076B27"/>
    <w:rsid w:val="000772CF"/>
    <w:rsid w:val="00077985"/>
    <w:rsid w:val="00077D87"/>
    <w:rsid w:val="000802FF"/>
    <w:rsid w:val="000803C5"/>
    <w:rsid w:val="000808BC"/>
    <w:rsid w:val="00080D78"/>
    <w:rsid w:val="00080DF7"/>
    <w:rsid w:val="00080EF7"/>
    <w:rsid w:val="0008114C"/>
    <w:rsid w:val="00081C35"/>
    <w:rsid w:val="00082817"/>
    <w:rsid w:val="0008297B"/>
    <w:rsid w:val="00082ABE"/>
    <w:rsid w:val="00083FE7"/>
    <w:rsid w:val="00084056"/>
    <w:rsid w:val="000847AE"/>
    <w:rsid w:val="00084A12"/>
    <w:rsid w:val="00084AD9"/>
    <w:rsid w:val="00084B9F"/>
    <w:rsid w:val="00084F2D"/>
    <w:rsid w:val="00084FE1"/>
    <w:rsid w:val="00085009"/>
    <w:rsid w:val="00085FDC"/>
    <w:rsid w:val="00086087"/>
    <w:rsid w:val="000865A4"/>
    <w:rsid w:val="00086AAE"/>
    <w:rsid w:val="00086C91"/>
    <w:rsid w:val="000904E7"/>
    <w:rsid w:val="00090A2C"/>
    <w:rsid w:val="00090B38"/>
    <w:rsid w:val="00090DD5"/>
    <w:rsid w:val="00090F83"/>
    <w:rsid w:val="0009138C"/>
    <w:rsid w:val="00092190"/>
    <w:rsid w:val="000921C9"/>
    <w:rsid w:val="0009245F"/>
    <w:rsid w:val="00092B3E"/>
    <w:rsid w:val="000932A5"/>
    <w:rsid w:val="000935C9"/>
    <w:rsid w:val="00093AB6"/>
    <w:rsid w:val="00093B19"/>
    <w:rsid w:val="00093DFB"/>
    <w:rsid w:val="0009424C"/>
    <w:rsid w:val="000949C7"/>
    <w:rsid w:val="0009512B"/>
    <w:rsid w:val="000958CA"/>
    <w:rsid w:val="00095D62"/>
    <w:rsid w:val="00097C5B"/>
    <w:rsid w:val="00097CE9"/>
    <w:rsid w:val="00097E42"/>
    <w:rsid w:val="000A0757"/>
    <w:rsid w:val="000A0A04"/>
    <w:rsid w:val="000A0E12"/>
    <w:rsid w:val="000A10FA"/>
    <w:rsid w:val="000A1118"/>
    <w:rsid w:val="000A1B7A"/>
    <w:rsid w:val="000A1DB8"/>
    <w:rsid w:val="000A20A0"/>
    <w:rsid w:val="000A243C"/>
    <w:rsid w:val="000A25FA"/>
    <w:rsid w:val="000A260E"/>
    <w:rsid w:val="000A27EE"/>
    <w:rsid w:val="000A3249"/>
    <w:rsid w:val="000A32C1"/>
    <w:rsid w:val="000A3597"/>
    <w:rsid w:val="000A3786"/>
    <w:rsid w:val="000A45B8"/>
    <w:rsid w:val="000A45EB"/>
    <w:rsid w:val="000A48AC"/>
    <w:rsid w:val="000A48B3"/>
    <w:rsid w:val="000A4E21"/>
    <w:rsid w:val="000A4F45"/>
    <w:rsid w:val="000A520E"/>
    <w:rsid w:val="000A5403"/>
    <w:rsid w:val="000A5859"/>
    <w:rsid w:val="000A5CC1"/>
    <w:rsid w:val="000A5E64"/>
    <w:rsid w:val="000A672B"/>
    <w:rsid w:val="000A77C5"/>
    <w:rsid w:val="000B029F"/>
    <w:rsid w:val="000B030B"/>
    <w:rsid w:val="000B0603"/>
    <w:rsid w:val="000B08AE"/>
    <w:rsid w:val="000B0913"/>
    <w:rsid w:val="000B0A5D"/>
    <w:rsid w:val="000B0A70"/>
    <w:rsid w:val="000B0BCA"/>
    <w:rsid w:val="000B1102"/>
    <w:rsid w:val="000B2217"/>
    <w:rsid w:val="000B2307"/>
    <w:rsid w:val="000B2833"/>
    <w:rsid w:val="000B3196"/>
    <w:rsid w:val="000B3286"/>
    <w:rsid w:val="000B489B"/>
    <w:rsid w:val="000B4954"/>
    <w:rsid w:val="000B4DC6"/>
    <w:rsid w:val="000B5644"/>
    <w:rsid w:val="000B5B68"/>
    <w:rsid w:val="000B5E2C"/>
    <w:rsid w:val="000B6968"/>
    <w:rsid w:val="000B709C"/>
    <w:rsid w:val="000B7317"/>
    <w:rsid w:val="000B7609"/>
    <w:rsid w:val="000B76FB"/>
    <w:rsid w:val="000B7C90"/>
    <w:rsid w:val="000B7F62"/>
    <w:rsid w:val="000C042C"/>
    <w:rsid w:val="000C0849"/>
    <w:rsid w:val="000C08EC"/>
    <w:rsid w:val="000C0A89"/>
    <w:rsid w:val="000C0C53"/>
    <w:rsid w:val="000C1A8B"/>
    <w:rsid w:val="000C1B22"/>
    <w:rsid w:val="000C1D43"/>
    <w:rsid w:val="000C23F1"/>
    <w:rsid w:val="000C2821"/>
    <w:rsid w:val="000C2B28"/>
    <w:rsid w:val="000C2D9B"/>
    <w:rsid w:val="000C2FFC"/>
    <w:rsid w:val="000C3753"/>
    <w:rsid w:val="000C398D"/>
    <w:rsid w:val="000C3C36"/>
    <w:rsid w:val="000C3D30"/>
    <w:rsid w:val="000C4070"/>
    <w:rsid w:val="000C5608"/>
    <w:rsid w:val="000C5A3C"/>
    <w:rsid w:val="000C5B41"/>
    <w:rsid w:val="000C5DA6"/>
    <w:rsid w:val="000C6455"/>
    <w:rsid w:val="000C66D5"/>
    <w:rsid w:val="000C6A1C"/>
    <w:rsid w:val="000C6CC9"/>
    <w:rsid w:val="000C78CC"/>
    <w:rsid w:val="000C7D99"/>
    <w:rsid w:val="000C7DD7"/>
    <w:rsid w:val="000D008E"/>
    <w:rsid w:val="000D0091"/>
    <w:rsid w:val="000D082A"/>
    <w:rsid w:val="000D0A7E"/>
    <w:rsid w:val="000D1089"/>
    <w:rsid w:val="000D1122"/>
    <w:rsid w:val="000D1427"/>
    <w:rsid w:val="000D1625"/>
    <w:rsid w:val="000D1AF4"/>
    <w:rsid w:val="000D1B51"/>
    <w:rsid w:val="000D1C41"/>
    <w:rsid w:val="000D2268"/>
    <w:rsid w:val="000D2546"/>
    <w:rsid w:val="000D2BC4"/>
    <w:rsid w:val="000D305D"/>
    <w:rsid w:val="000D35B2"/>
    <w:rsid w:val="000D3CEC"/>
    <w:rsid w:val="000D3E31"/>
    <w:rsid w:val="000D4174"/>
    <w:rsid w:val="000D5682"/>
    <w:rsid w:val="000D58C2"/>
    <w:rsid w:val="000D5B42"/>
    <w:rsid w:val="000D5BCA"/>
    <w:rsid w:val="000D5D33"/>
    <w:rsid w:val="000D5FAA"/>
    <w:rsid w:val="000D6449"/>
    <w:rsid w:val="000D655E"/>
    <w:rsid w:val="000D6AE5"/>
    <w:rsid w:val="000D6D80"/>
    <w:rsid w:val="000D726B"/>
    <w:rsid w:val="000D7402"/>
    <w:rsid w:val="000D7706"/>
    <w:rsid w:val="000D78C3"/>
    <w:rsid w:val="000D7EB0"/>
    <w:rsid w:val="000E0517"/>
    <w:rsid w:val="000E083A"/>
    <w:rsid w:val="000E0D84"/>
    <w:rsid w:val="000E1096"/>
    <w:rsid w:val="000E130A"/>
    <w:rsid w:val="000E1637"/>
    <w:rsid w:val="000E18A9"/>
    <w:rsid w:val="000E18EF"/>
    <w:rsid w:val="000E2068"/>
    <w:rsid w:val="000E25A9"/>
    <w:rsid w:val="000E282B"/>
    <w:rsid w:val="000E28C0"/>
    <w:rsid w:val="000E328F"/>
    <w:rsid w:val="000E3372"/>
    <w:rsid w:val="000E348A"/>
    <w:rsid w:val="000E3766"/>
    <w:rsid w:val="000E37CE"/>
    <w:rsid w:val="000E3E9C"/>
    <w:rsid w:val="000E42C2"/>
    <w:rsid w:val="000E43AA"/>
    <w:rsid w:val="000E44F3"/>
    <w:rsid w:val="000E4837"/>
    <w:rsid w:val="000E4D65"/>
    <w:rsid w:val="000E5877"/>
    <w:rsid w:val="000E5A71"/>
    <w:rsid w:val="000E67CA"/>
    <w:rsid w:val="000E73DB"/>
    <w:rsid w:val="000E753D"/>
    <w:rsid w:val="000E779D"/>
    <w:rsid w:val="000E7B05"/>
    <w:rsid w:val="000F07D1"/>
    <w:rsid w:val="000F0BB0"/>
    <w:rsid w:val="000F1170"/>
    <w:rsid w:val="000F13DD"/>
    <w:rsid w:val="000F1637"/>
    <w:rsid w:val="000F1829"/>
    <w:rsid w:val="000F1943"/>
    <w:rsid w:val="000F19BC"/>
    <w:rsid w:val="000F19F5"/>
    <w:rsid w:val="000F29FE"/>
    <w:rsid w:val="000F3541"/>
    <w:rsid w:val="000F3886"/>
    <w:rsid w:val="000F41A9"/>
    <w:rsid w:val="000F429A"/>
    <w:rsid w:val="000F43B4"/>
    <w:rsid w:val="000F4499"/>
    <w:rsid w:val="000F48C6"/>
    <w:rsid w:val="000F48EC"/>
    <w:rsid w:val="000F4AA3"/>
    <w:rsid w:val="000F50A8"/>
    <w:rsid w:val="000F572F"/>
    <w:rsid w:val="000F58E0"/>
    <w:rsid w:val="000F599E"/>
    <w:rsid w:val="000F5F5F"/>
    <w:rsid w:val="000F663F"/>
    <w:rsid w:val="000F6BF0"/>
    <w:rsid w:val="000F6C03"/>
    <w:rsid w:val="000F75D8"/>
    <w:rsid w:val="000F7FBC"/>
    <w:rsid w:val="0010039A"/>
    <w:rsid w:val="00100788"/>
    <w:rsid w:val="00100A30"/>
    <w:rsid w:val="001011E2"/>
    <w:rsid w:val="0010149A"/>
    <w:rsid w:val="0010208E"/>
    <w:rsid w:val="00102DD7"/>
    <w:rsid w:val="00102FF8"/>
    <w:rsid w:val="00103BAC"/>
    <w:rsid w:val="00103E2F"/>
    <w:rsid w:val="00104F8C"/>
    <w:rsid w:val="001054B4"/>
    <w:rsid w:val="001054BB"/>
    <w:rsid w:val="00105D3C"/>
    <w:rsid w:val="00105DC6"/>
    <w:rsid w:val="00105E2C"/>
    <w:rsid w:val="00105F28"/>
    <w:rsid w:val="00105FC4"/>
    <w:rsid w:val="0010619B"/>
    <w:rsid w:val="00106559"/>
    <w:rsid w:val="001066FD"/>
    <w:rsid w:val="001067B6"/>
    <w:rsid w:val="001067FA"/>
    <w:rsid w:val="00106F28"/>
    <w:rsid w:val="00107334"/>
    <w:rsid w:val="00107886"/>
    <w:rsid w:val="00110225"/>
    <w:rsid w:val="00110709"/>
    <w:rsid w:val="00110B0A"/>
    <w:rsid w:val="00110DF1"/>
    <w:rsid w:val="00111036"/>
    <w:rsid w:val="00111159"/>
    <w:rsid w:val="00111F73"/>
    <w:rsid w:val="00111F92"/>
    <w:rsid w:val="00111FE1"/>
    <w:rsid w:val="00113716"/>
    <w:rsid w:val="001143D1"/>
    <w:rsid w:val="001144FA"/>
    <w:rsid w:val="00114978"/>
    <w:rsid w:val="0011513F"/>
    <w:rsid w:val="00115175"/>
    <w:rsid w:val="001166B0"/>
    <w:rsid w:val="00116A87"/>
    <w:rsid w:val="00116EDF"/>
    <w:rsid w:val="0011772B"/>
    <w:rsid w:val="00117783"/>
    <w:rsid w:val="00117929"/>
    <w:rsid w:val="00117B0E"/>
    <w:rsid w:val="00117D3B"/>
    <w:rsid w:val="00117D8A"/>
    <w:rsid w:val="00117E08"/>
    <w:rsid w:val="00117EA3"/>
    <w:rsid w:val="00120A2D"/>
    <w:rsid w:val="00121772"/>
    <w:rsid w:val="0012289C"/>
    <w:rsid w:val="00122CEC"/>
    <w:rsid w:val="00122E6C"/>
    <w:rsid w:val="00122F67"/>
    <w:rsid w:val="0012321E"/>
    <w:rsid w:val="001232FE"/>
    <w:rsid w:val="0012332C"/>
    <w:rsid w:val="00123897"/>
    <w:rsid w:val="0012412E"/>
    <w:rsid w:val="0012481D"/>
    <w:rsid w:val="00124A2F"/>
    <w:rsid w:val="001251BC"/>
    <w:rsid w:val="00125CCE"/>
    <w:rsid w:val="00126999"/>
    <w:rsid w:val="00126BC0"/>
    <w:rsid w:val="0012742F"/>
    <w:rsid w:val="00127B3A"/>
    <w:rsid w:val="00127BA8"/>
    <w:rsid w:val="00130B0D"/>
    <w:rsid w:val="00130B7A"/>
    <w:rsid w:val="00130DBB"/>
    <w:rsid w:val="001318DA"/>
    <w:rsid w:val="00131B07"/>
    <w:rsid w:val="0013237B"/>
    <w:rsid w:val="001335CB"/>
    <w:rsid w:val="0013374D"/>
    <w:rsid w:val="00133CCF"/>
    <w:rsid w:val="00133FA7"/>
    <w:rsid w:val="00134774"/>
    <w:rsid w:val="00134988"/>
    <w:rsid w:val="001351EB"/>
    <w:rsid w:val="00135342"/>
    <w:rsid w:val="001356C9"/>
    <w:rsid w:val="001357B9"/>
    <w:rsid w:val="00135909"/>
    <w:rsid w:val="001369D8"/>
    <w:rsid w:val="00136BBA"/>
    <w:rsid w:val="00136E5D"/>
    <w:rsid w:val="00137B00"/>
    <w:rsid w:val="00137D71"/>
    <w:rsid w:val="00137EBC"/>
    <w:rsid w:val="00137F43"/>
    <w:rsid w:val="00140274"/>
    <w:rsid w:val="001403A2"/>
    <w:rsid w:val="0014041F"/>
    <w:rsid w:val="00140DA3"/>
    <w:rsid w:val="00140DBC"/>
    <w:rsid w:val="00140FAC"/>
    <w:rsid w:val="00141050"/>
    <w:rsid w:val="00142A55"/>
    <w:rsid w:val="00142C5D"/>
    <w:rsid w:val="001437AC"/>
    <w:rsid w:val="00143F1B"/>
    <w:rsid w:val="001458F6"/>
    <w:rsid w:val="00145C07"/>
    <w:rsid w:val="00145FD4"/>
    <w:rsid w:val="00146529"/>
    <w:rsid w:val="00146CF3"/>
    <w:rsid w:val="00146F74"/>
    <w:rsid w:val="001502AC"/>
    <w:rsid w:val="001504A9"/>
    <w:rsid w:val="00150707"/>
    <w:rsid w:val="0015085D"/>
    <w:rsid w:val="00150C46"/>
    <w:rsid w:val="00151263"/>
    <w:rsid w:val="00151BCE"/>
    <w:rsid w:val="00151D0E"/>
    <w:rsid w:val="00151E9D"/>
    <w:rsid w:val="0015239E"/>
    <w:rsid w:val="00152C33"/>
    <w:rsid w:val="00152D5A"/>
    <w:rsid w:val="001530FC"/>
    <w:rsid w:val="0015328E"/>
    <w:rsid w:val="001534A9"/>
    <w:rsid w:val="00153684"/>
    <w:rsid w:val="001536E9"/>
    <w:rsid w:val="00154265"/>
    <w:rsid w:val="00154A29"/>
    <w:rsid w:val="00154E68"/>
    <w:rsid w:val="00154FCB"/>
    <w:rsid w:val="0015525F"/>
    <w:rsid w:val="00155814"/>
    <w:rsid w:val="001561E0"/>
    <w:rsid w:val="00156565"/>
    <w:rsid w:val="00156655"/>
    <w:rsid w:val="00156786"/>
    <w:rsid w:val="00156C58"/>
    <w:rsid w:val="00156F26"/>
    <w:rsid w:val="001572E8"/>
    <w:rsid w:val="00157EE1"/>
    <w:rsid w:val="00160182"/>
    <w:rsid w:val="00160482"/>
    <w:rsid w:val="00160F22"/>
    <w:rsid w:val="00161B4A"/>
    <w:rsid w:val="00161CE3"/>
    <w:rsid w:val="001620C3"/>
    <w:rsid w:val="00162160"/>
    <w:rsid w:val="001625B4"/>
    <w:rsid w:val="0016266F"/>
    <w:rsid w:val="00162A8D"/>
    <w:rsid w:val="00162CC4"/>
    <w:rsid w:val="0016384D"/>
    <w:rsid w:val="00163C94"/>
    <w:rsid w:val="00163F96"/>
    <w:rsid w:val="0016464A"/>
    <w:rsid w:val="00164981"/>
    <w:rsid w:val="00164FF8"/>
    <w:rsid w:val="001650EA"/>
    <w:rsid w:val="001652BA"/>
    <w:rsid w:val="00165881"/>
    <w:rsid w:val="001659BD"/>
    <w:rsid w:val="00165E3C"/>
    <w:rsid w:val="00166408"/>
    <w:rsid w:val="00166A3E"/>
    <w:rsid w:val="00166DE2"/>
    <w:rsid w:val="00167076"/>
    <w:rsid w:val="00167601"/>
    <w:rsid w:val="0016795F"/>
    <w:rsid w:val="00167C9C"/>
    <w:rsid w:val="00167D6F"/>
    <w:rsid w:val="00167FF2"/>
    <w:rsid w:val="00170ABF"/>
    <w:rsid w:val="00170E79"/>
    <w:rsid w:val="00171138"/>
    <w:rsid w:val="00171243"/>
    <w:rsid w:val="00171729"/>
    <w:rsid w:val="00172617"/>
    <w:rsid w:val="00172851"/>
    <w:rsid w:val="00172BC3"/>
    <w:rsid w:val="001734A0"/>
    <w:rsid w:val="001735A0"/>
    <w:rsid w:val="00173722"/>
    <w:rsid w:val="00173CA3"/>
    <w:rsid w:val="00173F6A"/>
    <w:rsid w:val="00173FB5"/>
    <w:rsid w:val="001742BB"/>
    <w:rsid w:val="00174428"/>
    <w:rsid w:val="00174825"/>
    <w:rsid w:val="00174BD0"/>
    <w:rsid w:val="00174C99"/>
    <w:rsid w:val="00174D9A"/>
    <w:rsid w:val="0017552F"/>
    <w:rsid w:val="00175A5E"/>
    <w:rsid w:val="00176065"/>
    <w:rsid w:val="001771B7"/>
    <w:rsid w:val="001771D7"/>
    <w:rsid w:val="001773F2"/>
    <w:rsid w:val="00177508"/>
    <w:rsid w:val="00177832"/>
    <w:rsid w:val="00177C20"/>
    <w:rsid w:val="00177F39"/>
    <w:rsid w:val="00180151"/>
    <w:rsid w:val="001805AA"/>
    <w:rsid w:val="00180FEE"/>
    <w:rsid w:val="00181026"/>
    <w:rsid w:val="00181099"/>
    <w:rsid w:val="0018152F"/>
    <w:rsid w:val="001816F9"/>
    <w:rsid w:val="00181D62"/>
    <w:rsid w:val="00181D63"/>
    <w:rsid w:val="00181DF7"/>
    <w:rsid w:val="0018216B"/>
    <w:rsid w:val="00182187"/>
    <w:rsid w:val="00182433"/>
    <w:rsid w:val="00182DF8"/>
    <w:rsid w:val="0018305D"/>
    <w:rsid w:val="00183CF2"/>
    <w:rsid w:val="00183F61"/>
    <w:rsid w:val="0018527A"/>
    <w:rsid w:val="0018533F"/>
    <w:rsid w:val="001865E8"/>
    <w:rsid w:val="00186627"/>
    <w:rsid w:val="0018689B"/>
    <w:rsid w:val="00186963"/>
    <w:rsid w:val="00186C0C"/>
    <w:rsid w:val="00186C35"/>
    <w:rsid w:val="001871F4"/>
    <w:rsid w:val="001873EE"/>
    <w:rsid w:val="001903A7"/>
    <w:rsid w:val="00190744"/>
    <w:rsid w:val="00190D91"/>
    <w:rsid w:val="00192043"/>
    <w:rsid w:val="00192BB0"/>
    <w:rsid w:val="00192EB9"/>
    <w:rsid w:val="00193AFA"/>
    <w:rsid w:val="001942A0"/>
    <w:rsid w:val="0019431D"/>
    <w:rsid w:val="00194600"/>
    <w:rsid w:val="00194732"/>
    <w:rsid w:val="00194E4A"/>
    <w:rsid w:val="00195A6A"/>
    <w:rsid w:val="00195C1F"/>
    <w:rsid w:val="00195CC7"/>
    <w:rsid w:val="00195EDE"/>
    <w:rsid w:val="0019654F"/>
    <w:rsid w:val="00196838"/>
    <w:rsid w:val="00197004"/>
    <w:rsid w:val="00197506"/>
    <w:rsid w:val="001A0FB1"/>
    <w:rsid w:val="001A11BE"/>
    <w:rsid w:val="001A11C2"/>
    <w:rsid w:val="001A13A6"/>
    <w:rsid w:val="001A175F"/>
    <w:rsid w:val="001A2739"/>
    <w:rsid w:val="001A27F8"/>
    <w:rsid w:val="001A37D0"/>
    <w:rsid w:val="001A3A32"/>
    <w:rsid w:val="001A411E"/>
    <w:rsid w:val="001A44A4"/>
    <w:rsid w:val="001A47D6"/>
    <w:rsid w:val="001A47E3"/>
    <w:rsid w:val="001A4C15"/>
    <w:rsid w:val="001A54DC"/>
    <w:rsid w:val="001A55E2"/>
    <w:rsid w:val="001A5C91"/>
    <w:rsid w:val="001A60DB"/>
    <w:rsid w:val="001A62AC"/>
    <w:rsid w:val="001A6A0E"/>
    <w:rsid w:val="001A6FE0"/>
    <w:rsid w:val="001A6FE5"/>
    <w:rsid w:val="001A71AA"/>
    <w:rsid w:val="001A754D"/>
    <w:rsid w:val="001A765D"/>
    <w:rsid w:val="001A76E0"/>
    <w:rsid w:val="001A774C"/>
    <w:rsid w:val="001A7B03"/>
    <w:rsid w:val="001A7C11"/>
    <w:rsid w:val="001B0353"/>
    <w:rsid w:val="001B0585"/>
    <w:rsid w:val="001B0DCB"/>
    <w:rsid w:val="001B12AF"/>
    <w:rsid w:val="001B12BE"/>
    <w:rsid w:val="001B2281"/>
    <w:rsid w:val="001B2916"/>
    <w:rsid w:val="001B3370"/>
    <w:rsid w:val="001B3FCC"/>
    <w:rsid w:val="001B40D9"/>
    <w:rsid w:val="001B48DA"/>
    <w:rsid w:val="001B4975"/>
    <w:rsid w:val="001B526F"/>
    <w:rsid w:val="001B5717"/>
    <w:rsid w:val="001B57FE"/>
    <w:rsid w:val="001B5812"/>
    <w:rsid w:val="001B5C20"/>
    <w:rsid w:val="001B615F"/>
    <w:rsid w:val="001B6284"/>
    <w:rsid w:val="001B67F8"/>
    <w:rsid w:val="001B6A71"/>
    <w:rsid w:val="001B759C"/>
    <w:rsid w:val="001B763E"/>
    <w:rsid w:val="001C04F6"/>
    <w:rsid w:val="001C069F"/>
    <w:rsid w:val="001C088E"/>
    <w:rsid w:val="001C0899"/>
    <w:rsid w:val="001C091D"/>
    <w:rsid w:val="001C1575"/>
    <w:rsid w:val="001C18A0"/>
    <w:rsid w:val="001C19CB"/>
    <w:rsid w:val="001C1A8D"/>
    <w:rsid w:val="001C1F8B"/>
    <w:rsid w:val="001C24A8"/>
    <w:rsid w:val="001C2E93"/>
    <w:rsid w:val="001C32D8"/>
    <w:rsid w:val="001C3A17"/>
    <w:rsid w:val="001C3A7B"/>
    <w:rsid w:val="001C4CE3"/>
    <w:rsid w:val="001C54F7"/>
    <w:rsid w:val="001C5CF3"/>
    <w:rsid w:val="001C632B"/>
    <w:rsid w:val="001C6622"/>
    <w:rsid w:val="001C6AE1"/>
    <w:rsid w:val="001C7479"/>
    <w:rsid w:val="001C77EF"/>
    <w:rsid w:val="001C7D48"/>
    <w:rsid w:val="001D00DF"/>
    <w:rsid w:val="001D02E0"/>
    <w:rsid w:val="001D0438"/>
    <w:rsid w:val="001D0D45"/>
    <w:rsid w:val="001D0FFF"/>
    <w:rsid w:val="001D1021"/>
    <w:rsid w:val="001D1076"/>
    <w:rsid w:val="001D12F1"/>
    <w:rsid w:val="001D1BF1"/>
    <w:rsid w:val="001D22A0"/>
    <w:rsid w:val="001D23ED"/>
    <w:rsid w:val="001D3707"/>
    <w:rsid w:val="001D4974"/>
    <w:rsid w:val="001D4C48"/>
    <w:rsid w:val="001D5967"/>
    <w:rsid w:val="001D5C48"/>
    <w:rsid w:val="001D5D6A"/>
    <w:rsid w:val="001D61CD"/>
    <w:rsid w:val="001D648B"/>
    <w:rsid w:val="001D6710"/>
    <w:rsid w:val="001D674A"/>
    <w:rsid w:val="001D69B6"/>
    <w:rsid w:val="001D7ABD"/>
    <w:rsid w:val="001D7D08"/>
    <w:rsid w:val="001D7E93"/>
    <w:rsid w:val="001E02BA"/>
    <w:rsid w:val="001E0ACB"/>
    <w:rsid w:val="001E0D65"/>
    <w:rsid w:val="001E1E88"/>
    <w:rsid w:val="001E1F88"/>
    <w:rsid w:val="001E21F2"/>
    <w:rsid w:val="001E2BF8"/>
    <w:rsid w:val="001E3303"/>
    <w:rsid w:val="001E34AE"/>
    <w:rsid w:val="001E3A80"/>
    <w:rsid w:val="001E3AE5"/>
    <w:rsid w:val="001E3F85"/>
    <w:rsid w:val="001E3FD2"/>
    <w:rsid w:val="001E4097"/>
    <w:rsid w:val="001E48B0"/>
    <w:rsid w:val="001E5676"/>
    <w:rsid w:val="001E5BF5"/>
    <w:rsid w:val="001E67E4"/>
    <w:rsid w:val="001E7609"/>
    <w:rsid w:val="001E7811"/>
    <w:rsid w:val="001E78F6"/>
    <w:rsid w:val="001E7B33"/>
    <w:rsid w:val="001F009C"/>
    <w:rsid w:val="001F1BC4"/>
    <w:rsid w:val="001F1D94"/>
    <w:rsid w:val="001F208A"/>
    <w:rsid w:val="001F23C4"/>
    <w:rsid w:val="001F27CD"/>
    <w:rsid w:val="001F284D"/>
    <w:rsid w:val="001F2BBB"/>
    <w:rsid w:val="001F2CC2"/>
    <w:rsid w:val="001F3367"/>
    <w:rsid w:val="001F4232"/>
    <w:rsid w:val="001F52FD"/>
    <w:rsid w:val="001F5A04"/>
    <w:rsid w:val="001F611C"/>
    <w:rsid w:val="001F62CC"/>
    <w:rsid w:val="001F7082"/>
    <w:rsid w:val="001F7154"/>
    <w:rsid w:val="001F77A8"/>
    <w:rsid w:val="001F7C8E"/>
    <w:rsid w:val="00200064"/>
    <w:rsid w:val="0020007A"/>
    <w:rsid w:val="00200264"/>
    <w:rsid w:val="00200677"/>
    <w:rsid w:val="00200A20"/>
    <w:rsid w:val="00200EB1"/>
    <w:rsid w:val="00201200"/>
    <w:rsid w:val="0020123E"/>
    <w:rsid w:val="002012F7"/>
    <w:rsid w:val="0020147F"/>
    <w:rsid w:val="00202698"/>
    <w:rsid w:val="002027F6"/>
    <w:rsid w:val="002036E6"/>
    <w:rsid w:val="00203ABA"/>
    <w:rsid w:val="00203C7D"/>
    <w:rsid w:val="002043F6"/>
    <w:rsid w:val="002050AE"/>
    <w:rsid w:val="0020544C"/>
    <w:rsid w:val="00205718"/>
    <w:rsid w:val="00205FC2"/>
    <w:rsid w:val="00206341"/>
    <w:rsid w:val="002068EB"/>
    <w:rsid w:val="00206D8F"/>
    <w:rsid w:val="002070ED"/>
    <w:rsid w:val="002102A8"/>
    <w:rsid w:val="002106A4"/>
    <w:rsid w:val="0021092B"/>
    <w:rsid w:val="00210A50"/>
    <w:rsid w:val="00210B42"/>
    <w:rsid w:val="00210B91"/>
    <w:rsid w:val="00210D84"/>
    <w:rsid w:val="0021110A"/>
    <w:rsid w:val="00211A08"/>
    <w:rsid w:val="00211CF8"/>
    <w:rsid w:val="0021225A"/>
    <w:rsid w:val="002129C6"/>
    <w:rsid w:val="00212A04"/>
    <w:rsid w:val="00212CE5"/>
    <w:rsid w:val="0021310A"/>
    <w:rsid w:val="00213694"/>
    <w:rsid w:val="00213BBA"/>
    <w:rsid w:val="00213F70"/>
    <w:rsid w:val="0021484D"/>
    <w:rsid w:val="0021501E"/>
    <w:rsid w:val="00215066"/>
    <w:rsid w:val="002153EA"/>
    <w:rsid w:val="00215477"/>
    <w:rsid w:val="00215556"/>
    <w:rsid w:val="00215818"/>
    <w:rsid w:val="00216046"/>
    <w:rsid w:val="0021659A"/>
    <w:rsid w:val="00216686"/>
    <w:rsid w:val="002171B3"/>
    <w:rsid w:val="002171BE"/>
    <w:rsid w:val="002176A5"/>
    <w:rsid w:val="00217748"/>
    <w:rsid w:val="0021794D"/>
    <w:rsid w:val="00217EE6"/>
    <w:rsid w:val="00220093"/>
    <w:rsid w:val="00220A93"/>
    <w:rsid w:val="00220E6D"/>
    <w:rsid w:val="0022112E"/>
    <w:rsid w:val="0022147A"/>
    <w:rsid w:val="002215E3"/>
    <w:rsid w:val="00221614"/>
    <w:rsid w:val="00221A80"/>
    <w:rsid w:val="00221B2D"/>
    <w:rsid w:val="00221BDE"/>
    <w:rsid w:val="0022207B"/>
    <w:rsid w:val="00222C02"/>
    <w:rsid w:val="00223AA8"/>
    <w:rsid w:val="0022458E"/>
    <w:rsid w:val="002246AD"/>
    <w:rsid w:val="00224B80"/>
    <w:rsid w:val="00224E05"/>
    <w:rsid w:val="002250BD"/>
    <w:rsid w:val="00225672"/>
    <w:rsid w:val="0022638B"/>
    <w:rsid w:val="002267CC"/>
    <w:rsid w:val="002268B8"/>
    <w:rsid w:val="00226A65"/>
    <w:rsid w:val="00226A91"/>
    <w:rsid w:val="00227744"/>
    <w:rsid w:val="00227B61"/>
    <w:rsid w:val="00227C97"/>
    <w:rsid w:val="00227D5A"/>
    <w:rsid w:val="00230006"/>
    <w:rsid w:val="0023008B"/>
    <w:rsid w:val="002305EE"/>
    <w:rsid w:val="002313AF"/>
    <w:rsid w:val="002314CA"/>
    <w:rsid w:val="002315DA"/>
    <w:rsid w:val="0023170B"/>
    <w:rsid w:val="00231ED1"/>
    <w:rsid w:val="0023234C"/>
    <w:rsid w:val="002323C6"/>
    <w:rsid w:val="002326F9"/>
    <w:rsid w:val="00232E58"/>
    <w:rsid w:val="002330C1"/>
    <w:rsid w:val="0023326E"/>
    <w:rsid w:val="00233519"/>
    <w:rsid w:val="002338EB"/>
    <w:rsid w:val="00233DDD"/>
    <w:rsid w:val="0023429F"/>
    <w:rsid w:val="002352E7"/>
    <w:rsid w:val="0023564F"/>
    <w:rsid w:val="002357BC"/>
    <w:rsid w:val="002358B6"/>
    <w:rsid w:val="002358E2"/>
    <w:rsid w:val="00235C15"/>
    <w:rsid w:val="00236594"/>
    <w:rsid w:val="00236876"/>
    <w:rsid w:val="00236973"/>
    <w:rsid w:val="00236AD8"/>
    <w:rsid w:val="00236BA1"/>
    <w:rsid w:val="00236CFF"/>
    <w:rsid w:val="00236F98"/>
    <w:rsid w:val="002370CA"/>
    <w:rsid w:val="002370E8"/>
    <w:rsid w:val="002371B1"/>
    <w:rsid w:val="0023745C"/>
    <w:rsid w:val="00237582"/>
    <w:rsid w:val="00240123"/>
    <w:rsid w:val="00240125"/>
    <w:rsid w:val="00240B24"/>
    <w:rsid w:val="00240CC7"/>
    <w:rsid w:val="0024136C"/>
    <w:rsid w:val="002414C3"/>
    <w:rsid w:val="00241523"/>
    <w:rsid w:val="0024227C"/>
    <w:rsid w:val="00242562"/>
    <w:rsid w:val="00242624"/>
    <w:rsid w:val="00242762"/>
    <w:rsid w:val="0024384B"/>
    <w:rsid w:val="002438D3"/>
    <w:rsid w:val="0024408E"/>
    <w:rsid w:val="00244635"/>
    <w:rsid w:val="0024476C"/>
    <w:rsid w:val="00245363"/>
    <w:rsid w:val="0024557E"/>
    <w:rsid w:val="00245603"/>
    <w:rsid w:val="00245CB1"/>
    <w:rsid w:val="002468B6"/>
    <w:rsid w:val="002471FD"/>
    <w:rsid w:val="00247692"/>
    <w:rsid w:val="002477AD"/>
    <w:rsid w:val="00247E09"/>
    <w:rsid w:val="00247F5B"/>
    <w:rsid w:val="00250029"/>
    <w:rsid w:val="00250377"/>
    <w:rsid w:val="0025076B"/>
    <w:rsid w:val="00251343"/>
    <w:rsid w:val="00252007"/>
    <w:rsid w:val="002523CB"/>
    <w:rsid w:val="00252440"/>
    <w:rsid w:val="0025325A"/>
    <w:rsid w:val="0025365A"/>
    <w:rsid w:val="00253A9E"/>
    <w:rsid w:val="00253CCD"/>
    <w:rsid w:val="00253DF2"/>
    <w:rsid w:val="002540E9"/>
    <w:rsid w:val="002551B8"/>
    <w:rsid w:val="002553BF"/>
    <w:rsid w:val="002553E6"/>
    <w:rsid w:val="00255B0F"/>
    <w:rsid w:val="0025607B"/>
    <w:rsid w:val="002566EF"/>
    <w:rsid w:val="00256905"/>
    <w:rsid w:val="00257701"/>
    <w:rsid w:val="00260639"/>
    <w:rsid w:val="00260F32"/>
    <w:rsid w:val="00261070"/>
    <w:rsid w:val="002618F5"/>
    <w:rsid w:val="00261909"/>
    <w:rsid w:val="00261D63"/>
    <w:rsid w:val="00261EB8"/>
    <w:rsid w:val="002620F8"/>
    <w:rsid w:val="002627FE"/>
    <w:rsid w:val="0026285F"/>
    <w:rsid w:val="00262C7E"/>
    <w:rsid w:val="00262CD1"/>
    <w:rsid w:val="00262E10"/>
    <w:rsid w:val="002631A1"/>
    <w:rsid w:val="002632DC"/>
    <w:rsid w:val="002632EA"/>
    <w:rsid w:val="002636EF"/>
    <w:rsid w:val="0026374A"/>
    <w:rsid w:val="0026408C"/>
    <w:rsid w:val="00264508"/>
    <w:rsid w:val="002650AE"/>
    <w:rsid w:val="00265A58"/>
    <w:rsid w:val="002660BF"/>
    <w:rsid w:val="002664D3"/>
    <w:rsid w:val="002664F6"/>
    <w:rsid w:val="00266D91"/>
    <w:rsid w:val="0026721E"/>
    <w:rsid w:val="00267340"/>
    <w:rsid w:val="002674CC"/>
    <w:rsid w:val="00267668"/>
    <w:rsid w:val="00267C32"/>
    <w:rsid w:val="00267C45"/>
    <w:rsid w:val="00267CAF"/>
    <w:rsid w:val="0027003A"/>
    <w:rsid w:val="002702D9"/>
    <w:rsid w:val="002703A1"/>
    <w:rsid w:val="0027105B"/>
    <w:rsid w:val="00271AF5"/>
    <w:rsid w:val="00271EA9"/>
    <w:rsid w:val="00272A7C"/>
    <w:rsid w:val="00272DA9"/>
    <w:rsid w:val="00272F02"/>
    <w:rsid w:val="00272FBF"/>
    <w:rsid w:val="0027385B"/>
    <w:rsid w:val="002739D1"/>
    <w:rsid w:val="00273D28"/>
    <w:rsid w:val="002742C1"/>
    <w:rsid w:val="0027544D"/>
    <w:rsid w:val="002755CD"/>
    <w:rsid w:val="00275B4F"/>
    <w:rsid w:val="00276018"/>
    <w:rsid w:val="00276851"/>
    <w:rsid w:val="00276878"/>
    <w:rsid w:val="0027690C"/>
    <w:rsid w:val="00276E7C"/>
    <w:rsid w:val="00277354"/>
    <w:rsid w:val="00277453"/>
    <w:rsid w:val="00277B47"/>
    <w:rsid w:val="00277B51"/>
    <w:rsid w:val="00277D60"/>
    <w:rsid w:val="002808E8"/>
    <w:rsid w:val="00280CA4"/>
    <w:rsid w:val="00281564"/>
    <w:rsid w:val="002816DB"/>
    <w:rsid w:val="00281BB4"/>
    <w:rsid w:val="002821D5"/>
    <w:rsid w:val="00282331"/>
    <w:rsid w:val="00282636"/>
    <w:rsid w:val="00282C01"/>
    <w:rsid w:val="00282E14"/>
    <w:rsid w:val="00283E59"/>
    <w:rsid w:val="00283FAD"/>
    <w:rsid w:val="00284064"/>
    <w:rsid w:val="0028467A"/>
    <w:rsid w:val="002847F1"/>
    <w:rsid w:val="00284AE9"/>
    <w:rsid w:val="00284BA4"/>
    <w:rsid w:val="0028506A"/>
    <w:rsid w:val="002850B0"/>
    <w:rsid w:val="002857D5"/>
    <w:rsid w:val="002859BC"/>
    <w:rsid w:val="00285FC2"/>
    <w:rsid w:val="002861C8"/>
    <w:rsid w:val="002863D7"/>
    <w:rsid w:val="00286D81"/>
    <w:rsid w:val="00286FAD"/>
    <w:rsid w:val="00287173"/>
    <w:rsid w:val="002873B4"/>
    <w:rsid w:val="00287B0A"/>
    <w:rsid w:val="00287C77"/>
    <w:rsid w:val="00287D53"/>
    <w:rsid w:val="0029033D"/>
    <w:rsid w:val="0029044A"/>
    <w:rsid w:val="00290EB6"/>
    <w:rsid w:val="00291562"/>
    <w:rsid w:val="002915EA"/>
    <w:rsid w:val="002922B9"/>
    <w:rsid w:val="002926DE"/>
    <w:rsid w:val="00292AB5"/>
    <w:rsid w:val="00292BA8"/>
    <w:rsid w:val="00292CA0"/>
    <w:rsid w:val="002933B8"/>
    <w:rsid w:val="0029357C"/>
    <w:rsid w:val="00293E69"/>
    <w:rsid w:val="002943EF"/>
    <w:rsid w:val="0029443F"/>
    <w:rsid w:val="00294574"/>
    <w:rsid w:val="00294F7A"/>
    <w:rsid w:val="002959E9"/>
    <w:rsid w:val="00295E60"/>
    <w:rsid w:val="002960F3"/>
    <w:rsid w:val="0029653E"/>
    <w:rsid w:val="002967C0"/>
    <w:rsid w:val="0029690B"/>
    <w:rsid w:val="00296ACB"/>
    <w:rsid w:val="00297147"/>
    <w:rsid w:val="00297637"/>
    <w:rsid w:val="002976DD"/>
    <w:rsid w:val="0029772D"/>
    <w:rsid w:val="00297E52"/>
    <w:rsid w:val="002A0B5D"/>
    <w:rsid w:val="002A169E"/>
    <w:rsid w:val="002A16A4"/>
    <w:rsid w:val="002A1F94"/>
    <w:rsid w:val="002A24C3"/>
    <w:rsid w:val="002A3271"/>
    <w:rsid w:val="002A3B16"/>
    <w:rsid w:val="002A43C2"/>
    <w:rsid w:val="002A4412"/>
    <w:rsid w:val="002A5332"/>
    <w:rsid w:val="002A5E3E"/>
    <w:rsid w:val="002A67C2"/>
    <w:rsid w:val="002A69EA"/>
    <w:rsid w:val="002A6BBA"/>
    <w:rsid w:val="002A6C02"/>
    <w:rsid w:val="002A7007"/>
    <w:rsid w:val="002A7EBE"/>
    <w:rsid w:val="002B11E7"/>
    <w:rsid w:val="002B13F6"/>
    <w:rsid w:val="002B1481"/>
    <w:rsid w:val="002B16B0"/>
    <w:rsid w:val="002B1B65"/>
    <w:rsid w:val="002B2048"/>
    <w:rsid w:val="002B311D"/>
    <w:rsid w:val="002B378C"/>
    <w:rsid w:val="002B398E"/>
    <w:rsid w:val="002B3A17"/>
    <w:rsid w:val="002B3DFE"/>
    <w:rsid w:val="002B3E29"/>
    <w:rsid w:val="002B3F86"/>
    <w:rsid w:val="002B4CA1"/>
    <w:rsid w:val="002B512D"/>
    <w:rsid w:val="002B58D7"/>
    <w:rsid w:val="002B58FF"/>
    <w:rsid w:val="002B6201"/>
    <w:rsid w:val="002B621F"/>
    <w:rsid w:val="002B6DA7"/>
    <w:rsid w:val="002B70F4"/>
    <w:rsid w:val="002B7651"/>
    <w:rsid w:val="002B7E45"/>
    <w:rsid w:val="002C028C"/>
    <w:rsid w:val="002C02DB"/>
    <w:rsid w:val="002C098B"/>
    <w:rsid w:val="002C0BB0"/>
    <w:rsid w:val="002C1866"/>
    <w:rsid w:val="002C1917"/>
    <w:rsid w:val="002C1E31"/>
    <w:rsid w:val="002C1E86"/>
    <w:rsid w:val="002C292D"/>
    <w:rsid w:val="002C2BE6"/>
    <w:rsid w:val="002C379F"/>
    <w:rsid w:val="002C37BE"/>
    <w:rsid w:val="002C37E5"/>
    <w:rsid w:val="002C38F7"/>
    <w:rsid w:val="002C45DF"/>
    <w:rsid w:val="002C48E0"/>
    <w:rsid w:val="002C4A13"/>
    <w:rsid w:val="002C4D1C"/>
    <w:rsid w:val="002C6199"/>
    <w:rsid w:val="002C6743"/>
    <w:rsid w:val="002D05C5"/>
    <w:rsid w:val="002D0B58"/>
    <w:rsid w:val="002D1F41"/>
    <w:rsid w:val="002D2426"/>
    <w:rsid w:val="002D266F"/>
    <w:rsid w:val="002D2E48"/>
    <w:rsid w:val="002D2FA0"/>
    <w:rsid w:val="002D33A2"/>
    <w:rsid w:val="002D33CA"/>
    <w:rsid w:val="002D3449"/>
    <w:rsid w:val="002D3562"/>
    <w:rsid w:val="002D3789"/>
    <w:rsid w:val="002D474E"/>
    <w:rsid w:val="002D4835"/>
    <w:rsid w:val="002D4928"/>
    <w:rsid w:val="002D4B4E"/>
    <w:rsid w:val="002D4C70"/>
    <w:rsid w:val="002D5181"/>
    <w:rsid w:val="002D5497"/>
    <w:rsid w:val="002D5B03"/>
    <w:rsid w:val="002D5F4F"/>
    <w:rsid w:val="002D603A"/>
    <w:rsid w:val="002D60FE"/>
    <w:rsid w:val="002D6A3D"/>
    <w:rsid w:val="002D7D60"/>
    <w:rsid w:val="002E0BA6"/>
    <w:rsid w:val="002E0C64"/>
    <w:rsid w:val="002E0F98"/>
    <w:rsid w:val="002E138F"/>
    <w:rsid w:val="002E2504"/>
    <w:rsid w:val="002E25DE"/>
    <w:rsid w:val="002E3490"/>
    <w:rsid w:val="002E383B"/>
    <w:rsid w:val="002E46FA"/>
    <w:rsid w:val="002E526D"/>
    <w:rsid w:val="002E5A1B"/>
    <w:rsid w:val="002E628F"/>
    <w:rsid w:val="002E6C44"/>
    <w:rsid w:val="002E739D"/>
    <w:rsid w:val="002E73A8"/>
    <w:rsid w:val="002E76FF"/>
    <w:rsid w:val="002E7D2B"/>
    <w:rsid w:val="002E7EB7"/>
    <w:rsid w:val="002E7EFF"/>
    <w:rsid w:val="002F0219"/>
    <w:rsid w:val="002F096B"/>
    <w:rsid w:val="002F0D45"/>
    <w:rsid w:val="002F10AD"/>
    <w:rsid w:val="002F121B"/>
    <w:rsid w:val="002F2505"/>
    <w:rsid w:val="002F2511"/>
    <w:rsid w:val="002F28E4"/>
    <w:rsid w:val="002F29D7"/>
    <w:rsid w:val="002F2A15"/>
    <w:rsid w:val="002F2D9A"/>
    <w:rsid w:val="002F30D5"/>
    <w:rsid w:val="002F3372"/>
    <w:rsid w:val="002F3C37"/>
    <w:rsid w:val="002F4800"/>
    <w:rsid w:val="002F4CE1"/>
    <w:rsid w:val="002F53B6"/>
    <w:rsid w:val="002F5879"/>
    <w:rsid w:val="002F5D6C"/>
    <w:rsid w:val="002F5E96"/>
    <w:rsid w:val="002F6502"/>
    <w:rsid w:val="002F69EC"/>
    <w:rsid w:val="002F6ABA"/>
    <w:rsid w:val="002F6C5E"/>
    <w:rsid w:val="002F6F67"/>
    <w:rsid w:val="002F74EA"/>
    <w:rsid w:val="002F767E"/>
    <w:rsid w:val="002F7934"/>
    <w:rsid w:val="0030049F"/>
    <w:rsid w:val="0030053D"/>
    <w:rsid w:val="00300A84"/>
    <w:rsid w:val="00300F22"/>
    <w:rsid w:val="00300FE5"/>
    <w:rsid w:val="0030131B"/>
    <w:rsid w:val="003018E3"/>
    <w:rsid w:val="00301B3B"/>
    <w:rsid w:val="00301CBB"/>
    <w:rsid w:val="003026F1"/>
    <w:rsid w:val="00303420"/>
    <w:rsid w:val="00303890"/>
    <w:rsid w:val="00304025"/>
    <w:rsid w:val="0030460F"/>
    <w:rsid w:val="003047EF"/>
    <w:rsid w:val="00304949"/>
    <w:rsid w:val="0030498B"/>
    <w:rsid w:val="00304A37"/>
    <w:rsid w:val="00304B11"/>
    <w:rsid w:val="00305032"/>
    <w:rsid w:val="00305495"/>
    <w:rsid w:val="00305621"/>
    <w:rsid w:val="00305EF2"/>
    <w:rsid w:val="0030643F"/>
    <w:rsid w:val="00306ACE"/>
    <w:rsid w:val="00306CC2"/>
    <w:rsid w:val="0030706D"/>
    <w:rsid w:val="003072C1"/>
    <w:rsid w:val="00307944"/>
    <w:rsid w:val="0031007D"/>
    <w:rsid w:val="0031040E"/>
    <w:rsid w:val="00310726"/>
    <w:rsid w:val="00310ED4"/>
    <w:rsid w:val="00311144"/>
    <w:rsid w:val="003113EA"/>
    <w:rsid w:val="00311E4F"/>
    <w:rsid w:val="00311E7A"/>
    <w:rsid w:val="00312011"/>
    <w:rsid w:val="00312301"/>
    <w:rsid w:val="003128C5"/>
    <w:rsid w:val="003137E9"/>
    <w:rsid w:val="0031452B"/>
    <w:rsid w:val="0031492A"/>
    <w:rsid w:val="0031541C"/>
    <w:rsid w:val="00315503"/>
    <w:rsid w:val="003157F5"/>
    <w:rsid w:val="00315CAC"/>
    <w:rsid w:val="00315FB0"/>
    <w:rsid w:val="00316197"/>
    <w:rsid w:val="00316A81"/>
    <w:rsid w:val="00316C1A"/>
    <w:rsid w:val="00316E67"/>
    <w:rsid w:val="003170D6"/>
    <w:rsid w:val="00320344"/>
    <w:rsid w:val="0032038F"/>
    <w:rsid w:val="003204DF"/>
    <w:rsid w:val="0032081B"/>
    <w:rsid w:val="0032150B"/>
    <w:rsid w:val="003216AB"/>
    <w:rsid w:val="00321C64"/>
    <w:rsid w:val="00321EFF"/>
    <w:rsid w:val="00322E2B"/>
    <w:rsid w:val="0032357E"/>
    <w:rsid w:val="00323B2C"/>
    <w:rsid w:val="00323C73"/>
    <w:rsid w:val="00323E0A"/>
    <w:rsid w:val="0032436F"/>
    <w:rsid w:val="0032447C"/>
    <w:rsid w:val="003244A2"/>
    <w:rsid w:val="00324A64"/>
    <w:rsid w:val="003250E3"/>
    <w:rsid w:val="00325890"/>
    <w:rsid w:val="00325A14"/>
    <w:rsid w:val="003261E7"/>
    <w:rsid w:val="00326311"/>
    <w:rsid w:val="00326907"/>
    <w:rsid w:val="00326B8F"/>
    <w:rsid w:val="00326EB5"/>
    <w:rsid w:val="00326FF2"/>
    <w:rsid w:val="0032776A"/>
    <w:rsid w:val="00327916"/>
    <w:rsid w:val="003307E6"/>
    <w:rsid w:val="00330E6C"/>
    <w:rsid w:val="00331141"/>
    <w:rsid w:val="003314A0"/>
    <w:rsid w:val="00331974"/>
    <w:rsid w:val="0033197F"/>
    <w:rsid w:val="00331B9E"/>
    <w:rsid w:val="00331D63"/>
    <w:rsid w:val="003320A5"/>
    <w:rsid w:val="003320B3"/>
    <w:rsid w:val="00332B32"/>
    <w:rsid w:val="00332C70"/>
    <w:rsid w:val="00332FDD"/>
    <w:rsid w:val="00333348"/>
    <w:rsid w:val="00333C71"/>
    <w:rsid w:val="00333F4A"/>
    <w:rsid w:val="0033540F"/>
    <w:rsid w:val="0033606C"/>
    <w:rsid w:val="0033624F"/>
    <w:rsid w:val="00336A1D"/>
    <w:rsid w:val="00337503"/>
    <w:rsid w:val="00337673"/>
    <w:rsid w:val="00337ADD"/>
    <w:rsid w:val="00337C00"/>
    <w:rsid w:val="00337F5D"/>
    <w:rsid w:val="00340044"/>
    <w:rsid w:val="003400A3"/>
    <w:rsid w:val="00340C67"/>
    <w:rsid w:val="00340D05"/>
    <w:rsid w:val="0034103D"/>
    <w:rsid w:val="00341795"/>
    <w:rsid w:val="003417C1"/>
    <w:rsid w:val="003423F4"/>
    <w:rsid w:val="00342871"/>
    <w:rsid w:val="003429F3"/>
    <w:rsid w:val="00342E98"/>
    <w:rsid w:val="00343414"/>
    <w:rsid w:val="003434D7"/>
    <w:rsid w:val="00343DCA"/>
    <w:rsid w:val="003442AD"/>
    <w:rsid w:val="0034446B"/>
    <w:rsid w:val="00344758"/>
    <w:rsid w:val="0034480A"/>
    <w:rsid w:val="00344CDF"/>
    <w:rsid w:val="00345536"/>
    <w:rsid w:val="00345BAE"/>
    <w:rsid w:val="00345D14"/>
    <w:rsid w:val="00346172"/>
    <w:rsid w:val="00346293"/>
    <w:rsid w:val="003468AF"/>
    <w:rsid w:val="00346AB5"/>
    <w:rsid w:val="00346FBC"/>
    <w:rsid w:val="00347142"/>
    <w:rsid w:val="00347A3A"/>
    <w:rsid w:val="00347B1C"/>
    <w:rsid w:val="003503E5"/>
    <w:rsid w:val="003507C4"/>
    <w:rsid w:val="003508A5"/>
    <w:rsid w:val="00350D1B"/>
    <w:rsid w:val="003510CA"/>
    <w:rsid w:val="00351108"/>
    <w:rsid w:val="003515AD"/>
    <w:rsid w:val="00351A42"/>
    <w:rsid w:val="00352038"/>
    <w:rsid w:val="00352067"/>
    <w:rsid w:val="0035286E"/>
    <w:rsid w:val="00352C6D"/>
    <w:rsid w:val="00353190"/>
    <w:rsid w:val="003532CB"/>
    <w:rsid w:val="0035337D"/>
    <w:rsid w:val="00353E04"/>
    <w:rsid w:val="0035423C"/>
    <w:rsid w:val="00354341"/>
    <w:rsid w:val="003547F3"/>
    <w:rsid w:val="003549EE"/>
    <w:rsid w:val="00354D15"/>
    <w:rsid w:val="00354E37"/>
    <w:rsid w:val="00355103"/>
    <w:rsid w:val="003554FB"/>
    <w:rsid w:val="00355705"/>
    <w:rsid w:val="00355B12"/>
    <w:rsid w:val="00355BF3"/>
    <w:rsid w:val="00355C8D"/>
    <w:rsid w:val="0035602D"/>
    <w:rsid w:val="003565A8"/>
    <w:rsid w:val="003566EA"/>
    <w:rsid w:val="003569D7"/>
    <w:rsid w:val="0035736D"/>
    <w:rsid w:val="00357681"/>
    <w:rsid w:val="00357883"/>
    <w:rsid w:val="00357A57"/>
    <w:rsid w:val="00357C4F"/>
    <w:rsid w:val="00357F05"/>
    <w:rsid w:val="003602A3"/>
    <w:rsid w:val="003604D0"/>
    <w:rsid w:val="00360661"/>
    <w:rsid w:val="003610AF"/>
    <w:rsid w:val="00361140"/>
    <w:rsid w:val="003616E6"/>
    <w:rsid w:val="003618C2"/>
    <w:rsid w:val="00361E93"/>
    <w:rsid w:val="003620DD"/>
    <w:rsid w:val="00362979"/>
    <w:rsid w:val="00362F4E"/>
    <w:rsid w:val="00362FD8"/>
    <w:rsid w:val="0036362B"/>
    <w:rsid w:val="00363746"/>
    <w:rsid w:val="0036383A"/>
    <w:rsid w:val="00364040"/>
    <w:rsid w:val="003646E2"/>
    <w:rsid w:val="0036491D"/>
    <w:rsid w:val="00364BFE"/>
    <w:rsid w:val="00364FEF"/>
    <w:rsid w:val="003656A0"/>
    <w:rsid w:val="00365B8D"/>
    <w:rsid w:val="00365D56"/>
    <w:rsid w:val="003660E1"/>
    <w:rsid w:val="0036658D"/>
    <w:rsid w:val="00366BEA"/>
    <w:rsid w:val="00367019"/>
    <w:rsid w:val="003670CD"/>
    <w:rsid w:val="0036713A"/>
    <w:rsid w:val="0036745C"/>
    <w:rsid w:val="00367BC5"/>
    <w:rsid w:val="00367FD8"/>
    <w:rsid w:val="003704A7"/>
    <w:rsid w:val="0037055C"/>
    <w:rsid w:val="00371054"/>
    <w:rsid w:val="00372388"/>
    <w:rsid w:val="003724E6"/>
    <w:rsid w:val="0037295A"/>
    <w:rsid w:val="00372991"/>
    <w:rsid w:val="00372C79"/>
    <w:rsid w:val="0037448A"/>
    <w:rsid w:val="00374AB3"/>
    <w:rsid w:val="00376B0A"/>
    <w:rsid w:val="00376B73"/>
    <w:rsid w:val="00376C7C"/>
    <w:rsid w:val="003773C7"/>
    <w:rsid w:val="00380101"/>
    <w:rsid w:val="003805A5"/>
    <w:rsid w:val="00380759"/>
    <w:rsid w:val="003808E8"/>
    <w:rsid w:val="00380E26"/>
    <w:rsid w:val="0038119F"/>
    <w:rsid w:val="00381663"/>
    <w:rsid w:val="0038253C"/>
    <w:rsid w:val="003826C2"/>
    <w:rsid w:val="003829A9"/>
    <w:rsid w:val="003833F1"/>
    <w:rsid w:val="0038361F"/>
    <w:rsid w:val="00383C4A"/>
    <w:rsid w:val="00383ED8"/>
    <w:rsid w:val="00383EE7"/>
    <w:rsid w:val="00384478"/>
    <w:rsid w:val="00384884"/>
    <w:rsid w:val="00384B02"/>
    <w:rsid w:val="0038500D"/>
    <w:rsid w:val="003855F6"/>
    <w:rsid w:val="00385AB2"/>
    <w:rsid w:val="00386A13"/>
    <w:rsid w:val="00386AFC"/>
    <w:rsid w:val="0038752A"/>
    <w:rsid w:val="00387597"/>
    <w:rsid w:val="003875D5"/>
    <w:rsid w:val="003903EC"/>
    <w:rsid w:val="00390E16"/>
    <w:rsid w:val="00391779"/>
    <w:rsid w:val="0039229B"/>
    <w:rsid w:val="00392484"/>
    <w:rsid w:val="0039307D"/>
    <w:rsid w:val="00393925"/>
    <w:rsid w:val="00393C0B"/>
    <w:rsid w:val="00394054"/>
    <w:rsid w:val="00394247"/>
    <w:rsid w:val="003946B6"/>
    <w:rsid w:val="0039470C"/>
    <w:rsid w:val="003948CB"/>
    <w:rsid w:val="00394D8E"/>
    <w:rsid w:val="003954AD"/>
    <w:rsid w:val="00395DB4"/>
    <w:rsid w:val="003962D7"/>
    <w:rsid w:val="0039682F"/>
    <w:rsid w:val="003969D6"/>
    <w:rsid w:val="0039741C"/>
    <w:rsid w:val="003977B3"/>
    <w:rsid w:val="00397967"/>
    <w:rsid w:val="00397A25"/>
    <w:rsid w:val="00397D29"/>
    <w:rsid w:val="003A0394"/>
    <w:rsid w:val="003A0835"/>
    <w:rsid w:val="003A0D3F"/>
    <w:rsid w:val="003A0D59"/>
    <w:rsid w:val="003A0DBD"/>
    <w:rsid w:val="003A168E"/>
    <w:rsid w:val="003A195C"/>
    <w:rsid w:val="003A1BAC"/>
    <w:rsid w:val="003A2BA1"/>
    <w:rsid w:val="003A2C64"/>
    <w:rsid w:val="003A32A2"/>
    <w:rsid w:val="003A3854"/>
    <w:rsid w:val="003A4373"/>
    <w:rsid w:val="003A45E9"/>
    <w:rsid w:val="003A4802"/>
    <w:rsid w:val="003A48B7"/>
    <w:rsid w:val="003A48C6"/>
    <w:rsid w:val="003A49A0"/>
    <w:rsid w:val="003A4BA3"/>
    <w:rsid w:val="003A4CE1"/>
    <w:rsid w:val="003A503E"/>
    <w:rsid w:val="003A5B00"/>
    <w:rsid w:val="003A5F04"/>
    <w:rsid w:val="003A6BAD"/>
    <w:rsid w:val="003A6DB1"/>
    <w:rsid w:val="003A6E2A"/>
    <w:rsid w:val="003A7AF5"/>
    <w:rsid w:val="003B02FA"/>
    <w:rsid w:val="003B064D"/>
    <w:rsid w:val="003B089C"/>
    <w:rsid w:val="003B0B5C"/>
    <w:rsid w:val="003B1130"/>
    <w:rsid w:val="003B1731"/>
    <w:rsid w:val="003B1F66"/>
    <w:rsid w:val="003B2589"/>
    <w:rsid w:val="003B27FD"/>
    <w:rsid w:val="003B2D94"/>
    <w:rsid w:val="003B370E"/>
    <w:rsid w:val="003B3711"/>
    <w:rsid w:val="003B3919"/>
    <w:rsid w:val="003B3AFD"/>
    <w:rsid w:val="003B3BB2"/>
    <w:rsid w:val="003B3DD0"/>
    <w:rsid w:val="003B423A"/>
    <w:rsid w:val="003B4C9B"/>
    <w:rsid w:val="003B58CC"/>
    <w:rsid w:val="003B5E58"/>
    <w:rsid w:val="003B6659"/>
    <w:rsid w:val="003B6C84"/>
    <w:rsid w:val="003B6D8D"/>
    <w:rsid w:val="003B7487"/>
    <w:rsid w:val="003C0214"/>
    <w:rsid w:val="003C0610"/>
    <w:rsid w:val="003C0B43"/>
    <w:rsid w:val="003C0BED"/>
    <w:rsid w:val="003C0FFD"/>
    <w:rsid w:val="003C1CC5"/>
    <w:rsid w:val="003C2672"/>
    <w:rsid w:val="003C2F93"/>
    <w:rsid w:val="003C3153"/>
    <w:rsid w:val="003C3197"/>
    <w:rsid w:val="003C3201"/>
    <w:rsid w:val="003C32A6"/>
    <w:rsid w:val="003C34A1"/>
    <w:rsid w:val="003C34C5"/>
    <w:rsid w:val="003C36AF"/>
    <w:rsid w:val="003C36DF"/>
    <w:rsid w:val="003C395C"/>
    <w:rsid w:val="003C3AC8"/>
    <w:rsid w:val="003C3C4E"/>
    <w:rsid w:val="003C4E75"/>
    <w:rsid w:val="003C553E"/>
    <w:rsid w:val="003C5AF8"/>
    <w:rsid w:val="003C5D3A"/>
    <w:rsid w:val="003C6251"/>
    <w:rsid w:val="003C6B1A"/>
    <w:rsid w:val="003C772A"/>
    <w:rsid w:val="003C782A"/>
    <w:rsid w:val="003C7C19"/>
    <w:rsid w:val="003D053E"/>
    <w:rsid w:val="003D0AAB"/>
    <w:rsid w:val="003D1290"/>
    <w:rsid w:val="003D1B43"/>
    <w:rsid w:val="003D237A"/>
    <w:rsid w:val="003D2AF0"/>
    <w:rsid w:val="003D2E7D"/>
    <w:rsid w:val="003D2F1D"/>
    <w:rsid w:val="003D3079"/>
    <w:rsid w:val="003D45E9"/>
    <w:rsid w:val="003D47C4"/>
    <w:rsid w:val="003D5870"/>
    <w:rsid w:val="003D5AE4"/>
    <w:rsid w:val="003D6ADD"/>
    <w:rsid w:val="003D6BA4"/>
    <w:rsid w:val="003D6C2E"/>
    <w:rsid w:val="003D6F8F"/>
    <w:rsid w:val="003D71E8"/>
    <w:rsid w:val="003D7B33"/>
    <w:rsid w:val="003D7BCB"/>
    <w:rsid w:val="003D7C05"/>
    <w:rsid w:val="003E0187"/>
    <w:rsid w:val="003E01A6"/>
    <w:rsid w:val="003E06BE"/>
    <w:rsid w:val="003E08BB"/>
    <w:rsid w:val="003E0955"/>
    <w:rsid w:val="003E0EE8"/>
    <w:rsid w:val="003E10B5"/>
    <w:rsid w:val="003E15A1"/>
    <w:rsid w:val="003E18EB"/>
    <w:rsid w:val="003E2493"/>
    <w:rsid w:val="003E2B11"/>
    <w:rsid w:val="003E3075"/>
    <w:rsid w:val="003E3664"/>
    <w:rsid w:val="003E37AB"/>
    <w:rsid w:val="003E3FBD"/>
    <w:rsid w:val="003E4107"/>
    <w:rsid w:val="003E48E9"/>
    <w:rsid w:val="003E51DA"/>
    <w:rsid w:val="003E5275"/>
    <w:rsid w:val="003E59C0"/>
    <w:rsid w:val="003E5DEF"/>
    <w:rsid w:val="003E679F"/>
    <w:rsid w:val="003E688B"/>
    <w:rsid w:val="003E69BD"/>
    <w:rsid w:val="003E6DFC"/>
    <w:rsid w:val="003E6F30"/>
    <w:rsid w:val="003E7104"/>
    <w:rsid w:val="003E7458"/>
    <w:rsid w:val="003E7891"/>
    <w:rsid w:val="003F0BD7"/>
    <w:rsid w:val="003F1153"/>
    <w:rsid w:val="003F120F"/>
    <w:rsid w:val="003F141B"/>
    <w:rsid w:val="003F15CA"/>
    <w:rsid w:val="003F17A8"/>
    <w:rsid w:val="003F181A"/>
    <w:rsid w:val="003F18CF"/>
    <w:rsid w:val="003F20EF"/>
    <w:rsid w:val="003F2323"/>
    <w:rsid w:val="003F24C9"/>
    <w:rsid w:val="003F2AE8"/>
    <w:rsid w:val="003F2DBB"/>
    <w:rsid w:val="003F2EF9"/>
    <w:rsid w:val="003F3117"/>
    <w:rsid w:val="003F33FF"/>
    <w:rsid w:val="003F3A38"/>
    <w:rsid w:val="003F404E"/>
    <w:rsid w:val="003F4BEE"/>
    <w:rsid w:val="003F5845"/>
    <w:rsid w:val="003F59AE"/>
    <w:rsid w:val="003F5B97"/>
    <w:rsid w:val="003F5C5F"/>
    <w:rsid w:val="003F5D97"/>
    <w:rsid w:val="003F5F3A"/>
    <w:rsid w:val="003F66C1"/>
    <w:rsid w:val="003F6951"/>
    <w:rsid w:val="003F6DE0"/>
    <w:rsid w:val="003F73B5"/>
    <w:rsid w:val="003F781B"/>
    <w:rsid w:val="003F7DE1"/>
    <w:rsid w:val="004009DE"/>
    <w:rsid w:val="0040159B"/>
    <w:rsid w:val="00401650"/>
    <w:rsid w:val="004017A8"/>
    <w:rsid w:val="00401995"/>
    <w:rsid w:val="00402421"/>
    <w:rsid w:val="004029CA"/>
    <w:rsid w:val="004043A1"/>
    <w:rsid w:val="00404663"/>
    <w:rsid w:val="00404681"/>
    <w:rsid w:val="0040497E"/>
    <w:rsid w:val="004057C0"/>
    <w:rsid w:val="00405BC8"/>
    <w:rsid w:val="00405C25"/>
    <w:rsid w:val="00405CCB"/>
    <w:rsid w:val="00405DFC"/>
    <w:rsid w:val="00406992"/>
    <w:rsid w:val="00407160"/>
    <w:rsid w:val="00407DE1"/>
    <w:rsid w:val="00407E98"/>
    <w:rsid w:val="00407F61"/>
    <w:rsid w:val="004100BD"/>
    <w:rsid w:val="00410481"/>
    <w:rsid w:val="00410D81"/>
    <w:rsid w:val="00411761"/>
    <w:rsid w:val="00411AA3"/>
    <w:rsid w:val="00411EF8"/>
    <w:rsid w:val="004120EA"/>
    <w:rsid w:val="00412861"/>
    <w:rsid w:val="00412BE0"/>
    <w:rsid w:val="00412DA4"/>
    <w:rsid w:val="00412DDA"/>
    <w:rsid w:val="00412EC5"/>
    <w:rsid w:val="00413F3B"/>
    <w:rsid w:val="00414017"/>
    <w:rsid w:val="004145B5"/>
    <w:rsid w:val="00415938"/>
    <w:rsid w:val="00416EF3"/>
    <w:rsid w:val="004174D7"/>
    <w:rsid w:val="004179DA"/>
    <w:rsid w:val="00417AB3"/>
    <w:rsid w:val="00417AD3"/>
    <w:rsid w:val="00417C9E"/>
    <w:rsid w:val="00417D53"/>
    <w:rsid w:val="004204CA"/>
    <w:rsid w:val="00420625"/>
    <w:rsid w:val="00420AD1"/>
    <w:rsid w:val="00421488"/>
    <w:rsid w:val="00421A18"/>
    <w:rsid w:val="0042203F"/>
    <w:rsid w:val="00422417"/>
    <w:rsid w:val="0042252E"/>
    <w:rsid w:val="004229DE"/>
    <w:rsid w:val="00422D8E"/>
    <w:rsid w:val="0042329C"/>
    <w:rsid w:val="004234B3"/>
    <w:rsid w:val="00424233"/>
    <w:rsid w:val="00424259"/>
    <w:rsid w:val="0042530A"/>
    <w:rsid w:val="00425508"/>
    <w:rsid w:val="004268A7"/>
    <w:rsid w:val="00426973"/>
    <w:rsid w:val="00427449"/>
    <w:rsid w:val="00427939"/>
    <w:rsid w:val="00427A14"/>
    <w:rsid w:val="00427DB6"/>
    <w:rsid w:val="00430064"/>
    <w:rsid w:val="00430BF6"/>
    <w:rsid w:val="00430C1A"/>
    <w:rsid w:val="00431106"/>
    <w:rsid w:val="00431194"/>
    <w:rsid w:val="004311CE"/>
    <w:rsid w:val="00431304"/>
    <w:rsid w:val="004317A7"/>
    <w:rsid w:val="00431A25"/>
    <w:rsid w:val="00431D22"/>
    <w:rsid w:val="00432581"/>
    <w:rsid w:val="00432836"/>
    <w:rsid w:val="00432C75"/>
    <w:rsid w:val="00432D01"/>
    <w:rsid w:val="0043314B"/>
    <w:rsid w:val="004333C0"/>
    <w:rsid w:val="00433859"/>
    <w:rsid w:val="0043398F"/>
    <w:rsid w:val="00434093"/>
    <w:rsid w:val="004345E4"/>
    <w:rsid w:val="00434AC3"/>
    <w:rsid w:val="00434B0B"/>
    <w:rsid w:val="00434B8E"/>
    <w:rsid w:val="00434DFA"/>
    <w:rsid w:val="00435174"/>
    <w:rsid w:val="0043522E"/>
    <w:rsid w:val="00435374"/>
    <w:rsid w:val="0043546A"/>
    <w:rsid w:val="00435724"/>
    <w:rsid w:val="00435F88"/>
    <w:rsid w:val="004361E7"/>
    <w:rsid w:val="00437414"/>
    <w:rsid w:val="004378B3"/>
    <w:rsid w:val="004379B5"/>
    <w:rsid w:val="004379E8"/>
    <w:rsid w:val="004401D1"/>
    <w:rsid w:val="0044028A"/>
    <w:rsid w:val="0044083A"/>
    <w:rsid w:val="00440ACA"/>
    <w:rsid w:val="004410FE"/>
    <w:rsid w:val="004412FB"/>
    <w:rsid w:val="004416D8"/>
    <w:rsid w:val="00441AEB"/>
    <w:rsid w:val="00441C06"/>
    <w:rsid w:val="00442316"/>
    <w:rsid w:val="004426FA"/>
    <w:rsid w:val="00442744"/>
    <w:rsid w:val="004427B4"/>
    <w:rsid w:val="00442811"/>
    <w:rsid w:val="004433A5"/>
    <w:rsid w:val="0044349C"/>
    <w:rsid w:val="00443E31"/>
    <w:rsid w:val="0044423A"/>
    <w:rsid w:val="0044470B"/>
    <w:rsid w:val="0044556F"/>
    <w:rsid w:val="00445576"/>
    <w:rsid w:val="00445922"/>
    <w:rsid w:val="00445B68"/>
    <w:rsid w:val="00445CB5"/>
    <w:rsid w:val="00446D01"/>
    <w:rsid w:val="00447306"/>
    <w:rsid w:val="00447375"/>
    <w:rsid w:val="0044794F"/>
    <w:rsid w:val="004479B8"/>
    <w:rsid w:val="004500E5"/>
    <w:rsid w:val="00450223"/>
    <w:rsid w:val="00450B93"/>
    <w:rsid w:val="00450EA1"/>
    <w:rsid w:val="00451FA3"/>
    <w:rsid w:val="00452193"/>
    <w:rsid w:val="004523D2"/>
    <w:rsid w:val="00452793"/>
    <w:rsid w:val="00452840"/>
    <w:rsid w:val="004529B4"/>
    <w:rsid w:val="00452C0F"/>
    <w:rsid w:val="00453400"/>
    <w:rsid w:val="004539EF"/>
    <w:rsid w:val="00453AD3"/>
    <w:rsid w:val="00453CB3"/>
    <w:rsid w:val="00453E83"/>
    <w:rsid w:val="00453EE1"/>
    <w:rsid w:val="00454342"/>
    <w:rsid w:val="0045438E"/>
    <w:rsid w:val="00454B29"/>
    <w:rsid w:val="00454D97"/>
    <w:rsid w:val="00454F0A"/>
    <w:rsid w:val="004553B3"/>
    <w:rsid w:val="00455842"/>
    <w:rsid w:val="00455E7B"/>
    <w:rsid w:val="0045663D"/>
    <w:rsid w:val="0045759C"/>
    <w:rsid w:val="00457AE6"/>
    <w:rsid w:val="00457F88"/>
    <w:rsid w:val="00457FE3"/>
    <w:rsid w:val="00460991"/>
    <w:rsid w:val="00460EE0"/>
    <w:rsid w:val="00461EA9"/>
    <w:rsid w:val="00462617"/>
    <w:rsid w:val="00462C62"/>
    <w:rsid w:val="00462FA3"/>
    <w:rsid w:val="00463373"/>
    <w:rsid w:val="0046397C"/>
    <w:rsid w:val="004639CA"/>
    <w:rsid w:val="00463DD7"/>
    <w:rsid w:val="00464295"/>
    <w:rsid w:val="00464712"/>
    <w:rsid w:val="00464846"/>
    <w:rsid w:val="0046487A"/>
    <w:rsid w:val="00464B16"/>
    <w:rsid w:val="004653F6"/>
    <w:rsid w:val="00465901"/>
    <w:rsid w:val="004668E4"/>
    <w:rsid w:val="00466A2B"/>
    <w:rsid w:val="00466BF1"/>
    <w:rsid w:val="00467093"/>
    <w:rsid w:val="00467983"/>
    <w:rsid w:val="00470B09"/>
    <w:rsid w:val="00470FBF"/>
    <w:rsid w:val="004712FB"/>
    <w:rsid w:val="00471AB4"/>
    <w:rsid w:val="00471BB3"/>
    <w:rsid w:val="00471BB7"/>
    <w:rsid w:val="00471C60"/>
    <w:rsid w:val="00471EF2"/>
    <w:rsid w:val="004722BF"/>
    <w:rsid w:val="004725B9"/>
    <w:rsid w:val="00472A10"/>
    <w:rsid w:val="00472AF1"/>
    <w:rsid w:val="00472B28"/>
    <w:rsid w:val="00472B65"/>
    <w:rsid w:val="00472D5A"/>
    <w:rsid w:val="00472E3B"/>
    <w:rsid w:val="00472EFF"/>
    <w:rsid w:val="00474063"/>
    <w:rsid w:val="00474231"/>
    <w:rsid w:val="00474342"/>
    <w:rsid w:val="0047439B"/>
    <w:rsid w:val="00474598"/>
    <w:rsid w:val="0047471D"/>
    <w:rsid w:val="00474CC3"/>
    <w:rsid w:val="0047508F"/>
    <w:rsid w:val="00475B20"/>
    <w:rsid w:val="0047630C"/>
    <w:rsid w:val="00476793"/>
    <w:rsid w:val="00476CD0"/>
    <w:rsid w:val="00476FAD"/>
    <w:rsid w:val="00476FD4"/>
    <w:rsid w:val="004771E1"/>
    <w:rsid w:val="00477373"/>
    <w:rsid w:val="0047749C"/>
    <w:rsid w:val="00477FA7"/>
    <w:rsid w:val="004809ED"/>
    <w:rsid w:val="00481A72"/>
    <w:rsid w:val="00481A9E"/>
    <w:rsid w:val="00481B2A"/>
    <w:rsid w:val="00481CC6"/>
    <w:rsid w:val="00481DCD"/>
    <w:rsid w:val="00482091"/>
    <w:rsid w:val="0048237D"/>
    <w:rsid w:val="004824AA"/>
    <w:rsid w:val="004835FD"/>
    <w:rsid w:val="004839B7"/>
    <w:rsid w:val="004840F7"/>
    <w:rsid w:val="00484FA3"/>
    <w:rsid w:val="0048596E"/>
    <w:rsid w:val="00485BE9"/>
    <w:rsid w:val="00485D3C"/>
    <w:rsid w:val="00485F00"/>
    <w:rsid w:val="004868AA"/>
    <w:rsid w:val="00487697"/>
    <w:rsid w:val="0049042D"/>
    <w:rsid w:val="00490A19"/>
    <w:rsid w:val="00490DF2"/>
    <w:rsid w:val="00491AEF"/>
    <w:rsid w:val="00491CA7"/>
    <w:rsid w:val="00491CE6"/>
    <w:rsid w:val="00492EF6"/>
    <w:rsid w:val="00493628"/>
    <w:rsid w:val="00493A25"/>
    <w:rsid w:val="00493CF9"/>
    <w:rsid w:val="004945A2"/>
    <w:rsid w:val="00494B2D"/>
    <w:rsid w:val="00494BC6"/>
    <w:rsid w:val="00494CA2"/>
    <w:rsid w:val="004951A9"/>
    <w:rsid w:val="004959CB"/>
    <w:rsid w:val="00495B20"/>
    <w:rsid w:val="00495CF2"/>
    <w:rsid w:val="004962F1"/>
    <w:rsid w:val="00496657"/>
    <w:rsid w:val="00496B3B"/>
    <w:rsid w:val="00496BDE"/>
    <w:rsid w:val="00497353"/>
    <w:rsid w:val="0049753D"/>
    <w:rsid w:val="004A00A5"/>
    <w:rsid w:val="004A082C"/>
    <w:rsid w:val="004A084B"/>
    <w:rsid w:val="004A08C2"/>
    <w:rsid w:val="004A10C8"/>
    <w:rsid w:val="004A15BC"/>
    <w:rsid w:val="004A17C8"/>
    <w:rsid w:val="004A187B"/>
    <w:rsid w:val="004A1ACD"/>
    <w:rsid w:val="004A2242"/>
    <w:rsid w:val="004A2A60"/>
    <w:rsid w:val="004A2AEF"/>
    <w:rsid w:val="004A2C39"/>
    <w:rsid w:val="004A2D3C"/>
    <w:rsid w:val="004A3040"/>
    <w:rsid w:val="004A31D4"/>
    <w:rsid w:val="004A31FF"/>
    <w:rsid w:val="004A3381"/>
    <w:rsid w:val="004A351F"/>
    <w:rsid w:val="004A4659"/>
    <w:rsid w:val="004A4B10"/>
    <w:rsid w:val="004A4F08"/>
    <w:rsid w:val="004A5A46"/>
    <w:rsid w:val="004A6822"/>
    <w:rsid w:val="004A7172"/>
    <w:rsid w:val="004A766C"/>
    <w:rsid w:val="004A7777"/>
    <w:rsid w:val="004A79BF"/>
    <w:rsid w:val="004A7E32"/>
    <w:rsid w:val="004B01AE"/>
    <w:rsid w:val="004B078D"/>
    <w:rsid w:val="004B0BD4"/>
    <w:rsid w:val="004B0DDA"/>
    <w:rsid w:val="004B0E73"/>
    <w:rsid w:val="004B0FA0"/>
    <w:rsid w:val="004B1575"/>
    <w:rsid w:val="004B164F"/>
    <w:rsid w:val="004B1C6A"/>
    <w:rsid w:val="004B1D1A"/>
    <w:rsid w:val="004B1FE9"/>
    <w:rsid w:val="004B29FA"/>
    <w:rsid w:val="004B2C1E"/>
    <w:rsid w:val="004B3917"/>
    <w:rsid w:val="004B4022"/>
    <w:rsid w:val="004B456D"/>
    <w:rsid w:val="004B4B51"/>
    <w:rsid w:val="004B5321"/>
    <w:rsid w:val="004B5A41"/>
    <w:rsid w:val="004B639C"/>
    <w:rsid w:val="004B6674"/>
    <w:rsid w:val="004B67B1"/>
    <w:rsid w:val="004B7280"/>
    <w:rsid w:val="004B78E8"/>
    <w:rsid w:val="004B7E1C"/>
    <w:rsid w:val="004C0656"/>
    <w:rsid w:val="004C0878"/>
    <w:rsid w:val="004C0E16"/>
    <w:rsid w:val="004C0F99"/>
    <w:rsid w:val="004C1023"/>
    <w:rsid w:val="004C154D"/>
    <w:rsid w:val="004C1D80"/>
    <w:rsid w:val="004C23D6"/>
    <w:rsid w:val="004C2469"/>
    <w:rsid w:val="004C2662"/>
    <w:rsid w:val="004C35CC"/>
    <w:rsid w:val="004C4922"/>
    <w:rsid w:val="004C4B87"/>
    <w:rsid w:val="004C58B4"/>
    <w:rsid w:val="004C5C7B"/>
    <w:rsid w:val="004C61CD"/>
    <w:rsid w:val="004C6687"/>
    <w:rsid w:val="004C687D"/>
    <w:rsid w:val="004C7412"/>
    <w:rsid w:val="004C7518"/>
    <w:rsid w:val="004C752F"/>
    <w:rsid w:val="004C7602"/>
    <w:rsid w:val="004C7701"/>
    <w:rsid w:val="004C7995"/>
    <w:rsid w:val="004C7CB4"/>
    <w:rsid w:val="004D04BF"/>
    <w:rsid w:val="004D0784"/>
    <w:rsid w:val="004D0C15"/>
    <w:rsid w:val="004D0C6C"/>
    <w:rsid w:val="004D0D64"/>
    <w:rsid w:val="004D121A"/>
    <w:rsid w:val="004D13F2"/>
    <w:rsid w:val="004D2241"/>
    <w:rsid w:val="004D27DC"/>
    <w:rsid w:val="004D2C1C"/>
    <w:rsid w:val="004D2D52"/>
    <w:rsid w:val="004D2E06"/>
    <w:rsid w:val="004D38DB"/>
    <w:rsid w:val="004D5348"/>
    <w:rsid w:val="004D5489"/>
    <w:rsid w:val="004D585B"/>
    <w:rsid w:val="004D5C99"/>
    <w:rsid w:val="004D74E2"/>
    <w:rsid w:val="004D7618"/>
    <w:rsid w:val="004D7EE1"/>
    <w:rsid w:val="004E04D0"/>
    <w:rsid w:val="004E0858"/>
    <w:rsid w:val="004E0DFF"/>
    <w:rsid w:val="004E12E8"/>
    <w:rsid w:val="004E142C"/>
    <w:rsid w:val="004E15EF"/>
    <w:rsid w:val="004E199B"/>
    <w:rsid w:val="004E2171"/>
    <w:rsid w:val="004E2F67"/>
    <w:rsid w:val="004E36B4"/>
    <w:rsid w:val="004E3B64"/>
    <w:rsid w:val="004E3F40"/>
    <w:rsid w:val="004E464E"/>
    <w:rsid w:val="004E4704"/>
    <w:rsid w:val="004E4A24"/>
    <w:rsid w:val="004E4C9E"/>
    <w:rsid w:val="004E4EA8"/>
    <w:rsid w:val="004E5445"/>
    <w:rsid w:val="004E5B94"/>
    <w:rsid w:val="004E6231"/>
    <w:rsid w:val="004E62D6"/>
    <w:rsid w:val="004E62DE"/>
    <w:rsid w:val="004E63BF"/>
    <w:rsid w:val="004E7E3A"/>
    <w:rsid w:val="004F00CC"/>
    <w:rsid w:val="004F00F7"/>
    <w:rsid w:val="004F085A"/>
    <w:rsid w:val="004F0DB4"/>
    <w:rsid w:val="004F1325"/>
    <w:rsid w:val="004F1AB5"/>
    <w:rsid w:val="004F1C7C"/>
    <w:rsid w:val="004F31A5"/>
    <w:rsid w:val="004F36AA"/>
    <w:rsid w:val="004F3975"/>
    <w:rsid w:val="004F3DD4"/>
    <w:rsid w:val="004F4352"/>
    <w:rsid w:val="004F43D4"/>
    <w:rsid w:val="004F45DA"/>
    <w:rsid w:val="004F4E0E"/>
    <w:rsid w:val="004F4E3A"/>
    <w:rsid w:val="004F4E90"/>
    <w:rsid w:val="004F5435"/>
    <w:rsid w:val="004F5B12"/>
    <w:rsid w:val="004F5B3A"/>
    <w:rsid w:val="004F5B65"/>
    <w:rsid w:val="004F6209"/>
    <w:rsid w:val="004F6331"/>
    <w:rsid w:val="004F678C"/>
    <w:rsid w:val="004F69E2"/>
    <w:rsid w:val="004F6A78"/>
    <w:rsid w:val="004F6A98"/>
    <w:rsid w:val="004F71F3"/>
    <w:rsid w:val="004F7917"/>
    <w:rsid w:val="004F7C68"/>
    <w:rsid w:val="0050081A"/>
    <w:rsid w:val="00500991"/>
    <w:rsid w:val="00500DB2"/>
    <w:rsid w:val="00500F19"/>
    <w:rsid w:val="005011B3"/>
    <w:rsid w:val="00501494"/>
    <w:rsid w:val="005018C7"/>
    <w:rsid w:val="005022A9"/>
    <w:rsid w:val="00502412"/>
    <w:rsid w:val="005038AC"/>
    <w:rsid w:val="00503E36"/>
    <w:rsid w:val="00503F3B"/>
    <w:rsid w:val="00503F7D"/>
    <w:rsid w:val="005040D8"/>
    <w:rsid w:val="00504924"/>
    <w:rsid w:val="00505008"/>
    <w:rsid w:val="005054B0"/>
    <w:rsid w:val="005056D2"/>
    <w:rsid w:val="005069B7"/>
    <w:rsid w:val="00507408"/>
    <w:rsid w:val="00510390"/>
    <w:rsid w:val="00510771"/>
    <w:rsid w:val="005109DF"/>
    <w:rsid w:val="00510D7C"/>
    <w:rsid w:val="005111AD"/>
    <w:rsid w:val="00511F2B"/>
    <w:rsid w:val="005123F0"/>
    <w:rsid w:val="00512613"/>
    <w:rsid w:val="00512CC7"/>
    <w:rsid w:val="00512DF8"/>
    <w:rsid w:val="0051345C"/>
    <w:rsid w:val="005134E0"/>
    <w:rsid w:val="00513540"/>
    <w:rsid w:val="00513673"/>
    <w:rsid w:val="00513941"/>
    <w:rsid w:val="00513A04"/>
    <w:rsid w:val="00514218"/>
    <w:rsid w:val="00514245"/>
    <w:rsid w:val="005145B4"/>
    <w:rsid w:val="00514734"/>
    <w:rsid w:val="005147BC"/>
    <w:rsid w:val="00514CAB"/>
    <w:rsid w:val="00515125"/>
    <w:rsid w:val="00515137"/>
    <w:rsid w:val="00515D7D"/>
    <w:rsid w:val="00515F77"/>
    <w:rsid w:val="00516E18"/>
    <w:rsid w:val="00516E25"/>
    <w:rsid w:val="00516F00"/>
    <w:rsid w:val="0051740D"/>
    <w:rsid w:val="005178CC"/>
    <w:rsid w:val="00517CDA"/>
    <w:rsid w:val="0052006A"/>
    <w:rsid w:val="00520ABF"/>
    <w:rsid w:val="00520F82"/>
    <w:rsid w:val="00520FDF"/>
    <w:rsid w:val="00521071"/>
    <w:rsid w:val="00521451"/>
    <w:rsid w:val="00521B6F"/>
    <w:rsid w:val="00521BEA"/>
    <w:rsid w:val="00521D72"/>
    <w:rsid w:val="00521F16"/>
    <w:rsid w:val="005223E0"/>
    <w:rsid w:val="0052295F"/>
    <w:rsid w:val="00522C99"/>
    <w:rsid w:val="00523140"/>
    <w:rsid w:val="00523616"/>
    <w:rsid w:val="00523920"/>
    <w:rsid w:val="00523E08"/>
    <w:rsid w:val="0052463A"/>
    <w:rsid w:val="00524BB4"/>
    <w:rsid w:val="00524C5F"/>
    <w:rsid w:val="00525041"/>
    <w:rsid w:val="0052555A"/>
    <w:rsid w:val="00525C0F"/>
    <w:rsid w:val="00525EFA"/>
    <w:rsid w:val="00526130"/>
    <w:rsid w:val="00526326"/>
    <w:rsid w:val="0052651C"/>
    <w:rsid w:val="005269BB"/>
    <w:rsid w:val="00526A33"/>
    <w:rsid w:val="00526DD1"/>
    <w:rsid w:val="00527579"/>
    <w:rsid w:val="00527C46"/>
    <w:rsid w:val="00527F9D"/>
    <w:rsid w:val="00527FE1"/>
    <w:rsid w:val="0053051D"/>
    <w:rsid w:val="005305FF"/>
    <w:rsid w:val="005306B4"/>
    <w:rsid w:val="0053070C"/>
    <w:rsid w:val="00531506"/>
    <w:rsid w:val="0053236C"/>
    <w:rsid w:val="00532D71"/>
    <w:rsid w:val="00532DEF"/>
    <w:rsid w:val="00534726"/>
    <w:rsid w:val="00534756"/>
    <w:rsid w:val="005347C5"/>
    <w:rsid w:val="0053495B"/>
    <w:rsid w:val="00534983"/>
    <w:rsid w:val="00534AB5"/>
    <w:rsid w:val="005351E7"/>
    <w:rsid w:val="0053545D"/>
    <w:rsid w:val="005355CF"/>
    <w:rsid w:val="005358BB"/>
    <w:rsid w:val="00535A19"/>
    <w:rsid w:val="00535B15"/>
    <w:rsid w:val="005364A7"/>
    <w:rsid w:val="005366E6"/>
    <w:rsid w:val="00536A88"/>
    <w:rsid w:val="00536DDF"/>
    <w:rsid w:val="00537191"/>
    <w:rsid w:val="00537937"/>
    <w:rsid w:val="00537CB3"/>
    <w:rsid w:val="00540357"/>
    <w:rsid w:val="005409DC"/>
    <w:rsid w:val="005410E2"/>
    <w:rsid w:val="005414D7"/>
    <w:rsid w:val="00542430"/>
    <w:rsid w:val="0054255F"/>
    <w:rsid w:val="00543EA7"/>
    <w:rsid w:val="00544035"/>
    <w:rsid w:val="00544A4F"/>
    <w:rsid w:val="00545037"/>
    <w:rsid w:val="0054658E"/>
    <w:rsid w:val="00546660"/>
    <w:rsid w:val="00546E00"/>
    <w:rsid w:val="00547207"/>
    <w:rsid w:val="005472AA"/>
    <w:rsid w:val="005473C6"/>
    <w:rsid w:val="00547E9B"/>
    <w:rsid w:val="005501EF"/>
    <w:rsid w:val="0055025E"/>
    <w:rsid w:val="0055027C"/>
    <w:rsid w:val="00550EC5"/>
    <w:rsid w:val="00550EE0"/>
    <w:rsid w:val="00551ADA"/>
    <w:rsid w:val="0055205B"/>
    <w:rsid w:val="005521EE"/>
    <w:rsid w:val="00552C31"/>
    <w:rsid w:val="005537A5"/>
    <w:rsid w:val="00553972"/>
    <w:rsid w:val="005539A6"/>
    <w:rsid w:val="0055440E"/>
    <w:rsid w:val="00554475"/>
    <w:rsid w:val="00554A63"/>
    <w:rsid w:val="00555C5E"/>
    <w:rsid w:val="0055607C"/>
    <w:rsid w:val="005567E5"/>
    <w:rsid w:val="00556841"/>
    <w:rsid w:val="00556AA0"/>
    <w:rsid w:val="00556BB7"/>
    <w:rsid w:val="00556CBC"/>
    <w:rsid w:val="00556EC1"/>
    <w:rsid w:val="00556EED"/>
    <w:rsid w:val="005576E7"/>
    <w:rsid w:val="00560FE3"/>
    <w:rsid w:val="00561003"/>
    <w:rsid w:val="0056116E"/>
    <w:rsid w:val="0056143C"/>
    <w:rsid w:val="0056192C"/>
    <w:rsid w:val="00561B2B"/>
    <w:rsid w:val="00561D68"/>
    <w:rsid w:val="00561D92"/>
    <w:rsid w:val="00561DE0"/>
    <w:rsid w:val="00562491"/>
    <w:rsid w:val="0056308C"/>
    <w:rsid w:val="00563843"/>
    <w:rsid w:val="00564181"/>
    <w:rsid w:val="00564208"/>
    <w:rsid w:val="0056427A"/>
    <w:rsid w:val="005642B2"/>
    <w:rsid w:val="00564835"/>
    <w:rsid w:val="00564BCB"/>
    <w:rsid w:val="0056501B"/>
    <w:rsid w:val="00565253"/>
    <w:rsid w:val="0056656B"/>
    <w:rsid w:val="00566E8A"/>
    <w:rsid w:val="005675AD"/>
    <w:rsid w:val="005677A6"/>
    <w:rsid w:val="005677CA"/>
    <w:rsid w:val="005678B0"/>
    <w:rsid w:val="00567F88"/>
    <w:rsid w:val="00570525"/>
    <w:rsid w:val="005709F3"/>
    <w:rsid w:val="005715AA"/>
    <w:rsid w:val="00571858"/>
    <w:rsid w:val="00571CEB"/>
    <w:rsid w:val="00572A67"/>
    <w:rsid w:val="00572F78"/>
    <w:rsid w:val="0057317A"/>
    <w:rsid w:val="005733CE"/>
    <w:rsid w:val="005737E1"/>
    <w:rsid w:val="00573869"/>
    <w:rsid w:val="00573D1C"/>
    <w:rsid w:val="00573FB4"/>
    <w:rsid w:val="00574077"/>
    <w:rsid w:val="00574703"/>
    <w:rsid w:val="00574984"/>
    <w:rsid w:val="00575872"/>
    <w:rsid w:val="00575EAE"/>
    <w:rsid w:val="005764F0"/>
    <w:rsid w:val="00576532"/>
    <w:rsid w:val="005766A2"/>
    <w:rsid w:val="005767A3"/>
    <w:rsid w:val="00576AA7"/>
    <w:rsid w:val="005778C8"/>
    <w:rsid w:val="00577A34"/>
    <w:rsid w:val="00577A61"/>
    <w:rsid w:val="0058042A"/>
    <w:rsid w:val="005806F0"/>
    <w:rsid w:val="00580F51"/>
    <w:rsid w:val="00581266"/>
    <w:rsid w:val="0058149B"/>
    <w:rsid w:val="00581597"/>
    <w:rsid w:val="005815DB"/>
    <w:rsid w:val="00581677"/>
    <w:rsid w:val="0058183F"/>
    <w:rsid w:val="0058193B"/>
    <w:rsid w:val="00581F3C"/>
    <w:rsid w:val="00582102"/>
    <w:rsid w:val="00582637"/>
    <w:rsid w:val="00582671"/>
    <w:rsid w:val="00582832"/>
    <w:rsid w:val="00582876"/>
    <w:rsid w:val="00582896"/>
    <w:rsid w:val="00582971"/>
    <w:rsid w:val="00582B6E"/>
    <w:rsid w:val="00582F8A"/>
    <w:rsid w:val="00583770"/>
    <w:rsid w:val="00583934"/>
    <w:rsid w:val="00583A55"/>
    <w:rsid w:val="00584031"/>
    <w:rsid w:val="005841E8"/>
    <w:rsid w:val="00584241"/>
    <w:rsid w:val="00584331"/>
    <w:rsid w:val="00584344"/>
    <w:rsid w:val="0058442E"/>
    <w:rsid w:val="00584445"/>
    <w:rsid w:val="00584478"/>
    <w:rsid w:val="00584485"/>
    <w:rsid w:val="00584C63"/>
    <w:rsid w:val="005850BD"/>
    <w:rsid w:val="005850F4"/>
    <w:rsid w:val="005852FF"/>
    <w:rsid w:val="005853F3"/>
    <w:rsid w:val="00585695"/>
    <w:rsid w:val="005867E6"/>
    <w:rsid w:val="00586A42"/>
    <w:rsid w:val="00586F4E"/>
    <w:rsid w:val="0058738D"/>
    <w:rsid w:val="00587AA8"/>
    <w:rsid w:val="005907EA"/>
    <w:rsid w:val="00590F80"/>
    <w:rsid w:val="00591153"/>
    <w:rsid w:val="005916E1"/>
    <w:rsid w:val="00591804"/>
    <w:rsid w:val="0059187B"/>
    <w:rsid w:val="00591951"/>
    <w:rsid w:val="00591D96"/>
    <w:rsid w:val="00592205"/>
    <w:rsid w:val="00592756"/>
    <w:rsid w:val="00592EB2"/>
    <w:rsid w:val="00593393"/>
    <w:rsid w:val="00593CFC"/>
    <w:rsid w:val="005949BF"/>
    <w:rsid w:val="00594C2B"/>
    <w:rsid w:val="00594EE5"/>
    <w:rsid w:val="00595308"/>
    <w:rsid w:val="0059573D"/>
    <w:rsid w:val="00595DDA"/>
    <w:rsid w:val="005960E4"/>
    <w:rsid w:val="0059646A"/>
    <w:rsid w:val="00597B9F"/>
    <w:rsid w:val="00597E65"/>
    <w:rsid w:val="005A04BE"/>
    <w:rsid w:val="005A0964"/>
    <w:rsid w:val="005A187D"/>
    <w:rsid w:val="005A20D9"/>
    <w:rsid w:val="005A2520"/>
    <w:rsid w:val="005A3041"/>
    <w:rsid w:val="005A3BC9"/>
    <w:rsid w:val="005A3BE2"/>
    <w:rsid w:val="005A3E31"/>
    <w:rsid w:val="005A3EE1"/>
    <w:rsid w:val="005A43B0"/>
    <w:rsid w:val="005A4569"/>
    <w:rsid w:val="005A4801"/>
    <w:rsid w:val="005A4CC9"/>
    <w:rsid w:val="005A4FF8"/>
    <w:rsid w:val="005A5C7C"/>
    <w:rsid w:val="005A5CE2"/>
    <w:rsid w:val="005A5E10"/>
    <w:rsid w:val="005A6117"/>
    <w:rsid w:val="005A6A7C"/>
    <w:rsid w:val="005A6FA2"/>
    <w:rsid w:val="005A760C"/>
    <w:rsid w:val="005A762A"/>
    <w:rsid w:val="005A7B6D"/>
    <w:rsid w:val="005B0029"/>
    <w:rsid w:val="005B036D"/>
    <w:rsid w:val="005B03FF"/>
    <w:rsid w:val="005B067B"/>
    <w:rsid w:val="005B0687"/>
    <w:rsid w:val="005B07E6"/>
    <w:rsid w:val="005B1A52"/>
    <w:rsid w:val="005B1B57"/>
    <w:rsid w:val="005B1D12"/>
    <w:rsid w:val="005B1EA8"/>
    <w:rsid w:val="005B2464"/>
    <w:rsid w:val="005B2560"/>
    <w:rsid w:val="005B2CFC"/>
    <w:rsid w:val="005B2D62"/>
    <w:rsid w:val="005B3278"/>
    <w:rsid w:val="005B36F6"/>
    <w:rsid w:val="005B3A27"/>
    <w:rsid w:val="005B3C03"/>
    <w:rsid w:val="005B3DDD"/>
    <w:rsid w:val="005B3E02"/>
    <w:rsid w:val="005B3E1A"/>
    <w:rsid w:val="005B47BA"/>
    <w:rsid w:val="005B4BF0"/>
    <w:rsid w:val="005B4F1F"/>
    <w:rsid w:val="005B5245"/>
    <w:rsid w:val="005B537C"/>
    <w:rsid w:val="005B5785"/>
    <w:rsid w:val="005B5C88"/>
    <w:rsid w:val="005B5D5E"/>
    <w:rsid w:val="005B6453"/>
    <w:rsid w:val="005B6699"/>
    <w:rsid w:val="005B675B"/>
    <w:rsid w:val="005B69FD"/>
    <w:rsid w:val="005B6AC4"/>
    <w:rsid w:val="005B6BC9"/>
    <w:rsid w:val="005B6C6B"/>
    <w:rsid w:val="005B6FE0"/>
    <w:rsid w:val="005B7175"/>
    <w:rsid w:val="005B71C3"/>
    <w:rsid w:val="005B784C"/>
    <w:rsid w:val="005B7B5B"/>
    <w:rsid w:val="005B7D5A"/>
    <w:rsid w:val="005C023E"/>
    <w:rsid w:val="005C16AF"/>
    <w:rsid w:val="005C178B"/>
    <w:rsid w:val="005C1A4D"/>
    <w:rsid w:val="005C211E"/>
    <w:rsid w:val="005C2371"/>
    <w:rsid w:val="005C250D"/>
    <w:rsid w:val="005C2A17"/>
    <w:rsid w:val="005C2AEF"/>
    <w:rsid w:val="005C2ECF"/>
    <w:rsid w:val="005C39DB"/>
    <w:rsid w:val="005C3ADA"/>
    <w:rsid w:val="005C3BCE"/>
    <w:rsid w:val="005C446E"/>
    <w:rsid w:val="005C4B63"/>
    <w:rsid w:val="005C4BC1"/>
    <w:rsid w:val="005C4E29"/>
    <w:rsid w:val="005C52B8"/>
    <w:rsid w:val="005C52CF"/>
    <w:rsid w:val="005C5C55"/>
    <w:rsid w:val="005C5CD2"/>
    <w:rsid w:val="005C5D41"/>
    <w:rsid w:val="005C5F07"/>
    <w:rsid w:val="005C61D1"/>
    <w:rsid w:val="005C6CF2"/>
    <w:rsid w:val="005C6D25"/>
    <w:rsid w:val="005C6FB2"/>
    <w:rsid w:val="005C715B"/>
    <w:rsid w:val="005C7267"/>
    <w:rsid w:val="005C7BA7"/>
    <w:rsid w:val="005C7C2A"/>
    <w:rsid w:val="005D0094"/>
    <w:rsid w:val="005D015E"/>
    <w:rsid w:val="005D031D"/>
    <w:rsid w:val="005D0949"/>
    <w:rsid w:val="005D0CA5"/>
    <w:rsid w:val="005D10DF"/>
    <w:rsid w:val="005D11FF"/>
    <w:rsid w:val="005D1EEF"/>
    <w:rsid w:val="005D1F34"/>
    <w:rsid w:val="005D2ACF"/>
    <w:rsid w:val="005D2F4B"/>
    <w:rsid w:val="005D383D"/>
    <w:rsid w:val="005D3F16"/>
    <w:rsid w:val="005D44F7"/>
    <w:rsid w:val="005D4845"/>
    <w:rsid w:val="005D4AC8"/>
    <w:rsid w:val="005D4F8D"/>
    <w:rsid w:val="005D5318"/>
    <w:rsid w:val="005D5CB7"/>
    <w:rsid w:val="005D5CED"/>
    <w:rsid w:val="005D70B2"/>
    <w:rsid w:val="005D7144"/>
    <w:rsid w:val="005D758D"/>
    <w:rsid w:val="005D7F5A"/>
    <w:rsid w:val="005E01FA"/>
    <w:rsid w:val="005E026F"/>
    <w:rsid w:val="005E0842"/>
    <w:rsid w:val="005E1DB8"/>
    <w:rsid w:val="005E2B0A"/>
    <w:rsid w:val="005E2EE7"/>
    <w:rsid w:val="005E30F3"/>
    <w:rsid w:val="005E3118"/>
    <w:rsid w:val="005E326D"/>
    <w:rsid w:val="005E33F3"/>
    <w:rsid w:val="005E4784"/>
    <w:rsid w:val="005E4802"/>
    <w:rsid w:val="005E4856"/>
    <w:rsid w:val="005E53C8"/>
    <w:rsid w:val="005E593C"/>
    <w:rsid w:val="005E793B"/>
    <w:rsid w:val="005F0521"/>
    <w:rsid w:val="005F0DC8"/>
    <w:rsid w:val="005F0F34"/>
    <w:rsid w:val="005F1381"/>
    <w:rsid w:val="005F13BE"/>
    <w:rsid w:val="005F1641"/>
    <w:rsid w:val="005F16E5"/>
    <w:rsid w:val="005F24C4"/>
    <w:rsid w:val="005F2780"/>
    <w:rsid w:val="005F3041"/>
    <w:rsid w:val="005F3257"/>
    <w:rsid w:val="005F3266"/>
    <w:rsid w:val="005F332B"/>
    <w:rsid w:val="005F3821"/>
    <w:rsid w:val="005F3871"/>
    <w:rsid w:val="005F390F"/>
    <w:rsid w:val="005F4416"/>
    <w:rsid w:val="005F45C6"/>
    <w:rsid w:val="005F4D60"/>
    <w:rsid w:val="005F4E99"/>
    <w:rsid w:val="005F55A6"/>
    <w:rsid w:val="005F57AD"/>
    <w:rsid w:val="005F60EA"/>
    <w:rsid w:val="005F6B12"/>
    <w:rsid w:val="005F72C8"/>
    <w:rsid w:val="005F7B00"/>
    <w:rsid w:val="005F7C4C"/>
    <w:rsid w:val="005F7C6B"/>
    <w:rsid w:val="005F7EA5"/>
    <w:rsid w:val="005F7F5C"/>
    <w:rsid w:val="0060018A"/>
    <w:rsid w:val="00600530"/>
    <w:rsid w:val="00601061"/>
    <w:rsid w:val="00601344"/>
    <w:rsid w:val="006013F1"/>
    <w:rsid w:val="00601585"/>
    <w:rsid w:val="00601766"/>
    <w:rsid w:val="00601A6E"/>
    <w:rsid w:val="00601D40"/>
    <w:rsid w:val="006026A7"/>
    <w:rsid w:val="0060298B"/>
    <w:rsid w:val="006029B3"/>
    <w:rsid w:val="00603134"/>
    <w:rsid w:val="00603135"/>
    <w:rsid w:val="006037CF"/>
    <w:rsid w:val="0060385F"/>
    <w:rsid w:val="0060396B"/>
    <w:rsid w:val="00603C84"/>
    <w:rsid w:val="006056C9"/>
    <w:rsid w:val="00605717"/>
    <w:rsid w:val="00605A53"/>
    <w:rsid w:val="00605F63"/>
    <w:rsid w:val="006066F5"/>
    <w:rsid w:val="006071AA"/>
    <w:rsid w:val="006077A9"/>
    <w:rsid w:val="00607E93"/>
    <w:rsid w:val="0061005E"/>
    <w:rsid w:val="00610554"/>
    <w:rsid w:val="00610B8D"/>
    <w:rsid w:val="00610C7E"/>
    <w:rsid w:val="00610FB9"/>
    <w:rsid w:val="00611057"/>
    <w:rsid w:val="00611064"/>
    <w:rsid w:val="00611385"/>
    <w:rsid w:val="006114CE"/>
    <w:rsid w:val="0061158B"/>
    <w:rsid w:val="00611763"/>
    <w:rsid w:val="0061177F"/>
    <w:rsid w:val="00611D3B"/>
    <w:rsid w:val="00612585"/>
    <w:rsid w:val="00613AFB"/>
    <w:rsid w:val="00613EFF"/>
    <w:rsid w:val="00614174"/>
    <w:rsid w:val="00614FD3"/>
    <w:rsid w:val="00615101"/>
    <w:rsid w:val="00616692"/>
    <w:rsid w:val="006168A6"/>
    <w:rsid w:val="00616F88"/>
    <w:rsid w:val="00617D78"/>
    <w:rsid w:val="0062001A"/>
    <w:rsid w:val="0062045B"/>
    <w:rsid w:val="00620B37"/>
    <w:rsid w:val="00620B48"/>
    <w:rsid w:val="00621291"/>
    <w:rsid w:val="00621BD2"/>
    <w:rsid w:val="00621F06"/>
    <w:rsid w:val="00621FD4"/>
    <w:rsid w:val="00622508"/>
    <w:rsid w:val="00622624"/>
    <w:rsid w:val="00622EBF"/>
    <w:rsid w:val="00623488"/>
    <w:rsid w:val="0062445B"/>
    <w:rsid w:val="00624564"/>
    <w:rsid w:val="00624571"/>
    <w:rsid w:val="00624761"/>
    <w:rsid w:val="0062478E"/>
    <w:rsid w:val="00624DB0"/>
    <w:rsid w:val="00624F2F"/>
    <w:rsid w:val="00625220"/>
    <w:rsid w:val="0062522C"/>
    <w:rsid w:val="006253E5"/>
    <w:rsid w:val="006254F2"/>
    <w:rsid w:val="006258F9"/>
    <w:rsid w:val="00625C02"/>
    <w:rsid w:val="00626932"/>
    <w:rsid w:val="00626C7B"/>
    <w:rsid w:val="006270AD"/>
    <w:rsid w:val="006275E9"/>
    <w:rsid w:val="0063009F"/>
    <w:rsid w:val="0063072E"/>
    <w:rsid w:val="006309A6"/>
    <w:rsid w:val="006309C9"/>
    <w:rsid w:val="00630A20"/>
    <w:rsid w:val="00630A45"/>
    <w:rsid w:val="006314E1"/>
    <w:rsid w:val="00631820"/>
    <w:rsid w:val="00631D49"/>
    <w:rsid w:val="0063258B"/>
    <w:rsid w:val="00632938"/>
    <w:rsid w:val="00633340"/>
    <w:rsid w:val="0063363E"/>
    <w:rsid w:val="0063394D"/>
    <w:rsid w:val="006342C6"/>
    <w:rsid w:val="0063441B"/>
    <w:rsid w:val="006345BC"/>
    <w:rsid w:val="0063493E"/>
    <w:rsid w:val="00634C7B"/>
    <w:rsid w:val="00634EBE"/>
    <w:rsid w:val="00634EF6"/>
    <w:rsid w:val="0063507B"/>
    <w:rsid w:val="006356C5"/>
    <w:rsid w:val="00635913"/>
    <w:rsid w:val="00636474"/>
    <w:rsid w:val="00636E24"/>
    <w:rsid w:val="00637BA7"/>
    <w:rsid w:val="006404F2"/>
    <w:rsid w:val="0064148C"/>
    <w:rsid w:val="00641561"/>
    <w:rsid w:val="00641613"/>
    <w:rsid w:val="00641BB1"/>
    <w:rsid w:val="006420F7"/>
    <w:rsid w:val="00642509"/>
    <w:rsid w:val="006428C2"/>
    <w:rsid w:val="006429C5"/>
    <w:rsid w:val="00642A35"/>
    <w:rsid w:val="00642FF0"/>
    <w:rsid w:val="0064351A"/>
    <w:rsid w:val="0064366E"/>
    <w:rsid w:val="0064452F"/>
    <w:rsid w:val="00644820"/>
    <w:rsid w:val="00644A75"/>
    <w:rsid w:val="0064506F"/>
    <w:rsid w:val="006450C0"/>
    <w:rsid w:val="006452BD"/>
    <w:rsid w:val="00645637"/>
    <w:rsid w:val="006458F5"/>
    <w:rsid w:val="00645A8A"/>
    <w:rsid w:val="0064690D"/>
    <w:rsid w:val="00646B8E"/>
    <w:rsid w:val="00646D0F"/>
    <w:rsid w:val="006474D3"/>
    <w:rsid w:val="0064793B"/>
    <w:rsid w:val="00647C2E"/>
    <w:rsid w:val="0065028E"/>
    <w:rsid w:val="00650E26"/>
    <w:rsid w:val="00651330"/>
    <w:rsid w:val="00651422"/>
    <w:rsid w:val="006516EF"/>
    <w:rsid w:val="00651967"/>
    <w:rsid w:val="00652000"/>
    <w:rsid w:val="006521C2"/>
    <w:rsid w:val="006527D9"/>
    <w:rsid w:val="00652E2D"/>
    <w:rsid w:val="00652F0C"/>
    <w:rsid w:val="00652FBC"/>
    <w:rsid w:val="006534C9"/>
    <w:rsid w:val="00653934"/>
    <w:rsid w:val="006540BE"/>
    <w:rsid w:val="00654253"/>
    <w:rsid w:val="0065436B"/>
    <w:rsid w:val="00654793"/>
    <w:rsid w:val="00654A56"/>
    <w:rsid w:val="00654C51"/>
    <w:rsid w:val="00655F3B"/>
    <w:rsid w:val="006563A1"/>
    <w:rsid w:val="00656878"/>
    <w:rsid w:val="0065763E"/>
    <w:rsid w:val="006578BE"/>
    <w:rsid w:val="006602A8"/>
    <w:rsid w:val="00660C18"/>
    <w:rsid w:val="00661A75"/>
    <w:rsid w:val="00661AF8"/>
    <w:rsid w:val="00661BE2"/>
    <w:rsid w:val="006624D2"/>
    <w:rsid w:val="00662C71"/>
    <w:rsid w:val="006633D1"/>
    <w:rsid w:val="006635C8"/>
    <w:rsid w:val="00664251"/>
    <w:rsid w:val="0066488D"/>
    <w:rsid w:val="00664FE8"/>
    <w:rsid w:val="00665329"/>
    <w:rsid w:val="006663C8"/>
    <w:rsid w:val="006665C1"/>
    <w:rsid w:val="00666A02"/>
    <w:rsid w:val="00667007"/>
    <w:rsid w:val="006673C6"/>
    <w:rsid w:val="00670662"/>
    <w:rsid w:val="00670809"/>
    <w:rsid w:val="00670A4E"/>
    <w:rsid w:val="00671981"/>
    <w:rsid w:val="00671D11"/>
    <w:rsid w:val="00671EBA"/>
    <w:rsid w:val="0067211F"/>
    <w:rsid w:val="00672D03"/>
    <w:rsid w:val="0067326E"/>
    <w:rsid w:val="00673BAC"/>
    <w:rsid w:val="00673BC8"/>
    <w:rsid w:val="0067400B"/>
    <w:rsid w:val="0067404A"/>
    <w:rsid w:val="006745A4"/>
    <w:rsid w:val="00674731"/>
    <w:rsid w:val="00674903"/>
    <w:rsid w:val="00674D27"/>
    <w:rsid w:val="006753E5"/>
    <w:rsid w:val="006755A5"/>
    <w:rsid w:val="00675ABC"/>
    <w:rsid w:val="00675B59"/>
    <w:rsid w:val="00675FF0"/>
    <w:rsid w:val="00676566"/>
    <w:rsid w:val="0067680B"/>
    <w:rsid w:val="00676F08"/>
    <w:rsid w:val="00676FCB"/>
    <w:rsid w:val="00677680"/>
    <w:rsid w:val="00677943"/>
    <w:rsid w:val="006779F7"/>
    <w:rsid w:val="00677C78"/>
    <w:rsid w:val="00680094"/>
    <w:rsid w:val="00680B00"/>
    <w:rsid w:val="00680BF6"/>
    <w:rsid w:val="00681624"/>
    <w:rsid w:val="0068205D"/>
    <w:rsid w:val="006823EC"/>
    <w:rsid w:val="006829B4"/>
    <w:rsid w:val="00682B54"/>
    <w:rsid w:val="00684294"/>
    <w:rsid w:val="006842E6"/>
    <w:rsid w:val="00684476"/>
    <w:rsid w:val="00684766"/>
    <w:rsid w:val="00684A02"/>
    <w:rsid w:val="00684A41"/>
    <w:rsid w:val="00684C92"/>
    <w:rsid w:val="00684ED4"/>
    <w:rsid w:val="00685376"/>
    <w:rsid w:val="006855C5"/>
    <w:rsid w:val="006864A9"/>
    <w:rsid w:val="00686C1D"/>
    <w:rsid w:val="00686DE2"/>
    <w:rsid w:val="00686FE7"/>
    <w:rsid w:val="00687746"/>
    <w:rsid w:val="0068783B"/>
    <w:rsid w:val="00687BDD"/>
    <w:rsid w:val="00690165"/>
    <w:rsid w:val="00690400"/>
    <w:rsid w:val="00690534"/>
    <w:rsid w:val="006909AC"/>
    <w:rsid w:val="006911E3"/>
    <w:rsid w:val="006912D1"/>
    <w:rsid w:val="00691568"/>
    <w:rsid w:val="006915A3"/>
    <w:rsid w:val="00691C59"/>
    <w:rsid w:val="006922EC"/>
    <w:rsid w:val="006937A1"/>
    <w:rsid w:val="00693BD0"/>
    <w:rsid w:val="00693E5F"/>
    <w:rsid w:val="00694014"/>
    <w:rsid w:val="0069411D"/>
    <w:rsid w:val="0069443E"/>
    <w:rsid w:val="00694440"/>
    <w:rsid w:val="006945F8"/>
    <w:rsid w:val="00694726"/>
    <w:rsid w:val="0069478D"/>
    <w:rsid w:val="00694F5B"/>
    <w:rsid w:val="006953D0"/>
    <w:rsid w:val="006957C1"/>
    <w:rsid w:val="00695823"/>
    <w:rsid w:val="00695FB1"/>
    <w:rsid w:val="00696A7A"/>
    <w:rsid w:val="00696BD8"/>
    <w:rsid w:val="00696D38"/>
    <w:rsid w:val="00697385"/>
    <w:rsid w:val="006973BD"/>
    <w:rsid w:val="0069764E"/>
    <w:rsid w:val="00697AA8"/>
    <w:rsid w:val="00697ACE"/>
    <w:rsid w:val="006A00AF"/>
    <w:rsid w:val="006A081B"/>
    <w:rsid w:val="006A0E43"/>
    <w:rsid w:val="006A1A61"/>
    <w:rsid w:val="006A209C"/>
    <w:rsid w:val="006A2AFA"/>
    <w:rsid w:val="006A2FFE"/>
    <w:rsid w:val="006A3611"/>
    <w:rsid w:val="006A53A0"/>
    <w:rsid w:val="006A56A1"/>
    <w:rsid w:val="006A5FBC"/>
    <w:rsid w:val="006A691C"/>
    <w:rsid w:val="006A6BB3"/>
    <w:rsid w:val="006A6CC4"/>
    <w:rsid w:val="006A756A"/>
    <w:rsid w:val="006A7684"/>
    <w:rsid w:val="006A779D"/>
    <w:rsid w:val="006A7AD1"/>
    <w:rsid w:val="006A7F40"/>
    <w:rsid w:val="006B15C7"/>
    <w:rsid w:val="006B26C0"/>
    <w:rsid w:val="006B3DE1"/>
    <w:rsid w:val="006B46CD"/>
    <w:rsid w:val="006B4E3E"/>
    <w:rsid w:val="006B5434"/>
    <w:rsid w:val="006B59C8"/>
    <w:rsid w:val="006B61F1"/>
    <w:rsid w:val="006B63D6"/>
    <w:rsid w:val="006B6400"/>
    <w:rsid w:val="006B734B"/>
    <w:rsid w:val="006B740D"/>
    <w:rsid w:val="006B77FD"/>
    <w:rsid w:val="006B7A75"/>
    <w:rsid w:val="006B7B06"/>
    <w:rsid w:val="006B7DBD"/>
    <w:rsid w:val="006B7E9D"/>
    <w:rsid w:val="006B7F5C"/>
    <w:rsid w:val="006C0128"/>
    <w:rsid w:val="006C0642"/>
    <w:rsid w:val="006C082A"/>
    <w:rsid w:val="006C0B0A"/>
    <w:rsid w:val="006C0C26"/>
    <w:rsid w:val="006C1133"/>
    <w:rsid w:val="006C1DEB"/>
    <w:rsid w:val="006C20CC"/>
    <w:rsid w:val="006C27A3"/>
    <w:rsid w:val="006C2AEA"/>
    <w:rsid w:val="006C2F44"/>
    <w:rsid w:val="006C3478"/>
    <w:rsid w:val="006C3871"/>
    <w:rsid w:val="006C3933"/>
    <w:rsid w:val="006C3DB4"/>
    <w:rsid w:val="006C4445"/>
    <w:rsid w:val="006C4C3E"/>
    <w:rsid w:val="006C4DAC"/>
    <w:rsid w:val="006C50AC"/>
    <w:rsid w:val="006C5DE6"/>
    <w:rsid w:val="006C69A7"/>
    <w:rsid w:val="006C6AA2"/>
    <w:rsid w:val="006C6C62"/>
    <w:rsid w:val="006C730B"/>
    <w:rsid w:val="006C7E5A"/>
    <w:rsid w:val="006C7E8D"/>
    <w:rsid w:val="006C7F69"/>
    <w:rsid w:val="006D02DE"/>
    <w:rsid w:val="006D0407"/>
    <w:rsid w:val="006D0510"/>
    <w:rsid w:val="006D0A17"/>
    <w:rsid w:val="006D1582"/>
    <w:rsid w:val="006D15F8"/>
    <w:rsid w:val="006D1CC4"/>
    <w:rsid w:val="006D1E29"/>
    <w:rsid w:val="006D213E"/>
    <w:rsid w:val="006D2478"/>
    <w:rsid w:val="006D2808"/>
    <w:rsid w:val="006D2D61"/>
    <w:rsid w:val="006D2EA4"/>
    <w:rsid w:val="006D2F51"/>
    <w:rsid w:val="006D3351"/>
    <w:rsid w:val="006D3C0A"/>
    <w:rsid w:val="006D3FB8"/>
    <w:rsid w:val="006D40F5"/>
    <w:rsid w:val="006D4E36"/>
    <w:rsid w:val="006D4E3C"/>
    <w:rsid w:val="006D508E"/>
    <w:rsid w:val="006D580A"/>
    <w:rsid w:val="006D594F"/>
    <w:rsid w:val="006D5CC5"/>
    <w:rsid w:val="006D5EE5"/>
    <w:rsid w:val="006D61A9"/>
    <w:rsid w:val="006D6582"/>
    <w:rsid w:val="006D66B1"/>
    <w:rsid w:val="006D6735"/>
    <w:rsid w:val="006D6FDD"/>
    <w:rsid w:val="006D712E"/>
    <w:rsid w:val="006D72A2"/>
    <w:rsid w:val="006E0310"/>
    <w:rsid w:val="006E0A6B"/>
    <w:rsid w:val="006E0A9C"/>
    <w:rsid w:val="006E0DB4"/>
    <w:rsid w:val="006E0EC4"/>
    <w:rsid w:val="006E0F8E"/>
    <w:rsid w:val="006E103A"/>
    <w:rsid w:val="006E12D2"/>
    <w:rsid w:val="006E197F"/>
    <w:rsid w:val="006E1B61"/>
    <w:rsid w:val="006E1DCB"/>
    <w:rsid w:val="006E2975"/>
    <w:rsid w:val="006E2A9C"/>
    <w:rsid w:val="006E2B6D"/>
    <w:rsid w:val="006E34CB"/>
    <w:rsid w:val="006E3B7D"/>
    <w:rsid w:val="006E3BF5"/>
    <w:rsid w:val="006E4101"/>
    <w:rsid w:val="006E4469"/>
    <w:rsid w:val="006E4B50"/>
    <w:rsid w:val="006E4CED"/>
    <w:rsid w:val="006E4D6E"/>
    <w:rsid w:val="006E56A0"/>
    <w:rsid w:val="006E595F"/>
    <w:rsid w:val="006E6305"/>
    <w:rsid w:val="006E64B2"/>
    <w:rsid w:val="006E6630"/>
    <w:rsid w:val="006E6CD0"/>
    <w:rsid w:val="006E6D3B"/>
    <w:rsid w:val="006E6F14"/>
    <w:rsid w:val="006E7533"/>
    <w:rsid w:val="006E784B"/>
    <w:rsid w:val="006E79CF"/>
    <w:rsid w:val="006E7F77"/>
    <w:rsid w:val="006F05FE"/>
    <w:rsid w:val="006F12E8"/>
    <w:rsid w:val="006F1640"/>
    <w:rsid w:val="006F1A69"/>
    <w:rsid w:val="006F1B87"/>
    <w:rsid w:val="006F1B9F"/>
    <w:rsid w:val="006F1DF8"/>
    <w:rsid w:val="006F1E55"/>
    <w:rsid w:val="006F21D8"/>
    <w:rsid w:val="006F2276"/>
    <w:rsid w:val="006F2636"/>
    <w:rsid w:val="006F2A10"/>
    <w:rsid w:val="006F2B72"/>
    <w:rsid w:val="006F3411"/>
    <w:rsid w:val="006F3A1B"/>
    <w:rsid w:val="006F432A"/>
    <w:rsid w:val="006F4440"/>
    <w:rsid w:val="006F49F4"/>
    <w:rsid w:val="006F5361"/>
    <w:rsid w:val="006F55BC"/>
    <w:rsid w:val="006F5CA0"/>
    <w:rsid w:val="006F5D73"/>
    <w:rsid w:val="006F5EFB"/>
    <w:rsid w:val="006F6605"/>
    <w:rsid w:val="006F72EC"/>
    <w:rsid w:val="006F77C1"/>
    <w:rsid w:val="006F78F4"/>
    <w:rsid w:val="006F7F53"/>
    <w:rsid w:val="006F7FF6"/>
    <w:rsid w:val="0070002D"/>
    <w:rsid w:val="00700643"/>
    <w:rsid w:val="00700A08"/>
    <w:rsid w:val="00700DCE"/>
    <w:rsid w:val="00701338"/>
    <w:rsid w:val="00701D05"/>
    <w:rsid w:val="0070231A"/>
    <w:rsid w:val="00702F25"/>
    <w:rsid w:val="0070307C"/>
    <w:rsid w:val="0070341E"/>
    <w:rsid w:val="00703E6B"/>
    <w:rsid w:val="007040D5"/>
    <w:rsid w:val="00704677"/>
    <w:rsid w:val="007049BD"/>
    <w:rsid w:val="007051B2"/>
    <w:rsid w:val="00705A49"/>
    <w:rsid w:val="00706651"/>
    <w:rsid w:val="007071F6"/>
    <w:rsid w:val="0070773D"/>
    <w:rsid w:val="00707B29"/>
    <w:rsid w:val="00707CA8"/>
    <w:rsid w:val="00707EF8"/>
    <w:rsid w:val="00710327"/>
    <w:rsid w:val="00711762"/>
    <w:rsid w:val="00711BF4"/>
    <w:rsid w:val="00711C90"/>
    <w:rsid w:val="00712696"/>
    <w:rsid w:val="00713080"/>
    <w:rsid w:val="00713410"/>
    <w:rsid w:val="007137A8"/>
    <w:rsid w:val="00713ADA"/>
    <w:rsid w:val="00713BF8"/>
    <w:rsid w:val="00713D0A"/>
    <w:rsid w:val="0071455B"/>
    <w:rsid w:val="007146D1"/>
    <w:rsid w:val="007149A7"/>
    <w:rsid w:val="00714DF2"/>
    <w:rsid w:val="00714ED8"/>
    <w:rsid w:val="00714EF3"/>
    <w:rsid w:val="00714F8A"/>
    <w:rsid w:val="00714FF5"/>
    <w:rsid w:val="00715DBB"/>
    <w:rsid w:val="007166BD"/>
    <w:rsid w:val="00716CFF"/>
    <w:rsid w:val="0071723A"/>
    <w:rsid w:val="00717482"/>
    <w:rsid w:val="00717D9B"/>
    <w:rsid w:val="0072053B"/>
    <w:rsid w:val="00720687"/>
    <w:rsid w:val="00720958"/>
    <w:rsid w:val="00721000"/>
    <w:rsid w:val="007218BA"/>
    <w:rsid w:val="00721C37"/>
    <w:rsid w:val="00721D1B"/>
    <w:rsid w:val="00721F1B"/>
    <w:rsid w:val="007224E8"/>
    <w:rsid w:val="00722B8C"/>
    <w:rsid w:val="007231E5"/>
    <w:rsid w:val="0072380B"/>
    <w:rsid w:val="00723AE2"/>
    <w:rsid w:val="00723D90"/>
    <w:rsid w:val="00723F7F"/>
    <w:rsid w:val="00724189"/>
    <w:rsid w:val="007241C3"/>
    <w:rsid w:val="007245B9"/>
    <w:rsid w:val="0072475F"/>
    <w:rsid w:val="007249D4"/>
    <w:rsid w:val="0072514D"/>
    <w:rsid w:val="007260D3"/>
    <w:rsid w:val="00726494"/>
    <w:rsid w:val="007264B2"/>
    <w:rsid w:val="007266D5"/>
    <w:rsid w:val="00726C8C"/>
    <w:rsid w:val="007273EB"/>
    <w:rsid w:val="00727C95"/>
    <w:rsid w:val="00727CF6"/>
    <w:rsid w:val="007301AD"/>
    <w:rsid w:val="0073028B"/>
    <w:rsid w:val="007304C6"/>
    <w:rsid w:val="00730AAC"/>
    <w:rsid w:val="00730B51"/>
    <w:rsid w:val="00730BD2"/>
    <w:rsid w:val="00730D6D"/>
    <w:rsid w:val="00730E8D"/>
    <w:rsid w:val="00730ECA"/>
    <w:rsid w:val="007314CF"/>
    <w:rsid w:val="00731608"/>
    <w:rsid w:val="007317BF"/>
    <w:rsid w:val="00731A89"/>
    <w:rsid w:val="00731B25"/>
    <w:rsid w:val="00731D00"/>
    <w:rsid w:val="00732B34"/>
    <w:rsid w:val="00732FF1"/>
    <w:rsid w:val="00733256"/>
    <w:rsid w:val="0073424D"/>
    <w:rsid w:val="00734EEB"/>
    <w:rsid w:val="00735152"/>
    <w:rsid w:val="00735927"/>
    <w:rsid w:val="00735958"/>
    <w:rsid w:val="00735994"/>
    <w:rsid w:val="00735C9D"/>
    <w:rsid w:val="00735CCC"/>
    <w:rsid w:val="00735FF7"/>
    <w:rsid w:val="00736482"/>
    <w:rsid w:val="00736CB8"/>
    <w:rsid w:val="00736FFF"/>
    <w:rsid w:val="0073747D"/>
    <w:rsid w:val="00737DE7"/>
    <w:rsid w:val="007406DF"/>
    <w:rsid w:val="0074080D"/>
    <w:rsid w:val="007409C8"/>
    <w:rsid w:val="00741166"/>
    <w:rsid w:val="007412AE"/>
    <w:rsid w:val="00742350"/>
    <w:rsid w:val="007426D7"/>
    <w:rsid w:val="0074274F"/>
    <w:rsid w:val="007429EC"/>
    <w:rsid w:val="00742ECD"/>
    <w:rsid w:val="00743206"/>
    <w:rsid w:val="00743D08"/>
    <w:rsid w:val="00744076"/>
    <w:rsid w:val="00744124"/>
    <w:rsid w:val="007441C0"/>
    <w:rsid w:val="007441C2"/>
    <w:rsid w:val="00744447"/>
    <w:rsid w:val="00744DB8"/>
    <w:rsid w:val="00744EAC"/>
    <w:rsid w:val="007450D2"/>
    <w:rsid w:val="00745619"/>
    <w:rsid w:val="007458EE"/>
    <w:rsid w:val="007462DD"/>
    <w:rsid w:val="00746929"/>
    <w:rsid w:val="00746A79"/>
    <w:rsid w:val="0074742A"/>
    <w:rsid w:val="00747741"/>
    <w:rsid w:val="0074787A"/>
    <w:rsid w:val="00747C22"/>
    <w:rsid w:val="00747FD5"/>
    <w:rsid w:val="007504B0"/>
    <w:rsid w:val="007505FB"/>
    <w:rsid w:val="00750F7F"/>
    <w:rsid w:val="00751159"/>
    <w:rsid w:val="00751309"/>
    <w:rsid w:val="0075246F"/>
    <w:rsid w:val="00752667"/>
    <w:rsid w:val="0075275D"/>
    <w:rsid w:val="00752FDD"/>
    <w:rsid w:val="00753248"/>
    <w:rsid w:val="00753699"/>
    <w:rsid w:val="007536EE"/>
    <w:rsid w:val="007538EA"/>
    <w:rsid w:val="00753C9F"/>
    <w:rsid w:val="00753CC9"/>
    <w:rsid w:val="00753E5D"/>
    <w:rsid w:val="007540BF"/>
    <w:rsid w:val="00754875"/>
    <w:rsid w:val="00754B4A"/>
    <w:rsid w:val="00754F98"/>
    <w:rsid w:val="007554BE"/>
    <w:rsid w:val="007554C8"/>
    <w:rsid w:val="00755A20"/>
    <w:rsid w:val="00755BDB"/>
    <w:rsid w:val="0075628F"/>
    <w:rsid w:val="007567B0"/>
    <w:rsid w:val="00756FFD"/>
    <w:rsid w:val="00757826"/>
    <w:rsid w:val="00757A7F"/>
    <w:rsid w:val="007601B8"/>
    <w:rsid w:val="00760863"/>
    <w:rsid w:val="00760A17"/>
    <w:rsid w:val="00760BF2"/>
    <w:rsid w:val="00760D19"/>
    <w:rsid w:val="00760FA0"/>
    <w:rsid w:val="0076132A"/>
    <w:rsid w:val="007616D6"/>
    <w:rsid w:val="0076188B"/>
    <w:rsid w:val="007628D8"/>
    <w:rsid w:val="00762A46"/>
    <w:rsid w:val="00763597"/>
    <w:rsid w:val="007637A8"/>
    <w:rsid w:val="0076440C"/>
    <w:rsid w:val="007644F7"/>
    <w:rsid w:val="00764EE7"/>
    <w:rsid w:val="0076515E"/>
    <w:rsid w:val="00765574"/>
    <w:rsid w:val="00765A63"/>
    <w:rsid w:val="00765B58"/>
    <w:rsid w:val="007668B3"/>
    <w:rsid w:val="00766BC9"/>
    <w:rsid w:val="0076706F"/>
    <w:rsid w:val="0076722D"/>
    <w:rsid w:val="007678E4"/>
    <w:rsid w:val="007679E5"/>
    <w:rsid w:val="00767C29"/>
    <w:rsid w:val="0077010A"/>
    <w:rsid w:val="00770197"/>
    <w:rsid w:val="00770198"/>
    <w:rsid w:val="00770428"/>
    <w:rsid w:val="00770895"/>
    <w:rsid w:val="00770DCB"/>
    <w:rsid w:val="00771125"/>
    <w:rsid w:val="00771995"/>
    <w:rsid w:val="007719AC"/>
    <w:rsid w:val="0077211B"/>
    <w:rsid w:val="007725E6"/>
    <w:rsid w:val="00773480"/>
    <w:rsid w:val="00773550"/>
    <w:rsid w:val="007739B4"/>
    <w:rsid w:val="00774196"/>
    <w:rsid w:val="00774EB1"/>
    <w:rsid w:val="007751FC"/>
    <w:rsid w:val="00775272"/>
    <w:rsid w:val="007753C4"/>
    <w:rsid w:val="00775485"/>
    <w:rsid w:val="00775637"/>
    <w:rsid w:val="007759FB"/>
    <w:rsid w:val="007764E9"/>
    <w:rsid w:val="007765C0"/>
    <w:rsid w:val="007769AF"/>
    <w:rsid w:val="00776C81"/>
    <w:rsid w:val="00776E2E"/>
    <w:rsid w:val="007777C9"/>
    <w:rsid w:val="00777B77"/>
    <w:rsid w:val="00777BF2"/>
    <w:rsid w:val="0078023B"/>
    <w:rsid w:val="00780595"/>
    <w:rsid w:val="00780CF7"/>
    <w:rsid w:val="00781047"/>
    <w:rsid w:val="00781556"/>
    <w:rsid w:val="007818DE"/>
    <w:rsid w:val="007818E8"/>
    <w:rsid w:val="00781B24"/>
    <w:rsid w:val="00781C78"/>
    <w:rsid w:val="007822CA"/>
    <w:rsid w:val="00783532"/>
    <w:rsid w:val="00783950"/>
    <w:rsid w:val="00783EC4"/>
    <w:rsid w:val="00784029"/>
    <w:rsid w:val="00784452"/>
    <w:rsid w:val="007846B5"/>
    <w:rsid w:val="00784B36"/>
    <w:rsid w:val="00784EA4"/>
    <w:rsid w:val="00784FAD"/>
    <w:rsid w:val="00785B1D"/>
    <w:rsid w:val="00786024"/>
    <w:rsid w:val="007866F3"/>
    <w:rsid w:val="00786B46"/>
    <w:rsid w:val="00786DE3"/>
    <w:rsid w:val="00787518"/>
    <w:rsid w:val="00787C94"/>
    <w:rsid w:val="00787CC7"/>
    <w:rsid w:val="0079028F"/>
    <w:rsid w:val="00790622"/>
    <w:rsid w:val="00790FC6"/>
    <w:rsid w:val="00791500"/>
    <w:rsid w:val="0079193E"/>
    <w:rsid w:val="00791A34"/>
    <w:rsid w:val="00792DDE"/>
    <w:rsid w:val="00793C0C"/>
    <w:rsid w:val="00794A5B"/>
    <w:rsid w:val="00794B13"/>
    <w:rsid w:val="00794CC8"/>
    <w:rsid w:val="0079591B"/>
    <w:rsid w:val="00795F7A"/>
    <w:rsid w:val="00796599"/>
    <w:rsid w:val="00797344"/>
    <w:rsid w:val="0079750F"/>
    <w:rsid w:val="00797A4E"/>
    <w:rsid w:val="00797A78"/>
    <w:rsid w:val="00797C01"/>
    <w:rsid w:val="007A024F"/>
    <w:rsid w:val="007A0A32"/>
    <w:rsid w:val="007A0DAA"/>
    <w:rsid w:val="007A16FF"/>
    <w:rsid w:val="007A1840"/>
    <w:rsid w:val="007A1C81"/>
    <w:rsid w:val="007A1E7D"/>
    <w:rsid w:val="007A3382"/>
    <w:rsid w:val="007A3488"/>
    <w:rsid w:val="007A3A8A"/>
    <w:rsid w:val="007A44E6"/>
    <w:rsid w:val="007A477F"/>
    <w:rsid w:val="007A493D"/>
    <w:rsid w:val="007A4952"/>
    <w:rsid w:val="007A5235"/>
    <w:rsid w:val="007A5DC1"/>
    <w:rsid w:val="007A5F4A"/>
    <w:rsid w:val="007A61BB"/>
    <w:rsid w:val="007A6313"/>
    <w:rsid w:val="007A64AA"/>
    <w:rsid w:val="007A6876"/>
    <w:rsid w:val="007A6A37"/>
    <w:rsid w:val="007A72A7"/>
    <w:rsid w:val="007A747D"/>
    <w:rsid w:val="007A78FA"/>
    <w:rsid w:val="007A7AFE"/>
    <w:rsid w:val="007B007B"/>
    <w:rsid w:val="007B0601"/>
    <w:rsid w:val="007B0699"/>
    <w:rsid w:val="007B06EA"/>
    <w:rsid w:val="007B084C"/>
    <w:rsid w:val="007B0FFE"/>
    <w:rsid w:val="007B1602"/>
    <w:rsid w:val="007B170E"/>
    <w:rsid w:val="007B1B86"/>
    <w:rsid w:val="007B1C6F"/>
    <w:rsid w:val="007B30AF"/>
    <w:rsid w:val="007B34B6"/>
    <w:rsid w:val="007B377A"/>
    <w:rsid w:val="007B3891"/>
    <w:rsid w:val="007B391C"/>
    <w:rsid w:val="007B3AF4"/>
    <w:rsid w:val="007B3B9A"/>
    <w:rsid w:val="007B44B4"/>
    <w:rsid w:val="007B4A7C"/>
    <w:rsid w:val="007B4D2D"/>
    <w:rsid w:val="007B5231"/>
    <w:rsid w:val="007B539A"/>
    <w:rsid w:val="007B57BB"/>
    <w:rsid w:val="007B5A75"/>
    <w:rsid w:val="007B5CB2"/>
    <w:rsid w:val="007B631B"/>
    <w:rsid w:val="007B669F"/>
    <w:rsid w:val="007B7E7E"/>
    <w:rsid w:val="007C0F96"/>
    <w:rsid w:val="007C1270"/>
    <w:rsid w:val="007C133B"/>
    <w:rsid w:val="007C2064"/>
    <w:rsid w:val="007C209C"/>
    <w:rsid w:val="007C211B"/>
    <w:rsid w:val="007C2EF7"/>
    <w:rsid w:val="007C35F3"/>
    <w:rsid w:val="007C3654"/>
    <w:rsid w:val="007C3835"/>
    <w:rsid w:val="007C38F5"/>
    <w:rsid w:val="007C3FBC"/>
    <w:rsid w:val="007C3FFC"/>
    <w:rsid w:val="007C40C8"/>
    <w:rsid w:val="007C4124"/>
    <w:rsid w:val="007C41A3"/>
    <w:rsid w:val="007C4C5A"/>
    <w:rsid w:val="007C4CDA"/>
    <w:rsid w:val="007C518A"/>
    <w:rsid w:val="007C5245"/>
    <w:rsid w:val="007C5448"/>
    <w:rsid w:val="007C5583"/>
    <w:rsid w:val="007C6368"/>
    <w:rsid w:val="007C6651"/>
    <w:rsid w:val="007C66B9"/>
    <w:rsid w:val="007C70B1"/>
    <w:rsid w:val="007C7BD8"/>
    <w:rsid w:val="007C7F59"/>
    <w:rsid w:val="007D0348"/>
    <w:rsid w:val="007D068E"/>
    <w:rsid w:val="007D0E83"/>
    <w:rsid w:val="007D158A"/>
    <w:rsid w:val="007D15E2"/>
    <w:rsid w:val="007D2166"/>
    <w:rsid w:val="007D2314"/>
    <w:rsid w:val="007D244F"/>
    <w:rsid w:val="007D2F00"/>
    <w:rsid w:val="007D35B6"/>
    <w:rsid w:val="007D4532"/>
    <w:rsid w:val="007D468E"/>
    <w:rsid w:val="007D4EF7"/>
    <w:rsid w:val="007D5064"/>
    <w:rsid w:val="007D5ACC"/>
    <w:rsid w:val="007D6812"/>
    <w:rsid w:val="007D6D78"/>
    <w:rsid w:val="007D6D93"/>
    <w:rsid w:val="007D729B"/>
    <w:rsid w:val="007D7309"/>
    <w:rsid w:val="007D7668"/>
    <w:rsid w:val="007E0A45"/>
    <w:rsid w:val="007E0FE3"/>
    <w:rsid w:val="007E120C"/>
    <w:rsid w:val="007E19D1"/>
    <w:rsid w:val="007E1AE6"/>
    <w:rsid w:val="007E1B73"/>
    <w:rsid w:val="007E1CA8"/>
    <w:rsid w:val="007E238C"/>
    <w:rsid w:val="007E2483"/>
    <w:rsid w:val="007E3975"/>
    <w:rsid w:val="007E3B88"/>
    <w:rsid w:val="007E45BD"/>
    <w:rsid w:val="007E4F54"/>
    <w:rsid w:val="007E5396"/>
    <w:rsid w:val="007E597A"/>
    <w:rsid w:val="007E5B3F"/>
    <w:rsid w:val="007E5B88"/>
    <w:rsid w:val="007E5C4A"/>
    <w:rsid w:val="007E5C81"/>
    <w:rsid w:val="007E616D"/>
    <w:rsid w:val="007E6959"/>
    <w:rsid w:val="007E79CC"/>
    <w:rsid w:val="007E7F5B"/>
    <w:rsid w:val="007F06CF"/>
    <w:rsid w:val="007F0D0B"/>
    <w:rsid w:val="007F1088"/>
    <w:rsid w:val="007F1366"/>
    <w:rsid w:val="007F2955"/>
    <w:rsid w:val="007F2DFD"/>
    <w:rsid w:val="007F302C"/>
    <w:rsid w:val="007F3D4A"/>
    <w:rsid w:val="007F3FD4"/>
    <w:rsid w:val="007F4258"/>
    <w:rsid w:val="007F437D"/>
    <w:rsid w:val="007F4C19"/>
    <w:rsid w:val="007F5113"/>
    <w:rsid w:val="007F5233"/>
    <w:rsid w:val="007F546E"/>
    <w:rsid w:val="007F56AD"/>
    <w:rsid w:val="007F6266"/>
    <w:rsid w:val="007F6705"/>
    <w:rsid w:val="007F699A"/>
    <w:rsid w:val="007F7539"/>
    <w:rsid w:val="007F75FA"/>
    <w:rsid w:val="007F7728"/>
    <w:rsid w:val="008007A8"/>
    <w:rsid w:val="008008B7"/>
    <w:rsid w:val="0080096F"/>
    <w:rsid w:val="00800B3F"/>
    <w:rsid w:val="008019F8"/>
    <w:rsid w:val="00801F88"/>
    <w:rsid w:val="0080292A"/>
    <w:rsid w:val="00802CF3"/>
    <w:rsid w:val="008031B8"/>
    <w:rsid w:val="0080404D"/>
    <w:rsid w:val="0080415B"/>
    <w:rsid w:val="008042D9"/>
    <w:rsid w:val="00804714"/>
    <w:rsid w:val="00805279"/>
    <w:rsid w:val="008054E0"/>
    <w:rsid w:val="0080553B"/>
    <w:rsid w:val="00805A78"/>
    <w:rsid w:val="00805EF2"/>
    <w:rsid w:val="00806AD1"/>
    <w:rsid w:val="00806E74"/>
    <w:rsid w:val="00806F9C"/>
    <w:rsid w:val="00807523"/>
    <w:rsid w:val="00807E8D"/>
    <w:rsid w:val="008101AC"/>
    <w:rsid w:val="008101CA"/>
    <w:rsid w:val="00810589"/>
    <w:rsid w:val="008108FC"/>
    <w:rsid w:val="00810A01"/>
    <w:rsid w:val="00810D85"/>
    <w:rsid w:val="0081151F"/>
    <w:rsid w:val="008118A0"/>
    <w:rsid w:val="008121D5"/>
    <w:rsid w:val="0081263A"/>
    <w:rsid w:val="00812718"/>
    <w:rsid w:val="00812EF9"/>
    <w:rsid w:val="0081321B"/>
    <w:rsid w:val="0081327A"/>
    <w:rsid w:val="0081333A"/>
    <w:rsid w:val="00813567"/>
    <w:rsid w:val="00813C00"/>
    <w:rsid w:val="00813C83"/>
    <w:rsid w:val="00814211"/>
    <w:rsid w:val="00814DA8"/>
    <w:rsid w:val="00814F49"/>
    <w:rsid w:val="00814FC0"/>
    <w:rsid w:val="00815381"/>
    <w:rsid w:val="008156A6"/>
    <w:rsid w:val="00815980"/>
    <w:rsid w:val="0081690E"/>
    <w:rsid w:val="00816BE8"/>
    <w:rsid w:val="00816DC2"/>
    <w:rsid w:val="00817200"/>
    <w:rsid w:val="0081727F"/>
    <w:rsid w:val="008176B4"/>
    <w:rsid w:val="00817831"/>
    <w:rsid w:val="00817854"/>
    <w:rsid w:val="008179A2"/>
    <w:rsid w:val="00817C73"/>
    <w:rsid w:val="00817F39"/>
    <w:rsid w:val="00820174"/>
    <w:rsid w:val="00820E42"/>
    <w:rsid w:val="008210F3"/>
    <w:rsid w:val="008216F5"/>
    <w:rsid w:val="00821847"/>
    <w:rsid w:val="0082188D"/>
    <w:rsid w:val="00821FF5"/>
    <w:rsid w:val="008226FD"/>
    <w:rsid w:val="00822BB3"/>
    <w:rsid w:val="00823005"/>
    <w:rsid w:val="008241FA"/>
    <w:rsid w:val="00824502"/>
    <w:rsid w:val="00824767"/>
    <w:rsid w:val="008248AB"/>
    <w:rsid w:val="008248EB"/>
    <w:rsid w:val="00824F9E"/>
    <w:rsid w:val="00825336"/>
    <w:rsid w:val="008258DC"/>
    <w:rsid w:val="00825AF0"/>
    <w:rsid w:val="008269A1"/>
    <w:rsid w:val="00826AF1"/>
    <w:rsid w:val="00827235"/>
    <w:rsid w:val="00827621"/>
    <w:rsid w:val="008276AC"/>
    <w:rsid w:val="00827B57"/>
    <w:rsid w:val="00827DA7"/>
    <w:rsid w:val="008303A1"/>
    <w:rsid w:val="008303C3"/>
    <w:rsid w:val="00830533"/>
    <w:rsid w:val="008306F0"/>
    <w:rsid w:val="008307E4"/>
    <w:rsid w:val="008312ED"/>
    <w:rsid w:val="00831560"/>
    <w:rsid w:val="00831A95"/>
    <w:rsid w:val="00831F0B"/>
    <w:rsid w:val="00832524"/>
    <w:rsid w:val="00832658"/>
    <w:rsid w:val="008327C4"/>
    <w:rsid w:val="00832862"/>
    <w:rsid w:val="008331E8"/>
    <w:rsid w:val="008335A5"/>
    <w:rsid w:val="00833900"/>
    <w:rsid w:val="0083412A"/>
    <w:rsid w:val="00834585"/>
    <w:rsid w:val="0083479A"/>
    <w:rsid w:val="0083495F"/>
    <w:rsid w:val="00834A84"/>
    <w:rsid w:val="00834D63"/>
    <w:rsid w:val="00834F2E"/>
    <w:rsid w:val="008356E0"/>
    <w:rsid w:val="00835C30"/>
    <w:rsid w:val="00835D7C"/>
    <w:rsid w:val="00837242"/>
    <w:rsid w:val="008372AF"/>
    <w:rsid w:val="008375D8"/>
    <w:rsid w:val="00837874"/>
    <w:rsid w:val="00840519"/>
    <w:rsid w:val="00840F3D"/>
    <w:rsid w:val="00840FC0"/>
    <w:rsid w:val="008414C1"/>
    <w:rsid w:val="00841848"/>
    <w:rsid w:val="00841A2C"/>
    <w:rsid w:val="00842020"/>
    <w:rsid w:val="0084219B"/>
    <w:rsid w:val="008423B5"/>
    <w:rsid w:val="00842507"/>
    <w:rsid w:val="00842D36"/>
    <w:rsid w:val="00842E0C"/>
    <w:rsid w:val="00843687"/>
    <w:rsid w:val="00843991"/>
    <w:rsid w:val="00843E85"/>
    <w:rsid w:val="00844022"/>
    <w:rsid w:val="00844446"/>
    <w:rsid w:val="008449B9"/>
    <w:rsid w:val="00845240"/>
    <w:rsid w:val="00845300"/>
    <w:rsid w:val="00845964"/>
    <w:rsid w:val="008459CC"/>
    <w:rsid w:val="00845B2F"/>
    <w:rsid w:val="00845CD6"/>
    <w:rsid w:val="008466A7"/>
    <w:rsid w:val="00846E73"/>
    <w:rsid w:val="00847191"/>
    <w:rsid w:val="00847B06"/>
    <w:rsid w:val="00850005"/>
    <w:rsid w:val="008502D3"/>
    <w:rsid w:val="0085063A"/>
    <w:rsid w:val="008506BF"/>
    <w:rsid w:val="00851098"/>
    <w:rsid w:val="00851111"/>
    <w:rsid w:val="0085139A"/>
    <w:rsid w:val="00851495"/>
    <w:rsid w:val="008514A1"/>
    <w:rsid w:val="00852257"/>
    <w:rsid w:val="008527E6"/>
    <w:rsid w:val="008529AA"/>
    <w:rsid w:val="00852A5C"/>
    <w:rsid w:val="00852D2A"/>
    <w:rsid w:val="00852ECD"/>
    <w:rsid w:val="00852F51"/>
    <w:rsid w:val="00852FA7"/>
    <w:rsid w:val="00853906"/>
    <w:rsid w:val="00853953"/>
    <w:rsid w:val="00853F86"/>
    <w:rsid w:val="00853FBA"/>
    <w:rsid w:val="00854290"/>
    <w:rsid w:val="00854793"/>
    <w:rsid w:val="008548D0"/>
    <w:rsid w:val="00854DF0"/>
    <w:rsid w:val="00855114"/>
    <w:rsid w:val="00856353"/>
    <w:rsid w:val="0085642A"/>
    <w:rsid w:val="008565EE"/>
    <w:rsid w:val="00856FDA"/>
    <w:rsid w:val="00857411"/>
    <w:rsid w:val="00857BA5"/>
    <w:rsid w:val="00857BFA"/>
    <w:rsid w:val="00860320"/>
    <w:rsid w:val="00860396"/>
    <w:rsid w:val="00860704"/>
    <w:rsid w:val="00860818"/>
    <w:rsid w:val="00860B08"/>
    <w:rsid w:val="00860FC6"/>
    <w:rsid w:val="008614CB"/>
    <w:rsid w:val="00861666"/>
    <w:rsid w:val="00861B7E"/>
    <w:rsid w:val="00862259"/>
    <w:rsid w:val="0086254F"/>
    <w:rsid w:val="0086262B"/>
    <w:rsid w:val="00862993"/>
    <w:rsid w:val="00862ED3"/>
    <w:rsid w:val="008632F3"/>
    <w:rsid w:val="0086358A"/>
    <w:rsid w:val="00863CB4"/>
    <w:rsid w:val="00864428"/>
    <w:rsid w:val="00864799"/>
    <w:rsid w:val="00864C4B"/>
    <w:rsid w:val="00864DFC"/>
    <w:rsid w:val="00865527"/>
    <w:rsid w:val="00865716"/>
    <w:rsid w:val="00865A47"/>
    <w:rsid w:val="00865D3A"/>
    <w:rsid w:val="00865FE8"/>
    <w:rsid w:val="008668DC"/>
    <w:rsid w:val="00867181"/>
    <w:rsid w:val="00867497"/>
    <w:rsid w:val="008706E4"/>
    <w:rsid w:val="0087094D"/>
    <w:rsid w:val="008709F7"/>
    <w:rsid w:val="0087133C"/>
    <w:rsid w:val="008720CE"/>
    <w:rsid w:val="008724DE"/>
    <w:rsid w:val="0087288D"/>
    <w:rsid w:val="00872AD1"/>
    <w:rsid w:val="00872CE6"/>
    <w:rsid w:val="00872E34"/>
    <w:rsid w:val="008736BC"/>
    <w:rsid w:val="008739CD"/>
    <w:rsid w:val="00873A8B"/>
    <w:rsid w:val="008740F2"/>
    <w:rsid w:val="0087410B"/>
    <w:rsid w:val="00874306"/>
    <w:rsid w:val="00874540"/>
    <w:rsid w:val="008746B8"/>
    <w:rsid w:val="00874AF3"/>
    <w:rsid w:val="00875273"/>
    <w:rsid w:val="00875459"/>
    <w:rsid w:val="008755C4"/>
    <w:rsid w:val="008758D9"/>
    <w:rsid w:val="00875EE0"/>
    <w:rsid w:val="008762AD"/>
    <w:rsid w:val="0087640F"/>
    <w:rsid w:val="00876C83"/>
    <w:rsid w:val="00877376"/>
    <w:rsid w:val="00877478"/>
    <w:rsid w:val="0087764E"/>
    <w:rsid w:val="008776E2"/>
    <w:rsid w:val="00877E47"/>
    <w:rsid w:val="00880471"/>
    <w:rsid w:val="008812BD"/>
    <w:rsid w:val="0088146F"/>
    <w:rsid w:val="0088194E"/>
    <w:rsid w:val="00882501"/>
    <w:rsid w:val="00882B0A"/>
    <w:rsid w:val="00882EC7"/>
    <w:rsid w:val="00883015"/>
    <w:rsid w:val="00883714"/>
    <w:rsid w:val="008841F1"/>
    <w:rsid w:val="00884D63"/>
    <w:rsid w:val="008854FB"/>
    <w:rsid w:val="0088652C"/>
    <w:rsid w:val="008868F2"/>
    <w:rsid w:val="0088690A"/>
    <w:rsid w:val="008869A6"/>
    <w:rsid w:val="00886A3C"/>
    <w:rsid w:val="00886A9B"/>
    <w:rsid w:val="00886CB4"/>
    <w:rsid w:val="008877DA"/>
    <w:rsid w:val="0088781B"/>
    <w:rsid w:val="00887C22"/>
    <w:rsid w:val="00887EA4"/>
    <w:rsid w:val="008900BD"/>
    <w:rsid w:val="008909B4"/>
    <w:rsid w:val="00891407"/>
    <w:rsid w:val="00891E9D"/>
    <w:rsid w:val="00891EF8"/>
    <w:rsid w:val="008923E5"/>
    <w:rsid w:val="0089293F"/>
    <w:rsid w:val="00892F8E"/>
    <w:rsid w:val="00893152"/>
    <w:rsid w:val="00893676"/>
    <w:rsid w:val="00893D4F"/>
    <w:rsid w:val="00894036"/>
    <w:rsid w:val="00894682"/>
    <w:rsid w:val="008948A7"/>
    <w:rsid w:val="00894B97"/>
    <w:rsid w:val="0089544C"/>
    <w:rsid w:val="008961AD"/>
    <w:rsid w:val="008963A6"/>
    <w:rsid w:val="00896993"/>
    <w:rsid w:val="00896F34"/>
    <w:rsid w:val="00896FB4"/>
    <w:rsid w:val="0089700E"/>
    <w:rsid w:val="008973CE"/>
    <w:rsid w:val="00897412"/>
    <w:rsid w:val="00897999"/>
    <w:rsid w:val="00897BD3"/>
    <w:rsid w:val="008A03D8"/>
    <w:rsid w:val="008A0B14"/>
    <w:rsid w:val="008A0E94"/>
    <w:rsid w:val="008A1338"/>
    <w:rsid w:val="008A1397"/>
    <w:rsid w:val="008A15EB"/>
    <w:rsid w:val="008A1965"/>
    <w:rsid w:val="008A2699"/>
    <w:rsid w:val="008A2AC1"/>
    <w:rsid w:val="008A2DF3"/>
    <w:rsid w:val="008A325F"/>
    <w:rsid w:val="008A3466"/>
    <w:rsid w:val="008A39E6"/>
    <w:rsid w:val="008A3A3F"/>
    <w:rsid w:val="008A3C1B"/>
    <w:rsid w:val="008A3D57"/>
    <w:rsid w:val="008A3FC6"/>
    <w:rsid w:val="008A4382"/>
    <w:rsid w:val="008A4801"/>
    <w:rsid w:val="008A4C61"/>
    <w:rsid w:val="008A52C5"/>
    <w:rsid w:val="008A60F3"/>
    <w:rsid w:val="008A6134"/>
    <w:rsid w:val="008A71FC"/>
    <w:rsid w:val="008A7548"/>
    <w:rsid w:val="008A7D04"/>
    <w:rsid w:val="008A7FDF"/>
    <w:rsid w:val="008B02E6"/>
    <w:rsid w:val="008B0633"/>
    <w:rsid w:val="008B0741"/>
    <w:rsid w:val="008B1443"/>
    <w:rsid w:val="008B1647"/>
    <w:rsid w:val="008B1843"/>
    <w:rsid w:val="008B1D5A"/>
    <w:rsid w:val="008B1F34"/>
    <w:rsid w:val="008B2049"/>
    <w:rsid w:val="008B2055"/>
    <w:rsid w:val="008B20CB"/>
    <w:rsid w:val="008B23BC"/>
    <w:rsid w:val="008B26B0"/>
    <w:rsid w:val="008B335C"/>
    <w:rsid w:val="008B3899"/>
    <w:rsid w:val="008B4A69"/>
    <w:rsid w:val="008B4BE0"/>
    <w:rsid w:val="008B4CBA"/>
    <w:rsid w:val="008B6031"/>
    <w:rsid w:val="008B7194"/>
    <w:rsid w:val="008B72C8"/>
    <w:rsid w:val="008B7559"/>
    <w:rsid w:val="008B7AE4"/>
    <w:rsid w:val="008B7E31"/>
    <w:rsid w:val="008C01A0"/>
    <w:rsid w:val="008C02B3"/>
    <w:rsid w:val="008C03B7"/>
    <w:rsid w:val="008C064C"/>
    <w:rsid w:val="008C0A29"/>
    <w:rsid w:val="008C0B85"/>
    <w:rsid w:val="008C0CDE"/>
    <w:rsid w:val="008C0EE0"/>
    <w:rsid w:val="008C11B9"/>
    <w:rsid w:val="008C139C"/>
    <w:rsid w:val="008C2074"/>
    <w:rsid w:val="008C26DF"/>
    <w:rsid w:val="008C281A"/>
    <w:rsid w:val="008C2F48"/>
    <w:rsid w:val="008C365B"/>
    <w:rsid w:val="008C3EFD"/>
    <w:rsid w:val="008C4A4D"/>
    <w:rsid w:val="008C5078"/>
    <w:rsid w:val="008C5374"/>
    <w:rsid w:val="008C6172"/>
    <w:rsid w:val="008C61F1"/>
    <w:rsid w:val="008C6802"/>
    <w:rsid w:val="008C720C"/>
    <w:rsid w:val="008C7E4C"/>
    <w:rsid w:val="008D0F89"/>
    <w:rsid w:val="008D10CA"/>
    <w:rsid w:val="008D1A8C"/>
    <w:rsid w:val="008D1E80"/>
    <w:rsid w:val="008D268D"/>
    <w:rsid w:val="008D2FC5"/>
    <w:rsid w:val="008D319E"/>
    <w:rsid w:val="008D32BF"/>
    <w:rsid w:val="008D3CE1"/>
    <w:rsid w:val="008D46D0"/>
    <w:rsid w:val="008D54D1"/>
    <w:rsid w:val="008D6495"/>
    <w:rsid w:val="008D64BC"/>
    <w:rsid w:val="008D65B1"/>
    <w:rsid w:val="008D6BC0"/>
    <w:rsid w:val="008D6E99"/>
    <w:rsid w:val="008D6EBA"/>
    <w:rsid w:val="008D6F3F"/>
    <w:rsid w:val="008D7282"/>
    <w:rsid w:val="008D7C20"/>
    <w:rsid w:val="008D7CFC"/>
    <w:rsid w:val="008D7DD7"/>
    <w:rsid w:val="008E1BF4"/>
    <w:rsid w:val="008E321A"/>
    <w:rsid w:val="008E328C"/>
    <w:rsid w:val="008E349C"/>
    <w:rsid w:val="008E3571"/>
    <w:rsid w:val="008E3916"/>
    <w:rsid w:val="008E3D60"/>
    <w:rsid w:val="008E3F4C"/>
    <w:rsid w:val="008E44B1"/>
    <w:rsid w:val="008E46A4"/>
    <w:rsid w:val="008E471C"/>
    <w:rsid w:val="008E4C14"/>
    <w:rsid w:val="008E4F6E"/>
    <w:rsid w:val="008E5AF1"/>
    <w:rsid w:val="008E62EA"/>
    <w:rsid w:val="008E6925"/>
    <w:rsid w:val="008E6A21"/>
    <w:rsid w:val="008E6E8F"/>
    <w:rsid w:val="008E7226"/>
    <w:rsid w:val="008E7406"/>
    <w:rsid w:val="008E7541"/>
    <w:rsid w:val="008E75E7"/>
    <w:rsid w:val="008E7AD3"/>
    <w:rsid w:val="008F0384"/>
    <w:rsid w:val="008F062E"/>
    <w:rsid w:val="008F0BE7"/>
    <w:rsid w:val="008F0DB6"/>
    <w:rsid w:val="008F103A"/>
    <w:rsid w:val="008F1778"/>
    <w:rsid w:val="008F1796"/>
    <w:rsid w:val="008F17B0"/>
    <w:rsid w:val="008F19B9"/>
    <w:rsid w:val="008F1D1A"/>
    <w:rsid w:val="008F21F2"/>
    <w:rsid w:val="008F2230"/>
    <w:rsid w:val="008F2B39"/>
    <w:rsid w:val="008F356D"/>
    <w:rsid w:val="008F3BE9"/>
    <w:rsid w:val="008F51A0"/>
    <w:rsid w:val="008F5443"/>
    <w:rsid w:val="008F54B1"/>
    <w:rsid w:val="008F5550"/>
    <w:rsid w:val="008F5924"/>
    <w:rsid w:val="008F5CAD"/>
    <w:rsid w:val="008F64C7"/>
    <w:rsid w:val="008F739D"/>
    <w:rsid w:val="008F7BAD"/>
    <w:rsid w:val="00900065"/>
    <w:rsid w:val="0090068E"/>
    <w:rsid w:val="00900817"/>
    <w:rsid w:val="009010D0"/>
    <w:rsid w:val="0090127B"/>
    <w:rsid w:val="0090140D"/>
    <w:rsid w:val="009014CC"/>
    <w:rsid w:val="0090155F"/>
    <w:rsid w:val="0090165F"/>
    <w:rsid w:val="0090184B"/>
    <w:rsid w:val="00901B82"/>
    <w:rsid w:val="00901E64"/>
    <w:rsid w:val="0090230E"/>
    <w:rsid w:val="00902795"/>
    <w:rsid w:val="009029C9"/>
    <w:rsid w:val="009032C9"/>
    <w:rsid w:val="009035E8"/>
    <w:rsid w:val="00903901"/>
    <w:rsid w:val="00903B3F"/>
    <w:rsid w:val="00903C2E"/>
    <w:rsid w:val="00903D5C"/>
    <w:rsid w:val="00903EE4"/>
    <w:rsid w:val="00903EEB"/>
    <w:rsid w:val="00904455"/>
    <w:rsid w:val="009047E9"/>
    <w:rsid w:val="00904CC8"/>
    <w:rsid w:val="00904E69"/>
    <w:rsid w:val="009053D2"/>
    <w:rsid w:val="00905643"/>
    <w:rsid w:val="00906FBF"/>
    <w:rsid w:val="0090787A"/>
    <w:rsid w:val="00907CD5"/>
    <w:rsid w:val="00907FDE"/>
    <w:rsid w:val="00910BC3"/>
    <w:rsid w:val="009116A4"/>
    <w:rsid w:val="00911CD9"/>
    <w:rsid w:val="00912B09"/>
    <w:rsid w:val="00912E7B"/>
    <w:rsid w:val="0091300A"/>
    <w:rsid w:val="009131FB"/>
    <w:rsid w:val="0091342B"/>
    <w:rsid w:val="0091383D"/>
    <w:rsid w:val="00914D14"/>
    <w:rsid w:val="00914D9A"/>
    <w:rsid w:val="00914DE7"/>
    <w:rsid w:val="0091556B"/>
    <w:rsid w:val="009158C7"/>
    <w:rsid w:val="0091596D"/>
    <w:rsid w:val="009159C6"/>
    <w:rsid w:val="00915AD9"/>
    <w:rsid w:val="009165D7"/>
    <w:rsid w:val="009167FE"/>
    <w:rsid w:val="0091694F"/>
    <w:rsid w:val="00916D5F"/>
    <w:rsid w:val="0091758A"/>
    <w:rsid w:val="00917C18"/>
    <w:rsid w:val="00917E3F"/>
    <w:rsid w:val="00917F13"/>
    <w:rsid w:val="00920099"/>
    <w:rsid w:val="00920223"/>
    <w:rsid w:val="0092064B"/>
    <w:rsid w:val="00920DDC"/>
    <w:rsid w:val="0092176B"/>
    <w:rsid w:val="009218E1"/>
    <w:rsid w:val="009219BC"/>
    <w:rsid w:val="00921AD4"/>
    <w:rsid w:val="00921D67"/>
    <w:rsid w:val="0092214B"/>
    <w:rsid w:val="00922781"/>
    <w:rsid w:val="00922E8A"/>
    <w:rsid w:val="00922EA4"/>
    <w:rsid w:val="00923960"/>
    <w:rsid w:val="00923F25"/>
    <w:rsid w:val="009257EA"/>
    <w:rsid w:val="009263AC"/>
    <w:rsid w:val="009269DB"/>
    <w:rsid w:val="00926C9B"/>
    <w:rsid w:val="00927298"/>
    <w:rsid w:val="00927459"/>
    <w:rsid w:val="009275C7"/>
    <w:rsid w:val="00927DB8"/>
    <w:rsid w:val="00927FE4"/>
    <w:rsid w:val="00930281"/>
    <w:rsid w:val="0093031F"/>
    <w:rsid w:val="009305D0"/>
    <w:rsid w:val="00930641"/>
    <w:rsid w:val="00931282"/>
    <w:rsid w:val="00931C30"/>
    <w:rsid w:val="00931CA4"/>
    <w:rsid w:val="009321E2"/>
    <w:rsid w:val="00932922"/>
    <w:rsid w:val="009329A3"/>
    <w:rsid w:val="00933337"/>
    <w:rsid w:val="0093358E"/>
    <w:rsid w:val="009335B2"/>
    <w:rsid w:val="00933903"/>
    <w:rsid w:val="0093393D"/>
    <w:rsid w:val="00933E00"/>
    <w:rsid w:val="00933E58"/>
    <w:rsid w:val="00934000"/>
    <w:rsid w:val="00934494"/>
    <w:rsid w:val="00934971"/>
    <w:rsid w:val="00934E34"/>
    <w:rsid w:val="00935863"/>
    <w:rsid w:val="009359AE"/>
    <w:rsid w:val="00936D92"/>
    <w:rsid w:val="00937B45"/>
    <w:rsid w:val="009407D0"/>
    <w:rsid w:val="009408EF"/>
    <w:rsid w:val="00940F89"/>
    <w:rsid w:val="009416D0"/>
    <w:rsid w:val="00941C09"/>
    <w:rsid w:val="00942558"/>
    <w:rsid w:val="00942571"/>
    <w:rsid w:val="00942F48"/>
    <w:rsid w:val="009432CF"/>
    <w:rsid w:val="00943440"/>
    <w:rsid w:val="0094349D"/>
    <w:rsid w:val="00943A6C"/>
    <w:rsid w:val="00943A97"/>
    <w:rsid w:val="00943DE8"/>
    <w:rsid w:val="00943E5D"/>
    <w:rsid w:val="009446AB"/>
    <w:rsid w:val="00944D14"/>
    <w:rsid w:val="00945298"/>
    <w:rsid w:val="009452EC"/>
    <w:rsid w:val="00945C5B"/>
    <w:rsid w:val="00946762"/>
    <w:rsid w:val="00946AE7"/>
    <w:rsid w:val="00946D7E"/>
    <w:rsid w:val="00947083"/>
    <w:rsid w:val="009470AB"/>
    <w:rsid w:val="009476A9"/>
    <w:rsid w:val="00947766"/>
    <w:rsid w:val="00947A40"/>
    <w:rsid w:val="009502A4"/>
    <w:rsid w:val="0095037A"/>
    <w:rsid w:val="009504F0"/>
    <w:rsid w:val="009507BA"/>
    <w:rsid w:val="009508EA"/>
    <w:rsid w:val="0095145D"/>
    <w:rsid w:val="00951786"/>
    <w:rsid w:val="00951B0D"/>
    <w:rsid w:val="00952A44"/>
    <w:rsid w:val="0095330F"/>
    <w:rsid w:val="00953A26"/>
    <w:rsid w:val="00954141"/>
    <w:rsid w:val="00954184"/>
    <w:rsid w:val="009547A3"/>
    <w:rsid w:val="00954DA7"/>
    <w:rsid w:val="00955011"/>
    <w:rsid w:val="00955296"/>
    <w:rsid w:val="00955B43"/>
    <w:rsid w:val="00955CEF"/>
    <w:rsid w:val="00955ED0"/>
    <w:rsid w:val="009560DA"/>
    <w:rsid w:val="00956874"/>
    <w:rsid w:val="00956BF7"/>
    <w:rsid w:val="00956C6E"/>
    <w:rsid w:val="00957507"/>
    <w:rsid w:val="009577A9"/>
    <w:rsid w:val="0095798F"/>
    <w:rsid w:val="009602B4"/>
    <w:rsid w:val="009603B6"/>
    <w:rsid w:val="00960A53"/>
    <w:rsid w:val="00960EB0"/>
    <w:rsid w:val="00960F3C"/>
    <w:rsid w:val="0096125D"/>
    <w:rsid w:val="009618EB"/>
    <w:rsid w:val="00961A87"/>
    <w:rsid w:val="00961DDE"/>
    <w:rsid w:val="009626D5"/>
    <w:rsid w:val="00962B6B"/>
    <w:rsid w:val="00962CFE"/>
    <w:rsid w:val="0096511F"/>
    <w:rsid w:val="00965225"/>
    <w:rsid w:val="00965486"/>
    <w:rsid w:val="00965CBB"/>
    <w:rsid w:val="00965CD2"/>
    <w:rsid w:val="00965D39"/>
    <w:rsid w:val="0096663B"/>
    <w:rsid w:val="00966C2F"/>
    <w:rsid w:val="009670B7"/>
    <w:rsid w:val="00967239"/>
    <w:rsid w:val="0096742A"/>
    <w:rsid w:val="00967831"/>
    <w:rsid w:val="009707DA"/>
    <w:rsid w:val="009709FD"/>
    <w:rsid w:val="00970E0F"/>
    <w:rsid w:val="00971351"/>
    <w:rsid w:val="009713B6"/>
    <w:rsid w:val="009714E4"/>
    <w:rsid w:val="00971A79"/>
    <w:rsid w:val="00971B84"/>
    <w:rsid w:val="0097215F"/>
    <w:rsid w:val="00972487"/>
    <w:rsid w:val="00972601"/>
    <w:rsid w:val="009729F0"/>
    <w:rsid w:val="00972B2A"/>
    <w:rsid w:val="00972DA3"/>
    <w:rsid w:val="00972EB4"/>
    <w:rsid w:val="009733D6"/>
    <w:rsid w:val="00973591"/>
    <w:rsid w:val="009740F8"/>
    <w:rsid w:val="009747B9"/>
    <w:rsid w:val="00974BF0"/>
    <w:rsid w:val="0097512B"/>
    <w:rsid w:val="009752B5"/>
    <w:rsid w:val="00975549"/>
    <w:rsid w:val="009762C0"/>
    <w:rsid w:val="00976DDA"/>
    <w:rsid w:val="00976EE3"/>
    <w:rsid w:val="00977170"/>
    <w:rsid w:val="00977CDA"/>
    <w:rsid w:val="00980C30"/>
    <w:rsid w:val="00980F9B"/>
    <w:rsid w:val="009810FC"/>
    <w:rsid w:val="009814A7"/>
    <w:rsid w:val="00981746"/>
    <w:rsid w:val="00981A6E"/>
    <w:rsid w:val="00982404"/>
    <w:rsid w:val="00982D8A"/>
    <w:rsid w:val="009831EF"/>
    <w:rsid w:val="0098356C"/>
    <w:rsid w:val="00983ECF"/>
    <w:rsid w:val="00984D21"/>
    <w:rsid w:val="00985636"/>
    <w:rsid w:val="00985E1F"/>
    <w:rsid w:val="00986469"/>
    <w:rsid w:val="00987322"/>
    <w:rsid w:val="00987EF5"/>
    <w:rsid w:val="00987F0B"/>
    <w:rsid w:val="00990341"/>
    <w:rsid w:val="00990827"/>
    <w:rsid w:val="00990B02"/>
    <w:rsid w:val="00990F11"/>
    <w:rsid w:val="00991448"/>
    <w:rsid w:val="00991E13"/>
    <w:rsid w:val="00991F31"/>
    <w:rsid w:val="009928F1"/>
    <w:rsid w:val="009929A2"/>
    <w:rsid w:val="009929AE"/>
    <w:rsid w:val="00992F96"/>
    <w:rsid w:val="00993160"/>
    <w:rsid w:val="00993269"/>
    <w:rsid w:val="009934FA"/>
    <w:rsid w:val="00993ECD"/>
    <w:rsid w:val="00994867"/>
    <w:rsid w:val="00994B65"/>
    <w:rsid w:val="00994E81"/>
    <w:rsid w:val="00995061"/>
    <w:rsid w:val="0099509F"/>
    <w:rsid w:val="009951A5"/>
    <w:rsid w:val="00996325"/>
    <w:rsid w:val="0099639F"/>
    <w:rsid w:val="00996624"/>
    <w:rsid w:val="009969F7"/>
    <w:rsid w:val="00997381"/>
    <w:rsid w:val="009977F3"/>
    <w:rsid w:val="00997883"/>
    <w:rsid w:val="009A02AE"/>
    <w:rsid w:val="009A04C1"/>
    <w:rsid w:val="009A11B4"/>
    <w:rsid w:val="009A1259"/>
    <w:rsid w:val="009A2272"/>
    <w:rsid w:val="009A3A86"/>
    <w:rsid w:val="009A3B47"/>
    <w:rsid w:val="009A3D3F"/>
    <w:rsid w:val="009A46EB"/>
    <w:rsid w:val="009A48E1"/>
    <w:rsid w:val="009A4B5E"/>
    <w:rsid w:val="009A4CDD"/>
    <w:rsid w:val="009A4ECD"/>
    <w:rsid w:val="009A518E"/>
    <w:rsid w:val="009A60B6"/>
    <w:rsid w:val="009A7112"/>
    <w:rsid w:val="009A7343"/>
    <w:rsid w:val="009A7F17"/>
    <w:rsid w:val="009B030D"/>
    <w:rsid w:val="009B0353"/>
    <w:rsid w:val="009B0F67"/>
    <w:rsid w:val="009B18AF"/>
    <w:rsid w:val="009B2A80"/>
    <w:rsid w:val="009B3DC3"/>
    <w:rsid w:val="009B3E7A"/>
    <w:rsid w:val="009B4089"/>
    <w:rsid w:val="009B44E1"/>
    <w:rsid w:val="009B4849"/>
    <w:rsid w:val="009B504C"/>
    <w:rsid w:val="009B534F"/>
    <w:rsid w:val="009B5534"/>
    <w:rsid w:val="009B604A"/>
    <w:rsid w:val="009B65A3"/>
    <w:rsid w:val="009B680C"/>
    <w:rsid w:val="009B6841"/>
    <w:rsid w:val="009B68C9"/>
    <w:rsid w:val="009B73E9"/>
    <w:rsid w:val="009B76CA"/>
    <w:rsid w:val="009B772D"/>
    <w:rsid w:val="009C0884"/>
    <w:rsid w:val="009C089D"/>
    <w:rsid w:val="009C0937"/>
    <w:rsid w:val="009C1A21"/>
    <w:rsid w:val="009C2607"/>
    <w:rsid w:val="009C2C6E"/>
    <w:rsid w:val="009C38AE"/>
    <w:rsid w:val="009C3B83"/>
    <w:rsid w:val="009C3C51"/>
    <w:rsid w:val="009C42BE"/>
    <w:rsid w:val="009C43CD"/>
    <w:rsid w:val="009C473B"/>
    <w:rsid w:val="009C4A61"/>
    <w:rsid w:val="009C4D9D"/>
    <w:rsid w:val="009C5049"/>
    <w:rsid w:val="009C6302"/>
    <w:rsid w:val="009C63A1"/>
    <w:rsid w:val="009C646B"/>
    <w:rsid w:val="009C6A2A"/>
    <w:rsid w:val="009C6DF9"/>
    <w:rsid w:val="009C70D4"/>
    <w:rsid w:val="009C7398"/>
    <w:rsid w:val="009C7579"/>
    <w:rsid w:val="009C7984"/>
    <w:rsid w:val="009C7D1C"/>
    <w:rsid w:val="009C7E34"/>
    <w:rsid w:val="009C7E6D"/>
    <w:rsid w:val="009D00A2"/>
    <w:rsid w:val="009D03AE"/>
    <w:rsid w:val="009D03CE"/>
    <w:rsid w:val="009D067C"/>
    <w:rsid w:val="009D0F29"/>
    <w:rsid w:val="009D1086"/>
    <w:rsid w:val="009D132C"/>
    <w:rsid w:val="009D1530"/>
    <w:rsid w:val="009D1B59"/>
    <w:rsid w:val="009D2036"/>
    <w:rsid w:val="009D2184"/>
    <w:rsid w:val="009D2316"/>
    <w:rsid w:val="009D30E5"/>
    <w:rsid w:val="009D33AB"/>
    <w:rsid w:val="009D3657"/>
    <w:rsid w:val="009D4B0A"/>
    <w:rsid w:val="009D4CED"/>
    <w:rsid w:val="009D4FC2"/>
    <w:rsid w:val="009D53D9"/>
    <w:rsid w:val="009D55C3"/>
    <w:rsid w:val="009D5FBB"/>
    <w:rsid w:val="009D613A"/>
    <w:rsid w:val="009D67DB"/>
    <w:rsid w:val="009D67F6"/>
    <w:rsid w:val="009D6E57"/>
    <w:rsid w:val="009D6ECC"/>
    <w:rsid w:val="009D783A"/>
    <w:rsid w:val="009D7D22"/>
    <w:rsid w:val="009E0077"/>
    <w:rsid w:val="009E0258"/>
    <w:rsid w:val="009E03DA"/>
    <w:rsid w:val="009E08D1"/>
    <w:rsid w:val="009E0FE1"/>
    <w:rsid w:val="009E1029"/>
    <w:rsid w:val="009E24D3"/>
    <w:rsid w:val="009E28E8"/>
    <w:rsid w:val="009E31EB"/>
    <w:rsid w:val="009E322A"/>
    <w:rsid w:val="009E38F2"/>
    <w:rsid w:val="009E414A"/>
    <w:rsid w:val="009E4380"/>
    <w:rsid w:val="009E4BD0"/>
    <w:rsid w:val="009E5363"/>
    <w:rsid w:val="009E578D"/>
    <w:rsid w:val="009E6273"/>
    <w:rsid w:val="009E63E3"/>
    <w:rsid w:val="009E642A"/>
    <w:rsid w:val="009E6931"/>
    <w:rsid w:val="009E7BD6"/>
    <w:rsid w:val="009F0239"/>
    <w:rsid w:val="009F14F6"/>
    <w:rsid w:val="009F1765"/>
    <w:rsid w:val="009F25C4"/>
    <w:rsid w:val="009F2753"/>
    <w:rsid w:val="009F2764"/>
    <w:rsid w:val="009F28DE"/>
    <w:rsid w:val="009F2EC6"/>
    <w:rsid w:val="009F2F27"/>
    <w:rsid w:val="009F3435"/>
    <w:rsid w:val="009F3756"/>
    <w:rsid w:val="009F3DB4"/>
    <w:rsid w:val="009F40FA"/>
    <w:rsid w:val="009F482A"/>
    <w:rsid w:val="009F4F52"/>
    <w:rsid w:val="009F522D"/>
    <w:rsid w:val="009F5248"/>
    <w:rsid w:val="009F63B4"/>
    <w:rsid w:val="009F661C"/>
    <w:rsid w:val="009F6B57"/>
    <w:rsid w:val="009F78CF"/>
    <w:rsid w:val="009F7E30"/>
    <w:rsid w:val="00A00627"/>
    <w:rsid w:val="00A006DE"/>
    <w:rsid w:val="00A00C3A"/>
    <w:rsid w:val="00A00F16"/>
    <w:rsid w:val="00A00F8A"/>
    <w:rsid w:val="00A01656"/>
    <w:rsid w:val="00A01C73"/>
    <w:rsid w:val="00A01E22"/>
    <w:rsid w:val="00A025AE"/>
    <w:rsid w:val="00A02820"/>
    <w:rsid w:val="00A02A15"/>
    <w:rsid w:val="00A032BA"/>
    <w:rsid w:val="00A03443"/>
    <w:rsid w:val="00A03629"/>
    <w:rsid w:val="00A03DF1"/>
    <w:rsid w:val="00A03F17"/>
    <w:rsid w:val="00A03FAA"/>
    <w:rsid w:val="00A0406E"/>
    <w:rsid w:val="00A04A04"/>
    <w:rsid w:val="00A04C2E"/>
    <w:rsid w:val="00A053FB"/>
    <w:rsid w:val="00A05C4C"/>
    <w:rsid w:val="00A06663"/>
    <w:rsid w:val="00A068B9"/>
    <w:rsid w:val="00A0702B"/>
    <w:rsid w:val="00A072CA"/>
    <w:rsid w:val="00A07741"/>
    <w:rsid w:val="00A07A73"/>
    <w:rsid w:val="00A07BE3"/>
    <w:rsid w:val="00A07C73"/>
    <w:rsid w:val="00A07E61"/>
    <w:rsid w:val="00A10778"/>
    <w:rsid w:val="00A10F8D"/>
    <w:rsid w:val="00A11126"/>
    <w:rsid w:val="00A11307"/>
    <w:rsid w:val="00A113B7"/>
    <w:rsid w:val="00A11B27"/>
    <w:rsid w:val="00A11D08"/>
    <w:rsid w:val="00A12030"/>
    <w:rsid w:val="00A1355C"/>
    <w:rsid w:val="00A13AF3"/>
    <w:rsid w:val="00A13CE6"/>
    <w:rsid w:val="00A13EBD"/>
    <w:rsid w:val="00A14066"/>
    <w:rsid w:val="00A14878"/>
    <w:rsid w:val="00A14CEB"/>
    <w:rsid w:val="00A14D8F"/>
    <w:rsid w:val="00A1504C"/>
    <w:rsid w:val="00A150CC"/>
    <w:rsid w:val="00A151EC"/>
    <w:rsid w:val="00A15D9B"/>
    <w:rsid w:val="00A15F33"/>
    <w:rsid w:val="00A16385"/>
    <w:rsid w:val="00A16777"/>
    <w:rsid w:val="00A16970"/>
    <w:rsid w:val="00A16AA1"/>
    <w:rsid w:val="00A17749"/>
    <w:rsid w:val="00A177EA"/>
    <w:rsid w:val="00A17AFC"/>
    <w:rsid w:val="00A17ED0"/>
    <w:rsid w:val="00A17EE3"/>
    <w:rsid w:val="00A20070"/>
    <w:rsid w:val="00A202FC"/>
    <w:rsid w:val="00A20468"/>
    <w:rsid w:val="00A205FB"/>
    <w:rsid w:val="00A20688"/>
    <w:rsid w:val="00A2129B"/>
    <w:rsid w:val="00A21388"/>
    <w:rsid w:val="00A216AB"/>
    <w:rsid w:val="00A21AE2"/>
    <w:rsid w:val="00A21B62"/>
    <w:rsid w:val="00A21DD0"/>
    <w:rsid w:val="00A21DF9"/>
    <w:rsid w:val="00A22104"/>
    <w:rsid w:val="00A2216C"/>
    <w:rsid w:val="00A229FC"/>
    <w:rsid w:val="00A2371C"/>
    <w:rsid w:val="00A237D0"/>
    <w:rsid w:val="00A242FD"/>
    <w:rsid w:val="00A24332"/>
    <w:rsid w:val="00A243D6"/>
    <w:rsid w:val="00A244DB"/>
    <w:rsid w:val="00A24551"/>
    <w:rsid w:val="00A24767"/>
    <w:rsid w:val="00A249E2"/>
    <w:rsid w:val="00A24CAD"/>
    <w:rsid w:val="00A24DCB"/>
    <w:rsid w:val="00A24FDD"/>
    <w:rsid w:val="00A252B0"/>
    <w:rsid w:val="00A25377"/>
    <w:rsid w:val="00A25405"/>
    <w:rsid w:val="00A25861"/>
    <w:rsid w:val="00A2586C"/>
    <w:rsid w:val="00A258F5"/>
    <w:rsid w:val="00A25BE2"/>
    <w:rsid w:val="00A25CEE"/>
    <w:rsid w:val="00A25E5B"/>
    <w:rsid w:val="00A262A9"/>
    <w:rsid w:val="00A262E4"/>
    <w:rsid w:val="00A26719"/>
    <w:rsid w:val="00A26786"/>
    <w:rsid w:val="00A26FC9"/>
    <w:rsid w:val="00A27218"/>
    <w:rsid w:val="00A27477"/>
    <w:rsid w:val="00A27791"/>
    <w:rsid w:val="00A27ABE"/>
    <w:rsid w:val="00A27B6D"/>
    <w:rsid w:val="00A27B9D"/>
    <w:rsid w:val="00A27EB8"/>
    <w:rsid w:val="00A301DB"/>
    <w:rsid w:val="00A30444"/>
    <w:rsid w:val="00A30487"/>
    <w:rsid w:val="00A30AF1"/>
    <w:rsid w:val="00A31187"/>
    <w:rsid w:val="00A31293"/>
    <w:rsid w:val="00A32304"/>
    <w:rsid w:val="00A32E8B"/>
    <w:rsid w:val="00A3311D"/>
    <w:rsid w:val="00A33466"/>
    <w:rsid w:val="00A336C2"/>
    <w:rsid w:val="00A33744"/>
    <w:rsid w:val="00A33B9D"/>
    <w:rsid w:val="00A33D80"/>
    <w:rsid w:val="00A34052"/>
    <w:rsid w:val="00A34668"/>
    <w:rsid w:val="00A355F9"/>
    <w:rsid w:val="00A35971"/>
    <w:rsid w:val="00A35B67"/>
    <w:rsid w:val="00A36129"/>
    <w:rsid w:val="00A3633C"/>
    <w:rsid w:val="00A3644D"/>
    <w:rsid w:val="00A36B94"/>
    <w:rsid w:val="00A36EF4"/>
    <w:rsid w:val="00A3713B"/>
    <w:rsid w:val="00A3722D"/>
    <w:rsid w:val="00A379E0"/>
    <w:rsid w:val="00A37BC5"/>
    <w:rsid w:val="00A37D68"/>
    <w:rsid w:val="00A404A9"/>
    <w:rsid w:val="00A41350"/>
    <w:rsid w:val="00A41355"/>
    <w:rsid w:val="00A4145F"/>
    <w:rsid w:val="00A419FA"/>
    <w:rsid w:val="00A41B05"/>
    <w:rsid w:val="00A42006"/>
    <w:rsid w:val="00A424E0"/>
    <w:rsid w:val="00A429A6"/>
    <w:rsid w:val="00A42B15"/>
    <w:rsid w:val="00A43076"/>
    <w:rsid w:val="00A437B6"/>
    <w:rsid w:val="00A439B8"/>
    <w:rsid w:val="00A43B92"/>
    <w:rsid w:val="00A43FFC"/>
    <w:rsid w:val="00A447A6"/>
    <w:rsid w:val="00A45088"/>
    <w:rsid w:val="00A4510B"/>
    <w:rsid w:val="00A454AB"/>
    <w:rsid w:val="00A45743"/>
    <w:rsid w:val="00A458A2"/>
    <w:rsid w:val="00A45FD0"/>
    <w:rsid w:val="00A46316"/>
    <w:rsid w:val="00A46937"/>
    <w:rsid w:val="00A46CF6"/>
    <w:rsid w:val="00A46F70"/>
    <w:rsid w:val="00A474A6"/>
    <w:rsid w:val="00A47C6A"/>
    <w:rsid w:val="00A50D6C"/>
    <w:rsid w:val="00A50DB9"/>
    <w:rsid w:val="00A518B5"/>
    <w:rsid w:val="00A51EC3"/>
    <w:rsid w:val="00A521FD"/>
    <w:rsid w:val="00A52288"/>
    <w:rsid w:val="00A52721"/>
    <w:rsid w:val="00A52744"/>
    <w:rsid w:val="00A5288F"/>
    <w:rsid w:val="00A52BCB"/>
    <w:rsid w:val="00A52DAA"/>
    <w:rsid w:val="00A533D0"/>
    <w:rsid w:val="00A534ED"/>
    <w:rsid w:val="00A535DD"/>
    <w:rsid w:val="00A54251"/>
    <w:rsid w:val="00A54346"/>
    <w:rsid w:val="00A545BB"/>
    <w:rsid w:val="00A54996"/>
    <w:rsid w:val="00A54B72"/>
    <w:rsid w:val="00A5546A"/>
    <w:rsid w:val="00A55545"/>
    <w:rsid w:val="00A55B05"/>
    <w:rsid w:val="00A55E0D"/>
    <w:rsid w:val="00A5638E"/>
    <w:rsid w:val="00A56688"/>
    <w:rsid w:val="00A566EC"/>
    <w:rsid w:val="00A569E3"/>
    <w:rsid w:val="00A56BEE"/>
    <w:rsid w:val="00A56CA5"/>
    <w:rsid w:val="00A5702F"/>
    <w:rsid w:val="00A572AB"/>
    <w:rsid w:val="00A60018"/>
    <w:rsid w:val="00A6066A"/>
    <w:rsid w:val="00A6069F"/>
    <w:rsid w:val="00A60FC9"/>
    <w:rsid w:val="00A611C7"/>
    <w:rsid w:val="00A6137B"/>
    <w:rsid w:val="00A613D3"/>
    <w:rsid w:val="00A6179E"/>
    <w:rsid w:val="00A61CC0"/>
    <w:rsid w:val="00A61EA3"/>
    <w:rsid w:val="00A6213B"/>
    <w:rsid w:val="00A6226D"/>
    <w:rsid w:val="00A62FE2"/>
    <w:rsid w:val="00A6306A"/>
    <w:rsid w:val="00A632D4"/>
    <w:rsid w:val="00A63562"/>
    <w:rsid w:val="00A63590"/>
    <w:rsid w:val="00A63650"/>
    <w:rsid w:val="00A63D32"/>
    <w:rsid w:val="00A63FE9"/>
    <w:rsid w:val="00A64316"/>
    <w:rsid w:val="00A64869"/>
    <w:rsid w:val="00A649D2"/>
    <w:rsid w:val="00A64A19"/>
    <w:rsid w:val="00A64BE9"/>
    <w:rsid w:val="00A64E23"/>
    <w:rsid w:val="00A64EC8"/>
    <w:rsid w:val="00A65381"/>
    <w:rsid w:val="00A66012"/>
    <w:rsid w:val="00A66016"/>
    <w:rsid w:val="00A66398"/>
    <w:rsid w:val="00A6701D"/>
    <w:rsid w:val="00A70125"/>
    <w:rsid w:val="00A70162"/>
    <w:rsid w:val="00A702C1"/>
    <w:rsid w:val="00A70800"/>
    <w:rsid w:val="00A70915"/>
    <w:rsid w:val="00A724C6"/>
    <w:rsid w:val="00A73094"/>
    <w:rsid w:val="00A73204"/>
    <w:rsid w:val="00A73208"/>
    <w:rsid w:val="00A7337D"/>
    <w:rsid w:val="00A73F67"/>
    <w:rsid w:val="00A74457"/>
    <w:rsid w:val="00A74502"/>
    <w:rsid w:val="00A754D2"/>
    <w:rsid w:val="00A7583A"/>
    <w:rsid w:val="00A75A9A"/>
    <w:rsid w:val="00A7615D"/>
    <w:rsid w:val="00A7623E"/>
    <w:rsid w:val="00A76370"/>
    <w:rsid w:val="00A76F5E"/>
    <w:rsid w:val="00A7745C"/>
    <w:rsid w:val="00A7792E"/>
    <w:rsid w:val="00A7798A"/>
    <w:rsid w:val="00A77BD2"/>
    <w:rsid w:val="00A800FC"/>
    <w:rsid w:val="00A804D9"/>
    <w:rsid w:val="00A806DA"/>
    <w:rsid w:val="00A80A43"/>
    <w:rsid w:val="00A80BCD"/>
    <w:rsid w:val="00A80D0F"/>
    <w:rsid w:val="00A80D35"/>
    <w:rsid w:val="00A810F9"/>
    <w:rsid w:val="00A81AEB"/>
    <w:rsid w:val="00A82318"/>
    <w:rsid w:val="00A826C0"/>
    <w:rsid w:val="00A83D82"/>
    <w:rsid w:val="00A83E1A"/>
    <w:rsid w:val="00A83EAA"/>
    <w:rsid w:val="00A84122"/>
    <w:rsid w:val="00A842B4"/>
    <w:rsid w:val="00A85440"/>
    <w:rsid w:val="00A8547E"/>
    <w:rsid w:val="00A85549"/>
    <w:rsid w:val="00A8570A"/>
    <w:rsid w:val="00A8573B"/>
    <w:rsid w:val="00A8587D"/>
    <w:rsid w:val="00A858D3"/>
    <w:rsid w:val="00A859EA"/>
    <w:rsid w:val="00A861C6"/>
    <w:rsid w:val="00A8627D"/>
    <w:rsid w:val="00A862F6"/>
    <w:rsid w:val="00A86611"/>
    <w:rsid w:val="00A86D1F"/>
    <w:rsid w:val="00A8784B"/>
    <w:rsid w:val="00A87FA5"/>
    <w:rsid w:val="00A87FF0"/>
    <w:rsid w:val="00A90441"/>
    <w:rsid w:val="00A908B5"/>
    <w:rsid w:val="00A9091E"/>
    <w:rsid w:val="00A90956"/>
    <w:rsid w:val="00A90D45"/>
    <w:rsid w:val="00A90F87"/>
    <w:rsid w:val="00A92915"/>
    <w:rsid w:val="00A92929"/>
    <w:rsid w:val="00A92F35"/>
    <w:rsid w:val="00A92F92"/>
    <w:rsid w:val="00A93D4A"/>
    <w:rsid w:val="00A93ED4"/>
    <w:rsid w:val="00A941E4"/>
    <w:rsid w:val="00A947B7"/>
    <w:rsid w:val="00A94F70"/>
    <w:rsid w:val="00A951B6"/>
    <w:rsid w:val="00A9587D"/>
    <w:rsid w:val="00A95F7F"/>
    <w:rsid w:val="00A966B0"/>
    <w:rsid w:val="00A96892"/>
    <w:rsid w:val="00A96909"/>
    <w:rsid w:val="00A96A1D"/>
    <w:rsid w:val="00AA024B"/>
    <w:rsid w:val="00AA03E9"/>
    <w:rsid w:val="00AA04AA"/>
    <w:rsid w:val="00AA0C3B"/>
    <w:rsid w:val="00AA0C42"/>
    <w:rsid w:val="00AA0DEC"/>
    <w:rsid w:val="00AA1402"/>
    <w:rsid w:val="00AA1C40"/>
    <w:rsid w:val="00AA2051"/>
    <w:rsid w:val="00AA2DDA"/>
    <w:rsid w:val="00AA2F43"/>
    <w:rsid w:val="00AA3035"/>
    <w:rsid w:val="00AA3700"/>
    <w:rsid w:val="00AA380E"/>
    <w:rsid w:val="00AA396E"/>
    <w:rsid w:val="00AA4434"/>
    <w:rsid w:val="00AA466E"/>
    <w:rsid w:val="00AA4A38"/>
    <w:rsid w:val="00AA5103"/>
    <w:rsid w:val="00AA5971"/>
    <w:rsid w:val="00AA5D0C"/>
    <w:rsid w:val="00AA6585"/>
    <w:rsid w:val="00AA6646"/>
    <w:rsid w:val="00AA68B4"/>
    <w:rsid w:val="00AA6985"/>
    <w:rsid w:val="00AA70C4"/>
    <w:rsid w:val="00AA7657"/>
    <w:rsid w:val="00AA7AC6"/>
    <w:rsid w:val="00AA7E23"/>
    <w:rsid w:val="00AB023E"/>
    <w:rsid w:val="00AB08BE"/>
    <w:rsid w:val="00AB0B42"/>
    <w:rsid w:val="00AB0CF2"/>
    <w:rsid w:val="00AB13D6"/>
    <w:rsid w:val="00AB1908"/>
    <w:rsid w:val="00AB2582"/>
    <w:rsid w:val="00AB2A51"/>
    <w:rsid w:val="00AB2AE8"/>
    <w:rsid w:val="00AB2AEA"/>
    <w:rsid w:val="00AB2C8D"/>
    <w:rsid w:val="00AB3545"/>
    <w:rsid w:val="00AB3559"/>
    <w:rsid w:val="00AB372A"/>
    <w:rsid w:val="00AB3949"/>
    <w:rsid w:val="00AB42BC"/>
    <w:rsid w:val="00AB4CD8"/>
    <w:rsid w:val="00AB4CE7"/>
    <w:rsid w:val="00AB4E74"/>
    <w:rsid w:val="00AB4FC9"/>
    <w:rsid w:val="00AB544B"/>
    <w:rsid w:val="00AB5A8D"/>
    <w:rsid w:val="00AB5D19"/>
    <w:rsid w:val="00AB62DE"/>
    <w:rsid w:val="00AB6577"/>
    <w:rsid w:val="00AB6A2B"/>
    <w:rsid w:val="00AB77F8"/>
    <w:rsid w:val="00AB7844"/>
    <w:rsid w:val="00AB7C8F"/>
    <w:rsid w:val="00AC00E7"/>
    <w:rsid w:val="00AC07B2"/>
    <w:rsid w:val="00AC12A8"/>
    <w:rsid w:val="00AC1BAF"/>
    <w:rsid w:val="00AC2192"/>
    <w:rsid w:val="00AC278A"/>
    <w:rsid w:val="00AC2CAD"/>
    <w:rsid w:val="00AC2E52"/>
    <w:rsid w:val="00AC30D3"/>
    <w:rsid w:val="00AC3566"/>
    <w:rsid w:val="00AC3726"/>
    <w:rsid w:val="00AC3EE6"/>
    <w:rsid w:val="00AC3FC4"/>
    <w:rsid w:val="00AC426A"/>
    <w:rsid w:val="00AC5547"/>
    <w:rsid w:val="00AC5591"/>
    <w:rsid w:val="00AC5F62"/>
    <w:rsid w:val="00AC6365"/>
    <w:rsid w:val="00AC636D"/>
    <w:rsid w:val="00AC6442"/>
    <w:rsid w:val="00AC69A8"/>
    <w:rsid w:val="00AC6CFB"/>
    <w:rsid w:val="00AC6EAC"/>
    <w:rsid w:val="00AC7026"/>
    <w:rsid w:val="00AC7173"/>
    <w:rsid w:val="00AC74EE"/>
    <w:rsid w:val="00AC783B"/>
    <w:rsid w:val="00AC7966"/>
    <w:rsid w:val="00AC7AB2"/>
    <w:rsid w:val="00AD08C1"/>
    <w:rsid w:val="00AD0F3E"/>
    <w:rsid w:val="00AD102A"/>
    <w:rsid w:val="00AD26EC"/>
    <w:rsid w:val="00AD2BDC"/>
    <w:rsid w:val="00AD369D"/>
    <w:rsid w:val="00AD3ACB"/>
    <w:rsid w:val="00AD49C9"/>
    <w:rsid w:val="00AD49CC"/>
    <w:rsid w:val="00AD53B7"/>
    <w:rsid w:val="00AD5EA8"/>
    <w:rsid w:val="00AD64D8"/>
    <w:rsid w:val="00AD6591"/>
    <w:rsid w:val="00AD659E"/>
    <w:rsid w:val="00AD680C"/>
    <w:rsid w:val="00AD6BB8"/>
    <w:rsid w:val="00AD701F"/>
    <w:rsid w:val="00AD7103"/>
    <w:rsid w:val="00AD7A91"/>
    <w:rsid w:val="00AD7CE4"/>
    <w:rsid w:val="00AD7E35"/>
    <w:rsid w:val="00AE0628"/>
    <w:rsid w:val="00AE0D01"/>
    <w:rsid w:val="00AE0D69"/>
    <w:rsid w:val="00AE0E0F"/>
    <w:rsid w:val="00AE1071"/>
    <w:rsid w:val="00AE1421"/>
    <w:rsid w:val="00AE15F4"/>
    <w:rsid w:val="00AE1BE3"/>
    <w:rsid w:val="00AE1C1C"/>
    <w:rsid w:val="00AE284A"/>
    <w:rsid w:val="00AE2BD8"/>
    <w:rsid w:val="00AE2D8E"/>
    <w:rsid w:val="00AE32D3"/>
    <w:rsid w:val="00AE3A74"/>
    <w:rsid w:val="00AE4137"/>
    <w:rsid w:val="00AE4682"/>
    <w:rsid w:val="00AE50B4"/>
    <w:rsid w:val="00AE5317"/>
    <w:rsid w:val="00AE5D87"/>
    <w:rsid w:val="00AE61B2"/>
    <w:rsid w:val="00AE667E"/>
    <w:rsid w:val="00AE6BCF"/>
    <w:rsid w:val="00AE7137"/>
    <w:rsid w:val="00AE73B6"/>
    <w:rsid w:val="00AE7409"/>
    <w:rsid w:val="00AF0274"/>
    <w:rsid w:val="00AF035A"/>
    <w:rsid w:val="00AF0422"/>
    <w:rsid w:val="00AF05A6"/>
    <w:rsid w:val="00AF073C"/>
    <w:rsid w:val="00AF0D56"/>
    <w:rsid w:val="00AF11D8"/>
    <w:rsid w:val="00AF15D4"/>
    <w:rsid w:val="00AF2E82"/>
    <w:rsid w:val="00AF34B3"/>
    <w:rsid w:val="00AF3614"/>
    <w:rsid w:val="00AF3807"/>
    <w:rsid w:val="00AF3A17"/>
    <w:rsid w:val="00AF450A"/>
    <w:rsid w:val="00AF460C"/>
    <w:rsid w:val="00AF4FA1"/>
    <w:rsid w:val="00AF5329"/>
    <w:rsid w:val="00AF587A"/>
    <w:rsid w:val="00AF594B"/>
    <w:rsid w:val="00AF5D45"/>
    <w:rsid w:val="00AF5E26"/>
    <w:rsid w:val="00AF5E89"/>
    <w:rsid w:val="00AF643A"/>
    <w:rsid w:val="00AF6C7C"/>
    <w:rsid w:val="00AF6DDE"/>
    <w:rsid w:val="00AF6FC6"/>
    <w:rsid w:val="00AF74BD"/>
    <w:rsid w:val="00AF786B"/>
    <w:rsid w:val="00B000BA"/>
    <w:rsid w:val="00B0030D"/>
    <w:rsid w:val="00B00806"/>
    <w:rsid w:val="00B00ADA"/>
    <w:rsid w:val="00B00BD7"/>
    <w:rsid w:val="00B00BE6"/>
    <w:rsid w:val="00B00F61"/>
    <w:rsid w:val="00B0102C"/>
    <w:rsid w:val="00B012BD"/>
    <w:rsid w:val="00B013CA"/>
    <w:rsid w:val="00B014B6"/>
    <w:rsid w:val="00B01786"/>
    <w:rsid w:val="00B02375"/>
    <w:rsid w:val="00B023ED"/>
    <w:rsid w:val="00B02440"/>
    <w:rsid w:val="00B024B6"/>
    <w:rsid w:val="00B0298D"/>
    <w:rsid w:val="00B034BC"/>
    <w:rsid w:val="00B03635"/>
    <w:rsid w:val="00B04AF2"/>
    <w:rsid w:val="00B04E6E"/>
    <w:rsid w:val="00B05C19"/>
    <w:rsid w:val="00B06095"/>
    <w:rsid w:val="00B06119"/>
    <w:rsid w:val="00B06148"/>
    <w:rsid w:val="00B0653F"/>
    <w:rsid w:val="00B06872"/>
    <w:rsid w:val="00B068C7"/>
    <w:rsid w:val="00B07808"/>
    <w:rsid w:val="00B10611"/>
    <w:rsid w:val="00B1106D"/>
    <w:rsid w:val="00B117EF"/>
    <w:rsid w:val="00B11A07"/>
    <w:rsid w:val="00B11A45"/>
    <w:rsid w:val="00B11B3F"/>
    <w:rsid w:val="00B12314"/>
    <w:rsid w:val="00B12444"/>
    <w:rsid w:val="00B142F9"/>
    <w:rsid w:val="00B1447A"/>
    <w:rsid w:val="00B145BC"/>
    <w:rsid w:val="00B146D0"/>
    <w:rsid w:val="00B148B5"/>
    <w:rsid w:val="00B14D19"/>
    <w:rsid w:val="00B1509F"/>
    <w:rsid w:val="00B153CD"/>
    <w:rsid w:val="00B156A6"/>
    <w:rsid w:val="00B156BC"/>
    <w:rsid w:val="00B157A2"/>
    <w:rsid w:val="00B15A5B"/>
    <w:rsid w:val="00B15AC3"/>
    <w:rsid w:val="00B16641"/>
    <w:rsid w:val="00B16B20"/>
    <w:rsid w:val="00B17753"/>
    <w:rsid w:val="00B17757"/>
    <w:rsid w:val="00B177C4"/>
    <w:rsid w:val="00B17ACF"/>
    <w:rsid w:val="00B20D7C"/>
    <w:rsid w:val="00B20FDF"/>
    <w:rsid w:val="00B21179"/>
    <w:rsid w:val="00B213E6"/>
    <w:rsid w:val="00B220A1"/>
    <w:rsid w:val="00B220C4"/>
    <w:rsid w:val="00B220DE"/>
    <w:rsid w:val="00B2254F"/>
    <w:rsid w:val="00B2272B"/>
    <w:rsid w:val="00B228F4"/>
    <w:rsid w:val="00B22CFB"/>
    <w:rsid w:val="00B237FB"/>
    <w:rsid w:val="00B23824"/>
    <w:rsid w:val="00B23D6F"/>
    <w:rsid w:val="00B23FC3"/>
    <w:rsid w:val="00B2477F"/>
    <w:rsid w:val="00B24B1D"/>
    <w:rsid w:val="00B25294"/>
    <w:rsid w:val="00B25F1D"/>
    <w:rsid w:val="00B26031"/>
    <w:rsid w:val="00B26126"/>
    <w:rsid w:val="00B2619A"/>
    <w:rsid w:val="00B26802"/>
    <w:rsid w:val="00B269F8"/>
    <w:rsid w:val="00B26C33"/>
    <w:rsid w:val="00B271CF"/>
    <w:rsid w:val="00B27356"/>
    <w:rsid w:val="00B277E0"/>
    <w:rsid w:val="00B27BBC"/>
    <w:rsid w:val="00B30106"/>
    <w:rsid w:val="00B30387"/>
    <w:rsid w:val="00B303F2"/>
    <w:rsid w:val="00B30904"/>
    <w:rsid w:val="00B30B78"/>
    <w:rsid w:val="00B30C22"/>
    <w:rsid w:val="00B313CB"/>
    <w:rsid w:val="00B314F6"/>
    <w:rsid w:val="00B31FC8"/>
    <w:rsid w:val="00B32335"/>
    <w:rsid w:val="00B324FE"/>
    <w:rsid w:val="00B325EB"/>
    <w:rsid w:val="00B33565"/>
    <w:rsid w:val="00B339A1"/>
    <w:rsid w:val="00B33AE5"/>
    <w:rsid w:val="00B33E95"/>
    <w:rsid w:val="00B3443B"/>
    <w:rsid w:val="00B34946"/>
    <w:rsid w:val="00B34A6D"/>
    <w:rsid w:val="00B34CA6"/>
    <w:rsid w:val="00B353C2"/>
    <w:rsid w:val="00B35492"/>
    <w:rsid w:val="00B35A10"/>
    <w:rsid w:val="00B35BFA"/>
    <w:rsid w:val="00B3633A"/>
    <w:rsid w:val="00B36462"/>
    <w:rsid w:val="00B3714E"/>
    <w:rsid w:val="00B3750A"/>
    <w:rsid w:val="00B3776F"/>
    <w:rsid w:val="00B37CED"/>
    <w:rsid w:val="00B402DD"/>
    <w:rsid w:val="00B4058C"/>
    <w:rsid w:val="00B40741"/>
    <w:rsid w:val="00B4076B"/>
    <w:rsid w:val="00B41250"/>
    <w:rsid w:val="00B4149C"/>
    <w:rsid w:val="00B41622"/>
    <w:rsid w:val="00B427F3"/>
    <w:rsid w:val="00B42A83"/>
    <w:rsid w:val="00B43113"/>
    <w:rsid w:val="00B43C7A"/>
    <w:rsid w:val="00B4418D"/>
    <w:rsid w:val="00B448A6"/>
    <w:rsid w:val="00B45818"/>
    <w:rsid w:val="00B4595F"/>
    <w:rsid w:val="00B46A3D"/>
    <w:rsid w:val="00B46EEC"/>
    <w:rsid w:val="00B47915"/>
    <w:rsid w:val="00B47A8B"/>
    <w:rsid w:val="00B47BC0"/>
    <w:rsid w:val="00B5042B"/>
    <w:rsid w:val="00B505A5"/>
    <w:rsid w:val="00B50941"/>
    <w:rsid w:val="00B50E57"/>
    <w:rsid w:val="00B51161"/>
    <w:rsid w:val="00B5185C"/>
    <w:rsid w:val="00B519FD"/>
    <w:rsid w:val="00B51A84"/>
    <w:rsid w:val="00B52029"/>
    <w:rsid w:val="00B520BC"/>
    <w:rsid w:val="00B52588"/>
    <w:rsid w:val="00B526BB"/>
    <w:rsid w:val="00B5288F"/>
    <w:rsid w:val="00B52A51"/>
    <w:rsid w:val="00B53811"/>
    <w:rsid w:val="00B53882"/>
    <w:rsid w:val="00B53928"/>
    <w:rsid w:val="00B539CC"/>
    <w:rsid w:val="00B539FE"/>
    <w:rsid w:val="00B53BDF"/>
    <w:rsid w:val="00B5486E"/>
    <w:rsid w:val="00B551AC"/>
    <w:rsid w:val="00B555F9"/>
    <w:rsid w:val="00B55711"/>
    <w:rsid w:val="00B55851"/>
    <w:rsid w:val="00B55A99"/>
    <w:rsid w:val="00B55C74"/>
    <w:rsid w:val="00B56136"/>
    <w:rsid w:val="00B5631C"/>
    <w:rsid w:val="00B56D36"/>
    <w:rsid w:val="00B57946"/>
    <w:rsid w:val="00B57BB6"/>
    <w:rsid w:val="00B57D3E"/>
    <w:rsid w:val="00B57E10"/>
    <w:rsid w:val="00B60E07"/>
    <w:rsid w:val="00B61132"/>
    <w:rsid w:val="00B612D4"/>
    <w:rsid w:val="00B619AC"/>
    <w:rsid w:val="00B61CE8"/>
    <w:rsid w:val="00B61FF1"/>
    <w:rsid w:val="00B625B3"/>
    <w:rsid w:val="00B627C0"/>
    <w:rsid w:val="00B63811"/>
    <w:rsid w:val="00B63D24"/>
    <w:rsid w:val="00B646E7"/>
    <w:rsid w:val="00B64934"/>
    <w:rsid w:val="00B64E07"/>
    <w:rsid w:val="00B650FC"/>
    <w:rsid w:val="00B6558A"/>
    <w:rsid w:val="00B65D6E"/>
    <w:rsid w:val="00B65DCF"/>
    <w:rsid w:val="00B66743"/>
    <w:rsid w:val="00B6739D"/>
    <w:rsid w:val="00B67435"/>
    <w:rsid w:val="00B70447"/>
    <w:rsid w:val="00B7069D"/>
    <w:rsid w:val="00B70A70"/>
    <w:rsid w:val="00B70BF3"/>
    <w:rsid w:val="00B70D31"/>
    <w:rsid w:val="00B72665"/>
    <w:rsid w:val="00B727D0"/>
    <w:rsid w:val="00B72A37"/>
    <w:rsid w:val="00B7302C"/>
    <w:rsid w:val="00B7345E"/>
    <w:rsid w:val="00B735AE"/>
    <w:rsid w:val="00B73D5B"/>
    <w:rsid w:val="00B740E8"/>
    <w:rsid w:val="00B74373"/>
    <w:rsid w:val="00B74634"/>
    <w:rsid w:val="00B75193"/>
    <w:rsid w:val="00B752AE"/>
    <w:rsid w:val="00B75646"/>
    <w:rsid w:val="00B7599A"/>
    <w:rsid w:val="00B75C16"/>
    <w:rsid w:val="00B75C29"/>
    <w:rsid w:val="00B762B0"/>
    <w:rsid w:val="00B76A1C"/>
    <w:rsid w:val="00B76C7D"/>
    <w:rsid w:val="00B77121"/>
    <w:rsid w:val="00B776C8"/>
    <w:rsid w:val="00B776DE"/>
    <w:rsid w:val="00B777A8"/>
    <w:rsid w:val="00B77A00"/>
    <w:rsid w:val="00B800FA"/>
    <w:rsid w:val="00B80124"/>
    <w:rsid w:val="00B803EA"/>
    <w:rsid w:val="00B80A6D"/>
    <w:rsid w:val="00B80E1D"/>
    <w:rsid w:val="00B80FCA"/>
    <w:rsid w:val="00B81577"/>
    <w:rsid w:val="00B819CF"/>
    <w:rsid w:val="00B8242C"/>
    <w:rsid w:val="00B82804"/>
    <w:rsid w:val="00B83526"/>
    <w:rsid w:val="00B83614"/>
    <w:rsid w:val="00B8361D"/>
    <w:rsid w:val="00B83732"/>
    <w:rsid w:val="00B84035"/>
    <w:rsid w:val="00B850D8"/>
    <w:rsid w:val="00B8560E"/>
    <w:rsid w:val="00B857C6"/>
    <w:rsid w:val="00B858EF"/>
    <w:rsid w:val="00B85F7C"/>
    <w:rsid w:val="00B85FBC"/>
    <w:rsid w:val="00B8602E"/>
    <w:rsid w:val="00B8648D"/>
    <w:rsid w:val="00B86557"/>
    <w:rsid w:val="00B86B2A"/>
    <w:rsid w:val="00B86C68"/>
    <w:rsid w:val="00B86CF2"/>
    <w:rsid w:val="00B87EB5"/>
    <w:rsid w:val="00B9028C"/>
    <w:rsid w:val="00B9066B"/>
    <w:rsid w:val="00B90B66"/>
    <w:rsid w:val="00B90C3F"/>
    <w:rsid w:val="00B91116"/>
    <w:rsid w:val="00B913F0"/>
    <w:rsid w:val="00B924E6"/>
    <w:rsid w:val="00B937A9"/>
    <w:rsid w:val="00B94148"/>
    <w:rsid w:val="00B9483A"/>
    <w:rsid w:val="00B9553F"/>
    <w:rsid w:val="00B95721"/>
    <w:rsid w:val="00B957AF"/>
    <w:rsid w:val="00B957C5"/>
    <w:rsid w:val="00B9599F"/>
    <w:rsid w:val="00B9641C"/>
    <w:rsid w:val="00B966B6"/>
    <w:rsid w:val="00B96758"/>
    <w:rsid w:val="00B96C37"/>
    <w:rsid w:val="00B971CF"/>
    <w:rsid w:val="00B97C78"/>
    <w:rsid w:val="00BA0A3D"/>
    <w:rsid w:val="00BA0AA1"/>
    <w:rsid w:val="00BA13CF"/>
    <w:rsid w:val="00BA1965"/>
    <w:rsid w:val="00BA1B11"/>
    <w:rsid w:val="00BA1E03"/>
    <w:rsid w:val="00BA2383"/>
    <w:rsid w:val="00BA262D"/>
    <w:rsid w:val="00BA2DD8"/>
    <w:rsid w:val="00BA2E86"/>
    <w:rsid w:val="00BA3107"/>
    <w:rsid w:val="00BA3271"/>
    <w:rsid w:val="00BA40C7"/>
    <w:rsid w:val="00BA4617"/>
    <w:rsid w:val="00BA499A"/>
    <w:rsid w:val="00BA49D5"/>
    <w:rsid w:val="00BA4CE8"/>
    <w:rsid w:val="00BA4E2C"/>
    <w:rsid w:val="00BA4E3E"/>
    <w:rsid w:val="00BA5698"/>
    <w:rsid w:val="00BA5731"/>
    <w:rsid w:val="00BA5EA0"/>
    <w:rsid w:val="00BA6478"/>
    <w:rsid w:val="00BA6F86"/>
    <w:rsid w:val="00BB02A2"/>
    <w:rsid w:val="00BB0CA8"/>
    <w:rsid w:val="00BB0DEA"/>
    <w:rsid w:val="00BB1ADF"/>
    <w:rsid w:val="00BB1EBD"/>
    <w:rsid w:val="00BB2091"/>
    <w:rsid w:val="00BB222A"/>
    <w:rsid w:val="00BB247B"/>
    <w:rsid w:val="00BB38E5"/>
    <w:rsid w:val="00BB3A8E"/>
    <w:rsid w:val="00BB3B93"/>
    <w:rsid w:val="00BB40E0"/>
    <w:rsid w:val="00BB42E7"/>
    <w:rsid w:val="00BB4544"/>
    <w:rsid w:val="00BB4553"/>
    <w:rsid w:val="00BB4AE4"/>
    <w:rsid w:val="00BB4E7B"/>
    <w:rsid w:val="00BB4F46"/>
    <w:rsid w:val="00BB5349"/>
    <w:rsid w:val="00BB541B"/>
    <w:rsid w:val="00BB56A4"/>
    <w:rsid w:val="00BB5B95"/>
    <w:rsid w:val="00BB5EE0"/>
    <w:rsid w:val="00BB64BC"/>
    <w:rsid w:val="00BB6CC4"/>
    <w:rsid w:val="00BB6E9F"/>
    <w:rsid w:val="00BB726E"/>
    <w:rsid w:val="00BB7482"/>
    <w:rsid w:val="00BB7B24"/>
    <w:rsid w:val="00BB7FC3"/>
    <w:rsid w:val="00BB7FE7"/>
    <w:rsid w:val="00BC029E"/>
    <w:rsid w:val="00BC099F"/>
    <w:rsid w:val="00BC0CF0"/>
    <w:rsid w:val="00BC1EC6"/>
    <w:rsid w:val="00BC1F73"/>
    <w:rsid w:val="00BC2689"/>
    <w:rsid w:val="00BC2A31"/>
    <w:rsid w:val="00BC2A99"/>
    <w:rsid w:val="00BC333C"/>
    <w:rsid w:val="00BC34CA"/>
    <w:rsid w:val="00BC3E9D"/>
    <w:rsid w:val="00BC4343"/>
    <w:rsid w:val="00BC45D8"/>
    <w:rsid w:val="00BC4B70"/>
    <w:rsid w:val="00BC4E23"/>
    <w:rsid w:val="00BC4EE9"/>
    <w:rsid w:val="00BC4FD6"/>
    <w:rsid w:val="00BC55C1"/>
    <w:rsid w:val="00BC568F"/>
    <w:rsid w:val="00BC5A4F"/>
    <w:rsid w:val="00BC5AD6"/>
    <w:rsid w:val="00BC5CFA"/>
    <w:rsid w:val="00BC5DF9"/>
    <w:rsid w:val="00BC5EE6"/>
    <w:rsid w:val="00BC6244"/>
    <w:rsid w:val="00BC6ADF"/>
    <w:rsid w:val="00BC745B"/>
    <w:rsid w:val="00BC78A4"/>
    <w:rsid w:val="00BC7993"/>
    <w:rsid w:val="00BC79EB"/>
    <w:rsid w:val="00BC7B7F"/>
    <w:rsid w:val="00BD0784"/>
    <w:rsid w:val="00BD10A7"/>
    <w:rsid w:val="00BD13D4"/>
    <w:rsid w:val="00BD1B62"/>
    <w:rsid w:val="00BD1C3A"/>
    <w:rsid w:val="00BD2627"/>
    <w:rsid w:val="00BD32F1"/>
    <w:rsid w:val="00BD3346"/>
    <w:rsid w:val="00BD3476"/>
    <w:rsid w:val="00BD34B9"/>
    <w:rsid w:val="00BD3692"/>
    <w:rsid w:val="00BD3BED"/>
    <w:rsid w:val="00BD3D5D"/>
    <w:rsid w:val="00BD427B"/>
    <w:rsid w:val="00BD46E5"/>
    <w:rsid w:val="00BD4A66"/>
    <w:rsid w:val="00BD4B4D"/>
    <w:rsid w:val="00BD4B5C"/>
    <w:rsid w:val="00BD4F0E"/>
    <w:rsid w:val="00BD4FC0"/>
    <w:rsid w:val="00BD52FB"/>
    <w:rsid w:val="00BD6566"/>
    <w:rsid w:val="00BD7948"/>
    <w:rsid w:val="00BD796A"/>
    <w:rsid w:val="00BD7B2F"/>
    <w:rsid w:val="00BD7BD3"/>
    <w:rsid w:val="00BD7F9D"/>
    <w:rsid w:val="00BD7FCF"/>
    <w:rsid w:val="00BE071E"/>
    <w:rsid w:val="00BE127D"/>
    <w:rsid w:val="00BE1403"/>
    <w:rsid w:val="00BE150D"/>
    <w:rsid w:val="00BE1882"/>
    <w:rsid w:val="00BE1DDE"/>
    <w:rsid w:val="00BE2259"/>
    <w:rsid w:val="00BE23ED"/>
    <w:rsid w:val="00BE26D2"/>
    <w:rsid w:val="00BE2A88"/>
    <w:rsid w:val="00BE3278"/>
    <w:rsid w:val="00BE36DD"/>
    <w:rsid w:val="00BE3747"/>
    <w:rsid w:val="00BE3929"/>
    <w:rsid w:val="00BE39A0"/>
    <w:rsid w:val="00BE400D"/>
    <w:rsid w:val="00BE40F7"/>
    <w:rsid w:val="00BE4652"/>
    <w:rsid w:val="00BE4714"/>
    <w:rsid w:val="00BE4824"/>
    <w:rsid w:val="00BE500E"/>
    <w:rsid w:val="00BE6AC8"/>
    <w:rsid w:val="00BE7717"/>
    <w:rsid w:val="00BE7844"/>
    <w:rsid w:val="00BF01DB"/>
    <w:rsid w:val="00BF022B"/>
    <w:rsid w:val="00BF03DD"/>
    <w:rsid w:val="00BF06C1"/>
    <w:rsid w:val="00BF07D3"/>
    <w:rsid w:val="00BF0AC9"/>
    <w:rsid w:val="00BF0E5A"/>
    <w:rsid w:val="00BF16EF"/>
    <w:rsid w:val="00BF1F98"/>
    <w:rsid w:val="00BF2373"/>
    <w:rsid w:val="00BF2450"/>
    <w:rsid w:val="00BF28D0"/>
    <w:rsid w:val="00BF29F0"/>
    <w:rsid w:val="00BF2B3F"/>
    <w:rsid w:val="00BF3299"/>
    <w:rsid w:val="00BF391C"/>
    <w:rsid w:val="00BF3DC3"/>
    <w:rsid w:val="00BF3FD0"/>
    <w:rsid w:val="00BF44EE"/>
    <w:rsid w:val="00BF49FE"/>
    <w:rsid w:val="00BF4D71"/>
    <w:rsid w:val="00BF54E3"/>
    <w:rsid w:val="00BF575E"/>
    <w:rsid w:val="00BF6406"/>
    <w:rsid w:val="00BF6461"/>
    <w:rsid w:val="00BF6717"/>
    <w:rsid w:val="00BF6E95"/>
    <w:rsid w:val="00BF6FAE"/>
    <w:rsid w:val="00BF73EB"/>
    <w:rsid w:val="00BF7AF9"/>
    <w:rsid w:val="00BF7B8D"/>
    <w:rsid w:val="00C002A4"/>
    <w:rsid w:val="00C00360"/>
    <w:rsid w:val="00C00577"/>
    <w:rsid w:val="00C00F3E"/>
    <w:rsid w:val="00C010A8"/>
    <w:rsid w:val="00C01339"/>
    <w:rsid w:val="00C013C4"/>
    <w:rsid w:val="00C014EE"/>
    <w:rsid w:val="00C01950"/>
    <w:rsid w:val="00C01B03"/>
    <w:rsid w:val="00C0288E"/>
    <w:rsid w:val="00C03030"/>
    <w:rsid w:val="00C03290"/>
    <w:rsid w:val="00C0374F"/>
    <w:rsid w:val="00C0394C"/>
    <w:rsid w:val="00C03ABD"/>
    <w:rsid w:val="00C03CC1"/>
    <w:rsid w:val="00C04380"/>
    <w:rsid w:val="00C044F3"/>
    <w:rsid w:val="00C04D5E"/>
    <w:rsid w:val="00C04ED9"/>
    <w:rsid w:val="00C053F9"/>
    <w:rsid w:val="00C055CB"/>
    <w:rsid w:val="00C05962"/>
    <w:rsid w:val="00C0607F"/>
    <w:rsid w:val="00C064DC"/>
    <w:rsid w:val="00C06D34"/>
    <w:rsid w:val="00C06FFF"/>
    <w:rsid w:val="00C079BB"/>
    <w:rsid w:val="00C07EB0"/>
    <w:rsid w:val="00C109F8"/>
    <w:rsid w:val="00C10EB3"/>
    <w:rsid w:val="00C11169"/>
    <w:rsid w:val="00C120A5"/>
    <w:rsid w:val="00C124D9"/>
    <w:rsid w:val="00C12E36"/>
    <w:rsid w:val="00C130BC"/>
    <w:rsid w:val="00C1339D"/>
    <w:rsid w:val="00C133C7"/>
    <w:rsid w:val="00C143DB"/>
    <w:rsid w:val="00C144C5"/>
    <w:rsid w:val="00C14978"/>
    <w:rsid w:val="00C149BD"/>
    <w:rsid w:val="00C14F6A"/>
    <w:rsid w:val="00C15424"/>
    <w:rsid w:val="00C15437"/>
    <w:rsid w:val="00C158A6"/>
    <w:rsid w:val="00C15D49"/>
    <w:rsid w:val="00C160BD"/>
    <w:rsid w:val="00C16315"/>
    <w:rsid w:val="00C16861"/>
    <w:rsid w:val="00C16C82"/>
    <w:rsid w:val="00C16CA0"/>
    <w:rsid w:val="00C16E1C"/>
    <w:rsid w:val="00C16E83"/>
    <w:rsid w:val="00C1771F"/>
    <w:rsid w:val="00C17932"/>
    <w:rsid w:val="00C17C7A"/>
    <w:rsid w:val="00C20B1C"/>
    <w:rsid w:val="00C21216"/>
    <w:rsid w:val="00C21535"/>
    <w:rsid w:val="00C218CF"/>
    <w:rsid w:val="00C218F7"/>
    <w:rsid w:val="00C21A51"/>
    <w:rsid w:val="00C21B35"/>
    <w:rsid w:val="00C21B76"/>
    <w:rsid w:val="00C21E49"/>
    <w:rsid w:val="00C22513"/>
    <w:rsid w:val="00C22AA2"/>
    <w:rsid w:val="00C23349"/>
    <w:rsid w:val="00C23EA5"/>
    <w:rsid w:val="00C24023"/>
    <w:rsid w:val="00C240F1"/>
    <w:rsid w:val="00C241ED"/>
    <w:rsid w:val="00C24351"/>
    <w:rsid w:val="00C24563"/>
    <w:rsid w:val="00C25BDA"/>
    <w:rsid w:val="00C26219"/>
    <w:rsid w:val="00C26E49"/>
    <w:rsid w:val="00C27193"/>
    <w:rsid w:val="00C27DBF"/>
    <w:rsid w:val="00C30CD3"/>
    <w:rsid w:val="00C30D33"/>
    <w:rsid w:val="00C30F39"/>
    <w:rsid w:val="00C31100"/>
    <w:rsid w:val="00C31167"/>
    <w:rsid w:val="00C3160F"/>
    <w:rsid w:val="00C31924"/>
    <w:rsid w:val="00C31A04"/>
    <w:rsid w:val="00C321AF"/>
    <w:rsid w:val="00C32C2D"/>
    <w:rsid w:val="00C32EED"/>
    <w:rsid w:val="00C33104"/>
    <w:rsid w:val="00C332D4"/>
    <w:rsid w:val="00C33756"/>
    <w:rsid w:val="00C33C0E"/>
    <w:rsid w:val="00C33E67"/>
    <w:rsid w:val="00C33FE4"/>
    <w:rsid w:val="00C3484F"/>
    <w:rsid w:val="00C348D4"/>
    <w:rsid w:val="00C34995"/>
    <w:rsid w:val="00C349E6"/>
    <w:rsid w:val="00C34C76"/>
    <w:rsid w:val="00C34CDE"/>
    <w:rsid w:val="00C34E67"/>
    <w:rsid w:val="00C359F0"/>
    <w:rsid w:val="00C35A96"/>
    <w:rsid w:val="00C35C62"/>
    <w:rsid w:val="00C36571"/>
    <w:rsid w:val="00C36989"/>
    <w:rsid w:val="00C377F3"/>
    <w:rsid w:val="00C3797A"/>
    <w:rsid w:val="00C37B7F"/>
    <w:rsid w:val="00C406A9"/>
    <w:rsid w:val="00C40FA5"/>
    <w:rsid w:val="00C41015"/>
    <w:rsid w:val="00C4114C"/>
    <w:rsid w:val="00C4116F"/>
    <w:rsid w:val="00C41C15"/>
    <w:rsid w:val="00C41FE3"/>
    <w:rsid w:val="00C42E97"/>
    <w:rsid w:val="00C43434"/>
    <w:rsid w:val="00C436F5"/>
    <w:rsid w:val="00C43832"/>
    <w:rsid w:val="00C43D30"/>
    <w:rsid w:val="00C43EF6"/>
    <w:rsid w:val="00C4407C"/>
    <w:rsid w:val="00C444AE"/>
    <w:rsid w:val="00C4461F"/>
    <w:rsid w:val="00C44711"/>
    <w:rsid w:val="00C4488C"/>
    <w:rsid w:val="00C44961"/>
    <w:rsid w:val="00C44AF5"/>
    <w:rsid w:val="00C457A2"/>
    <w:rsid w:val="00C45852"/>
    <w:rsid w:val="00C45901"/>
    <w:rsid w:val="00C46704"/>
    <w:rsid w:val="00C46C35"/>
    <w:rsid w:val="00C46DB4"/>
    <w:rsid w:val="00C47065"/>
    <w:rsid w:val="00C47B59"/>
    <w:rsid w:val="00C47BAE"/>
    <w:rsid w:val="00C50873"/>
    <w:rsid w:val="00C50906"/>
    <w:rsid w:val="00C50961"/>
    <w:rsid w:val="00C50CB3"/>
    <w:rsid w:val="00C50E69"/>
    <w:rsid w:val="00C51011"/>
    <w:rsid w:val="00C511F8"/>
    <w:rsid w:val="00C51A3A"/>
    <w:rsid w:val="00C5251C"/>
    <w:rsid w:val="00C52910"/>
    <w:rsid w:val="00C52B84"/>
    <w:rsid w:val="00C52BCA"/>
    <w:rsid w:val="00C52BDE"/>
    <w:rsid w:val="00C535B3"/>
    <w:rsid w:val="00C53757"/>
    <w:rsid w:val="00C5392D"/>
    <w:rsid w:val="00C53ACC"/>
    <w:rsid w:val="00C54027"/>
    <w:rsid w:val="00C54294"/>
    <w:rsid w:val="00C544C3"/>
    <w:rsid w:val="00C545A9"/>
    <w:rsid w:val="00C5477E"/>
    <w:rsid w:val="00C548F4"/>
    <w:rsid w:val="00C559B4"/>
    <w:rsid w:val="00C55A70"/>
    <w:rsid w:val="00C560AC"/>
    <w:rsid w:val="00C5656B"/>
    <w:rsid w:val="00C565DC"/>
    <w:rsid w:val="00C567CC"/>
    <w:rsid w:val="00C56BFE"/>
    <w:rsid w:val="00C5781C"/>
    <w:rsid w:val="00C60343"/>
    <w:rsid w:val="00C604B7"/>
    <w:rsid w:val="00C604C0"/>
    <w:rsid w:val="00C604E4"/>
    <w:rsid w:val="00C60AB2"/>
    <w:rsid w:val="00C60ACF"/>
    <w:rsid w:val="00C60F3D"/>
    <w:rsid w:val="00C6118B"/>
    <w:rsid w:val="00C616AB"/>
    <w:rsid w:val="00C61FDA"/>
    <w:rsid w:val="00C626A1"/>
    <w:rsid w:val="00C627D5"/>
    <w:rsid w:val="00C62805"/>
    <w:rsid w:val="00C639C1"/>
    <w:rsid w:val="00C63AE3"/>
    <w:rsid w:val="00C63F07"/>
    <w:rsid w:val="00C64066"/>
    <w:rsid w:val="00C659A0"/>
    <w:rsid w:val="00C659F9"/>
    <w:rsid w:val="00C6611F"/>
    <w:rsid w:val="00C6669E"/>
    <w:rsid w:val="00C66BEF"/>
    <w:rsid w:val="00C66C3F"/>
    <w:rsid w:val="00C66D40"/>
    <w:rsid w:val="00C67346"/>
    <w:rsid w:val="00C67EE1"/>
    <w:rsid w:val="00C70044"/>
    <w:rsid w:val="00C700E1"/>
    <w:rsid w:val="00C70283"/>
    <w:rsid w:val="00C70753"/>
    <w:rsid w:val="00C709F1"/>
    <w:rsid w:val="00C70F59"/>
    <w:rsid w:val="00C712D1"/>
    <w:rsid w:val="00C717A2"/>
    <w:rsid w:val="00C71890"/>
    <w:rsid w:val="00C71FC7"/>
    <w:rsid w:val="00C72136"/>
    <w:rsid w:val="00C7240F"/>
    <w:rsid w:val="00C7286D"/>
    <w:rsid w:val="00C72BA0"/>
    <w:rsid w:val="00C737B1"/>
    <w:rsid w:val="00C74008"/>
    <w:rsid w:val="00C74405"/>
    <w:rsid w:val="00C745CC"/>
    <w:rsid w:val="00C75009"/>
    <w:rsid w:val="00C75CBD"/>
    <w:rsid w:val="00C75DAE"/>
    <w:rsid w:val="00C774FE"/>
    <w:rsid w:val="00C7756C"/>
    <w:rsid w:val="00C77E5F"/>
    <w:rsid w:val="00C77FF5"/>
    <w:rsid w:val="00C80293"/>
    <w:rsid w:val="00C80E78"/>
    <w:rsid w:val="00C80EAC"/>
    <w:rsid w:val="00C8131B"/>
    <w:rsid w:val="00C81F90"/>
    <w:rsid w:val="00C82271"/>
    <w:rsid w:val="00C826CC"/>
    <w:rsid w:val="00C827BC"/>
    <w:rsid w:val="00C82D9E"/>
    <w:rsid w:val="00C82DE3"/>
    <w:rsid w:val="00C82F8B"/>
    <w:rsid w:val="00C8300C"/>
    <w:rsid w:val="00C834C2"/>
    <w:rsid w:val="00C83D42"/>
    <w:rsid w:val="00C8457F"/>
    <w:rsid w:val="00C84C32"/>
    <w:rsid w:val="00C853D1"/>
    <w:rsid w:val="00C854D4"/>
    <w:rsid w:val="00C855C7"/>
    <w:rsid w:val="00C85802"/>
    <w:rsid w:val="00C85AEC"/>
    <w:rsid w:val="00C85DBD"/>
    <w:rsid w:val="00C85EBE"/>
    <w:rsid w:val="00C862F4"/>
    <w:rsid w:val="00C86324"/>
    <w:rsid w:val="00C86940"/>
    <w:rsid w:val="00C87294"/>
    <w:rsid w:val="00C87342"/>
    <w:rsid w:val="00C874EE"/>
    <w:rsid w:val="00C87986"/>
    <w:rsid w:val="00C90556"/>
    <w:rsid w:val="00C905B2"/>
    <w:rsid w:val="00C90625"/>
    <w:rsid w:val="00C910E3"/>
    <w:rsid w:val="00C91182"/>
    <w:rsid w:val="00C91185"/>
    <w:rsid w:val="00C91B76"/>
    <w:rsid w:val="00C920F5"/>
    <w:rsid w:val="00C9244D"/>
    <w:rsid w:val="00C93113"/>
    <w:rsid w:val="00C932D2"/>
    <w:rsid w:val="00C93BC4"/>
    <w:rsid w:val="00C93C4B"/>
    <w:rsid w:val="00C93F07"/>
    <w:rsid w:val="00C940D0"/>
    <w:rsid w:val="00C949C0"/>
    <w:rsid w:val="00C94BDD"/>
    <w:rsid w:val="00C94DF8"/>
    <w:rsid w:val="00C95202"/>
    <w:rsid w:val="00C954BB"/>
    <w:rsid w:val="00C95841"/>
    <w:rsid w:val="00C95931"/>
    <w:rsid w:val="00C9597F"/>
    <w:rsid w:val="00C95AC9"/>
    <w:rsid w:val="00C95F86"/>
    <w:rsid w:val="00C96452"/>
    <w:rsid w:val="00C967CF"/>
    <w:rsid w:val="00C96A09"/>
    <w:rsid w:val="00C96D28"/>
    <w:rsid w:val="00C9711F"/>
    <w:rsid w:val="00C971D1"/>
    <w:rsid w:val="00C9735D"/>
    <w:rsid w:val="00C97625"/>
    <w:rsid w:val="00C979CA"/>
    <w:rsid w:val="00C97B33"/>
    <w:rsid w:val="00C97F70"/>
    <w:rsid w:val="00CA0032"/>
    <w:rsid w:val="00CA0D78"/>
    <w:rsid w:val="00CA1DAC"/>
    <w:rsid w:val="00CA1FAC"/>
    <w:rsid w:val="00CA1FE2"/>
    <w:rsid w:val="00CA20F2"/>
    <w:rsid w:val="00CA23FB"/>
    <w:rsid w:val="00CA244F"/>
    <w:rsid w:val="00CA2B4E"/>
    <w:rsid w:val="00CA2BAA"/>
    <w:rsid w:val="00CA2BE5"/>
    <w:rsid w:val="00CA2D21"/>
    <w:rsid w:val="00CA3512"/>
    <w:rsid w:val="00CA395F"/>
    <w:rsid w:val="00CA39B9"/>
    <w:rsid w:val="00CA3DE8"/>
    <w:rsid w:val="00CA4855"/>
    <w:rsid w:val="00CA489E"/>
    <w:rsid w:val="00CA4E10"/>
    <w:rsid w:val="00CA4F70"/>
    <w:rsid w:val="00CA52E2"/>
    <w:rsid w:val="00CA5D90"/>
    <w:rsid w:val="00CA5F85"/>
    <w:rsid w:val="00CA6397"/>
    <w:rsid w:val="00CA654C"/>
    <w:rsid w:val="00CA6CAD"/>
    <w:rsid w:val="00CA735C"/>
    <w:rsid w:val="00CA7B42"/>
    <w:rsid w:val="00CA7FF4"/>
    <w:rsid w:val="00CB0344"/>
    <w:rsid w:val="00CB0D46"/>
    <w:rsid w:val="00CB14C7"/>
    <w:rsid w:val="00CB1681"/>
    <w:rsid w:val="00CB1EF6"/>
    <w:rsid w:val="00CB20D7"/>
    <w:rsid w:val="00CB2325"/>
    <w:rsid w:val="00CB24FE"/>
    <w:rsid w:val="00CB2556"/>
    <w:rsid w:val="00CB2ABC"/>
    <w:rsid w:val="00CB2BF2"/>
    <w:rsid w:val="00CB317E"/>
    <w:rsid w:val="00CB33CC"/>
    <w:rsid w:val="00CB3587"/>
    <w:rsid w:val="00CB380A"/>
    <w:rsid w:val="00CB38E0"/>
    <w:rsid w:val="00CB38F8"/>
    <w:rsid w:val="00CB3E75"/>
    <w:rsid w:val="00CB4416"/>
    <w:rsid w:val="00CB51E0"/>
    <w:rsid w:val="00CB5AED"/>
    <w:rsid w:val="00CB5C64"/>
    <w:rsid w:val="00CB61DF"/>
    <w:rsid w:val="00CB61F3"/>
    <w:rsid w:val="00CB66D3"/>
    <w:rsid w:val="00CB6846"/>
    <w:rsid w:val="00CB6C5D"/>
    <w:rsid w:val="00CB6F69"/>
    <w:rsid w:val="00CB6F9E"/>
    <w:rsid w:val="00CB7489"/>
    <w:rsid w:val="00CB7C01"/>
    <w:rsid w:val="00CC08B8"/>
    <w:rsid w:val="00CC0907"/>
    <w:rsid w:val="00CC1B72"/>
    <w:rsid w:val="00CC2014"/>
    <w:rsid w:val="00CC2AA0"/>
    <w:rsid w:val="00CC3449"/>
    <w:rsid w:val="00CC473A"/>
    <w:rsid w:val="00CC47C4"/>
    <w:rsid w:val="00CC4D77"/>
    <w:rsid w:val="00CC4E11"/>
    <w:rsid w:val="00CC5350"/>
    <w:rsid w:val="00CC546F"/>
    <w:rsid w:val="00CC5D77"/>
    <w:rsid w:val="00CC6281"/>
    <w:rsid w:val="00CC6566"/>
    <w:rsid w:val="00CC683E"/>
    <w:rsid w:val="00CC6B22"/>
    <w:rsid w:val="00CC78E4"/>
    <w:rsid w:val="00CC7AFF"/>
    <w:rsid w:val="00CC7CAF"/>
    <w:rsid w:val="00CC7E37"/>
    <w:rsid w:val="00CD0232"/>
    <w:rsid w:val="00CD0640"/>
    <w:rsid w:val="00CD0D6E"/>
    <w:rsid w:val="00CD110D"/>
    <w:rsid w:val="00CD1424"/>
    <w:rsid w:val="00CD1E66"/>
    <w:rsid w:val="00CD1F24"/>
    <w:rsid w:val="00CD1FCC"/>
    <w:rsid w:val="00CD2564"/>
    <w:rsid w:val="00CD25E7"/>
    <w:rsid w:val="00CD26D4"/>
    <w:rsid w:val="00CD2845"/>
    <w:rsid w:val="00CD2C8E"/>
    <w:rsid w:val="00CD2D55"/>
    <w:rsid w:val="00CD2D92"/>
    <w:rsid w:val="00CD2F05"/>
    <w:rsid w:val="00CD30EF"/>
    <w:rsid w:val="00CD3161"/>
    <w:rsid w:val="00CD319F"/>
    <w:rsid w:val="00CD3758"/>
    <w:rsid w:val="00CD37C2"/>
    <w:rsid w:val="00CD3E1F"/>
    <w:rsid w:val="00CD422B"/>
    <w:rsid w:val="00CD46F8"/>
    <w:rsid w:val="00CD48E1"/>
    <w:rsid w:val="00CD50A4"/>
    <w:rsid w:val="00CD5479"/>
    <w:rsid w:val="00CD58FD"/>
    <w:rsid w:val="00CD5D08"/>
    <w:rsid w:val="00CD6015"/>
    <w:rsid w:val="00CD6456"/>
    <w:rsid w:val="00CD6BB4"/>
    <w:rsid w:val="00CD7280"/>
    <w:rsid w:val="00CD7E07"/>
    <w:rsid w:val="00CD7F20"/>
    <w:rsid w:val="00CE12DB"/>
    <w:rsid w:val="00CE1323"/>
    <w:rsid w:val="00CE13C6"/>
    <w:rsid w:val="00CE1494"/>
    <w:rsid w:val="00CE16C4"/>
    <w:rsid w:val="00CE17DA"/>
    <w:rsid w:val="00CE1851"/>
    <w:rsid w:val="00CE19B4"/>
    <w:rsid w:val="00CE1D62"/>
    <w:rsid w:val="00CE1D67"/>
    <w:rsid w:val="00CE22F3"/>
    <w:rsid w:val="00CE2670"/>
    <w:rsid w:val="00CE4314"/>
    <w:rsid w:val="00CE436E"/>
    <w:rsid w:val="00CE4647"/>
    <w:rsid w:val="00CE4A77"/>
    <w:rsid w:val="00CE5032"/>
    <w:rsid w:val="00CE557E"/>
    <w:rsid w:val="00CE6A35"/>
    <w:rsid w:val="00CE6AC6"/>
    <w:rsid w:val="00CE6F4E"/>
    <w:rsid w:val="00CE70CD"/>
    <w:rsid w:val="00CE743C"/>
    <w:rsid w:val="00CE758A"/>
    <w:rsid w:val="00CE758F"/>
    <w:rsid w:val="00CE7D2A"/>
    <w:rsid w:val="00CF0335"/>
    <w:rsid w:val="00CF04B3"/>
    <w:rsid w:val="00CF0AFB"/>
    <w:rsid w:val="00CF0B1D"/>
    <w:rsid w:val="00CF0C9D"/>
    <w:rsid w:val="00CF0E51"/>
    <w:rsid w:val="00CF0F32"/>
    <w:rsid w:val="00CF129D"/>
    <w:rsid w:val="00CF15DB"/>
    <w:rsid w:val="00CF1664"/>
    <w:rsid w:val="00CF1675"/>
    <w:rsid w:val="00CF1923"/>
    <w:rsid w:val="00CF1E54"/>
    <w:rsid w:val="00CF2279"/>
    <w:rsid w:val="00CF2484"/>
    <w:rsid w:val="00CF259B"/>
    <w:rsid w:val="00CF2F4F"/>
    <w:rsid w:val="00CF3370"/>
    <w:rsid w:val="00CF39D0"/>
    <w:rsid w:val="00CF3CE4"/>
    <w:rsid w:val="00CF4037"/>
    <w:rsid w:val="00CF4067"/>
    <w:rsid w:val="00CF44A6"/>
    <w:rsid w:val="00CF4827"/>
    <w:rsid w:val="00CF5AA7"/>
    <w:rsid w:val="00CF5F6A"/>
    <w:rsid w:val="00CF63C3"/>
    <w:rsid w:val="00CF670C"/>
    <w:rsid w:val="00CF681E"/>
    <w:rsid w:val="00CF6820"/>
    <w:rsid w:val="00CF6B75"/>
    <w:rsid w:val="00CF77E4"/>
    <w:rsid w:val="00CF78CA"/>
    <w:rsid w:val="00CF79FB"/>
    <w:rsid w:val="00CF7BF4"/>
    <w:rsid w:val="00CF7CB5"/>
    <w:rsid w:val="00D01B5C"/>
    <w:rsid w:val="00D02074"/>
    <w:rsid w:val="00D028FF"/>
    <w:rsid w:val="00D03307"/>
    <w:rsid w:val="00D03A0A"/>
    <w:rsid w:val="00D03EE3"/>
    <w:rsid w:val="00D056ED"/>
    <w:rsid w:val="00D05930"/>
    <w:rsid w:val="00D05C42"/>
    <w:rsid w:val="00D05C72"/>
    <w:rsid w:val="00D06102"/>
    <w:rsid w:val="00D06B07"/>
    <w:rsid w:val="00D071CD"/>
    <w:rsid w:val="00D074A5"/>
    <w:rsid w:val="00D10347"/>
    <w:rsid w:val="00D10929"/>
    <w:rsid w:val="00D10DDE"/>
    <w:rsid w:val="00D115C4"/>
    <w:rsid w:val="00D11B21"/>
    <w:rsid w:val="00D12177"/>
    <w:rsid w:val="00D126CD"/>
    <w:rsid w:val="00D12815"/>
    <w:rsid w:val="00D139D0"/>
    <w:rsid w:val="00D13B4B"/>
    <w:rsid w:val="00D13E42"/>
    <w:rsid w:val="00D14206"/>
    <w:rsid w:val="00D1446A"/>
    <w:rsid w:val="00D14D52"/>
    <w:rsid w:val="00D14D75"/>
    <w:rsid w:val="00D14E30"/>
    <w:rsid w:val="00D14F9F"/>
    <w:rsid w:val="00D15402"/>
    <w:rsid w:val="00D15892"/>
    <w:rsid w:val="00D159EE"/>
    <w:rsid w:val="00D15AF3"/>
    <w:rsid w:val="00D15BBB"/>
    <w:rsid w:val="00D15FD3"/>
    <w:rsid w:val="00D15FE3"/>
    <w:rsid w:val="00D16013"/>
    <w:rsid w:val="00D162A7"/>
    <w:rsid w:val="00D162B2"/>
    <w:rsid w:val="00D16774"/>
    <w:rsid w:val="00D16869"/>
    <w:rsid w:val="00D16C31"/>
    <w:rsid w:val="00D17273"/>
    <w:rsid w:val="00D17642"/>
    <w:rsid w:val="00D17A8F"/>
    <w:rsid w:val="00D17BA2"/>
    <w:rsid w:val="00D17DBB"/>
    <w:rsid w:val="00D17E1C"/>
    <w:rsid w:val="00D20252"/>
    <w:rsid w:val="00D20548"/>
    <w:rsid w:val="00D2082D"/>
    <w:rsid w:val="00D209D0"/>
    <w:rsid w:val="00D20ED2"/>
    <w:rsid w:val="00D20EFF"/>
    <w:rsid w:val="00D219C3"/>
    <w:rsid w:val="00D222C6"/>
    <w:rsid w:val="00D22BC5"/>
    <w:rsid w:val="00D23B5E"/>
    <w:rsid w:val="00D242DE"/>
    <w:rsid w:val="00D2433C"/>
    <w:rsid w:val="00D24E8B"/>
    <w:rsid w:val="00D2509F"/>
    <w:rsid w:val="00D25150"/>
    <w:rsid w:val="00D252C7"/>
    <w:rsid w:val="00D252C8"/>
    <w:rsid w:val="00D254CB"/>
    <w:rsid w:val="00D2578B"/>
    <w:rsid w:val="00D2590C"/>
    <w:rsid w:val="00D25BE6"/>
    <w:rsid w:val="00D25FDE"/>
    <w:rsid w:val="00D2600B"/>
    <w:rsid w:val="00D263D1"/>
    <w:rsid w:val="00D26E93"/>
    <w:rsid w:val="00D26EED"/>
    <w:rsid w:val="00D27131"/>
    <w:rsid w:val="00D277DF"/>
    <w:rsid w:val="00D277F0"/>
    <w:rsid w:val="00D278E2"/>
    <w:rsid w:val="00D30E65"/>
    <w:rsid w:val="00D3135E"/>
    <w:rsid w:val="00D313F2"/>
    <w:rsid w:val="00D31542"/>
    <w:rsid w:val="00D32086"/>
    <w:rsid w:val="00D324B5"/>
    <w:rsid w:val="00D32A8B"/>
    <w:rsid w:val="00D32BEA"/>
    <w:rsid w:val="00D332A2"/>
    <w:rsid w:val="00D337FF"/>
    <w:rsid w:val="00D33CC7"/>
    <w:rsid w:val="00D33D7E"/>
    <w:rsid w:val="00D33EE7"/>
    <w:rsid w:val="00D34150"/>
    <w:rsid w:val="00D343FA"/>
    <w:rsid w:val="00D34E68"/>
    <w:rsid w:val="00D3537C"/>
    <w:rsid w:val="00D355BF"/>
    <w:rsid w:val="00D35848"/>
    <w:rsid w:val="00D35C37"/>
    <w:rsid w:val="00D35EB8"/>
    <w:rsid w:val="00D36B3C"/>
    <w:rsid w:val="00D3736C"/>
    <w:rsid w:val="00D3776E"/>
    <w:rsid w:val="00D3780C"/>
    <w:rsid w:val="00D4030A"/>
    <w:rsid w:val="00D4030F"/>
    <w:rsid w:val="00D40B04"/>
    <w:rsid w:val="00D40CE1"/>
    <w:rsid w:val="00D4158B"/>
    <w:rsid w:val="00D418FF"/>
    <w:rsid w:val="00D41BD7"/>
    <w:rsid w:val="00D424CD"/>
    <w:rsid w:val="00D43BAA"/>
    <w:rsid w:val="00D43DB2"/>
    <w:rsid w:val="00D44407"/>
    <w:rsid w:val="00D4461F"/>
    <w:rsid w:val="00D44953"/>
    <w:rsid w:val="00D44A31"/>
    <w:rsid w:val="00D44C30"/>
    <w:rsid w:val="00D459BD"/>
    <w:rsid w:val="00D46077"/>
    <w:rsid w:val="00D4691C"/>
    <w:rsid w:val="00D473C5"/>
    <w:rsid w:val="00D473EB"/>
    <w:rsid w:val="00D477D2"/>
    <w:rsid w:val="00D47EB1"/>
    <w:rsid w:val="00D504D9"/>
    <w:rsid w:val="00D506C0"/>
    <w:rsid w:val="00D50934"/>
    <w:rsid w:val="00D515D8"/>
    <w:rsid w:val="00D51775"/>
    <w:rsid w:val="00D5212A"/>
    <w:rsid w:val="00D529C2"/>
    <w:rsid w:val="00D52A4A"/>
    <w:rsid w:val="00D52C56"/>
    <w:rsid w:val="00D52D42"/>
    <w:rsid w:val="00D54954"/>
    <w:rsid w:val="00D54D90"/>
    <w:rsid w:val="00D5500B"/>
    <w:rsid w:val="00D5506E"/>
    <w:rsid w:val="00D55149"/>
    <w:rsid w:val="00D55396"/>
    <w:rsid w:val="00D554E4"/>
    <w:rsid w:val="00D55A67"/>
    <w:rsid w:val="00D55E49"/>
    <w:rsid w:val="00D566AB"/>
    <w:rsid w:val="00D57398"/>
    <w:rsid w:val="00D57468"/>
    <w:rsid w:val="00D57606"/>
    <w:rsid w:val="00D57D88"/>
    <w:rsid w:val="00D57FE9"/>
    <w:rsid w:val="00D60184"/>
    <w:rsid w:val="00D60422"/>
    <w:rsid w:val="00D60F00"/>
    <w:rsid w:val="00D61148"/>
    <w:rsid w:val="00D61557"/>
    <w:rsid w:val="00D61682"/>
    <w:rsid w:val="00D618FE"/>
    <w:rsid w:val="00D61C6E"/>
    <w:rsid w:val="00D622F3"/>
    <w:rsid w:val="00D62384"/>
    <w:rsid w:val="00D625CF"/>
    <w:rsid w:val="00D634BE"/>
    <w:rsid w:val="00D63833"/>
    <w:rsid w:val="00D63BA2"/>
    <w:rsid w:val="00D64CC3"/>
    <w:rsid w:val="00D65717"/>
    <w:rsid w:val="00D6580C"/>
    <w:rsid w:val="00D65B68"/>
    <w:rsid w:val="00D65BCB"/>
    <w:rsid w:val="00D65C76"/>
    <w:rsid w:val="00D65E47"/>
    <w:rsid w:val="00D66789"/>
    <w:rsid w:val="00D66EB3"/>
    <w:rsid w:val="00D6710C"/>
    <w:rsid w:val="00D6719B"/>
    <w:rsid w:val="00D67580"/>
    <w:rsid w:val="00D70354"/>
    <w:rsid w:val="00D70723"/>
    <w:rsid w:val="00D70B7F"/>
    <w:rsid w:val="00D70EA6"/>
    <w:rsid w:val="00D7138B"/>
    <w:rsid w:val="00D71EE7"/>
    <w:rsid w:val="00D7257C"/>
    <w:rsid w:val="00D72724"/>
    <w:rsid w:val="00D72946"/>
    <w:rsid w:val="00D7305E"/>
    <w:rsid w:val="00D734C7"/>
    <w:rsid w:val="00D73C69"/>
    <w:rsid w:val="00D74BA8"/>
    <w:rsid w:val="00D74DD0"/>
    <w:rsid w:val="00D7517E"/>
    <w:rsid w:val="00D752E1"/>
    <w:rsid w:val="00D7542B"/>
    <w:rsid w:val="00D75BB0"/>
    <w:rsid w:val="00D767A9"/>
    <w:rsid w:val="00D76A67"/>
    <w:rsid w:val="00D77061"/>
    <w:rsid w:val="00D77177"/>
    <w:rsid w:val="00D77DA4"/>
    <w:rsid w:val="00D77F18"/>
    <w:rsid w:val="00D80786"/>
    <w:rsid w:val="00D80AFB"/>
    <w:rsid w:val="00D810D2"/>
    <w:rsid w:val="00D81149"/>
    <w:rsid w:val="00D817F2"/>
    <w:rsid w:val="00D8252D"/>
    <w:rsid w:val="00D82773"/>
    <w:rsid w:val="00D829B9"/>
    <w:rsid w:val="00D82BBD"/>
    <w:rsid w:val="00D82FDE"/>
    <w:rsid w:val="00D8307B"/>
    <w:rsid w:val="00D8312B"/>
    <w:rsid w:val="00D832C9"/>
    <w:rsid w:val="00D833F0"/>
    <w:rsid w:val="00D8351F"/>
    <w:rsid w:val="00D83938"/>
    <w:rsid w:val="00D83D98"/>
    <w:rsid w:val="00D84195"/>
    <w:rsid w:val="00D843CA"/>
    <w:rsid w:val="00D854A4"/>
    <w:rsid w:val="00D85532"/>
    <w:rsid w:val="00D85A75"/>
    <w:rsid w:val="00D85B67"/>
    <w:rsid w:val="00D86112"/>
    <w:rsid w:val="00D87525"/>
    <w:rsid w:val="00D900A1"/>
    <w:rsid w:val="00D90294"/>
    <w:rsid w:val="00D902DB"/>
    <w:rsid w:val="00D91126"/>
    <w:rsid w:val="00D914DD"/>
    <w:rsid w:val="00D919B3"/>
    <w:rsid w:val="00D91A12"/>
    <w:rsid w:val="00D91AC7"/>
    <w:rsid w:val="00D91B4B"/>
    <w:rsid w:val="00D91B69"/>
    <w:rsid w:val="00D91FCA"/>
    <w:rsid w:val="00D920D6"/>
    <w:rsid w:val="00D92139"/>
    <w:rsid w:val="00D925B1"/>
    <w:rsid w:val="00D926FA"/>
    <w:rsid w:val="00D92CAB"/>
    <w:rsid w:val="00D9312C"/>
    <w:rsid w:val="00D93699"/>
    <w:rsid w:val="00D9382B"/>
    <w:rsid w:val="00D94194"/>
    <w:rsid w:val="00D9495E"/>
    <w:rsid w:val="00D94CA1"/>
    <w:rsid w:val="00D94CBE"/>
    <w:rsid w:val="00D9541A"/>
    <w:rsid w:val="00D9552C"/>
    <w:rsid w:val="00D958B4"/>
    <w:rsid w:val="00D96C53"/>
    <w:rsid w:val="00D971B8"/>
    <w:rsid w:val="00D97445"/>
    <w:rsid w:val="00D97647"/>
    <w:rsid w:val="00DA03BA"/>
    <w:rsid w:val="00DA0622"/>
    <w:rsid w:val="00DA09A8"/>
    <w:rsid w:val="00DA0FDF"/>
    <w:rsid w:val="00DA1189"/>
    <w:rsid w:val="00DA11B0"/>
    <w:rsid w:val="00DA1D32"/>
    <w:rsid w:val="00DA2099"/>
    <w:rsid w:val="00DA2308"/>
    <w:rsid w:val="00DA27F8"/>
    <w:rsid w:val="00DA2AD5"/>
    <w:rsid w:val="00DA2BA5"/>
    <w:rsid w:val="00DA2F73"/>
    <w:rsid w:val="00DA31A7"/>
    <w:rsid w:val="00DA3441"/>
    <w:rsid w:val="00DA34A1"/>
    <w:rsid w:val="00DA3AD1"/>
    <w:rsid w:val="00DA4469"/>
    <w:rsid w:val="00DA4869"/>
    <w:rsid w:val="00DA48B5"/>
    <w:rsid w:val="00DA4BFA"/>
    <w:rsid w:val="00DA50D4"/>
    <w:rsid w:val="00DA524C"/>
    <w:rsid w:val="00DA536D"/>
    <w:rsid w:val="00DA5477"/>
    <w:rsid w:val="00DA6298"/>
    <w:rsid w:val="00DA629F"/>
    <w:rsid w:val="00DA67A4"/>
    <w:rsid w:val="00DA67DD"/>
    <w:rsid w:val="00DA68F6"/>
    <w:rsid w:val="00DA7093"/>
    <w:rsid w:val="00DA71AC"/>
    <w:rsid w:val="00DA725C"/>
    <w:rsid w:val="00DA77C1"/>
    <w:rsid w:val="00DA7A55"/>
    <w:rsid w:val="00DA7F23"/>
    <w:rsid w:val="00DB028F"/>
    <w:rsid w:val="00DB043F"/>
    <w:rsid w:val="00DB04B9"/>
    <w:rsid w:val="00DB057B"/>
    <w:rsid w:val="00DB0677"/>
    <w:rsid w:val="00DB0840"/>
    <w:rsid w:val="00DB0A82"/>
    <w:rsid w:val="00DB1718"/>
    <w:rsid w:val="00DB1791"/>
    <w:rsid w:val="00DB1A07"/>
    <w:rsid w:val="00DB1B65"/>
    <w:rsid w:val="00DB1F26"/>
    <w:rsid w:val="00DB2306"/>
    <w:rsid w:val="00DB2A31"/>
    <w:rsid w:val="00DB2A8D"/>
    <w:rsid w:val="00DB3D37"/>
    <w:rsid w:val="00DB3F14"/>
    <w:rsid w:val="00DB426F"/>
    <w:rsid w:val="00DB4507"/>
    <w:rsid w:val="00DB52AF"/>
    <w:rsid w:val="00DB53CD"/>
    <w:rsid w:val="00DB61E8"/>
    <w:rsid w:val="00DB659E"/>
    <w:rsid w:val="00DB6AF3"/>
    <w:rsid w:val="00DB7A24"/>
    <w:rsid w:val="00DB7BAE"/>
    <w:rsid w:val="00DB7CC8"/>
    <w:rsid w:val="00DC02CC"/>
    <w:rsid w:val="00DC0405"/>
    <w:rsid w:val="00DC0E87"/>
    <w:rsid w:val="00DC261E"/>
    <w:rsid w:val="00DC2B49"/>
    <w:rsid w:val="00DC2F4C"/>
    <w:rsid w:val="00DC2F7E"/>
    <w:rsid w:val="00DC307B"/>
    <w:rsid w:val="00DC343B"/>
    <w:rsid w:val="00DC38F1"/>
    <w:rsid w:val="00DC39A1"/>
    <w:rsid w:val="00DC3AF7"/>
    <w:rsid w:val="00DC3FBC"/>
    <w:rsid w:val="00DC462F"/>
    <w:rsid w:val="00DC4854"/>
    <w:rsid w:val="00DC485D"/>
    <w:rsid w:val="00DC499A"/>
    <w:rsid w:val="00DC4BEA"/>
    <w:rsid w:val="00DC613F"/>
    <w:rsid w:val="00DC6569"/>
    <w:rsid w:val="00DC6656"/>
    <w:rsid w:val="00DC6769"/>
    <w:rsid w:val="00DC6793"/>
    <w:rsid w:val="00DC6822"/>
    <w:rsid w:val="00DC683E"/>
    <w:rsid w:val="00DC6B12"/>
    <w:rsid w:val="00DC73E4"/>
    <w:rsid w:val="00DC73FE"/>
    <w:rsid w:val="00DC7A9A"/>
    <w:rsid w:val="00DC7B1A"/>
    <w:rsid w:val="00DD04DF"/>
    <w:rsid w:val="00DD0552"/>
    <w:rsid w:val="00DD060C"/>
    <w:rsid w:val="00DD064E"/>
    <w:rsid w:val="00DD089F"/>
    <w:rsid w:val="00DD098C"/>
    <w:rsid w:val="00DD0A49"/>
    <w:rsid w:val="00DD152B"/>
    <w:rsid w:val="00DD1B0C"/>
    <w:rsid w:val="00DD1C3F"/>
    <w:rsid w:val="00DD2428"/>
    <w:rsid w:val="00DD2437"/>
    <w:rsid w:val="00DD308A"/>
    <w:rsid w:val="00DD31A4"/>
    <w:rsid w:val="00DD3908"/>
    <w:rsid w:val="00DD3A0D"/>
    <w:rsid w:val="00DD5133"/>
    <w:rsid w:val="00DD5C90"/>
    <w:rsid w:val="00DD6A21"/>
    <w:rsid w:val="00DD6AEE"/>
    <w:rsid w:val="00DD7012"/>
    <w:rsid w:val="00DD7DB5"/>
    <w:rsid w:val="00DE0459"/>
    <w:rsid w:val="00DE0544"/>
    <w:rsid w:val="00DE15B0"/>
    <w:rsid w:val="00DE15CC"/>
    <w:rsid w:val="00DE18A7"/>
    <w:rsid w:val="00DE1F0D"/>
    <w:rsid w:val="00DE2039"/>
    <w:rsid w:val="00DE22E4"/>
    <w:rsid w:val="00DE2746"/>
    <w:rsid w:val="00DE2EFB"/>
    <w:rsid w:val="00DE30D6"/>
    <w:rsid w:val="00DE4C87"/>
    <w:rsid w:val="00DE5ED9"/>
    <w:rsid w:val="00DE60CA"/>
    <w:rsid w:val="00DE614B"/>
    <w:rsid w:val="00DE6614"/>
    <w:rsid w:val="00DE6730"/>
    <w:rsid w:val="00DE6B11"/>
    <w:rsid w:val="00DE6C9C"/>
    <w:rsid w:val="00DE7524"/>
    <w:rsid w:val="00DE7736"/>
    <w:rsid w:val="00DE7A2F"/>
    <w:rsid w:val="00DE7CA4"/>
    <w:rsid w:val="00DF004E"/>
    <w:rsid w:val="00DF049C"/>
    <w:rsid w:val="00DF0A56"/>
    <w:rsid w:val="00DF175F"/>
    <w:rsid w:val="00DF2BA4"/>
    <w:rsid w:val="00DF2C67"/>
    <w:rsid w:val="00DF3025"/>
    <w:rsid w:val="00DF30DE"/>
    <w:rsid w:val="00DF3288"/>
    <w:rsid w:val="00DF3583"/>
    <w:rsid w:val="00DF3BE2"/>
    <w:rsid w:val="00DF3BEB"/>
    <w:rsid w:val="00DF43FE"/>
    <w:rsid w:val="00DF48A6"/>
    <w:rsid w:val="00DF4FF0"/>
    <w:rsid w:val="00DF53DD"/>
    <w:rsid w:val="00DF5761"/>
    <w:rsid w:val="00DF5E6F"/>
    <w:rsid w:val="00DF6812"/>
    <w:rsid w:val="00DF6AB3"/>
    <w:rsid w:val="00DF7AE0"/>
    <w:rsid w:val="00E00D6B"/>
    <w:rsid w:val="00E00F07"/>
    <w:rsid w:val="00E01413"/>
    <w:rsid w:val="00E01706"/>
    <w:rsid w:val="00E017D3"/>
    <w:rsid w:val="00E02517"/>
    <w:rsid w:val="00E028F6"/>
    <w:rsid w:val="00E02A0D"/>
    <w:rsid w:val="00E02D16"/>
    <w:rsid w:val="00E0305C"/>
    <w:rsid w:val="00E0344C"/>
    <w:rsid w:val="00E03D66"/>
    <w:rsid w:val="00E03FFF"/>
    <w:rsid w:val="00E0487C"/>
    <w:rsid w:val="00E051E2"/>
    <w:rsid w:val="00E05316"/>
    <w:rsid w:val="00E05E39"/>
    <w:rsid w:val="00E06732"/>
    <w:rsid w:val="00E0680A"/>
    <w:rsid w:val="00E11055"/>
    <w:rsid w:val="00E111B7"/>
    <w:rsid w:val="00E1199B"/>
    <w:rsid w:val="00E122E5"/>
    <w:rsid w:val="00E1268D"/>
    <w:rsid w:val="00E12807"/>
    <w:rsid w:val="00E13E83"/>
    <w:rsid w:val="00E141A4"/>
    <w:rsid w:val="00E1474C"/>
    <w:rsid w:val="00E14833"/>
    <w:rsid w:val="00E14946"/>
    <w:rsid w:val="00E1499D"/>
    <w:rsid w:val="00E14DDD"/>
    <w:rsid w:val="00E14E91"/>
    <w:rsid w:val="00E1513C"/>
    <w:rsid w:val="00E156F8"/>
    <w:rsid w:val="00E1675F"/>
    <w:rsid w:val="00E16778"/>
    <w:rsid w:val="00E16E5A"/>
    <w:rsid w:val="00E1745F"/>
    <w:rsid w:val="00E17637"/>
    <w:rsid w:val="00E17A75"/>
    <w:rsid w:val="00E200AF"/>
    <w:rsid w:val="00E20D9E"/>
    <w:rsid w:val="00E22080"/>
    <w:rsid w:val="00E2214A"/>
    <w:rsid w:val="00E22231"/>
    <w:rsid w:val="00E22396"/>
    <w:rsid w:val="00E2377E"/>
    <w:rsid w:val="00E237BE"/>
    <w:rsid w:val="00E2391C"/>
    <w:rsid w:val="00E23F50"/>
    <w:rsid w:val="00E2484B"/>
    <w:rsid w:val="00E24938"/>
    <w:rsid w:val="00E249AC"/>
    <w:rsid w:val="00E24B22"/>
    <w:rsid w:val="00E24FA3"/>
    <w:rsid w:val="00E254F3"/>
    <w:rsid w:val="00E25933"/>
    <w:rsid w:val="00E25E6D"/>
    <w:rsid w:val="00E26154"/>
    <w:rsid w:val="00E26482"/>
    <w:rsid w:val="00E266C1"/>
    <w:rsid w:val="00E26832"/>
    <w:rsid w:val="00E26B06"/>
    <w:rsid w:val="00E26B28"/>
    <w:rsid w:val="00E26B30"/>
    <w:rsid w:val="00E26C92"/>
    <w:rsid w:val="00E26E99"/>
    <w:rsid w:val="00E272DB"/>
    <w:rsid w:val="00E27673"/>
    <w:rsid w:val="00E2795A"/>
    <w:rsid w:val="00E27D14"/>
    <w:rsid w:val="00E27E61"/>
    <w:rsid w:val="00E302EE"/>
    <w:rsid w:val="00E30467"/>
    <w:rsid w:val="00E30A98"/>
    <w:rsid w:val="00E30AFD"/>
    <w:rsid w:val="00E30D03"/>
    <w:rsid w:val="00E31465"/>
    <w:rsid w:val="00E31916"/>
    <w:rsid w:val="00E31CFB"/>
    <w:rsid w:val="00E32381"/>
    <w:rsid w:val="00E328CD"/>
    <w:rsid w:val="00E32C6F"/>
    <w:rsid w:val="00E33233"/>
    <w:rsid w:val="00E3364D"/>
    <w:rsid w:val="00E338F2"/>
    <w:rsid w:val="00E33F24"/>
    <w:rsid w:val="00E3489E"/>
    <w:rsid w:val="00E34A58"/>
    <w:rsid w:val="00E34FF2"/>
    <w:rsid w:val="00E355F1"/>
    <w:rsid w:val="00E35D6B"/>
    <w:rsid w:val="00E362F0"/>
    <w:rsid w:val="00E364F3"/>
    <w:rsid w:val="00E368CF"/>
    <w:rsid w:val="00E36920"/>
    <w:rsid w:val="00E36B80"/>
    <w:rsid w:val="00E36B95"/>
    <w:rsid w:val="00E36D10"/>
    <w:rsid w:val="00E371D5"/>
    <w:rsid w:val="00E37205"/>
    <w:rsid w:val="00E4003F"/>
    <w:rsid w:val="00E406AF"/>
    <w:rsid w:val="00E40900"/>
    <w:rsid w:val="00E40E10"/>
    <w:rsid w:val="00E40FD0"/>
    <w:rsid w:val="00E4140F"/>
    <w:rsid w:val="00E41B73"/>
    <w:rsid w:val="00E41BBE"/>
    <w:rsid w:val="00E41BDD"/>
    <w:rsid w:val="00E41DD5"/>
    <w:rsid w:val="00E41E53"/>
    <w:rsid w:val="00E41F04"/>
    <w:rsid w:val="00E422CF"/>
    <w:rsid w:val="00E4300D"/>
    <w:rsid w:val="00E436BB"/>
    <w:rsid w:val="00E43A37"/>
    <w:rsid w:val="00E441E4"/>
    <w:rsid w:val="00E44A37"/>
    <w:rsid w:val="00E450B3"/>
    <w:rsid w:val="00E458F6"/>
    <w:rsid w:val="00E45954"/>
    <w:rsid w:val="00E4658D"/>
    <w:rsid w:val="00E46689"/>
    <w:rsid w:val="00E46704"/>
    <w:rsid w:val="00E46C5D"/>
    <w:rsid w:val="00E46F98"/>
    <w:rsid w:val="00E50788"/>
    <w:rsid w:val="00E509DB"/>
    <w:rsid w:val="00E50A7C"/>
    <w:rsid w:val="00E50C7E"/>
    <w:rsid w:val="00E51D3A"/>
    <w:rsid w:val="00E51F85"/>
    <w:rsid w:val="00E52483"/>
    <w:rsid w:val="00E52AB1"/>
    <w:rsid w:val="00E52D25"/>
    <w:rsid w:val="00E53546"/>
    <w:rsid w:val="00E535F2"/>
    <w:rsid w:val="00E53B7C"/>
    <w:rsid w:val="00E5430C"/>
    <w:rsid w:val="00E54FE0"/>
    <w:rsid w:val="00E5536F"/>
    <w:rsid w:val="00E55392"/>
    <w:rsid w:val="00E553A2"/>
    <w:rsid w:val="00E55F24"/>
    <w:rsid w:val="00E5684C"/>
    <w:rsid w:val="00E57740"/>
    <w:rsid w:val="00E57B8F"/>
    <w:rsid w:val="00E57DF4"/>
    <w:rsid w:val="00E57DFC"/>
    <w:rsid w:val="00E60002"/>
    <w:rsid w:val="00E603E8"/>
    <w:rsid w:val="00E609A9"/>
    <w:rsid w:val="00E613CC"/>
    <w:rsid w:val="00E61651"/>
    <w:rsid w:val="00E61859"/>
    <w:rsid w:val="00E61891"/>
    <w:rsid w:val="00E61E42"/>
    <w:rsid w:val="00E620D4"/>
    <w:rsid w:val="00E62A88"/>
    <w:rsid w:val="00E633A7"/>
    <w:rsid w:val="00E6503B"/>
    <w:rsid w:val="00E6546B"/>
    <w:rsid w:val="00E6590B"/>
    <w:rsid w:val="00E65C8B"/>
    <w:rsid w:val="00E661E9"/>
    <w:rsid w:val="00E66563"/>
    <w:rsid w:val="00E66DE3"/>
    <w:rsid w:val="00E66FC4"/>
    <w:rsid w:val="00E67B3F"/>
    <w:rsid w:val="00E67D7B"/>
    <w:rsid w:val="00E70158"/>
    <w:rsid w:val="00E70277"/>
    <w:rsid w:val="00E707CA"/>
    <w:rsid w:val="00E71105"/>
    <w:rsid w:val="00E71206"/>
    <w:rsid w:val="00E71698"/>
    <w:rsid w:val="00E71921"/>
    <w:rsid w:val="00E71B46"/>
    <w:rsid w:val="00E73857"/>
    <w:rsid w:val="00E73B7B"/>
    <w:rsid w:val="00E73CD3"/>
    <w:rsid w:val="00E73ED8"/>
    <w:rsid w:val="00E744C4"/>
    <w:rsid w:val="00E745BA"/>
    <w:rsid w:val="00E746F7"/>
    <w:rsid w:val="00E74937"/>
    <w:rsid w:val="00E74A32"/>
    <w:rsid w:val="00E74F4E"/>
    <w:rsid w:val="00E754BB"/>
    <w:rsid w:val="00E75586"/>
    <w:rsid w:val="00E758CF"/>
    <w:rsid w:val="00E75933"/>
    <w:rsid w:val="00E7618A"/>
    <w:rsid w:val="00E768F8"/>
    <w:rsid w:val="00E76EC8"/>
    <w:rsid w:val="00E76FF1"/>
    <w:rsid w:val="00E77530"/>
    <w:rsid w:val="00E77881"/>
    <w:rsid w:val="00E77A08"/>
    <w:rsid w:val="00E806B7"/>
    <w:rsid w:val="00E80955"/>
    <w:rsid w:val="00E80BC6"/>
    <w:rsid w:val="00E810CD"/>
    <w:rsid w:val="00E81124"/>
    <w:rsid w:val="00E8116E"/>
    <w:rsid w:val="00E81DE9"/>
    <w:rsid w:val="00E82230"/>
    <w:rsid w:val="00E82794"/>
    <w:rsid w:val="00E8281C"/>
    <w:rsid w:val="00E828E1"/>
    <w:rsid w:val="00E82966"/>
    <w:rsid w:val="00E82B4A"/>
    <w:rsid w:val="00E83655"/>
    <w:rsid w:val="00E839BE"/>
    <w:rsid w:val="00E839CF"/>
    <w:rsid w:val="00E83E29"/>
    <w:rsid w:val="00E83EC5"/>
    <w:rsid w:val="00E83F8F"/>
    <w:rsid w:val="00E84DAA"/>
    <w:rsid w:val="00E84E4D"/>
    <w:rsid w:val="00E852DE"/>
    <w:rsid w:val="00E85AD9"/>
    <w:rsid w:val="00E85CA6"/>
    <w:rsid w:val="00E85E4C"/>
    <w:rsid w:val="00E865FD"/>
    <w:rsid w:val="00E868A9"/>
    <w:rsid w:val="00E90FEB"/>
    <w:rsid w:val="00E92083"/>
    <w:rsid w:val="00E9259F"/>
    <w:rsid w:val="00E92851"/>
    <w:rsid w:val="00E928E0"/>
    <w:rsid w:val="00E92B94"/>
    <w:rsid w:val="00E92F65"/>
    <w:rsid w:val="00E92F83"/>
    <w:rsid w:val="00E933BB"/>
    <w:rsid w:val="00E93AC3"/>
    <w:rsid w:val="00E941A9"/>
    <w:rsid w:val="00E94318"/>
    <w:rsid w:val="00E943A4"/>
    <w:rsid w:val="00E94C13"/>
    <w:rsid w:val="00E95A9B"/>
    <w:rsid w:val="00E95BF1"/>
    <w:rsid w:val="00E95DF4"/>
    <w:rsid w:val="00E96036"/>
    <w:rsid w:val="00E96546"/>
    <w:rsid w:val="00E96BF7"/>
    <w:rsid w:val="00E97F2A"/>
    <w:rsid w:val="00EA0120"/>
    <w:rsid w:val="00EA0820"/>
    <w:rsid w:val="00EA0AF1"/>
    <w:rsid w:val="00EA10AE"/>
    <w:rsid w:val="00EA112C"/>
    <w:rsid w:val="00EA1F86"/>
    <w:rsid w:val="00EA3059"/>
    <w:rsid w:val="00EA32B8"/>
    <w:rsid w:val="00EA32F6"/>
    <w:rsid w:val="00EA345E"/>
    <w:rsid w:val="00EA3BCE"/>
    <w:rsid w:val="00EA3D48"/>
    <w:rsid w:val="00EA44D9"/>
    <w:rsid w:val="00EA4832"/>
    <w:rsid w:val="00EA4901"/>
    <w:rsid w:val="00EA5023"/>
    <w:rsid w:val="00EA5995"/>
    <w:rsid w:val="00EA5E7A"/>
    <w:rsid w:val="00EA6EF2"/>
    <w:rsid w:val="00EA754C"/>
    <w:rsid w:val="00EA7709"/>
    <w:rsid w:val="00EA7824"/>
    <w:rsid w:val="00EA7D71"/>
    <w:rsid w:val="00EB06EA"/>
    <w:rsid w:val="00EB0A71"/>
    <w:rsid w:val="00EB1764"/>
    <w:rsid w:val="00EB1C07"/>
    <w:rsid w:val="00EB218B"/>
    <w:rsid w:val="00EB24C8"/>
    <w:rsid w:val="00EB26CB"/>
    <w:rsid w:val="00EB2C12"/>
    <w:rsid w:val="00EB2E74"/>
    <w:rsid w:val="00EB31C8"/>
    <w:rsid w:val="00EB33E1"/>
    <w:rsid w:val="00EB3754"/>
    <w:rsid w:val="00EB3C76"/>
    <w:rsid w:val="00EB45F1"/>
    <w:rsid w:val="00EB49B5"/>
    <w:rsid w:val="00EB5095"/>
    <w:rsid w:val="00EB55C8"/>
    <w:rsid w:val="00EB56CD"/>
    <w:rsid w:val="00EB59CB"/>
    <w:rsid w:val="00EB63FF"/>
    <w:rsid w:val="00EB6508"/>
    <w:rsid w:val="00EB6A6F"/>
    <w:rsid w:val="00EB6A76"/>
    <w:rsid w:val="00EB73EE"/>
    <w:rsid w:val="00EB7814"/>
    <w:rsid w:val="00EB7903"/>
    <w:rsid w:val="00EB7D64"/>
    <w:rsid w:val="00EB7D94"/>
    <w:rsid w:val="00EC0387"/>
    <w:rsid w:val="00EC0570"/>
    <w:rsid w:val="00EC0AF7"/>
    <w:rsid w:val="00EC0B15"/>
    <w:rsid w:val="00EC0CC3"/>
    <w:rsid w:val="00EC0E07"/>
    <w:rsid w:val="00EC11E1"/>
    <w:rsid w:val="00EC1680"/>
    <w:rsid w:val="00EC1817"/>
    <w:rsid w:val="00EC183E"/>
    <w:rsid w:val="00EC1BF9"/>
    <w:rsid w:val="00EC1EB2"/>
    <w:rsid w:val="00EC25CD"/>
    <w:rsid w:val="00EC266F"/>
    <w:rsid w:val="00EC2AB0"/>
    <w:rsid w:val="00EC2CB9"/>
    <w:rsid w:val="00EC3416"/>
    <w:rsid w:val="00EC36D6"/>
    <w:rsid w:val="00EC36EB"/>
    <w:rsid w:val="00EC3812"/>
    <w:rsid w:val="00EC3F83"/>
    <w:rsid w:val="00EC3FD7"/>
    <w:rsid w:val="00EC44DB"/>
    <w:rsid w:val="00EC475E"/>
    <w:rsid w:val="00EC4CDB"/>
    <w:rsid w:val="00EC4DB5"/>
    <w:rsid w:val="00EC5062"/>
    <w:rsid w:val="00EC51BC"/>
    <w:rsid w:val="00EC563F"/>
    <w:rsid w:val="00EC58FF"/>
    <w:rsid w:val="00EC5B13"/>
    <w:rsid w:val="00EC5CCD"/>
    <w:rsid w:val="00EC60B8"/>
    <w:rsid w:val="00EC6D51"/>
    <w:rsid w:val="00EC6E60"/>
    <w:rsid w:val="00EC7389"/>
    <w:rsid w:val="00EC771C"/>
    <w:rsid w:val="00EC78E6"/>
    <w:rsid w:val="00ED0092"/>
    <w:rsid w:val="00ED0405"/>
    <w:rsid w:val="00ED06B5"/>
    <w:rsid w:val="00ED0AE3"/>
    <w:rsid w:val="00ED0C67"/>
    <w:rsid w:val="00ED12FC"/>
    <w:rsid w:val="00ED1803"/>
    <w:rsid w:val="00ED1805"/>
    <w:rsid w:val="00ED187E"/>
    <w:rsid w:val="00ED1962"/>
    <w:rsid w:val="00ED2066"/>
    <w:rsid w:val="00ED2702"/>
    <w:rsid w:val="00ED2776"/>
    <w:rsid w:val="00ED3263"/>
    <w:rsid w:val="00ED3A31"/>
    <w:rsid w:val="00ED440D"/>
    <w:rsid w:val="00ED456E"/>
    <w:rsid w:val="00ED4B28"/>
    <w:rsid w:val="00ED5945"/>
    <w:rsid w:val="00ED5BC3"/>
    <w:rsid w:val="00ED5F17"/>
    <w:rsid w:val="00ED70C7"/>
    <w:rsid w:val="00ED76AC"/>
    <w:rsid w:val="00ED7F7E"/>
    <w:rsid w:val="00EE01DD"/>
    <w:rsid w:val="00EE17D3"/>
    <w:rsid w:val="00EE1A08"/>
    <w:rsid w:val="00EE1E2D"/>
    <w:rsid w:val="00EE1E35"/>
    <w:rsid w:val="00EE2459"/>
    <w:rsid w:val="00EE269F"/>
    <w:rsid w:val="00EE27D4"/>
    <w:rsid w:val="00EE2CD8"/>
    <w:rsid w:val="00EE2E9A"/>
    <w:rsid w:val="00EE2F6B"/>
    <w:rsid w:val="00EE2F7E"/>
    <w:rsid w:val="00EE3375"/>
    <w:rsid w:val="00EE3597"/>
    <w:rsid w:val="00EE3660"/>
    <w:rsid w:val="00EE3FDB"/>
    <w:rsid w:val="00EE477D"/>
    <w:rsid w:val="00EE4947"/>
    <w:rsid w:val="00EE4A4C"/>
    <w:rsid w:val="00EE5411"/>
    <w:rsid w:val="00EE55E7"/>
    <w:rsid w:val="00EE5628"/>
    <w:rsid w:val="00EE6BEE"/>
    <w:rsid w:val="00EE6BF1"/>
    <w:rsid w:val="00EE7D36"/>
    <w:rsid w:val="00EF093E"/>
    <w:rsid w:val="00EF0D80"/>
    <w:rsid w:val="00EF181E"/>
    <w:rsid w:val="00EF1A4B"/>
    <w:rsid w:val="00EF1CDF"/>
    <w:rsid w:val="00EF2192"/>
    <w:rsid w:val="00EF29B9"/>
    <w:rsid w:val="00EF2B2E"/>
    <w:rsid w:val="00EF33A8"/>
    <w:rsid w:val="00EF3814"/>
    <w:rsid w:val="00EF3C3B"/>
    <w:rsid w:val="00EF4444"/>
    <w:rsid w:val="00EF4F41"/>
    <w:rsid w:val="00EF533B"/>
    <w:rsid w:val="00EF54C0"/>
    <w:rsid w:val="00EF5B91"/>
    <w:rsid w:val="00EF5FF5"/>
    <w:rsid w:val="00EF61A0"/>
    <w:rsid w:val="00EF635B"/>
    <w:rsid w:val="00EF6DBB"/>
    <w:rsid w:val="00EF6F30"/>
    <w:rsid w:val="00EF70E6"/>
    <w:rsid w:val="00EF7470"/>
    <w:rsid w:val="00EF751B"/>
    <w:rsid w:val="00EF76D5"/>
    <w:rsid w:val="00EF7744"/>
    <w:rsid w:val="00EF7C05"/>
    <w:rsid w:val="00EF7CA4"/>
    <w:rsid w:val="00F002DA"/>
    <w:rsid w:val="00F00558"/>
    <w:rsid w:val="00F00B88"/>
    <w:rsid w:val="00F01335"/>
    <w:rsid w:val="00F014C2"/>
    <w:rsid w:val="00F01935"/>
    <w:rsid w:val="00F01A21"/>
    <w:rsid w:val="00F0255C"/>
    <w:rsid w:val="00F0295F"/>
    <w:rsid w:val="00F02C69"/>
    <w:rsid w:val="00F0305D"/>
    <w:rsid w:val="00F0314D"/>
    <w:rsid w:val="00F033E5"/>
    <w:rsid w:val="00F03561"/>
    <w:rsid w:val="00F0381A"/>
    <w:rsid w:val="00F03C56"/>
    <w:rsid w:val="00F04FBD"/>
    <w:rsid w:val="00F05266"/>
    <w:rsid w:val="00F05510"/>
    <w:rsid w:val="00F05D47"/>
    <w:rsid w:val="00F06F84"/>
    <w:rsid w:val="00F070E7"/>
    <w:rsid w:val="00F07933"/>
    <w:rsid w:val="00F0799D"/>
    <w:rsid w:val="00F10196"/>
    <w:rsid w:val="00F10312"/>
    <w:rsid w:val="00F10531"/>
    <w:rsid w:val="00F107A0"/>
    <w:rsid w:val="00F10829"/>
    <w:rsid w:val="00F11C66"/>
    <w:rsid w:val="00F11F70"/>
    <w:rsid w:val="00F122D7"/>
    <w:rsid w:val="00F12495"/>
    <w:rsid w:val="00F1267B"/>
    <w:rsid w:val="00F127A8"/>
    <w:rsid w:val="00F12DCD"/>
    <w:rsid w:val="00F12EE9"/>
    <w:rsid w:val="00F13A86"/>
    <w:rsid w:val="00F13C03"/>
    <w:rsid w:val="00F13C88"/>
    <w:rsid w:val="00F13DDA"/>
    <w:rsid w:val="00F13E3C"/>
    <w:rsid w:val="00F1406D"/>
    <w:rsid w:val="00F14172"/>
    <w:rsid w:val="00F1488E"/>
    <w:rsid w:val="00F14C6D"/>
    <w:rsid w:val="00F15146"/>
    <w:rsid w:val="00F1543F"/>
    <w:rsid w:val="00F15C30"/>
    <w:rsid w:val="00F168A9"/>
    <w:rsid w:val="00F16A91"/>
    <w:rsid w:val="00F17097"/>
    <w:rsid w:val="00F17208"/>
    <w:rsid w:val="00F1739E"/>
    <w:rsid w:val="00F17A77"/>
    <w:rsid w:val="00F20868"/>
    <w:rsid w:val="00F2158D"/>
    <w:rsid w:val="00F217E5"/>
    <w:rsid w:val="00F2190E"/>
    <w:rsid w:val="00F21C19"/>
    <w:rsid w:val="00F21E34"/>
    <w:rsid w:val="00F220A5"/>
    <w:rsid w:val="00F2236C"/>
    <w:rsid w:val="00F22CCF"/>
    <w:rsid w:val="00F23A13"/>
    <w:rsid w:val="00F24855"/>
    <w:rsid w:val="00F24B6C"/>
    <w:rsid w:val="00F24BF1"/>
    <w:rsid w:val="00F25014"/>
    <w:rsid w:val="00F25231"/>
    <w:rsid w:val="00F2562E"/>
    <w:rsid w:val="00F25BC1"/>
    <w:rsid w:val="00F25E18"/>
    <w:rsid w:val="00F25E7A"/>
    <w:rsid w:val="00F2608F"/>
    <w:rsid w:val="00F26185"/>
    <w:rsid w:val="00F2654F"/>
    <w:rsid w:val="00F2673E"/>
    <w:rsid w:val="00F273E9"/>
    <w:rsid w:val="00F27FAD"/>
    <w:rsid w:val="00F3078C"/>
    <w:rsid w:val="00F30988"/>
    <w:rsid w:val="00F30DCA"/>
    <w:rsid w:val="00F31652"/>
    <w:rsid w:val="00F31741"/>
    <w:rsid w:val="00F31A96"/>
    <w:rsid w:val="00F31C04"/>
    <w:rsid w:val="00F3221A"/>
    <w:rsid w:val="00F323A7"/>
    <w:rsid w:val="00F3260E"/>
    <w:rsid w:val="00F32BE6"/>
    <w:rsid w:val="00F3326C"/>
    <w:rsid w:val="00F33AF2"/>
    <w:rsid w:val="00F33BD1"/>
    <w:rsid w:val="00F33BDC"/>
    <w:rsid w:val="00F33C1F"/>
    <w:rsid w:val="00F34362"/>
    <w:rsid w:val="00F34BC9"/>
    <w:rsid w:val="00F34C0C"/>
    <w:rsid w:val="00F34EB1"/>
    <w:rsid w:val="00F352FF"/>
    <w:rsid w:val="00F35C94"/>
    <w:rsid w:val="00F363EC"/>
    <w:rsid w:val="00F3641B"/>
    <w:rsid w:val="00F36948"/>
    <w:rsid w:val="00F37077"/>
    <w:rsid w:val="00F371EF"/>
    <w:rsid w:val="00F3780E"/>
    <w:rsid w:val="00F40396"/>
    <w:rsid w:val="00F407D0"/>
    <w:rsid w:val="00F40BF3"/>
    <w:rsid w:val="00F4132E"/>
    <w:rsid w:val="00F426C9"/>
    <w:rsid w:val="00F429EE"/>
    <w:rsid w:val="00F42CEA"/>
    <w:rsid w:val="00F43AB9"/>
    <w:rsid w:val="00F43B96"/>
    <w:rsid w:val="00F4442A"/>
    <w:rsid w:val="00F44989"/>
    <w:rsid w:val="00F44FD7"/>
    <w:rsid w:val="00F45162"/>
    <w:rsid w:val="00F45F31"/>
    <w:rsid w:val="00F471C3"/>
    <w:rsid w:val="00F47670"/>
    <w:rsid w:val="00F47B3B"/>
    <w:rsid w:val="00F5007F"/>
    <w:rsid w:val="00F5020D"/>
    <w:rsid w:val="00F50331"/>
    <w:rsid w:val="00F50571"/>
    <w:rsid w:val="00F513AE"/>
    <w:rsid w:val="00F513D9"/>
    <w:rsid w:val="00F51F98"/>
    <w:rsid w:val="00F5207B"/>
    <w:rsid w:val="00F522D5"/>
    <w:rsid w:val="00F52828"/>
    <w:rsid w:val="00F52906"/>
    <w:rsid w:val="00F52C48"/>
    <w:rsid w:val="00F532B2"/>
    <w:rsid w:val="00F53D7F"/>
    <w:rsid w:val="00F54860"/>
    <w:rsid w:val="00F54867"/>
    <w:rsid w:val="00F54958"/>
    <w:rsid w:val="00F54C6F"/>
    <w:rsid w:val="00F56451"/>
    <w:rsid w:val="00F57752"/>
    <w:rsid w:val="00F57B5E"/>
    <w:rsid w:val="00F57CB7"/>
    <w:rsid w:val="00F60EA6"/>
    <w:rsid w:val="00F611DC"/>
    <w:rsid w:val="00F61320"/>
    <w:rsid w:val="00F6167A"/>
    <w:rsid w:val="00F6237A"/>
    <w:rsid w:val="00F6238E"/>
    <w:rsid w:val="00F635DC"/>
    <w:rsid w:val="00F639BE"/>
    <w:rsid w:val="00F63B35"/>
    <w:rsid w:val="00F63C6C"/>
    <w:rsid w:val="00F64997"/>
    <w:rsid w:val="00F650F8"/>
    <w:rsid w:val="00F6510C"/>
    <w:rsid w:val="00F6532C"/>
    <w:rsid w:val="00F65519"/>
    <w:rsid w:val="00F656A3"/>
    <w:rsid w:val="00F65716"/>
    <w:rsid w:val="00F65977"/>
    <w:rsid w:val="00F66109"/>
    <w:rsid w:val="00F6725D"/>
    <w:rsid w:val="00F67EA0"/>
    <w:rsid w:val="00F705BE"/>
    <w:rsid w:val="00F70D13"/>
    <w:rsid w:val="00F714ED"/>
    <w:rsid w:val="00F71B4E"/>
    <w:rsid w:val="00F71E49"/>
    <w:rsid w:val="00F72467"/>
    <w:rsid w:val="00F72560"/>
    <w:rsid w:val="00F72765"/>
    <w:rsid w:val="00F728C9"/>
    <w:rsid w:val="00F72C36"/>
    <w:rsid w:val="00F73182"/>
    <w:rsid w:val="00F73647"/>
    <w:rsid w:val="00F73AB8"/>
    <w:rsid w:val="00F7519D"/>
    <w:rsid w:val="00F758ED"/>
    <w:rsid w:val="00F75C2E"/>
    <w:rsid w:val="00F75C5F"/>
    <w:rsid w:val="00F75C73"/>
    <w:rsid w:val="00F76346"/>
    <w:rsid w:val="00F76917"/>
    <w:rsid w:val="00F76DB4"/>
    <w:rsid w:val="00F7789D"/>
    <w:rsid w:val="00F778B6"/>
    <w:rsid w:val="00F77DE0"/>
    <w:rsid w:val="00F803D5"/>
    <w:rsid w:val="00F8105B"/>
    <w:rsid w:val="00F81726"/>
    <w:rsid w:val="00F81B80"/>
    <w:rsid w:val="00F8208A"/>
    <w:rsid w:val="00F8302E"/>
    <w:rsid w:val="00F83690"/>
    <w:rsid w:val="00F8376F"/>
    <w:rsid w:val="00F83C5E"/>
    <w:rsid w:val="00F8410F"/>
    <w:rsid w:val="00F84550"/>
    <w:rsid w:val="00F849FC"/>
    <w:rsid w:val="00F84A4E"/>
    <w:rsid w:val="00F84B68"/>
    <w:rsid w:val="00F84C11"/>
    <w:rsid w:val="00F84D90"/>
    <w:rsid w:val="00F85004"/>
    <w:rsid w:val="00F85FE6"/>
    <w:rsid w:val="00F8627C"/>
    <w:rsid w:val="00F865C1"/>
    <w:rsid w:val="00F86653"/>
    <w:rsid w:val="00F869BB"/>
    <w:rsid w:val="00F86BC1"/>
    <w:rsid w:val="00F86C05"/>
    <w:rsid w:val="00F86D58"/>
    <w:rsid w:val="00F86DAB"/>
    <w:rsid w:val="00F871FE"/>
    <w:rsid w:val="00F87273"/>
    <w:rsid w:val="00F87983"/>
    <w:rsid w:val="00F87B52"/>
    <w:rsid w:val="00F912BB"/>
    <w:rsid w:val="00F91706"/>
    <w:rsid w:val="00F91A34"/>
    <w:rsid w:val="00F9230A"/>
    <w:rsid w:val="00F92632"/>
    <w:rsid w:val="00F926F2"/>
    <w:rsid w:val="00F92ADC"/>
    <w:rsid w:val="00F9308E"/>
    <w:rsid w:val="00F943F2"/>
    <w:rsid w:val="00F945D1"/>
    <w:rsid w:val="00F94C1E"/>
    <w:rsid w:val="00F955C0"/>
    <w:rsid w:val="00F95608"/>
    <w:rsid w:val="00F95754"/>
    <w:rsid w:val="00F9604B"/>
    <w:rsid w:val="00F96074"/>
    <w:rsid w:val="00F960EF"/>
    <w:rsid w:val="00F966FD"/>
    <w:rsid w:val="00F97398"/>
    <w:rsid w:val="00F97641"/>
    <w:rsid w:val="00F97932"/>
    <w:rsid w:val="00F97A31"/>
    <w:rsid w:val="00FA023A"/>
    <w:rsid w:val="00FA0643"/>
    <w:rsid w:val="00FA0723"/>
    <w:rsid w:val="00FA07C0"/>
    <w:rsid w:val="00FA0AF6"/>
    <w:rsid w:val="00FA163B"/>
    <w:rsid w:val="00FA22CD"/>
    <w:rsid w:val="00FA237C"/>
    <w:rsid w:val="00FA2797"/>
    <w:rsid w:val="00FA2D08"/>
    <w:rsid w:val="00FA2ED9"/>
    <w:rsid w:val="00FA2FCC"/>
    <w:rsid w:val="00FA3EDF"/>
    <w:rsid w:val="00FA3FC3"/>
    <w:rsid w:val="00FA4024"/>
    <w:rsid w:val="00FA45E0"/>
    <w:rsid w:val="00FA45EE"/>
    <w:rsid w:val="00FA4916"/>
    <w:rsid w:val="00FA4CBB"/>
    <w:rsid w:val="00FA4FB3"/>
    <w:rsid w:val="00FA524B"/>
    <w:rsid w:val="00FA53BE"/>
    <w:rsid w:val="00FA5987"/>
    <w:rsid w:val="00FA598F"/>
    <w:rsid w:val="00FA5A98"/>
    <w:rsid w:val="00FA5D73"/>
    <w:rsid w:val="00FA6FD7"/>
    <w:rsid w:val="00FA75BE"/>
    <w:rsid w:val="00FA7A8D"/>
    <w:rsid w:val="00FA7D48"/>
    <w:rsid w:val="00FA7E5C"/>
    <w:rsid w:val="00FB029B"/>
    <w:rsid w:val="00FB02B1"/>
    <w:rsid w:val="00FB067C"/>
    <w:rsid w:val="00FB06E7"/>
    <w:rsid w:val="00FB0E12"/>
    <w:rsid w:val="00FB0F82"/>
    <w:rsid w:val="00FB149B"/>
    <w:rsid w:val="00FB193D"/>
    <w:rsid w:val="00FB1FD6"/>
    <w:rsid w:val="00FB2AFE"/>
    <w:rsid w:val="00FB3422"/>
    <w:rsid w:val="00FB394F"/>
    <w:rsid w:val="00FB3B95"/>
    <w:rsid w:val="00FB4642"/>
    <w:rsid w:val="00FB4BA2"/>
    <w:rsid w:val="00FB4DC4"/>
    <w:rsid w:val="00FB4F65"/>
    <w:rsid w:val="00FB5265"/>
    <w:rsid w:val="00FB552F"/>
    <w:rsid w:val="00FB5C61"/>
    <w:rsid w:val="00FB5FF9"/>
    <w:rsid w:val="00FB6912"/>
    <w:rsid w:val="00FB734F"/>
    <w:rsid w:val="00FB7356"/>
    <w:rsid w:val="00FB7D78"/>
    <w:rsid w:val="00FB7E79"/>
    <w:rsid w:val="00FB7FA6"/>
    <w:rsid w:val="00FC0528"/>
    <w:rsid w:val="00FC0630"/>
    <w:rsid w:val="00FC0AAE"/>
    <w:rsid w:val="00FC0ABB"/>
    <w:rsid w:val="00FC0C62"/>
    <w:rsid w:val="00FC1845"/>
    <w:rsid w:val="00FC251D"/>
    <w:rsid w:val="00FC27B8"/>
    <w:rsid w:val="00FC28DA"/>
    <w:rsid w:val="00FC2BB9"/>
    <w:rsid w:val="00FC2F35"/>
    <w:rsid w:val="00FC2F42"/>
    <w:rsid w:val="00FC39C9"/>
    <w:rsid w:val="00FC450C"/>
    <w:rsid w:val="00FC461E"/>
    <w:rsid w:val="00FC5731"/>
    <w:rsid w:val="00FC5F68"/>
    <w:rsid w:val="00FC689E"/>
    <w:rsid w:val="00FC6CD4"/>
    <w:rsid w:val="00FC78BC"/>
    <w:rsid w:val="00FC7C35"/>
    <w:rsid w:val="00FD01B5"/>
    <w:rsid w:val="00FD03E5"/>
    <w:rsid w:val="00FD0603"/>
    <w:rsid w:val="00FD0679"/>
    <w:rsid w:val="00FD075B"/>
    <w:rsid w:val="00FD0975"/>
    <w:rsid w:val="00FD0DB6"/>
    <w:rsid w:val="00FD1364"/>
    <w:rsid w:val="00FD1836"/>
    <w:rsid w:val="00FD19F4"/>
    <w:rsid w:val="00FD1DDF"/>
    <w:rsid w:val="00FD1FC3"/>
    <w:rsid w:val="00FD2371"/>
    <w:rsid w:val="00FD2631"/>
    <w:rsid w:val="00FD307E"/>
    <w:rsid w:val="00FD35BB"/>
    <w:rsid w:val="00FD380A"/>
    <w:rsid w:val="00FD3828"/>
    <w:rsid w:val="00FD3843"/>
    <w:rsid w:val="00FD40C9"/>
    <w:rsid w:val="00FD44D5"/>
    <w:rsid w:val="00FD4A31"/>
    <w:rsid w:val="00FD4A7C"/>
    <w:rsid w:val="00FD4AD6"/>
    <w:rsid w:val="00FD52A3"/>
    <w:rsid w:val="00FD5869"/>
    <w:rsid w:val="00FD586D"/>
    <w:rsid w:val="00FD59C7"/>
    <w:rsid w:val="00FD5B16"/>
    <w:rsid w:val="00FD5BF0"/>
    <w:rsid w:val="00FD5E5B"/>
    <w:rsid w:val="00FD5FCA"/>
    <w:rsid w:val="00FD665C"/>
    <w:rsid w:val="00FD6D13"/>
    <w:rsid w:val="00FD707A"/>
    <w:rsid w:val="00FD74C7"/>
    <w:rsid w:val="00FD79CC"/>
    <w:rsid w:val="00FE0011"/>
    <w:rsid w:val="00FE0087"/>
    <w:rsid w:val="00FE0952"/>
    <w:rsid w:val="00FE0968"/>
    <w:rsid w:val="00FE0CCB"/>
    <w:rsid w:val="00FE1809"/>
    <w:rsid w:val="00FE1B32"/>
    <w:rsid w:val="00FE1B4C"/>
    <w:rsid w:val="00FE2425"/>
    <w:rsid w:val="00FE2F2A"/>
    <w:rsid w:val="00FE3657"/>
    <w:rsid w:val="00FE42DE"/>
    <w:rsid w:val="00FE4449"/>
    <w:rsid w:val="00FE4533"/>
    <w:rsid w:val="00FE510D"/>
    <w:rsid w:val="00FE52AF"/>
    <w:rsid w:val="00FE5681"/>
    <w:rsid w:val="00FE5684"/>
    <w:rsid w:val="00FE585A"/>
    <w:rsid w:val="00FE5937"/>
    <w:rsid w:val="00FE5DD8"/>
    <w:rsid w:val="00FE6D0A"/>
    <w:rsid w:val="00FE7069"/>
    <w:rsid w:val="00FE7280"/>
    <w:rsid w:val="00FE7D81"/>
    <w:rsid w:val="00FE7E6D"/>
    <w:rsid w:val="00FF01C6"/>
    <w:rsid w:val="00FF06DD"/>
    <w:rsid w:val="00FF0EA1"/>
    <w:rsid w:val="00FF162E"/>
    <w:rsid w:val="00FF1799"/>
    <w:rsid w:val="00FF1BC3"/>
    <w:rsid w:val="00FF1CEF"/>
    <w:rsid w:val="00FF2B4B"/>
    <w:rsid w:val="00FF3B34"/>
    <w:rsid w:val="00FF4FF2"/>
    <w:rsid w:val="00FF52C5"/>
    <w:rsid w:val="00FF53FE"/>
    <w:rsid w:val="00FF5795"/>
    <w:rsid w:val="00FF5C68"/>
    <w:rsid w:val="00FF618A"/>
    <w:rsid w:val="00FF61C9"/>
    <w:rsid w:val="00FF6263"/>
    <w:rsid w:val="00FF6347"/>
    <w:rsid w:val="00FF6622"/>
    <w:rsid w:val="00FF6E72"/>
    <w:rsid w:val="00FF70EE"/>
    <w:rsid w:val="00FF7BB9"/>
    <w:rsid w:val="00FF7BD0"/>
    <w:rsid w:val="00FF7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8B6666F1-010D-45F9-ADE7-4F74BA59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5C2ECF"/>
    <w:pPr>
      <w:numPr>
        <w:ilvl w:val="1"/>
      </w:numPr>
      <w:outlineLvl w:val="1"/>
    </w:pPr>
    <w:rPr>
      <w:bCs w:val="0"/>
      <w:sz w:val="28"/>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BE3278"/>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560285657">
      <w:bodyDiv w:val="1"/>
      <w:marLeft w:val="0"/>
      <w:marRight w:val="0"/>
      <w:marTop w:val="0"/>
      <w:marBottom w:val="0"/>
      <w:divBdr>
        <w:top w:val="none" w:sz="0" w:space="0" w:color="auto"/>
        <w:left w:val="none" w:sz="0" w:space="0" w:color="auto"/>
        <w:bottom w:val="none" w:sz="0" w:space="0" w:color="auto"/>
        <w:right w:val="none" w:sz="0" w:space="0" w:color="auto"/>
      </w:divBdr>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aph.gov.au/Parliamentary_Business/Committees/House_of_Representatives_Committees?url=laca/whistleblowing/report/fullreport.pdf" TargetMode="External"/><Relationship Id="rId3" Type="http://schemas.openxmlformats.org/officeDocument/2006/relationships/hyperlink" Target="https://www.ag.gov.au/crime/publications/terms-reference-review-secrecy-provisions" TargetMode="External"/><Relationship Id="rId7" Type="http://schemas.openxmlformats.org/officeDocument/2006/relationships/hyperlink" Target="https://webarchive.nla.gov.au/awa/20160615184146/https://www.dpmc.gov.au/government/legislation-review/statutory-review-public-interest-disclosure-act-2013" TargetMode="External"/><Relationship Id="rId2" Type="http://schemas.openxmlformats.org/officeDocument/2006/relationships/hyperlink" Target="https://ministers.ag.gov.au/media-centre/review-commonwealth-secrecy-offences-22-12-2022" TargetMode="External"/><Relationship Id="rId1" Type="http://schemas.openxmlformats.org/officeDocument/2006/relationships/hyperlink" Target="https://www.ag.gov.au/crime/publications/terms-reference-review-secrecy-provisions" TargetMode="External"/><Relationship Id="rId6" Type="http://schemas.openxmlformats.org/officeDocument/2006/relationships/hyperlink" Target="https://webarchive.nla.gov.au/awa/20160615184146/https://www.dpmc.gov.au/government/legislation-review/statutory-review-public-interest-disclosure-act-2013" TargetMode="External"/><Relationship Id="rId5" Type="http://schemas.openxmlformats.org/officeDocument/2006/relationships/hyperlink" Target="https://www.aph.gov.au/DocumentStore.ashx?id=0efb0f22-249e-44c2-9638-734eecdc8c0a&amp;subId=564119" TargetMode="External"/><Relationship Id="rId10" Type="http://schemas.openxmlformats.org/officeDocument/2006/relationships/hyperlink" Target="https://www.ombudsman.gov.au/Our-responsibilities/making-a-disclosure/information-for-disclosers" TargetMode="External"/><Relationship Id="rId4" Type="http://schemas.openxmlformats.org/officeDocument/2006/relationships/hyperlink" Target="https://www.protectivesecurity.gov.au/publications-library/policy-8-sensitive-and-classified-information" TargetMode="External"/><Relationship Id="rId9" Type="http://schemas.openxmlformats.org/officeDocument/2006/relationships/hyperlink" Target="https://www.aph.gov.au/DocumentStore.ashx?id=bc814359-4016-4bec-9aa0-d290e9bd4853&amp;subId=5122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HRC%20User\AppData\Local\Microsoft\Windows\INetCache\Content.Outlook\DJ1QHXV6\Data%20re%20timeliness%20of%20Cth%20Ombudsman%20Investigation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Timeliness of investigations</a:t>
            </a:r>
            <a:r>
              <a:rPr lang="en-AU" baseline="0"/>
              <a:t> since FY2017-2018</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Sheet1!$F$33</c:f>
              <c:strCache>
                <c:ptCount val="1"/>
                <c:pt idx="0">
                  <c:v>&lt; 90 days (%)</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cat>
            <c:strRef>
              <c:f>Sheet1!$G$32:$K$32</c:f>
              <c:strCache>
                <c:ptCount val="5"/>
                <c:pt idx="0">
                  <c:v>2017-18</c:v>
                </c:pt>
                <c:pt idx="1">
                  <c:v>2018-19</c:v>
                </c:pt>
                <c:pt idx="2">
                  <c:v>2019-20</c:v>
                </c:pt>
                <c:pt idx="3">
                  <c:v>2020-21</c:v>
                </c:pt>
                <c:pt idx="4">
                  <c:v>2021-22</c:v>
                </c:pt>
              </c:strCache>
            </c:strRef>
          </c:cat>
          <c:val>
            <c:numRef>
              <c:f>Sheet1!$G$33:$K$33</c:f>
              <c:numCache>
                <c:formatCode>General</c:formatCode>
                <c:ptCount val="5"/>
                <c:pt idx="0">
                  <c:v>66</c:v>
                </c:pt>
                <c:pt idx="1">
                  <c:v>65</c:v>
                </c:pt>
                <c:pt idx="2">
                  <c:v>61</c:v>
                </c:pt>
                <c:pt idx="3">
                  <c:v>55</c:v>
                </c:pt>
                <c:pt idx="4">
                  <c:v>50</c:v>
                </c:pt>
              </c:numCache>
            </c:numRef>
          </c:val>
          <c:smooth val="0"/>
          <c:extLst>
            <c:ext xmlns:c16="http://schemas.microsoft.com/office/drawing/2014/chart" uri="{C3380CC4-5D6E-409C-BE32-E72D297353CC}">
              <c16:uniqueId val="{00000000-5B7B-459F-8B22-ACB5162CEFFA}"/>
            </c:ext>
          </c:extLst>
        </c:ser>
        <c:ser>
          <c:idx val="1"/>
          <c:order val="1"/>
          <c:tx>
            <c:strRef>
              <c:f>Sheet1!$F$34</c:f>
              <c:strCache>
                <c:ptCount val="1"/>
                <c:pt idx="0">
                  <c:v>91 - 180 days (%)</c:v>
                </c:pt>
              </c:strCache>
            </c:strRef>
          </c:tx>
          <c:spPr>
            <a:ln w="12700" cap="rnd">
              <a:solidFill>
                <a:schemeClr val="accent2"/>
              </a:solidFill>
              <a:round/>
            </a:ln>
            <a:effectLst/>
          </c:spPr>
          <c:marker>
            <c:symbol val="circle"/>
            <c:size val="5"/>
            <c:spPr>
              <a:solidFill>
                <a:schemeClr val="accent2"/>
              </a:solidFill>
              <a:ln w="9525">
                <a:solidFill>
                  <a:schemeClr val="accent2"/>
                </a:solidFill>
              </a:ln>
              <a:effectLst/>
            </c:spPr>
          </c:marker>
          <c:cat>
            <c:strRef>
              <c:f>Sheet1!$G$32:$K$32</c:f>
              <c:strCache>
                <c:ptCount val="5"/>
                <c:pt idx="0">
                  <c:v>2017-18</c:v>
                </c:pt>
                <c:pt idx="1">
                  <c:v>2018-19</c:v>
                </c:pt>
                <c:pt idx="2">
                  <c:v>2019-20</c:v>
                </c:pt>
                <c:pt idx="3">
                  <c:v>2020-21</c:v>
                </c:pt>
                <c:pt idx="4">
                  <c:v>2021-22</c:v>
                </c:pt>
              </c:strCache>
            </c:strRef>
          </c:cat>
          <c:val>
            <c:numRef>
              <c:f>Sheet1!$G$34:$K$34</c:f>
              <c:numCache>
                <c:formatCode>General</c:formatCode>
                <c:ptCount val="5"/>
                <c:pt idx="0">
                  <c:v>24</c:v>
                </c:pt>
                <c:pt idx="1">
                  <c:v>21</c:v>
                </c:pt>
                <c:pt idx="2">
                  <c:v>25</c:v>
                </c:pt>
                <c:pt idx="3">
                  <c:v>26</c:v>
                </c:pt>
                <c:pt idx="4">
                  <c:v>27</c:v>
                </c:pt>
              </c:numCache>
            </c:numRef>
          </c:val>
          <c:smooth val="0"/>
          <c:extLst>
            <c:ext xmlns:c16="http://schemas.microsoft.com/office/drawing/2014/chart" uri="{C3380CC4-5D6E-409C-BE32-E72D297353CC}">
              <c16:uniqueId val="{00000001-5B7B-459F-8B22-ACB5162CEFFA}"/>
            </c:ext>
          </c:extLst>
        </c:ser>
        <c:ser>
          <c:idx val="2"/>
          <c:order val="2"/>
          <c:tx>
            <c:strRef>
              <c:f>Sheet1!$F$35</c:f>
              <c:strCache>
                <c:ptCount val="1"/>
                <c:pt idx="0">
                  <c:v>&gt; 180 days (%)</c:v>
                </c:pt>
              </c:strCache>
            </c:strRef>
          </c:tx>
          <c:spPr>
            <a:ln w="12700" cap="rnd">
              <a:solidFill>
                <a:schemeClr val="accent3"/>
              </a:solidFill>
              <a:round/>
            </a:ln>
            <a:effectLst/>
          </c:spPr>
          <c:marker>
            <c:symbol val="circle"/>
            <c:size val="5"/>
            <c:spPr>
              <a:solidFill>
                <a:schemeClr val="accent3"/>
              </a:solidFill>
              <a:ln w="9525">
                <a:solidFill>
                  <a:schemeClr val="accent3"/>
                </a:solidFill>
              </a:ln>
              <a:effectLst/>
            </c:spPr>
          </c:marker>
          <c:cat>
            <c:strRef>
              <c:f>Sheet1!$G$32:$K$32</c:f>
              <c:strCache>
                <c:ptCount val="5"/>
                <c:pt idx="0">
                  <c:v>2017-18</c:v>
                </c:pt>
                <c:pt idx="1">
                  <c:v>2018-19</c:v>
                </c:pt>
                <c:pt idx="2">
                  <c:v>2019-20</c:v>
                </c:pt>
                <c:pt idx="3">
                  <c:v>2020-21</c:v>
                </c:pt>
                <c:pt idx="4">
                  <c:v>2021-22</c:v>
                </c:pt>
              </c:strCache>
            </c:strRef>
          </c:cat>
          <c:val>
            <c:numRef>
              <c:f>Sheet1!$G$35:$K$35</c:f>
              <c:numCache>
                <c:formatCode>General</c:formatCode>
                <c:ptCount val="5"/>
                <c:pt idx="0">
                  <c:v>10</c:v>
                </c:pt>
                <c:pt idx="1">
                  <c:v>14</c:v>
                </c:pt>
                <c:pt idx="2">
                  <c:v>14</c:v>
                </c:pt>
                <c:pt idx="3">
                  <c:v>19</c:v>
                </c:pt>
                <c:pt idx="4">
                  <c:v>23</c:v>
                </c:pt>
              </c:numCache>
            </c:numRef>
          </c:val>
          <c:smooth val="0"/>
          <c:extLst>
            <c:ext xmlns:c16="http://schemas.microsoft.com/office/drawing/2014/chart" uri="{C3380CC4-5D6E-409C-BE32-E72D297353CC}">
              <c16:uniqueId val="{00000002-5B7B-459F-8B22-ACB5162CEFFA}"/>
            </c:ext>
          </c:extLst>
        </c:ser>
        <c:dLbls>
          <c:showLegendKey val="0"/>
          <c:showVal val="0"/>
          <c:showCatName val="0"/>
          <c:showSerName val="0"/>
          <c:showPercent val="0"/>
          <c:showBubbleSize val="0"/>
        </c:dLbls>
        <c:marker val="1"/>
        <c:smooth val="0"/>
        <c:axId val="97154271"/>
        <c:axId val="97151359"/>
      </c:lineChart>
      <c:catAx>
        <c:axId val="9715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97151359"/>
        <c:crosses val="autoZero"/>
        <c:auto val="1"/>
        <c:lblAlgn val="ctr"/>
        <c:lblOffset val="100"/>
        <c:noMultiLvlLbl val="0"/>
      </c:catAx>
      <c:valAx>
        <c:axId val="9715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97154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3" ma:contentTypeDescription="Create a new document." ma:contentTypeScope="" ma:versionID="fffc2f7cdcae2c6c73dae3c38c3f5a52">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fb90f7555212531d8a8d3ef0b61deffa"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Submission</Divider>
    <TaxCatchAll xmlns="6500fe01-343b-4fb9-a1b0-68ac19d62e01" xsi:nil="true"/>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Subdivider>
    <_dlc_DocId xmlns="6500fe01-343b-4fb9-a1b0-68ac19d62e01">DGE6U7RJ2EFV-31920988-9085</_dlc_DocId>
    <_dlc_DocIdUrl xmlns="6500fe01-343b-4fb9-a1b0-68ac19d62e01">
      <Url>https://australianhrc.sharepoint.com/sites/LegalServicesWorkspace/_layouts/15/DocIdRedir.aspx?ID=DGE6U7RJ2EFV-31920988-9085</Url>
      <Description>DGE6U7RJ2EFV-31920988-9085</Description>
    </_dlc_DocIdUrl>
  </documentManagement>
</p:properties>
</file>

<file path=customXml/itemProps1.xml><?xml version="1.0" encoding="utf-8"?>
<ds:datastoreItem xmlns:ds="http://schemas.openxmlformats.org/officeDocument/2006/customXml" ds:itemID="{43F9C6BB-992F-4927-85E1-ECAC5B229DBB}">
  <ds:schemaRefs>
    <ds:schemaRef ds:uri="Microsoft.SharePoint.Taxonomy.ContentTypeSync"/>
  </ds:schemaRefs>
</ds:datastoreItem>
</file>

<file path=customXml/itemProps2.xml><?xml version="1.0" encoding="utf-8"?>
<ds:datastoreItem xmlns:ds="http://schemas.openxmlformats.org/officeDocument/2006/customXml" ds:itemID="{17FE400F-9C67-448D-AC81-C580DF520671}">
  <ds:schemaRefs>
    <ds:schemaRef ds:uri="http://schemas.microsoft.com/sharepoint/events"/>
  </ds:schemaRefs>
</ds:datastoreItem>
</file>

<file path=customXml/itemProps3.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4.xml><?xml version="1.0" encoding="utf-8"?>
<ds:datastoreItem xmlns:ds="http://schemas.openxmlformats.org/officeDocument/2006/customXml" ds:itemID="{57B75889-2323-46B0-98FD-52535A48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6.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7.xml><?xml version="1.0" encoding="utf-8"?>
<ds:datastoreItem xmlns:ds="http://schemas.openxmlformats.org/officeDocument/2006/customXml" ds:itemID="{BD60ED25-C488-4C65-A70C-3622D49124C6}">
  <ds:schemaRefs>
    <ds:schemaRef ds:uri="http://schemas.microsoft.com/office/2006/metadata/properties"/>
    <ds:schemaRef ds:uri="http://schemas.microsoft.com/office/infopath/2007/PartnerControls"/>
    <ds:schemaRef ds:uri="57f1fb52-79b9-4278-9d54-1e5db41bfcda"/>
    <ds:schemaRef ds:uri="1a69bdef-c635-48ac-9cf9-b687dab64bb7"/>
    <ds:schemaRef ds:uri="6500fe01-343b-4fb9-a1b0-68ac19d62e01"/>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41</Pages>
  <Words>11852</Words>
  <Characters>63529</Characters>
  <Application>Microsoft Office Word</Application>
  <DocSecurity>0</DocSecurity>
  <Lines>1296</Lines>
  <Paragraphs>357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75024</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Graeme Edgerton</cp:lastModifiedBy>
  <cp:revision>167</cp:revision>
  <cp:lastPrinted>2023-01-20T03:08:00Z</cp:lastPrinted>
  <dcterms:created xsi:type="dcterms:W3CDTF">2023-01-18T22:29:00Z</dcterms:created>
  <dcterms:modified xsi:type="dcterms:W3CDTF">2023-01-20T03:25:00Z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
  </property>
  <property fmtid="{D5CDD505-2E9C-101B-9397-08002B2CF9AE}" pid="5" name="_dlc_DocIdItemGuid">
    <vt:lpwstr>cdf50986-4cd3-49d7-92bf-299706fc5f44</vt:lpwstr>
  </property>
</Properties>
</file>