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63D3" w14:textId="5ACB9EB6" w:rsidR="00A355F9" w:rsidRDefault="576E0923" w:rsidP="007914A1">
      <w:pPr>
        <w:pStyle w:val="MainTitle"/>
      </w:pPr>
      <w:r>
        <w:t>Submission to the Royal Commission into Violence, Abuse, Neglect and Exploitation of People with</w:t>
      </w:r>
      <w:r w:rsidR="20DF8C8D">
        <w:t xml:space="preserve"> </w:t>
      </w:r>
      <w:r w:rsidR="007914A1">
        <w:t xml:space="preserve">Disability </w:t>
      </w:r>
    </w:p>
    <w:p w14:paraId="4EE874BC" w14:textId="49314366" w:rsidR="00AC636D" w:rsidRDefault="008215A9" w:rsidP="008A7305">
      <w:pPr>
        <w:jc w:val="right"/>
      </w:pPr>
      <w:r w:rsidRPr="008F40DD">
        <w:rPr>
          <w:color w:val="237BBC"/>
          <w:sz w:val="28"/>
        </w:rPr>
        <w:fldChar w:fldCharType="begin"/>
      </w:r>
      <w:r w:rsidRPr="008215A9">
        <w:rPr>
          <w:rFonts w:cs="Arial"/>
          <w:color w:val="237BBC"/>
          <w:sz w:val="28"/>
        </w:rPr>
        <w:instrText xml:space="preserve"> CREATEDATE  \@ "MMMM yyyy"  \* MERGEFORMAT </w:instrText>
      </w:r>
      <w:r w:rsidRPr="008F40DD">
        <w:rPr>
          <w:color w:val="237BBC"/>
          <w:sz w:val="28"/>
        </w:rPr>
        <w:fldChar w:fldCharType="separate"/>
      </w:r>
      <w:r w:rsidRPr="008215A9">
        <w:rPr>
          <w:rFonts w:cs="Arial"/>
          <w:noProof/>
          <w:color w:val="237BBC"/>
          <w:sz w:val="28"/>
        </w:rPr>
        <w:t>December</w:t>
      </w:r>
      <w:r w:rsidRPr="008F40DD">
        <w:rPr>
          <w:color w:val="237BBC"/>
          <w:sz w:val="28"/>
        </w:rPr>
        <w:t xml:space="preserve"> 2022</w:t>
      </w:r>
      <w:r w:rsidRPr="008F40DD">
        <w:rPr>
          <w:color w:val="237BBC"/>
          <w:sz w:val="28"/>
        </w:rPr>
        <w:fldChar w:fldCharType="end"/>
      </w:r>
    </w:p>
    <w:p w14:paraId="46D33D64" w14:textId="28641643" w:rsidR="009E4BD0" w:rsidRPr="00AC636D" w:rsidRDefault="00961135" w:rsidP="00961135">
      <w:pPr>
        <w:jc w:val="right"/>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r>
        <w:tab/>
      </w:r>
      <w:r w:rsidRPr="00E60C48">
        <w:rPr>
          <w:rFonts w:cs="Open Sans"/>
          <w:color w:val="0070C0"/>
        </w:rPr>
        <w:t xml:space="preserve"> </w:t>
      </w:r>
    </w:p>
    <w:p w14:paraId="3919225D" w14:textId="77777777" w:rsidR="00357754" w:rsidRDefault="000B5B68">
      <w:pPr>
        <w:pStyle w:val="TOC1"/>
      </w:pPr>
      <w:bookmarkStart w:id="0" w:name="_Toc209316062"/>
      <w:bookmarkEnd w:id="0"/>
      <w:r>
        <w:lastRenderedPageBreak/>
        <w:t>Contents</w:t>
      </w:r>
    </w:p>
    <w:p w14:paraId="74B2BEAB" w14:textId="7366095F" w:rsidR="00D0528E" w:rsidRDefault="000B5B68">
      <w:pPr>
        <w:pStyle w:val="TOC1"/>
        <w:rPr>
          <w:rFonts w:asciiTheme="minorHAnsi" w:eastAsiaTheme="minorEastAsia" w:hAnsiTheme="minorHAnsi" w:cstheme="minorBidi"/>
          <w:b w:val="0"/>
          <w:sz w:val="22"/>
          <w:szCs w:val="22"/>
        </w:rPr>
      </w:pPr>
      <w:r w:rsidRPr="000465F1">
        <w:fldChar w:fldCharType="begin"/>
      </w:r>
      <w:r>
        <w:instrText xml:space="preserve"> TOC \o "1-3" \h \z \u </w:instrText>
      </w:r>
      <w:r w:rsidRPr="000465F1">
        <w:fldChar w:fldCharType="separate"/>
      </w:r>
      <w:hyperlink w:anchor="_Toc122679364" w:history="1">
        <w:r w:rsidR="00D0528E" w:rsidRPr="009A4D20">
          <w:rPr>
            <w:rStyle w:val="Hyperlink"/>
          </w:rPr>
          <w:t>1</w:t>
        </w:r>
        <w:r w:rsidR="00D0528E">
          <w:rPr>
            <w:rFonts w:asciiTheme="minorHAnsi" w:eastAsiaTheme="minorEastAsia" w:hAnsiTheme="minorHAnsi" w:cstheme="minorBidi"/>
            <w:b w:val="0"/>
            <w:sz w:val="22"/>
            <w:szCs w:val="22"/>
          </w:rPr>
          <w:tab/>
        </w:r>
        <w:r w:rsidR="00D0528E" w:rsidRPr="009A4D20">
          <w:rPr>
            <w:rStyle w:val="Hyperlink"/>
          </w:rPr>
          <w:t>Introduction</w:t>
        </w:r>
        <w:r w:rsidR="00D0528E">
          <w:rPr>
            <w:webHidden/>
          </w:rPr>
          <w:tab/>
        </w:r>
        <w:r w:rsidR="00D0528E">
          <w:rPr>
            <w:webHidden/>
          </w:rPr>
          <w:fldChar w:fldCharType="begin"/>
        </w:r>
        <w:r w:rsidR="00D0528E">
          <w:rPr>
            <w:webHidden/>
          </w:rPr>
          <w:instrText xml:space="preserve"> PAGEREF _Toc122679364 \h </w:instrText>
        </w:r>
        <w:r w:rsidR="00D0528E">
          <w:rPr>
            <w:webHidden/>
          </w:rPr>
        </w:r>
        <w:r w:rsidR="00D0528E">
          <w:rPr>
            <w:webHidden/>
          </w:rPr>
          <w:fldChar w:fldCharType="separate"/>
        </w:r>
        <w:r w:rsidR="00950D7E">
          <w:rPr>
            <w:webHidden/>
          </w:rPr>
          <w:t>3</w:t>
        </w:r>
        <w:r w:rsidR="00D0528E">
          <w:rPr>
            <w:webHidden/>
          </w:rPr>
          <w:fldChar w:fldCharType="end"/>
        </w:r>
      </w:hyperlink>
    </w:p>
    <w:p w14:paraId="08498F66" w14:textId="2B6AB603" w:rsidR="00D0528E" w:rsidRDefault="0066026E">
      <w:pPr>
        <w:pStyle w:val="TOC2"/>
        <w:rPr>
          <w:rFonts w:asciiTheme="minorHAnsi" w:eastAsiaTheme="minorEastAsia" w:hAnsiTheme="minorHAnsi" w:cstheme="minorBidi"/>
          <w:b w:val="0"/>
          <w:i w:val="0"/>
          <w:sz w:val="22"/>
          <w:szCs w:val="22"/>
        </w:rPr>
      </w:pPr>
      <w:hyperlink w:anchor="_Toc122679365" w:history="1">
        <w:r w:rsidR="00D0528E" w:rsidRPr="009A4D20">
          <w:rPr>
            <w:rStyle w:val="Hyperlink"/>
          </w:rPr>
          <w:t>1.1</w:t>
        </w:r>
        <w:r w:rsidR="00D0528E">
          <w:rPr>
            <w:rFonts w:asciiTheme="minorHAnsi" w:eastAsiaTheme="minorEastAsia" w:hAnsiTheme="minorHAnsi" w:cstheme="minorBidi"/>
            <w:b w:val="0"/>
            <w:i w:val="0"/>
            <w:sz w:val="22"/>
            <w:szCs w:val="22"/>
          </w:rPr>
          <w:tab/>
        </w:r>
        <w:r w:rsidR="00D0528E" w:rsidRPr="009A4D20">
          <w:rPr>
            <w:rStyle w:val="Hyperlink"/>
          </w:rPr>
          <w:t>Engagement with the Royal Commission to date</w:t>
        </w:r>
        <w:r w:rsidR="00D0528E">
          <w:rPr>
            <w:webHidden/>
          </w:rPr>
          <w:tab/>
        </w:r>
        <w:r w:rsidR="00D0528E">
          <w:rPr>
            <w:webHidden/>
          </w:rPr>
          <w:fldChar w:fldCharType="begin"/>
        </w:r>
        <w:r w:rsidR="00D0528E">
          <w:rPr>
            <w:webHidden/>
          </w:rPr>
          <w:instrText xml:space="preserve"> PAGEREF _Toc122679365 \h </w:instrText>
        </w:r>
        <w:r w:rsidR="00D0528E">
          <w:rPr>
            <w:webHidden/>
          </w:rPr>
        </w:r>
        <w:r w:rsidR="00D0528E">
          <w:rPr>
            <w:webHidden/>
          </w:rPr>
          <w:fldChar w:fldCharType="separate"/>
        </w:r>
        <w:r w:rsidR="00950D7E">
          <w:rPr>
            <w:webHidden/>
          </w:rPr>
          <w:t>4</w:t>
        </w:r>
        <w:r w:rsidR="00D0528E">
          <w:rPr>
            <w:webHidden/>
          </w:rPr>
          <w:fldChar w:fldCharType="end"/>
        </w:r>
      </w:hyperlink>
    </w:p>
    <w:p w14:paraId="090EF77A" w14:textId="0EB69DB1" w:rsidR="00D0528E" w:rsidRDefault="0066026E">
      <w:pPr>
        <w:pStyle w:val="TOC2"/>
        <w:rPr>
          <w:rFonts w:asciiTheme="minorHAnsi" w:eastAsiaTheme="minorEastAsia" w:hAnsiTheme="minorHAnsi" w:cstheme="minorBidi"/>
          <w:b w:val="0"/>
          <w:i w:val="0"/>
          <w:sz w:val="22"/>
          <w:szCs w:val="22"/>
        </w:rPr>
      </w:pPr>
      <w:hyperlink w:anchor="_Toc122679366" w:history="1">
        <w:r w:rsidR="00D0528E" w:rsidRPr="009A4D20">
          <w:rPr>
            <w:rStyle w:val="Hyperlink"/>
          </w:rPr>
          <w:t>1.2</w:t>
        </w:r>
        <w:r w:rsidR="00D0528E">
          <w:rPr>
            <w:rFonts w:asciiTheme="minorHAnsi" w:eastAsiaTheme="minorEastAsia" w:hAnsiTheme="minorHAnsi" w:cstheme="minorBidi"/>
            <w:b w:val="0"/>
            <w:i w:val="0"/>
            <w:sz w:val="22"/>
            <w:szCs w:val="22"/>
          </w:rPr>
          <w:tab/>
        </w:r>
        <w:r w:rsidR="00D0528E" w:rsidRPr="009A4D20">
          <w:rPr>
            <w:rStyle w:val="Hyperlink"/>
          </w:rPr>
          <w:t>Need for additional time and clarity as to approach of Royal Commission</w:t>
        </w:r>
        <w:r w:rsidR="00D0528E">
          <w:rPr>
            <w:webHidden/>
          </w:rPr>
          <w:tab/>
        </w:r>
        <w:r w:rsidR="00D0528E">
          <w:rPr>
            <w:webHidden/>
          </w:rPr>
          <w:fldChar w:fldCharType="begin"/>
        </w:r>
        <w:r w:rsidR="00D0528E">
          <w:rPr>
            <w:webHidden/>
          </w:rPr>
          <w:instrText xml:space="preserve"> PAGEREF _Toc122679366 \h </w:instrText>
        </w:r>
        <w:r w:rsidR="00D0528E">
          <w:rPr>
            <w:webHidden/>
          </w:rPr>
        </w:r>
        <w:r w:rsidR="00D0528E">
          <w:rPr>
            <w:webHidden/>
          </w:rPr>
          <w:fldChar w:fldCharType="separate"/>
        </w:r>
        <w:r w:rsidR="00950D7E">
          <w:rPr>
            <w:webHidden/>
          </w:rPr>
          <w:t>4</w:t>
        </w:r>
        <w:r w:rsidR="00D0528E">
          <w:rPr>
            <w:webHidden/>
          </w:rPr>
          <w:fldChar w:fldCharType="end"/>
        </w:r>
      </w:hyperlink>
    </w:p>
    <w:p w14:paraId="1E38B85F" w14:textId="4E4FD0C6" w:rsidR="00D0528E" w:rsidRDefault="0066026E">
      <w:pPr>
        <w:pStyle w:val="TOC2"/>
        <w:rPr>
          <w:rFonts w:asciiTheme="minorHAnsi" w:eastAsiaTheme="minorEastAsia" w:hAnsiTheme="minorHAnsi" w:cstheme="minorBidi"/>
          <w:b w:val="0"/>
          <w:i w:val="0"/>
          <w:sz w:val="22"/>
          <w:szCs w:val="22"/>
        </w:rPr>
      </w:pPr>
      <w:hyperlink w:anchor="_Toc122679367" w:history="1">
        <w:r w:rsidR="00D0528E" w:rsidRPr="009A4D20">
          <w:rPr>
            <w:rStyle w:val="Hyperlink"/>
          </w:rPr>
          <w:t>1.3</w:t>
        </w:r>
        <w:r w:rsidR="00D0528E">
          <w:rPr>
            <w:rFonts w:asciiTheme="minorHAnsi" w:eastAsiaTheme="minorEastAsia" w:hAnsiTheme="minorHAnsi" w:cstheme="minorBidi"/>
            <w:b w:val="0"/>
            <w:i w:val="0"/>
            <w:sz w:val="22"/>
            <w:szCs w:val="22"/>
          </w:rPr>
          <w:tab/>
        </w:r>
        <w:r w:rsidR="00D0528E" w:rsidRPr="009A4D20">
          <w:rPr>
            <w:rStyle w:val="Hyperlink"/>
          </w:rPr>
          <w:t>Summary of recommendations</w:t>
        </w:r>
        <w:r w:rsidR="00D0528E">
          <w:rPr>
            <w:webHidden/>
          </w:rPr>
          <w:tab/>
        </w:r>
        <w:r w:rsidR="00D0528E">
          <w:rPr>
            <w:webHidden/>
          </w:rPr>
          <w:fldChar w:fldCharType="begin"/>
        </w:r>
        <w:r w:rsidR="00D0528E">
          <w:rPr>
            <w:webHidden/>
          </w:rPr>
          <w:instrText xml:space="preserve"> PAGEREF _Toc122679367 \h </w:instrText>
        </w:r>
        <w:r w:rsidR="00D0528E">
          <w:rPr>
            <w:webHidden/>
          </w:rPr>
        </w:r>
        <w:r w:rsidR="00D0528E">
          <w:rPr>
            <w:webHidden/>
          </w:rPr>
          <w:fldChar w:fldCharType="separate"/>
        </w:r>
        <w:r w:rsidR="00950D7E">
          <w:rPr>
            <w:webHidden/>
          </w:rPr>
          <w:t>6</w:t>
        </w:r>
        <w:r w:rsidR="00D0528E">
          <w:rPr>
            <w:webHidden/>
          </w:rPr>
          <w:fldChar w:fldCharType="end"/>
        </w:r>
      </w:hyperlink>
    </w:p>
    <w:p w14:paraId="0105DF12" w14:textId="62C2F62B" w:rsidR="00D0528E" w:rsidRDefault="0066026E">
      <w:pPr>
        <w:pStyle w:val="TOC1"/>
        <w:rPr>
          <w:rFonts w:asciiTheme="minorHAnsi" w:eastAsiaTheme="minorEastAsia" w:hAnsiTheme="minorHAnsi" w:cstheme="minorBidi"/>
          <w:b w:val="0"/>
          <w:sz w:val="22"/>
          <w:szCs w:val="22"/>
        </w:rPr>
      </w:pPr>
      <w:hyperlink w:anchor="_Toc122679368" w:history="1">
        <w:r w:rsidR="00D0528E" w:rsidRPr="009A4D20">
          <w:rPr>
            <w:rStyle w:val="Hyperlink"/>
          </w:rPr>
          <w:t>2</w:t>
        </w:r>
        <w:r w:rsidR="00D0528E">
          <w:rPr>
            <w:rFonts w:asciiTheme="minorHAnsi" w:eastAsiaTheme="minorEastAsia" w:hAnsiTheme="minorHAnsi" w:cstheme="minorBidi"/>
            <w:b w:val="0"/>
            <w:sz w:val="22"/>
            <w:szCs w:val="22"/>
          </w:rPr>
          <w:tab/>
        </w:r>
        <w:r w:rsidR="00D0528E" w:rsidRPr="009A4D20">
          <w:rPr>
            <w:rStyle w:val="Hyperlink"/>
          </w:rPr>
          <w:t>The role of the CRPD in Australia</w:t>
        </w:r>
        <w:r w:rsidR="00D0528E">
          <w:rPr>
            <w:webHidden/>
          </w:rPr>
          <w:tab/>
        </w:r>
        <w:r w:rsidR="00D0528E">
          <w:rPr>
            <w:webHidden/>
          </w:rPr>
          <w:fldChar w:fldCharType="begin"/>
        </w:r>
        <w:r w:rsidR="00D0528E">
          <w:rPr>
            <w:webHidden/>
          </w:rPr>
          <w:instrText xml:space="preserve"> PAGEREF _Toc122679368 \h </w:instrText>
        </w:r>
        <w:r w:rsidR="00D0528E">
          <w:rPr>
            <w:webHidden/>
          </w:rPr>
        </w:r>
        <w:r w:rsidR="00D0528E">
          <w:rPr>
            <w:webHidden/>
          </w:rPr>
          <w:fldChar w:fldCharType="separate"/>
        </w:r>
        <w:r w:rsidR="00950D7E">
          <w:rPr>
            <w:webHidden/>
          </w:rPr>
          <w:t>11</w:t>
        </w:r>
        <w:r w:rsidR="00D0528E">
          <w:rPr>
            <w:webHidden/>
          </w:rPr>
          <w:fldChar w:fldCharType="end"/>
        </w:r>
      </w:hyperlink>
    </w:p>
    <w:p w14:paraId="594B5EC0" w14:textId="548093B1" w:rsidR="00D0528E" w:rsidRDefault="0066026E">
      <w:pPr>
        <w:pStyle w:val="TOC2"/>
        <w:rPr>
          <w:rFonts w:asciiTheme="minorHAnsi" w:eastAsiaTheme="minorEastAsia" w:hAnsiTheme="minorHAnsi" w:cstheme="minorBidi"/>
          <w:b w:val="0"/>
          <w:i w:val="0"/>
          <w:sz w:val="22"/>
          <w:szCs w:val="22"/>
        </w:rPr>
      </w:pPr>
      <w:hyperlink w:anchor="_Toc122679369" w:history="1">
        <w:r w:rsidR="00D0528E" w:rsidRPr="009A4D20">
          <w:rPr>
            <w:rStyle w:val="Hyperlink"/>
          </w:rPr>
          <w:t>2.1</w:t>
        </w:r>
        <w:r w:rsidR="00D0528E">
          <w:rPr>
            <w:rFonts w:asciiTheme="minorHAnsi" w:eastAsiaTheme="minorEastAsia" w:hAnsiTheme="minorHAnsi" w:cstheme="minorBidi"/>
            <w:b w:val="0"/>
            <w:i w:val="0"/>
            <w:sz w:val="22"/>
            <w:szCs w:val="22"/>
          </w:rPr>
          <w:tab/>
        </w:r>
        <w:r w:rsidR="00D0528E" w:rsidRPr="009A4D20">
          <w:rPr>
            <w:rStyle w:val="Hyperlink"/>
          </w:rPr>
          <w:t>Interpretive declaration</w:t>
        </w:r>
        <w:r w:rsidR="00D0528E">
          <w:rPr>
            <w:webHidden/>
          </w:rPr>
          <w:tab/>
        </w:r>
        <w:r w:rsidR="00D0528E">
          <w:rPr>
            <w:webHidden/>
          </w:rPr>
          <w:fldChar w:fldCharType="begin"/>
        </w:r>
        <w:r w:rsidR="00D0528E">
          <w:rPr>
            <w:webHidden/>
          </w:rPr>
          <w:instrText xml:space="preserve"> PAGEREF _Toc122679369 \h </w:instrText>
        </w:r>
        <w:r w:rsidR="00D0528E">
          <w:rPr>
            <w:webHidden/>
          </w:rPr>
        </w:r>
        <w:r w:rsidR="00D0528E">
          <w:rPr>
            <w:webHidden/>
          </w:rPr>
          <w:fldChar w:fldCharType="separate"/>
        </w:r>
        <w:r w:rsidR="00950D7E">
          <w:rPr>
            <w:webHidden/>
          </w:rPr>
          <w:t>11</w:t>
        </w:r>
        <w:r w:rsidR="00D0528E">
          <w:rPr>
            <w:webHidden/>
          </w:rPr>
          <w:fldChar w:fldCharType="end"/>
        </w:r>
      </w:hyperlink>
    </w:p>
    <w:p w14:paraId="3B7EC1D8" w14:textId="440BF6E3" w:rsidR="00D0528E" w:rsidRDefault="0066026E">
      <w:pPr>
        <w:pStyle w:val="TOC1"/>
        <w:rPr>
          <w:rFonts w:asciiTheme="minorHAnsi" w:eastAsiaTheme="minorEastAsia" w:hAnsiTheme="minorHAnsi" w:cstheme="minorBidi"/>
          <w:b w:val="0"/>
          <w:sz w:val="22"/>
          <w:szCs w:val="22"/>
        </w:rPr>
      </w:pPr>
      <w:hyperlink w:anchor="_Toc122679370" w:history="1">
        <w:r w:rsidR="00D0528E" w:rsidRPr="009A4D20">
          <w:rPr>
            <w:rStyle w:val="Hyperlink"/>
          </w:rPr>
          <w:t>3</w:t>
        </w:r>
        <w:r w:rsidR="00D0528E">
          <w:rPr>
            <w:rFonts w:asciiTheme="minorHAnsi" w:eastAsiaTheme="minorEastAsia" w:hAnsiTheme="minorHAnsi" w:cstheme="minorBidi"/>
            <w:b w:val="0"/>
            <w:sz w:val="22"/>
            <w:szCs w:val="22"/>
          </w:rPr>
          <w:tab/>
        </w:r>
        <w:r w:rsidR="00D0528E" w:rsidRPr="009A4D20">
          <w:rPr>
            <w:rStyle w:val="Hyperlink"/>
          </w:rPr>
          <w:t>Monitoring implementation of the CRPD</w:t>
        </w:r>
        <w:r w:rsidR="00D0528E">
          <w:rPr>
            <w:webHidden/>
          </w:rPr>
          <w:tab/>
        </w:r>
        <w:r w:rsidR="00D0528E">
          <w:rPr>
            <w:webHidden/>
          </w:rPr>
          <w:fldChar w:fldCharType="begin"/>
        </w:r>
        <w:r w:rsidR="00D0528E">
          <w:rPr>
            <w:webHidden/>
          </w:rPr>
          <w:instrText xml:space="preserve"> PAGEREF _Toc122679370 \h </w:instrText>
        </w:r>
        <w:r w:rsidR="00D0528E">
          <w:rPr>
            <w:webHidden/>
          </w:rPr>
        </w:r>
        <w:r w:rsidR="00D0528E">
          <w:rPr>
            <w:webHidden/>
          </w:rPr>
          <w:fldChar w:fldCharType="separate"/>
        </w:r>
        <w:r w:rsidR="00950D7E">
          <w:rPr>
            <w:webHidden/>
          </w:rPr>
          <w:t>12</w:t>
        </w:r>
        <w:r w:rsidR="00D0528E">
          <w:rPr>
            <w:webHidden/>
          </w:rPr>
          <w:fldChar w:fldCharType="end"/>
        </w:r>
      </w:hyperlink>
    </w:p>
    <w:p w14:paraId="08DF5576" w14:textId="3BE19056" w:rsidR="00D0528E" w:rsidRDefault="0066026E">
      <w:pPr>
        <w:pStyle w:val="TOC2"/>
        <w:rPr>
          <w:rFonts w:asciiTheme="minorHAnsi" w:eastAsiaTheme="minorEastAsia" w:hAnsiTheme="minorHAnsi" w:cstheme="minorBidi"/>
          <w:b w:val="0"/>
          <w:i w:val="0"/>
          <w:sz w:val="22"/>
          <w:szCs w:val="22"/>
        </w:rPr>
      </w:pPr>
      <w:hyperlink w:anchor="_Toc122679371" w:history="1">
        <w:r w:rsidR="00D0528E" w:rsidRPr="009A4D20">
          <w:rPr>
            <w:rStyle w:val="Hyperlink"/>
          </w:rPr>
          <w:t>3.1</w:t>
        </w:r>
        <w:r w:rsidR="00D0528E">
          <w:rPr>
            <w:rFonts w:asciiTheme="minorHAnsi" w:eastAsiaTheme="minorEastAsia" w:hAnsiTheme="minorHAnsi" w:cstheme="minorBidi"/>
            <w:b w:val="0"/>
            <w:i w:val="0"/>
            <w:sz w:val="22"/>
            <w:szCs w:val="22"/>
          </w:rPr>
          <w:tab/>
        </w:r>
        <w:r w:rsidR="00D0528E" w:rsidRPr="009A4D20">
          <w:rPr>
            <w:rStyle w:val="Hyperlink"/>
          </w:rPr>
          <w:t>International monitoring: the CRPD Committee</w:t>
        </w:r>
        <w:r w:rsidR="00D0528E">
          <w:rPr>
            <w:webHidden/>
          </w:rPr>
          <w:tab/>
        </w:r>
        <w:r w:rsidR="00D0528E">
          <w:rPr>
            <w:webHidden/>
          </w:rPr>
          <w:fldChar w:fldCharType="begin"/>
        </w:r>
        <w:r w:rsidR="00D0528E">
          <w:rPr>
            <w:webHidden/>
          </w:rPr>
          <w:instrText xml:space="preserve"> PAGEREF _Toc122679371 \h </w:instrText>
        </w:r>
        <w:r w:rsidR="00D0528E">
          <w:rPr>
            <w:webHidden/>
          </w:rPr>
        </w:r>
        <w:r w:rsidR="00D0528E">
          <w:rPr>
            <w:webHidden/>
          </w:rPr>
          <w:fldChar w:fldCharType="separate"/>
        </w:r>
        <w:r w:rsidR="00950D7E">
          <w:rPr>
            <w:webHidden/>
          </w:rPr>
          <w:t>12</w:t>
        </w:r>
        <w:r w:rsidR="00D0528E">
          <w:rPr>
            <w:webHidden/>
          </w:rPr>
          <w:fldChar w:fldCharType="end"/>
        </w:r>
      </w:hyperlink>
    </w:p>
    <w:p w14:paraId="7ADE491C" w14:textId="406EB579" w:rsidR="00D0528E" w:rsidRDefault="0066026E">
      <w:pPr>
        <w:pStyle w:val="TOC3"/>
        <w:rPr>
          <w:rFonts w:asciiTheme="minorHAnsi" w:eastAsiaTheme="minorEastAsia" w:hAnsiTheme="minorHAnsi" w:cstheme="minorBidi"/>
          <w:i w:val="0"/>
          <w:sz w:val="22"/>
          <w:szCs w:val="22"/>
        </w:rPr>
      </w:pPr>
      <w:hyperlink w:anchor="_Toc122679372" w:history="1">
        <w:r w:rsidR="00D0528E" w:rsidRPr="009A4D20">
          <w:rPr>
            <w:rStyle w:val="Hyperlink"/>
          </w:rPr>
          <w:t>(a)</w:t>
        </w:r>
        <w:r w:rsidR="00D0528E">
          <w:rPr>
            <w:rFonts w:asciiTheme="minorHAnsi" w:eastAsiaTheme="minorEastAsia" w:hAnsiTheme="minorHAnsi" w:cstheme="minorBidi"/>
            <w:i w:val="0"/>
            <w:sz w:val="22"/>
            <w:szCs w:val="22"/>
          </w:rPr>
          <w:tab/>
        </w:r>
        <w:r w:rsidR="00D0528E" w:rsidRPr="009A4D20">
          <w:rPr>
            <w:rStyle w:val="Hyperlink"/>
          </w:rPr>
          <w:t>periodic reviews by the CRPD Committee</w:t>
        </w:r>
        <w:r w:rsidR="00D0528E">
          <w:rPr>
            <w:webHidden/>
          </w:rPr>
          <w:tab/>
        </w:r>
        <w:r w:rsidR="00D0528E">
          <w:rPr>
            <w:webHidden/>
          </w:rPr>
          <w:fldChar w:fldCharType="begin"/>
        </w:r>
        <w:r w:rsidR="00D0528E">
          <w:rPr>
            <w:webHidden/>
          </w:rPr>
          <w:instrText xml:space="preserve"> PAGEREF _Toc122679372 \h </w:instrText>
        </w:r>
        <w:r w:rsidR="00D0528E">
          <w:rPr>
            <w:webHidden/>
          </w:rPr>
        </w:r>
        <w:r w:rsidR="00D0528E">
          <w:rPr>
            <w:webHidden/>
          </w:rPr>
          <w:fldChar w:fldCharType="separate"/>
        </w:r>
        <w:r w:rsidR="00950D7E">
          <w:rPr>
            <w:webHidden/>
          </w:rPr>
          <w:t>12</w:t>
        </w:r>
        <w:r w:rsidR="00D0528E">
          <w:rPr>
            <w:webHidden/>
          </w:rPr>
          <w:fldChar w:fldCharType="end"/>
        </w:r>
      </w:hyperlink>
    </w:p>
    <w:p w14:paraId="3CA7AEAF" w14:textId="6DDF5CE6" w:rsidR="00D0528E" w:rsidRDefault="0066026E">
      <w:pPr>
        <w:pStyle w:val="TOC3"/>
        <w:rPr>
          <w:rFonts w:asciiTheme="minorHAnsi" w:eastAsiaTheme="minorEastAsia" w:hAnsiTheme="minorHAnsi" w:cstheme="minorBidi"/>
          <w:i w:val="0"/>
          <w:sz w:val="22"/>
          <w:szCs w:val="22"/>
        </w:rPr>
      </w:pPr>
      <w:hyperlink w:anchor="_Toc122679373" w:history="1">
        <w:r w:rsidR="00D0528E" w:rsidRPr="009A4D20">
          <w:rPr>
            <w:rStyle w:val="Hyperlink"/>
          </w:rPr>
          <w:t>(b)</w:t>
        </w:r>
        <w:r w:rsidR="00D0528E">
          <w:rPr>
            <w:rFonts w:asciiTheme="minorHAnsi" w:eastAsiaTheme="minorEastAsia" w:hAnsiTheme="minorHAnsi" w:cstheme="minorBidi"/>
            <w:i w:val="0"/>
            <w:sz w:val="22"/>
            <w:szCs w:val="22"/>
          </w:rPr>
          <w:tab/>
        </w:r>
        <w:r w:rsidR="00D0528E" w:rsidRPr="009A4D20">
          <w:rPr>
            <w:rStyle w:val="Hyperlink"/>
          </w:rPr>
          <w:t>individual communications to the CRPD Committee.</w:t>
        </w:r>
        <w:r w:rsidR="00D0528E">
          <w:rPr>
            <w:webHidden/>
          </w:rPr>
          <w:tab/>
        </w:r>
        <w:r w:rsidR="00D0528E">
          <w:rPr>
            <w:webHidden/>
          </w:rPr>
          <w:fldChar w:fldCharType="begin"/>
        </w:r>
        <w:r w:rsidR="00D0528E">
          <w:rPr>
            <w:webHidden/>
          </w:rPr>
          <w:instrText xml:space="preserve"> PAGEREF _Toc122679373 \h </w:instrText>
        </w:r>
        <w:r w:rsidR="00D0528E">
          <w:rPr>
            <w:webHidden/>
          </w:rPr>
        </w:r>
        <w:r w:rsidR="00D0528E">
          <w:rPr>
            <w:webHidden/>
          </w:rPr>
          <w:fldChar w:fldCharType="separate"/>
        </w:r>
        <w:r w:rsidR="00950D7E">
          <w:rPr>
            <w:webHidden/>
          </w:rPr>
          <w:t>12</w:t>
        </w:r>
        <w:r w:rsidR="00D0528E">
          <w:rPr>
            <w:webHidden/>
          </w:rPr>
          <w:fldChar w:fldCharType="end"/>
        </w:r>
      </w:hyperlink>
    </w:p>
    <w:p w14:paraId="07E53EA1" w14:textId="525E0943" w:rsidR="00D0528E" w:rsidRDefault="0066026E">
      <w:pPr>
        <w:pStyle w:val="TOC2"/>
        <w:rPr>
          <w:rFonts w:asciiTheme="minorHAnsi" w:eastAsiaTheme="minorEastAsia" w:hAnsiTheme="minorHAnsi" w:cstheme="minorBidi"/>
          <w:b w:val="0"/>
          <w:i w:val="0"/>
          <w:sz w:val="22"/>
          <w:szCs w:val="22"/>
        </w:rPr>
      </w:pPr>
      <w:hyperlink w:anchor="_Toc122679374" w:history="1">
        <w:r w:rsidR="00D0528E" w:rsidRPr="009A4D20">
          <w:rPr>
            <w:rStyle w:val="Hyperlink"/>
          </w:rPr>
          <w:t>3.2</w:t>
        </w:r>
        <w:r w:rsidR="00D0528E">
          <w:rPr>
            <w:rFonts w:asciiTheme="minorHAnsi" w:eastAsiaTheme="minorEastAsia" w:hAnsiTheme="minorHAnsi" w:cstheme="minorBidi"/>
            <w:b w:val="0"/>
            <w:i w:val="0"/>
            <w:sz w:val="22"/>
            <w:szCs w:val="22"/>
          </w:rPr>
          <w:tab/>
        </w:r>
        <w:r w:rsidR="00D0528E" w:rsidRPr="009A4D20">
          <w:rPr>
            <w:rStyle w:val="Hyperlink"/>
          </w:rPr>
          <w:t>Domestic monitoring: Present role of the Commission</w:t>
        </w:r>
        <w:r w:rsidR="00D0528E">
          <w:rPr>
            <w:webHidden/>
          </w:rPr>
          <w:tab/>
        </w:r>
        <w:r w:rsidR="00D0528E">
          <w:rPr>
            <w:webHidden/>
          </w:rPr>
          <w:fldChar w:fldCharType="begin"/>
        </w:r>
        <w:r w:rsidR="00D0528E">
          <w:rPr>
            <w:webHidden/>
          </w:rPr>
          <w:instrText xml:space="preserve"> PAGEREF _Toc122679374 \h </w:instrText>
        </w:r>
        <w:r w:rsidR="00D0528E">
          <w:rPr>
            <w:webHidden/>
          </w:rPr>
        </w:r>
        <w:r w:rsidR="00D0528E">
          <w:rPr>
            <w:webHidden/>
          </w:rPr>
          <w:fldChar w:fldCharType="separate"/>
        </w:r>
        <w:r w:rsidR="00950D7E">
          <w:rPr>
            <w:webHidden/>
          </w:rPr>
          <w:t>15</w:t>
        </w:r>
        <w:r w:rsidR="00D0528E">
          <w:rPr>
            <w:webHidden/>
          </w:rPr>
          <w:fldChar w:fldCharType="end"/>
        </w:r>
      </w:hyperlink>
    </w:p>
    <w:p w14:paraId="00A04BCF" w14:textId="2A152019" w:rsidR="00D0528E" w:rsidRDefault="0066026E">
      <w:pPr>
        <w:pStyle w:val="TOC1"/>
        <w:rPr>
          <w:rFonts w:asciiTheme="minorHAnsi" w:eastAsiaTheme="minorEastAsia" w:hAnsiTheme="minorHAnsi" w:cstheme="minorBidi"/>
          <w:b w:val="0"/>
          <w:sz w:val="22"/>
          <w:szCs w:val="22"/>
        </w:rPr>
      </w:pPr>
      <w:hyperlink w:anchor="_Toc122679375" w:history="1">
        <w:r w:rsidR="00D0528E" w:rsidRPr="009A4D20">
          <w:rPr>
            <w:rStyle w:val="Hyperlink"/>
          </w:rPr>
          <w:t>4</w:t>
        </w:r>
        <w:r w:rsidR="00D0528E">
          <w:rPr>
            <w:rFonts w:asciiTheme="minorHAnsi" w:eastAsiaTheme="minorEastAsia" w:hAnsiTheme="minorHAnsi" w:cstheme="minorBidi"/>
            <w:b w:val="0"/>
            <w:sz w:val="22"/>
            <w:szCs w:val="22"/>
          </w:rPr>
          <w:tab/>
        </w:r>
        <w:r w:rsidR="00D0528E" w:rsidRPr="009A4D20">
          <w:rPr>
            <w:rStyle w:val="Hyperlink"/>
          </w:rPr>
          <w:t>Implementation of CRPD articles</w:t>
        </w:r>
        <w:r w:rsidR="00D0528E">
          <w:rPr>
            <w:webHidden/>
          </w:rPr>
          <w:tab/>
        </w:r>
        <w:r w:rsidR="00D0528E">
          <w:rPr>
            <w:webHidden/>
          </w:rPr>
          <w:fldChar w:fldCharType="begin"/>
        </w:r>
        <w:r w:rsidR="00D0528E">
          <w:rPr>
            <w:webHidden/>
          </w:rPr>
          <w:instrText xml:space="preserve"> PAGEREF _Toc122679375 \h </w:instrText>
        </w:r>
        <w:r w:rsidR="00D0528E">
          <w:rPr>
            <w:webHidden/>
          </w:rPr>
        </w:r>
        <w:r w:rsidR="00D0528E">
          <w:rPr>
            <w:webHidden/>
          </w:rPr>
          <w:fldChar w:fldCharType="separate"/>
        </w:r>
        <w:r w:rsidR="00950D7E">
          <w:rPr>
            <w:webHidden/>
          </w:rPr>
          <w:t>16</w:t>
        </w:r>
        <w:r w:rsidR="00D0528E">
          <w:rPr>
            <w:webHidden/>
          </w:rPr>
          <w:fldChar w:fldCharType="end"/>
        </w:r>
      </w:hyperlink>
    </w:p>
    <w:p w14:paraId="2088E2D9" w14:textId="661AF427" w:rsidR="00D0528E" w:rsidRDefault="0066026E">
      <w:pPr>
        <w:pStyle w:val="TOC2"/>
        <w:rPr>
          <w:rFonts w:asciiTheme="minorHAnsi" w:eastAsiaTheme="minorEastAsia" w:hAnsiTheme="minorHAnsi" w:cstheme="minorBidi"/>
          <w:b w:val="0"/>
          <w:i w:val="0"/>
          <w:sz w:val="22"/>
          <w:szCs w:val="22"/>
        </w:rPr>
      </w:pPr>
      <w:hyperlink w:anchor="_Toc122679376" w:history="1">
        <w:r w:rsidR="00D0528E" w:rsidRPr="009A4D20">
          <w:rPr>
            <w:rStyle w:val="Hyperlink"/>
          </w:rPr>
          <w:t>4.1</w:t>
        </w:r>
        <w:r w:rsidR="00D0528E">
          <w:rPr>
            <w:rFonts w:asciiTheme="minorHAnsi" w:eastAsiaTheme="minorEastAsia" w:hAnsiTheme="minorHAnsi" w:cstheme="minorBidi"/>
            <w:b w:val="0"/>
            <w:i w:val="0"/>
            <w:sz w:val="22"/>
            <w:szCs w:val="22"/>
          </w:rPr>
          <w:tab/>
        </w:r>
        <w:r w:rsidR="00D0528E" w:rsidRPr="009A4D20">
          <w:rPr>
            <w:rStyle w:val="Hyperlink"/>
          </w:rPr>
          <w:t>Australia’s legal and policy framework</w:t>
        </w:r>
        <w:r w:rsidR="00D0528E">
          <w:rPr>
            <w:webHidden/>
          </w:rPr>
          <w:tab/>
        </w:r>
        <w:r w:rsidR="00D0528E">
          <w:rPr>
            <w:webHidden/>
          </w:rPr>
          <w:fldChar w:fldCharType="begin"/>
        </w:r>
        <w:r w:rsidR="00D0528E">
          <w:rPr>
            <w:webHidden/>
          </w:rPr>
          <w:instrText xml:space="preserve"> PAGEREF _Toc122679376 \h </w:instrText>
        </w:r>
        <w:r w:rsidR="00D0528E">
          <w:rPr>
            <w:webHidden/>
          </w:rPr>
        </w:r>
        <w:r w:rsidR="00D0528E">
          <w:rPr>
            <w:webHidden/>
          </w:rPr>
          <w:fldChar w:fldCharType="separate"/>
        </w:r>
        <w:r w:rsidR="00950D7E">
          <w:rPr>
            <w:webHidden/>
          </w:rPr>
          <w:t>16</w:t>
        </w:r>
        <w:r w:rsidR="00D0528E">
          <w:rPr>
            <w:webHidden/>
          </w:rPr>
          <w:fldChar w:fldCharType="end"/>
        </w:r>
      </w:hyperlink>
    </w:p>
    <w:p w14:paraId="3E735D79" w14:textId="5577520D" w:rsidR="00D0528E" w:rsidRDefault="0066026E">
      <w:pPr>
        <w:pStyle w:val="TOC2"/>
        <w:rPr>
          <w:rFonts w:asciiTheme="minorHAnsi" w:eastAsiaTheme="minorEastAsia" w:hAnsiTheme="minorHAnsi" w:cstheme="minorBidi"/>
          <w:b w:val="0"/>
          <w:i w:val="0"/>
          <w:sz w:val="22"/>
          <w:szCs w:val="22"/>
        </w:rPr>
      </w:pPr>
      <w:hyperlink w:anchor="_Toc122679377" w:history="1">
        <w:r w:rsidR="00D0528E" w:rsidRPr="009A4D20">
          <w:rPr>
            <w:rStyle w:val="Hyperlink"/>
          </w:rPr>
          <w:t>4.2</w:t>
        </w:r>
        <w:r w:rsidR="00D0528E">
          <w:rPr>
            <w:rFonts w:asciiTheme="minorHAnsi" w:eastAsiaTheme="minorEastAsia" w:hAnsiTheme="minorHAnsi" w:cstheme="minorBidi"/>
            <w:b w:val="0"/>
            <w:i w:val="0"/>
            <w:sz w:val="22"/>
            <w:szCs w:val="22"/>
          </w:rPr>
          <w:tab/>
        </w:r>
        <w:r w:rsidR="00D0528E" w:rsidRPr="009A4D20">
          <w:rPr>
            <w:rStyle w:val="Hyperlink"/>
          </w:rPr>
          <w:t>Article 4: Law reform</w:t>
        </w:r>
        <w:r w:rsidR="00D0528E">
          <w:rPr>
            <w:webHidden/>
          </w:rPr>
          <w:tab/>
        </w:r>
        <w:r w:rsidR="00D0528E">
          <w:rPr>
            <w:webHidden/>
          </w:rPr>
          <w:fldChar w:fldCharType="begin"/>
        </w:r>
        <w:r w:rsidR="00D0528E">
          <w:rPr>
            <w:webHidden/>
          </w:rPr>
          <w:instrText xml:space="preserve"> PAGEREF _Toc122679377 \h </w:instrText>
        </w:r>
        <w:r w:rsidR="00D0528E">
          <w:rPr>
            <w:webHidden/>
          </w:rPr>
        </w:r>
        <w:r w:rsidR="00D0528E">
          <w:rPr>
            <w:webHidden/>
          </w:rPr>
          <w:fldChar w:fldCharType="separate"/>
        </w:r>
        <w:r w:rsidR="00950D7E">
          <w:rPr>
            <w:webHidden/>
          </w:rPr>
          <w:t>17</w:t>
        </w:r>
        <w:r w:rsidR="00D0528E">
          <w:rPr>
            <w:webHidden/>
          </w:rPr>
          <w:fldChar w:fldCharType="end"/>
        </w:r>
      </w:hyperlink>
    </w:p>
    <w:p w14:paraId="6AD5CA9A" w14:textId="044889DD" w:rsidR="00D0528E" w:rsidRDefault="0066026E">
      <w:pPr>
        <w:pStyle w:val="TOC2"/>
        <w:rPr>
          <w:rFonts w:asciiTheme="minorHAnsi" w:eastAsiaTheme="minorEastAsia" w:hAnsiTheme="minorHAnsi" w:cstheme="minorBidi"/>
          <w:b w:val="0"/>
          <w:i w:val="0"/>
          <w:sz w:val="22"/>
          <w:szCs w:val="22"/>
        </w:rPr>
      </w:pPr>
      <w:hyperlink w:anchor="_Toc122679378" w:history="1">
        <w:r w:rsidR="00D0528E" w:rsidRPr="009A4D20">
          <w:rPr>
            <w:rStyle w:val="Hyperlink"/>
          </w:rPr>
          <w:t>4.3</w:t>
        </w:r>
        <w:r w:rsidR="00D0528E">
          <w:rPr>
            <w:rFonts w:asciiTheme="minorHAnsi" w:eastAsiaTheme="minorEastAsia" w:hAnsiTheme="minorHAnsi" w:cstheme="minorBidi"/>
            <w:b w:val="0"/>
            <w:i w:val="0"/>
            <w:sz w:val="22"/>
            <w:szCs w:val="22"/>
          </w:rPr>
          <w:tab/>
        </w:r>
        <w:r w:rsidR="00D0528E" w:rsidRPr="009A4D20">
          <w:rPr>
            <w:rStyle w:val="Hyperlink"/>
          </w:rPr>
          <w:t>Article 7: Children with disabilities</w:t>
        </w:r>
        <w:r w:rsidR="00D0528E">
          <w:rPr>
            <w:webHidden/>
          </w:rPr>
          <w:tab/>
        </w:r>
        <w:r w:rsidR="00D0528E">
          <w:rPr>
            <w:webHidden/>
          </w:rPr>
          <w:fldChar w:fldCharType="begin"/>
        </w:r>
        <w:r w:rsidR="00D0528E">
          <w:rPr>
            <w:webHidden/>
          </w:rPr>
          <w:instrText xml:space="preserve"> PAGEREF _Toc122679378 \h </w:instrText>
        </w:r>
        <w:r w:rsidR="00D0528E">
          <w:rPr>
            <w:webHidden/>
          </w:rPr>
        </w:r>
        <w:r w:rsidR="00D0528E">
          <w:rPr>
            <w:webHidden/>
          </w:rPr>
          <w:fldChar w:fldCharType="separate"/>
        </w:r>
        <w:r w:rsidR="00950D7E">
          <w:rPr>
            <w:webHidden/>
          </w:rPr>
          <w:t>22</w:t>
        </w:r>
        <w:r w:rsidR="00D0528E">
          <w:rPr>
            <w:webHidden/>
          </w:rPr>
          <w:fldChar w:fldCharType="end"/>
        </w:r>
      </w:hyperlink>
    </w:p>
    <w:p w14:paraId="26CA5DCC" w14:textId="6A96F55F" w:rsidR="00D0528E" w:rsidRDefault="0066026E">
      <w:pPr>
        <w:pStyle w:val="TOC2"/>
        <w:rPr>
          <w:rFonts w:asciiTheme="minorHAnsi" w:eastAsiaTheme="minorEastAsia" w:hAnsiTheme="minorHAnsi" w:cstheme="minorBidi"/>
          <w:b w:val="0"/>
          <w:i w:val="0"/>
          <w:sz w:val="22"/>
          <w:szCs w:val="22"/>
        </w:rPr>
      </w:pPr>
      <w:hyperlink w:anchor="_Toc122679379" w:history="1">
        <w:r w:rsidR="00D0528E" w:rsidRPr="009A4D20">
          <w:rPr>
            <w:rStyle w:val="Hyperlink"/>
          </w:rPr>
          <w:t>4.4</w:t>
        </w:r>
        <w:r w:rsidR="00D0528E">
          <w:rPr>
            <w:rFonts w:asciiTheme="minorHAnsi" w:eastAsiaTheme="minorEastAsia" w:hAnsiTheme="minorHAnsi" w:cstheme="minorBidi"/>
            <w:b w:val="0"/>
            <w:i w:val="0"/>
            <w:sz w:val="22"/>
            <w:szCs w:val="22"/>
          </w:rPr>
          <w:tab/>
        </w:r>
        <w:r w:rsidR="00D0528E" w:rsidRPr="009A4D20">
          <w:rPr>
            <w:rStyle w:val="Hyperlink"/>
          </w:rPr>
          <w:t>Article 8: Awareness raising</w:t>
        </w:r>
        <w:r w:rsidR="00D0528E">
          <w:rPr>
            <w:webHidden/>
          </w:rPr>
          <w:tab/>
        </w:r>
        <w:r w:rsidR="00D0528E">
          <w:rPr>
            <w:webHidden/>
          </w:rPr>
          <w:fldChar w:fldCharType="begin"/>
        </w:r>
        <w:r w:rsidR="00D0528E">
          <w:rPr>
            <w:webHidden/>
          </w:rPr>
          <w:instrText xml:space="preserve"> PAGEREF _Toc122679379 \h </w:instrText>
        </w:r>
        <w:r w:rsidR="00D0528E">
          <w:rPr>
            <w:webHidden/>
          </w:rPr>
        </w:r>
        <w:r w:rsidR="00D0528E">
          <w:rPr>
            <w:webHidden/>
          </w:rPr>
          <w:fldChar w:fldCharType="separate"/>
        </w:r>
        <w:r w:rsidR="00950D7E">
          <w:rPr>
            <w:webHidden/>
          </w:rPr>
          <w:t>24</w:t>
        </w:r>
        <w:r w:rsidR="00D0528E">
          <w:rPr>
            <w:webHidden/>
          </w:rPr>
          <w:fldChar w:fldCharType="end"/>
        </w:r>
      </w:hyperlink>
    </w:p>
    <w:p w14:paraId="3C7D2BA8" w14:textId="6826A328" w:rsidR="00D0528E" w:rsidRDefault="0066026E">
      <w:pPr>
        <w:pStyle w:val="TOC2"/>
        <w:rPr>
          <w:rFonts w:asciiTheme="minorHAnsi" w:eastAsiaTheme="minorEastAsia" w:hAnsiTheme="minorHAnsi" w:cstheme="minorBidi"/>
          <w:b w:val="0"/>
          <w:i w:val="0"/>
          <w:sz w:val="22"/>
          <w:szCs w:val="22"/>
        </w:rPr>
      </w:pPr>
      <w:hyperlink w:anchor="_Toc122679380" w:history="1">
        <w:r w:rsidR="00D0528E" w:rsidRPr="009A4D20">
          <w:rPr>
            <w:rStyle w:val="Hyperlink"/>
          </w:rPr>
          <w:t>4.5</w:t>
        </w:r>
        <w:r w:rsidR="00D0528E">
          <w:rPr>
            <w:rFonts w:asciiTheme="minorHAnsi" w:eastAsiaTheme="minorEastAsia" w:hAnsiTheme="minorHAnsi" w:cstheme="minorBidi"/>
            <w:b w:val="0"/>
            <w:i w:val="0"/>
            <w:sz w:val="22"/>
            <w:szCs w:val="22"/>
          </w:rPr>
          <w:tab/>
        </w:r>
        <w:r w:rsidR="00D0528E" w:rsidRPr="009A4D20">
          <w:rPr>
            <w:rStyle w:val="Hyperlink"/>
          </w:rPr>
          <w:t>Article 9: Accessibility</w:t>
        </w:r>
        <w:r w:rsidR="00D0528E">
          <w:rPr>
            <w:webHidden/>
          </w:rPr>
          <w:tab/>
        </w:r>
        <w:r w:rsidR="00D0528E">
          <w:rPr>
            <w:webHidden/>
          </w:rPr>
          <w:fldChar w:fldCharType="begin"/>
        </w:r>
        <w:r w:rsidR="00D0528E">
          <w:rPr>
            <w:webHidden/>
          </w:rPr>
          <w:instrText xml:space="preserve"> PAGEREF _Toc122679380 \h </w:instrText>
        </w:r>
        <w:r w:rsidR="00D0528E">
          <w:rPr>
            <w:webHidden/>
          </w:rPr>
        </w:r>
        <w:r w:rsidR="00D0528E">
          <w:rPr>
            <w:webHidden/>
          </w:rPr>
          <w:fldChar w:fldCharType="separate"/>
        </w:r>
        <w:r w:rsidR="00950D7E">
          <w:rPr>
            <w:webHidden/>
          </w:rPr>
          <w:t>26</w:t>
        </w:r>
        <w:r w:rsidR="00D0528E">
          <w:rPr>
            <w:webHidden/>
          </w:rPr>
          <w:fldChar w:fldCharType="end"/>
        </w:r>
      </w:hyperlink>
    </w:p>
    <w:p w14:paraId="2900AFFD" w14:textId="2B790A18" w:rsidR="00D0528E" w:rsidRDefault="0066026E">
      <w:pPr>
        <w:pStyle w:val="TOC2"/>
        <w:rPr>
          <w:rFonts w:asciiTheme="minorHAnsi" w:eastAsiaTheme="minorEastAsia" w:hAnsiTheme="minorHAnsi" w:cstheme="minorBidi"/>
          <w:b w:val="0"/>
          <w:i w:val="0"/>
          <w:sz w:val="22"/>
          <w:szCs w:val="22"/>
        </w:rPr>
      </w:pPr>
      <w:hyperlink w:anchor="_Toc122679381" w:history="1">
        <w:r w:rsidR="00D0528E" w:rsidRPr="009A4D20">
          <w:rPr>
            <w:rStyle w:val="Hyperlink"/>
          </w:rPr>
          <w:t>4.6</w:t>
        </w:r>
        <w:r w:rsidR="00D0528E">
          <w:rPr>
            <w:rFonts w:asciiTheme="minorHAnsi" w:eastAsiaTheme="minorEastAsia" w:hAnsiTheme="minorHAnsi" w:cstheme="minorBidi"/>
            <w:b w:val="0"/>
            <w:i w:val="0"/>
            <w:sz w:val="22"/>
            <w:szCs w:val="22"/>
          </w:rPr>
          <w:tab/>
        </w:r>
        <w:r w:rsidR="00D0528E" w:rsidRPr="009A4D20">
          <w:rPr>
            <w:rStyle w:val="Hyperlink"/>
          </w:rPr>
          <w:t>Article 12: the right to equal recognition before the law</w:t>
        </w:r>
        <w:r w:rsidR="00D0528E">
          <w:rPr>
            <w:webHidden/>
          </w:rPr>
          <w:tab/>
        </w:r>
        <w:r w:rsidR="00D0528E">
          <w:rPr>
            <w:webHidden/>
          </w:rPr>
          <w:fldChar w:fldCharType="begin"/>
        </w:r>
        <w:r w:rsidR="00D0528E">
          <w:rPr>
            <w:webHidden/>
          </w:rPr>
          <w:instrText xml:space="preserve"> PAGEREF _Toc122679381 \h </w:instrText>
        </w:r>
        <w:r w:rsidR="00D0528E">
          <w:rPr>
            <w:webHidden/>
          </w:rPr>
        </w:r>
        <w:r w:rsidR="00D0528E">
          <w:rPr>
            <w:webHidden/>
          </w:rPr>
          <w:fldChar w:fldCharType="separate"/>
        </w:r>
        <w:r w:rsidR="00950D7E">
          <w:rPr>
            <w:webHidden/>
          </w:rPr>
          <w:t>27</w:t>
        </w:r>
        <w:r w:rsidR="00D0528E">
          <w:rPr>
            <w:webHidden/>
          </w:rPr>
          <w:fldChar w:fldCharType="end"/>
        </w:r>
      </w:hyperlink>
    </w:p>
    <w:p w14:paraId="1A6C3C3A" w14:textId="510036D5" w:rsidR="00D0528E" w:rsidRDefault="0066026E">
      <w:pPr>
        <w:pStyle w:val="TOC2"/>
        <w:rPr>
          <w:rFonts w:asciiTheme="minorHAnsi" w:eastAsiaTheme="minorEastAsia" w:hAnsiTheme="minorHAnsi" w:cstheme="minorBidi"/>
          <w:b w:val="0"/>
          <w:i w:val="0"/>
          <w:sz w:val="22"/>
          <w:szCs w:val="22"/>
        </w:rPr>
      </w:pPr>
      <w:hyperlink w:anchor="_Toc122679382" w:history="1">
        <w:r w:rsidR="00D0528E" w:rsidRPr="009A4D20">
          <w:rPr>
            <w:rStyle w:val="Hyperlink"/>
          </w:rPr>
          <w:t>4.7</w:t>
        </w:r>
        <w:r w:rsidR="00D0528E">
          <w:rPr>
            <w:rFonts w:asciiTheme="minorHAnsi" w:eastAsiaTheme="minorEastAsia" w:hAnsiTheme="minorHAnsi" w:cstheme="minorBidi"/>
            <w:b w:val="0"/>
            <w:i w:val="0"/>
            <w:sz w:val="22"/>
            <w:szCs w:val="22"/>
          </w:rPr>
          <w:tab/>
        </w:r>
        <w:r w:rsidR="00D0528E" w:rsidRPr="009A4D20">
          <w:rPr>
            <w:rStyle w:val="Hyperlink"/>
          </w:rPr>
          <w:t>Article 28: Adequate standard of living and social protection</w:t>
        </w:r>
        <w:r w:rsidR="00D0528E">
          <w:rPr>
            <w:webHidden/>
          </w:rPr>
          <w:tab/>
        </w:r>
        <w:r w:rsidR="00D0528E">
          <w:rPr>
            <w:webHidden/>
          </w:rPr>
          <w:fldChar w:fldCharType="begin"/>
        </w:r>
        <w:r w:rsidR="00D0528E">
          <w:rPr>
            <w:webHidden/>
          </w:rPr>
          <w:instrText xml:space="preserve"> PAGEREF _Toc122679382 \h </w:instrText>
        </w:r>
        <w:r w:rsidR="00D0528E">
          <w:rPr>
            <w:webHidden/>
          </w:rPr>
        </w:r>
        <w:r w:rsidR="00D0528E">
          <w:rPr>
            <w:webHidden/>
          </w:rPr>
          <w:fldChar w:fldCharType="separate"/>
        </w:r>
        <w:r w:rsidR="00950D7E">
          <w:rPr>
            <w:webHidden/>
          </w:rPr>
          <w:t>28</w:t>
        </w:r>
        <w:r w:rsidR="00D0528E">
          <w:rPr>
            <w:webHidden/>
          </w:rPr>
          <w:fldChar w:fldCharType="end"/>
        </w:r>
      </w:hyperlink>
    </w:p>
    <w:p w14:paraId="454F4334" w14:textId="2DA74A19" w:rsidR="00D0528E" w:rsidRDefault="0066026E">
      <w:pPr>
        <w:pStyle w:val="TOC2"/>
        <w:rPr>
          <w:rFonts w:asciiTheme="minorHAnsi" w:eastAsiaTheme="minorEastAsia" w:hAnsiTheme="minorHAnsi" w:cstheme="minorBidi"/>
          <w:b w:val="0"/>
          <w:i w:val="0"/>
          <w:sz w:val="22"/>
          <w:szCs w:val="22"/>
        </w:rPr>
      </w:pPr>
      <w:hyperlink w:anchor="_Toc122679383" w:history="1">
        <w:r w:rsidR="00D0528E" w:rsidRPr="009A4D20">
          <w:rPr>
            <w:rStyle w:val="Hyperlink"/>
          </w:rPr>
          <w:t>4.8</w:t>
        </w:r>
        <w:r w:rsidR="00D0528E">
          <w:rPr>
            <w:rFonts w:asciiTheme="minorHAnsi" w:eastAsiaTheme="minorEastAsia" w:hAnsiTheme="minorHAnsi" w:cstheme="minorBidi"/>
            <w:b w:val="0"/>
            <w:i w:val="0"/>
            <w:sz w:val="22"/>
            <w:szCs w:val="22"/>
          </w:rPr>
          <w:tab/>
        </w:r>
        <w:r w:rsidR="00D0528E" w:rsidRPr="009A4D20">
          <w:rPr>
            <w:rStyle w:val="Hyperlink"/>
          </w:rPr>
          <w:t>Article 25: Health</w:t>
        </w:r>
        <w:r w:rsidR="00D0528E">
          <w:rPr>
            <w:webHidden/>
          </w:rPr>
          <w:tab/>
        </w:r>
        <w:r w:rsidR="00D0528E">
          <w:rPr>
            <w:webHidden/>
          </w:rPr>
          <w:fldChar w:fldCharType="begin"/>
        </w:r>
        <w:r w:rsidR="00D0528E">
          <w:rPr>
            <w:webHidden/>
          </w:rPr>
          <w:instrText xml:space="preserve"> PAGEREF _Toc122679383 \h </w:instrText>
        </w:r>
        <w:r w:rsidR="00D0528E">
          <w:rPr>
            <w:webHidden/>
          </w:rPr>
        </w:r>
        <w:r w:rsidR="00D0528E">
          <w:rPr>
            <w:webHidden/>
          </w:rPr>
          <w:fldChar w:fldCharType="separate"/>
        </w:r>
        <w:r w:rsidR="00950D7E">
          <w:rPr>
            <w:webHidden/>
          </w:rPr>
          <w:t>30</w:t>
        </w:r>
        <w:r w:rsidR="00D0528E">
          <w:rPr>
            <w:webHidden/>
          </w:rPr>
          <w:fldChar w:fldCharType="end"/>
        </w:r>
      </w:hyperlink>
    </w:p>
    <w:p w14:paraId="0CD1FC55" w14:textId="76AB8270" w:rsidR="00D0528E" w:rsidRDefault="0066026E">
      <w:pPr>
        <w:pStyle w:val="TOC3"/>
        <w:rPr>
          <w:rFonts w:asciiTheme="minorHAnsi" w:eastAsiaTheme="minorEastAsia" w:hAnsiTheme="minorHAnsi" w:cstheme="minorBidi"/>
          <w:i w:val="0"/>
          <w:sz w:val="22"/>
          <w:szCs w:val="22"/>
        </w:rPr>
      </w:pPr>
      <w:hyperlink w:anchor="_Toc122679384" w:history="1">
        <w:r w:rsidR="00D0528E" w:rsidRPr="009A4D20">
          <w:rPr>
            <w:rStyle w:val="Hyperlink"/>
            <w:rFonts w:eastAsia="Times New Roman"/>
            <w:b/>
          </w:rPr>
          <w:t>Access to health care</w:t>
        </w:r>
        <w:r w:rsidR="00D0528E">
          <w:rPr>
            <w:webHidden/>
          </w:rPr>
          <w:tab/>
        </w:r>
        <w:r w:rsidR="00D0528E">
          <w:rPr>
            <w:webHidden/>
          </w:rPr>
          <w:fldChar w:fldCharType="begin"/>
        </w:r>
        <w:r w:rsidR="00D0528E">
          <w:rPr>
            <w:webHidden/>
          </w:rPr>
          <w:instrText xml:space="preserve"> PAGEREF _Toc122679384 \h </w:instrText>
        </w:r>
        <w:r w:rsidR="00D0528E">
          <w:rPr>
            <w:webHidden/>
          </w:rPr>
        </w:r>
        <w:r w:rsidR="00D0528E">
          <w:rPr>
            <w:webHidden/>
          </w:rPr>
          <w:fldChar w:fldCharType="separate"/>
        </w:r>
        <w:r w:rsidR="00950D7E">
          <w:rPr>
            <w:webHidden/>
          </w:rPr>
          <w:t>30</w:t>
        </w:r>
        <w:r w:rsidR="00D0528E">
          <w:rPr>
            <w:webHidden/>
          </w:rPr>
          <w:fldChar w:fldCharType="end"/>
        </w:r>
      </w:hyperlink>
    </w:p>
    <w:p w14:paraId="6ECA0591" w14:textId="297380AA" w:rsidR="00D0528E" w:rsidRDefault="0066026E">
      <w:pPr>
        <w:pStyle w:val="TOC3"/>
        <w:rPr>
          <w:rFonts w:asciiTheme="minorHAnsi" w:eastAsiaTheme="minorEastAsia" w:hAnsiTheme="minorHAnsi" w:cstheme="minorBidi"/>
          <w:i w:val="0"/>
          <w:sz w:val="22"/>
          <w:szCs w:val="22"/>
        </w:rPr>
      </w:pPr>
      <w:hyperlink w:anchor="_Toc122679385" w:history="1">
        <w:r w:rsidR="00D0528E" w:rsidRPr="009A4D20">
          <w:rPr>
            <w:rStyle w:val="Hyperlink"/>
            <w:rFonts w:eastAsia="Times New Roman"/>
            <w:b/>
          </w:rPr>
          <w:t>COVID</w:t>
        </w:r>
        <w:r w:rsidR="00D0528E" w:rsidRPr="009A4D20">
          <w:rPr>
            <w:rStyle w:val="Hyperlink"/>
            <w:b/>
          </w:rPr>
          <w:t>-19 and Long COVID</w:t>
        </w:r>
        <w:r w:rsidR="00D0528E">
          <w:rPr>
            <w:webHidden/>
          </w:rPr>
          <w:tab/>
        </w:r>
        <w:r w:rsidR="00D0528E">
          <w:rPr>
            <w:webHidden/>
          </w:rPr>
          <w:fldChar w:fldCharType="begin"/>
        </w:r>
        <w:r w:rsidR="00D0528E">
          <w:rPr>
            <w:webHidden/>
          </w:rPr>
          <w:instrText xml:space="preserve"> PAGEREF _Toc122679385 \h </w:instrText>
        </w:r>
        <w:r w:rsidR="00D0528E">
          <w:rPr>
            <w:webHidden/>
          </w:rPr>
        </w:r>
        <w:r w:rsidR="00D0528E">
          <w:rPr>
            <w:webHidden/>
          </w:rPr>
          <w:fldChar w:fldCharType="separate"/>
        </w:r>
        <w:r w:rsidR="00950D7E">
          <w:rPr>
            <w:webHidden/>
          </w:rPr>
          <w:t>33</w:t>
        </w:r>
        <w:r w:rsidR="00D0528E">
          <w:rPr>
            <w:webHidden/>
          </w:rPr>
          <w:fldChar w:fldCharType="end"/>
        </w:r>
      </w:hyperlink>
    </w:p>
    <w:p w14:paraId="574490D2" w14:textId="76F96420" w:rsidR="00D0528E" w:rsidRDefault="0066026E">
      <w:pPr>
        <w:pStyle w:val="TOC2"/>
        <w:rPr>
          <w:rFonts w:asciiTheme="minorHAnsi" w:eastAsiaTheme="minorEastAsia" w:hAnsiTheme="minorHAnsi" w:cstheme="minorBidi"/>
          <w:b w:val="0"/>
          <w:i w:val="0"/>
          <w:sz w:val="22"/>
          <w:szCs w:val="22"/>
        </w:rPr>
      </w:pPr>
      <w:hyperlink w:anchor="_Toc122679386" w:history="1">
        <w:r w:rsidR="00D0528E" w:rsidRPr="009A4D20">
          <w:rPr>
            <w:rStyle w:val="Hyperlink"/>
          </w:rPr>
          <w:t>4.9</w:t>
        </w:r>
        <w:r w:rsidR="00D0528E">
          <w:rPr>
            <w:rFonts w:asciiTheme="minorHAnsi" w:eastAsiaTheme="minorEastAsia" w:hAnsiTheme="minorHAnsi" w:cstheme="minorBidi"/>
            <w:b w:val="0"/>
            <w:i w:val="0"/>
            <w:sz w:val="22"/>
            <w:szCs w:val="22"/>
          </w:rPr>
          <w:tab/>
        </w:r>
        <w:r w:rsidR="00D0528E" w:rsidRPr="009A4D20">
          <w:rPr>
            <w:rStyle w:val="Hyperlink"/>
          </w:rPr>
          <w:t>Article 31: Data collection</w:t>
        </w:r>
        <w:r w:rsidR="00D0528E">
          <w:rPr>
            <w:webHidden/>
          </w:rPr>
          <w:tab/>
        </w:r>
        <w:r w:rsidR="00D0528E">
          <w:rPr>
            <w:webHidden/>
          </w:rPr>
          <w:fldChar w:fldCharType="begin"/>
        </w:r>
        <w:r w:rsidR="00D0528E">
          <w:rPr>
            <w:webHidden/>
          </w:rPr>
          <w:instrText xml:space="preserve"> PAGEREF _Toc122679386 \h </w:instrText>
        </w:r>
        <w:r w:rsidR="00D0528E">
          <w:rPr>
            <w:webHidden/>
          </w:rPr>
        </w:r>
        <w:r w:rsidR="00D0528E">
          <w:rPr>
            <w:webHidden/>
          </w:rPr>
          <w:fldChar w:fldCharType="separate"/>
        </w:r>
        <w:r w:rsidR="00950D7E">
          <w:rPr>
            <w:webHidden/>
          </w:rPr>
          <w:t>33</w:t>
        </w:r>
        <w:r w:rsidR="00D0528E">
          <w:rPr>
            <w:webHidden/>
          </w:rPr>
          <w:fldChar w:fldCharType="end"/>
        </w:r>
      </w:hyperlink>
    </w:p>
    <w:p w14:paraId="7C74BFF2" w14:textId="384686E6" w:rsidR="00D0528E" w:rsidRDefault="0066026E">
      <w:pPr>
        <w:pStyle w:val="TOC2"/>
        <w:rPr>
          <w:rFonts w:asciiTheme="minorHAnsi" w:eastAsiaTheme="minorEastAsia" w:hAnsiTheme="minorHAnsi" w:cstheme="minorBidi"/>
          <w:b w:val="0"/>
          <w:i w:val="0"/>
          <w:sz w:val="22"/>
          <w:szCs w:val="22"/>
        </w:rPr>
      </w:pPr>
      <w:hyperlink w:anchor="_Toc122679387" w:history="1">
        <w:r w:rsidR="00D0528E" w:rsidRPr="009A4D20">
          <w:rPr>
            <w:rStyle w:val="Hyperlink"/>
          </w:rPr>
          <w:t>4.10</w:t>
        </w:r>
        <w:r w:rsidR="00D0528E">
          <w:rPr>
            <w:rFonts w:asciiTheme="minorHAnsi" w:eastAsiaTheme="minorEastAsia" w:hAnsiTheme="minorHAnsi" w:cstheme="minorBidi"/>
            <w:b w:val="0"/>
            <w:i w:val="0"/>
            <w:sz w:val="22"/>
            <w:szCs w:val="22"/>
          </w:rPr>
          <w:tab/>
        </w:r>
        <w:r w:rsidR="00D0528E" w:rsidRPr="009A4D20">
          <w:rPr>
            <w:rStyle w:val="Hyperlink"/>
          </w:rPr>
          <w:t>Article 33: National implementation and monitoring</w:t>
        </w:r>
        <w:r w:rsidR="00D0528E">
          <w:rPr>
            <w:webHidden/>
          </w:rPr>
          <w:tab/>
        </w:r>
        <w:r w:rsidR="00D0528E">
          <w:rPr>
            <w:webHidden/>
          </w:rPr>
          <w:fldChar w:fldCharType="begin"/>
        </w:r>
        <w:r w:rsidR="00D0528E">
          <w:rPr>
            <w:webHidden/>
          </w:rPr>
          <w:instrText xml:space="preserve"> PAGEREF _Toc122679387 \h </w:instrText>
        </w:r>
        <w:r w:rsidR="00D0528E">
          <w:rPr>
            <w:webHidden/>
          </w:rPr>
        </w:r>
        <w:r w:rsidR="00D0528E">
          <w:rPr>
            <w:webHidden/>
          </w:rPr>
          <w:fldChar w:fldCharType="separate"/>
        </w:r>
        <w:r w:rsidR="00950D7E">
          <w:rPr>
            <w:webHidden/>
          </w:rPr>
          <w:t>34</w:t>
        </w:r>
        <w:r w:rsidR="00D0528E">
          <w:rPr>
            <w:webHidden/>
          </w:rPr>
          <w:fldChar w:fldCharType="end"/>
        </w:r>
      </w:hyperlink>
    </w:p>
    <w:p w14:paraId="25F4AA31" w14:textId="3CC7AA0B" w:rsidR="00D0528E" w:rsidRDefault="0066026E">
      <w:pPr>
        <w:pStyle w:val="TOC1"/>
        <w:rPr>
          <w:rFonts w:asciiTheme="minorHAnsi" w:eastAsiaTheme="minorEastAsia" w:hAnsiTheme="minorHAnsi" w:cstheme="minorBidi"/>
          <w:b w:val="0"/>
          <w:sz w:val="22"/>
          <w:szCs w:val="22"/>
        </w:rPr>
      </w:pPr>
      <w:hyperlink w:anchor="_Toc122679388" w:history="1">
        <w:r w:rsidR="00D0528E" w:rsidRPr="009A4D20">
          <w:rPr>
            <w:rStyle w:val="Hyperlink"/>
          </w:rPr>
          <w:t>5</w:t>
        </w:r>
        <w:r w:rsidR="00D0528E">
          <w:rPr>
            <w:rFonts w:asciiTheme="minorHAnsi" w:eastAsiaTheme="minorEastAsia" w:hAnsiTheme="minorHAnsi" w:cstheme="minorBidi"/>
            <w:b w:val="0"/>
            <w:sz w:val="22"/>
            <w:szCs w:val="22"/>
          </w:rPr>
          <w:tab/>
        </w:r>
        <w:r w:rsidR="00D0528E" w:rsidRPr="009A4D20">
          <w:rPr>
            <w:rStyle w:val="Hyperlink"/>
          </w:rPr>
          <w:t>Appendix</w:t>
        </w:r>
        <w:r w:rsidR="00D0528E">
          <w:rPr>
            <w:webHidden/>
          </w:rPr>
          <w:tab/>
        </w:r>
        <w:r w:rsidR="00D0528E">
          <w:rPr>
            <w:webHidden/>
          </w:rPr>
          <w:fldChar w:fldCharType="begin"/>
        </w:r>
        <w:r w:rsidR="00D0528E">
          <w:rPr>
            <w:webHidden/>
          </w:rPr>
          <w:instrText xml:space="preserve"> PAGEREF _Toc122679388 \h </w:instrText>
        </w:r>
        <w:r w:rsidR="00D0528E">
          <w:rPr>
            <w:webHidden/>
          </w:rPr>
        </w:r>
        <w:r w:rsidR="00D0528E">
          <w:rPr>
            <w:webHidden/>
          </w:rPr>
          <w:fldChar w:fldCharType="separate"/>
        </w:r>
        <w:r w:rsidR="00950D7E">
          <w:rPr>
            <w:webHidden/>
          </w:rPr>
          <w:t>36</w:t>
        </w:r>
        <w:r w:rsidR="00D0528E">
          <w:rPr>
            <w:webHidden/>
          </w:rPr>
          <w:fldChar w:fldCharType="end"/>
        </w:r>
      </w:hyperlink>
    </w:p>
    <w:p w14:paraId="3631D645" w14:textId="0D216576" w:rsidR="00D0528E" w:rsidRDefault="0066026E">
      <w:pPr>
        <w:pStyle w:val="TOC2"/>
        <w:rPr>
          <w:rFonts w:asciiTheme="minorHAnsi" w:eastAsiaTheme="minorEastAsia" w:hAnsiTheme="minorHAnsi" w:cstheme="minorBidi"/>
          <w:b w:val="0"/>
          <w:i w:val="0"/>
          <w:sz w:val="22"/>
          <w:szCs w:val="22"/>
        </w:rPr>
      </w:pPr>
      <w:hyperlink w:anchor="_Toc122679389" w:history="1">
        <w:r w:rsidR="00D0528E" w:rsidRPr="009A4D20">
          <w:rPr>
            <w:rStyle w:val="Hyperlink"/>
          </w:rPr>
          <w:t>5.1</w:t>
        </w:r>
        <w:r w:rsidR="00D0528E">
          <w:rPr>
            <w:rFonts w:asciiTheme="minorHAnsi" w:eastAsiaTheme="minorEastAsia" w:hAnsiTheme="minorHAnsi" w:cstheme="minorBidi"/>
            <w:b w:val="0"/>
            <w:i w:val="0"/>
            <w:sz w:val="22"/>
            <w:szCs w:val="22"/>
          </w:rPr>
          <w:tab/>
        </w:r>
        <w:r w:rsidR="00D0528E" w:rsidRPr="009A4D20">
          <w:rPr>
            <w:rStyle w:val="Hyperlink"/>
          </w:rPr>
          <w:t>Summary of individual communications made in relation to the CRPD and Optional Protocol for Australia</w:t>
        </w:r>
        <w:r w:rsidR="00D0528E">
          <w:rPr>
            <w:webHidden/>
          </w:rPr>
          <w:tab/>
        </w:r>
        <w:r w:rsidR="00D0528E">
          <w:rPr>
            <w:webHidden/>
          </w:rPr>
          <w:fldChar w:fldCharType="begin"/>
        </w:r>
        <w:r w:rsidR="00D0528E">
          <w:rPr>
            <w:webHidden/>
          </w:rPr>
          <w:instrText xml:space="preserve"> PAGEREF _Toc122679389 \h </w:instrText>
        </w:r>
        <w:r w:rsidR="00D0528E">
          <w:rPr>
            <w:webHidden/>
          </w:rPr>
        </w:r>
        <w:r w:rsidR="00D0528E">
          <w:rPr>
            <w:webHidden/>
          </w:rPr>
          <w:fldChar w:fldCharType="separate"/>
        </w:r>
        <w:r w:rsidR="00950D7E">
          <w:rPr>
            <w:webHidden/>
          </w:rPr>
          <w:t>36</w:t>
        </w:r>
        <w:r w:rsidR="00D0528E">
          <w:rPr>
            <w:webHidden/>
          </w:rPr>
          <w:fldChar w:fldCharType="end"/>
        </w:r>
      </w:hyperlink>
    </w:p>
    <w:p w14:paraId="4C3A66D6" w14:textId="30F5DEF2" w:rsidR="001C76DD" w:rsidRDefault="000B5B68" w:rsidP="005958D8">
      <w:pPr>
        <w:pStyle w:val="Heading1"/>
        <w:numPr>
          <w:ilvl w:val="0"/>
          <w:numId w:val="0"/>
        </w:numPr>
        <w:ind w:left="851"/>
      </w:pPr>
      <w:r w:rsidRPr="000465F1">
        <w:fldChar w:fldCharType="end"/>
      </w:r>
      <w:bookmarkStart w:id="1" w:name="_Toc118299547"/>
      <w:bookmarkStart w:id="2" w:name="_Toc207761830"/>
      <w:bookmarkStart w:id="3" w:name="_Toc209578266"/>
      <w:bookmarkStart w:id="4" w:name="_Toc209941766"/>
    </w:p>
    <w:p w14:paraId="3525AA52" w14:textId="77777777" w:rsidR="001C76DD" w:rsidRDefault="001C76DD">
      <w:pPr>
        <w:spacing w:before="0" w:after="0"/>
        <w:rPr>
          <w:b/>
          <w:bCs/>
          <w:sz w:val="36"/>
          <w:szCs w:val="28"/>
        </w:rPr>
      </w:pPr>
      <w:r>
        <w:br w:type="page"/>
      </w:r>
    </w:p>
    <w:p w14:paraId="3B2CDA86" w14:textId="7787F096" w:rsidR="003026A0" w:rsidRDefault="00176E3E">
      <w:pPr>
        <w:pStyle w:val="Heading1"/>
      </w:pPr>
      <w:bookmarkStart w:id="5" w:name="_Toc122679364"/>
      <w:r>
        <w:lastRenderedPageBreak/>
        <w:t>Introduction</w:t>
      </w:r>
      <w:bookmarkEnd w:id="1"/>
      <w:bookmarkEnd w:id="5"/>
      <w:r>
        <w:t xml:space="preserve"> </w:t>
      </w:r>
    </w:p>
    <w:p w14:paraId="44AC53A1" w14:textId="223DFA5A" w:rsidR="00216535" w:rsidRDefault="790E9156" w:rsidP="00216535">
      <w:r>
        <w:t xml:space="preserve">The Australian Human Rights Commission (the Commission) welcomes the opportunity to provide </w:t>
      </w:r>
      <w:r w:rsidR="2B49B547">
        <w:t xml:space="preserve">a </w:t>
      </w:r>
      <w:r w:rsidR="00A83161">
        <w:t>wr</w:t>
      </w:r>
      <w:r w:rsidR="2B49B547">
        <w:t>itten</w:t>
      </w:r>
      <w:r>
        <w:t xml:space="preserve"> submission to the Royal Commission into Violence, Abuse, Neglect and Exploitation of People with Disability (the Royal Commission).</w:t>
      </w:r>
    </w:p>
    <w:p w14:paraId="08F5C5A3" w14:textId="15D6BCC8" w:rsidR="00216535" w:rsidRDefault="00216535" w:rsidP="00216535">
      <w:r>
        <w:t>The Commission is Australia’s National Human Rights Institution, with recognised independent status and roles in United Nations human rights fora. The Commission’s purpose is to provide independent and impartial services to promote and protect human rights and fundamental freedoms. The Commission undertakes a range of policy development and research tasks that aim to promote compliance with Australia's human rights obligations, while also investigating and conciliating complaints of unlawful discrimination and breaches of human rights.</w:t>
      </w:r>
    </w:p>
    <w:p w14:paraId="6F84F3B7" w14:textId="34A17088" w:rsidR="00216535" w:rsidRDefault="00216535" w:rsidP="00216535">
      <w:r>
        <w:t>The Royal Commission provides an important opportunity to prevent and redress violence, abuse, neglect and exploitation of people with disability. More generally, the Royal Commission has the potential to play a key role in upholding the equality, dignity and autonomy of people with disability and ensuring their full participation and inclusion in Australian society. Ultimately this will benefit all Australians, with and without disability.</w:t>
      </w:r>
    </w:p>
    <w:p w14:paraId="05D81094" w14:textId="0B82231B" w:rsidR="00216535" w:rsidRDefault="00216535" w:rsidP="00216535">
      <w:r>
        <w:t>The Commission welcomes the endorsement of a human rights-based approach in the Royal Commission’s Terms of Reference. The Commission also welcomes the recognition in the Terms of Reference of the intersectional nature of discrimination and disadvantage, noting that the specific experiences of people with disability are multilayered and can be influenced by experiences associated with age, sex, gender, gender identity, sexual orientation, intersex status, ethnic origin and race.</w:t>
      </w:r>
    </w:p>
    <w:p w14:paraId="67180E64" w14:textId="6BA338CF" w:rsidR="00DB377B" w:rsidRPr="00A7284A" w:rsidRDefault="00DB377B" w:rsidP="00216535">
      <w:r w:rsidRPr="00DB377B">
        <w:t xml:space="preserve">This submission addresses </w:t>
      </w:r>
      <w:r w:rsidR="000109B5">
        <w:t>Australia’s implementation of the United Nations Convention on the Rights of Persons with Disabilities (CRPD)</w:t>
      </w:r>
      <w:r w:rsidRPr="00DB377B">
        <w:t>. Th</w:t>
      </w:r>
      <w:r w:rsidR="00394F93">
        <w:t>e</w:t>
      </w:r>
      <w:r w:rsidRPr="00DB377B">
        <w:t xml:space="preserve"> submission provides: </w:t>
      </w:r>
      <w:r w:rsidRPr="000E550C">
        <w:t xml:space="preserve">an overview of </w:t>
      </w:r>
      <w:r w:rsidR="009A2AC2" w:rsidRPr="000E550C">
        <w:t xml:space="preserve">the </w:t>
      </w:r>
      <w:r w:rsidR="000E550C" w:rsidRPr="000E550C">
        <w:t>CRPD and its effect on Australian legislation and policy</w:t>
      </w:r>
      <w:r w:rsidRPr="000E550C">
        <w:t xml:space="preserve">; </w:t>
      </w:r>
      <w:r w:rsidR="008F3A66">
        <w:t xml:space="preserve">and </w:t>
      </w:r>
      <w:r w:rsidRPr="000E550C">
        <w:t xml:space="preserve">an analysis of </w:t>
      </w:r>
      <w:r w:rsidR="009A2AC2" w:rsidRPr="000E550C">
        <w:t>Australia’s implementation of individual articles of the CRPD. Overall</w:t>
      </w:r>
      <w:r w:rsidR="009A2AC2">
        <w:t xml:space="preserve">, </w:t>
      </w:r>
      <w:r w:rsidR="00DA1555">
        <w:t xml:space="preserve">the Commission aims to provide </w:t>
      </w:r>
      <w:r w:rsidRPr="00DB377B">
        <w:t xml:space="preserve">a human rights perspective on particular issues </w:t>
      </w:r>
      <w:r w:rsidR="007A50E7">
        <w:t xml:space="preserve">that were not raised in </w:t>
      </w:r>
      <w:r w:rsidR="00E82C67">
        <w:t xml:space="preserve">its </w:t>
      </w:r>
      <w:r w:rsidR="007A50E7">
        <w:t>previous submissions to the Royal Commission</w:t>
      </w:r>
      <w:r w:rsidR="00DD010D" w:rsidRPr="00DD010D">
        <w:t xml:space="preserve"> </w:t>
      </w:r>
      <w:r w:rsidR="00DD010D">
        <w:t xml:space="preserve">or </w:t>
      </w:r>
      <w:r w:rsidR="00DD010D" w:rsidRPr="00DD010D">
        <w:t>remain unresolved</w:t>
      </w:r>
      <w:r w:rsidR="00C97D55">
        <w:t xml:space="preserve"> and of critical importance</w:t>
      </w:r>
      <w:r w:rsidR="00DA1555">
        <w:t>,</w:t>
      </w:r>
      <w:r w:rsidRPr="00DB377B">
        <w:t xml:space="preserve"> and </w:t>
      </w:r>
      <w:r w:rsidR="00B528B7">
        <w:t xml:space="preserve">provide </w:t>
      </w:r>
      <w:r w:rsidRPr="00DB377B">
        <w:t>a number of recommendations to improve the right</w:t>
      </w:r>
      <w:r w:rsidR="00C97D55">
        <w:t>s</w:t>
      </w:r>
      <w:r w:rsidRPr="00DB377B">
        <w:t xml:space="preserve"> </w:t>
      </w:r>
      <w:r w:rsidR="00C97D55">
        <w:t>of</w:t>
      </w:r>
      <w:r w:rsidRPr="00DB377B">
        <w:t xml:space="preserve"> people with disability in Australia.</w:t>
      </w:r>
    </w:p>
    <w:p w14:paraId="55B19B73" w14:textId="62744D08" w:rsidR="00EF682D" w:rsidRDefault="00930121">
      <w:pPr>
        <w:pStyle w:val="AHRCHeading2"/>
      </w:pPr>
      <w:bookmarkStart w:id="6" w:name="_Toc118299548"/>
      <w:bookmarkStart w:id="7" w:name="_Toc122679365"/>
      <w:r>
        <w:lastRenderedPageBreak/>
        <w:t>E</w:t>
      </w:r>
      <w:r w:rsidR="00344CF9">
        <w:t>ngagement with</w:t>
      </w:r>
      <w:r w:rsidR="00EF682D" w:rsidDel="00335822">
        <w:t xml:space="preserve"> </w:t>
      </w:r>
      <w:r w:rsidR="00EF682D">
        <w:t xml:space="preserve">the Royal Commission </w:t>
      </w:r>
      <w:r w:rsidR="00335822">
        <w:t>to date</w:t>
      </w:r>
      <w:bookmarkEnd w:id="6"/>
      <w:bookmarkEnd w:id="7"/>
    </w:p>
    <w:p w14:paraId="330EDE3F" w14:textId="556681AA" w:rsidR="0011222B" w:rsidRDefault="001509AE" w:rsidP="00150D10">
      <w:r>
        <w:t>T</w:t>
      </w:r>
      <w:r w:rsidR="000D3529">
        <w:t>he Commission’s contribution</w:t>
      </w:r>
      <w:r w:rsidR="00DB3959">
        <w:t xml:space="preserve"> to the Royal Commission</w:t>
      </w:r>
      <w:r w:rsidR="000D3529">
        <w:t xml:space="preserve"> includes </w:t>
      </w:r>
      <w:r w:rsidR="0075147D">
        <w:t xml:space="preserve">attendance </w:t>
      </w:r>
      <w:r w:rsidR="006A02AD">
        <w:t>at</w:t>
      </w:r>
      <w:r w:rsidR="0075147D">
        <w:t xml:space="preserve"> hearings by Commissioners: </w:t>
      </w:r>
    </w:p>
    <w:p w14:paraId="51F1C1B9" w14:textId="41C01E87" w:rsidR="0075147D" w:rsidRDefault="00BB09A6" w:rsidP="00703F9F">
      <w:pPr>
        <w:pStyle w:val="ListParagraph"/>
        <w:numPr>
          <w:ilvl w:val="0"/>
          <w:numId w:val="28"/>
        </w:numPr>
      </w:pPr>
      <w:r>
        <w:t xml:space="preserve">Race </w:t>
      </w:r>
      <w:r w:rsidR="000B37FE">
        <w:t xml:space="preserve">Discrimination Commissioner Chin Tan’s </w:t>
      </w:r>
      <w:r w:rsidR="00703F9F">
        <w:t xml:space="preserve">appearance at </w:t>
      </w:r>
      <w:r w:rsidR="00496D84">
        <w:t>p</w:t>
      </w:r>
      <w:r w:rsidR="000B37FE" w:rsidRPr="000B37FE">
        <w:t>ublic hearing 29</w:t>
      </w:r>
      <w:r w:rsidR="00A87A5B">
        <w:t xml:space="preserve"> on 27 October 2022</w:t>
      </w:r>
      <w:r w:rsidR="000B37FE" w:rsidRPr="000B37FE">
        <w:t>: The experience of violence against, abuse, neglect and exploitation of people with disability from culturally and linguistically diverse communities</w:t>
      </w:r>
      <w:r>
        <w:t>.</w:t>
      </w:r>
    </w:p>
    <w:p w14:paraId="25683DDD" w14:textId="7DE24CA9" w:rsidR="00C31ED4" w:rsidRDefault="00450A17" w:rsidP="00703F9F">
      <w:pPr>
        <w:pStyle w:val="ListParagraph"/>
        <w:numPr>
          <w:ilvl w:val="0"/>
          <w:numId w:val="28"/>
        </w:numPr>
      </w:pPr>
      <w:r>
        <w:t xml:space="preserve">A statement issued by Disability Discrimination Commissioner Dr Ben Gauntlett </w:t>
      </w:r>
      <w:r w:rsidR="00730AF1">
        <w:t>on 3 December 2020</w:t>
      </w:r>
      <w:r w:rsidR="006C2274">
        <w:t xml:space="preserve"> </w:t>
      </w:r>
      <w:r w:rsidR="009435BC">
        <w:t xml:space="preserve">outlining the details of the </w:t>
      </w:r>
      <w:r w:rsidR="00696CA7">
        <w:t xml:space="preserve">Commission’s 24 September </w:t>
      </w:r>
      <w:r w:rsidR="00447FCD">
        <w:t xml:space="preserve">2020 </w:t>
      </w:r>
      <w:r w:rsidR="00696CA7">
        <w:t>submission</w:t>
      </w:r>
      <w:r w:rsidR="00E2119A">
        <w:t xml:space="preserve"> and other relevant recommendations. </w:t>
      </w:r>
    </w:p>
    <w:p w14:paraId="5FFA44B5" w14:textId="43BD0BCC" w:rsidR="00450A17" w:rsidRPr="00150D10" w:rsidRDefault="00853EE3" w:rsidP="00703F9F">
      <w:pPr>
        <w:pStyle w:val="ListParagraph"/>
        <w:numPr>
          <w:ilvl w:val="0"/>
          <w:numId w:val="28"/>
        </w:numPr>
      </w:pPr>
      <w:r w:rsidRPr="00853EE3">
        <w:t xml:space="preserve">Disability Discrimination Commissioner Dr Ben </w:t>
      </w:r>
      <w:proofErr w:type="spellStart"/>
      <w:r w:rsidRPr="00853EE3">
        <w:t>Gauntlett</w:t>
      </w:r>
      <w:r>
        <w:t>’s</w:t>
      </w:r>
      <w:proofErr w:type="spellEnd"/>
      <w:r>
        <w:t xml:space="preserve"> appearance </w:t>
      </w:r>
      <w:r w:rsidR="003B19B9">
        <w:t>at</w:t>
      </w:r>
      <w:r w:rsidRPr="00853EE3">
        <w:t xml:space="preserve"> </w:t>
      </w:r>
      <w:r w:rsidR="00496D84">
        <w:t>p</w:t>
      </w:r>
      <w:r w:rsidR="003B19B9" w:rsidRPr="003B19B9">
        <w:t>ublic hearing 9</w:t>
      </w:r>
      <w:r w:rsidR="004D122D">
        <w:t xml:space="preserve"> on 11 December 2020</w:t>
      </w:r>
      <w:r w:rsidR="003B19B9" w:rsidRPr="003B19B9">
        <w:t>: Pathways and barriers to open employment for people with disability</w:t>
      </w:r>
      <w:r w:rsidR="008C5BE3">
        <w:t xml:space="preserve">. </w:t>
      </w:r>
    </w:p>
    <w:p w14:paraId="639EBE42" w14:textId="7401D3E7" w:rsidR="001E56B4" w:rsidRDefault="001E56B4" w:rsidP="001E56B4">
      <w:r>
        <w:t>The Commission has made</w:t>
      </w:r>
      <w:r w:rsidR="00BF3FB3">
        <w:t xml:space="preserve"> the following</w:t>
      </w:r>
      <w:r>
        <w:t xml:space="preserve"> </w:t>
      </w:r>
      <w:r w:rsidR="004C15B4">
        <w:t xml:space="preserve">four </w:t>
      </w:r>
      <w:r>
        <w:t>submissions to the Royal Commission since its</w:t>
      </w:r>
      <w:r w:rsidR="00572FA5">
        <w:t xml:space="preserve"> establishment: </w:t>
      </w:r>
    </w:p>
    <w:p w14:paraId="4FFF7209" w14:textId="7BEB1F3E" w:rsidR="00572FA5" w:rsidRPr="00572FA5" w:rsidRDefault="003C3980">
      <w:pPr>
        <w:pStyle w:val="ListParagraph"/>
        <w:numPr>
          <w:ilvl w:val="0"/>
          <w:numId w:val="21"/>
        </w:numPr>
        <w:rPr>
          <w:rFonts w:cs="Open Sans"/>
          <w:lang w:val="en-US"/>
        </w:rPr>
      </w:pPr>
      <w:r>
        <w:rPr>
          <w:rFonts w:cs="Open Sans"/>
          <w:lang w:val="en-US"/>
        </w:rPr>
        <w:t xml:space="preserve">Response to the </w:t>
      </w:r>
      <w:r w:rsidR="003515B3" w:rsidRPr="003C3980">
        <w:rPr>
          <w:rFonts w:cs="Open Sans"/>
          <w:i/>
          <w:lang w:val="en-US"/>
        </w:rPr>
        <w:t>Inclusive Education for People with Disability</w:t>
      </w:r>
      <w:r w:rsidR="003515B3">
        <w:rPr>
          <w:rFonts w:cs="Open Sans"/>
          <w:i/>
          <w:lang w:val="en-US"/>
        </w:rPr>
        <w:t xml:space="preserve"> </w:t>
      </w:r>
      <w:r>
        <w:rPr>
          <w:rFonts w:cs="Open Sans"/>
          <w:i/>
          <w:iCs/>
          <w:lang w:val="en-US"/>
        </w:rPr>
        <w:t>Issues Paper</w:t>
      </w:r>
      <w:r w:rsidR="003515B3" w:rsidRPr="00572FA5">
        <w:rPr>
          <w:rFonts w:cs="Open Sans"/>
          <w:lang w:val="en-US"/>
        </w:rPr>
        <w:t xml:space="preserve"> </w:t>
      </w:r>
      <w:r w:rsidR="00572FA5" w:rsidRPr="00572FA5">
        <w:rPr>
          <w:rFonts w:cs="Open Sans"/>
          <w:lang w:val="en-US"/>
        </w:rPr>
        <w:t>(19 December 2019)</w:t>
      </w:r>
    </w:p>
    <w:p w14:paraId="5FBE499A" w14:textId="3F7DDAEF" w:rsidR="00572FA5" w:rsidRDefault="00760636">
      <w:pPr>
        <w:pStyle w:val="ListParagraph"/>
        <w:numPr>
          <w:ilvl w:val="0"/>
          <w:numId w:val="21"/>
        </w:numPr>
      </w:pPr>
      <w:r>
        <w:rPr>
          <w:rFonts w:cs="Open Sans"/>
          <w:lang w:val="en-US"/>
        </w:rPr>
        <w:t xml:space="preserve">Response to the </w:t>
      </w:r>
      <w:r w:rsidR="00572FA5" w:rsidRPr="00760636">
        <w:rPr>
          <w:rFonts w:cs="Open Sans"/>
          <w:i/>
          <w:lang w:val="en-US"/>
        </w:rPr>
        <w:t xml:space="preserve">People with Disability and the Criminal Justice System </w:t>
      </w:r>
      <w:r>
        <w:rPr>
          <w:rFonts w:cs="Open Sans"/>
          <w:i/>
          <w:iCs/>
          <w:lang w:val="en-US"/>
        </w:rPr>
        <w:t>Issues Paper</w:t>
      </w:r>
      <w:r w:rsidR="00572FA5" w:rsidRPr="00572FA5">
        <w:rPr>
          <w:rFonts w:cs="Open Sans"/>
          <w:lang w:val="en-US"/>
        </w:rPr>
        <w:t xml:space="preserve"> (20 March 2020)</w:t>
      </w:r>
    </w:p>
    <w:p w14:paraId="270A2585" w14:textId="1C095781" w:rsidR="004C15B4" w:rsidRPr="004C15B4" w:rsidRDefault="00760636">
      <w:pPr>
        <w:pStyle w:val="ListParagraph"/>
        <w:numPr>
          <w:ilvl w:val="0"/>
          <w:numId w:val="21"/>
        </w:numPr>
      </w:pPr>
      <w:r>
        <w:rPr>
          <w:rFonts w:cs="Open Sans"/>
          <w:lang w:val="en-US"/>
        </w:rPr>
        <w:t xml:space="preserve">Response to the </w:t>
      </w:r>
      <w:r w:rsidR="003515B3" w:rsidRPr="00760636">
        <w:rPr>
          <w:rFonts w:cs="Open Sans"/>
          <w:i/>
          <w:lang w:val="en-US"/>
        </w:rPr>
        <w:t xml:space="preserve">People with Disability and Employment </w:t>
      </w:r>
      <w:r>
        <w:rPr>
          <w:rFonts w:cs="Open Sans"/>
          <w:i/>
          <w:iCs/>
          <w:lang w:val="en-US"/>
        </w:rPr>
        <w:t>Issues Paper</w:t>
      </w:r>
      <w:r w:rsidR="003515B3" w:rsidRPr="00572FA5">
        <w:rPr>
          <w:rFonts w:cs="Open Sans"/>
          <w:lang w:val="en-US"/>
        </w:rPr>
        <w:t xml:space="preserve"> </w:t>
      </w:r>
      <w:r w:rsidR="00572FA5" w:rsidRPr="00572FA5">
        <w:rPr>
          <w:rFonts w:cs="Open Sans"/>
          <w:lang w:val="en-US"/>
        </w:rPr>
        <w:t>(24 September 2020)</w:t>
      </w:r>
    </w:p>
    <w:p w14:paraId="3F892729" w14:textId="052B4BB8" w:rsidR="00572FA5" w:rsidRPr="00BE27E6" w:rsidRDefault="00DD2927">
      <w:pPr>
        <w:pStyle w:val="ListParagraph"/>
        <w:numPr>
          <w:ilvl w:val="0"/>
          <w:numId w:val="21"/>
        </w:numPr>
      </w:pPr>
      <w:r>
        <w:rPr>
          <w:rFonts w:cs="Open Sans"/>
          <w:lang w:val="en-US"/>
        </w:rPr>
        <w:t>N</w:t>
      </w:r>
      <w:r w:rsidR="004C15B4" w:rsidRPr="004C15B4">
        <w:rPr>
          <w:rFonts w:cs="Open Sans"/>
          <w:lang w:val="en-US"/>
        </w:rPr>
        <w:t xml:space="preserve">ational Preventive Mechanisms: a formal safeguard for people with disability </w:t>
      </w:r>
      <w:r>
        <w:rPr>
          <w:rFonts w:cs="Open Sans"/>
          <w:lang w:val="en-US"/>
        </w:rPr>
        <w:t>(23 September 2022)</w:t>
      </w:r>
      <w:r w:rsidR="00BF3FB3">
        <w:rPr>
          <w:rFonts w:cs="Open Sans"/>
          <w:lang w:val="en-US"/>
        </w:rPr>
        <w:t>.</w:t>
      </w:r>
    </w:p>
    <w:p w14:paraId="6BC795A3" w14:textId="3876D707" w:rsidR="009C6547" w:rsidRDefault="00837495" w:rsidP="00090BD7">
      <w:pPr>
        <w:pStyle w:val="AHRCHeading2"/>
      </w:pPr>
      <w:bookmarkStart w:id="8" w:name="_Toc122679366"/>
      <w:r>
        <w:t>Need for additional time and clarity as to approach of Royal Commission</w:t>
      </w:r>
      <w:bookmarkEnd w:id="8"/>
    </w:p>
    <w:p w14:paraId="16D34883" w14:textId="1A6B762B" w:rsidR="006D65D3" w:rsidRDefault="009854FD" w:rsidP="009854FD">
      <w:r>
        <w:t xml:space="preserve">The Commission acknowledges the </w:t>
      </w:r>
      <w:r w:rsidR="00F2370D">
        <w:t>broad nature of the Royal Commission’s Terms of Reference and</w:t>
      </w:r>
      <w:r w:rsidR="004A1159">
        <w:t xml:space="preserve"> the challenges </w:t>
      </w:r>
      <w:r w:rsidR="00691C25">
        <w:t xml:space="preserve">for the Royal Commission in undertaking </w:t>
      </w:r>
      <w:r w:rsidR="00EC20EF">
        <w:t>its work during a</w:t>
      </w:r>
      <w:r w:rsidR="00FF5298">
        <w:t xml:space="preserve"> multi-year </w:t>
      </w:r>
      <w:r w:rsidR="00EC20EF">
        <w:t>global pandemi</w:t>
      </w:r>
      <w:r w:rsidR="0058439B">
        <w:t>c</w:t>
      </w:r>
      <w:r w:rsidR="000E4627">
        <w:t xml:space="preserve">. </w:t>
      </w:r>
      <w:r w:rsidR="00FD48F8">
        <w:t>During this</w:t>
      </w:r>
      <w:r w:rsidR="003B34A7">
        <w:t xml:space="preserve"> </w:t>
      </w:r>
      <w:r w:rsidR="00FD48F8">
        <w:t>time</w:t>
      </w:r>
      <w:r w:rsidR="003B34A7">
        <w:t>, t</w:t>
      </w:r>
      <w:r w:rsidR="000E4627">
        <w:t xml:space="preserve">here have also been significant </w:t>
      </w:r>
      <w:r w:rsidR="00A43BB5">
        <w:t>ongoing</w:t>
      </w:r>
      <w:r w:rsidR="00D827ED">
        <w:t xml:space="preserve"> legislative </w:t>
      </w:r>
      <w:r w:rsidR="00B037BB">
        <w:t>and policy reviews relating to people with disability in Australia.</w:t>
      </w:r>
      <w:r w:rsidR="009A4290">
        <w:t xml:space="preserve"> </w:t>
      </w:r>
      <w:r w:rsidR="00F8075A">
        <w:t xml:space="preserve">This has meant </w:t>
      </w:r>
      <w:r w:rsidR="001F1A0F">
        <w:t xml:space="preserve">the issues to be examined by the Royal Commission have changed over time. </w:t>
      </w:r>
    </w:p>
    <w:p w14:paraId="627F839F" w14:textId="396178BC" w:rsidR="00B037BB" w:rsidRDefault="000B5A09" w:rsidP="009854FD">
      <w:r>
        <w:t xml:space="preserve">People with disability, </w:t>
      </w:r>
      <w:r w:rsidR="002259D1">
        <w:t xml:space="preserve">Disability Representative Organisations and Disabled Peoples’ </w:t>
      </w:r>
      <w:r w:rsidR="00E27C2B">
        <w:t xml:space="preserve">Organisations </w:t>
      </w:r>
      <w:r w:rsidR="00B620C2">
        <w:t xml:space="preserve">have </w:t>
      </w:r>
      <w:r w:rsidR="001C1784">
        <w:t xml:space="preserve">been required to make </w:t>
      </w:r>
      <w:r w:rsidR="00970062">
        <w:t>themselves available for significant amounts of</w:t>
      </w:r>
      <w:r w:rsidR="0043582D">
        <w:t xml:space="preserve"> consultation </w:t>
      </w:r>
      <w:r w:rsidR="000F7BAC">
        <w:t xml:space="preserve">and </w:t>
      </w:r>
      <w:r w:rsidR="009B6863">
        <w:t xml:space="preserve">draft </w:t>
      </w:r>
      <w:r w:rsidR="000F7BAC">
        <w:t>submissions</w:t>
      </w:r>
      <w:r w:rsidR="009B6863">
        <w:t xml:space="preserve"> </w:t>
      </w:r>
      <w:r w:rsidR="00043B26">
        <w:t xml:space="preserve">for numerous </w:t>
      </w:r>
      <w:r w:rsidR="00784B9D">
        <w:lastRenderedPageBreak/>
        <w:t>enquiries</w:t>
      </w:r>
      <w:r w:rsidR="00BF04D1">
        <w:t xml:space="preserve">. </w:t>
      </w:r>
      <w:r w:rsidR="00EE05AD">
        <w:t>Combined with the effect of the global pandemic</w:t>
      </w:r>
      <w:r w:rsidR="00B84D7D">
        <w:t>,</w:t>
      </w:r>
      <w:r w:rsidR="00EE05AD">
        <w:t xml:space="preserve"> this has meant that </w:t>
      </w:r>
      <w:r w:rsidR="00CD1405">
        <w:t xml:space="preserve">already </w:t>
      </w:r>
      <w:r w:rsidR="00DD398D">
        <w:t>resource</w:t>
      </w:r>
      <w:r w:rsidR="00B84D7D">
        <w:t>-</w:t>
      </w:r>
      <w:r w:rsidR="00EC7BB1">
        <w:t xml:space="preserve">constrained </w:t>
      </w:r>
      <w:r w:rsidR="00DD398D">
        <w:t xml:space="preserve">individuals and organisations have had a </w:t>
      </w:r>
      <w:r w:rsidR="0001306F">
        <w:t>significant</w:t>
      </w:r>
      <w:r w:rsidR="00DD398D">
        <w:t xml:space="preserve"> workload. </w:t>
      </w:r>
      <w:r w:rsidR="00EC7BB1">
        <w:t xml:space="preserve"> </w:t>
      </w:r>
      <w:r w:rsidR="00784B9D">
        <w:t xml:space="preserve"> </w:t>
      </w:r>
    </w:p>
    <w:p w14:paraId="5AD43A03" w14:textId="6B619F08" w:rsidR="00A8581D" w:rsidRDefault="00E81481" w:rsidP="009854FD">
      <w:r>
        <w:t>Territory,</w:t>
      </w:r>
      <w:r w:rsidR="00A32D6C">
        <w:t xml:space="preserve"> State and Federal Hu</w:t>
      </w:r>
      <w:r w:rsidR="00687985">
        <w:t>man Rights or Anti-Discrimination bodies have been similarly resource</w:t>
      </w:r>
      <w:r w:rsidR="00B84D7D">
        <w:t>-</w:t>
      </w:r>
      <w:r w:rsidR="00687985">
        <w:t>constrained</w:t>
      </w:r>
      <w:r w:rsidR="009205C4">
        <w:t>.</w:t>
      </w:r>
      <w:r w:rsidR="00687985">
        <w:t xml:space="preserve"> </w:t>
      </w:r>
      <w:r w:rsidR="00A8581D">
        <w:t xml:space="preserve">For example, </w:t>
      </w:r>
      <w:r w:rsidR="00CB6BC4">
        <w:t xml:space="preserve">over the period of the Royal Commission, </w:t>
      </w:r>
      <w:r w:rsidR="00A8581D">
        <w:t xml:space="preserve">the Disability Rights Team at the Commission </w:t>
      </w:r>
      <w:r w:rsidR="001773F9">
        <w:t xml:space="preserve">has </w:t>
      </w:r>
      <w:r w:rsidR="00EE1569">
        <w:t xml:space="preserve">had </w:t>
      </w:r>
      <w:r w:rsidR="001773F9">
        <w:t xml:space="preserve">a </w:t>
      </w:r>
      <w:r w:rsidR="004F39F6">
        <w:t xml:space="preserve">maximum </w:t>
      </w:r>
      <w:r w:rsidR="00042032">
        <w:t xml:space="preserve">policy </w:t>
      </w:r>
      <w:r w:rsidR="004F39F6">
        <w:t xml:space="preserve">staffing in the team of a </w:t>
      </w:r>
      <w:r w:rsidR="001773F9">
        <w:t xml:space="preserve">Commissioner and two policy staff. </w:t>
      </w:r>
      <w:r w:rsidR="001C5AE2">
        <w:t xml:space="preserve">At material times throughout the life of the </w:t>
      </w:r>
      <w:r w:rsidR="000819A5">
        <w:t xml:space="preserve">Royal </w:t>
      </w:r>
      <w:r w:rsidR="001C5AE2">
        <w:t>Commission</w:t>
      </w:r>
      <w:r w:rsidR="0077157E">
        <w:t>,</w:t>
      </w:r>
      <w:r w:rsidR="001C5AE2">
        <w:t xml:space="preserve"> </w:t>
      </w:r>
      <w:r w:rsidR="004875E9">
        <w:t>the team</w:t>
      </w:r>
      <w:r w:rsidR="001C5AE2">
        <w:t xml:space="preserve"> has had </w:t>
      </w:r>
      <w:r w:rsidR="00503A05">
        <w:t>one or no policy staff to assist the Commissioner</w:t>
      </w:r>
      <w:r w:rsidR="002705B9">
        <w:t xml:space="preserve"> with policy matters</w:t>
      </w:r>
      <w:r w:rsidR="00503A05">
        <w:t xml:space="preserve">. </w:t>
      </w:r>
    </w:p>
    <w:p w14:paraId="584FC3F8" w14:textId="0E38CFC8" w:rsidR="00F96F3E" w:rsidRDefault="00F33A28" w:rsidP="009854FD">
      <w:r>
        <w:t>Given the unique circumstances of the Royal Commission</w:t>
      </w:r>
      <w:r w:rsidR="00CB5202">
        <w:t xml:space="preserve">, </w:t>
      </w:r>
      <w:r w:rsidR="008E401F">
        <w:t xml:space="preserve">the Commission is concerned </w:t>
      </w:r>
      <w:r w:rsidR="0077157E">
        <w:t xml:space="preserve">the final submission date of 31 December 2022 </w:t>
      </w:r>
      <w:r w:rsidR="00311059">
        <w:t xml:space="preserve">will prevent the critical input of people with disability into the </w:t>
      </w:r>
      <w:r w:rsidR="00A85963">
        <w:t xml:space="preserve">Royal Commission’s final recommendations. </w:t>
      </w:r>
      <w:r w:rsidR="00835002">
        <w:t xml:space="preserve">The interim report of the </w:t>
      </w:r>
      <w:r w:rsidR="00C219D9">
        <w:t xml:space="preserve">Royal Commission was released </w:t>
      </w:r>
      <w:r w:rsidR="00CC6A83">
        <w:t xml:space="preserve">over two years ago </w:t>
      </w:r>
      <w:r w:rsidR="00487383">
        <w:t>in October 2020.</w:t>
      </w:r>
      <w:r w:rsidR="00A075ED">
        <w:rPr>
          <w:rStyle w:val="EndnoteReference"/>
        </w:rPr>
        <w:endnoteReference w:id="2"/>
      </w:r>
      <w:r w:rsidR="00487383">
        <w:t xml:space="preserve"> </w:t>
      </w:r>
      <w:r w:rsidR="00A075ED">
        <w:t xml:space="preserve">The </w:t>
      </w:r>
      <w:r w:rsidR="00CC6C78">
        <w:t xml:space="preserve">interim report </w:t>
      </w:r>
      <w:r w:rsidR="000F69BA">
        <w:t xml:space="preserve">considered the </w:t>
      </w:r>
      <w:r w:rsidR="0092057F">
        <w:t xml:space="preserve">emerging themes and key issues in </w:t>
      </w:r>
      <w:r w:rsidR="00A71906">
        <w:t>general terms.</w:t>
      </w:r>
    </w:p>
    <w:p w14:paraId="1CFFDC02" w14:textId="6FC7492B" w:rsidR="00DA3C00" w:rsidRDefault="00DA3C00" w:rsidP="009854FD">
      <w:r>
        <w:t>Since that time</w:t>
      </w:r>
      <w:r w:rsidR="008C67EF">
        <w:t>,</w:t>
      </w:r>
      <w:r>
        <w:t xml:space="preserve"> </w:t>
      </w:r>
      <w:r w:rsidR="00BF353C">
        <w:t xml:space="preserve">eight leading </w:t>
      </w:r>
      <w:r w:rsidR="00C55203">
        <w:t xml:space="preserve">Disability Representative Organisations </w:t>
      </w:r>
      <w:r w:rsidR="00E20CD6">
        <w:t xml:space="preserve">have filed a joint submission </w:t>
      </w:r>
      <w:r w:rsidR="00A66F09">
        <w:t>on</w:t>
      </w:r>
      <w:r w:rsidR="004B0627">
        <w:t xml:space="preserve"> </w:t>
      </w:r>
      <w:r w:rsidR="00890B73" w:rsidRPr="004B0627">
        <w:rPr>
          <w:i/>
          <w:iCs/>
        </w:rPr>
        <w:t>Identified gaps in the scope of work undertaken by the Disability Royal Commission as at November 2022</w:t>
      </w:r>
      <w:r w:rsidR="00890B73">
        <w:t>.</w:t>
      </w:r>
      <w:r w:rsidR="00303F79">
        <w:rPr>
          <w:rStyle w:val="EndnoteReference"/>
        </w:rPr>
        <w:endnoteReference w:id="3"/>
      </w:r>
      <w:r w:rsidR="00890B73">
        <w:t xml:space="preserve"> </w:t>
      </w:r>
      <w:r w:rsidR="00407030">
        <w:t xml:space="preserve">Although </w:t>
      </w:r>
      <w:r w:rsidR="0088320B">
        <w:t xml:space="preserve">some of these </w:t>
      </w:r>
      <w:r w:rsidR="00C9338B">
        <w:t>gaps</w:t>
      </w:r>
      <w:r w:rsidR="0088320B">
        <w:t xml:space="preserve"> may </w:t>
      </w:r>
      <w:r w:rsidR="00C715CA">
        <w:t xml:space="preserve">have </w:t>
      </w:r>
      <w:r w:rsidR="0088320B">
        <w:t>be</w:t>
      </w:r>
      <w:r w:rsidR="00C715CA">
        <w:t xml:space="preserve">en </w:t>
      </w:r>
      <w:r w:rsidR="00C9338B">
        <w:t xml:space="preserve">dealt with </w:t>
      </w:r>
      <w:r w:rsidR="00251821">
        <w:t>by the Royal Commission</w:t>
      </w:r>
      <w:r w:rsidR="00C9338B">
        <w:t xml:space="preserve"> in private sessions</w:t>
      </w:r>
      <w:r w:rsidR="006172F2">
        <w:t xml:space="preserve">, closing submissions </w:t>
      </w:r>
      <w:r w:rsidR="004941FB">
        <w:t>to public hear</w:t>
      </w:r>
      <w:r w:rsidR="001942B4">
        <w:t xml:space="preserve">ings </w:t>
      </w:r>
      <w:r w:rsidR="006172F2">
        <w:t xml:space="preserve">of Counsel Assisting the </w:t>
      </w:r>
      <w:r w:rsidR="00E96583">
        <w:t>Royal Commission</w:t>
      </w:r>
      <w:r w:rsidR="00C9338B">
        <w:t xml:space="preserve"> or </w:t>
      </w:r>
      <w:r w:rsidR="00FE6CBF">
        <w:t xml:space="preserve">through commissioned research, it </w:t>
      </w:r>
      <w:r w:rsidR="00AE26B5">
        <w:t>i</w:t>
      </w:r>
      <w:r w:rsidR="00FE6CBF">
        <w:t xml:space="preserve">s unclear </w:t>
      </w:r>
      <w:r w:rsidR="00CD1440">
        <w:t xml:space="preserve">how the views </w:t>
      </w:r>
      <w:r w:rsidR="00AE26B5">
        <w:t xml:space="preserve">or experiences </w:t>
      </w:r>
      <w:r w:rsidR="00CD1440">
        <w:t>of people with disability will be considered</w:t>
      </w:r>
      <w:r w:rsidR="002E714B">
        <w:t xml:space="preserve"> by the Royal Commission in developing its final recommendations</w:t>
      </w:r>
      <w:r w:rsidR="00CD1440">
        <w:t xml:space="preserve">. </w:t>
      </w:r>
      <w:r w:rsidR="00530ED6">
        <w:t xml:space="preserve">For many people with </w:t>
      </w:r>
      <w:r w:rsidR="00436641">
        <w:t>disability,</w:t>
      </w:r>
      <w:r w:rsidR="00530ED6">
        <w:t xml:space="preserve"> </w:t>
      </w:r>
      <w:r w:rsidR="008D34F8">
        <w:t xml:space="preserve">it can be challenging to keep up-to-date with </w:t>
      </w:r>
      <w:r w:rsidR="005712F5">
        <w:t xml:space="preserve">hearing schedules </w:t>
      </w:r>
      <w:r w:rsidR="00083D83">
        <w:t>and review submissions.</w:t>
      </w:r>
      <w:r w:rsidR="0088320B">
        <w:t xml:space="preserve"> </w:t>
      </w:r>
      <w:r w:rsidR="004C0BBC">
        <w:t>Furthermore,</w:t>
      </w:r>
      <w:r w:rsidR="00FE3D4F">
        <w:t xml:space="preserve"> i</w:t>
      </w:r>
      <w:r w:rsidR="00E143A3">
        <w:t xml:space="preserve">t appears as though further public hearings are scheduled in 2023, beyond the final </w:t>
      </w:r>
      <w:r w:rsidR="0055454F">
        <w:t>31 December 2022 deadline for written submissions.</w:t>
      </w:r>
    </w:p>
    <w:p w14:paraId="2C4916CB" w14:textId="0203138A" w:rsidR="008F07B4" w:rsidRDefault="00F25B35" w:rsidP="009854FD">
      <w:r>
        <w:t xml:space="preserve">As a consequence, </w:t>
      </w:r>
      <w:r w:rsidR="0037267A">
        <w:t xml:space="preserve">and especially </w:t>
      </w:r>
      <w:r w:rsidR="00B71C1F">
        <w:t xml:space="preserve">given the unique operating environment the Royal Commission has been </w:t>
      </w:r>
      <w:r w:rsidR="0037267A">
        <w:t>working</w:t>
      </w:r>
      <w:r w:rsidR="00B71C1F">
        <w:t xml:space="preserve"> in, </w:t>
      </w:r>
      <w:r>
        <w:t xml:space="preserve">the Commission submits it would be </w:t>
      </w:r>
      <w:r w:rsidR="001E0142">
        <w:t xml:space="preserve">worthwhile for the Royal Commission to consider </w:t>
      </w:r>
      <w:r w:rsidR="00EC3ED9">
        <w:t xml:space="preserve">extending </w:t>
      </w:r>
      <w:r w:rsidR="000E2394">
        <w:t>its call for written submissions, and</w:t>
      </w:r>
      <w:r w:rsidR="001E0142">
        <w:t xml:space="preserve"> </w:t>
      </w:r>
      <w:r w:rsidR="00063601">
        <w:t xml:space="preserve">releasing a further interim report with </w:t>
      </w:r>
      <w:r w:rsidR="00CD7A1C">
        <w:t xml:space="preserve">draft final recommendations </w:t>
      </w:r>
      <w:r w:rsidR="00172955">
        <w:t>and reasons for contemplating these recommenda</w:t>
      </w:r>
      <w:r w:rsidR="008A7EF6">
        <w:t xml:space="preserve">tions </w:t>
      </w:r>
      <w:r w:rsidR="00575585">
        <w:t>and</w:t>
      </w:r>
      <w:r w:rsidR="00CD7A1C">
        <w:t xml:space="preserve"> ask specific questions as to the </w:t>
      </w:r>
      <w:r w:rsidR="008A7EF6">
        <w:t xml:space="preserve">proposed </w:t>
      </w:r>
      <w:r w:rsidR="00CD7A1C">
        <w:t>content</w:t>
      </w:r>
      <w:r w:rsidR="008A7EF6">
        <w:t xml:space="preserve"> and justification</w:t>
      </w:r>
      <w:r w:rsidR="00CD7A1C">
        <w:t xml:space="preserve"> of </w:t>
      </w:r>
      <w:r w:rsidR="008A7EF6">
        <w:t xml:space="preserve">the </w:t>
      </w:r>
      <w:r w:rsidR="00672E58">
        <w:t xml:space="preserve">final </w:t>
      </w:r>
      <w:r w:rsidR="00CD7A1C">
        <w:t>recommendations.</w:t>
      </w:r>
      <w:r w:rsidR="00BF4BF5">
        <w:t xml:space="preserve"> The Commission would be willing to comment on any proposed draft final recommendations.</w:t>
      </w:r>
    </w:p>
    <w:p w14:paraId="1FA5A40A" w14:textId="4AAB8E1A" w:rsidR="00837495" w:rsidRDefault="008F07B4" w:rsidP="004B0627">
      <w:r>
        <w:rPr>
          <w:b/>
          <w:bCs/>
        </w:rPr>
        <w:t>Recommendation</w:t>
      </w:r>
      <w:r w:rsidR="005D20FC">
        <w:rPr>
          <w:b/>
          <w:bCs/>
        </w:rPr>
        <w:t xml:space="preserve"> 1</w:t>
      </w:r>
      <w:r>
        <w:rPr>
          <w:b/>
          <w:bCs/>
        </w:rPr>
        <w:t>:</w:t>
      </w:r>
      <w:r w:rsidRPr="003B6EFF">
        <w:rPr>
          <w:b/>
        </w:rPr>
        <w:t xml:space="preserve"> </w:t>
      </w:r>
      <w:r>
        <w:rPr>
          <w:b/>
          <w:bCs/>
        </w:rPr>
        <w:t>T</w:t>
      </w:r>
      <w:r w:rsidRPr="00A3679B">
        <w:rPr>
          <w:b/>
          <w:bCs/>
        </w:rPr>
        <w:t xml:space="preserve">he </w:t>
      </w:r>
      <w:r w:rsidR="001942B4">
        <w:rPr>
          <w:b/>
          <w:bCs/>
        </w:rPr>
        <w:t xml:space="preserve">Royal Commission should release </w:t>
      </w:r>
      <w:r w:rsidR="00D839EF">
        <w:rPr>
          <w:b/>
          <w:bCs/>
        </w:rPr>
        <w:t xml:space="preserve">a further interim report </w:t>
      </w:r>
      <w:r w:rsidR="00F46CEE">
        <w:rPr>
          <w:b/>
          <w:bCs/>
        </w:rPr>
        <w:t xml:space="preserve">with guidance as to its proposed </w:t>
      </w:r>
      <w:r w:rsidR="00663008">
        <w:rPr>
          <w:b/>
          <w:bCs/>
        </w:rPr>
        <w:t xml:space="preserve">final </w:t>
      </w:r>
      <w:r w:rsidR="00F46CEE">
        <w:rPr>
          <w:b/>
          <w:bCs/>
        </w:rPr>
        <w:t xml:space="preserve">recommendations </w:t>
      </w:r>
      <w:r w:rsidR="00663008">
        <w:rPr>
          <w:b/>
          <w:bCs/>
        </w:rPr>
        <w:t xml:space="preserve">and seek specific feedback </w:t>
      </w:r>
      <w:r w:rsidR="00491D41">
        <w:rPr>
          <w:b/>
          <w:bCs/>
        </w:rPr>
        <w:t>on the content of the proposed recommendations</w:t>
      </w:r>
      <w:r w:rsidRPr="00A3679B">
        <w:rPr>
          <w:b/>
          <w:bCs/>
        </w:rPr>
        <w:t>.</w:t>
      </w:r>
      <w:r w:rsidR="00CD7A1C">
        <w:t xml:space="preserve"> </w:t>
      </w:r>
      <w:r w:rsidR="00F33A28">
        <w:t xml:space="preserve"> </w:t>
      </w:r>
      <w:r w:rsidR="00F2370D">
        <w:t xml:space="preserve"> </w:t>
      </w:r>
    </w:p>
    <w:p w14:paraId="71226423" w14:textId="5EBEFA18" w:rsidR="00EF682D" w:rsidRDefault="00EF682D">
      <w:pPr>
        <w:pStyle w:val="AHRCHeading2"/>
      </w:pPr>
      <w:bookmarkStart w:id="9" w:name="_Toc118299552"/>
      <w:bookmarkStart w:id="10" w:name="_Toc122679367"/>
      <w:r>
        <w:lastRenderedPageBreak/>
        <w:t>Summary of recommendations</w:t>
      </w:r>
      <w:bookmarkEnd w:id="9"/>
      <w:bookmarkEnd w:id="10"/>
      <w:r>
        <w:t xml:space="preserve"> </w:t>
      </w:r>
    </w:p>
    <w:p w14:paraId="5A849DB1" w14:textId="77777777" w:rsidR="005D20FC" w:rsidRDefault="005D20FC" w:rsidP="005D20FC">
      <w:r>
        <w:rPr>
          <w:b/>
          <w:bCs/>
        </w:rPr>
        <w:t>Recommendation 1:</w:t>
      </w:r>
      <w:r w:rsidRPr="003B6EFF">
        <w:rPr>
          <w:b/>
        </w:rPr>
        <w:t xml:space="preserve"> </w:t>
      </w:r>
      <w:r>
        <w:rPr>
          <w:b/>
          <w:bCs/>
        </w:rPr>
        <w:t>T</w:t>
      </w:r>
      <w:r w:rsidRPr="00A3679B">
        <w:rPr>
          <w:b/>
          <w:bCs/>
        </w:rPr>
        <w:t xml:space="preserve">he </w:t>
      </w:r>
      <w:r>
        <w:rPr>
          <w:b/>
          <w:bCs/>
        </w:rPr>
        <w:t>Royal Commission should release a further interim report with guidance as to its proposed final recommendations and seek specific feedback on the content of the proposed recommendations</w:t>
      </w:r>
      <w:r w:rsidRPr="00A3679B">
        <w:rPr>
          <w:b/>
          <w:bCs/>
        </w:rPr>
        <w:t>.</w:t>
      </w:r>
      <w:r>
        <w:t xml:space="preserve">   </w:t>
      </w:r>
    </w:p>
    <w:p w14:paraId="119C4FB1" w14:textId="4B4EED15" w:rsidR="000B13CC" w:rsidRPr="003B6EFF" w:rsidRDefault="000B13CC" w:rsidP="000B13CC">
      <w:pPr>
        <w:rPr>
          <w:b/>
          <w:bCs/>
        </w:rPr>
      </w:pPr>
      <w:r>
        <w:rPr>
          <w:b/>
          <w:bCs/>
        </w:rPr>
        <w:t>Recommendation 2:</w:t>
      </w:r>
      <w:r w:rsidRPr="003B6EFF">
        <w:rPr>
          <w:b/>
          <w:bCs/>
        </w:rPr>
        <w:t xml:space="preserve"> </w:t>
      </w:r>
      <w:r>
        <w:rPr>
          <w:b/>
          <w:bCs/>
        </w:rPr>
        <w:t>T</w:t>
      </w:r>
      <w:r w:rsidRPr="00A3679B">
        <w:rPr>
          <w:b/>
          <w:bCs/>
        </w:rPr>
        <w:t>he Australian Government</w:t>
      </w:r>
      <w:r>
        <w:rPr>
          <w:b/>
          <w:bCs/>
        </w:rPr>
        <w:t xml:space="preserve"> should</w:t>
      </w:r>
      <w:r w:rsidRPr="00A3679B">
        <w:rPr>
          <w:b/>
          <w:bCs/>
        </w:rPr>
        <w:t xml:space="preserve"> withdraw its interpretive declaration to the </w:t>
      </w:r>
      <w:r>
        <w:rPr>
          <w:b/>
          <w:bCs/>
        </w:rPr>
        <w:t>Convention on the Rights of Persons with Disabilit</w:t>
      </w:r>
      <w:r w:rsidR="00DF36C0">
        <w:rPr>
          <w:b/>
          <w:bCs/>
        </w:rPr>
        <w:t>ies</w:t>
      </w:r>
      <w:r w:rsidRPr="00A3679B">
        <w:rPr>
          <w:b/>
          <w:bCs/>
        </w:rPr>
        <w:t xml:space="preserve"> concerning articles 12, 17 and 18.</w:t>
      </w:r>
    </w:p>
    <w:p w14:paraId="7991926C" w14:textId="1299A832" w:rsidR="000B13CC" w:rsidRPr="00EF5B5B" w:rsidRDefault="000B13CC" w:rsidP="000B13CC">
      <w:pPr>
        <w:rPr>
          <w:b/>
          <w:bCs/>
        </w:rPr>
      </w:pPr>
      <w:r>
        <w:rPr>
          <w:b/>
          <w:bCs/>
        </w:rPr>
        <w:t>Recommendation 3: The Royal Commission should re</w:t>
      </w:r>
      <w:r w:rsidR="00B60DE9">
        <w:rPr>
          <w:b/>
          <w:bCs/>
        </w:rPr>
        <w:t>view</w:t>
      </w:r>
      <w:r>
        <w:rPr>
          <w:b/>
          <w:bCs/>
        </w:rPr>
        <w:t xml:space="preserve"> the actions taken</w:t>
      </w:r>
      <w:r w:rsidR="002322D1">
        <w:rPr>
          <w:b/>
          <w:bCs/>
        </w:rPr>
        <w:t xml:space="preserve"> by </w:t>
      </w:r>
      <w:r w:rsidR="001A5A93">
        <w:rPr>
          <w:b/>
          <w:bCs/>
        </w:rPr>
        <w:t xml:space="preserve">the </w:t>
      </w:r>
      <w:r w:rsidR="002322D1">
        <w:rPr>
          <w:b/>
          <w:bCs/>
        </w:rPr>
        <w:t>Australian Government</w:t>
      </w:r>
      <w:r>
        <w:rPr>
          <w:b/>
          <w:bCs/>
        </w:rPr>
        <w:t xml:space="preserve"> in response to the recommendations made by the CRPD Committee in each of the communications made under the Optional Protocol to the CRPD.</w:t>
      </w:r>
    </w:p>
    <w:p w14:paraId="06869734" w14:textId="77777777" w:rsidR="000B13CC" w:rsidRPr="00CC427D" w:rsidRDefault="000B13CC" w:rsidP="000B13CC">
      <w:pPr>
        <w:rPr>
          <w:b/>
          <w:bCs/>
        </w:rPr>
      </w:pPr>
      <w:r>
        <w:rPr>
          <w:b/>
          <w:bCs/>
        </w:rPr>
        <w:t xml:space="preserve">Recommendation 4: The Australian Government should implement the recommendations to reform federal discrimination laws outlined in the Australian Human Rights Commission’s Position Paper, </w:t>
      </w:r>
      <w:r>
        <w:rPr>
          <w:b/>
          <w:bCs/>
          <w:i/>
          <w:iCs/>
        </w:rPr>
        <w:t>Free &amp; Equal: A reform agenda for federal discrimination laws</w:t>
      </w:r>
      <w:r>
        <w:rPr>
          <w:b/>
          <w:bCs/>
        </w:rPr>
        <w:t>.</w:t>
      </w:r>
    </w:p>
    <w:p w14:paraId="54E3EA46" w14:textId="77777777" w:rsidR="000B13CC" w:rsidRPr="00015687" w:rsidRDefault="000B13CC" w:rsidP="000B13CC">
      <w:pPr>
        <w:rPr>
          <w:b/>
          <w:bCs/>
        </w:rPr>
      </w:pPr>
      <w:r>
        <w:rPr>
          <w:rStyle w:val="normaltextrun"/>
          <w:rFonts w:cs="Open Sans"/>
          <w:b/>
          <w:bCs/>
          <w:color w:val="000000"/>
          <w:shd w:val="clear" w:color="auto" w:fill="FFFFFF"/>
        </w:rPr>
        <w:t xml:space="preserve">Recommendation 5: </w:t>
      </w:r>
      <w:r>
        <w:rPr>
          <w:b/>
          <w:bCs/>
        </w:rPr>
        <w:t>The Australian Government should enhance human rights protections in a federal Human Rights Act.</w:t>
      </w:r>
    </w:p>
    <w:p w14:paraId="283D9EDB" w14:textId="77777777" w:rsidR="00E53111" w:rsidRDefault="00E53111" w:rsidP="00E53111">
      <w:pPr>
        <w:rPr>
          <w:b/>
          <w:bCs/>
        </w:rPr>
      </w:pPr>
      <w:r>
        <w:rPr>
          <w:b/>
          <w:bCs/>
        </w:rPr>
        <w:t>Recommendation 6: The Australian Government should establish an Office of Disability Strategy, which</w:t>
      </w:r>
    </w:p>
    <w:p w14:paraId="5F040A0E" w14:textId="77777777" w:rsidR="00E53111" w:rsidRPr="008F40DD" w:rsidRDefault="00E53111" w:rsidP="00E53111">
      <w:pPr>
        <w:pStyle w:val="ListParagraph"/>
        <w:numPr>
          <w:ilvl w:val="0"/>
          <w:numId w:val="41"/>
        </w:numPr>
      </w:pPr>
      <w:r>
        <w:rPr>
          <w:b/>
          <w:bCs/>
        </w:rPr>
        <w:t xml:space="preserve">sits </w:t>
      </w:r>
      <w:r w:rsidRPr="008F40DD">
        <w:rPr>
          <w:b/>
          <w:bCs/>
        </w:rPr>
        <w:t xml:space="preserve">within the Department of Prime Minister and Cabinet </w:t>
      </w:r>
      <w:r>
        <w:rPr>
          <w:b/>
          <w:bCs/>
        </w:rPr>
        <w:t>to increase attention given to Australia’s Disability Strategy and the Convention on the Rights of Persons with Disabilities;</w:t>
      </w:r>
    </w:p>
    <w:p w14:paraId="39029467" w14:textId="77777777" w:rsidR="00E53111" w:rsidRPr="008F40DD" w:rsidRDefault="00E53111" w:rsidP="00E53111">
      <w:pPr>
        <w:pStyle w:val="ListParagraph"/>
        <w:numPr>
          <w:ilvl w:val="0"/>
          <w:numId w:val="41"/>
        </w:numPr>
      </w:pPr>
      <w:r w:rsidRPr="008F40DD">
        <w:rPr>
          <w:b/>
          <w:bCs/>
        </w:rPr>
        <w:t>oversee</w:t>
      </w:r>
      <w:r>
        <w:rPr>
          <w:b/>
          <w:bCs/>
        </w:rPr>
        <w:t>s</w:t>
      </w:r>
      <w:r w:rsidRPr="008F40DD">
        <w:rPr>
          <w:b/>
          <w:bCs/>
        </w:rPr>
        <w:t xml:space="preserve"> the work of departments in implementing the </w:t>
      </w:r>
      <w:r>
        <w:rPr>
          <w:b/>
          <w:bCs/>
        </w:rPr>
        <w:t>Strategy and ensures</w:t>
      </w:r>
      <w:r w:rsidRPr="008F40DD">
        <w:rPr>
          <w:b/>
          <w:bCs/>
        </w:rPr>
        <w:t xml:space="preserve"> effective coordination between the federal and state levels</w:t>
      </w:r>
      <w:r>
        <w:rPr>
          <w:b/>
          <w:bCs/>
        </w:rPr>
        <w:t>;</w:t>
      </w:r>
    </w:p>
    <w:p w14:paraId="3303FAAD" w14:textId="77777777" w:rsidR="00E53111" w:rsidRPr="008F40DD" w:rsidRDefault="00E53111" w:rsidP="00E53111">
      <w:pPr>
        <w:pStyle w:val="ListParagraph"/>
        <w:numPr>
          <w:ilvl w:val="0"/>
          <w:numId w:val="41"/>
        </w:numPr>
      </w:pPr>
      <w:r>
        <w:rPr>
          <w:b/>
          <w:bCs/>
        </w:rPr>
        <w:t>sets the terms for the Strategy’s Outcome Framework, Targeted Action Plans and Associated Action Plans;</w:t>
      </w:r>
    </w:p>
    <w:p w14:paraId="3AB48EB9" w14:textId="77777777" w:rsidR="00E53111" w:rsidRDefault="00E53111" w:rsidP="00E53111">
      <w:pPr>
        <w:pStyle w:val="ListParagraph"/>
        <w:numPr>
          <w:ilvl w:val="0"/>
          <w:numId w:val="41"/>
        </w:numPr>
      </w:pPr>
      <w:r>
        <w:rPr>
          <w:b/>
          <w:bCs/>
        </w:rPr>
        <w:t>is properly resourced and provided with the necessary authority to fulfil the above mandate.</w:t>
      </w:r>
      <w:r>
        <w:t xml:space="preserve">  </w:t>
      </w:r>
    </w:p>
    <w:p w14:paraId="50ACC037" w14:textId="77777777" w:rsidR="006D7173" w:rsidRPr="001E5AF0" w:rsidRDefault="006D7173" w:rsidP="006D7173">
      <w:pPr>
        <w:rPr>
          <w:b/>
          <w:bCs/>
        </w:rPr>
      </w:pPr>
      <w:r w:rsidRPr="001E5AF0">
        <w:rPr>
          <w:b/>
          <w:bCs/>
        </w:rPr>
        <w:t>Recommendation 7: The Australian Government should bring domestic laws and practice into conformity with the principles and provisions of the CRC and CRPD, including by ensuring that effective remedies are available.</w:t>
      </w:r>
    </w:p>
    <w:p w14:paraId="7F3DFCB1" w14:textId="77777777" w:rsidR="006D7173" w:rsidRDefault="006D7173" w:rsidP="006D7173">
      <w:pPr>
        <w:rPr>
          <w:b/>
          <w:bCs/>
        </w:rPr>
      </w:pPr>
      <w:r w:rsidRPr="001E5AF0">
        <w:rPr>
          <w:b/>
          <w:bCs/>
        </w:rPr>
        <w:t xml:space="preserve">Recommendation 8: The Australian, State and Territory Governments should seek and take into account the views and experiences of children and young people with disability, and their families, when developing and </w:t>
      </w:r>
      <w:r w:rsidRPr="001E5AF0">
        <w:rPr>
          <w:b/>
          <w:bCs/>
        </w:rPr>
        <w:lastRenderedPageBreak/>
        <w:t>monitoring laws, policies and practices, including through consultations, interviews, forums, youth groups, advisory groups, and surveys.</w:t>
      </w:r>
    </w:p>
    <w:p w14:paraId="3DD60AA9" w14:textId="608D3B65" w:rsidR="00D70581" w:rsidRDefault="00D70581" w:rsidP="00D70581">
      <w:pPr>
        <w:rPr>
          <w:rStyle w:val="eop"/>
          <w:rFonts w:cs="Open Sans"/>
          <w:b/>
          <w:bCs/>
          <w:color w:val="000000"/>
          <w:shd w:val="clear" w:color="auto" w:fill="FFFFFF"/>
        </w:rPr>
      </w:pPr>
      <w:r w:rsidRPr="00060071">
        <w:rPr>
          <w:rStyle w:val="eop"/>
          <w:rFonts w:cs="Open Sans"/>
          <w:b/>
          <w:bCs/>
          <w:color w:val="000000"/>
          <w:shd w:val="clear" w:color="auto" w:fill="FFFFFF"/>
        </w:rPr>
        <w:t>Recommendation</w:t>
      </w:r>
      <w:r>
        <w:rPr>
          <w:rStyle w:val="eop"/>
          <w:rFonts w:cs="Open Sans"/>
          <w:b/>
          <w:bCs/>
          <w:color w:val="000000"/>
          <w:shd w:val="clear" w:color="auto" w:fill="FFFFFF"/>
        </w:rPr>
        <w:t xml:space="preserve"> 9</w:t>
      </w:r>
      <w:r w:rsidRPr="00060071">
        <w:rPr>
          <w:rStyle w:val="eop"/>
          <w:rFonts w:cs="Open Sans"/>
          <w:b/>
          <w:bCs/>
          <w:color w:val="000000"/>
          <w:shd w:val="clear" w:color="auto" w:fill="FFFFFF"/>
        </w:rPr>
        <w:t xml:space="preserve">: Service providers that receive government funding </w:t>
      </w:r>
      <w:r>
        <w:rPr>
          <w:rStyle w:val="eop"/>
          <w:rFonts w:cs="Open Sans"/>
          <w:b/>
          <w:bCs/>
          <w:color w:val="000000"/>
          <w:shd w:val="clear" w:color="auto" w:fill="FFFFFF"/>
        </w:rPr>
        <w:t xml:space="preserve">should </w:t>
      </w:r>
      <w:r w:rsidRPr="00060071">
        <w:rPr>
          <w:rStyle w:val="eop"/>
          <w:rFonts w:cs="Open Sans"/>
          <w:b/>
          <w:bCs/>
          <w:color w:val="000000"/>
          <w:shd w:val="clear" w:color="auto" w:fill="FFFFFF"/>
        </w:rPr>
        <w:t xml:space="preserve">ensure that </w:t>
      </w:r>
      <w:r>
        <w:rPr>
          <w:rStyle w:val="eop"/>
          <w:rFonts w:cs="Open Sans"/>
          <w:b/>
          <w:bCs/>
          <w:color w:val="000000"/>
          <w:shd w:val="clear" w:color="auto" w:fill="FFFFFF"/>
        </w:rPr>
        <w:t xml:space="preserve">the service delivery systems are designed in accordance with the expressed needs of </w:t>
      </w:r>
      <w:r w:rsidRPr="00060071">
        <w:rPr>
          <w:rStyle w:val="eop"/>
          <w:rFonts w:cs="Open Sans"/>
          <w:b/>
          <w:bCs/>
          <w:color w:val="000000"/>
          <w:shd w:val="clear" w:color="auto" w:fill="FFFFFF"/>
        </w:rPr>
        <w:t xml:space="preserve">children, young people, </w:t>
      </w:r>
      <w:r w:rsidR="004D03C5" w:rsidRPr="00060071">
        <w:rPr>
          <w:rStyle w:val="eop"/>
          <w:rFonts w:cs="Open Sans"/>
          <w:b/>
          <w:bCs/>
          <w:color w:val="000000"/>
          <w:shd w:val="clear" w:color="auto" w:fill="FFFFFF"/>
        </w:rPr>
        <w:t xml:space="preserve">and families with </w:t>
      </w:r>
      <w:r w:rsidR="004D03C5">
        <w:rPr>
          <w:rStyle w:val="eop"/>
          <w:rFonts w:cs="Open Sans"/>
          <w:b/>
          <w:bCs/>
          <w:color w:val="000000"/>
          <w:shd w:val="clear" w:color="auto" w:fill="FFFFFF"/>
        </w:rPr>
        <w:t xml:space="preserve">people with </w:t>
      </w:r>
      <w:r w:rsidR="004D03C5" w:rsidRPr="00060071">
        <w:rPr>
          <w:rStyle w:val="eop"/>
          <w:rFonts w:cs="Open Sans"/>
          <w:b/>
          <w:bCs/>
          <w:color w:val="000000"/>
          <w:shd w:val="clear" w:color="auto" w:fill="FFFFFF"/>
        </w:rPr>
        <w:t xml:space="preserve">disabilities </w:t>
      </w:r>
      <w:r w:rsidR="004D03C5">
        <w:rPr>
          <w:rStyle w:val="eop"/>
          <w:rFonts w:cs="Open Sans"/>
          <w:b/>
          <w:bCs/>
          <w:color w:val="000000"/>
          <w:shd w:val="clear" w:color="auto" w:fill="FFFFFF"/>
        </w:rPr>
        <w:t xml:space="preserve">in them to ensure that they </w:t>
      </w:r>
      <w:r w:rsidR="004D03C5" w:rsidRPr="00060071">
        <w:rPr>
          <w:rStyle w:val="eop"/>
          <w:rFonts w:cs="Open Sans"/>
          <w:b/>
          <w:bCs/>
          <w:color w:val="000000"/>
          <w:shd w:val="clear" w:color="auto" w:fill="FFFFFF"/>
        </w:rPr>
        <w:t xml:space="preserve">are </w:t>
      </w:r>
      <w:r w:rsidR="004D03C5">
        <w:rPr>
          <w:rStyle w:val="eop"/>
          <w:rFonts w:cs="Open Sans"/>
          <w:b/>
          <w:bCs/>
          <w:color w:val="000000"/>
          <w:shd w:val="clear" w:color="auto" w:fill="FFFFFF"/>
        </w:rPr>
        <w:t>able</w:t>
      </w:r>
      <w:r w:rsidR="004D03C5" w:rsidRPr="00060071">
        <w:rPr>
          <w:rStyle w:val="eop"/>
          <w:rFonts w:cs="Open Sans"/>
          <w:b/>
          <w:bCs/>
          <w:color w:val="000000"/>
          <w:shd w:val="clear" w:color="auto" w:fill="FFFFFF"/>
        </w:rPr>
        <w:t xml:space="preserve"> to</w:t>
      </w:r>
      <w:r w:rsidR="004D03C5">
        <w:rPr>
          <w:rStyle w:val="eop"/>
          <w:rFonts w:cs="Open Sans"/>
          <w:b/>
          <w:bCs/>
          <w:color w:val="000000"/>
          <w:shd w:val="clear" w:color="auto" w:fill="FFFFFF"/>
        </w:rPr>
        <w:t xml:space="preserve"> access</w:t>
      </w:r>
      <w:r w:rsidR="004D03C5" w:rsidRPr="00060071">
        <w:rPr>
          <w:rStyle w:val="eop"/>
          <w:rFonts w:cs="Open Sans"/>
          <w:b/>
          <w:bCs/>
          <w:color w:val="000000"/>
          <w:shd w:val="clear" w:color="auto" w:fill="FFFFFF"/>
        </w:rPr>
        <w:t xml:space="preserve"> the services and supports they need</w:t>
      </w:r>
      <w:r w:rsidRPr="00060071">
        <w:rPr>
          <w:rStyle w:val="eop"/>
          <w:rFonts w:cs="Open Sans"/>
          <w:b/>
          <w:bCs/>
          <w:color w:val="000000"/>
          <w:shd w:val="clear" w:color="auto" w:fill="FFFFFF"/>
        </w:rPr>
        <w:t>.</w:t>
      </w:r>
    </w:p>
    <w:p w14:paraId="30F6D835" w14:textId="74E1B2CA" w:rsidR="00C10562" w:rsidRDefault="00C10562" w:rsidP="00C10562">
      <w:pPr>
        <w:rPr>
          <w:rStyle w:val="eop"/>
          <w:rFonts w:cs="Open Sans"/>
          <w:b/>
          <w:bCs/>
          <w:color w:val="000000"/>
          <w:shd w:val="clear" w:color="auto" w:fill="FFFFFF"/>
        </w:rPr>
      </w:pPr>
      <w:r w:rsidRPr="00060071">
        <w:rPr>
          <w:rStyle w:val="eop"/>
          <w:rFonts w:cs="Open Sans"/>
          <w:b/>
          <w:bCs/>
          <w:color w:val="000000"/>
          <w:shd w:val="clear" w:color="auto" w:fill="FFFFFF"/>
        </w:rPr>
        <w:t>Recommendation</w:t>
      </w:r>
      <w:r>
        <w:rPr>
          <w:rStyle w:val="eop"/>
          <w:rFonts w:cs="Open Sans"/>
          <w:b/>
          <w:bCs/>
          <w:color w:val="000000"/>
          <w:shd w:val="clear" w:color="auto" w:fill="FFFFFF"/>
        </w:rPr>
        <w:t xml:space="preserve"> 10</w:t>
      </w:r>
      <w:r w:rsidRPr="00060071">
        <w:rPr>
          <w:rStyle w:val="eop"/>
          <w:rFonts w:cs="Open Sans"/>
          <w:b/>
          <w:bCs/>
          <w:color w:val="000000"/>
          <w:shd w:val="clear" w:color="auto" w:fill="FFFFFF"/>
        </w:rPr>
        <w:t xml:space="preserve">: Services for diagnosing disability in children and young people </w:t>
      </w:r>
      <w:r>
        <w:rPr>
          <w:rStyle w:val="eop"/>
          <w:rFonts w:cs="Open Sans"/>
          <w:b/>
          <w:bCs/>
          <w:color w:val="000000"/>
          <w:shd w:val="clear" w:color="auto" w:fill="FFFFFF"/>
        </w:rPr>
        <w:t>should be</w:t>
      </w:r>
      <w:r w:rsidRPr="00060071">
        <w:rPr>
          <w:rStyle w:val="eop"/>
          <w:rFonts w:cs="Open Sans"/>
          <w:b/>
          <w:bCs/>
          <w:color w:val="000000"/>
          <w:shd w:val="clear" w:color="auto" w:fill="FFFFFF"/>
        </w:rPr>
        <w:t xml:space="preserve"> affordable, accessible, and available to diagnose in a timely manner.</w:t>
      </w:r>
    </w:p>
    <w:p w14:paraId="3556A2E8" w14:textId="252C74AC" w:rsidR="00A40D32" w:rsidRPr="0083152B" w:rsidRDefault="00A40D32" w:rsidP="00A40D32">
      <w:pPr>
        <w:rPr>
          <w:rStyle w:val="eop"/>
          <w:rFonts w:cs="Open Sans"/>
          <w:color w:val="000000"/>
          <w:shd w:val="clear" w:color="auto" w:fill="FFFFFF"/>
        </w:rPr>
      </w:pPr>
      <w:r>
        <w:rPr>
          <w:rStyle w:val="normaltextrun"/>
          <w:rFonts w:cs="Open Sans"/>
          <w:b/>
          <w:bCs/>
          <w:color w:val="000000"/>
          <w:shd w:val="clear" w:color="auto" w:fill="FFFFFF"/>
        </w:rPr>
        <w:t xml:space="preserve">Recommendation 11: </w:t>
      </w:r>
      <w:r w:rsidR="003630AD">
        <w:rPr>
          <w:rStyle w:val="normaltextrun"/>
          <w:rFonts w:cs="Open Sans"/>
          <w:b/>
          <w:bCs/>
          <w:color w:val="000000"/>
          <w:shd w:val="clear" w:color="auto" w:fill="FFFFFF"/>
        </w:rPr>
        <w:t xml:space="preserve">The Australian, State and Territory Governments should </w:t>
      </w:r>
      <w:r w:rsidR="00CD389D">
        <w:rPr>
          <w:rStyle w:val="normaltextrun"/>
          <w:rFonts w:cs="Open Sans"/>
          <w:b/>
          <w:bCs/>
          <w:color w:val="000000"/>
          <w:shd w:val="clear" w:color="auto" w:fill="FFFFFF"/>
        </w:rPr>
        <w:t>i</w:t>
      </w:r>
      <w:r>
        <w:rPr>
          <w:rStyle w:val="normaltextrun"/>
          <w:rFonts w:cs="Open Sans"/>
          <w:b/>
          <w:bCs/>
          <w:color w:val="000000"/>
          <w:shd w:val="clear" w:color="auto" w:fill="FFFFFF"/>
        </w:rPr>
        <w:t>ncrease awareness about the harms to children and young people caused by discrimination based on disability in the workplace, including through education and support for workplaces on how to be inclusive. </w:t>
      </w:r>
      <w:r>
        <w:rPr>
          <w:rStyle w:val="eop"/>
          <w:rFonts w:cs="Open Sans"/>
          <w:color w:val="000000"/>
          <w:shd w:val="clear" w:color="auto" w:fill="FFFFFF"/>
        </w:rPr>
        <w:t> </w:t>
      </w:r>
    </w:p>
    <w:p w14:paraId="075021CA" w14:textId="411ED951" w:rsidR="00022912" w:rsidRDefault="00022912" w:rsidP="00022912">
      <w:pPr>
        <w:rPr>
          <w:rStyle w:val="eop"/>
          <w:rFonts w:cs="Open Sans"/>
          <w:color w:val="000000"/>
          <w:shd w:val="clear" w:color="auto" w:fill="FFFFFF"/>
        </w:rPr>
      </w:pPr>
      <w:r>
        <w:rPr>
          <w:rStyle w:val="normaltextrun"/>
          <w:rFonts w:cs="Open Sans"/>
          <w:b/>
          <w:bCs/>
          <w:color w:val="000000"/>
          <w:shd w:val="clear" w:color="auto" w:fill="FFFFFF"/>
        </w:rPr>
        <w:t xml:space="preserve">Recommendation 12: </w:t>
      </w:r>
      <w:r w:rsidR="00CD389D">
        <w:rPr>
          <w:rStyle w:val="normaltextrun"/>
          <w:rFonts w:cs="Open Sans"/>
          <w:b/>
          <w:bCs/>
          <w:color w:val="000000"/>
          <w:shd w:val="clear" w:color="auto" w:fill="FFFFFF"/>
        </w:rPr>
        <w:t xml:space="preserve">The Australian, State and Territory Governments should </w:t>
      </w:r>
      <w:r w:rsidR="00DC5820">
        <w:rPr>
          <w:rStyle w:val="normaltextrun"/>
          <w:rFonts w:cs="Open Sans"/>
          <w:b/>
          <w:bCs/>
          <w:color w:val="000000"/>
          <w:shd w:val="clear" w:color="auto" w:fill="FFFFFF"/>
        </w:rPr>
        <w:t>i</w:t>
      </w:r>
      <w:r>
        <w:rPr>
          <w:rStyle w:val="normaltextrun"/>
          <w:rFonts w:cs="Open Sans"/>
          <w:b/>
          <w:bCs/>
          <w:color w:val="000000"/>
          <w:shd w:val="clear" w:color="auto" w:fill="FFFFFF"/>
        </w:rPr>
        <w:t>ncrease access to learning supports at school for children and young people with disabilities to help them achieve their full potential. </w:t>
      </w:r>
      <w:r>
        <w:rPr>
          <w:rStyle w:val="eop"/>
          <w:rFonts w:cs="Open Sans"/>
          <w:color w:val="000000"/>
          <w:shd w:val="clear" w:color="auto" w:fill="FFFFFF"/>
        </w:rPr>
        <w:t> </w:t>
      </w:r>
    </w:p>
    <w:p w14:paraId="2E54D45F" w14:textId="54B27BDD" w:rsidR="0053127C" w:rsidRPr="00FD34C4" w:rsidRDefault="0053127C" w:rsidP="0053127C">
      <w:pPr>
        <w:pStyle w:val="paragraph"/>
        <w:spacing w:before="0" w:beforeAutospacing="0" w:after="0" w:afterAutospacing="0"/>
        <w:textAlignment w:val="baseline"/>
        <w:rPr>
          <w:rFonts w:ascii="Open Sans" w:eastAsia="MS Mincho" w:hAnsi="Open Sans"/>
          <w:b/>
          <w:bCs/>
          <w:szCs w:val="26"/>
        </w:rPr>
      </w:pPr>
      <w:r w:rsidRPr="00FD34C4">
        <w:rPr>
          <w:rFonts w:ascii="Open Sans" w:eastAsia="MS Mincho" w:hAnsi="Open Sans"/>
          <w:b/>
          <w:bCs/>
          <w:szCs w:val="26"/>
        </w:rPr>
        <w:t>Recommendation</w:t>
      </w:r>
      <w:r>
        <w:rPr>
          <w:rFonts w:ascii="Open Sans" w:eastAsia="MS Mincho" w:hAnsi="Open Sans"/>
          <w:b/>
          <w:bCs/>
          <w:szCs w:val="26"/>
        </w:rPr>
        <w:t xml:space="preserve"> 13</w:t>
      </w:r>
      <w:r w:rsidRPr="00FD34C4">
        <w:rPr>
          <w:rFonts w:ascii="Open Sans" w:eastAsia="MS Mincho" w:hAnsi="Open Sans"/>
          <w:b/>
          <w:bCs/>
          <w:szCs w:val="26"/>
        </w:rPr>
        <w:t xml:space="preserve">: </w:t>
      </w:r>
      <w:r>
        <w:rPr>
          <w:rFonts w:ascii="Open Sans" w:eastAsia="MS Mincho" w:hAnsi="Open Sans"/>
          <w:b/>
          <w:bCs/>
          <w:szCs w:val="26"/>
        </w:rPr>
        <w:t>C</w:t>
      </w:r>
      <w:r w:rsidRPr="00FD34C4">
        <w:rPr>
          <w:rFonts w:ascii="Open Sans" w:eastAsia="MS Mincho" w:hAnsi="Open Sans"/>
          <w:b/>
          <w:bCs/>
          <w:szCs w:val="26"/>
        </w:rPr>
        <w:t>hildren with disabilit</w:t>
      </w:r>
      <w:r>
        <w:rPr>
          <w:rFonts w:ascii="Open Sans" w:eastAsia="MS Mincho" w:hAnsi="Open Sans"/>
          <w:b/>
          <w:bCs/>
          <w:szCs w:val="26"/>
        </w:rPr>
        <w:t>ies should</w:t>
      </w:r>
      <w:r w:rsidR="00DC5820">
        <w:rPr>
          <w:rFonts w:ascii="Open Sans" w:eastAsia="MS Mincho" w:hAnsi="Open Sans"/>
          <w:b/>
          <w:bCs/>
          <w:szCs w:val="26"/>
        </w:rPr>
        <w:t xml:space="preserve"> </w:t>
      </w:r>
      <w:r>
        <w:rPr>
          <w:rFonts w:ascii="Open Sans" w:eastAsia="MS Mincho" w:hAnsi="Open Sans"/>
          <w:b/>
          <w:bCs/>
          <w:szCs w:val="26"/>
        </w:rPr>
        <w:t>be provided with appropriate treatment and therapeutic support in the community.</w:t>
      </w:r>
      <w:r w:rsidRPr="00FD34C4">
        <w:rPr>
          <w:rFonts w:ascii="Open Sans" w:eastAsia="MS Mincho" w:hAnsi="Open Sans"/>
          <w:b/>
          <w:bCs/>
          <w:szCs w:val="26"/>
        </w:rPr>
        <w:t xml:space="preserve"> </w:t>
      </w:r>
      <w:r>
        <w:rPr>
          <w:rFonts w:ascii="Open Sans" w:eastAsia="MS Mincho" w:hAnsi="Open Sans"/>
          <w:b/>
          <w:bCs/>
          <w:szCs w:val="26"/>
        </w:rPr>
        <w:t>State and Territory Governments should divert c</w:t>
      </w:r>
      <w:r w:rsidRPr="00FD34C4">
        <w:rPr>
          <w:rFonts w:ascii="Open Sans" w:eastAsia="MS Mincho" w:hAnsi="Open Sans"/>
          <w:b/>
          <w:bCs/>
          <w:szCs w:val="26"/>
        </w:rPr>
        <w:t>hildren with developmental delays or neurodevelopmental disorders or disabilities from involvement in the youth justice system. </w:t>
      </w:r>
    </w:p>
    <w:p w14:paraId="07640693" w14:textId="77777777" w:rsidR="0053127C" w:rsidRPr="00FD34C4" w:rsidRDefault="0053127C" w:rsidP="0053127C">
      <w:pPr>
        <w:pStyle w:val="paragraph"/>
        <w:spacing w:before="0" w:beforeAutospacing="0" w:after="0" w:afterAutospacing="0"/>
        <w:textAlignment w:val="baseline"/>
        <w:rPr>
          <w:rFonts w:ascii="Open Sans" w:eastAsia="MS Mincho" w:hAnsi="Open Sans"/>
          <w:b/>
          <w:bCs/>
          <w:szCs w:val="26"/>
        </w:rPr>
      </w:pPr>
    </w:p>
    <w:p w14:paraId="235CE283" w14:textId="6D3C602E" w:rsidR="0053127C" w:rsidRPr="00FD34C4" w:rsidRDefault="0053127C" w:rsidP="0053127C">
      <w:pPr>
        <w:pStyle w:val="paragraph"/>
        <w:spacing w:before="0" w:beforeAutospacing="0" w:after="0" w:afterAutospacing="0"/>
        <w:textAlignment w:val="baseline"/>
        <w:rPr>
          <w:rFonts w:ascii="Open Sans" w:eastAsia="MS Mincho" w:hAnsi="Open Sans"/>
          <w:b/>
          <w:bCs/>
          <w:szCs w:val="26"/>
        </w:rPr>
      </w:pPr>
      <w:r w:rsidRPr="00FD34C4">
        <w:rPr>
          <w:rFonts w:ascii="Open Sans" w:eastAsia="MS Mincho" w:hAnsi="Open Sans"/>
          <w:b/>
          <w:bCs/>
          <w:szCs w:val="26"/>
        </w:rPr>
        <w:t>Recommendation</w:t>
      </w:r>
      <w:r>
        <w:rPr>
          <w:rFonts w:ascii="Open Sans" w:eastAsia="MS Mincho" w:hAnsi="Open Sans"/>
          <w:b/>
          <w:bCs/>
          <w:szCs w:val="26"/>
        </w:rPr>
        <w:t xml:space="preserve"> 14</w:t>
      </w:r>
      <w:r w:rsidRPr="00FD34C4">
        <w:rPr>
          <w:rFonts w:ascii="Open Sans" w:eastAsia="MS Mincho" w:hAnsi="Open Sans"/>
          <w:b/>
          <w:bCs/>
          <w:szCs w:val="26"/>
        </w:rPr>
        <w:t xml:space="preserve">: </w:t>
      </w:r>
      <w:r>
        <w:rPr>
          <w:rFonts w:ascii="Open Sans" w:eastAsia="MS Mincho" w:hAnsi="Open Sans"/>
          <w:b/>
          <w:bCs/>
          <w:szCs w:val="26"/>
        </w:rPr>
        <w:t>State and Territory Governments should ensure that c</w:t>
      </w:r>
      <w:r w:rsidRPr="00FD34C4">
        <w:rPr>
          <w:rFonts w:ascii="Open Sans" w:eastAsia="MS Mincho" w:hAnsi="Open Sans"/>
          <w:b/>
          <w:bCs/>
          <w:szCs w:val="26"/>
        </w:rPr>
        <w:t xml:space="preserve">hildren are screened for all types of disability, including </w:t>
      </w:r>
      <w:r>
        <w:rPr>
          <w:rFonts w:ascii="Open Sans" w:eastAsia="MS Mincho" w:hAnsi="Open Sans"/>
          <w:b/>
          <w:bCs/>
          <w:szCs w:val="26"/>
        </w:rPr>
        <w:t>Foetal Alcohol Spectrum Disorders (FASD)</w:t>
      </w:r>
      <w:r w:rsidRPr="00FD34C4">
        <w:rPr>
          <w:rFonts w:ascii="Open Sans" w:eastAsia="MS Mincho" w:hAnsi="Open Sans"/>
          <w:b/>
          <w:bCs/>
          <w:szCs w:val="26"/>
        </w:rPr>
        <w:t xml:space="preserve">, </w:t>
      </w:r>
      <w:r>
        <w:rPr>
          <w:rFonts w:ascii="Open Sans" w:eastAsia="MS Mincho" w:hAnsi="Open Sans"/>
          <w:b/>
          <w:bCs/>
          <w:szCs w:val="26"/>
        </w:rPr>
        <w:t xml:space="preserve">in early childhood. Disability screening and treatment should be a priority for all children involved with the child protection system and </w:t>
      </w:r>
      <w:r w:rsidRPr="00FD34C4">
        <w:rPr>
          <w:rFonts w:ascii="Open Sans" w:eastAsia="MS Mincho" w:hAnsi="Open Sans"/>
          <w:b/>
          <w:bCs/>
          <w:szCs w:val="26"/>
        </w:rPr>
        <w:t>at early stages of youth justice involvement</w:t>
      </w:r>
      <w:r>
        <w:rPr>
          <w:rFonts w:ascii="Open Sans" w:eastAsia="MS Mincho" w:hAnsi="Open Sans"/>
          <w:b/>
          <w:bCs/>
          <w:szCs w:val="26"/>
        </w:rPr>
        <w:t xml:space="preserve">. </w:t>
      </w:r>
    </w:p>
    <w:p w14:paraId="59CCAA9D" w14:textId="28CCD274" w:rsidR="0053127C" w:rsidRDefault="0053127C" w:rsidP="0053127C">
      <w:r w:rsidRPr="008215A9">
        <w:rPr>
          <w:b/>
          <w:bCs/>
        </w:rPr>
        <w:t>Recommendation</w:t>
      </w:r>
      <w:r>
        <w:rPr>
          <w:b/>
          <w:bCs/>
        </w:rPr>
        <w:t xml:space="preserve"> 15</w:t>
      </w:r>
      <w:r w:rsidRPr="008215A9">
        <w:rPr>
          <w:b/>
          <w:bCs/>
        </w:rPr>
        <w:t xml:space="preserve">: </w:t>
      </w:r>
      <w:r>
        <w:rPr>
          <w:b/>
          <w:bCs/>
        </w:rPr>
        <w:t xml:space="preserve">The </w:t>
      </w:r>
      <w:r w:rsidR="003C505C">
        <w:rPr>
          <w:b/>
          <w:bCs/>
        </w:rPr>
        <w:t>Australian, State, Territory and Local Governments should</w:t>
      </w:r>
      <w:r w:rsidR="00082930">
        <w:rPr>
          <w:b/>
          <w:bCs/>
        </w:rPr>
        <w:t xml:space="preserve"> </w:t>
      </w:r>
      <w:r w:rsidRPr="008215A9">
        <w:rPr>
          <w:b/>
          <w:bCs/>
        </w:rPr>
        <w:t>develop a series of long-term interventions, co-designed with people with disability, aimed at removing attitudinal barriers that prevent people with disability realising their human rights to fully participate in everyday life on an equal basis to others</w:t>
      </w:r>
      <w:r>
        <w:rPr>
          <w:b/>
          <w:bCs/>
        </w:rPr>
        <w:t xml:space="preserve"> in a manner consistent with Article 8 of the CRPD</w:t>
      </w:r>
      <w:r w:rsidRPr="008215A9">
        <w:rPr>
          <w:b/>
          <w:bCs/>
        </w:rPr>
        <w:t xml:space="preserve">. </w:t>
      </w:r>
    </w:p>
    <w:p w14:paraId="5F046028" w14:textId="09933321" w:rsidR="00022912" w:rsidRDefault="00D256D8" w:rsidP="00C10562">
      <w:pPr>
        <w:rPr>
          <w:rStyle w:val="eop"/>
          <w:rFonts w:cs="Open Sans"/>
          <w:b/>
          <w:bCs/>
          <w:color w:val="000000"/>
          <w:shd w:val="clear" w:color="auto" w:fill="FFFFFF"/>
        </w:rPr>
      </w:pPr>
      <w:r w:rsidRPr="0034244F">
        <w:rPr>
          <w:b/>
          <w:bCs/>
        </w:rPr>
        <w:lastRenderedPageBreak/>
        <w:t>Recommendation</w:t>
      </w:r>
      <w:r>
        <w:rPr>
          <w:b/>
          <w:bCs/>
        </w:rPr>
        <w:t xml:space="preserve"> 16</w:t>
      </w:r>
      <w:r w:rsidRPr="0034244F">
        <w:rPr>
          <w:b/>
          <w:bCs/>
        </w:rPr>
        <w:t xml:space="preserve">: </w:t>
      </w:r>
      <w:r w:rsidR="00E04E1A" w:rsidRPr="0034244F">
        <w:rPr>
          <w:b/>
          <w:bCs/>
        </w:rPr>
        <w:t xml:space="preserve">All States and Territories should </w:t>
      </w:r>
      <w:r w:rsidR="00E04E1A">
        <w:rPr>
          <w:b/>
          <w:bCs/>
        </w:rPr>
        <w:t>be required</w:t>
      </w:r>
      <w:r w:rsidR="00E04E1A" w:rsidRPr="00F55B97">
        <w:rPr>
          <w:b/>
          <w:bCs/>
        </w:rPr>
        <w:t xml:space="preserve"> to adopt the Liv</w:t>
      </w:r>
      <w:r w:rsidR="00E04E1A">
        <w:rPr>
          <w:b/>
          <w:bCs/>
        </w:rPr>
        <w:t>e</w:t>
      </w:r>
      <w:r w:rsidR="00E04E1A" w:rsidRPr="00F55B97">
        <w:rPr>
          <w:b/>
          <w:bCs/>
        </w:rPr>
        <w:t>able Housing Design Standard</w:t>
      </w:r>
      <w:r w:rsidR="00E04E1A">
        <w:rPr>
          <w:b/>
          <w:bCs/>
        </w:rPr>
        <w:t xml:space="preserve"> </w:t>
      </w:r>
      <w:r w:rsidR="00E04E1A" w:rsidRPr="0034244F">
        <w:rPr>
          <w:b/>
          <w:bCs/>
        </w:rPr>
        <w:t>minimum accessibility</w:t>
      </w:r>
      <w:r w:rsidR="00E04E1A">
        <w:rPr>
          <w:b/>
          <w:bCs/>
        </w:rPr>
        <w:t xml:space="preserve"> provisions in the National Construction Code for new homes and apartments</w:t>
      </w:r>
      <w:r>
        <w:rPr>
          <w:b/>
          <w:bCs/>
        </w:rPr>
        <w:t>.</w:t>
      </w:r>
    </w:p>
    <w:p w14:paraId="7DC24A9A" w14:textId="77777777" w:rsidR="008A2EC7" w:rsidRDefault="008A2EC7" w:rsidP="008A2EC7">
      <w:r w:rsidRPr="00FA7A1B">
        <w:rPr>
          <w:rFonts w:cs="Open Sans"/>
          <w:b/>
        </w:rPr>
        <w:t>Recommendation</w:t>
      </w:r>
      <w:r>
        <w:rPr>
          <w:rFonts w:cs="Open Sans"/>
          <w:b/>
        </w:rPr>
        <w:t xml:space="preserve"> 17</w:t>
      </w:r>
      <w:r w:rsidRPr="00FA7A1B">
        <w:rPr>
          <w:rFonts w:cs="Open Sans"/>
          <w:b/>
        </w:rPr>
        <w:t xml:space="preserve">: </w:t>
      </w:r>
      <w:r>
        <w:rPr>
          <w:rFonts w:cs="Open Sans"/>
          <w:b/>
        </w:rPr>
        <w:t xml:space="preserve">The Australian Government should </w:t>
      </w:r>
      <w:r w:rsidRPr="00FA7A1B">
        <w:rPr>
          <w:rFonts w:cs="Open Sans"/>
          <w:b/>
        </w:rPr>
        <w:t xml:space="preserve">implement </w:t>
      </w:r>
      <w:r>
        <w:rPr>
          <w:rFonts w:cs="Open Sans"/>
          <w:b/>
        </w:rPr>
        <w:t xml:space="preserve">the recommendations made by </w:t>
      </w:r>
      <w:r w:rsidRPr="00FA7A1B">
        <w:rPr>
          <w:rFonts w:cs="Open Sans"/>
          <w:b/>
        </w:rPr>
        <w:t>the Australian Law Reform Commission</w:t>
      </w:r>
      <w:r>
        <w:rPr>
          <w:rFonts w:cs="Open Sans"/>
          <w:b/>
        </w:rPr>
        <w:t xml:space="preserve"> in the </w:t>
      </w:r>
      <w:r w:rsidRPr="00FA7A1B">
        <w:rPr>
          <w:rFonts w:cs="Open Sans"/>
          <w:b/>
        </w:rPr>
        <w:t>2014 report</w:t>
      </w:r>
      <w:r>
        <w:rPr>
          <w:rFonts w:cs="Open Sans"/>
          <w:b/>
        </w:rPr>
        <w:t>,</w:t>
      </w:r>
      <w:r w:rsidRPr="00FA7A1B">
        <w:rPr>
          <w:rFonts w:cs="Open Sans"/>
          <w:b/>
        </w:rPr>
        <w:t xml:space="preserve"> </w:t>
      </w:r>
      <w:r w:rsidRPr="00FA7A1B">
        <w:rPr>
          <w:rFonts w:cs="Open Sans"/>
          <w:b/>
          <w:i/>
        </w:rPr>
        <w:t>Equality, Capacity and Disability in Commonwealth Laws</w:t>
      </w:r>
      <w:r w:rsidRPr="00FA7A1B">
        <w:rPr>
          <w:rFonts w:cs="Open Sans"/>
          <w:b/>
        </w:rPr>
        <w:t>.</w:t>
      </w:r>
    </w:p>
    <w:p w14:paraId="3EBB2A81" w14:textId="3EBA150E" w:rsidR="008A2EC7" w:rsidRPr="00085011" w:rsidRDefault="008A2EC7" w:rsidP="008A2EC7">
      <w:pPr>
        <w:pStyle w:val="SubmissionNormal"/>
        <w:numPr>
          <w:ilvl w:val="0"/>
          <w:numId w:val="0"/>
        </w:numPr>
        <w:rPr>
          <w:rFonts w:cs="Open Sans"/>
          <w:b/>
        </w:rPr>
      </w:pPr>
      <w:r w:rsidRPr="00085011">
        <w:rPr>
          <w:rFonts w:cs="Open Sans"/>
          <w:b/>
        </w:rPr>
        <w:t>Recommendation</w:t>
      </w:r>
      <w:r>
        <w:rPr>
          <w:rFonts w:cs="Open Sans"/>
          <w:b/>
        </w:rPr>
        <w:t xml:space="preserve"> 18</w:t>
      </w:r>
      <w:r w:rsidRPr="00085011">
        <w:rPr>
          <w:rFonts w:cs="Open Sans"/>
          <w:b/>
        </w:rPr>
        <w:t xml:space="preserve">: The Australian </w:t>
      </w:r>
      <w:r w:rsidR="00662B58" w:rsidRPr="15363531">
        <w:rPr>
          <w:rFonts w:cs="Open Sans"/>
          <w:b/>
          <w:bCs/>
        </w:rPr>
        <w:t>Government</w:t>
      </w:r>
      <w:r w:rsidR="00662B58">
        <w:rPr>
          <w:rFonts w:cs="Open Sans"/>
          <w:b/>
          <w:bCs/>
        </w:rPr>
        <w:t xml:space="preserve"> should</w:t>
      </w:r>
      <w:r w:rsidR="00662B58" w:rsidRPr="15363531">
        <w:rPr>
          <w:rFonts w:cs="Open Sans"/>
          <w:b/>
          <w:bCs/>
        </w:rPr>
        <w:t xml:space="preserve"> collaborat</w:t>
      </w:r>
      <w:r w:rsidR="00662B58">
        <w:rPr>
          <w:rFonts w:cs="Open Sans"/>
          <w:b/>
          <w:bCs/>
        </w:rPr>
        <w:t>e</w:t>
      </w:r>
      <w:r w:rsidR="00662B58" w:rsidRPr="15363531">
        <w:rPr>
          <w:rFonts w:cs="Open Sans"/>
          <w:b/>
          <w:bCs/>
        </w:rPr>
        <w:t xml:space="preserve"> with </w:t>
      </w:r>
      <w:r w:rsidR="00662B58">
        <w:rPr>
          <w:rFonts w:cs="Open Sans"/>
          <w:b/>
          <w:bCs/>
        </w:rPr>
        <w:t>S</w:t>
      </w:r>
      <w:r w:rsidR="00662B58" w:rsidRPr="15363531">
        <w:rPr>
          <w:rFonts w:cs="Open Sans"/>
          <w:b/>
          <w:bCs/>
        </w:rPr>
        <w:t xml:space="preserve">tate and </w:t>
      </w:r>
      <w:r w:rsidR="00662B58">
        <w:rPr>
          <w:rFonts w:cs="Open Sans"/>
          <w:b/>
          <w:bCs/>
        </w:rPr>
        <w:t>T</w:t>
      </w:r>
      <w:r w:rsidR="00662B58" w:rsidRPr="15363531">
        <w:rPr>
          <w:rFonts w:cs="Open Sans"/>
          <w:b/>
          <w:bCs/>
        </w:rPr>
        <w:t xml:space="preserve">erritory Governments, </w:t>
      </w:r>
      <w:r w:rsidRPr="00085011">
        <w:rPr>
          <w:rFonts w:cs="Open Sans"/>
          <w:b/>
        </w:rPr>
        <w:t>in the implementation of the National Affordable Housing Agreement and the National Partnership Agreement on Homelessness</w:t>
      </w:r>
      <w:r>
        <w:rPr>
          <w:rFonts w:cs="Open Sans"/>
          <w:b/>
        </w:rPr>
        <w:t xml:space="preserve"> to</w:t>
      </w:r>
      <w:r w:rsidRPr="00085011">
        <w:rPr>
          <w:rFonts w:cs="Open Sans"/>
          <w:b/>
        </w:rPr>
        <w:t>:</w:t>
      </w:r>
    </w:p>
    <w:p w14:paraId="2D5A7D11" w14:textId="77777777" w:rsidR="008A2EC7" w:rsidRPr="00085011" w:rsidRDefault="008A2EC7" w:rsidP="008A2EC7">
      <w:pPr>
        <w:pStyle w:val="SubmissionNormal"/>
        <w:numPr>
          <w:ilvl w:val="0"/>
          <w:numId w:val="40"/>
        </w:numPr>
        <w:rPr>
          <w:rFonts w:cs="Open Sans"/>
          <w:b/>
        </w:rPr>
      </w:pPr>
      <w:r w:rsidRPr="00085011">
        <w:rPr>
          <w:rFonts w:cs="Open Sans"/>
          <w:b/>
        </w:rPr>
        <w:t>include people with disability as a priority cohort</w:t>
      </w:r>
    </w:p>
    <w:p w14:paraId="037CC5BA" w14:textId="77777777" w:rsidR="008A2EC7" w:rsidRPr="00085011" w:rsidRDefault="008A2EC7" w:rsidP="008A2EC7">
      <w:pPr>
        <w:pStyle w:val="SubmissionNormal"/>
        <w:numPr>
          <w:ilvl w:val="0"/>
          <w:numId w:val="40"/>
        </w:numPr>
        <w:rPr>
          <w:rFonts w:cs="Open Sans"/>
          <w:b/>
        </w:rPr>
      </w:pPr>
      <w:r w:rsidRPr="00085011">
        <w:rPr>
          <w:rFonts w:cs="Open Sans"/>
          <w:b/>
        </w:rPr>
        <w:t>align the agreement with Australia’s Disability Strategy</w:t>
      </w:r>
      <w:r>
        <w:rPr>
          <w:rFonts w:cs="Open Sans"/>
          <w:b/>
        </w:rPr>
        <w:t>.</w:t>
      </w:r>
    </w:p>
    <w:p w14:paraId="340ECEA1" w14:textId="77777777" w:rsidR="00320ED8" w:rsidRPr="00085011" w:rsidRDefault="00320ED8" w:rsidP="00512C2D">
      <w:pPr>
        <w:rPr>
          <w:rFonts w:cs="Open Sans"/>
          <w:b/>
        </w:rPr>
      </w:pPr>
      <w:r w:rsidRPr="00085011">
        <w:rPr>
          <w:rFonts w:cs="Open Sans"/>
          <w:b/>
        </w:rPr>
        <w:t>Recommendation</w:t>
      </w:r>
      <w:r>
        <w:rPr>
          <w:rFonts w:cs="Open Sans"/>
          <w:b/>
        </w:rPr>
        <w:t xml:space="preserve"> 19</w:t>
      </w:r>
      <w:r w:rsidRPr="00085011">
        <w:rPr>
          <w:rFonts w:cs="Open Sans"/>
          <w:b/>
        </w:rPr>
        <w:t>: The Australian Government</w:t>
      </w:r>
      <w:r>
        <w:rPr>
          <w:rFonts w:cs="Open Sans"/>
          <w:b/>
        </w:rPr>
        <w:t xml:space="preserve"> should</w:t>
      </w:r>
      <w:r w:rsidRPr="00085011">
        <w:rPr>
          <w:rFonts w:cs="Open Sans"/>
          <w:b/>
        </w:rPr>
        <w:t xml:space="preserve"> develop a national poverty reduction plan that addresses disability as a cross-cutting issue.</w:t>
      </w:r>
    </w:p>
    <w:p w14:paraId="457EC956" w14:textId="4CB888FB" w:rsidR="00437FDE" w:rsidRPr="008215A9" w:rsidRDefault="00437FDE" w:rsidP="00437FDE">
      <w:pPr>
        <w:rPr>
          <w:b/>
          <w:bCs/>
        </w:rPr>
      </w:pPr>
      <w:r w:rsidRPr="00085011">
        <w:rPr>
          <w:b/>
          <w:bCs/>
        </w:rPr>
        <w:t>Recommendation</w:t>
      </w:r>
      <w:r>
        <w:rPr>
          <w:b/>
          <w:bCs/>
        </w:rPr>
        <w:t xml:space="preserve"> </w:t>
      </w:r>
      <w:r w:rsidR="00320ED8">
        <w:rPr>
          <w:b/>
          <w:bCs/>
        </w:rPr>
        <w:t>20</w:t>
      </w:r>
      <w:r w:rsidRPr="00085011">
        <w:rPr>
          <w:b/>
          <w:bCs/>
        </w:rPr>
        <w:t xml:space="preserve">: </w:t>
      </w:r>
      <w:r>
        <w:rPr>
          <w:b/>
          <w:bCs/>
        </w:rPr>
        <w:t xml:space="preserve">The Australian Government develop </w:t>
      </w:r>
      <w:r w:rsidRPr="00085011">
        <w:rPr>
          <w:b/>
          <w:bCs/>
        </w:rPr>
        <w:t>a housing Targeted Action Plan</w:t>
      </w:r>
      <w:r>
        <w:rPr>
          <w:b/>
          <w:bCs/>
        </w:rPr>
        <w:t xml:space="preserve"> under Australia’s Disability Strategy, which should include considerations for:</w:t>
      </w:r>
    </w:p>
    <w:p w14:paraId="2BFED411" w14:textId="5A612CF4" w:rsidR="00437FDE" w:rsidRDefault="00437FDE" w:rsidP="00437FDE">
      <w:pPr>
        <w:pStyle w:val="ListParagraph"/>
        <w:numPr>
          <w:ilvl w:val="0"/>
          <w:numId w:val="44"/>
        </w:numPr>
        <w:rPr>
          <w:b/>
          <w:bCs/>
        </w:rPr>
      </w:pPr>
      <w:r>
        <w:rPr>
          <w:b/>
          <w:bCs/>
        </w:rPr>
        <w:t xml:space="preserve">security </w:t>
      </w:r>
      <w:r w:rsidR="00301AAD">
        <w:rPr>
          <w:b/>
          <w:bCs/>
        </w:rPr>
        <w:t xml:space="preserve">and different types </w:t>
      </w:r>
      <w:r>
        <w:rPr>
          <w:b/>
          <w:bCs/>
        </w:rPr>
        <w:t>of tenancy</w:t>
      </w:r>
    </w:p>
    <w:p w14:paraId="6A1A5243" w14:textId="77777777" w:rsidR="00437FDE" w:rsidRDefault="00437FDE" w:rsidP="00437FDE">
      <w:pPr>
        <w:pStyle w:val="ListParagraph"/>
        <w:numPr>
          <w:ilvl w:val="0"/>
          <w:numId w:val="44"/>
        </w:numPr>
        <w:rPr>
          <w:b/>
          <w:bCs/>
        </w:rPr>
      </w:pPr>
      <w:r>
        <w:rPr>
          <w:b/>
          <w:bCs/>
        </w:rPr>
        <w:t>design</w:t>
      </w:r>
    </w:p>
    <w:p w14:paraId="0ED2B620" w14:textId="77777777" w:rsidR="00437FDE" w:rsidRDefault="00437FDE" w:rsidP="00437FDE">
      <w:pPr>
        <w:pStyle w:val="ListParagraph"/>
        <w:numPr>
          <w:ilvl w:val="0"/>
          <w:numId w:val="44"/>
        </w:numPr>
        <w:rPr>
          <w:b/>
          <w:bCs/>
        </w:rPr>
      </w:pPr>
      <w:r>
        <w:rPr>
          <w:b/>
          <w:bCs/>
        </w:rPr>
        <w:t>location</w:t>
      </w:r>
    </w:p>
    <w:p w14:paraId="00A62A33" w14:textId="052A1F37" w:rsidR="00301AAD" w:rsidRDefault="00A125F8" w:rsidP="00437FDE">
      <w:pPr>
        <w:pStyle w:val="ListParagraph"/>
        <w:numPr>
          <w:ilvl w:val="0"/>
          <w:numId w:val="44"/>
        </w:numPr>
        <w:rPr>
          <w:b/>
          <w:bCs/>
        </w:rPr>
      </w:pPr>
      <w:r>
        <w:rPr>
          <w:b/>
          <w:bCs/>
        </w:rPr>
        <w:t>availability</w:t>
      </w:r>
    </w:p>
    <w:p w14:paraId="44A19EAD" w14:textId="77777777" w:rsidR="00437FDE" w:rsidRDefault="00437FDE" w:rsidP="00437FDE">
      <w:pPr>
        <w:pStyle w:val="ListParagraph"/>
        <w:numPr>
          <w:ilvl w:val="0"/>
          <w:numId w:val="44"/>
        </w:numPr>
        <w:rPr>
          <w:b/>
          <w:bCs/>
        </w:rPr>
      </w:pPr>
      <w:r>
        <w:rPr>
          <w:b/>
          <w:bCs/>
        </w:rPr>
        <w:t>affordability</w:t>
      </w:r>
    </w:p>
    <w:p w14:paraId="07511D68" w14:textId="77777777" w:rsidR="00437FDE" w:rsidRPr="00C566C9" w:rsidRDefault="00437FDE" w:rsidP="00437FDE">
      <w:pPr>
        <w:pStyle w:val="ListParagraph"/>
        <w:numPr>
          <w:ilvl w:val="0"/>
          <w:numId w:val="44"/>
        </w:numPr>
        <w:rPr>
          <w:b/>
          <w:bCs/>
        </w:rPr>
      </w:pPr>
      <w:r>
        <w:rPr>
          <w:b/>
          <w:bCs/>
        </w:rPr>
        <w:t>accessibility.</w:t>
      </w:r>
    </w:p>
    <w:p w14:paraId="0BCC08FD" w14:textId="5E6BE085" w:rsidR="00437FDE" w:rsidRPr="008215A9" w:rsidRDefault="00437FDE" w:rsidP="00437FDE">
      <w:pPr>
        <w:rPr>
          <w:b/>
          <w:bCs/>
        </w:rPr>
      </w:pPr>
      <w:r w:rsidRPr="008215A9">
        <w:rPr>
          <w:b/>
          <w:bCs/>
        </w:rPr>
        <w:t>Recommendation</w:t>
      </w:r>
      <w:r>
        <w:rPr>
          <w:b/>
          <w:bCs/>
        </w:rPr>
        <w:t xml:space="preserve"> 2</w:t>
      </w:r>
      <w:r w:rsidR="00320ED8">
        <w:rPr>
          <w:b/>
          <w:bCs/>
        </w:rPr>
        <w:t>1</w:t>
      </w:r>
      <w:r w:rsidRPr="008215A9">
        <w:rPr>
          <w:b/>
          <w:bCs/>
        </w:rPr>
        <w:t xml:space="preserve">: The Australian Government work with State and Territory governments to develop an action plan </w:t>
      </w:r>
      <w:r w:rsidR="00F761AC">
        <w:rPr>
          <w:b/>
          <w:bCs/>
        </w:rPr>
        <w:t xml:space="preserve">under Australia’s Disability Strategy </w:t>
      </w:r>
      <w:r>
        <w:rPr>
          <w:b/>
          <w:bCs/>
        </w:rPr>
        <w:t>committing to</w:t>
      </w:r>
      <w:r w:rsidRPr="008215A9">
        <w:rPr>
          <w:b/>
          <w:bCs/>
        </w:rPr>
        <w:t>:</w:t>
      </w:r>
    </w:p>
    <w:p w14:paraId="2D817CB2" w14:textId="77777777" w:rsidR="00437FDE" w:rsidRPr="008F40DD" w:rsidRDefault="00437FDE" w:rsidP="00437FDE">
      <w:pPr>
        <w:pStyle w:val="ListParagraph"/>
        <w:numPr>
          <w:ilvl w:val="0"/>
          <w:numId w:val="42"/>
        </w:numPr>
        <w:rPr>
          <w:b/>
          <w:bCs/>
        </w:rPr>
      </w:pPr>
      <w:r w:rsidRPr="008F40DD">
        <w:rPr>
          <w:b/>
          <w:bCs/>
        </w:rPr>
        <w:t xml:space="preserve">all people with disability having access, on an equal basis with others, to affordable, accessible, quality and culturally sensitive health services, including sexual and reproductive health and mental health services, with particular consideration of people in rural and remote areas and Aboriginal and Torres Strait Islander peoples with disability  </w:t>
      </w:r>
    </w:p>
    <w:p w14:paraId="5B9987A3" w14:textId="77777777" w:rsidR="00437FDE" w:rsidRPr="008F40DD" w:rsidRDefault="00437FDE" w:rsidP="00437FDE">
      <w:pPr>
        <w:pStyle w:val="ListParagraph"/>
        <w:numPr>
          <w:ilvl w:val="0"/>
          <w:numId w:val="42"/>
        </w:numPr>
        <w:rPr>
          <w:b/>
          <w:bCs/>
        </w:rPr>
      </w:pPr>
      <w:r w:rsidRPr="008F40DD">
        <w:rPr>
          <w:b/>
          <w:bCs/>
        </w:rPr>
        <w:lastRenderedPageBreak/>
        <w:t>all health care services and programmes being based on a human rights approach to disability, are non-discriminatory and seek informed consent prior to any medical treatment</w:t>
      </w:r>
    </w:p>
    <w:p w14:paraId="589A0601" w14:textId="57FAFAAA" w:rsidR="00C10562" w:rsidRPr="001E5AF0" w:rsidRDefault="00437FDE" w:rsidP="001E5AF0">
      <w:pPr>
        <w:pStyle w:val="ListParagraph"/>
        <w:numPr>
          <w:ilvl w:val="0"/>
          <w:numId w:val="42"/>
        </w:numPr>
        <w:rPr>
          <w:rStyle w:val="eop"/>
          <w:b/>
          <w:bCs/>
        </w:rPr>
      </w:pPr>
      <w:r w:rsidRPr="008F40DD">
        <w:rPr>
          <w:b/>
          <w:bCs/>
        </w:rPr>
        <w:t xml:space="preserve">health-care practitioners being provided with training on the human rights-based approach to disability to enhance their capacity to provide accessible, quality health care to people with disability. </w:t>
      </w:r>
    </w:p>
    <w:p w14:paraId="571F937F" w14:textId="6B913843" w:rsidR="00437FDE" w:rsidRDefault="00437FDE" w:rsidP="00437FDE">
      <w:pPr>
        <w:rPr>
          <w:b/>
          <w:bCs/>
        </w:rPr>
      </w:pPr>
      <w:r w:rsidRPr="008215A9">
        <w:rPr>
          <w:b/>
          <w:bCs/>
        </w:rPr>
        <w:t>Recommendation</w:t>
      </w:r>
      <w:r>
        <w:rPr>
          <w:b/>
          <w:bCs/>
        </w:rPr>
        <w:t xml:space="preserve"> 2</w:t>
      </w:r>
      <w:r w:rsidR="00B73643">
        <w:rPr>
          <w:b/>
          <w:bCs/>
        </w:rPr>
        <w:t>2</w:t>
      </w:r>
      <w:r w:rsidRPr="008215A9">
        <w:rPr>
          <w:b/>
          <w:bCs/>
        </w:rPr>
        <w:t>: The Australian Government redouble their efforts to achieve the Closing the Gap targets, including by adequately funding the National Aboriginal and Torres Strait Islander Health Plan, the Plan to Improve Outcomes for Aboriginal and Torres Strait Islander People with Disability and targeting programs to address the social determinants of health.</w:t>
      </w:r>
    </w:p>
    <w:p w14:paraId="4A6983C1" w14:textId="3D285C66" w:rsidR="00437FDE" w:rsidRPr="00FA7A1B" w:rsidRDefault="00437FDE" w:rsidP="00437FDE">
      <w:pPr>
        <w:pStyle w:val="SubmissionNormal"/>
        <w:numPr>
          <w:ilvl w:val="0"/>
          <w:numId w:val="0"/>
        </w:numPr>
        <w:spacing w:after="0"/>
        <w:rPr>
          <w:rFonts w:cs="Open Sans"/>
          <w:b/>
        </w:rPr>
      </w:pPr>
      <w:r w:rsidRPr="00FA7A1B">
        <w:rPr>
          <w:rFonts w:cs="Open Sans"/>
          <w:b/>
        </w:rPr>
        <w:t>Recommendation</w:t>
      </w:r>
      <w:r>
        <w:rPr>
          <w:rFonts w:cs="Open Sans"/>
          <w:b/>
        </w:rPr>
        <w:t xml:space="preserve"> 2</w:t>
      </w:r>
      <w:r w:rsidR="00B73643">
        <w:rPr>
          <w:rFonts w:cs="Open Sans"/>
          <w:b/>
        </w:rPr>
        <w:t>3</w:t>
      </w:r>
      <w:r w:rsidRPr="00FA7A1B">
        <w:rPr>
          <w:rFonts w:cs="Open Sans"/>
          <w:b/>
        </w:rPr>
        <w:t>: The Australian Government</w:t>
      </w:r>
      <w:r>
        <w:rPr>
          <w:rFonts w:cs="Open Sans"/>
          <w:b/>
        </w:rPr>
        <w:t>, and</w:t>
      </w:r>
      <w:r w:rsidRPr="00FA7A1B">
        <w:rPr>
          <w:rFonts w:cs="Open Sans"/>
          <w:b/>
        </w:rPr>
        <w:t xml:space="preserve"> State and Territory governments</w:t>
      </w:r>
      <w:r>
        <w:rPr>
          <w:rFonts w:cs="Open Sans"/>
          <w:b/>
        </w:rPr>
        <w:t xml:space="preserve">, </w:t>
      </w:r>
      <w:r w:rsidRPr="00FA7A1B">
        <w:rPr>
          <w:rFonts w:cs="Open Sans"/>
          <w:b/>
        </w:rPr>
        <w:t>adopt uniform legislation prohibiting, in the absence of the free, prior and informed consent of the person concerned:</w:t>
      </w:r>
    </w:p>
    <w:p w14:paraId="4CF0730E" w14:textId="77777777" w:rsidR="00437FDE" w:rsidRPr="00FA7A1B" w:rsidRDefault="00437FDE" w:rsidP="00437FDE">
      <w:pPr>
        <w:pStyle w:val="SubmissionNormal"/>
        <w:numPr>
          <w:ilvl w:val="4"/>
          <w:numId w:val="15"/>
        </w:numPr>
        <w:tabs>
          <w:tab w:val="clear" w:pos="3600"/>
          <w:tab w:val="num" w:pos="776"/>
        </w:tabs>
        <w:spacing w:before="0" w:after="0"/>
        <w:ind w:left="776"/>
        <w:rPr>
          <w:rFonts w:cs="Open Sans"/>
          <w:b/>
        </w:rPr>
      </w:pPr>
      <w:r w:rsidRPr="00FA7A1B">
        <w:rPr>
          <w:rFonts w:cs="Open Sans"/>
          <w:b/>
        </w:rPr>
        <w:t>the administration of contraceptives and abortion procedures on women and girls with disability</w:t>
      </w:r>
    </w:p>
    <w:p w14:paraId="3F7AC829" w14:textId="77777777" w:rsidR="00437FDE" w:rsidRPr="00FA7A1B" w:rsidRDefault="00437FDE" w:rsidP="00437FDE">
      <w:pPr>
        <w:pStyle w:val="SubmissionNormal"/>
        <w:numPr>
          <w:ilvl w:val="4"/>
          <w:numId w:val="15"/>
        </w:numPr>
        <w:tabs>
          <w:tab w:val="clear" w:pos="3600"/>
          <w:tab w:val="num" w:pos="776"/>
        </w:tabs>
        <w:spacing w:before="0" w:after="0"/>
        <w:ind w:left="776"/>
        <w:rPr>
          <w:rFonts w:cs="Open Sans"/>
          <w:b/>
        </w:rPr>
      </w:pPr>
      <w:r w:rsidRPr="00FA7A1B">
        <w:rPr>
          <w:rFonts w:cs="Open Sans"/>
          <w:b/>
        </w:rPr>
        <w:t>the sterilisation of adults and children with disability.</w:t>
      </w:r>
    </w:p>
    <w:p w14:paraId="00092E43" w14:textId="77777777" w:rsidR="009C7144" w:rsidRDefault="009C7144" w:rsidP="009C7144">
      <w:pPr>
        <w:pStyle w:val="SubmissionNormal"/>
        <w:numPr>
          <w:ilvl w:val="0"/>
          <w:numId w:val="0"/>
        </w:numPr>
        <w:spacing w:before="0" w:after="0"/>
        <w:rPr>
          <w:rFonts w:cs="Open Sans"/>
          <w:b/>
        </w:rPr>
      </w:pPr>
    </w:p>
    <w:p w14:paraId="63ABB62F" w14:textId="506D8AD9" w:rsidR="009C7144" w:rsidRDefault="009C7144" w:rsidP="009C7144">
      <w:pPr>
        <w:pStyle w:val="SubmissionNormal"/>
        <w:numPr>
          <w:ilvl w:val="0"/>
          <w:numId w:val="0"/>
        </w:numPr>
        <w:spacing w:before="0" w:after="0"/>
        <w:rPr>
          <w:rFonts w:cs="Open Sans"/>
          <w:b/>
        </w:rPr>
      </w:pPr>
      <w:r w:rsidRPr="00FA7A1B">
        <w:rPr>
          <w:rFonts w:cs="Open Sans"/>
          <w:b/>
        </w:rPr>
        <w:t>Recommendation</w:t>
      </w:r>
      <w:r>
        <w:rPr>
          <w:rFonts w:cs="Open Sans"/>
          <w:b/>
        </w:rPr>
        <w:t xml:space="preserve"> 2</w:t>
      </w:r>
      <w:r w:rsidR="00B73643">
        <w:rPr>
          <w:rFonts w:cs="Open Sans"/>
          <w:b/>
        </w:rPr>
        <w:t>4</w:t>
      </w:r>
      <w:r w:rsidRPr="00FA7A1B">
        <w:rPr>
          <w:rFonts w:cs="Open Sans"/>
          <w:b/>
        </w:rPr>
        <w:t xml:space="preserve">: The Australian Government review and amend the Family Law Rules 2004 relating to Medical Procedure Applications so that they align with the </w:t>
      </w:r>
      <w:r>
        <w:rPr>
          <w:rFonts w:cs="Open Sans"/>
          <w:b/>
        </w:rPr>
        <w:t>Convention on the Rights of Persons with Disabilities</w:t>
      </w:r>
      <w:r w:rsidRPr="00FA7A1B">
        <w:rPr>
          <w:rFonts w:cs="Open Sans"/>
          <w:b/>
        </w:rPr>
        <w:t xml:space="preserve"> and the </w:t>
      </w:r>
      <w:r>
        <w:rPr>
          <w:rFonts w:cs="Open Sans"/>
          <w:b/>
        </w:rPr>
        <w:t>Convention on the Rights of the Child</w:t>
      </w:r>
      <w:r w:rsidRPr="00FA7A1B">
        <w:rPr>
          <w:rFonts w:cs="Open Sans"/>
          <w:b/>
        </w:rPr>
        <w:t xml:space="preserve">. </w:t>
      </w:r>
    </w:p>
    <w:p w14:paraId="4D790A1B" w14:textId="77777777" w:rsidR="009C7144" w:rsidRPr="00FA7A1B" w:rsidRDefault="009C7144" w:rsidP="009C7144">
      <w:pPr>
        <w:pStyle w:val="SubmissionNormal"/>
        <w:numPr>
          <w:ilvl w:val="0"/>
          <w:numId w:val="0"/>
        </w:numPr>
        <w:spacing w:before="0" w:after="0"/>
        <w:rPr>
          <w:rFonts w:cs="Open Sans"/>
          <w:b/>
        </w:rPr>
      </w:pPr>
    </w:p>
    <w:p w14:paraId="37859044" w14:textId="15747FDA" w:rsidR="009C7144" w:rsidRPr="003D0C55" w:rsidRDefault="009C7144" w:rsidP="009C7144">
      <w:pPr>
        <w:pStyle w:val="SubmissionNormal"/>
        <w:numPr>
          <w:ilvl w:val="0"/>
          <w:numId w:val="0"/>
        </w:numPr>
        <w:tabs>
          <w:tab w:val="num" w:pos="7383"/>
        </w:tabs>
        <w:autoSpaceDE w:val="0"/>
        <w:autoSpaceDN w:val="0"/>
        <w:adjustRightInd w:val="0"/>
        <w:spacing w:before="0" w:after="0"/>
        <w:rPr>
          <w:rFonts w:cs="Open Sans"/>
          <w:b/>
          <w:bCs/>
        </w:rPr>
      </w:pPr>
      <w:r w:rsidRPr="00FA7A1B">
        <w:rPr>
          <w:rFonts w:cs="Open Sans"/>
          <w:b/>
        </w:rPr>
        <w:t>Recommendation</w:t>
      </w:r>
      <w:r>
        <w:rPr>
          <w:rFonts w:cs="Open Sans"/>
          <w:b/>
        </w:rPr>
        <w:t xml:space="preserve"> 2</w:t>
      </w:r>
      <w:r w:rsidR="00B73643">
        <w:rPr>
          <w:rFonts w:cs="Open Sans"/>
          <w:b/>
        </w:rPr>
        <w:t>5</w:t>
      </w:r>
      <w:r w:rsidRPr="00FA7A1B">
        <w:rPr>
          <w:rFonts w:cs="Open Sans"/>
          <w:b/>
        </w:rPr>
        <w:t>: The Australian Government</w:t>
      </w:r>
      <w:r>
        <w:rPr>
          <w:rFonts w:cs="Open Sans"/>
          <w:b/>
        </w:rPr>
        <w:t xml:space="preserve">, </w:t>
      </w:r>
      <w:r w:rsidRPr="00FA7A1B">
        <w:rPr>
          <w:rFonts w:cs="Open Sans"/>
          <w:b/>
        </w:rPr>
        <w:t>with State and Territory governments</w:t>
      </w:r>
      <w:r>
        <w:rPr>
          <w:rFonts w:cs="Open Sans"/>
          <w:b/>
        </w:rPr>
        <w:t>, develop</w:t>
      </w:r>
      <w:r w:rsidRPr="00FA7A1B">
        <w:rPr>
          <w:rFonts w:cs="Open Sans"/>
          <w:b/>
        </w:rPr>
        <w:t xml:space="preserve"> a nationally consistent human rights-based approach to decision-making about medical interventions on children with variations in sex characteristics</w:t>
      </w:r>
      <w:r>
        <w:rPr>
          <w:rFonts w:cs="Open Sans"/>
          <w:b/>
        </w:rPr>
        <w:t xml:space="preserve"> </w:t>
      </w:r>
      <w:r w:rsidRPr="003D0C55">
        <w:rPr>
          <w:rFonts w:cs="Open Sans"/>
          <w:b/>
          <w:bCs/>
        </w:rPr>
        <w:t>based on the following principles</w:t>
      </w:r>
      <w:r>
        <w:rPr>
          <w:rFonts w:cs="Open Sans"/>
          <w:b/>
          <w:bCs/>
        </w:rPr>
        <w:t xml:space="preserve"> outlined in the Australian Human Rights Commission’s </w:t>
      </w:r>
      <w:r w:rsidRPr="00512C2D">
        <w:rPr>
          <w:rFonts w:cs="Open Sans"/>
          <w:b/>
          <w:bCs/>
          <w:i/>
          <w:iCs/>
        </w:rPr>
        <w:t xml:space="preserve">‘Ensuring health and bodily Integrity’ </w:t>
      </w:r>
      <w:r>
        <w:rPr>
          <w:rFonts w:cs="Open Sans"/>
          <w:b/>
          <w:bCs/>
        </w:rPr>
        <w:t>report:</w:t>
      </w:r>
    </w:p>
    <w:p w14:paraId="3624C9C9" w14:textId="1F60FFB6" w:rsidR="007A2D64" w:rsidRPr="00512C2D" w:rsidRDefault="007A2D64" w:rsidP="00512C2D">
      <w:pPr>
        <w:pStyle w:val="ListParagraph"/>
        <w:numPr>
          <w:ilvl w:val="0"/>
          <w:numId w:val="41"/>
        </w:numPr>
        <w:rPr>
          <w:b/>
          <w:bCs/>
        </w:rPr>
      </w:pPr>
      <w:r>
        <w:rPr>
          <w:b/>
          <w:bCs/>
        </w:rPr>
        <w:t>bodily integrity</w:t>
      </w:r>
    </w:p>
    <w:p w14:paraId="4194762D" w14:textId="320E46F2" w:rsidR="007E70C7" w:rsidRDefault="007A2D64" w:rsidP="009C7144">
      <w:pPr>
        <w:pStyle w:val="ListParagraph"/>
        <w:numPr>
          <w:ilvl w:val="0"/>
          <w:numId w:val="41"/>
        </w:numPr>
        <w:rPr>
          <w:b/>
          <w:bCs/>
        </w:rPr>
      </w:pPr>
      <w:r>
        <w:rPr>
          <w:b/>
          <w:bCs/>
        </w:rPr>
        <w:t>c</w:t>
      </w:r>
      <w:r w:rsidR="00F73F6D">
        <w:rPr>
          <w:b/>
          <w:bCs/>
        </w:rPr>
        <w:t>hildren’s agency</w:t>
      </w:r>
    </w:p>
    <w:p w14:paraId="0DC2BA8F" w14:textId="68C4895A" w:rsidR="00F73F6D" w:rsidRDefault="007A2D64" w:rsidP="009C7144">
      <w:pPr>
        <w:pStyle w:val="ListParagraph"/>
        <w:numPr>
          <w:ilvl w:val="0"/>
          <w:numId w:val="41"/>
        </w:numPr>
        <w:rPr>
          <w:b/>
          <w:bCs/>
        </w:rPr>
      </w:pPr>
      <w:r>
        <w:rPr>
          <w:b/>
          <w:bCs/>
        </w:rPr>
        <w:t>p</w:t>
      </w:r>
      <w:r w:rsidR="00F73F6D">
        <w:rPr>
          <w:b/>
          <w:bCs/>
        </w:rPr>
        <w:t>recautionary principle</w:t>
      </w:r>
    </w:p>
    <w:p w14:paraId="7FEC96BA" w14:textId="56D640EC" w:rsidR="009C7144" w:rsidRPr="003D0C55" w:rsidRDefault="007A2D64" w:rsidP="009C7144">
      <w:pPr>
        <w:pStyle w:val="ListParagraph"/>
        <w:numPr>
          <w:ilvl w:val="0"/>
          <w:numId w:val="41"/>
        </w:numPr>
        <w:rPr>
          <w:b/>
          <w:bCs/>
        </w:rPr>
      </w:pPr>
      <w:r>
        <w:rPr>
          <w:b/>
          <w:bCs/>
        </w:rPr>
        <w:t>m</w:t>
      </w:r>
      <w:r w:rsidR="009C7144" w:rsidRPr="003D0C55">
        <w:rPr>
          <w:b/>
          <w:bCs/>
        </w:rPr>
        <w:t>edical necessity</w:t>
      </w:r>
    </w:p>
    <w:p w14:paraId="716D126C" w14:textId="673EBC6F" w:rsidR="00437FDE" w:rsidRPr="001E5AF0" w:rsidRDefault="007A2D64" w:rsidP="001E5AF0">
      <w:pPr>
        <w:pStyle w:val="ListParagraph"/>
        <w:numPr>
          <w:ilvl w:val="0"/>
          <w:numId w:val="41"/>
        </w:numPr>
        <w:rPr>
          <w:rStyle w:val="eop"/>
          <w:b/>
          <w:bCs/>
        </w:rPr>
      </w:pPr>
      <w:r>
        <w:rPr>
          <w:b/>
          <w:bCs/>
        </w:rPr>
        <w:lastRenderedPageBreak/>
        <w:t>i</w:t>
      </w:r>
      <w:r w:rsidR="009C7144" w:rsidRPr="003D0C55">
        <w:rPr>
          <w:b/>
          <w:bCs/>
        </w:rPr>
        <w:t>ndependent oversight</w:t>
      </w:r>
      <w:r w:rsidR="00512C2D">
        <w:rPr>
          <w:b/>
          <w:bCs/>
        </w:rPr>
        <w:t>.</w:t>
      </w:r>
    </w:p>
    <w:p w14:paraId="11BA43E3" w14:textId="41BBB7E2" w:rsidR="001118E5" w:rsidRPr="008215A9" w:rsidRDefault="001118E5" w:rsidP="001118E5">
      <w:pPr>
        <w:pStyle w:val="SubmissionNormal"/>
        <w:numPr>
          <w:ilvl w:val="0"/>
          <w:numId w:val="0"/>
        </w:numPr>
      </w:pPr>
      <w:r>
        <w:rPr>
          <w:b/>
          <w:bCs/>
        </w:rPr>
        <w:t>Recommendation 2</w:t>
      </w:r>
      <w:r w:rsidR="00B73643">
        <w:rPr>
          <w:b/>
          <w:bCs/>
        </w:rPr>
        <w:t>6</w:t>
      </w:r>
      <w:r>
        <w:rPr>
          <w:b/>
          <w:bCs/>
        </w:rPr>
        <w:t xml:space="preserve">: The Australian Government ensure that policies and procedures are in place to protect people with disability from being impacted by COVID-19 without limiting their ability to continue to engage in all aspects of society on an equal basis with others.  </w:t>
      </w:r>
    </w:p>
    <w:p w14:paraId="3762146E" w14:textId="598A2275" w:rsidR="005662F6" w:rsidRDefault="005662F6" w:rsidP="005662F6">
      <w:r>
        <w:rPr>
          <w:b/>
          <w:bCs/>
        </w:rPr>
        <w:t>Recommendation 2</w:t>
      </w:r>
      <w:r w:rsidR="00B73643">
        <w:rPr>
          <w:b/>
          <w:bCs/>
        </w:rPr>
        <w:t>7</w:t>
      </w:r>
      <w:r>
        <w:rPr>
          <w:b/>
          <w:bCs/>
        </w:rPr>
        <w:t>: The Australian Government should prioritise the design and development of the National Disability Data Asset.</w:t>
      </w:r>
      <w:r>
        <w:t xml:space="preserve"> </w:t>
      </w:r>
    </w:p>
    <w:p w14:paraId="17CE34E9" w14:textId="2358B5AD" w:rsidR="007355AF" w:rsidRPr="001E5AF0" w:rsidRDefault="005662F6" w:rsidP="006D7173">
      <w:pPr>
        <w:rPr>
          <w:b/>
          <w:bCs/>
        </w:rPr>
      </w:pPr>
      <w:r w:rsidRPr="1AEB6C0A">
        <w:rPr>
          <w:b/>
          <w:bCs/>
        </w:rPr>
        <w:t>Recommendation</w:t>
      </w:r>
      <w:r>
        <w:rPr>
          <w:b/>
          <w:bCs/>
        </w:rPr>
        <w:t xml:space="preserve"> 2</w:t>
      </w:r>
      <w:r w:rsidR="00DB5FFE">
        <w:rPr>
          <w:b/>
          <w:bCs/>
        </w:rPr>
        <w:t>8</w:t>
      </w:r>
      <w:r w:rsidRPr="1AEB6C0A">
        <w:rPr>
          <w:b/>
          <w:bCs/>
        </w:rPr>
        <w:t>: The Australian Government should ensure adequate, secure and long-term funding for independent and systemic representation and advocacy.</w:t>
      </w:r>
    </w:p>
    <w:p w14:paraId="0EB67D02" w14:textId="4010D7D6" w:rsidR="00826B0B" w:rsidRDefault="007355AF" w:rsidP="00C62087">
      <w:pPr>
        <w:spacing w:before="0" w:after="0"/>
      </w:pPr>
      <w:r>
        <w:br w:type="page"/>
      </w:r>
    </w:p>
    <w:p w14:paraId="4DB02D7B" w14:textId="11429A52" w:rsidR="00753036" w:rsidRDefault="00753036" w:rsidP="00753036">
      <w:pPr>
        <w:pStyle w:val="AHRCHeading1"/>
      </w:pPr>
      <w:bookmarkStart w:id="11" w:name="_Toc122679368"/>
      <w:r>
        <w:lastRenderedPageBreak/>
        <w:t>The role of the CRPD in Australia</w:t>
      </w:r>
      <w:bookmarkEnd w:id="11"/>
    </w:p>
    <w:p w14:paraId="0FF52315" w14:textId="5D60356E" w:rsidR="00D97C94" w:rsidRDefault="00D97C94" w:rsidP="00D97C94">
      <w:r w:rsidRPr="00C77913">
        <w:t xml:space="preserve">The </w:t>
      </w:r>
      <w:r w:rsidR="008438BD">
        <w:t>United Nations Convention on the Rights of Persons with Disabilities (CRPD)</w:t>
      </w:r>
      <w:r w:rsidRPr="00C77913">
        <w:t xml:space="preserve"> is </w:t>
      </w:r>
      <w:r w:rsidR="00A73DB8">
        <w:t>‘</w:t>
      </w:r>
      <w:r w:rsidRPr="00C77913">
        <w:t>the roadmap for the social transformation required to end the inequality, discrimination and segregation that are the enablers of the violence, abuse, neglect and exploitation experienced by people with disability</w:t>
      </w:r>
      <w:r w:rsidR="00173D35">
        <w:t>’</w:t>
      </w:r>
      <w:r w:rsidRPr="00C77913">
        <w:t>.</w:t>
      </w:r>
      <w:r>
        <w:rPr>
          <w:rStyle w:val="EndnoteReference"/>
        </w:rPr>
        <w:endnoteReference w:id="4"/>
      </w:r>
    </w:p>
    <w:p w14:paraId="227461FA" w14:textId="410AD2B1" w:rsidR="00A47DCE" w:rsidRDefault="0095600D" w:rsidP="001E7522">
      <w:bookmarkStart w:id="12" w:name="_Toc118299558"/>
      <w:r>
        <w:t xml:space="preserve">Article 4(2) of the CRPD provides that ‘each State Party </w:t>
      </w:r>
      <w:r w:rsidR="003A43A2">
        <w:t>undertakes</w:t>
      </w:r>
      <w:r>
        <w:t xml:space="preserve"> to take measures to the maximum of its available resources … with a view of achieving progressively the full </w:t>
      </w:r>
      <w:r w:rsidR="003A43A2">
        <w:t xml:space="preserve">realisation’ of rights. </w:t>
      </w:r>
      <w:r w:rsidR="003B5087" w:rsidRPr="003B5087">
        <w:t xml:space="preserve">The concept of progressive </w:t>
      </w:r>
      <w:r w:rsidR="00525C12" w:rsidRPr="003B5087">
        <w:t>reali</w:t>
      </w:r>
      <w:r w:rsidR="00525C12">
        <w:t>s</w:t>
      </w:r>
      <w:r w:rsidR="00525C12" w:rsidRPr="003B5087">
        <w:t xml:space="preserve">ation </w:t>
      </w:r>
      <w:r w:rsidR="003B5087" w:rsidRPr="003B5087">
        <w:t xml:space="preserve">constitutes a recognition of the fact that full </w:t>
      </w:r>
      <w:r w:rsidR="006826D0" w:rsidRPr="003B5087">
        <w:t>reali</w:t>
      </w:r>
      <w:r w:rsidR="006826D0">
        <w:t>s</w:t>
      </w:r>
      <w:r w:rsidR="006826D0" w:rsidRPr="003B5087">
        <w:t xml:space="preserve">ation </w:t>
      </w:r>
      <w:r w:rsidR="003B5087" w:rsidRPr="003B5087">
        <w:t>of rights will generally not be able to be achieved</w:t>
      </w:r>
      <w:r w:rsidR="003B5087">
        <w:t xml:space="preserve"> immediately or</w:t>
      </w:r>
      <w:r w:rsidR="003B5087" w:rsidRPr="003B5087">
        <w:t xml:space="preserve"> in a short period of time.</w:t>
      </w:r>
      <w:r w:rsidR="00A40CB6">
        <w:t xml:space="preserve"> It nonetheless </w:t>
      </w:r>
      <w:r w:rsidR="00212B4F">
        <w:t>imposes an obligation to move as expeditiously and effectively as possible towards that goal and acts against any deliberately retrogressive measures.</w:t>
      </w:r>
    </w:p>
    <w:p w14:paraId="248EDB84" w14:textId="245A9EC1" w:rsidR="0033305C" w:rsidRDefault="0033305C" w:rsidP="0033305C">
      <w:r>
        <w:t xml:space="preserve">Obligations contained in international treaties are binding as a matter of international law. </w:t>
      </w:r>
      <w:r w:rsidR="005066CF">
        <w:t>Australia ratified the C</w:t>
      </w:r>
      <w:r w:rsidR="00C8228C">
        <w:t xml:space="preserve">RPD in 2008. </w:t>
      </w:r>
      <w:r>
        <w:t>Article 4 of the CRPD obliges Australia and other signatory State Parties to adopt legislative measures to implement the rights recognised in the CRPD. However, treaties are not binding as a matter of domestic law until their provisions are adopted into domestic legislation.</w:t>
      </w:r>
      <w:r>
        <w:rPr>
          <w:rStyle w:val="EndnoteReference"/>
        </w:rPr>
        <w:endnoteReference w:id="5"/>
      </w:r>
      <w:r>
        <w:t xml:space="preserve"> </w:t>
      </w:r>
    </w:p>
    <w:p w14:paraId="2749DDEA" w14:textId="32C16A7A" w:rsidR="0023609F" w:rsidRDefault="00135B91" w:rsidP="00135B91">
      <w:r>
        <w:t xml:space="preserve">As the Royal Commission has heard, the CRPD is </w:t>
      </w:r>
      <w:r w:rsidRPr="005958D8">
        <w:t xml:space="preserve">not </w:t>
      </w:r>
      <w:r w:rsidR="00757010" w:rsidRPr="005958D8">
        <w:t>yet</w:t>
      </w:r>
      <w:r w:rsidR="000E2A3C">
        <w:t xml:space="preserve"> fully</w:t>
      </w:r>
      <w:r w:rsidR="00757010" w:rsidRPr="005958D8">
        <w:t xml:space="preserve"> </w:t>
      </w:r>
      <w:r w:rsidRPr="005958D8">
        <w:t>legally binding</w:t>
      </w:r>
      <w:r w:rsidR="00EC111D">
        <w:t xml:space="preserve"> in </w:t>
      </w:r>
      <w:r w:rsidR="000E2A3C">
        <w:t>this country</w:t>
      </w:r>
      <w:r w:rsidR="00EC111D">
        <w:t xml:space="preserve"> because </w:t>
      </w:r>
      <w:r w:rsidR="005C67E8">
        <w:t>Australia has not enacted legislation to give effect to all of its provisions</w:t>
      </w:r>
      <w:r>
        <w:t xml:space="preserve">. </w:t>
      </w:r>
    </w:p>
    <w:p w14:paraId="4E032FE9" w14:textId="4A45F614" w:rsidR="001F5F9B" w:rsidRDefault="001F5F9B" w:rsidP="001F5F9B">
      <w:r>
        <w:t xml:space="preserve">The CRPD </w:t>
      </w:r>
      <w:r w:rsidR="00607235">
        <w:t>continues to</w:t>
      </w:r>
      <w:r>
        <w:t xml:space="preserve"> act</w:t>
      </w:r>
      <w:r w:rsidR="00551002">
        <w:t xml:space="preserve"> </w:t>
      </w:r>
      <w:r>
        <w:t>as an aspirational standard for law and policy reform, a benchmark against which to ‘measure current domestic laws’.</w:t>
      </w:r>
      <w:r>
        <w:rPr>
          <w:rStyle w:val="EndnoteReference"/>
        </w:rPr>
        <w:endnoteReference w:id="6"/>
      </w:r>
      <w:r>
        <w:t xml:space="preserve"> </w:t>
      </w:r>
    </w:p>
    <w:p w14:paraId="0903A5EE" w14:textId="041FFC2A" w:rsidR="000F3EF1" w:rsidRDefault="003E31F6" w:rsidP="000F3EF1">
      <w:pPr>
        <w:pStyle w:val="Heading2"/>
      </w:pPr>
      <w:bookmarkStart w:id="13" w:name="_Toc122679369"/>
      <w:r>
        <w:t>Interpretive declaration</w:t>
      </w:r>
      <w:bookmarkEnd w:id="13"/>
    </w:p>
    <w:p w14:paraId="6C014139" w14:textId="6ABF83B2" w:rsidR="000F3EF1" w:rsidRDefault="000F3EF1" w:rsidP="000F3EF1">
      <w:r>
        <w:t xml:space="preserve">Some State Parties choose to publish ‘interpretive declarations’ to make known their understanding of the scope and applicability of a treaty article. </w:t>
      </w:r>
      <w:r w:rsidR="007A1325">
        <w:t xml:space="preserve">An </w:t>
      </w:r>
      <w:r>
        <w:t xml:space="preserve">interpretive declaration </w:t>
      </w:r>
      <w:r w:rsidR="00814957">
        <w:t xml:space="preserve">is a unilateral </w:t>
      </w:r>
      <w:r w:rsidR="005838A2">
        <w:t xml:space="preserve">statement </w:t>
      </w:r>
      <w:r w:rsidR="002A63ED">
        <w:t xml:space="preserve">by a party to a treaty </w:t>
      </w:r>
      <w:r w:rsidR="00814957">
        <w:t xml:space="preserve">that </w:t>
      </w:r>
      <w:r w:rsidR="007A1325">
        <w:t xml:space="preserve">purports to specify </w:t>
      </w:r>
      <w:r w:rsidR="003901DB">
        <w:t>or clarify the meaning or scope of a treaty or certain provisions of a treaty.</w:t>
      </w:r>
      <w:r w:rsidR="0006355B">
        <w:rPr>
          <w:rStyle w:val="EndnoteReference"/>
        </w:rPr>
        <w:endnoteReference w:id="7"/>
      </w:r>
      <w:r w:rsidR="00814957">
        <w:t xml:space="preserve"> </w:t>
      </w:r>
      <w:r w:rsidR="00E26767">
        <w:t>An</w:t>
      </w:r>
      <w:r>
        <w:t xml:space="preserve"> interpretive declaration does not modify </w:t>
      </w:r>
      <w:r w:rsidR="0053725A">
        <w:t xml:space="preserve">treaty obligations. It may only specify or clarify </w:t>
      </w:r>
      <w:r w:rsidR="00AE2525">
        <w:t xml:space="preserve">the meaning or scope that the </w:t>
      </w:r>
      <w:r w:rsidR="00387853">
        <w:t xml:space="preserve">treaty party </w:t>
      </w:r>
      <w:r w:rsidR="00CF5A5F">
        <w:t>att</w:t>
      </w:r>
      <w:r w:rsidR="00905441">
        <w:t xml:space="preserve">ributes </w:t>
      </w:r>
      <w:r w:rsidR="00E912AD">
        <w:t xml:space="preserve">to a treaty or </w:t>
      </w:r>
      <w:r w:rsidR="005F63AE">
        <w:t>certain provisions of a treaty</w:t>
      </w:r>
      <w:r w:rsidR="00E80AB1">
        <w:t xml:space="preserve">. This may </w:t>
      </w:r>
      <w:r w:rsidR="00E813C8">
        <w:t xml:space="preserve">be one factor taken into account </w:t>
      </w:r>
      <w:r w:rsidR="00A40700">
        <w:t xml:space="preserve">in interpreting the treaty </w:t>
      </w:r>
      <w:r w:rsidR="00630457">
        <w:t xml:space="preserve">in accordance with </w:t>
      </w:r>
      <w:r w:rsidR="00BD4E4A">
        <w:t xml:space="preserve">the general rules of treaty interpretation. </w:t>
      </w:r>
      <w:r w:rsidR="00CF168B">
        <w:t xml:space="preserve">Also taken into account would be any </w:t>
      </w:r>
      <w:r w:rsidR="002F0780">
        <w:lastRenderedPageBreak/>
        <w:t xml:space="preserve">approval of or opposition to the </w:t>
      </w:r>
      <w:r w:rsidR="0006355B">
        <w:t>interpretative declaration by other treaty parties.</w:t>
      </w:r>
      <w:r w:rsidR="00D51DA0">
        <w:rPr>
          <w:rStyle w:val="EndnoteReference"/>
        </w:rPr>
        <w:endnoteReference w:id="8"/>
      </w:r>
      <w:r w:rsidR="0006355B">
        <w:t xml:space="preserve"> </w:t>
      </w:r>
    </w:p>
    <w:p w14:paraId="5ADD0565" w14:textId="12E6F3C9" w:rsidR="000F3EF1" w:rsidRDefault="000F3EF1" w:rsidP="000F3EF1">
      <w:r>
        <w:t xml:space="preserve">Upon ratification of the CRPD, Australia made </w:t>
      </w:r>
      <w:r w:rsidR="00AF153A">
        <w:t xml:space="preserve">an </w:t>
      </w:r>
      <w:r>
        <w:t xml:space="preserve">interpretive declaration </w:t>
      </w:r>
      <w:r w:rsidR="00AF153A">
        <w:t xml:space="preserve">in relation to </w:t>
      </w:r>
      <w:r>
        <w:t>articles 12, 17 and 18.</w:t>
      </w:r>
      <w:r w:rsidR="008111CF">
        <w:t xml:space="preserve"> </w:t>
      </w:r>
      <w:r>
        <w:t>The declaration clarif</w:t>
      </w:r>
      <w:r w:rsidR="003C7BFF">
        <w:t>ies</w:t>
      </w:r>
      <w:r>
        <w:t xml:space="preserve"> that Australia understands that the CRPD: </w:t>
      </w:r>
    </w:p>
    <w:p w14:paraId="6C24D10D" w14:textId="77777777" w:rsidR="000F3EF1" w:rsidRDefault="000F3EF1" w:rsidP="000F3EF1">
      <w:pPr>
        <w:pStyle w:val="ListParagraph"/>
        <w:numPr>
          <w:ilvl w:val="0"/>
          <w:numId w:val="27"/>
        </w:numPr>
      </w:pPr>
      <w:r w:rsidRPr="000C0A62">
        <w:t xml:space="preserve">allows for substituted decision making where necessary as a last resort and subject to safeguards; </w:t>
      </w:r>
    </w:p>
    <w:p w14:paraId="5B74C600" w14:textId="0603A6DD" w:rsidR="000F3EF1" w:rsidRDefault="000F3EF1" w:rsidP="000F3EF1">
      <w:pPr>
        <w:pStyle w:val="ListParagraph"/>
        <w:numPr>
          <w:ilvl w:val="0"/>
          <w:numId w:val="27"/>
        </w:numPr>
      </w:pPr>
      <w:r w:rsidRPr="000C0A62">
        <w:t xml:space="preserve">allows </w:t>
      </w:r>
      <w:r w:rsidR="00443D2F">
        <w:t>for</w:t>
      </w:r>
      <w:r w:rsidRPr="000C0A62">
        <w:t xml:space="preserve"> compulsory assistance or treatment where necessary as a last resort and subject to safeguards; and </w:t>
      </w:r>
    </w:p>
    <w:p w14:paraId="29DCC598" w14:textId="77777777" w:rsidR="000F3EF1" w:rsidRDefault="000F3EF1" w:rsidP="000F3EF1">
      <w:pPr>
        <w:pStyle w:val="ListParagraph"/>
        <w:numPr>
          <w:ilvl w:val="0"/>
          <w:numId w:val="27"/>
        </w:numPr>
      </w:pPr>
      <w:r w:rsidRPr="000C0A62">
        <w:t>does not create a right for a non-national to enter or remain in Australia, nor impact on Australia’s health requirements for non-nationals seeking to enter or remain in Australia, where these requirements are based on legitimate, objective and reasonable criteria.</w:t>
      </w:r>
    </w:p>
    <w:p w14:paraId="159518A9" w14:textId="0AC7942C" w:rsidR="000F3EF1" w:rsidRDefault="000F3EF1" w:rsidP="000F3EF1">
      <w:r>
        <w:t>The CRPD Committee has asked that the declaration be urgently withdrawn, citing the negative impact on social transformation. The Commission is of the view</w:t>
      </w:r>
      <w:r w:rsidR="00C62087">
        <w:t xml:space="preserve"> that</w:t>
      </w:r>
      <w:r>
        <w:t xml:space="preserve"> the interpretive declaration </w:t>
      </w:r>
      <w:r w:rsidR="00EA5DBF">
        <w:t xml:space="preserve">is </w:t>
      </w:r>
      <w:r>
        <w:t>‘a significant barrier to the necessary reform o</w:t>
      </w:r>
      <w:r w:rsidR="004B03B3">
        <w:t>f</w:t>
      </w:r>
      <w:r>
        <w:t xml:space="preserve"> law, policy and practice framework</w:t>
      </w:r>
      <w:r w:rsidR="005B2347">
        <w:t>’</w:t>
      </w:r>
      <w:r>
        <w:t>,</w:t>
      </w:r>
      <w:r>
        <w:rPr>
          <w:rStyle w:val="EndnoteReference"/>
        </w:rPr>
        <w:endnoteReference w:id="9"/>
      </w:r>
      <w:r>
        <w:t xml:space="preserve"> and encourages the Australian Government to withdraw its interpretive declaration to the CRPD concerning articles 12, 17 and 18 as </w:t>
      </w:r>
      <w:r w:rsidR="00AC2417">
        <w:t xml:space="preserve">it is </w:t>
      </w:r>
      <w:r>
        <w:t>inconsistent with the Committee’s jurisprudence and prevent</w:t>
      </w:r>
      <w:r w:rsidR="00923238">
        <w:t>s</w:t>
      </w:r>
      <w:r>
        <w:t xml:space="preserve"> the full and effective implementation of the CRPD</w:t>
      </w:r>
      <w:r w:rsidR="00527B75">
        <w:t xml:space="preserve"> in Australia</w:t>
      </w:r>
      <w:r>
        <w:t>.</w:t>
      </w:r>
    </w:p>
    <w:p w14:paraId="13DFC6F7" w14:textId="1D3E7927" w:rsidR="000F3EF1" w:rsidRPr="003B6EFF" w:rsidRDefault="000F3EF1" w:rsidP="000F3EF1">
      <w:pPr>
        <w:rPr>
          <w:b/>
          <w:bCs/>
        </w:rPr>
      </w:pPr>
      <w:r>
        <w:rPr>
          <w:b/>
          <w:bCs/>
        </w:rPr>
        <w:t>Recommendation</w:t>
      </w:r>
      <w:r w:rsidR="008B6C5D">
        <w:rPr>
          <w:b/>
          <w:bCs/>
        </w:rPr>
        <w:t xml:space="preserve"> 2</w:t>
      </w:r>
      <w:r>
        <w:rPr>
          <w:b/>
          <w:bCs/>
        </w:rPr>
        <w:t>:</w:t>
      </w:r>
      <w:r w:rsidRPr="003B6EFF">
        <w:rPr>
          <w:b/>
          <w:bCs/>
        </w:rPr>
        <w:t xml:space="preserve"> </w:t>
      </w:r>
      <w:r w:rsidR="00923238">
        <w:rPr>
          <w:b/>
          <w:bCs/>
        </w:rPr>
        <w:t>T</w:t>
      </w:r>
      <w:r w:rsidRPr="00A3679B">
        <w:rPr>
          <w:b/>
          <w:bCs/>
        </w:rPr>
        <w:t>he Australian Government</w:t>
      </w:r>
      <w:r w:rsidR="00785AE1">
        <w:rPr>
          <w:b/>
          <w:bCs/>
        </w:rPr>
        <w:t xml:space="preserve"> should</w:t>
      </w:r>
      <w:r w:rsidRPr="00A3679B">
        <w:rPr>
          <w:b/>
          <w:bCs/>
        </w:rPr>
        <w:t xml:space="preserve"> withdraw its interpretive declaration to the </w:t>
      </w:r>
      <w:r w:rsidR="00785AE1">
        <w:rPr>
          <w:b/>
          <w:bCs/>
        </w:rPr>
        <w:t>Convention on the Rights of Persons with Disabilit</w:t>
      </w:r>
      <w:r w:rsidR="00DF36C0">
        <w:rPr>
          <w:b/>
          <w:bCs/>
        </w:rPr>
        <w:t>ies</w:t>
      </w:r>
      <w:r w:rsidRPr="00A3679B">
        <w:rPr>
          <w:b/>
          <w:bCs/>
        </w:rPr>
        <w:t xml:space="preserve"> concerning articles 12, 17 and 18.</w:t>
      </w:r>
    </w:p>
    <w:p w14:paraId="184BBA9F" w14:textId="2D13C2B1" w:rsidR="00751EAE" w:rsidRDefault="00751EAE" w:rsidP="00751EAE">
      <w:pPr>
        <w:pStyle w:val="AHRCHeading1"/>
      </w:pPr>
      <w:bookmarkStart w:id="14" w:name="_Toc122679370"/>
      <w:r>
        <w:t xml:space="preserve">Monitoring </w:t>
      </w:r>
      <w:r w:rsidR="003F7B7F">
        <w:t>implementation of</w:t>
      </w:r>
      <w:r>
        <w:t xml:space="preserve"> the CRPD</w:t>
      </w:r>
      <w:bookmarkEnd w:id="14"/>
    </w:p>
    <w:p w14:paraId="2C432AEC" w14:textId="74E6DD5D" w:rsidR="00751EAE" w:rsidRDefault="00751EAE" w:rsidP="00751EAE">
      <w:pPr>
        <w:pStyle w:val="Heading2"/>
      </w:pPr>
      <w:bookmarkStart w:id="15" w:name="_Toc122679371"/>
      <w:r>
        <w:t>International monitoring</w:t>
      </w:r>
      <w:r w:rsidR="00032111">
        <w:t>: the CRPD Committee</w:t>
      </w:r>
      <w:bookmarkEnd w:id="15"/>
    </w:p>
    <w:p w14:paraId="2F21AF0C" w14:textId="77777777" w:rsidR="007D48EA" w:rsidRDefault="00751EAE" w:rsidP="00751EAE">
      <w:r>
        <w:t xml:space="preserve">Articles 35 and 36 </w:t>
      </w:r>
      <w:r w:rsidR="00ED0D57">
        <w:t xml:space="preserve">of the CRPD </w:t>
      </w:r>
      <w:r>
        <w:t>establish the mechanism</w:t>
      </w:r>
      <w:r w:rsidR="008438BD">
        <w:t>s</w:t>
      </w:r>
      <w:r>
        <w:t xml:space="preserve"> for </w:t>
      </w:r>
      <w:r w:rsidR="007018FE">
        <w:t>monitoring</w:t>
      </w:r>
      <w:r>
        <w:t xml:space="preserve"> implementation </w:t>
      </w:r>
      <w:r w:rsidR="0016087A">
        <w:t xml:space="preserve">of the CRPD </w:t>
      </w:r>
      <w:r>
        <w:t xml:space="preserve">at the State Party level. </w:t>
      </w:r>
      <w:r w:rsidR="00074071">
        <w:t>There are two main mechanisms for monitoring at an international level:</w:t>
      </w:r>
    </w:p>
    <w:p w14:paraId="69513945" w14:textId="2F5ECC35" w:rsidR="00CE7F74" w:rsidRDefault="00074071" w:rsidP="00E85BCF">
      <w:pPr>
        <w:pStyle w:val="AHRCHeading3"/>
        <w:keepNext w:val="0"/>
      </w:pPr>
      <w:bookmarkStart w:id="16" w:name="_Toc122679372"/>
      <w:r>
        <w:t>periodic reviews by</w:t>
      </w:r>
      <w:r w:rsidR="00CE7F74">
        <w:t xml:space="preserve"> the CRPD Committee</w:t>
      </w:r>
      <w:bookmarkEnd w:id="16"/>
      <w:r>
        <w:t xml:space="preserve"> </w:t>
      </w:r>
    </w:p>
    <w:p w14:paraId="27D26C50" w14:textId="5A65B2C6" w:rsidR="00751EAE" w:rsidRDefault="00074071" w:rsidP="00E85BCF">
      <w:pPr>
        <w:pStyle w:val="AHRCHeading3"/>
        <w:keepNext w:val="0"/>
      </w:pPr>
      <w:bookmarkStart w:id="17" w:name="_Toc122679373"/>
      <w:r>
        <w:t>individual communications to the CRPD Committee.</w:t>
      </w:r>
      <w:bookmarkEnd w:id="17"/>
    </w:p>
    <w:p w14:paraId="4E9204F7" w14:textId="77777777" w:rsidR="00751EAE" w:rsidRPr="007018FE" w:rsidRDefault="00751EAE" w:rsidP="00E85BCF">
      <w:pPr>
        <w:keepNext/>
        <w:rPr>
          <w:b/>
        </w:rPr>
      </w:pPr>
      <w:r w:rsidRPr="007018FE">
        <w:rPr>
          <w:b/>
        </w:rPr>
        <w:lastRenderedPageBreak/>
        <w:t>Periodic reviews</w:t>
      </w:r>
    </w:p>
    <w:p w14:paraId="04FBE87B" w14:textId="36D27B91" w:rsidR="00883A95" w:rsidRDefault="00CB3448" w:rsidP="00751EAE">
      <w:r>
        <w:t xml:space="preserve">The </w:t>
      </w:r>
      <w:r w:rsidR="00E63F0A">
        <w:t>primary</w:t>
      </w:r>
      <w:r w:rsidR="008438BD">
        <w:t xml:space="preserve"> mechanism for measuring </w:t>
      </w:r>
      <w:r w:rsidR="007018FE">
        <w:t>implementation</w:t>
      </w:r>
      <w:r w:rsidR="008438BD">
        <w:t xml:space="preserve"> is</w:t>
      </w:r>
      <w:r w:rsidR="00343131">
        <w:t xml:space="preserve"> through </w:t>
      </w:r>
      <w:r w:rsidR="008438BD">
        <w:t>periodic reviews</w:t>
      </w:r>
      <w:r w:rsidR="00DA1D34">
        <w:t xml:space="preserve"> by the CRPD Committee</w:t>
      </w:r>
      <w:r w:rsidR="008438BD">
        <w:t xml:space="preserve">. </w:t>
      </w:r>
    </w:p>
    <w:p w14:paraId="52D551A5" w14:textId="1DEF44CA" w:rsidR="00751EAE" w:rsidRDefault="00E12A85" w:rsidP="00751EAE">
      <w:r>
        <w:t xml:space="preserve">Since </w:t>
      </w:r>
      <w:r w:rsidR="00F85ACF">
        <w:t xml:space="preserve">its </w:t>
      </w:r>
      <w:r>
        <w:t>ratification</w:t>
      </w:r>
      <w:r w:rsidR="00F85ACF">
        <w:t xml:space="preserve"> of the CRPD</w:t>
      </w:r>
      <w:r>
        <w:t xml:space="preserve">, </w:t>
      </w:r>
      <w:r w:rsidR="00751EAE">
        <w:t>Australia</w:t>
      </w:r>
      <w:r w:rsidR="00425915">
        <w:t xml:space="preserve"> has provided an initial report in 2010 and</w:t>
      </w:r>
      <w:r w:rsidR="00751EAE">
        <w:t xml:space="preserve"> undergone two periodic reviews, in 2013 and 2019, with concluding observations</w:t>
      </w:r>
      <w:r w:rsidR="00E63F0A">
        <w:t xml:space="preserve"> and recommendations</w:t>
      </w:r>
      <w:r w:rsidR="00751EAE">
        <w:t xml:space="preserve"> made by the CRPD Committee. </w:t>
      </w:r>
    </w:p>
    <w:p w14:paraId="08578359" w14:textId="49FF37B8" w:rsidR="00227BBB" w:rsidRDefault="00227BBB" w:rsidP="00227BBB">
      <w:r>
        <w:t>The Commission notes the Royal Commission’s October 2020 research report, by Emeritus Professor Ron McCallum</w:t>
      </w:r>
      <w:r w:rsidR="00FC0DBE">
        <w:t xml:space="preserve"> AO</w:t>
      </w:r>
      <w:r>
        <w:t xml:space="preserve">, </w:t>
      </w:r>
      <w:r>
        <w:rPr>
          <w:i/>
          <w:iCs/>
        </w:rPr>
        <w:t xml:space="preserve">The United Nations Convention on the Rights of Persons </w:t>
      </w:r>
      <w:r w:rsidRPr="0082343A">
        <w:rPr>
          <w:i/>
          <w:iCs/>
        </w:rPr>
        <w:t xml:space="preserve">with </w:t>
      </w:r>
      <w:r w:rsidRPr="004B0627">
        <w:rPr>
          <w:i/>
          <w:iCs/>
        </w:rPr>
        <w:t>Disabilities: an assessment of Australia’s level of compliance</w:t>
      </w:r>
      <w:r w:rsidRPr="004B0627">
        <w:t xml:space="preserve">, which </w:t>
      </w:r>
      <w:r w:rsidRPr="0082343A">
        <w:t>provide</w:t>
      </w:r>
      <w:r w:rsidR="006D66C1">
        <w:t>s</w:t>
      </w:r>
      <w:r w:rsidRPr="0082343A">
        <w:t xml:space="preserve"> a</w:t>
      </w:r>
      <w:r w:rsidR="006D66C1">
        <w:t xml:space="preserve"> further</w:t>
      </w:r>
      <w:r w:rsidRPr="0082343A">
        <w:t xml:space="preserve"> assessment (up to 2020) of Australia’s implementation of individual CRPD</w:t>
      </w:r>
      <w:r>
        <w:t xml:space="preserve"> articles. </w:t>
      </w:r>
    </w:p>
    <w:p w14:paraId="41FFADDD" w14:textId="5EA2F99B" w:rsidR="006253A1" w:rsidRDefault="004509ED" w:rsidP="00751EAE">
      <w:r>
        <w:t xml:space="preserve">It is disappointing to observe that many of the </w:t>
      </w:r>
      <w:r w:rsidR="00EB6DEB">
        <w:t xml:space="preserve">concluding observations and </w:t>
      </w:r>
      <w:r>
        <w:t>recommendations made by the CRPD Committee in 2013 were repeated in the 2019 periodic review</w:t>
      </w:r>
      <w:r w:rsidR="00227BBB">
        <w:t xml:space="preserve">. The next periodic review </w:t>
      </w:r>
      <w:r w:rsidR="003B4134">
        <w:t xml:space="preserve">of Australia </w:t>
      </w:r>
      <w:r w:rsidR="00227BBB">
        <w:t>is scheduled for August 2026</w:t>
      </w:r>
      <w:r w:rsidR="00E04EF8">
        <w:t xml:space="preserve">, providing the Royal Commission with a real opportunity to </w:t>
      </w:r>
      <w:r w:rsidR="005D095A">
        <w:t>drive compliance</w:t>
      </w:r>
      <w:r w:rsidR="006A52FF">
        <w:t xml:space="preserve"> through its final recommendations</w:t>
      </w:r>
      <w:r w:rsidR="00227BBB">
        <w:t>.</w:t>
      </w:r>
    </w:p>
    <w:p w14:paraId="00BECC67" w14:textId="4ECDAFC6" w:rsidR="00751EAE" w:rsidRPr="00EB6DEB" w:rsidRDefault="00EB6DEB" w:rsidP="00751EAE">
      <w:pPr>
        <w:rPr>
          <w:b/>
          <w:bCs/>
        </w:rPr>
      </w:pPr>
      <w:r w:rsidRPr="00EB6DEB">
        <w:rPr>
          <w:b/>
          <w:bCs/>
        </w:rPr>
        <w:t>Communications</w:t>
      </w:r>
      <w:r w:rsidR="00751EAE" w:rsidRPr="00EB6DEB">
        <w:rPr>
          <w:b/>
          <w:bCs/>
        </w:rPr>
        <w:t xml:space="preserve"> to the CRPD Committee</w:t>
      </w:r>
    </w:p>
    <w:p w14:paraId="4533D358" w14:textId="77777777" w:rsidR="007804BB" w:rsidRDefault="00E63F0A" w:rsidP="00751EAE">
      <w:r>
        <w:t>A secondary</w:t>
      </w:r>
      <w:r w:rsidR="0077638C">
        <w:t xml:space="preserve"> </w:t>
      </w:r>
      <w:r w:rsidR="002669F9">
        <w:t>mechanism to</w:t>
      </w:r>
      <w:r w:rsidR="00EB6DEB">
        <w:t xml:space="preserve"> drive implementation</w:t>
      </w:r>
      <w:r>
        <w:t xml:space="preserve"> with the CRPD</w:t>
      </w:r>
      <w:r w:rsidR="00EB6DEB">
        <w:t xml:space="preserve"> is through </w:t>
      </w:r>
      <w:r w:rsidR="00060B02">
        <w:t xml:space="preserve">communications </w:t>
      </w:r>
      <w:r w:rsidR="00EB6DEB">
        <w:t xml:space="preserve">made by individuals </w:t>
      </w:r>
      <w:r w:rsidR="00C64A1D">
        <w:t xml:space="preserve">or groups of individuals </w:t>
      </w:r>
      <w:r w:rsidR="007D32F0">
        <w:t xml:space="preserve">alleging violations of the CRPD </w:t>
      </w:r>
      <w:r w:rsidR="00EB6DEB">
        <w:t>to the CRPD Committee</w:t>
      </w:r>
      <w:r w:rsidR="00A6262C">
        <w:t xml:space="preserve"> u</w:t>
      </w:r>
      <w:r w:rsidR="00751EAE">
        <w:t>nder the Optional Protocol to the CRPD</w:t>
      </w:r>
      <w:r w:rsidR="00A6262C">
        <w:t>.</w:t>
      </w:r>
      <w:r w:rsidR="00751EAE">
        <w:t xml:space="preserve"> Australia </w:t>
      </w:r>
      <w:r w:rsidR="00175AA4">
        <w:t xml:space="preserve">signed and </w:t>
      </w:r>
      <w:r w:rsidR="00751EAE">
        <w:t xml:space="preserve">ratified </w:t>
      </w:r>
      <w:r w:rsidR="00175AA4">
        <w:t>the Optional Protocol</w:t>
      </w:r>
      <w:r w:rsidR="002D2CB4">
        <w:t xml:space="preserve"> to the Convention on the Rights of Persons with Disabilities</w:t>
      </w:r>
      <w:r w:rsidR="00175AA4">
        <w:t xml:space="preserve"> in </w:t>
      </w:r>
      <w:r w:rsidR="00B062FD">
        <w:t>2009</w:t>
      </w:r>
      <w:r w:rsidR="009D12E0">
        <w:t>.</w:t>
      </w:r>
      <w:r w:rsidR="00175AA4">
        <w:t xml:space="preserve"> </w:t>
      </w:r>
    </w:p>
    <w:p w14:paraId="32B433A8" w14:textId="1F765FFA" w:rsidR="00751EAE" w:rsidRDefault="009D12E0" w:rsidP="00751EAE">
      <w:r>
        <w:t>I</w:t>
      </w:r>
      <w:r w:rsidR="00751EAE">
        <w:t xml:space="preserve">ndividuals </w:t>
      </w:r>
      <w:r>
        <w:t xml:space="preserve">or groups of individuals </w:t>
      </w:r>
      <w:r w:rsidR="00751EAE">
        <w:t xml:space="preserve">can lodge a </w:t>
      </w:r>
      <w:r w:rsidR="00EB6DEB">
        <w:t>communication</w:t>
      </w:r>
      <w:r w:rsidR="00751EAE">
        <w:t xml:space="preserve"> to the CRPD </w:t>
      </w:r>
      <w:r w:rsidR="00F2134E">
        <w:t xml:space="preserve">Committee </w:t>
      </w:r>
      <w:r w:rsidR="00751EAE">
        <w:t xml:space="preserve">where </w:t>
      </w:r>
      <w:r w:rsidR="0065660C">
        <w:t xml:space="preserve">they allege that </w:t>
      </w:r>
      <w:r w:rsidR="00751EAE">
        <w:t>one or more of their</w:t>
      </w:r>
      <w:r w:rsidR="00834631">
        <w:t xml:space="preserve"> CRPD</w:t>
      </w:r>
      <w:r w:rsidR="00751EAE">
        <w:t xml:space="preserve"> rights have been </w:t>
      </w:r>
      <w:r w:rsidR="00C536FF">
        <w:t xml:space="preserve">breached </w:t>
      </w:r>
      <w:r w:rsidR="00EB6DEB">
        <w:t>and all available domestic remedies have been exhausted</w:t>
      </w:r>
      <w:r w:rsidR="00751EAE">
        <w:t xml:space="preserve">. </w:t>
      </w:r>
      <w:r w:rsidR="00CC05F2" w:rsidRPr="00CC05F2">
        <w:t>Individuals may only lodge a communication about States that have ratified both the CRPD and its Optional Protocol.</w:t>
      </w:r>
    </w:p>
    <w:p w14:paraId="48654416" w14:textId="756F1611" w:rsidR="007C3E4B" w:rsidRDefault="009E26EA" w:rsidP="00751EAE">
      <w:r>
        <w:t xml:space="preserve">The individual must lodge a communication with the CRPD Committee. </w:t>
      </w:r>
      <w:r w:rsidR="00550F85">
        <w:t xml:space="preserve">The Committee then conducts </w:t>
      </w:r>
      <w:r w:rsidR="00CB0117">
        <w:t xml:space="preserve">an </w:t>
      </w:r>
      <w:r w:rsidR="00DB413D">
        <w:t xml:space="preserve">inquiry </w:t>
      </w:r>
      <w:r w:rsidR="00807F28">
        <w:t>into the matters raised by the author of the communicatio</w:t>
      </w:r>
      <w:r w:rsidR="00057AD2">
        <w:t xml:space="preserve">n to make </w:t>
      </w:r>
      <w:r w:rsidR="00893270">
        <w:t xml:space="preserve">an assessment on the papers, based on submissions from the </w:t>
      </w:r>
      <w:r w:rsidR="00553595">
        <w:t xml:space="preserve">author </w:t>
      </w:r>
      <w:r w:rsidR="00892555">
        <w:t>and the State Party</w:t>
      </w:r>
      <w:r w:rsidR="00C72E74">
        <w:t xml:space="preserve">. </w:t>
      </w:r>
    </w:p>
    <w:p w14:paraId="343BE573" w14:textId="27F9A96F" w:rsidR="00DB7AEC" w:rsidRDefault="00DB7AEC" w:rsidP="00751EAE">
      <w:r>
        <w:t>The CRPD Committee forms a view as to the necessary individual remedy and law reform, and the State Party is required to respond within 6 months.</w:t>
      </w:r>
    </w:p>
    <w:p w14:paraId="3B54F234" w14:textId="2FED2BB5" w:rsidR="003B6CCF" w:rsidRDefault="7BA6430D" w:rsidP="00751EAE">
      <w:r>
        <w:lastRenderedPageBreak/>
        <w:t>T</w:t>
      </w:r>
      <w:r w:rsidR="610CA8EC">
        <w:t xml:space="preserve">o date, the CRPD Committee has adopted only </w:t>
      </w:r>
      <w:r w:rsidR="2960F854">
        <w:t xml:space="preserve">around </w:t>
      </w:r>
      <w:r w:rsidR="06CDA347">
        <w:t>60</w:t>
      </w:r>
      <w:r w:rsidR="610CA8EC">
        <w:t xml:space="preserve"> views on communications</w:t>
      </w:r>
      <w:r w:rsidR="5FB67496">
        <w:t xml:space="preserve"> across all signatory State Parties</w:t>
      </w:r>
      <w:r w:rsidR="610CA8EC">
        <w:t>.</w:t>
      </w:r>
      <w:r w:rsidR="00873D34">
        <w:rPr>
          <w:rStyle w:val="EndnoteReference"/>
        </w:rPr>
        <w:endnoteReference w:id="10"/>
      </w:r>
      <w:r>
        <w:t xml:space="preserve"> Of these</w:t>
      </w:r>
      <w:r w:rsidRPr="00943C3E">
        <w:t xml:space="preserve">, </w:t>
      </w:r>
      <w:r w:rsidR="767CBFD8" w:rsidRPr="00512C2D">
        <w:t xml:space="preserve">13 </w:t>
      </w:r>
      <w:r w:rsidRPr="00512C2D">
        <w:t>views</w:t>
      </w:r>
      <w:r>
        <w:t xml:space="preserve"> </w:t>
      </w:r>
      <w:r w:rsidR="2A199262">
        <w:t>(over 21%)</w:t>
      </w:r>
      <w:r>
        <w:t xml:space="preserve"> have related to </w:t>
      </w:r>
      <w:r w:rsidR="620B893A">
        <w:t>communications</w:t>
      </w:r>
      <w:r>
        <w:t xml:space="preserve"> made </w:t>
      </w:r>
      <w:r w:rsidR="620B893A">
        <w:t xml:space="preserve">about </w:t>
      </w:r>
      <w:r w:rsidR="46545AB2">
        <w:t>Australia</w:t>
      </w:r>
      <w:r w:rsidR="3154A17C">
        <w:t xml:space="preserve">. </w:t>
      </w:r>
    </w:p>
    <w:p w14:paraId="7841CA09" w14:textId="4C8BD638" w:rsidR="00A67112" w:rsidRDefault="45A12819" w:rsidP="00A67112">
      <w:r>
        <w:t xml:space="preserve">The table </w:t>
      </w:r>
      <w:r w:rsidR="6EBAF8DA">
        <w:t>provided in</w:t>
      </w:r>
      <w:r w:rsidR="767CBFD8">
        <w:t xml:space="preserve"> </w:t>
      </w:r>
      <w:r w:rsidR="180B38EC">
        <w:t xml:space="preserve">the </w:t>
      </w:r>
      <w:r w:rsidR="767CBFD8">
        <w:t>Appendix is an overview of</w:t>
      </w:r>
      <w:r>
        <w:t xml:space="preserve"> all </w:t>
      </w:r>
      <w:r w:rsidR="767CBFD8">
        <w:t xml:space="preserve">13 </w:t>
      </w:r>
      <w:r>
        <w:t xml:space="preserve">accepted individual </w:t>
      </w:r>
      <w:r w:rsidR="767CBFD8">
        <w:t>communications</w:t>
      </w:r>
      <w:r>
        <w:t xml:space="preserve"> for Australia, with a summary of the complaint</w:t>
      </w:r>
      <w:r w:rsidR="767CBFD8">
        <w:t xml:space="preserve"> issues</w:t>
      </w:r>
      <w:r>
        <w:t>, recommendation</w:t>
      </w:r>
      <w:r w:rsidR="767CBFD8">
        <w:t>s</w:t>
      </w:r>
      <w:r>
        <w:t xml:space="preserve"> made by the CRPD Committee and </w:t>
      </w:r>
      <w:r w:rsidR="4C93DD40">
        <w:t>reform under</w:t>
      </w:r>
      <w:r>
        <w:t xml:space="preserve">taken by the Australian Government. The table </w:t>
      </w:r>
      <w:r w:rsidR="4C93DD40">
        <w:t>illustrates how</w:t>
      </w:r>
      <w:r>
        <w:t xml:space="preserve"> the process of communications is lengthy</w:t>
      </w:r>
      <w:r w:rsidR="4C93DD40">
        <w:t>;</w:t>
      </w:r>
      <w:r>
        <w:t xml:space="preserve"> </w:t>
      </w:r>
      <w:r w:rsidR="1165C4B7">
        <w:t xml:space="preserve">and </w:t>
      </w:r>
      <w:r>
        <w:t xml:space="preserve">the views of the </w:t>
      </w:r>
      <w:r w:rsidR="4C93DD40">
        <w:t xml:space="preserve">CRPD </w:t>
      </w:r>
      <w:r>
        <w:t>Committee are regularly published a number of years after the initial communication is lodged.</w:t>
      </w:r>
      <w:r w:rsidR="1F01CCE1">
        <w:t xml:space="preserve"> </w:t>
      </w:r>
      <w:r w:rsidR="51125D4B">
        <w:t xml:space="preserve">It is often the case that the views of the CRPD Committee are submitted </w:t>
      </w:r>
      <w:r w:rsidR="34B1281E">
        <w:t xml:space="preserve">in a different </w:t>
      </w:r>
      <w:r w:rsidR="4C93DD40">
        <w:t>political and legislative landscape</w:t>
      </w:r>
      <w:r w:rsidR="34B1281E">
        <w:t xml:space="preserve"> th</w:t>
      </w:r>
      <w:r w:rsidR="0956CE0E">
        <w:t xml:space="preserve">an when the initial </w:t>
      </w:r>
      <w:r w:rsidR="5C589EA0">
        <w:t>events making up the complaint occurred.</w:t>
      </w:r>
      <w:r w:rsidR="428EC8CE">
        <w:t xml:space="preserve"> </w:t>
      </w:r>
    </w:p>
    <w:p w14:paraId="22073A58" w14:textId="07DB4352" w:rsidR="00A45759" w:rsidRDefault="00807687" w:rsidP="00751EAE">
      <w:r>
        <w:t>I</w:t>
      </w:r>
      <w:r w:rsidR="00AA1331">
        <w:t xml:space="preserve">n </w:t>
      </w:r>
      <w:r w:rsidR="00AA1331" w:rsidRPr="00807687">
        <w:t>its submission</w:t>
      </w:r>
      <w:r w:rsidR="00CA009E" w:rsidRPr="004B0627">
        <w:t>s in response to Counsel Assisting’s Submission in respect of Public Hearing 18 of the Royal Commission, the Australian Government points</w:t>
      </w:r>
      <w:r w:rsidR="00AA1331" w:rsidRPr="00807687">
        <w:t xml:space="preserve"> to</w:t>
      </w:r>
      <w:r w:rsidRPr="00807687">
        <w:t xml:space="preserve"> the fact</w:t>
      </w:r>
      <w:r w:rsidR="00AA1331">
        <w:t xml:space="preserve"> that </w:t>
      </w:r>
      <w:r w:rsidR="00450AB2">
        <w:t>the complaints</w:t>
      </w:r>
      <w:r>
        <w:t xml:space="preserve"> made to the CRPD Committee</w:t>
      </w:r>
      <w:r w:rsidR="00450AB2">
        <w:t xml:space="preserve"> </w:t>
      </w:r>
      <w:r w:rsidR="004D2C9E">
        <w:t xml:space="preserve">against Australia relate to </w:t>
      </w:r>
      <w:r w:rsidR="00631B0C">
        <w:t xml:space="preserve">events from several years ago, and that </w:t>
      </w:r>
      <w:r w:rsidR="003A4A48">
        <w:t xml:space="preserve">the Royal Commission hearing </w:t>
      </w:r>
      <w:r w:rsidR="00450AB2">
        <w:t xml:space="preserve">‘did not seek to consider the </w:t>
      </w:r>
      <w:r w:rsidR="00EF5167" w:rsidRPr="00EF5167">
        <w:t>question of whether and to what extent the laws and practices the subject of each complaint (including the laws and practices of the relevant states and territories) have, in the time since each complaint was addressed by the CRPD Committee, changed in response to the views adopted by the CRPD Committee in respect of each of the complaints</w:t>
      </w:r>
      <w:r w:rsidR="00820869">
        <w:t>’</w:t>
      </w:r>
      <w:r w:rsidR="00EF5167" w:rsidRPr="00EF5167">
        <w:t>.</w:t>
      </w:r>
      <w:r w:rsidR="00EF5167">
        <w:rPr>
          <w:rStyle w:val="EndnoteReference"/>
        </w:rPr>
        <w:endnoteReference w:id="11"/>
      </w:r>
      <w:r w:rsidR="00C11BE0">
        <w:t xml:space="preserve"> </w:t>
      </w:r>
    </w:p>
    <w:p w14:paraId="2EAA491C" w14:textId="48D64C57" w:rsidR="009372A6" w:rsidRDefault="71BC92AE" w:rsidP="009372A6">
      <w:r>
        <w:t>Notwithstanding</w:t>
      </w:r>
      <w:r w:rsidR="3F322E75">
        <w:t xml:space="preserve"> </w:t>
      </w:r>
      <w:r>
        <w:t xml:space="preserve">efforts made towards </w:t>
      </w:r>
      <w:r w:rsidR="3F322E75">
        <w:t xml:space="preserve">the progressive realisation of the CRPD, </w:t>
      </w:r>
      <w:r>
        <w:t xml:space="preserve">the summary table in </w:t>
      </w:r>
      <w:r w:rsidR="2E7C0569">
        <w:t xml:space="preserve">the </w:t>
      </w:r>
      <w:r>
        <w:t xml:space="preserve">Appendix </w:t>
      </w:r>
      <w:r w:rsidR="662180B8">
        <w:t>demonstrates</w:t>
      </w:r>
      <w:r w:rsidR="6A156694">
        <w:t xml:space="preserve"> that</w:t>
      </w:r>
      <w:r>
        <w:t xml:space="preserve">, at </w:t>
      </w:r>
      <w:r w:rsidR="3105D459">
        <w:t xml:space="preserve">the </w:t>
      </w:r>
      <w:r>
        <w:t>present date,</w:t>
      </w:r>
      <w:r w:rsidR="6A156694">
        <w:t xml:space="preserve"> substantial law reform has </w:t>
      </w:r>
      <w:r w:rsidR="5292926F">
        <w:t xml:space="preserve">not yet </w:t>
      </w:r>
      <w:r w:rsidR="6A156694">
        <w:t>occurred in response</w:t>
      </w:r>
      <w:r w:rsidR="5EE17898">
        <w:t xml:space="preserve"> </w:t>
      </w:r>
      <w:r w:rsidR="5AF8B5A6">
        <w:t xml:space="preserve">to, </w:t>
      </w:r>
      <w:r w:rsidR="5EE17898">
        <w:t>or as a result of</w:t>
      </w:r>
      <w:r w:rsidR="238F89E4">
        <w:t>,</w:t>
      </w:r>
      <w:r w:rsidR="5EE17898">
        <w:t xml:space="preserve"> individual complaints made to the CRPD Committee.</w:t>
      </w:r>
      <w:r w:rsidR="5292926F">
        <w:t xml:space="preserve"> For the most part, the</w:t>
      </w:r>
      <w:r w:rsidR="54429267">
        <w:t xml:space="preserve"> matters</w:t>
      </w:r>
      <w:r w:rsidR="5292926F">
        <w:t xml:space="preserve"> raise</w:t>
      </w:r>
      <w:r w:rsidR="6EC14633">
        <w:t>d</w:t>
      </w:r>
      <w:r w:rsidR="54429267">
        <w:t xml:space="preserve">, </w:t>
      </w:r>
      <w:r w:rsidR="5292926F">
        <w:t>such as</w:t>
      </w:r>
      <w:r w:rsidR="54429267">
        <w:t xml:space="preserve"> the indefinite detention of </w:t>
      </w:r>
      <w:r w:rsidR="4B085CAB">
        <w:t xml:space="preserve">individuals found unfit to stand trial, continue to </w:t>
      </w:r>
      <w:r w:rsidR="5292926F">
        <w:t>limit the rights of</w:t>
      </w:r>
      <w:r w:rsidR="44F4B21F">
        <w:t xml:space="preserve"> people with disability.</w:t>
      </w:r>
      <w:r w:rsidR="6A156694">
        <w:t xml:space="preserve"> </w:t>
      </w:r>
    </w:p>
    <w:p w14:paraId="35D55A72" w14:textId="58A29AB3" w:rsidR="009372A6" w:rsidRDefault="009372A6" w:rsidP="009372A6">
      <w:r>
        <w:t xml:space="preserve">Similar to the recommendations made by the CRPD Committee in the context of periodic reviews, the </w:t>
      </w:r>
      <w:r w:rsidR="004B0371">
        <w:t>views</w:t>
      </w:r>
      <w:r w:rsidR="00683092">
        <w:t xml:space="preserve"> stemming from individual </w:t>
      </w:r>
      <w:r w:rsidR="00DB7AEC">
        <w:t>communications</w:t>
      </w:r>
      <w:r>
        <w:t xml:space="preserve"> are not legally binding, nor are they enforceable. </w:t>
      </w:r>
      <w:r w:rsidR="00142B43">
        <w:t xml:space="preserve">State Parties are required to </w:t>
      </w:r>
      <w:r w:rsidR="006B1A16">
        <w:t xml:space="preserve">respond to findings made by the CRPD </w:t>
      </w:r>
      <w:r w:rsidR="0021554F">
        <w:t>Committee,</w:t>
      </w:r>
      <w:r w:rsidR="006B1A16">
        <w:t xml:space="preserve"> </w:t>
      </w:r>
      <w:r w:rsidR="00A2096E">
        <w:t>but the n</w:t>
      </w:r>
      <w:r w:rsidR="00D83327">
        <w:t>a</w:t>
      </w:r>
      <w:r w:rsidR="00A2096E">
        <w:t xml:space="preserve">ture </w:t>
      </w:r>
      <w:r w:rsidR="00D83327">
        <w:t xml:space="preserve">of that response can be </w:t>
      </w:r>
      <w:r w:rsidR="00352E67">
        <w:t>cursory in nature.</w:t>
      </w:r>
      <w:r w:rsidR="00AF6372">
        <w:rPr>
          <w:rStyle w:val="EndnoteReference"/>
        </w:rPr>
        <w:endnoteReference w:id="12"/>
      </w:r>
      <w:r w:rsidR="00352E67">
        <w:t xml:space="preserve"> </w:t>
      </w:r>
      <w:r w:rsidR="00E160F2">
        <w:t>T</w:t>
      </w:r>
      <w:r>
        <w:t xml:space="preserve">he lack of further enforcement mechanisms means that there are minimal consequences </w:t>
      </w:r>
      <w:r w:rsidR="004C43EC">
        <w:t>for</w:t>
      </w:r>
      <w:r>
        <w:t xml:space="preserve"> non-compliance</w:t>
      </w:r>
      <w:r w:rsidR="00DB7AEC">
        <w:t xml:space="preserve"> and limited incentives to drive improvements</w:t>
      </w:r>
      <w:r>
        <w:t>.</w:t>
      </w:r>
    </w:p>
    <w:p w14:paraId="25D6E8F0" w14:textId="01B257DE" w:rsidR="00B45E55" w:rsidRDefault="00B45E55" w:rsidP="009372A6">
      <w:r>
        <w:t xml:space="preserve">The Royal Commission </w:t>
      </w:r>
      <w:r w:rsidR="00E17E52">
        <w:t>represents</w:t>
      </w:r>
      <w:r>
        <w:t xml:space="preserve"> an opportunity to </w:t>
      </w:r>
      <w:r w:rsidR="001D15DD">
        <w:t xml:space="preserve">hold the Australian Government to account to its international commitments </w:t>
      </w:r>
      <w:r w:rsidR="007F6B77">
        <w:t>under the CRPD</w:t>
      </w:r>
      <w:r w:rsidR="00B31BB2">
        <w:t>, and</w:t>
      </w:r>
      <w:r w:rsidR="00550FD3">
        <w:t xml:space="preserve"> </w:t>
      </w:r>
      <w:r w:rsidR="00CE3403">
        <w:t>the Commission makes the following recommendation.</w:t>
      </w:r>
    </w:p>
    <w:p w14:paraId="69ECA158" w14:textId="72A8D131" w:rsidR="005E08C0" w:rsidRPr="00EF5B5B" w:rsidRDefault="005E08C0" w:rsidP="005E08C0">
      <w:pPr>
        <w:rPr>
          <w:b/>
          <w:bCs/>
        </w:rPr>
      </w:pPr>
      <w:r>
        <w:rPr>
          <w:b/>
          <w:bCs/>
        </w:rPr>
        <w:t xml:space="preserve">Recommendation 3: The Royal Commission should review the actions taken by the Australian Government in response to the recommendations made </w:t>
      </w:r>
      <w:r>
        <w:rPr>
          <w:b/>
          <w:bCs/>
        </w:rPr>
        <w:lastRenderedPageBreak/>
        <w:t>by the CRPD Committee in each of the communications made under the Optional Protocol to the CRPD.</w:t>
      </w:r>
    </w:p>
    <w:p w14:paraId="4A969BD8" w14:textId="5548CD96" w:rsidR="00751EAE" w:rsidRDefault="00DB1C97" w:rsidP="00751EAE">
      <w:pPr>
        <w:pStyle w:val="Heading2"/>
      </w:pPr>
      <w:bookmarkStart w:id="18" w:name="_Toc122679374"/>
      <w:r>
        <w:t>Domestic</w:t>
      </w:r>
      <w:r w:rsidR="00032111">
        <w:t xml:space="preserve"> monitoring: </w:t>
      </w:r>
      <w:r w:rsidR="00751EAE">
        <w:t xml:space="preserve">Present role of the </w:t>
      </w:r>
      <w:r w:rsidR="00397145">
        <w:t>Commission</w:t>
      </w:r>
      <w:bookmarkEnd w:id="18"/>
      <w:r w:rsidR="00751EAE">
        <w:t xml:space="preserve"> </w:t>
      </w:r>
    </w:p>
    <w:p w14:paraId="5FD08FFE" w14:textId="31E1802B" w:rsidR="00E94F69" w:rsidRPr="00796159" w:rsidRDefault="00751EAE" w:rsidP="00E94F69">
      <w:r>
        <w:t xml:space="preserve">The Australian Human Rights Commission </w:t>
      </w:r>
      <w:r w:rsidR="00143348">
        <w:t>is</w:t>
      </w:r>
      <w:r>
        <w:t xml:space="preserve"> </w:t>
      </w:r>
      <w:r w:rsidR="002A77A8">
        <w:t>an ‘A status’</w:t>
      </w:r>
      <w:r>
        <w:t xml:space="preserve"> </w:t>
      </w:r>
      <w:r w:rsidR="00C83AAE">
        <w:t>National Human Rights Institution (NHRI)</w:t>
      </w:r>
      <w:r w:rsidR="002817CA">
        <w:t xml:space="preserve"> established and operated in compliance with the Paris Principles.</w:t>
      </w:r>
      <w:r w:rsidR="005205BF">
        <w:t xml:space="preserve"> </w:t>
      </w:r>
      <w:r w:rsidR="00E94F69">
        <w:t xml:space="preserve">As an NHRI, the Commission provides independent advice to the CRPD Committee on the implementation of the CRPD in Australia. </w:t>
      </w:r>
      <w:r w:rsidR="005205BF">
        <w:t>For instance, t</w:t>
      </w:r>
      <w:r w:rsidR="00E94F69">
        <w:t>he Commission provided the Committee with reports on Australia’s compliance with the CRPD in the 2013 and 2019 periodic reviews.</w:t>
      </w:r>
    </w:p>
    <w:p w14:paraId="371FA9CB" w14:textId="77777777" w:rsidR="00AD0EDC" w:rsidRDefault="002817CA" w:rsidP="00751EAE">
      <w:r>
        <w:t xml:space="preserve">The Commission </w:t>
      </w:r>
      <w:r w:rsidR="004E79FE">
        <w:t>is e</w:t>
      </w:r>
      <w:r w:rsidR="00751EAE">
        <w:t xml:space="preserve">stablished under the </w:t>
      </w:r>
      <w:r w:rsidR="00751EAE">
        <w:rPr>
          <w:i/>
          <w:iCs/>
        </w:rPr>
        <w:t xml:space="preserve">Australian Human Rights Commission Act 1986 </w:t>
      </w:r>
      <w:r w:rsidR="00751EAE">
        <w:t>(</w:t>
      </w:r>
      <w:proofErr w:type="spellStart"/>
      <w:r w:rsidR="00751EAE">
        <w:t>Cth</w:t>
      </w:r>
      <w:proofErr w:type="spellEnd"/>
      <w:r w:rsidR="00751EAE">
        <w:t xml:space="preserve">), as well as under other federal laws that seek to ensure freedom from discrimination. The remit of the Commission is to support individuals in realising their human rights, as well as to embed human rights issues at a national level through collaboration and systemic change. </w:t>
      </w:r>
    </w:p>
    <w:p w14:paraId="0EE58776" w14:textId="72D921A9" w:rsidR="00751EAE" w:rsidRDefault="00855451" w:rsidP="00751EAE">
      <w:r>
        <w:t>The Commission has statutory complaint</w:t>
      </w:r>
      <w:r w:rsidR="0050165B">
        <w:t>-</w:t>
      </w:r>
      <w:r>
        <w:t xml:space="preserve">handling functions with respect </w:t>
      </w:r>
      <w:r w:rsidR="00F05504">
        <w:t xml:space="preserve">to </w:t>
      </w:r>
      <w:r>
        <w:t>unlawful discrimination</w:t>
      </w:r>
      <w:r w:rsidR="00B45408">
        <w:t>, as well as alleged breaches of human rights against the Commonwealth and its agencies.</w:t>
      </w:r>
      <w:r w:rsidR="005205BF">
        <w:t xml:space="preserve"> Most of the individual communications brought to the CRPD Committee were first brought before the Commission.</w:t>
      </w:r>
    </w:p>
    <w:p w14:paraId="7F77A561" w14:textId="5960125A" w:rsidR="41A3AA6D" w:rsidRDefault="41A3AA6D" w:rsidP="008215A9">
      <w:pPr>
        <w:spacing w:line="259" w:lineRule="auto"/>
      </w:pPr>
      <w:r>
        <w:t>For the past 15 years</w:t>
      </w:r>
      <w:r w:rsidR="00592408">
        <w:t>,</w:t>
      </w:r>
      <w:r>
        <w:t xml:space="preserve"> the Commission has </w:t>
      </w:r>
      <w:r w:rsidR="3BC1462B">
        <w:t xml:space="preserve">consistently </w:t>
      </w:r>
      <w:r>
        <w:t>received more complaints</w:t>
      </w:r>
      <w:r w:rsidR="08E859DC">
        <w:t xml:space="preserve"> alleging discrimination</w:t>
      </w:r>
      <w:r>
        <w:t xml:space="preserve"> under the D</w:t>
      </w:r>
      <w:r w:rsidR="68FB8BF7">
        <w:t xml:space="preserve">isability </w:t>
      </w:r>
      <w:r>
        <w:t>D</w:t>
      </w:r>
      <w:r w:rsidR="5D8D0ABE">
        <w:t xml:space="preserve">iscrimination </w:t>
      </w:r>
      <w:r>
        <w:t>A</w:t>
      </w:r>
      <w:r w:rsidR="243136CD">
        <w:t>ct</w:t>
      </w:r>
      <w:r>
        <w:t xml:space="preserve"> than</w:t>
      </w:r>
      <w:r w:rsidR="7CD4ED0F">
        <w:t xml:space="preserve"> </w:t>
      </w:r>
      <w:r w:rsidR="5F1E0073">
        <w:t xml:space="preserve">complaints under </w:t>
      </w:r>
      <w:r w:rsidR="7CD4ED0F">
        <w:t xml:space="preserve">any of the other federal discrimination laws </w:t>
      </w:r>
      <w:r w:rsidR="3B444467">
        <w:t xml:space="preserve">it administers. </w:t>
      </w:r>
      <w:r w:rsidR="00192D84">
        <w:t>O</w:t>
      </w:r>
      <w:r w:rsidR="3B444467">
        <w:t xml:space="preserve">f all the complaints received each year </w:t>
      </w:r>
      <w:r w:rsidR="1E6774E3">
        <w:t>by the Commission</w:t>
      </w:r>
      <w:r w:rsidR="31886CDC">
        <w:t xml:space="preserve"> since 2008</w:t>
      </w:r>
      <w:r w:rsidR="1E6774E3">
        <w:t xml:space="preserve">, complaints under the </w:t>
      </w:r>
      <w:r w:rsidR="00592408">
        <w:t>Disability Discrimination Act</w:t>
      </w:r>
      <w:r w:rsidR="1E6774E3">
        <w:t xml:space="preserve"> amount to between 30% and 50% of the total complaints received.</w:t>
      </w:r>
      <w:r w:rsidR="5CD48BC7">
        <w:t xml:space="preserve"> </w:t>
      </w:r>
    </w:p>
    <w:p w14:paraId="6ADF9030" w14:textId="3A76784B" w:rsidR="00876998" w:rsidRDefault="00876998" w:rsidP="00876998">
      <w:r>
        <w:t>The dema</w:t>
      </w:r>
      <w:r w:rsidR="0050662E">
        <w:t>n</w:t>
      </w:r>
      <w:r>
        <w:t xml:space="preserve">ds on the Commission substantially increased over the course of, and </w:t>
      </w:r>
      <w:r w:rsidR="00F345B4">
        <w:t>as a consequence of</w:t>
      </w:r>
      <w:r>
        <w:t xml:space="preserve">, the COVID-19 pandemic. The Commission experienced </w:t>
      </w:r>
      <w:r w:rsidR="00703453">
        <w:t xml:space="preserve">an </w:t>
      </w:r>
      <w:r>
        <w:t xml:space="preserve">unprecedented increase in the </w:t>
      </w:r>
      <w:r w:rsidR="000657AA">
        <w:t xml:space="preserve">overall </w:t>
      </w:r>
      <w:r>
        <w:t>number of complaints received. As indicated in the Commission’s 2021</w:t>
      </w:r>
      <w:r w:rsidR="00852AC7">
        <w:t>–</w:t>
      </w:r>
      <w:r>
        <w:t>2022 Annual Report</w:t>
      </w:r>
      <w:r w:rsidR="00852AC7">
        <w:t>,</w:t>
      </w:r>
      <w:r>
        <w:rPr>
          <w:rStyle w:val="EndnoteReference"/>
        </w:rPr>
        <w:endnoteReference w:id="13"/>
      </w:r>
      <w:r>
        <w:t xml:space="preserve"> complaints received under the Disability Discrimination Act alone</w:t>
      </w:r>
      <w:r w:rsidR="00CC427A">
        <w:t>,</w:t>
      </w:r>
      <w:r>
        <w:t xml:space="preserve"> which constitute</w:t>
      </w:r>
      <w:r w:rsidR="000657AA">
        <w:t>d</w:t>
      </w:r>
      <w:r>
        <w:t xml:space="preserve"> over half of all complaints received by the Commission</w:t>
      </w:r>
      <w:r w:rsidR="00CC427A">
        <w:t>,</w:t>
      </w:r>
      <w:r>
        <w:t xml:space="preserve"> </w:t>
      </w:r>
      <w:r w:rsidRPr="00B140C2">
        <w:t xml:space="preserve">increased by </w:t>
      </w:r>
      <w:r>
        <w:t xml:space="preserve">approximately </w:t>
      </w:r>
      <w:r w:rsidRPr="00B140C2">
        <w:t>1</w:t>
      </w:r>
      <w:r>
        <w:t>20</w:t>
      </w:r>
      <w:r w:rsidRPr="00B140C2">
        <w:t xml:space="preserve">% </w:t>
      </w:r>
      <w:r w:rsidR="000657AA">
        <w:t>since</w:t>
      </w:r>
      <w:r w:rsidRPr="00B140C2">
        <w:t xml:space="preserve"> 2018</w:t>
      </w:r>
      <w:r w:rsidR="00852AC7">
        <w:t>–</w:t>
      </w:r>
      <w:r w:rsidRPr="00B140C2">
        <w:t>2019</w:t>
      </w:r>
      <w:r>
        <w:t xml:space="preserve">.  </w:t>
      </w:r>
    </w:p>
    <w:p w14:paraId="01861309" w14:textId="5E935637" w:rsidR="003109F5" w:rsidRPr="003109F5" w:rsidRDefault="00CE0EE5" w:rsidP="00275AEA">
      <w:r>
        <w:t>Th</w:t>
      </w:r>
      <w:r w:rsidR="00D45A22">
        <w:t xml:space="preserve">e persistently high level of </w:t>
      </w:r>
      <w:r w:rsidR="00FA6425">
        <w:t xml:space="preserve">complaints under the Disability Discrimination Act </w:t>
      </w:r>
      <w:r>
        <w:t xml:space="preserve">reinforces the crucial role played by the Commission in addressing specific </w:t>
      </w:r>
      <w:r>
        <w:lastRenderedPageBreak/>
        <w:t>instances of disability discrimination and the importance of ongoing support for this work by government.</w:t>
      </w:r>
      <w:r w:rsidR="00014807">
        <w:t xml:space="preserve"> However, the </w:t>
      </w:r>
      <w:r w:rsidR="006631C8">
        <w:t xml:space="preserve">high level of complaints under the Disability Discrimination Act also highlights the need </w:t>
      </w:r>
      <w:r w:rsidR="00434F5B">
        <w:t xml:space="preserve">for more effective implementation of the CRPD and law reform. </w:t>
      </w:r>
    </w:p>
    <w:p w14:paraId="4AE0409D" w14:textId="5E0F3760" w:rsidR="00661AA3" w:rsidRDefault="005311C6" w:rsidP="00D97C94">
      <w:pPr>
        <w:pStyle w:val="AHRCHeading1"/>
      </w:pPr>
      <w:bookmarkStart w:id="19" w:name="_Toc122679375"/>
      <w:r>
        <w:t>Implementation of</w:t>
      </w:r>
      <w:r w:rsidR="3BC4DA70">
        <w:t xml:space="preserve"> CRPD articles</w:t>
      </w:r>
      <w:bookmarkEnd w:id="19"/>
    </w:p>
    <w:p w14:paraId="1A28CC7E" w14:textId="77777777" w:rsidR="006E2CB0" w:rsidRDefault="006E2CB0" w:rsidP="006E2CB0">
      <w:pPr>
        <w:pStyle w:val="Heading2"/>
      </w:pPr>
      <w:bookmarkStart w:id="20" w:name="_Toc122679376"/>
      <w:r>
        <w:t>Australia’s legal and policy framework</w:t>
      </w:r>
      <w:bookmarkEnd w:id="20"/>
    </w:p>
    <w:p w14:paraId="2A39BEE3" w14:textId="77777777" w:rsidR="006E2CB0" w:rsidRDefault="006E2CB0" w:rsidP="006E2CB0">
      <w:r>
        <w:t>Article 4(1) of the CRPD requires State Parties to ‘adopt all appropriate legislative, administrative and other measures for the implementation of the rights recognised’ in the CRPD.</w:t>
      </w:r>
    </w:p>
    <w:p w14:paraId="045CDE63" w14:textId="77777777" w:rsidR="006E2CB0" w:rsidRDefault="006E2CB0" w:rsidP="006E2CB0">
      <w:r>
        <w:t>The legal and policy framework for the protection of human rights of people with disability in Australia includes:</w:t>
      </w:r>
    </w:p>
    <w:p w14:paraId="79CC4039" w14:textId="77777777" w:rsidR="006E2CB0" w:rsidRDefault="006E2CB0" w:rsidP="006E2CB0">
      <w:pPr>
        <w:pStyle w:val="ListParagraph"/>
        <w:numPr>
          <w:ilvl w:val="0"/>
          <w:numId w:val="30"/>
        </w:numPr>
      </w:pPr>
      <w:r>
        <w:t xml:space="preserve">the </w:t>
      </w:r>
      <w:r w:rsidRPr="000038B4">
        <w:rPr>
          <w:i/>
          <w:iCs/>
        </w:rPr>
        <w:t>Disability Discrimination Act 1992</w:t>
      </w:r>
      <w:r>
        <w:t xml:space="preserve"> (</w:t>
      </w:r>
      <w:proofErr w:type="spellStart"/>
      <w:r>
        <w:t>Cth</w:t>
      </w:r>
      <w:proofErr w:type="spellEnd"/>
      <w:r>
        <w:t xml:space="preserve">), (Disability Discrimination Act), which adopts a non-discrimination model protecting people with disability against negative discrimination; </w:t>
      </w:r>
    </w:p>
    <w:p w14:paraId="2BC8B6C1" w14:textId="77777777" w:rsidR="006E2CB0" w:rsidRDefault="006E2CB0" w:rsidP="006E2CB0">
      <w:pPr>
        <w:pStyle w:val="ListParagraph"/>
        <w:numPr>
          <w:ilvl w:val="0"/>
          <w:numId w:val="30"/>
        </w:numPr>
      </w:pPr>
      <w:r>
        <w:t xml:space="preserve">the </w:t>
      </w:r>
      <w:r w:rsidRPr="00057A73">
        <w:rPr>
          <w:i/>
          <w:iCs/>
        </w:rPr>
        <w:t xml:space="preserve">National Disability Insurance Scheme Act 2013 </w:t>
      </w:r>
      <w:r>
        <w:t>(</w:t>
      </w:r>
      <w:proofErr w:type="spellStart"/>
      <w:r>
        <w:t>Cth</w:t>
      </w:r>
      <w:proofErr w:type="spellEnd"/>
      <w:r>
        <w:t>) (NDIS Act), which establishes the National Disability Insurance Scheme (NDIS) and the National Disability Insurance Agency (NDIA) and sets out the objects and principles under which the scheme operates;</w:t>
      </w:r>
    </w:p>
    <w:p w14:paraId="4E17E141" w14:textId="77777777" w:rsidR="006E2CB0" w:rsidRDefault="006E2CB0" w:rsidP="006E2CB0">
      <w:pPr>
        <w:pStyle w:val="ListParagraph"/>
        <w:numPr>
          <w:ilvl w:val="0"/>
          <w:numId w:val="30"/>
        </w:numPr>
      </w:pPr>
      <w:r>
        <w:t xml:space="preserve">the </w:t>
      </w:r>
      <w:r>
        <w:rPr>
          <w:i/>
          <w:iCs/>
        </w:rPr>
        <w:t xml:space="preserve">Disability Services Act 1986 </w:t>
      </w:r>
      <w:r>
        <w:t>(</w:t>
      </w:r>
      <w:proofErr w:type="spellStart"/>
      <w:r>
        <w:t>Cth</w:t>
      </w:r>
      <w:proofErr w:type="spellEnd"/>
      <w:r>
        <w:t xml:space="preserve">), which provides a framework for the Australian Government to provide services to people with disability, and to certify service providers and specify standards in the provision of services;  </w:t>
      </w:r>
    </w:p>
    <w:p w14:paraId="05295DF9" w14:textId="77777777" w:rsidR="006E2CB0" w:rsidRDefault="006E2CB0" w:rsidP="006E2CB0">
      <w:pPr>
        <w:pStyle w:val="ListParagraph"/>
        <w:numPr>
          <w:ilvl w:val="0"/>
          <w:numId w:val="30"/>
        </w:numPr>
      </w:pPr>
      <w:r>
        <w:t xml:space="preserve">State and Territory legislation; and </w:t>
      </w:r>
    </w:p>
    <w:p w14:paraId="1F06C764" w14:textId="7A16A171" w:rsidR="006E2CB0" w:rsidRDefault="006E2CB0" w:rsidP="006E2CB0">
      <w:pPr>
        <w:pStyle w:val="ListParagraph"/>
        <w:numPr>
          <w:ilvl w:val="0"/>
          <w:numId w:val="30"/>
        </w:numPr>
      </w:pPr>
      <w:r>
        <w:t>Australia’s Disability Strategy</w:t>
      </w:r>
      <w:r w:rsidR="001774D0">
        <w:t xml:space="preserve"> 2021-2031</w:t>
      </w:r>
      <w:r>
        <w:t xml:space="preserve">, which lays out some of the policy framework for implementing the CRPD. </w:t>
      </w:r>
    </w:p>
    <w:p w14:paraId="66B606B3" w14:textId="42151846" w:rsidR="00E15385" w:rsidRDefault="00D55CCF" w:rsidP="00D55CCF">
      <w:r>
        <w:t>The Australian Government, in its reports to the CRPD Committee’s two periodic reviews and in its submissions to this Royal Commission, considers that it is compliant ‘with its obligations under the CRPD and that it has given effect to the CRPD through legislation, policy and practice’.</w:t>
      </w:r>
      <w:r>
        <w:rPr>
          <w:rStyle w:val="EndnoteReference"/>
        </w:rPr>
        <w:endnoteReference w:id="14"/>
      </w:r>
      <w:r w:rsidR="0049477C">
        <w:t xml:space="preserve"> </w:t>
      </w:r>
      <w:r w:rsidR="00E15385">
        <w:t>In its submission to Counsel Assisting</w:t>
      </w:r>
      <w:r w:rsidR="006E2CB0">
        <w:t xml:space="preserve"> the Royal Commission</w:t>
      </w:r>
      <w:r w:rsidR="00E15385">
        <w:t>, the</w:t>
      </w:r>
      <w:r w:rsidR="0049477C">
        <w:t xml:space="preserve"> Australian Government</w:t>
      </w:r>
      <w:r w:rsidR="00E15385">
        <w:t xml:space="preserve"> states</w:t>
      </w:r>
      <w:r w:rsidR="009F4C35">
        <w:t xml:space="preserve"> that </w:t>
      </w:r>
      <w:r w:rsidR="007A0F57">
        <w:t>‘</w:t>
      </w:r>
      <w:r w:rsidR="00E15385">
        <w:t>n</w:t>
      </w:r>
      <w:r w:rsidR="00343871">
        <w:t>one of the CRPD Committee’s concerns or recommendations</w:t>
      </w:r>
      <w:r w:rsidR="007A0F57">
        <w:t xml:space="preserve"> [in its </w:t>
      </w:r>
      <w:r w:rsidR="00DD2374">
        <w:t>2019 concluding observations</w:t>
      </w:r>
      <w:r w:rsidR="00E15385">
        <w:t xml:space="preserve"> of Australia’s 2019 periodic review</w:t>
      </w:r>
      <w:r w:rsidR="00DD2374">
        <w:t>]</w:t>
      </w:r>
      <w:r w:rsidR="00343871">
        <w:t xml:space="preserve"> were expressed in language to the</w:t>
      </w:r>
      <w:r w:rsidR="00943C3E">
        <w:t xml:space="preserve"> effect</w:t>
      </w:r>
      <w:r w:rsidR="00343871">
        <w:t xml:space="preserve"> that Australia had not fully implemented the CRPD or that there were gaps in its implementation</w:t>
      </w:r>
      <w:r w:rsidR="006D2718">
        <w:t>’</w:t>
      </w:r>
      <w:r w:rsidR="00343871">
        <w:t>.</w:t>
      </w:r>
      <w:r w:rsidR="00DD2374">
        <w:rPr>
          <w:rStyle w:val="EndnoteReference"/>
        </w:rPr>
        <w:endnoteReference w:id="15"/>
      </w:r>
      <w:r>
        <w:t xml:space="preserve"> </w:t>
      </w:r>
    </w:p>
    <w:p w14:paraId="4B66C886" w14:textId="71EF70E5" w:rsidR="00D55CCF" w:rsidRDefault="00E15385" w:rsidP="00D55CCF">
      <w:r>
        <w:lastRenderedPageBreak/>
        <w:t>The Australian Government</w:t>
      </w:r>
      <w:r w:rsidR="00F239BC">
        <w:t xml:space="preserve"> </w:t>
      </w:r>
      <w:r w:rsidR="003833B2">
        <w:t>reiterates Australia’s commitment to respecting the rights of people with disability</w:t>
      </w:r>
      <w:r w:rsidR="00F239BC">
        <w:t>, but nonetheless approaches compliance and implementation in a binary fashion so as to</w:t>
      </w:r>
      <w:r w:rsidR="00950D72">
        <w:t xml:space="preserve"> frame compliance in an </w:t>
      </w:r>
      <w:r w:rsidR="00B06B3A">
        <w:t>‘</w:t>
      </w:r>
      <w:r w:rsidR="00950D72">
        <w:t>all or nothing</w:t>
      </w:r>
      <w:r w:rsidR="00B06B3A">
        <w:t>’</w:t>
      </w:r>
      <w:r w:rsidR="00950D72">
        <w:t xml:space="preserve"> approach. In its </w:t>
      </w:r>
      <w:r w:rsidR="00950D72" w:rsidRPr="004001D0">
        <w:t>view,</w:t>
      </w:r>
      <w:r w:rsidR="00F239BC" w:rsidRPr="004001D0">
        <w:t xml:space="preserve"> Australia is compliant with </w:t>
      </w:r>
      <w:r w:rsidR="00264749">
        <w:t xml:space="preserve">its </w:t>
      </w:r>
      <w:r w:rsidR="00F239BC" w:rsidRPr="004001D0">
        <w:t xml:space="preserve">CRPD obligations. </w:t>
      </w:r>
      <w:r w:rsidR="00AB4E5C" w:rsidRPr="004001D0">
        <w:t>It is unclear</w:t>
      </w:r>
      <w:r w:rsidR="00AB4E5C">
        <w:t xml:space="preserve"> from </w:t>
      </w:r>
      <w:r w:rsidR="00841EF9">
        <w:t>the Australian Government’s submissions what the</w:t>
      </w:r>
      <w:r w:rsidR="004001D0">
        <w:t xml:space="preserve"> ongoing</w:t>
      </w:r>
      <w:r w:rsidR="00841EF9">
        <w:t xml:space="preserve"> effect of the CRPD </w:t>
      </w:r>
      <w:r w:rsidR="00264749">
        <w:t>is</w:t>
      </w:r>
      <w:r w:rsidR="00841EF9">
        <w:t xml:space="preserve"> on policy makers.</w:t>
      </w:r>
    </w:p>
    <w:p w14:paraId="41278AAE" w14:textId="1BA220A7" w:rsidR="00D55CCF" w:rsidRDefault="00D55CCF" w:rsidP="00D55CCF">
      <w:r>
        <w:t xml:space="preserve">Counsel assisting the Royal Commission views </w:t>
      </w:r>
      <w:r w:rsidR="00F239BC">
        <w:t xml:space="preserve">the above </w:t>
      </w:r>
      <w:r>
        <w:t>position as standing in clear contrast with the evidence of other witnesses before the Royal Commission.</w:t>
      </w:r>
      <w:r w:rsidR="003853EE">
        <w:rPr>
          <w:rStyle w:val="EndnoteReference"/>
        </w:rPr>
        <w:endnoteReference w:id="16"/>
      </w:r>
      <w:r>
        <w:t xml:space="preserve"> The Commission’s view is that there are known gaps in the implementation of the CRPD in Australia, and that further efforts </w:t>
      </w:r>
      <w:r w:rsidR="00B175B5">
        <w:t xml:space="preserve">are </w:t>
      </w:r>
      <w:r>
        <w:t xml:space="preserve">required to </w:t>
      </w:r>
      <w:r w:rsidR="00A72D4F">
        <w:t>make progress</w:t>
      </w:r>
      <w:r w:rsidR="007914B3">
        <w:t xml:space="preserve"> </w:t>
      </w:r>
      <w:r>
        <w:t>t</w:t>
      </w:r>
      <w:r w:rsidR="0038259F">
        <w:t>owards the</w:t>
      </w:r>
      <w:r>
        <w:t xml:space="preserve"> </w:t>
      </w:r>
      <w:r w:rsidR="009D3B11">
        <w:t xml:space="preserve">recognition </w:t>
      </w:r>
      <w:r>
        <w:t>of CRPD rights</w:t>
      </w:r>
      <w:r w:rsidR="009D3B11">
        <w:t xml:space="preserve"> for people with disability</w:t>
      </w:r>
      <w:r>
        <w:t>.</w:t>
      </w:r>
    </w:p>
    <w:p w14:paraId="08CFD9B9" w14:textId="35CB6981" w:rsidR="00193CFF" w:rsidRDefault="009D6723" w:rsidP="00315FDE">
      <w:r>
        <w:t xml:space="preserve">The Commission made 68 recommendations in its </w:t>
      </w:r>
      <w:r w:rsidR="009D69DE">
        <w:t xml:space="preserve">2019 </w:t>
      </w:r>
      <w:r>
        <w:t xml:space="preserve">report to </w:t>
      </w:r>
      <w:r w:rsidR="00250414">
        <w:t>the CRPD</w:t>
      </w:r>
      <w:r>
        <w:t xml:space="preserve"> Committee</w:t>
      </w:r>
      <w:r w:rsidR="009D69DE">
        <w:t>. In the section</w:t>
      </w:r>
      <w:r w:rsidR="00B175B5" w:rsidRPr="00B175B5">
        <w:t xml:space="preserve"> </w:t>
      </w:r>
      <w:r w:rsidR="00B175B5">
        <w:t>below</w:t>
      </w:r>
      <w:r w:rsidR="009D69DE">
        <w:t>,</w:t>
      </w:r>
      <w:r w:rsidR="009D69DE" w:rsidRPr="009D69DE">
        <w:t xml:space="preserve"> </w:t>
      </w:r>
      <w:r w:rsidR="009D69DE">
        <w:t>the Commission reviews</w:t>
      </w:r>
      <w:r w:rsidR="003A1CF1">
        <w:t xml:space="preserve"> how Australia is tracking with the</w:t>
      </w:r>
      <w:r w:rsidR="009D69DE">
        <w:t xml:space="preserve"> implementation of individual CRPD articles,</w:t>
      </w:r>
      <w:r w:rsidR="009D69DE" w:rsidRPr="00FB6FA6">
        <w:t xml:space="preserve"> </w:t>
      </w:r>
      <w:r w:rsidR="009D69DE">
        <w:t>building upon observations and recommendations made in 2019</w:t>
      </w:r>
      <w:r w:rsidR="001509AE">
        <w:t xml:space="preserve"> and in previous submissions to the Royal Commission</w:t>
      </w:r>
      <w:r w:rsidR="009D69DE">
        <w:t xml:space="preserve">. </w:t>
      </w:r>
    </w:p>
    <w:p w14:paraId="5390ABEF" w14:textId="7D097082" w:rsidR="00315FDE" w:rsidRDefault="00B175B5" w:rsidP="00315FDE">
      <w:r>
        <w:t>This</w:t>
      </w:r>
      <w:r w:rsidR="009D69DE">
        <w:t xml:space="preserve"> </w:t>
      </w:r>
      <w:r w:rsidR="003A1CF1">
        <w:t xml:space="preserve">is not </w:t>
      </w:r>
      <w:r w:rsidR="00193CFF">
        <w:t xml:space="preserve">intended as </w:t>
      </w:r>
      <w:r w:rsidR="003A1CF1">
        <w:t>an exhaustive report</w:t>
      </w:r>
      <w:r w:rsidR="00B96352">
        <w:t>, but rather seeks to</w:t>
      </w:r>
      <w:r w:rsidR="003A1CF1">
        <w:t xml:space="preserve"> </w:t>
      </w:r>
      <w:r w:rsidR="003A1CF1" w:rsidRPr="008F40DD">
        <w:t xml:space="preserve">update </w:t>
      </w:r>
      <w:r w:rsidR="00315FDE">
        <w:t>the</w:t>
      </w:r>
      <w:r w:rsidR="007D1150">
        <w:t xml:space="preserve"> Commission’s</w:t>
      </w:r>
      <w:r w:rsidR="00315FDE">
        <w:t xml:space="preserve"> 2019 assessment </w:t>
      </w:r>
      <w:r w:rsidR="003A1CF1" w:rsidRPr="008F40DD">
        <w:t>and</w:t>
      </w:r>
      <w:r w:rsidR="00315FDE">
        <w:t xml:space="preserve"> address areas that were not considered in</w:t>
      </w:r>
      <w:r w:rsidR="007D1150">
        <w:t xml:space="preserve"> the Commission’s</w:t>
      </w:r>
      <w:r w:rsidR="00315FDE">
        <w:t xml:space="preserve"> previous submissions</w:t>
      </w:r>
      <w:r w:rsidR="003A1CF1">
        <w:t xml:space="preserve">, </w:t>
      </w:r>
      <w:r w:rsidR="007D1150">
        <w:t>with a view</w:t>
      </w:r>
      <w:r w:rsidR="003A1CF1">
        <w:t xml:space="preserve"> to</w:t>
      </w:r>
      <w:r w:rsidR="00B96352">
        <w:t xml:space="preserve"> inform the Royal Commission </w:t>
      </w:r>
      <w:r w:rsidR="007D1150">
        <w:t>of required</w:t>
      </w:r>
      <w:r w:rsidR="00B96352">
        <w:t xml:space="preserve"> reform or</w:t>
      </w:r>
      <w:r w:rsidR="007D1150">
        <w:t xml:space="preserve"> further</w:t>
      </w:r>
      <w:r w:rsidR="00B96352">
        <w:t xml:space="preserve"> investigation.</w:t>
      </w:r>
      <w:r w:rsidR="00315FDE">
        <w:t xml:space="preserve"> For instance, in its submission to the Royal Commission’s Employment Issues Paper, the Commission </w:t>
      </w:r>
      <w:r w:rsidR="00315FDE" w:rsidRPr="00795B5A">
        <w:t>focus</w:t>
      </w:r>
      <w:r w:rsidR="00315FDE">
        <w:t>ed</w:t>
      </w:r>
      <w:r w:rsidR="00315FDE" w:rsidRPr="00795B5A">
        <w:t xml:space="preserve"> on experiences of financial and economic abuse, violations of dignity, economic advantage being taken of people with disability, and improper use of labour or employment</w:t>
      </w:r>
      <w:r w:rsidR="00510ECC">
        <w:t>, and therefore these topics are not addressed in this submission.</w:t>
      </w:r>
      <w:r w:rsidR="00E05C6D">
        <w:t xml:space="preserve"> </w:t>
      </w:r>
    </w:p>
    <w:p w14:paraId="26194462" w14:textId="1F20DD8E" w:rsidR="009D30BF" w:rsidRDefault="00AB5683">
      <w:pPr>
        <w:pStyle w:val="AHRCHeading2"/>
      </w:pPr>
      <w:bookmarkStart w:id="21" w:name="_Toc122679377"/>
      <w:r>
        <w:t>Article 4</w:t>
      </w:r>
      <w:r w:rsidR="00C44CF6">
        <w:t>:</w:t>
      </w:r>
      <w:r>
        <w:t xml:space="preserve"> </w:t>
      </w:r>
      <w:r w:rsidR="009D30BF">
        <w:t>Law reform</w:t>
      </w:r>
      <w:bookmarkEnd w:id="21"/>
      <w:r w:rsidR="009D30BF">
        <w:t xml:space="preserve"> </w:t>
      </w:r>
    </w:p>
    <w:p w14:paraId="15C79443" w14:textId="6E2E1FE3" w:rsidR="007F43F5" w:rsidRDefault="005C450A" w:rsidP="008215A9">
      <w:r>
        <w:t xml:space="preserve">In essence, article 4 </w:t>
      </w:r>
      <w:r w:rsidR="00190DF7">
        <w:t xml:space="preserve">of the CRPD </w:t>
      </w:r>
      <w:r>
        <w:t xml:space="preserve">requires that State </w:t>
      </w:r>
      <w:r w:rsidR="00CD1244">
        <w:t xml:space="preserve">Parties </w:t>
      </w:r>
      <w:r>
        <w:t xml:space="preserve">to the CRPD enact laws that are consistent with the CRPD, and </w:t>
      </w:r>
      <w:r w:rsidR="00D55CCF">
        <w:t>repeal</w:t>
      </w:r>
      <w:r>
        <w:t xml:space="preserve"> or amend laws that are inconsistent with it</w:t>
      </w:r>
      <w:r w:rsidR="00AD1B65">
        <w:t>.</w:t>
      </w:r>
      <w:r>
        <w:t xml:space="preserve"> </w:t>
      </w:r>
      <w:bookmarkStart w:id="22" w:name="_Toc118299566"/>
    </w:p>
    <w:p w14:paraId="26064F46" w14:textId="4612E972" w:rsidR="00554A46" w:rsidRPr="00554A46" w:rsidRDefault="00554A46" w:rsidP="008215A9">
      <w:pPr>
        <w:rPr>
          <w:b/>
          <w:bCs/>
        </w:rPr>
      </w:pPr>
      <w:r>
        <w:rPr>
          <w:b/>
          <w:bCs/>
        </w:rPr>
        <w:t>Legal framework</w:t>
      </w:r>
    </w:p>
    <w:p w14:paraId="3108F7DF" w14:textId="7A8A409F" w:rsidR="00F11019" w:rsidRDefault="00F11019" w:rsidP="00F11019">
      <w:r>
        <w:t>In its 2019 periodic review of Australia, the CRPD Committee expressed concern about ‘the insufficient harmonisation of the domestic legal framework with the Convention’.</w:t>
      </w:r>
      <w:r>
        <w:rPr>
          <w:rStyle w:val="EndnoteReference"/>
        </w:rPr>
        <w:endnoteReference w:id="17"/>
      </w:r>
      <w:r>
        <w:t xml:space="preserve"> </w:t>
      </w:r>
      <w:r w:rsidR="00750F60">
        <w:t>Many CRPD rights fall within the responsibility of States and Territories. As Counsel Assisting the Royal</w:t>
      </w:r>
      <w:r w:rsidRPr="00EF2C11">
        <w:t xml:space="preserve"> Commission </w:t>
      </w:r>
      <w:r w:rsidR="00750F60">
        <w:t>submits: ‘an important consequence of</w:t>
      </w:r>
      <w:r w:rsidRPr="00EF2C11">
        <w:t xml:space="preserve"> this </w:t>
      </w:r>
      <w:r w:rsidR="00750F60">
        <w:t xml:space="preserve">is that deficiencies in implementation of the CRPD by the </w:t>
      </w:r>
      <w:r w:rsidR="00750F60">
        <w:lastRenderedPageBreak/>
        <w:t>States and Territories can mean that Australia as a whole has failed to implement the CRPD’.</w:t>
      </w:r>
      <w:r w:rsidR="00750F60">
        <w:rPr>
          <w:rStyle w:val="EndnoteReference"/>
        </w:rPr>
        <w:endnoteReference w:id="18"/>
      </w:r>
      <w:r w:rsidR="00C17C71">
        <w:t xml:space="preserve"> </w:t>
      </w:r>
      <w:r w:rsidR="00F20A10">
        <w:t>The Commission’s assessment is that</w:t>
      </w:r>
      <w:r w:rsidR="009B4D01">
        <w:t>,</w:t>
      </w:r>
      <w:r w:rsidR="00F20A10">
        <w:t xml:space="preserve"> </w:t>
      </w:r>
      <w:r w:rsidR="003F59C0">
        <w:t>due to</w:t>
      </w:r>
      <w:r w:rsidRPr="00EF2C11">
        <w:t xml:space="preserve"> there</w:t>
      </w:r>
      <w:r>
        <w:t xml:space="preserve"> </w:t>
      </w:r>
      <w:r w:rsidR="003F59C0">
        <w:t>being</w:t>
      </w:r>
      <w:r>
        <w:t xml:space="preserve"> many rights in the CRPD that have not yet been incorporated into domestic law and </w:t>
      </w:r>
      <w:r w:rsidR="00D822CE">
        <w:t xml:space="preserve">as a result of </w:t>
      </w:r>
      <w:r>
        <w:t>Australia’s federal model</w:t>
      </w:r>
      <w:r w:rsidR="009B4D01">
        <w:t>,</w:t>
      </w:r>
      <w:r>
        <w:t xml:space="preserve"> some jurisdictions are further progressed in their implementation of the CRPD than others. </w:t>
      </w:r>
    </w:p>
    <w:p w14:paraId="16424B0B" w14:textId="77777777" w:rsidR="001D7F79" w:rsidRDefault="00F11019" w:rsidP="00F11019">
      <w:r>
        <w:t xml:space="preserve">The </w:t>
      </w:r>
      <w:r w:rsidRPr="004B0627">
        <w:t>Disability Discrimination Act</w:t>
      </w:r>
      <w:r>
        <w:t xml:space="preserve"> and State and Territory anti-discrimination legislation incorporate </w:t>
      </w:r>
      <w:r w:rsidR="00272B4F">
        <w:t>important</w:t>
      </w:r>
      <w:r>
        <w:t xml:space="preserve"> CRPD rights.</w:t>
      </w:r>
      <w:r w:rsidR="00485CE7">
        <w:t xml:space="preserve"> </w:t>
      </w:r>
      <w:r w:rsidR="001D7F79">
        <w:t xml:space="preserve">The Disability Discrimination Act adopts a non-discrimination model, making it unlawful to </w:t>
      </w:r>
      <w:r w:rsidR="001D7F79" w:rsidRPr="00457A7A">
        <w:t xml:space="preserve">discriminate against a person in employment, education, </w:t>
      </w:r>
      <w:r w:rsidR="001D7F79">
        <w:t>obtaining goods and</w:t>
      </w:r>
      <w:r w:rsidR="001D7F79" w:rsidRPr="00457A7A">
        <w:t xml:space="preserve"> services, renting or buying a house or unit, and accessing public places, because of their disability.</w:t>
      </w:r>
      <w:r w:rsidR="001D7F79">
        <w:t xml:space="preserve"> </w:t>
      </w:r>
    </w:p>
    <w:p w14:paraId="5474A6EC" w14:textId="24DE0907" w:rsidR="001D7F79" w:rsidRDefault="001D7F79" w:rsidP="001D7F79">
      <w:r>
        <w:t>The CRPD Committee has suggested that the</w:t>
      </w:r>
      <w:r w:rsidRPr="007E2107">
        <w:t xml:space="preserve"> </w:t>
      </w:r>
      <w:r>
        <w:t>Disability Discrimination Act be amended</w:t>
      </w:r>
      <w:r w:rsidR="0057371A">
        <w:t>;</w:t>
      </w:r>
      <w:r>
        <w:rPr>
          <w:rStyle w:val="EndnoteReference"/>
        </w:rPr>
        <w:endnoteReference w:id="19"/>
      </w:r>
      <w:r>
        <w:t xml:space="preserve"> a recommendation that is supported by the Commission for the reasons explained below. </w:t>
      </w:r>
    </w:p>
    <w:p w14:paraId="401A0492" w14:textId="237243B7" w:rsidR="00F11019" w:rsidRDefault="00771C46" w:rsidP="00F11019">
      <w:r>
        <w:t>It is worth noting</w:t>
      </w:r>
      <w:r w:rsidR="001D7F79">
        <w:t xml:space="preserve"> here</w:t>
      </w:r>
      <w:r>
        <w:t xml:space="preserve"> that</w:t>
      </w:r>
      <w:r w:rsidR="00485CE7">
        <w:t xml:space="preserve"> the Disability Discrimination Act pre-dates the CRPD, </w:t>
      </w:r>
      <w:r w:rsidR="00096A7D">
        <w:t>which does not preclude it from reflecting</w:t>
      </w:r>
      <w:r w:rsidR="00BB12E9">
        <w:t xml:space="preserve"> some CRPD rights, by </w:t>
      </w:r>
      <w:r w:rsidR="00F11019">
        <w:t>seek</w:t>
      </w:r>
      <w:r w:rsidR="00BB12E9">
        <w:t>ing</w:t>
      </w:r>
      <w:r w:rsidR="00F11019">
        <w:t xml:space="preserve"> to ‘promote … the principles that persons with disabilities have the </w:t>
      </w:r>
      <w:r w:rsidR="004B0627">
        <w:t>same fundamental</w:t>
      </w:r>
      <w:r w:rsidR="00F11019">
        <w:t xml:space="preserve"> rights as the rest of the community</w:t>
      </w:r>
      <w:r w:rsidR="00DD6EAF">
        <w:t>’</w:t>
      </w:r>
      <w:r w:rsidR="00096A7D">
        <w:t>.</w:t>
      </w:r>
      <w:r w:rsidR="00F11019">
        <w:rPr>
          <w:rStyle w:val="EndnoteReference"/>
        </w:rPr>
        <w:endnoteReference w:id="20"/>
      </w:r>
      <w:r w:rsidR="00F11019" w:rsidRPr="00845A7A">
        <w:t xml:space="preserve"> </w:t>
      </w:r>
      <w:r w:rsidR="00AA0466">
        <w:t>However,</w:t>
      </w:r>
      <w:r w:rsidR="00F11019">
        <w:t xml:space="preserve"> the scope of protected rights and grounds of discrimination </w:t>
      </w:r>
      <w:r w:rsidR="00E42A0C">
        <w:t xml:space="preserve">in that Act </w:t>
      </w:r>
      <w:r w:rsidR="00F11019">
        <w:t xml:space="preserve">is much narrower than under international human rights law. </w:t>
      </w:r>
    </w:p>
    <w:p w14:paraId="4F0747A2" w14:textId="1CDF9020" w:rsidR="00F11019" w:rsidRDefault="00174FA8" w:rsidP="008F40DD">
      <w:r>
        <w:t>The Disability Discrimination Act</w:t>
      </w:r>
      <w:r w:rsidR="00F11019">
        <w:t xml:space="preserve"> provides protection against discrimination on the ground of disability in </w:t>
      </w:r>
      <w:r w:rsidR="00272B4F">
        <w:t>several</w:t>
      </w:r>
      <w:r w:rsidR="00F11019">
        <w:t xml:space="preserve"> areas of public life, </w:t>
      </w:r>
      <w:r w:rsidR="008B1D28">
        <w:t xml:space="preserve">but </w:t>
      </w:r>
      <w:r w:rsidR="00F11019">
        <w:t>it does not fully implement all of the rights in the CRPD. For example, the</w:t>
      </w:r>
      <w:r w:rsidR="00F11019" w:rsidRPr="007E2107">
        <w:t xml:space="preserve"> </w:t>
      </w:r>
      <w:r w:rsidR="00F11019">
        <w:t>Disability Discrimination Act</w:t>
      </w:r>
      <w:r w:rsidR="00272B4F">
        <w:t xml:space="preserve"> </w:t>
      </w:r>
      <w:r w:rsidR="00F11019">
        <w:t>does not recognise positive economic, social and cultural rights</w:t>
      </w:r>
      <w:r w:rsidR="00272B4F">
        <w:t xml:space="preserve"> nor d</w:t>
      </w:r>
      <w:r w:rsidR="00F11019" w:rsidRPr="00D93B9C">
        <w:t xml:space="preserve">oes </w:t>
      </w:r>
      <w:r w:rsidR="00272B4F">
        <w:t>it</w:t>
      </w:r>
      <w:r w:rsidR="00272B4F" w:rsidRPr="00D93B9C">
        <w:t xml:space="preserve"> </w:t>
      </w:r>
      <w:r w:rsidR="00F11019" w:rsidRPr="00D93B9C">
        <w:t xml:space="preserve">thoroughly address intersectional discrimination in the same way that the CRPD does. </w:t>
      </w:r>
      <w:r w:rsidR="00F11019">
        <w:t>Instead, there is a suite of federal anti-discrimination laws operating alongside each other that deal, separately, with different forms of discrimination.</w:t>
      </w:r>
    </w:p>
    <w:p w14:paraId="6553E5EB" w14:textId="3E51048E" w:rsidR="00F11019" w:rsidRDefault="122F036F" w:rsidP="00F11019">
      <w:pPr>
        <w:pStyle w:val="Blockquote"/>
        <w:ind w:left="0"/>
      </w:pPr>
      <w:r>
        <w:t xml:space="preserve">One drawback of the current </w:t>
      </w:r>
      <w:r w:rsidR="407BD409">
        <w:t xml:space="preserve">legislative framework in relation to unlawful discrimination </w:t>
      </w:r>
      <w:r>
        <w:t xml:space="preserve">is that it </w:t>
      </w:r>
      <w:r w:rsidR="407BD409">
        <w:t>remains largely remedial in nature</w:t>
      </w:r>
      <w:r w:rsidR="2764807C">
        <w:t>.</w:t>
      </w:r>
      <w:r w:rsidR="00EC4D2C">
        <w:t xml:space="preserve"> </w:t>
      </w:r>
      <w:r w:rsidR="2764807C">
        <w:t>I</w:t>
      </w:r>
      <w:r w:rsidR="407BD409">
        <w:t xml:space="preserve">t requires a ‘person aggrieved’ (the victim) to make a complaint and tends to focus on discrimination that has already occurred. As noted in the Commission’s </w:t>
      </w:r>
      <w:proofErr w:type="spellStart"/>
      <w:r w:rsidR="407BD409" w:rsidRPr="15363531">
        <w:rPr>
          <w:i/>
          <w:iCs/>
        </w:rPr>
        <w:t>Respect@Work</w:t>
      </w:r>
      <w:proofErr w:type="spellEnd"/>
      <w:r w:rsidR="407BD409">
        <w:t xml:space="preserve"> report</w:t>
      </w:r>
      <w:r w:rsidR="2764807C">
        <w:t>,</w:t>
      </w:r>
      <w:r w:rsidR="00FA207F">
        <w:rPr>
          <w:rStyle w:val="EndnoteReference"/>
        </w:rPr>
        <w:endnoteReference w:id="21"/>
      </w:r>
      <w:r w:rsidR="407BD409">
        <w:t xml:space="preserve"> </w:t>
      </w:r>
      <w:r w:rsidR="47C12909">
        <w:t xml:space="preserve">dealing with sexual harassment in the workplace, </w:t>
      </w:r>
      <w:r w:rsidR="407BD409">
        <w:t>this places significant responsibility on individual complainants and means that employer practices are often only externally scrutinised after an allegation of sexual harassment (or discrimination) has been made, and the issue goes to the liability of the employer.</w:t>
      </w:r>
      <w:r w:rsidR="3964BA5F">
        <w:t xml:space="preserve"> The same issue </w:t>
      </w:r>
      <w:r w:rsidR="7989AEA8">
        <w:t>exists in disability discrimination matters</w:t>
      </w:r>
      <w:r w:rsidR="407BD409">
        <w:t>.</w:t>
      </w:r>
    </w:p>
    <w:p w14:paraId="3417EE17" w14:textId="1EF80AEC" w:rsidR="00381C76" w:rsidRDefault="00381C76" w:rsidP="00F11019">
      <w:pPr>
        <w:pStyle w:val="Blockquote"/>
        <w:ind w:left="0"/>
      </w:pPr>
      <w:r>
        <w:t xml:space="preserve">The Commission has </w:t>
      </w:r>
      <w:r w:rsidR="00CB197A">
        <w:t>previously</w:t>
      </w:r>
      <w:r>
        <w:t xml:space="preserve"> recommended </w:t>
      </w:r>
      <w:r w:rsidR="00E11326">
        <w:t xml:space="preserve">to the Royal Commission </w:t>
      </w:r>
      <w:r>
        <w:t xml:space="preserve">that the Australian Government amend the Disability Discrimination Act to address the implications of the </w:t>
      </w:r>
      <w:proofErr w:type="spellStart"/>
      <w:r w:rsidRPr="00F5580A">
        <w:rPr>
          <w:i/>
          <w:iCs/>
        </w:rPr>
        <w:t>Sklavos</w:t>
      </w:r>
      <w:proofErr w:type="spellEnd"/>
      <w:r w:rsidR="0050662E" w:rsidRPr="009621BE">
        <w:rPr>
          <w:i/>
        </w:rPr>
        <w:t xml:space="preserve"> v Australian College of Dermatologists</w:t>
      </w:r>
      <w:r>
        <w:t xml:space="preserve"> decision</w:t>
      </w:r>
      <w:r w:rsidR="00885A53">
        <w:t>,</w:t>
      </w:r>
      <w:r w:rsidR="0050662E">
        <w:rPr>
          <w:rStyle w:val="EndnoteReference"/>
        </w:rPr>
        <w:endnoteReference w:id="22"/>
      </w:r>
      <w:r>
        <w:t xml:space="preserve"> by creating a new standalone provision for a positive duty to make reasonable </w:t>
      </w:r>
      <w:r>
        <w:lastRenderedPageBreak/>
        <w:t>adjustments unless doing so would involve an unjustifiable hardship.</w:t>
      </w:r>
      <w:r w:rsidR="00CF073E">
        <w:rPr>
          <w:rStyle w:val="EndnoteReference"/>
        </w:rPr>
        <w:endnoteReference w:id="23"/>
      </w:r>
      <w:r w:rsidR="00E11326">
        <w:t xml:space="preserve"> </w:t>
      </w:r>
      <w:r w:rsidR="009B04E9">
        <w:t xml:space="preserve">This issue is </w:t>
      </w:r>
      <w:r w:rsidR="00E42A0C">
        <w:t>remains unaddressed</w:t>
      </w:r>
      <w:r w:rsidR="009B04E9">
        <w:t xml:space="preserve"> for people with disability. </w:t>
      </w:r>
    </w:p>
    <w:p w14:paraId="2FA9EDAE" w14:textId="27C55211" w:rsidR="00381C76" w:rsidRDefault="00381C76" w:rsidP="00F11019">
      <w:pPr>
        <w:pStyle w:val="Blockquote"/>
        <w:ind w:left="0"/>
      </w:pPr>
      <w:r>
        <w:t>The Commission is also concerned that, in the absence of comprehensive human rights protections in Australia, people with disability are not adequately protected from intersectional discrimination. The effects of intersectional discrimination and disadvantage on Aboriginal and Torres Strait Islander people with disability are particularly pronounced.</w:t>
      </w:r>
    </w:p>
    <w:p w14:paraId="71E1FE71" w14:textId="068E2B5C" w:rsidR="00F11019" w:rsidRDefault="00F11019" w:rsidP="00F11019">
      <w:r>
        <w:t>In its 2021 Position Paper</w:t>
      </w:r>
      <w:r w:rsidR="00E328F8">
        <w:t>,</w:t>
      </w:r>
      <w:r>
        <w:t xml:space="preserve"> </w:t>
      </w:r>
      <w:r>
        <w:rPr>
          <w:i/>
          <w:iCs/>
        </w:rPr>
        <w:t>Free &amp; Equal: A reform agenda for federal discrimination laws</w:t>
      </w:r>
      <w:r>
        <w:t>, the Commission proposes a reform agenda to modernise federal discrimination laws by placing a greater focus on prevention of discrimination. The proposed reforms would go some, but not all the way</w:t>
      </w:r>
      <w:r w:rsidR="00E328F8">
        <w:t>,</w:t>
      </w:r>
      <w:r>
        <w:t xml:space="preserve"> to increasing compliance with the CRPD. </w:t>
      </w:r>
    </w:p>
    <w:p w14:paraId="05EB29DE" w14:textId="069454E0" w:rsidR="00F11019" w:rsidRPr="00CC427D" w:rsidRDefault="00F11019" w:rsidP="00F11019">
      <w:pPr>
        <w:rPr>
          <w:b/>
          <w:bCs/>
        </w:rPr>
      </w:pPr>
      <w:r>
        <w:rPr>
          <w:b/>
          <w:bCs/>
        </w:rPr>
        <w:t>Recommendation</w:t>
      </w:r>
      <w:r w:rsidR="000B13CC">
        <w:rPr>
          <w:b/>
          <w:bCs/>
        </w:rPr>
        <w:t xml:space="preserve"> 4</w:t>
      </w:r>
      <w:r>
        <w:rPr>
          <w:b/>
          <w:bCs/>
        </w:rPr>
        <w:t xml:space="preserve">: The Australian Government should implement the recommendations </w:t>
      </w:r>
      <w:r w:rsidR="00006F3B">
        <w:rPr>
          <w:b/>
          <w:bCs/>
        </w:rPr>
        <w:t xml:space="preserve">to </w:t>
      </w:r>
      <w:r>
        <w:rPr>
          <w:b/>
          <w:bCs/>
        </w:rPr>
        <w:t>reform</w:t>
      </w:r>
      <w:r w:rsidR="00006F3B">
        <w:rPr>
          <w:b/>
          <w:bCs/>
        </w:rPr>
        <w:t xml:space="preserve"> </w:t>
      </w:r>
      <w:r>
        <w:rPr>
          <w:b/>
          <w:bCs/>
        </w:rPr>
        <w:t xml:space="preserve">federal discrimination laws outlined in the Australian Human Rights Commission’s </w:t>
      </w:r>
      <w:r w:rsidR="000E06F3">
        <w:rPr>
          <w:b/>
          <w:bCs/>
        </w:rPr>
        <w:t xml:space="preserve">2021 </w:t>
      </w:r>
      <w:r w:rsidR="00346533">
        <w:rPr>
          <w:b/>
          <w:bCs/>
        </w:rPr>
        <w:t xml:space="preserve">Position Paper, </w:t>
      </w:r>
      <w:r>
        <w:rPr>
          <w:b/>
          <w:bCs/>
          <w:i/>
          <w:iCs/>
        </w:rPr>
        <w:t>Free &amp; Equal</w:t>
      </w:r>
      <w:r w:rsidR="00346533">
        <w:rPr>
          <w:b/>
          <w:bCs/>
          <w:i/>
          <w:iCs/>
        </w:rPr>
        <w:t>: A reform agenda for federal discrimination laws</w:t>
      </w:r>
      <w:r>
        <w:rPr>
          <w:b/>
          <w:bCs/>
        </w:rPr>
        <w:t>.</w:t>
      </w:r>
    </w:p>
    <w:p w14:paraId="29B1E405" w14:textId="2C24E969" w:rsidR="00F11019" w:rsidRPr="00EF3B7F" w:rsidRDefault="00F11019" w:rsidP="00F11019">
      <w:r>
        <w:rPr>
          <w:rStyle w:val="normaltextrun"/>
          <w:rFonts w:cs="Open Sans"/>
          <w:color w:val="000000"/>
          <w:shd w:val="clear" w:color="auto" w:fill="FFFFFF"/>
        </w:rPr>
        <w:t xml:space="preserve">Another key area for </w:t>
      </w:r>
      <w:r w:rsidR="00006F3B">
        <w:rPr>
          <w:rStyle w:val="normaltextrun"/>
          <w:rFonts w:cs="Open Sans"/>
          <w:color w:val="000000"/>
          <w:shd w:val="clear" w:color="auto" w:fill="FFFFFF"/>
        </w:rPr>
        <w:t xml:space="preserve">law </w:t>
      </w:r>
      <w:r>
        <w:rPr>
          <w:rStyle w:val="normaltextrun"/>
          <w:rFonts w:cs="Open Sans"/>
          <w:color w:val="000000"/>
          <w:shd w:val="clear" w:color="auto" w:fill="FFFFFF"/>
        </w:rPr>
        <w:t>reform relates to the absence of a national human rights framework. Australia is</w:t>
      </w:r>
      <w:r w:rsidRPr="007C2BD6">
        <w:rPr>
          <w:rStyle w:val="normaltextrun"/>
          <w:rFonts w:cs="Open Sans"/>
          <w:color w:val="000000"/>
          <w:shd w:val="clear" w:color="auto" w:fill="FFFFFF"/>
        </w:rPr>
        <w:t xml:space="preserve"> </w:t>
      </w:r>
      <w:r>
        <w:rPr>
          <w:rStyle w:val="normaltextrun"/>
          <w:rFonts w:cs="Open Sans"/>
          <w:color w:val="000000"/>
          <w:shd w:val="clear" w:color="auto" w:fill="FFFFFF"/>
        </w:rPr>
        <w:t xml:space="preserve">an anomaly among all other liberal democracies, in that it has not implemented key rights contained in human rights treaties through a cohesive legislative </w:t>
      </w:r>
      <w:r w:rsidR="0045756D">
        <w:rPr>
          <w:rStyle w:val="normaltextrun"/>
          <w:rFonts w:cs="Open Sans"/>
          <w:color w:val="000000"/>
          <w:shd w:val="clear" w:color="auto" w:fill="FFFFFF"/>
        </w:rPr>
        <w:t>framework</w:t>
      </w:r>
      <w:r>
        <w:rPr>
          <w:rStyle w:val="normaltextrun"/>
          <w:rFonts w:cs="Open Sans"/>
          <w:color w:val="000000"/>
          <w:shd w:val="clear" w:color="auto" w:fill="FFFFFF"/>
        </w:rPr>
        <w:t xml:space="preserve"> or Constitution. </w:t>
      </w:r>
      <w:r w:rsidRPr="002F64C2">
        <w:t>The current gaps and inconsistencies in the legal protection of the rights of people with disability will continue in the absence of comprehensive human rights laws in Australia.</w:t>
      </w:r>
      <w:r w:rsidR="00D2001A">
        <w:rPr>
          <w:rStyle w:val="EndnoteReference"/>
        </w:rPr>
        <w:endnoteReference w:id="24"/>
      </w:r>
      <w:r w:rsidRPr="002F64C2">
        <w:t xml:space="preserve"> </w:t>
      </w:r>
    </w:p>
    <w:p w14:paraId="1EE9D8F1" w14:textId="0388D119" w:rsidR="00F11019" w:rsidRPr="00015687" w:rsidRDefault="00F11019" w:rsidP="00F11019">
      <w:pPr>
        <w:rPr>
          <w:b/>
          <w:bCs/>
        </w:rPr>
      </w:pPr>
      <w:r>
        <w:rPr>
          <w:rStyle w:val="normaltextrun"/>
          <w:rFonts w:cs="Open Sans"/>
          <w:b/>
          <w:bCs/>
          <w:color w:val="000000"/>
          <w:shd w:val="clear" w:color="auto" w:fill="FFFFFF"/>
        </w:rPr>
        <w:t>Recommendation</w:t>
      </w:r>
      <w:r w:rsidR="000B13CC">
        <w:rPr>
          <w:rStyle w:val="normaltextrun"/>
          <w:rFonts w:cs="Open Sans"/>
          <w:b/>
          <w:bCs/>
          <w:color w:val="000000"/>
          <w:shd w:val="clear" w:color="auto" w:fill="FFFFFF"/>
        </w:rPr>
        <w:t xml:space="preserve"> 5</w:t>
      </w:r>
      <w:r>
        <w:rPr>
          <w:rStyle w:val="normaltextrun"/>
          <w:rFonts w:cs="Open Sans"/>
          <w:b/>
          <w:bCs/>
          <w:color w:val="000000"/>
          <w:shd w:val="clear" w:color="auto" w:fill="FFFFFF"/>
        </w:rPr>
        <w:t xml:space="preserve">: </w:t>
      </w:r>
      <w:r>
        <w:rPr>
          <w:b/>
          <w:bCs/>
        </w:rPr>
        <w:t xml:space="preserve">The Australian Government should </w:t>
      </w:r>
      <w:r w:rsidR="00CD61B6">
        <w:rPr>
          <w:b/>
          <w:bCs/>
        </w:rPr>
        <w:t>enhance</w:t>
      </w:r>
      <w:r w:rsidR="00280445">
        <w:rPr>
          <w:b/>
          <w:bCs/>
        </w:rPr>
        <w:t xml:space="preserve"> </w:t>
      </w:r>
      <w:r>
        <w:rPr>
          <w:b/>
          <w:bCs/>
        </w:rPr>
        <w:t xml:space="preserve">human rights </w:t>
      </w:r>
      <w:r w:rsidR="002A4CA3">
        <w:rPr>
          <w:b/>
          <w:bCs/>
        </w:rPr>
        <w:t xml:space="preserve">protections </w:t>
      </w:r>
      <w:r w:rsidR="009903AE">
        <w:rPr>
          <w:b/>
          <w:bCs/>
        </w:rPr>
        <w:t xml:space="preserve">through </w:t>
      </w:r>
      <w:r>
        <w:rPr>
          <w:b/>
          <w:bCs/>
        </w:rPr>
        <w:t>a federal Human Rights Act.</w:t>
      </w:r>
    </w:p>
    <w:p w14:paraId="0C345FE2" w14:textId="109ABE9D" w:rsidR="00F11019" w:rsidRDefault="00F11019" w:rsidP="00F11019">
      <w:r>
        <w:t xml:space="preserve">There are other federal, state and territory laws in Australia that protect and/or promote the rights of persons with disability. Among these, some reference the CRPD. For example, the objects of the </w:t>
      </w:r>
      <w:r w:rsidRPr="00057A73">
        <w:rPr>
          <w:i/>
          <w:iCs/>
        </w:rPr>
        <w:t xml:space="preserve">National Disability Insurance Scheme Act 2013 </w:t>
      </w:r>
      <w:r>
        <w:t>(</w:t>
      </w:r>
      <w:proofErr w:type="spellStart"/>
      <w:r>
        <w:t>Cth</w:t>
      </w:r>
      <w:proofErr w:type="spellEnd"/>
      <w:r>
        <w:t>) (NDIS Act) include to ‘give effect to Australia’s obligations’ under the CRPD’.</w:t>
      </w:r>
      <w:r>
        <w:rPr>
          <w:rStyle w:val="EndnoteReference"/>
        </w:rPr>
        <w:endnoteReference w:id="25"/>
      </w:r>
      <w:r>
        <w:t xml:space="preserve"> </w:t>
      </w:r>
      <w:r w:rsidR="00800601">
        <w:t>This should not be taken as sufficient to implement the CRPD. First, t</w:t>
      </w:r>
      <w:r>
        <w:t xml:space="preserve">he coverage of the NDIS Act is </w:t>
      </w:r>
      <w:r w:rsidR="00800601">
        <w:t>limited to</w:t>
      </w:r>
      <w:r>
        <w:t xml:space="preserve"> a small subset of the population</w:t>
      </w:r>
      <w:r w:rsidR="003D6FD7">
        <w:t>.</w:t>
      </w:r>
      <w:r>
        <w:t xml:space="preserve"> </w:t>
      </w:r>
      <w:r w:rsidR="003D6FD7">
        <w:t xml:space="preserve">Approximately </w:t>
      </w:r>
      <w:r>
        <w:t>500</w:t>
      </w:r>
      <w:r w:rsidR="00814B07">
        <w:t>,</w:t>
      </w:r>
      <w:r>
        <w:t>000 of the 4.4. million people with disability in Australia are eligible for the scheme, which significantly limits the reach of the Act. It is also worth noting that s</w:t>
      </w:r>
      <w:r w:rsidRPr="008215A9">
        <w:t>ome provisions in the NDIS Act are inconsistent with the CRPD, for instance, in allowing for substitute decision-making</w:t>
      </w:r>
      <w:r>
        <w:t>.</w:t>
      </w:r>
      <w:r w:rsidR="00B47F61">
        <w:t xml:space="preserve"> Further harmonisation across federal, state and territory law is required to </w:t>
      </w:r>
      <w:r w:rsidR="00750F60">
        <w:t>fully protect and enliven CRPD rights for all Australians with disability.</w:t>
      </w:r>
    </w:p>
    <w:p w14:paraId="4AB7C384" w14:textId="2E260F93" w:rsidR="00554A46" w:rsidRPr="00554A46" w:rsidRDefault="00554A46" w:rsidP="00731FCE">
      <w:pPr>
        <w:keepNext/>
        <w:rPr>
          <w:b/>
          <w:bCs/>
        </w:rPr>
      </w:pPr>
      <w:r>
        <w:rPr>
          <w:b/>
          <w:bCs/>
        </w:rPr>
        <w:lastRenderedPageBreak/>
        <w:t>Policy Framework</w:t>
      </w:r>
    </w:p>
    <w:p w14:paraId="5EF0AE94" w14:textId="12C5FE1F" w:rsidR="00F11019" w:rsidRPr="0016485F" w:rsidRDefault="407BD409" w:rsidP="00F11019">
      <w:r w:rsidRPr="0016485F">
        <w:t>State Parties can, and must, consider treaty obligations when developing policies</w:t>
      </w:r>
      <w:r w:rsidR="4A6D523C">
        <w:t>, and</w:t>
      </w:r>
      <w:r w:rsidRPr="0016485F">
        <w:t xml:space="preserve"> Australia’s Disability Strategy</w:t>
      </w:r>
      <w:r>
        <w:t xml:space="preserve"> </w:t>
      </w:r>
      <w:r w:rsidR="1A85B8FC">
        <w:t>2021-2031</w:t>
      </w:r>
      <w:r w:rsidRPr="0016485F">
        <w:t xml:space="preserve"> is the policy framework developed by the Australian Government to </w:t>
      </w:r>
      <w:r w:rsidR="38540BC9">
        <w:t>drive the implementation of commitments under the CRPD</w:t>
      </w:r>
      <w:r w:rsidR="1B60D585">
        <w:t>.</w:t>
      </w:r>
      <w:r w:rsidR="00F11019">
        <w:rPr>
          <w:rStyle w:val="EndnoteReference"/>
        </w:rPr>
        <w:endnoteReference w:id="26"/>
      </w:r>
      <w:r w:rsidRPr="0016485F">
        <w:t xml:space="preserve"> </w:t>
      </w:r>
      <w:r w:rsidR="3A4477F3">
        <w:t xml:space="preserve">All </w:t>
      </w:r>
      <w:r w:rsidR="714E2418">
        <w:t xml:space="preserve">Australian </w:t>
      </w:r>
      <w:r w:rsidR="2D214084">
        <w:t>jurisdictions</w:t>
      </w:r>
      <w:r w:rsidR="3A4477F3">
        <w:t xml:space="preserve"> </w:t>
      </w:r>
      <w:r w:rsidR="734214DB">
        <w:t xml:space="preserve">are signatories to the </w:t>
      </w:r>
      <w:r w:rsidR="3F10FBEA">
        <w:t>Strategy</w:t>
      </w:r>
      <w:r w:rsidR="385C63E3">
        <w:t xml:space="preserve">, with </w:t>
      </w:r>
      <w:r w:rsidR="73B66D1C">
        <w:t>share</w:t>
      </w:r>
      <w:r w:rsidR="385C63E3">
        <w:t>d</w:t>
      </w:r>
      <w:r w:rsidR="73B66D1C">
        <w:t xml:space="preserve"> responsibility </w:t>
      </w:r>
      <w:r w:rsidR="34C7FCCD">
        <w:t xml:space="preserve">to </w:t>
      </w:r>
      <w:r w:rsidR="26775AD3">
        <w:t xml:space="preserve">address the outcome areas </w:t>
      </w:r>
      <w:r w:rsidR="2DB024DA">
        <w:t xml:space="preserve">and </w:t>
      </w:r>
      <w:r w:rsidR="34C7FCCD">
        <w:t xml:space="preserve">implement </w:t>
      </w:r>
      <w:r w:rsidR="26775AD3">
        <w:t xml:space="preserve">actions </w:t>
      </w:r>
      <w:r w:rsidR="2DB024DA">
        <w:t xml:space="preserve">to </w:t>
      </w:r>
      <w:r w:rsidR="47B72E1A">
        <w:t>achieve</w:t>
      </w:r>
      <w:r w:rsidR="2DB024DA">
        <w:t xml:space="preserve"> </w:t>
      </w:r>
      <w:r w:rsidR="20BCB72C">
        <w:t>its</w:t>
      </w:r>
      <w:r w:rsidR="2DB024DA">
        <w:t xml:space="preserve"> </w:t>
      </w:r>
      <w:r w:rsidR="385C63E3">
        <w:t xml:space="preserve">priorities. </w:t>
      </w:r>
    </w:p>
    <w:p w14:paraId="526655F5" w14:textId="458A137D" w:rsidR="00F11019" w:rsidRPr="00710925" w:rsidRDefault="00F11019" w:rsidP="00F11019">
      <w:r w:rsidRPr="0016485F">
        <w:t xml:space="preserve">Following Australia’s ratification of the CRPD in 2008, the </w:t>
      </w:r>
      <w:r>
        <w:t>Australian</w:t>
      </w:r>
      <w:r w:rsidRPr="0016485F">
        <w:t xml:space="preserve">, </w:t>
      </w:r>
      <w:r w:rsidR="00504712">
        <w:t>s</w:t>
      </w:r>
      <w:r w:rsidRPr="0016485F">
        <w:t xml:space="preserve">tate and </w:t>
      </w:r>
      <w:r w:rsidR="00504712">
        <w:t>t</w:t>
      </w:r>
      <w:r w:rsidRPr="0016485F">
        <w:t>erritory governments developed the National Disability Strategy (NDS)</w:t>
      </w:r>
      <w:r>
        <w:t>, which was</w:t>
      </w:r>
      <w:r w:rsidRPr="0016485F">
        <w:t xml:space="preserve"> launched in 2011. The </w:t>
      </w:r>
      <w:r>
        <w:t>NDS</w:t>
      </w:r>
      <w:r w:rsidRPr="0016485F">
        <w:t xml:space="preserve"> set out a ten-year national strategic plan (2010</w:t>
      </w:r>
      <w:r w:rsidR="009C7B40">
        <w:t>–</w:t>
      </w:r>
      <w:r w:rsidRPr="0016485F">
        <w:t>2020) to implement the CRPD</w:t>
      </w:r>
      <w:r>
        <w:t xml:space="preserve">, but was criticised for </w:t>
      </w:r>
      <w:r w:rsidR="00CC6B9B">
        <w:t>its slow progress,</w:t>
      </w:r>
      <w:r w:rsidR="00B668A7">
        <w:t xml:space="preserve"> the</w:t>
      </w:r>
      <w:r w:rsidR="00CC6B9B">
        <w:t xml:space="preserve"> </w:t>
      </w:r>
      <w:r w:rsidR="00736CC1">
        <w:t>lack of data</w:t>
      </w:r>
      <w:r w:rsidR="00B668A7">
        <w:t xml:space="preserve"> made available</w:t>
      </w:r>
      <w:r w:rsidR="00736CC1">
        <w:t xml:space="preserve"> to track</w:t>
      </w:r>
      <w:r w:rsidR="00B668A7">
        <w:t xml:space="preserve"> its</w:t>
      </w:r>
      <w:r w:rsidR="00736CC1">
        <w:t xml:space="preserve"> implementation, and </w:t>
      </w:r>
      <w:r w:rsidR="00B668A7">
        <w:t xml:space="preserve">the </w:t>
      </w:r>
      <w:r w:rsidR="00736CC1">
        <w:t>constrained resourcing dedicated to resources and programs</w:t>
      </w:r>
      <w:r w:rsidR="00B668A7">
        <w:t xml:space="preserve"> to achieve its objectives</w:t>
      </w:r>
      <w:r>
        <w:t>.</w:t>
      </w:r>
      <w:r w:rsidR="004F4A57">
        <w:rPr>
          <w:rStyle w:val="EndnoteReference"/>
        </w:rPr>
        <w:endnoteReference w:id="27"/>
      </w:r>
    </w:p>
    <w:p w14:paraId="3AFC6AF3" w14:textId="5D1A8AC9" w:rsidR="00F11019" w:rsidRDefault="00F11019" w:rsidP="00F11019">
      <w:r>
        <w:t>Australia’s Disability Strategy (2021</w:t>
      </w:r>
      <w:r w:rsidR="009C7B40">
        <w:t>–</w:t>
      </w:r>
      <w:r>
        <w:t xml:space="preserve">2031) was developed through more than two years of engagement with people with disability, their families and carers and informed by the outcomes and recommendations from several reviews and evaluations of the NDS. </w:t>
      </w:r>
    </w:p>
    <w:p w14:paraId="009FC90B" w14:textId="3583429D" w:rsidR="00F11019" w:rsidRDefault="00F11019" w:rsidP="00F11019">
      <w:bookmarkStart w:id="23" w:name="_Hlk116653773"/>
      <w:r>
        <w:t xml:space="preserve">Australia’s Disability Strategy </w:t>
      </w:r>
      <w:bookmarkEnd w:id="23"/>
      <w:r>
        <w:t xml:space="preserve">outlines a vision for a more inclusive and accessible Australian society where all people with disability can fulfil their potential as equal members of the community. Its purpose is to: </w:t>
      </w:r>
    </w:p>
    <w:p w14:paraId="0CF05988" w14:textId="079F4693" w:rsidR="00F11019" w:rsidRDefault="00F11019" w:rsidP="008F40DD">
      <w:pPr>
        <w:pStyle w:val="ListParagraph"/>
        <w:numPr>
          <w:ilvl w:val="0"/>
          <w:numId w:val="31"/>
        </w:numPr>
        <w:contextualSpacing/>
      </w:pPr>
      <w:r>
        <w:t>provide national leadership towards greater inclusion of people with disability;</w:t>
      </w:r>
    </w:p>
    <w:p w14:paraId="7BA7622A" w14:textId="77777777" w:rsidR="00F11019" w:rsidRDefault="00F11019" w:rsidP="008F40DD">
      <w:pPr>
        <w:pStyle w:val="ListParagraph"/>
        <w:numPr>
          <w:ilvl w:val="0"/>
          <w:numId w:val="31"/>
        </w:numPr>
        <w:contextualSpacing/>
      </w:pPr>
      <w:r>
        <w:t xml:space="preserve">guide activity across all areas of public policy to be inclusive and responsive to people with disability; </w:t>
      </w:r>
    </w:p>
    <w:p w14:paraId="5F6DCD98" w14:textId="04631819" w:rsidR="00F11019" w:rsidRDefault="00F11019" w:rsidP="008F40DD">
      <w:pPr>
        <w:pStyle w:val="ListParagraph"/>
        <w:numPr>
          <w:ilvl w:val="0"/>
          <w:numId w:val="31"/>
        </w:numPr>
        <w:contextualSpacing/>
      </w:pPr>
      <w:r>
        <w:t>drive mainstream services and systems to improve outcomes for people with disability;</w:t>
      </w:r>
    </w:p>
    <w:p w14:paraId="12752AD8" w14:textId="19E41CDA" w:rsidR="00F11019" w:rsidRDefault="00F11019" w:rsidP="008F40DD">
      <w:pPr>
        <w:pStyle w:val="ListParagraph"/>
        <w:numPr>
          <w:ilvl w:val="0"/>
          <w:numId w:val="31"/>
        </w:numPr>
        <w:contextualSpacing/>
      </w:pPr>
      <w:r>
        <w:t>engage, inform and involve the whole community in achieving a more inclusive society.</w:t>
      </w:r>
      <w:r w:rsidR="003241CD">
        <w:rPr>
          <w:rStyle w:val="EndnoteReference"/>
        </w:rPr>
        <w:endnoteReference w:id="28"/>
      </w:r>
    </w:p>
    <w:p w14:paraId="33F96627" w14:textId="31870302" w:rsidR="00F11019" w:rsidRDefault="00F11019" w:rsidP="00F11019">
      <w:r>
        <w:t>The Strategy is organised along seven outcome areas, each with its own Targeted Action Plan laying out key steps to achieve success. The Strategy has a</w:t>
      </w:r>
      <w:r w:rsidR="005561DE">
        <w:t>n</w:t>
      </w:r>
      <w:r>
        <w:t xml:space="preserve"> </w:t>
      </w:r>
      <w:r w:rsidR="005561DE">
        <w:t xml:space="preserve">increased </w:t>
      </w:r>
      <w:r>
        <w:t xml:space="preserve">focus on evaluation and public reporting. </w:t>
      </w:r>
    </w:p>
    <w:p w14:paraId="01D0BD2A" w14:textId="11D3DD61" w:rsidR="00F11019" w:rsidRPr="00A84391" w:rsidRDefault="00F11019" w:rsidP="00F11019">
      <w:pPr>
        <w:rPr>
          <w:b/>
          <w:bCs/>
        </w:rPr>
      </w:pPr>
      <w:r w:rsidRPr="00A84391">
        <w:rPr>
          <w:b/>
          <w:bCs/>
        </w:rPr>
        <w:t xml:space="preserve">Outcome areas </w:t>
      </w:r>
    </w:p>
    <w:p w14:paraId="3FF5A350" w14:textId="77777777" w:rsidR="00F11019" w:rsidRDefault="00F11019" w:rsidP="00F11019">
      <w:pPr>
        <w:pStyle w:val="ListParagraph"/>
        <w:numPr>
          <w:ilvl w:val="0"/>
          <w:numId w:val="31"/>
        </w:numPr>
        <w:contextualSpacing/>
      </w:pPr>
      <w:r w:rsidRPr="00A84391">
        <w:rPr>
          <w:b/>
          <w:bCs/>
        </w:rPr>
        <w:t>Employment and Financial Security</w:t>
      </w:r>
      <w:r>
        <w:t xml:space="preserve"> </w:t>
      </w:r>
      <w:r>
        <w:rPr>
          <w:rFonts w:cs="Open Sans"/>
        </w:rPr>
        <w:t>—</w:t>
      </w:r>
      <w:r>
        <w:t xml:space="preserve"> Outcome: People with disability have economic security, enabling them to plan for the future and exercise choice and control over their lives. </w:t>
      </w:r>
    </w:p>
    <w:p w14:paraId="4D87109A" w14:textId="77777777" w:rsidR="00F11019" w:rsidRDefault="00F11019" w:rsidP="00F11019">
      <w:pPr>
        <w:pStyle w:val="ListParagraph"/>
        <w:numPr>
          <w:ilvl w:val="0"/>
          <w:numId w:val="31"/>
        </w:numPr>
        <w:contextualSpacing/>
      </w:pPr>
      <w:r w:rsidRPr="00A84391">
        <w:rPr>
          <w:b/>
          <w:bCs/>
        </w:rPr>
        <w:t xml:space="preserve">Inclusive Homes and Communities </w:t>
      </w:r>
      <w:r>
        <w:rPr>
          <w:rFonts w:cs="Open Sans"/>
        </w:rPr>
        <w:t>—</w:t>
      </w:r>
      <w:r>
        <w:t xml:space="preserve"> Outcome: People with disability live in inclusive, accessible and well-designed homes and communities. </w:t>
      </w:r>
    </w:p>
    <w:p w14:paraId="5194BAF0" w14:textId="77777777" w:rsidR="00F11019" w:rsidRDefault="00F11019" w:rsidP="00F11019">
      <w:pPr>
        <w:pStyle w:val="ListParagraph"/>
        <w:numPr>
          <w:ilvl w:val="0"/>
          <w:numId w:val="31"/>
        </w:numPr>
        <w:contextualSpacing/>
      </w:pPr>
      <w:r w:rsidRPr="00A84391">
        <w:rPr>
          <w:b/>
          <w:bCs/>
        </w:rPr>
        <w:lastRenderedPageBreak/>
        <w:t>Safety, Rights and Justice</w:t>
      </w:r>
      <w:r>
        <w:t xml:space="preserve"> </w:t>
      </w:r>
      <w:r>
        <w:rPr>
          <w:rFonts w:cs="Open Sans"/>
        </w:rPr>
        <w:t>—</w:t>
      </w:r>
      <w:r>
        <w:t xml:space="preserve"> Outcome: The rights of people with disability are promoted, upheld and protected, and people with disability feel safe and enjoy equality before the law.</w:t>
      </w:r>
    </w:p>
    <w:p w14:paraId="51D45E9B" w14:textId="77777777" w:rsidR="00F11019" w:rsidRDefault="00F11019" w:rsidP="00F11019">
      <w:pPr>
        <w:pStyle w:val="ListParagraph"/>
        <w:numPr>
          <w:ilvl w:val="0"/>
          <w:numId w:val="31"/>
        </w:numPr>
        <w:contextualSpacing/>
      </w:pPr>
      <w:r w:rsidRPr="00A84391">
        <w:rPr>
          <w:b/>
          <w:bCs/>
        </w:rPr>
        <w:t>Personal and Community Support</w:t>
      </w:r>
      <w:r>
        <w:t xml:space="preserve"> </w:t>
      </w:r>
      <w:r>
        <w:rPr>
          <w:rFonts w:cs="Open Sans"/>
        </w:rPr>
        <w:t>—</w:t>
      </w:r>
      <w:r>
        <w:t xml:space="preserve"> Outcome: People with disability have access to a range of supports to assist them to live independently and engage in their communities. </w:t>
      </w:r>
    </w:p>
    <w:p w14:paraId="5B3E3CD8" w14:textId="77777777" w:rsidR="00F11019" w:rsidRDefault="00F11019" w:rsidP="00F11019">
      <w:pPr>
        <w:pStyle w:val="ListParagraph"/>
        <w:numPr>
          <w:ilvl w:val="0"/>
          <w:numId w:val="31"/>
        </w:numPr>
        <w:contextualSpacing/>
      </w:pPr>
      <w:r w:rsidRPr="002619F1">
        <w:rPr>
          <w:b/>
          <w:bCs/>
        </w:rPr>
        <w:t>Education and Learning</w:t>
      </w:r>
      <w:r>
        <w:t xml:space="preserve"> </w:t>
      </w:r>
      <w:r>
        <w:rPr>
          <w:rFonts w:cs="Open Sans"/>
        </w:rPr>
        <w:t>—</w:t>
      </w:r>
      <w:r>
        <w:t xml:space="preserve"> Outcome: People with disability achieve their full potential through education and learning</w:t>
      </w:r>
    </w:p>
    <w:p w14:paraId="7DB110D1" w14:textId="77777777" w:rsidR="00F11019" w:rsidRDefault="00F11019" w:rsidP="00F11019">
      <w:pPr>
        <w:pStyle w:val="ListParagraph"/>
        <w:numPr>
          <w:ilvl w:val="0"/>
          <w:numId w:val="31"/>
        </w:numPr>
        <w:contextualSpacing/>
      </w:pPr>
      <w:r w:rsidRPr="002B515A">
        <w:rPr>
          <w:b/>
          <w:bCs/>
        </w:rPr>
        <w:t>Health and Wellbeing</w:t>
      </w:r>
      <w:r>
        <w:t xml:space="preserve"> </w:t>
      </w:r>
      <w:r>
        <w:rPr>
          <w:rFonts w:cs="Open Sans"/>
        </w:rPr>
        <w:t>—</w:t>
      </w:r>
      <w:r>
        <w:t xml:space="preserve"> Outcome: People with disability attain the highest possible health and wellbeing outcomes throughout their lives.</w:t>
      </w:r>
    </w:p>
    <w:p w14:paraId="0CDF26C7" w14:textId="77777777" w:rsidR="00F11019" w:rsidRDefault="00F11019" w:rsidP="00F11019">
      <w:pPr>
        <w:pStyle w:val="ListParagraph"/>
        <w:numPr>
          <w:ilvl w:val="0"/>
          <w:numId w:val="31"/>
        </w:numPr>
        <w:contextualSpacing/>
      </w:pPr>
      <w:r w:rsidRPr="007C1C60">
        <w:rPr>
          <w:b/>
          <w:bCs/>
        </w:rPr>
        <w:t>Community Attitudes</w:t>
      </w:r>
      <w:r>
        <w:t xml:space="preserve"> </w:t>
      </w:r>
      <w:r>
        <w:rPr>
          <w:rFonts w:cs="Open Sans"/>
        </w:rPr>
        <w:t>—</w:t>
      </w:r>
      <w:r>
        <w:t xml:space="preserve"> Outcome: Community attitudes support equal inclusion and participation in society for people with disability.</w:t>
      </w:r>
    </w:p>
    <w:bookmarkEnd w:id="12"/>
    <w:p w14:paraId="4C06F3EC" w14:textId="0CAD136B" w:rsidR="00696F06" w:rsidRDefault="00F11019" w:rsidP="004A265E">
      <w:r w:rsidRPr="00740CDB">
        <w:t xml:space="preserve">Australia’s Disability Strategy is still </w:t>
      </w:r>
      <w:r>
        <w:t>in its early stages</w:t>
      </w:r>
      <w:r w:rsidRPr="00740CDB">
        <w:t xml:space="preserve">. </w:t>
      </w:r>
      <w:bookmarkStart w:id="24" w:name="_Toc118299562"/>
      <w:r w:rsidRPr="00740CDB">
        <w:t>The Disability Strategy Advisory Council</w:t>
      </w:r>
      <w:r w:rsidR="004A265E">
        <w:t xml:space="preserve"> was</w:t>
      </w:r>
      <w:r w:rsidRPr="00740CDB">
        <w:t xml:space="preserve"> established in December 2021</w:t>
      </w:r>
      <w:r w:rsidR="00E1709D">
        <w:t>,</w:t>
      </w:r>
      <w:r w:rsidR="004A265E">
        <w:t xml:space="preserve"> with all members being people with disability. The Disability Discrimination Commissioner chairs the Council</w:t>
      </w:r>
      <w:r w:rsidR="00696F06">
        <w:t>. The role of the Council is to</w:t>
      </w:r>
      <w:r w:rsidRPr="00740CDB">
        <w:t xml:space="preserve"> advise</w:t>
      </w:r>
      <w:r w:rsidR="00776D51">
        <w:t xml:space="preserve"> </w:t>
      </w:r>
      <w:r w:rsidRPr="00740CDB">
        <w:t>Australian governments and disability ministers on progress</w:t>
      </w:r>
      <w:r>
        <w:t xml:space="preserve"> against the Strategy’s outcome areas.</w:t>
      </w:r>
      <w:bookmarkEnd w:id="24"/>
    </w:p>
    <w:p w14:paraId="5FABDE69" w14:textId="45288E3B" w:rsidR="002A074F" w:rsidRDefault="5F56171F" w:rsidP="004A265E">
      <w:r>
        <w:t>The Council is</w:t>
      </w:r>
      <w:r w:rsidR="02CF6290">
        <w:t xml:space="preserve"> </w:t>
      </w:r>
      <w:r w:rsidR="0BFCD0D5">
        <w:t>an aspect of</w:t>
      </w:r>
      <w:r w:rsidR="02CF6290">
        <w:t xml:space="preserve"> the</w:t>
      </w:r>
      <w:r w:rsidR="1A16E54C">
        <w:t xml:space="preserve"> Strategy’s governance </w:t>
      </w:r>
      <w:r w:rsidR="1C4C9C4F">
        <w:t>framework</w:t>
      </w:r>
      <w:r w:rsidR="0BFCD0D5">
        <w:t>.</w:t>
      </w:r>
      <w:r w:rsidR="0494260F">
        <w:t xml:space="preserve"> </w:t>
      </w:r>
      <w:r w:rsidR="49016CEE">
        <w:t>So</w:t>
      </w:r>
      <w:r w:rsidR="78347512">
        <w:t>,</w:t>
      </w:r>
      <w:r w:rsidR="49016CEE">
        <w:t xml:space="preserve"> too</w:t>
      </w:r>
      <w:r w:rsidR="78347512">
        <w:t>,</w:t>
      </w:r>
      <w:r w:rsidR="0494260F">
        <w:t xml:space="preserve"> is the recent establishment of Australia’s Disability Strategy branch within the Department of Social Services</w:t>
      </w:r>
      <w:r w:rsidR="6FDF8135">
        <w:t xml:space="preserve"> (DSS)</w:t>
      </w:r>
      <w:r w:rsidR="0494260F">
        <w:t>, which has a co</w:t>
      </w:r>
      <w:r w:rsidR="49016CEE">
        <w:t>-</w:t>
      </w:r>
      <w:r w:rsidR="0494260F">
        <w:t>ordination role.</w:t>
      </w:r>
      <w:r w:rsidR="34527ECD">
        <w:t xml:space="preserve"> </w:t>
      </w:r>
      <w:r w:rsidR="6ACA987C">
        <w:t>To</w:t>
      </w:r>
      <w:r w:rsidR="0C1D9FB0">
        <w:t xml:space="preserve"> avoid </w:t>
      </w:r>
      <w:r w:rsidR="4DBBC292">
        <w:t xml:space="preserve">repeating </w:t>
      </w:r>
      <w:r w:rsidR="37943E45">
        <w:t xml:space="preserve">the </w:t>
      </w:r>
      <w:r w:rsidR="587819EC">
        <w:t>failures of the NDS, t</w:t>
      </w:r>
      <w:r w:rsidR="0D6A7CFD">
        <w:t xml:space="preserve">he Commission recommends the </w:t>
      </w:r>
      <w:r w:rsidR="587819EC">
        <w:t>added</w:t>
      </w:r>
      <w:r w:rsidR="0D6A7CFD">
        <w:t xml:space="preserve"> </w:t>
      </w:r>
      <w:r w:rsidR="512BF504">
        <w:t xml:space="preserve">establishment of an Office of Disability Strategy within the </w:t>
      </w:r>
      <w:r w:rsidR="0D6A7CFD">
        <w:t>Department of Prime Minister and Cabinet</w:t>
      </w:r>
      <w:r w:rsidR="3AED6FF0">
        <w:t xml:space="preserve"> (PM</w:t>
      </w:r>
      <w:r w:rsidR="3C6F55DF">
        <w:t>&amp;</w:t>
      </w:r>
      <w:r w:rsidR="3AED6FF0">
        <w:t>C)</w:t>
      </w:r>
      <w:r w:rsidR="512BF504">
        <w:t xml:space="preserve">. </w:t>
      </w:r>
      <w:r w:rsidR="2ED7C26D">
        <w:t>PM</w:t>
      </w:r>
      <w:r w:rsidR="5D9A0EA6">
        <w:t>&amp;</w:t>
      </w:r>
      <w:r w:rsidR="2ED7C26D">
        <w:t>C</w:t>
      </w:r>
      <w:r w:rsidR="52979039">
        <w:t xml:space="preserve"> is best placed to </w:t>
      </w:r>
      <w:r w:rsidR="37B9D5B1">
        <w:t xml:space="preserve">provide </w:t>
      </w:r>
      <w:r w:rsidR="6FDF8135">
        <w:t xml:space="preserve">independent </w:t>
      </w:r>
      <w:r w:rsidR="37B9D5B1">
        <w:t>oversight of</w:t>
      </w:r>
      <w:r w:rsidR="52979039">
        <w:t xml:space="preserve"> the work </w:t>
      </w:r>
      <w:r w:rsidR="6BA3184B">
        <w:t xml:space="preserve">of government departments </w:t>
      </w:r>
      <w:r w:rsidR="37B9D5B1">
        <w:t>(including DSS</w:t>
      </w:r>
      <w:r w:rsidR="3BC4CD2C">
        <w:t xml:space="preserve">, </w:t>
      </w:r>
      <w:r w:rsidR="524B0EFE">
        <w:t>a</w:t>
      </w:r>
      <w:r w:rsidR="6FDF8135">
        <w:t xml:space="preserve"> service delivery agency)</w:t>
      </w:r>
      <w:r w:rsidR="6BA3184B">
        <w:t xml:space="preserve"> as it relates</w:t>
      </w:r>
      <w:r w:rsidR="52979039">
        <w:t xml:space="preserve"> to the Strategy</w:t>
      </w:r>
      <w:r w:rsidR="0D6A7CFD">
        <w:t xml:space="preserve">. This recommendation is derived from a recommendation </w:t>
      </w:r>
      <w:r w:rsidR="0D6A7CFD" w:rsidRPr="00EC0086">
        <w:t>made by the Senate Community</w:t>
      </w:r>
      <w:r w:rsidR="0D6A7CFD">
        <w:t xml:space="preserve"> Affairs References Committee in its inquiry into the delivery of outcomes under the National Disability Strategy 2010</w:t>
      </w:r>
      <w:r w:rsidR="093F8051">
        <w:t>–</w:t>
      </w:r>
      <w:r w:rsidR="0D6A7CFD">
        <w:t>2020</w:t>
      </w:r>
      <w:r w:rsidR="093F8051">
        <w:t>,</w:t>
      </w:r>
      <w:r w:rsidR="002A074F">
        <w:rPr>
          <w:rStyle w:val="EndnoteReference"/>
        </w:rPr>
        <w:endnoteReference w:id="29"/>
      </w:r>
      <w:r w:rsidR="0D6A7CFD">
        <w:t>and repeated by the CRPD Committee in its 2019 concluding observations.</w:t>
      </w:r>
      <w:r w:rsidR="00CF4410">
        <w:rPr>
          <w:rStyle w:val="EndnoteReference"/>
        </w:rPr>
        <w:endnoteReference w:id="30"/>
      </w:r>
    </w:p>
    <w:p w14:paraId="4299B3C6" w14:textId="49336E6C" w:rsidR="000C1E91" w:rsidRDefault="00F85F24" w:rsidP="004A265E">
      <w:r>
        <w:t xml:space="preserve">In part, implementation of the Strategy will be advanced </w:t>
      </w:r>
      <w:r w:rsidR="002F0044">
        <w:t xml:space="preserve">through the </w:t>
      </w:r>
      <w:r w:rsidR="00BF26A7">
        <w:t>implementation of an Outcomes Framework, Targeted Action Plans and Associated Action Plans.</w:t>
      </w:r>
      <w:r w:rsidR="004F4A57">
        <w:rPr>
          <w:rStyle w:val="EndnoteReference"/>
        </w:rPr>
        <w:endnoteReference w:id="31"/>
      </w:r>
      <w:r w:rsidR="00BF26A7">
        <w:t xml:space="preserve"> </w:t>
      </w:r>
    </w:p>
    <w:p w14:paraId="05DEDBCF" w14:textId="7F63E327" w:rsidR="0095059F" w:rsidRDefault="00C42E05" w:rsidP="004A265E">
      <w:r>
        <w:t>H</w:t>
      </w:r>
      <w:r w:rsidR="004E3C14">
        <w:t>owever</w:t>
      </w:r>
      <w:r w:rsidR="0052649C">
        <w:t xml:space="preserve">, </w:t>
      </w:r>
      <w:r w:rsidR="00140CC3">
        <w:t>additional arrangements are required to</w:t>
      </w:r>
      <w:r w:rsidR="0052649C">
        <w:t xml:space="preserve"> </w:t>
      </w:r>
      <w:r w:rsidR="005561DE">
        <w:t xml:space="preserve">create </w:t>
      </w:r>
      <w:r w:rsidR="00CC369F">
        <w:t xml:space="preserve">a robust </w:t>
      </w:r>
      <w:r w:rsidR="00CD1040">
        <w:t xml:space="preserve">and formal </w:t>
      </w:r>
      <w:r w:rsidR="0095059F">
        <w:t xml:space="preserve">monitoring mechanism. </w:t>
      </w:r>
      <w:r w:rsidR="00F2408B">
        <w:t xml:space="preserve">At present, States and Territories have to agree to the terms of any Outcome Framework, Targeted Action Plan or Associated Action Plan. </w:t>
      </w:r>
      <w:r w:rsidR="000769D0">
        <w:t>This creates a disincentive to set goals or outcome measures that highlight</w:t>
      </w:r>
      <w:r w:rsidR="005F2EA5">
        <w:t xml:space="preserve"> areas of improvement for the different levels of government in Australia. </w:t>
      </w:r>
      <w:r w:rsidR="000769D0">
        <w:t xml:space="preserve"> </w:t>
      </w:r>
    </w:p>
    <w:p w14:paraId="59C58208" w14:textId="1EC940D6" w:rsidR="00F06283" w:rsidRDefault="0095059F" w:rsidP="004A265E">
      <w:pPr>
        <w:rPr>
          <w:b/>
          <w:bCs/>
        </w:rPr>
      </w:pPr>
      <w:r>
        <w:rPr>
          <w:b/>
          <w:bCs/>
        </w:rPr>
        <w:lastRenderedPageBreak/>
        <w:t>Recommendation</w:t>
      </w:r>
      <w:r w:rsidR="000B13CC">
        <w:rPr>
          <w:b/>
          <w:bCs/>
        </w:rPr>
        <w:t xml:space="preserve"> 6</w:t>
      </w:r>
      <w:r>
        <w:rPr>
          <w:b/>
          <w:bCs/>
        </w:rPr>
        <w:t xml:space="preserve">: </w:t>
      </w:r>
      <w:r w:rsidR="00045CE3">
        <w:rPr>
          <w:b/>
          <w:bCs/>
        </w:rPr>
        <w:t>The Australian Government should establish an Office of Disability Strategy</w:t>
      </w:r>
      <w:r w:rsidR="00F06283">
        <w:rPr>
          <w:b/>
          <w:bCs/>
        </w:rPr>
        <w:t xml:space="preserve">, </w:t>
      </w:r>
      <w:r w:rsidR="00B877EE">
        <w:rPr>
          <w:b/>
          <w:bCs/>
        </w:rPr>
        <w:t>that:</w:t>
      </w:r>
    </w:p>
    <w:p w14:paraId="309953C5" w14:textId="29C9060B" w:rsidR="00F06283" w:rsidRPr="008F40DD" w:rsidRDefault="15D85B7A" w:rsidP="00F06283">
      <w:pPr>
        <w:pStyle w:val="ListParagraph"/>
        <w:numPr>
          <w:ilvl w:val="0"/>
          <w:numId w:val="41"/>
        </w:numPr>
      </w:pPr>
      <w:r w:rsidRPr="15363531">
        <w:rPr>
          <w:b/>
          <w:bCs/>
        </w:rPr>
        <w:t xml:space="preserve">sits </w:t>
      </w:r>
      <w:r w:rsidR="25F7B01F" w:rsidRPr="15363531">
        <w:rPr>
          <w:b/>
          <w:bCs/>
        </w:rPr>
        <w:t>within the Department of Prime Minister and Cabinet</w:t>
      </w:r>
      <w:r w:rsidR="11407E3D" w:rsidRPr="15363531">
        <w:rPr>
          <w:b/>
          <w:bCs/>
        </w:rPr>
        <w:t xml:space="preserve"> </w:t>
      </w:r>
      <w:r w:rsidR="1C4C9C4F" w:rsidRPr="15363531">
        <w:rPr>
          <w:b/>
          <w:bCs/>
        </w:rPr>
        <w:t xml:space="preserve">to </w:t>
      </w:r>
      <w:r w:rsidR="1BEA736C" w:rsidRPr="15363531">
        <w:rPr>
          <w:b/>
          <w:bCs/>
        </w:rPr>
        <w:t>provide</w:t>
      </w:r>
      <w:r w:rsidR="7F150F75" w:rsidRPr="15363531">
        <w:rPr>
          <w:b/>
          <w:bCs/>
        </w:rPr>
        <w:t xml:space="preserve"> whole-of-government coordination and </w:t>
      </w:r>
      <w:r w:rsidR="1C4C9C4F" w:rsidRPr="15363531">
        <w:rPr>
          <w:b/>
          <w:bCs/>
        </w:rPr>
        <w:t>increase attention to Australia’s Disability Strategy and the Convention on the Rights of Persons with Disabilities;</w:t>
      </w:r>
    </w:p>
    <w:p w14:paraId="5FF783ED" w14:textId="285F3C17" w:rsidR="00897CBF" w:rsidRPr="008F40DD" w:rsidRDefault="15D85B7A" w:rsidP="00F06283">
      <w:pPr>
        <w:pStyle w:val="ListParagraph"/>
        <w:numPr>
          <w:ilvl w:val="0"/>
          <w:numId w:val="41"/>
        </w:numPr>
      </w:pPr>
      <w:r w:rsidRPr="15363531">
        <w:rPr>
          <w:b/>
          <w:bCs/>
        </w:rPr>
        <w:t>oversee</w:t>
      </w:r>
      <w:r w:rsidR="1C4C9C4F" w:rsidRPr="15363531">
        <w:rPr>
          <w:b/>
          <w:bCs/>
        </w:rPr>
        <w:t>s</w:t>
      </w:r>
      <w:r w:rsidRPr="15363531">
        <w:rPr>
          <w:b/>
          <w:bCs/>
        </w:rPr>
        <w:t xml:space="preserve"> the work of departments in implementing the </w:t>
      </w:r>
      <w:r w:rsidR="1C4C9C4F" w:rsidRPr="15363531">
        <w:rPr>
          <w:b/>
          <w:bCs/>
        </w:rPr>
        <w:t>Strategy and ensures</w:t>
      </w:r>
      <w:r w:rsidR="11407E3D" w:rsidRPr="15363531">
        <w:rPr>
          <w:b/>
          <w:bCs/>
        </w:rPr>
        <w:t xml:space="preserve"> effective coordination </w:t>
      </w:r>
      <w:r w:rsidR="6AFFD4DD" w:rsidRPr="15363531">
        <w:rPr>
          <w:b/>
          <w:bCs/>
        </w:rPr>
        <w:t>between the federal and state levels</w:t>
      </w:r>
      <w:r w:rsidR="1C4C9C4F" w:rsidRPr="15363531">
        <w:rPr>
          <w:b/>
          <w:bCs/>
        </w:rPr>
        <w:t>;</w:t>
      </w:r>
    </w:p>
    <w:p w14:paraId="294CEDE4" w14:textId="39ED0853" w:rsidR="00897CBF" w:rsidRPr="008F40DD" w:rsidRDefault="254A6434" w:rsidP="00F06283">
      <w:pPr>
        <w:pStyle w:val="ListParagraph"/>
        <w:numPr>
          <w:ilvl w:val="0"/>
          <w:numId w:val="41"/>
        </w:numPr>
      </w:pPr>
      <w:r w:rsidRPr="15363531">
        <w:rPr>
          <w:b/>
          <w:bCs/>
        </w:rPr>
        <w:t xml:space="preserve">sets the terms for the Strategy’s </w:t>
      </w:r>
      <w:r w:rsidR="3E8D53D8" w:rsidRPr="15363531">
        <w:rPr>
          <w:b/>
          <w:bCs/>
        </w:rPr>
        <w:t xml:space="preserve">Outcome Framework, </w:t>
      </w:r>
      <w:r w:rsidRPr="15363531">
        <w:rPr>
          <w:b/>
          <w:bCs/>
        </w:rPr>
        <w:t>Targeted Action Plans</w:t>
      </w:r>
      <w:r w:rsidR="4090A9E6" w:rsidRPr="15363531">
        <w:rPr>
          <w:b/>
          <w:bCs/>
        </w:rPr>
        <w:t xml:space="preserve"> and Associated Action Plans</w:t>
      </w:r>
      <w:r w:rsidRPr="15363531">
        <w:rPr>
          <w:b/>
          <w:bCs/>
        </w:rPr>
        <w:t>;</w:t>
      </w:r>
    </w:p>
    <w:p w14:paraId="67DF55B7" w14:textId="74D98118" w:rsidR="00F11019" w:rsidRDefault="1C4C9C4F" w:rsidP="008F40DD">
      <w:pPr>
        <w:pStyle w:val="ListParagraph"/>
        <w:numPr>
          <w:ilvl w:val="0"/>
          <w:numId w:val="41"/>
        </w:numPr>
      </w:pPr>
      <w:r w:rsidRPr="15363531">
        <w:rPr>
          <w:b/>
          <w:bCs/>
        </w:rPr>
        <w:t>is properly resourced</w:t>
      </w:r>
      <w:r w:rsidR="254A6434" w:rsidRPr="15363531">
        <w:rPr>
          <w:b/>
          <w:bCs/>
        </w:rPr>
        <w:t xml:space="preserve"> and provided with the necessary authority</w:t>
      </w:r>
      <w:r w:rsidRPr="15363531">
        <w:rPr>
          <w:b/>
          <w:bCs/>
        </w:rPr>
        <w:t xml:space="preserve"> to fulfil the above mandate.</w:t>
      </w:r>
      <w:r w:rsidR="407BD409">
        <w:t xml:space="preserve">  </w:t>
      </w:r>
    </w:p>
    <w:p w14:paraId="0DCE5E5C" w14:textId="758CCFE5" w:rsidR="00F05FC6" w:rsidRDefault="002E6650" w:rsidP="002E6650">
      <w:pPr>
        <w:pStyle w:val="AHRCHeading2"/>
      </w:pPr>
      <w:bookmarkStart w:id="25" w:name="_Toc122679378"/>
      <w:bookmarkEnd w:id="22"/>
      <w:r>
        <w:t xml:space="preserve">Article 7: </w:t>
      </w:r>
      <w:r w:rsidR="00F05FC6">
        <w:t>Children with disabilities</w:t>
      </w:r>
      <w:bookmarkEnd w:id="25"/>
      <w:r w:rsidR="00F05FC6">
        <w:t xml:space="preserve"> </w:t>
      </w:r>
    </w:p>
    <w:p w14:paraId="5C145634" w14:textId="198A1F88" w:rsidR="00742362" w:rsidRDefault="00A14524" w:rsidP="009E2BE2">
      <w:r>
        <w:t>Australia</w:t>
      </w:r>
      <w:r w:rsidR="002B53E3">
        <w:t xml:space="preserve"> has</w:t>
      </w:r>
      <w:r>
        <w:t xml:space="preserve"> obligations </w:t>
      </w:r>
      <w:r w:rsidR="002B53E3">
        <w:t>to uphold</w:t>
      </w:r>
      <w:r>
        <w:t xml:space="preserve"> both Article 7 of the CRPD, and </w:t>
      </w:r>
      <w:r w:rsidR="004D2078">
        <w:t>Article 23 under the Convention on the Rights of the Child</w:t>
      </w:r>
      <w:r w:rsidR="00A83C61">
        <w:t xml:space="preserve"> (CRC)</w:t>
      </w:r>
      <w:r w:rsidR="002365D8">
        <w:t xml:space="preserve">, </w:t>
      </w:r>
      <w:r w:rsidR="00324809">
        <w:t>which concerns the rights of children with disabilities</w:t>
      </w:r>
      <w:r w:rsidR="002B53E3">
        <w:t xml:space="preserve">. </w:t>
      </w:r>
      <w:r w:rsidR="00EF46A9">
        <w:t>D</w:t>
      </w:r>
      <w:r w:rsidR="00324809">
        <w:t xml:space="preserve">espite these obligations, </w:t>
      </w:r>
      <w:r w:rsidRPr="00A14524">
        <w:t>there is an implementation gap between the</w:t>
      </w:r>
      <w:r w:rsidR="00A83C61">
        <w:t>se</w:t>
      </w:r>
      <w:r w:rsidRPr="00A14524">
        <w:t xml:space="preserve"> human rights that Australian governments have agreed to uphold, and the actual protections in our laws, policies and processes of government. Both the CRPD and the CRC have been implemented in domestic legislation in limited form. </w:t>
      </w:r>
    </w:p>
    <w:p w14:paraId="60E116E5" w14:textId="449D87ED" w:rsidR="0074590D" w:rsidRDefault="00742362" w:rsidP="009E2BE2">
      <w:r>
        <w:t>While</w:t>
      </w:r>
      <w:r w:rsidR="00A14524" w:rsidRPr="00A14524">
        <w:t xml:space="preserve"> the Commission can investigate and conciliate complaints of breaches of human rights in the CRPD and the CRC</w:t>
      </w:r>
      <w:r>
        <w:t>,</w:t>
      </w:r>
      <w:r w:rsidR="00A14524" w:rsidRPr="00A14524">
        <w:t xml:space="preserve"> </w:t>
      </w:r>
      <w:r w:rsidRPr="00A14524">
        <w:t>there is no right</w:t>
      </w:r>
      <w:r>
        <w:t xml:space="preserve"> for an aggrieved complainant</w:t>
      </w:r>
      <w:r w:rsidRPr="00A14524">
        <w:t xml:space="preserve"> to go to court or to get a remedy </w:t>
      </w:r>
      <w:r w:rsidR="00A14524" w:rsidRPr="00A14524">
        <w:t xml:space="preserve">if the government does not agree to negotiate an outcome for the person. </w:t>
      </w:r>
      <w:r w:rsidR="000E43BD">
        <w:t>This is in contrast to matters covered as ‘unlawful discrimination’ under the Disability Discrimination Act.</w:t>
      </w:r>
    </w:p>
    <w:p w14:paraId="5AA1D5CC" w14:textId="3C55025F" w:rsidR="009E2BE2" w:rsidRDefault="009E2BE2" w:rsidP="009E2BE2">
      <w:pPr>
        <w:rPr>
          <w:rStyle w:val="normaltextrun"/>
          <w:rFonts w:cs="Open Sans"/>
          <w:b/>
          <w:bCs/>
          <w:color w:val="000000"/>
          <w:shd w:val="clear" w:color="auto" w:fill="FFFFFF"/>
        </w:rPr>
      </w:pPr>
      <w:r>
        <w:rPr>
          <w:rStyle w:val="normaltextrun"/>
          <w:rFonts w:cs="Open Sans"/>
          <w:b/>
          <w:bCs/>
          <w:color w:val="000000"/>
          <w:shd w:val="clear" w:color="auto" w:fill="FFFFFF"/>
        </w:rPr>
        <w:t>Recommendation</w:t>
      </w:r>
      <w:r w:rsidR="006D7173">
        <w:rPr>
          <w:rStyle w:val="normaltextrun"/>
          <w:rFonts w:cs="Open Sans"/>
          <w:b/>
          <w:bCs/>
          <w:color w:val="000000"/>
          <w:shd w:val="clear" w:color="auto" w:fill="FFFFFF"/>
        </w:rPr>
        <w:t xml:space="preserve"> 7</w:t>
      </w:r>
      <w:r>
        <w:rPr>
          <w:rStyle w:val="normaltextrun"/>
          <w:rFonts w:cs="Open Sans"/>
          <w:b/>
          <w:bCs/>
          <w:color w:val="000000"/>
          <w:shd w:val="clear" w:color="auto" w:fill="FFFFFF"/>
        </w:rPr>
        <w:t xml:space="preserve">: The Australian Government </w:t>
      </w:r>
      <w:r w:rsidR="004E00E7">
        <w:rPr>
          <w:rStyle w:val="normaltextrun"/>
          <w:rFonts w:cs="Open Sans"/>
          <w:b/>
          <w:bCs/>
          <w:color w:val="000000"/>
          <w:shd w:val="clear" w:color="auto" w:fill="FFFFFF"/>
        </w:rPr>
        <w:t xml:space="preserve">should </w:t>
      </w:r>
      <w:r>
        <w:rPr>
          <w:rStyle w:val="normaltextrun"/>
          <w:rFonts w:cs="Open Sans"/>
          <w:b/>
          <w:bCs/>
          <w:color w:val="000000"/>
          <w:shd w:val="clear" w:color="auto" w:fill="FFFFFF"/>
        </w:rPr>
        <w:t>bring domestic laws and practice into conformity with the principles and provisions of the CRC and CRPD, including by ensuring that effective remedies are available.</w:t>
      </w:r>
    </w:p>
    <w:p w14:paraId="088A178B" w14:textId="1529DF69" w:rsidR="00923C64" w:rsidRDefault="5C1BAF60" w:rsidP="009E2BE2">
      <w:pPr>
        <w:rPr>
          <w:rStyle w:val="eop"/>
          <w:rFonts w:cs="Open Sans"/>
          <w:color w:val="000000"/>
          <w:shd w:val="clear" w:color="auto" w:fill="FFFFFF"/>
        </w:rPr>
      </w:pPr>
      <w:r>
        <w:rPr>
          <w:rStyle w:val="normaltextrun"/>
          <w:rFonts w:cs="Open Sans"/>
          <w:b/>
          <w:bCs/>
          <w:color w:val="000000"/>
          <w:shd w:val="clear" w:color="auto" w:fill="FFFFFF"/>
        </w:rPr>
        <w:t>Recommendation</w:t>
      </w:r>
      <w:r w:rsidR="0C78C432" w:rsidRPr="15363531">
        <w:rPr>
          <w:rStyle w:val="normaltextrun"/>
          <w:rFonts w:cs="Open Sans"/>
          <w:b/>
          <w:bCs/>
          <w:color w:val="000000" w:themeColor="text1"/>
        </w:rPr>
        <w:t xml:space="preserve"> 8</w:t>
      </w:r>
      <w:r>
        <w:rPr>
          <w:rStyle w:val="normaltextrun"/>
          <w:rFonts w:cs="Open Sans"/>
          <w:b/>
          <w:bCs/>
          <w:color w:val="000000"/>
          <w:shd w:val="clear" w:color="auto" w:fill="FFFFFF"/>
        </w:rPr>
        <w:t xml:space="preserve">: </w:t>
      </w:r>
      <w:r w:rsidR="7CCCF0C2">
        <w:rPr>
          <w:rStyle w:val="normaltextrun"/>
          <w:rFonts w:cs="Open Sans"/>
          <w:b/>
          <w:bCs/>
          <w:color w:val="000000"/>
          <w:shd w:val="clear" w:color="auto" w:fill="FFFFFF"/>
        </w:rPr>
        <w:t>The Australian</w:t>
      </w:r>
      <w:r w:rsidR="40D87BDC">
        <w:rPr>
          <w:rStyle w:val="normaltextrun"/>
          <w:rFonts w:cs="Open Sans"/>
          <w:b/>
          <w:bCs/>
          <w:color w:val="000000"/>
          <w:shd w:val="clear" w:color="auto" w:fill="FFFFFF"/>
        </w:rPr>
        <w:t>, State and Territory Governments should seek and take into account t</w:t>
      </w:r>
      <w:r>
        <w:rPr>
          <w:rStyle w:val="normaltextrun"/>
          <w:rFonts w:cs="Open Sans"/>
          <w:b/>
          <w:bCs/>
          <w:color w:val="000000"/>
          <w:shd w:val="clear" w:color="auto" w:fill="FFFFFF"/>
        </w:rPr>
        <w:t>he views and experiences of children and young people with disability, and their families, when developing and monitoring laws, policies and practices</w:t>
      </w:r>
      <w:r w:rsidR="0CF39C3D">
        <w:rPr>
          <w:rStyle w:val="normaltextrun"/>
          <w:rFonts w:cs="Open Sans"/>
          <w:b/>
          <w:bCs/>
          <w:color w:val="000000"/>
          <w:shd w:val="clear" w:color="auto" w:fill="FFFFFF"/>
        </w:rPr>
        <w:t xml:space="preserve"> that affect them</w:t>
      </w:r>
      <w:r>
        <w:rPr>
          <w:rStyle w:val="normaltextrun"/>
          <w:rFonts w:cs="Open Sans"/>
          <w:b/>
          <w:bCs/>
          <w:color w:val="000000"/>
          <w:shd w:val="clear" w:color="auto" w:fill="FFFFFF"/>
        </w:rPr>
        <w:t>, including through consultations, interviews, forums, youth groups, advisory groups, and surveys.</w:t>
      </w:r>
      <w:r>
        <w:rPr>
          <w:rStyle w:val="eop"/>
          <w:rFonts w:cs="Open Sans"/>
          <w:color w:val="000000"/>
          <w:shd w:val="clear" w:color="auto" w:fill="FFFFFF"/>
        </w:rPr>
        <w:t> </w:t>
      </w:r>
    </w:p>
    <w:p w14:paraId="5EE73486" w14:textId="34AE4C6A" w:rsidR="0069772F" w:rsidRPr="0069772F" w:rsidRDefault="3B6E21F9" w:rsidP="0069772F">
      <w:pPr>
        <w:rPr>
          <w:rStyle w:val="eop"/>
          <w:rFonts w:cs="Open Sans"/>
          <w:color w:val="000000"/>
          <w:shd w:val="clear" w:color="auto" w:fill="FFFFFF"/>
        </w:rPr>
      </w:pPr>
      <w:r w:rsidRPr="0069772F">
        <w:rPr>
          <w:rStyle w:val="eop"/>
          <w:rFonts w:cs="Open Sans"/>
          <w:color w:val="000000"/>
          <w:shd w:val="clear" w:color="auto" w:fill="FFFFFF"/>
        </w:rPr>
        <w:t>In</w:t>
      </w:r>
      <w:r w:rsidR="4EFBA529">
        <w:rPr>
          <w:rStyle w:val="eop"/>
          <w:rFonts w:cs="Open Sans"/>
          <w:color w:val="000000"/>
          <w:shd w:val="clear" w:color="auto" w:fill="FFFFFF"/>
        </w:rPr>
        <w:t xml:space="preserve"> the </w:t>
      </w:r>
      <w:r w:rsidR="589AEADC" w:rsidRPr="15363531">
        <w:rPr>
          <w:rStyle w:val="eop"/>
          <w:rFonts w:cs="Open Sans"/>
          <w:color w:val="000000" w:themeColor="text1"/>
        </w:rPr>
        <w:t xml:space="preserve">National Children’s </w:t>
      </w:r>
      <w:r w:rsidR="4EFBA529">
        <w:rPr>
          <w:rStyle w:val="eop"/>
          <w:rFonts w:cs="Open Sans"/>
          <w:color w:val="000000"/>
          <w:shd w:val="clear" w:color="auto" w:fill="FFFFFF"/>
        </w:rPr>
        <w:t>Commission</w:t>
      </w:r>
      <w:r w:rsidR="589AEADC" w:rsidRPr="15363531">
        <w:rPr>
          <w:rStyle w:val="eop"/>
          <w:rFonts w:cs="Open Sans"/>
          <w:color w:val="000000" w:themeColor="text1"/>
        </w:rPr>
        <w:t>er</w:t>
      </w:r>
      <w:r w:rsidR="4EFBA529">
        <w:rPr>
          <w:rStyle w:val="eop"/>
          <w:rFonts w:cs="Open Sans"/>
          <w:color w:val="000000"/>
          <w:shd w:val="clear" w:color="auto" w:fill="FFFFFF"/>
        </w:rPr>
        <w:t>’s</w:t>
      </w:r>
      <w:r w:rsidRPr="0069772F">
        <w:rPr>
          <w:rStyle w:val="eop"/>
          <w:rFonts w:cs="Open Sans"/>
          <w:color w:val="000000"/>
          <w:shd w:val="clear" w:color="auto" w:fill="FFFFFF"/>
        </w:rPr>
        <w:t xml:space="preserve"> </w:t>
      </w:r>
      <w:r w:rsidR="77D54F27" w:rsidRPr="15363531">
        <w:rPr>
          <w:rStyle w:val="eop"/>
          <w:rFonts w:cs="Open Sans"/>
          <w:color w:val="000000" w:themeColor="text1"/>
        </w:rPr>
        <w:t xml:space="preserve">[date] </w:t>
      </w:r>
      <w:r w:rsidR="589AEADC" w:rsidRPr="15363531">
        <w:rPr>
          <w:rStyle w:val="eop"/>
          <w:rFonts w:cs="Open Sans"/>
          <w:color w:val="000000" w:themeColor="text1"/>
        </w:rPr>
        <w:t xml:space="preserve">report </w:t>
      </w:r>
      <w:r w:rsidR="01B8C909" w:rsidRPr="15363531">
        <w:rPr>
          <w:rStyle w:val="eop"/>
          <w:rFonts w:cs="Open Sans"/>
          <w:color w:val="000000" w:themeColor="text1"/>
        </w:rPr>
        <w:t>‘</w:t>
      </w:r>
      <w:r w:rsidRPr="15363531">
        <w:rPr>
          <w:rStyle w:val="eop"/>
          <w:i/>
          <w:iCs/>
          <w:color w:val="000000"/>
          <w:shd w:val="clear" w:color="auto" w:fill="FFFFFF"/>
        </w:rPr>
        <w:t>Keeping Kids Safe and Well</w:t>
      </w:r>
      <w:r w:rsidR="01B8C909" w:rsidRPr="15363531">
        <w:rPr>
          <w:rStyle w:val="eop"/>
          <w:i/>
          <w:iCs/>
          <w:color w:val="000000" w:themeColor="text1"/>
        </w:rPr>
        <w:t xml:space="preserve"> </w:t>
      </w:r>
      <w:r w:rsidR="08953733" w:rsidRPr="15363531">
        <w:rPr>
          <w:rStyle w:val="eop"/>
          <w:i/>
          <w:iCs/>
          <w:color w:val="000000" w:themeColor="text1"/>
        </w:rPr>
        <w:t>–</w:t>
      </w:r>
      <w:r w:rsidR="01B8C909" w:rsidRPr="15363531">
        <w:rPr>
          <w:rStyle w:val="eop"/>
          <w:i/>
          <w:iCs/>
          <w:color w:val="000000" w:themeColor="text1"/>
        </w:rPr>
        <w:t xml:space="preserve"> </w:t>
      </w:r>
      <w:r w:rsidR="589AEADC" w:rsidRPr="15363531">
        <w:rPr>
          <w:rStyle w:val="eop"/>
          <w:i/>
          <w:iCs/>
          <w:color w:val="000000" w:themeColor="text1"/>
        </w:rPr>
        <w:t>Your Voices</w:t>
      </w:r>
      <w:r w:rsidR="01B8C909" w:rsidRPr="15363531">
        <w:rPr>
          <w:rStyle w:val="eop"/>
          <w:i/>
          <w:iCs/>
          <w:color w:val="000000" w:themeColor="text1"/>
        </w:rPr>
        <w:t>’</w:t>
      </w:r>
      <w:r w:rsidRPr="0069772F">
        <w:rPr>
          <w:rStyle w:val="eop"/>
          <w:rFonts w:cs="Open Sans"/>
          <w:color w:val="000000"/>
          <w:shd w:val="clear" w:color="auto" w:fill="FFFFFF"/>
        </w:rPr>
        <w:t xml:space="preserve">, children and young people with disabilities and their families, as </w:t>
      </w:r>
      <w:r w:rsidRPr="0069772F">
        <w:rPr>
          <w:rStyle w:val="eop"/>
          <w:rFonts w:cs="Open Sans"/>
          <w:color w:val="000000"/>
          <w:shd w:val="clear" w:color="auto" w:fill="FFFFFF"/>
        </w:rPr>
        <w:lastRenderedPageBreak/>
        <w:t xml:space="preserve">well as families where one or both parents have disabilities, mentioned multiple complex issues apart from the disability, including lack of access to mental health services, income support and housing and significant barriers </w:t>
      </w:r>
      <w:r w:rsidR="27040D6D" w:rsidRPr="0069772F">
        <w:rPr>
          <w:rStyle w:val="eop"/>
          <w:rFonts w:cs="Open Sans"/>
          <w:color w:val="000000"/>
          <w:shd w:val="clear" w:color="auto" w:fill="FFFFFF"/>
        </w:rPr>
        <w:t xml:space="preserve">to </w:t>
      </w:r>
      <w:r w:rsidRPr="0069772F">
        <w:rPr>
          <w:rStyle w:val="eop"/>
          <w:rFonts w:cs="Open Sans"/>
          <w:color w:val="000000"/>
          <w:shd w:val="clear" w:color="auto" w:fill="FFFFFF"/>
        </w:rPr>
        <w:t>accessing education</w:t>
      </w:r>
      <w:r w:rsidR="5E5FEF31" w:rsidRPr="15363531">
        <w:rPr>
          <w:rStyle w:val="eop"/>
          <w:rFonts w:cs="Open Sans"/>
          <w:color w:val="000000" w:themeColor="text1"/>
        </w:rPr>
        <w:t xml:space="preserve"> </w:t>
      </w:r>
      <w:r w:rsidR="1E5779BD" w:rsidRPr="15363531">
        <w:rPr>
          <w:rStyle w:val="eop"/>
          <w:rFonts w:cs="Open Sans"/>
          <w:color w:val="000000" w:themeColor="text1"/>
        </w:rPr>
        <w:t>that affect their wellbeing</w:t>
      </w:r>
      <w:r w:rsidRPr="0069772F">
        <w:rPr>
          <w:rStyle w:val="eop"/>
          <w:rFonts w:cs="Open Sans"/>
          <w:color w:val="000000"/>
          <w:shd w:val="clear" w:color="auto" w:fill="FFFFFF"/>
        </w:rPr>
        <w:t xml:space="preserve">. </w:t>
      </w:r>
    </w:p>
    <w:p w14:paraId="6ACFF555" w14:textId="3FE554AF" w:rsidR="0069772F" w:rsidRDefault="0069772F" w:rsidP="0069772F">
      <w:pPr>
        <w:rPr>
          <w:rStyle w:val="superscript"/>
          <w:rFonts w:cs="Open Sans"/>
          <w:color w:val="000000"/>
          <w:sz w:val="16"/>
          <w:szCs w:val="16"/>
          <w:shd w:val="clear" w:color="auto" w:fill="FFFFFF"/>
          <w:vertAlign w:val="superscript"/>
        </w:rPr>
      </w:pPr>
      <w:r w:rsidRPr="0069772F">
        <w:rPr>
          <w:rStyle w:val="eop"/>
          <w:rFonts w:cs="Open Sans"/>
          <w:color w:val="000000"/>
          <w:shd w:val="clear" w:color="auto" w:fill="FFFFFF"/>
        </w:rPr>
        <w:t xml:space="preserve">Children and young people with disabilities and their families told </w:t>
      </w:r>
      <w:r w:rsidR="00DD7362">
        <w:rPr>
          <w:rStyle w:val="eop"/>
          <w:rFonts w:cs="Open Sans"/>
          <w:color w:val="000000"/>
          <w:shd w:val="clear" w:color="auto" w:fill="FFFFFF"/>
        </w:rPr>
        <w:t xml:space="preserve">the </w:t>
      </w:r>
      <w:r w:rsidR="00E00328">
        <w:rPr>
          <w:rStyle w:val="eop"/>
          <w:rFonts w:cs="Open Sans"/>
          <w:color w:val="000000"/>
          <w:shd w:val="clear" w:color="auto" w:fill="FFFFFF"/>
        </w:rPr>
        <w:t xml:space="preserve">National Children’s Commissioner </w:t>
      </w:r>
      <w:r w:rsidRPr="0069772F">
        <w:rPr>
          <w:rStyle w:val="eop"/>
          <w:rFonts w:cs="Open Sans"/>
          <w:color w:val="000000"/>
          <w:shd w:val="clear" w:color="auto" w:fill="FFFFFF"/>
        </w:rPr>
        <w:t>that they faced barriers when trying to access the services and supports they need. This includes access to the support they need at school and in education settings, and navigating systems such as Centrelink, housing and the</w:t>
      </w:r>
      <w:r w:rsidR="0085637A">
        <w:rPr>
          <w:rStyle w:val="normaltextrun"/>
          <w:rFonts w:cs="Open Sans"/>
          <w:color w:val="000000"/>
          <w:shd w:val="clear" w:color="auto" w:fill="FFFFFF"/>
        </w:rPr>
        <w:t xml:space="preserve"> NDIS.</w:t>
      </w:r>
      <w:r w:rsidR="00696E5B">
        <w:rPr>
          <w:rStyle w:val="EndnoteReference"/>
          <w:rFonts w:cs="Open Sans"/>
          <w:color w:val="000000"/>
          <w:shd w:val="clear" w:color="auto" w:fill="FFFFFF"/>
        </w:rPr>
        <w:endnoteReference w:id="32"/>
      </w:r>
      <w:r w:rsidR="00B7248B">
        <w:rPr>
          <w:rStyle w:val="normaltextrun"/>
          <w:rFonts w:cs="Open Sans"/>
          <w:color w:val="000000"/>
          <w:shd w:val="clear" w:color="auto" w:fill="FFFFFF"/>
        </w:rPr>
        <w:t xml:space="preserve"> </w:t>
      </w:r>
    </w:p>
    <w:p w14:paraId="6BFB8E99" w14:textId="4362E730" w:rsidR="00060071" w:rsidRPr="00060071" w:rsidRDefault="00060071" w:rsidP="00060071">
      <w:pPr>
        <w:rPr>
          <w:rStyle w:val="eop"/>
          <w:rFonts w:cs="Open Sans"/>
          <w:b/>
          <w:bCs/>
          <w:color w:val="000000"/>
          <w:shd w:val="clear" w:color="auto" w:fill="FFFFFF"/>
        </w:rPr>
      </w:pPr>
      <w:r w:rsidRPr="00060071">
        <w:rPr>
          <w:rStyle w:val="eop"/>
          <w:rFonts w:cs="Open Sans"/>
          <w:b/>
          <w:bCs/>
          <w:color w:val="000000"/>
          <w:shd w:val="clear" w:color="auto" w:fill="FFFFFF"/>
        </w:rPr>
        <w:t>Recommendation</w:t>
      </w:r>
      <w:r w:rsidR="001736B5">
        <w:rPr>
          <w:rStyle w:val="eop"/>
          <w:rFonts w:cs="Open Sans"/>
          <w:b/>
          <w:bCs/>
          <w:color w:val="000000"/>
          <w:shd w:val="clear" w:color="auto" w:fill="FFFFFF"/>
        </w:rPr>
        <w:t xml:space="preserve"> 9</w:t>
      </w:r>
      <w:r w:rsidRPr="00060071">
        <w:rPr>
          <w:rStyle w:val="eop"/>
          <w:rFonts w:cs="Open Sans"/>
          <w:b/>
          <w:bCs/>
          <w:color w:val="000000"/>
          <w:shd w:val="clear" w:color="auto" w:fill="FFFFFF"/>
        </w:rPr>
        <w:t xml:space="preserve">: Service providers that receive government funding </w:t>
      </w:r>
      <w:r w:rsidR="00635042">
        <w:rPr>
          <w:rStyle w:val="eop"/>
          <w:rFonts w:cs="Open Sans"/>
          <w:b/>
          <w:bCs/>
          <w:color w:val="000000"/>
          <w:shd w:val="clear" w:color="auto" w:fill="FFFFFF"/>
        </w:rPr>
        <w:t xml:space="preserve">should </w:t>
      </w:r>
      <w:r w:rsidRPr="00060071">
        <w:rPr>
          <w:rStyle w:val="eop"/>
          <w:rFonts w:cs="Open Sans"/>
          <w:b/>
          <w:bCs/>
          <w:color w:val="000000"/>
          <w:shd w:val="clear" w:color="auto" w:fill="FFFFFF"/>
        </w:rPr>
        <w:t xml:space="preserve">ensure that </w:t>
      </w:r>
      <w:r w:rsidR="00F736BE">
        <w:rPr>
          <w:rStyle w:val="eop"/>
          <w:rFonts w:cs="Open Sans"/>
          <w:b/>
          <w:bCs/>
          <w:color w:val="000000"/>
          <w:shd w:val="clear" w:color="auto" w:fill="FFFFFF"/>
        </w:rPr>
        <w:t>the service</w:t>
      </w:r>
      <w:r w:rsidR="004D7E11">
        <w:rPr>
          <w:rStyle w:val="eop"/>
          <w:rFonts w:cs="Open Sans"/>
          <w:b/>
          <w:bCs/>
          <w:color w:val="000000"/>
          <w:shd w:val="clear" w:color="auto" w:fill="FFFFFF"/>
        </w:rPr>
        <w:t xml:space="preserve"> delivery systems</w:t>
      </w:r>
      <w:r w:rsidR="00F736BE">
        <w:rPr>
          <w:rStyle w:val="eop"/>
          <w:rFonts w:cs="Open Sans"/>
          <w:b/>
          <w:bCs/>
          <w:color w:val="000000"/>
          <w:shd w:val="clear" w:color="auto" w:fill="FFFFFF"/>
        </w:rPr>
        <w:t xml:space="preserve"> are designed </w:t>
      </w:r>
      <w:r w:rsidR="00247183">
        <w:rPr>
          <w:rStyle w:val="eop"/>
          <w:rFonts w:cs="Open Sans"/>
          <w:b/>
          <w:bCs/>
          <w:color w:val="000000"/>
          <w:shd w:val="clear" w:color="auto" w:fill="FFFFFF"/>
        </w:rPr>
        <w:t xml:space="preserve">in accordance with the expressed needs of </w:t>
      </w:r>
      <w:r w:rsidRPr="00060071">
        <w:rPr>
          <w:rStyle w:val="eop"/>
          <w:rFonts w:cs="Open Sans"/>
          <w:b/>
          <w:bCs/>
          <w:color w:val="000000"/>
          <w:shd w:val="clear" w:color="auto" w:fill="FFFFFF"/>
        </w:rPr>
        <w:t xml:space="preserve">children, young people, and families with </w:t>
      </w:r>
      <w:r w:rsidR="00771728">
        <w:rPr>
          <w:rStyle w:val="eop"/>
          <w:rFonts w:cs="Open Sans"/>
          <w:b/>
          <w:bCs/>
          <w:color w:val="000000"/>
          <w:shd w:val="clear" w:color="auto" w:fill="FFFFFF"/>
        </w:rPr>
        <w:t>p</w:t>
      </w:r>
      <w:r w:rsidR="00ED338C">
        <w:rPr>
          <w:rStyle w:val="eop"/>
          <w:rFonts w:cs="Open Sans"/>
          <w:b/>
          <w:bCs/>
          <w:color w:val="000000"/>
          <w:shd w:val="clear" w:color="auto" w:fill="FFFFFF"/>
        </w:rPr>
        <w:t xml:space="preserve">eople with </w:t>
      </w:r>
      <w:r w:rsidRPr="00060071">
        <w:rPr>
          <w:rStyle w:val="eop"/>
          <w:rFonts w:cs="Open Sans"/>
          <w:b/>
          <w:bCs/>
          <w:color w:val="000000"/>
          <w:shd w:val="clear" w:color="auto" w:fill="FFFFFF"/>
        </w:rPr>
        <w:t xml:space="preserve">disabilities </w:t>
      </w:r>
      <w:r w:rsidR="00ED338C">
        <w:rPr>
          <w:rStyle w:val="eop"/>
          <w:rFonts w:cs="Open Sans"/>
          <w:b/>
          <w:bCs/>
          <w:color w:val="000000"/>
          <w:shd w:val="clear" w:color="auto" w:fill="FFFFFF"/>
        </w:rPr>
        <w:t xml:space="preserve">in them </w:t>
      </w:r>
      <w:r w:rsidR="003C2533">
        <w:rPr>
          <w:rStyle w:val="eop"/>
          <w:rFonts w:cs="Open Sans"/>
          <w:b/>
          <w:bCs/>
          <w:color w:val="000000"/>
          <w:shd w:val="clear" w:color="auto" w:fill="FFFFFF"/>
        </w:rPr>
        <w:t xml:space="preserve">to ensure that they </w:t>
      </w:r>
      <w:r w:rsidRPr="00060071">
        <w:rPr>
          <w:rStyle w:val="eop"/>
          <w:rFonts w:cs="Open Sans"/>
          <w:b/>
          <w:bCs/>
          <w:color w:val="000000"/>
          <w:shd w:val="clear" w:color="auto" w:fill="FFFFFF"/>
        </w:rPr>
        <w:t xml:space="preserve">are </w:t>
      </w:r>
      <w:r w:rsidR="00B16387">
        <w:rPr>
          <w:rStyle w:val="eop"/>
          <w:rFonts w:cs="Open Sans"/>
          <w:b/>
          <w:bCs/>
          <w:color w:val="000000"/>
          <w:shd w:val="clear" w:color="auto" w:fill="FFFFFF"/>
        </w:rPr>
        <w:t>able</w:t>
      </w:r>
      <w:r w:rsidRPr="00060071">
        <w:rPr>
          <w:rStyle w:val="eop"/>
          <w:rFonts w:cs="Open Sans"/>
          <w:b/>
          <w:bCs/>
          <w:color w:val="000000"/>
          <w:shd w:val="clear" w:color="auto" w:fill="FFFFFF"/>
        </w:rPr>
        <w:t xml:space="preserve"> to</w:t>
      </w:r>
      <w:r w:rsidR="00B16387">
        <w:rPr>
          <w:rStyle w:val="eop"/>
          <w:rFonts w:cs="Open Sans"/>
          <w:b/>
          <w:bCs/>
          <w:color w:val="000000"/>
          <w:shd w:val="clear" w:color="auto" w:fill="FFFFFF"/>
        </w:rPr>
        <w:t xml:space="preserve"> access</w:t>
      </w:r>
      <w:r w:rsidRPr="00060071">
        <w:rPr>
          <w:rStyle w:val="eop"/>
          <w:rFonts w:cs="Open Sans"/>
          <w:b/>
          <w:bCs/>
          <w:color w:val="000000"/>
          <w:shd w:val="clear" w:color="auto" w:fill="FFFFFF"/>
        </w:rPr>
        <w:t xml:space="preserve"> the services and supports they need.  </w:t>
      </w:r>
    </w:p>
    <w:p w14:paraId="50AE7D4F" w14:textId="207F69F3" w:rsidR="003B7B9B" w:rsidRDefault="68E8DC28" w:rsidP="00060071">
      <w:pPr>
        <w:rPr>
          <w:rStyle w:val="eop"/>
          <w:rFonts w:cs="Open Sans"/>
          <w:b/>
          <w:bCs/>
          <w:color w:val="000000"/>
          <w:shd w:val="clear" w:color="auto" w:fill="FFFFFF"/>
        </w:rPr>
      </w:pPr>
      <w:r w:rsidRPr="00060071">
        <w:rPr>
          <w:rStyle w:val="eop"/>
          <w:rFonts w:cs="Open Sans"/>
          <w:b/>
          <w:bCs/>
          <w:color w:val="000000"/>
          <w:shd w:val="clear" w:color="auto" w:fill="FFFFFF"/>
        </w:rPr>
        <w:t>Recommendation</w:t>
      </w:r>
      <w:r w:rsidR="62707E2A" w:rsidRPr="15363531">
        <w:rPr>
          <w:rStyle w:val="eop"/>
          <w:rFonts w:cs="Open Sans"/>
          <w:b/>
          <w:bCs/>
          <w:color w:val="000000" w:themeColor="text1"/>
        </w:rPr>
        <w:t xml:space="preserve"> 10</w:t>
      </w:r>
      <w:r w:rsidRPr="00060071">
        <w:rPr>
          <w:rStyle w:val="eop"/>
          <w:rFonts w:cs="Open Sans"/>
          <w:b/>
          <w:bCs/>
          <w:color w:val="000000"/>
          <w:shd w:val="clear" w:color="auto" w:fill="FFFFFF"/>
        </w:rPr>
        <w:t xml:space="preserve">: Services for diagnosing disability in children and young people </w:t>
      </w:r>
      <w:r w:rsidR="40D87BDC">
        <w:rPr>
          <w:rStyle w:val="eop"/>
          <w:rFonts w:cs="Open Sans"/>
          <w:b/>
          <w:bCs/>
          <w:color w:val="000000"/>
          <w:shd w:val="clear" w:color="auto" w:fill="FFFFFF"/>
        </w:rPr>
        <w:t>should be</w:t>
      </w:r>
      <w:r w:rsidR="40D87BDC" w:rsidRPr="00060071">
        <w:rPr>
          <w:rStyle w:val="eop"/>
          <w:rFonts w:cs="Open Sans"/>
          <w:b/>
          <w:bCs/>
          <w:color w:val="000000"/>
          <w:shd w:val="clear" w:color="auto" w:fill="FFFFFF"/>
        </w:rPr>
        <w:t xml:space="preserve"> </w:t>
      </w:r>
      <w:r w:rsidRPr="00060071">
        <w:rPr>
          <w:rStyle w:val="eop"/>
          <w:rFonts w:cs="Open Sans"/>
          <w:b/>
          <w:bCs/>
          <w:color w:val="000000"/>
          <w:shd w:val="clear" w:color="auto" w:fill="FFFFFF"/>
        </w:rPr>
        <w:t xml:space="preserve">affordable, accessible, and available in a timely manner.  </w:t>
      </w:r>
    </w:p>
    <w:p w14:paraId="6B1DBFAA" w14:textId="4446770E" w:rsidR="000F3E49" w:rsidRDefault="001531B3" w:rsidP="00860357">
      <w:pPr>
        <w:rPr>
          <w:rStyle w:val="superscript"/>
          <w:rFonts w:cs="Open Sans"/>
          <w:color w:val="000000"/>
          <w:sz w:val="19"/>
          <w:szCs w:val="19"/>
          <w:shd w:val="clear" w:color="auto" w:fill="FFFFFF"/>
          <w:vertAlign w:val="superscript"/>
        </w:rPr>
      </w:pPr>
      <w:r w:rsidRPr="0083152B">
        <w:rPr>
          <w:rStyle w:val="eop"/>
          <w:rFonts w:cs="Open Sans"/>
          <w:color w:val="000000"/>
          <w:shd w:val="clear" w:color="auto" w:fill="FFFFFF"/>
        </w:rPr>
        <w:t xml:space="preserve">In </w:t>
      </w:r>
      <w:r w:rsidR="00EB74BB">
        <w:rPr>
          <w:rStyle w:val="eop"/>
          <w:rFonts w:cs="Open Sans"/>
          <w:color w:val="000000"/>
          <w:shd w:val="clear" w:color="auto" w:fill="FFFFFF"/>
        </w:rPr>
        <w:t>‘</w:t>
      </w:r>
      <w:r w:rsidRPr="006411CD">
        <w:rPr>
          <w:rStyle w:val="eop"/>
          <w:rFonts w:cs="Open Sans"/>
          <w:i/>
          <w:iCs/>
          <w:color w:val="000000"/>
          <w:shd w:val="clear" w:color="auto" w:fill="FFFFFF"/>
        </w:rPr>
        <w:t>Keeping Kids Safe and Well</w:t>
      </w:r>
      <w:r w:rsidR="00EB74BB">
        <w:rPr>
          <w:rStyle w:val="eop"/>
          <w:rFonts w:cs="Open Sans"/>
          <w:i/>
          <w:iCs/>
          <w:color w:val="000000"/>
          <w:shd w:val="clear" w:color="auto" w:fill="FFFFFF"/>
        </w:rPr>
        <w:t xml:space="preserve"> – Your Voices’</w:t>
      </w:r>
      <w:r w:rsidRPr="0083152B">
        <w:rPr>
          <w:rStyle w:val="eop"/>
          <w:rFonts w:cs="Open Sans"/>
          <w:color w:val="000000"/>
          <w:shd w:val="clear" w:color="auto" w:fill="FFFFFF"/>
        </w:rPr>
        <w:t xml:space="preserve">, young people with disabilities told </w:t>
      </w:r>
      <w:r w:rsidR="00DD7362">
        <w:rPr>
          <w:rStyle w:val="eop"/>
          <w:rFonts w:cs="Open Sans"/>
          <w:color w:val="000000"/>
          <w:shd w:val="clear" w:color="auto" w:fill="FFFFFF"/>
        </w:rPr>
        <w:t xml:space="preserve">the </w:t>
      </w:r>
      <w:r w:rsidR="00EB74BB">
        <w:rPr>
          <w:rStyle w:val="eop"/>
          <w:rFonts w:cs="Open Sans"/>
          <w:color w:val="000000"/>
          <w:shd w:val="clear" w:color="auto" w:fill="FFFFFF"/>
        </w:rPr>
        <w:t xml:space="preserve">National Children’s </w:t>
      </w:r>
      <w:r w:rsidR="00DD7362">
        <w:rPr>
          <w:rStyle w:val="eop"/>
          <w:rFonts w:cs="Open Sans"/>
          <w:color w:val="000000"/>
          <w:shd w:val="clear" w:color="auto" w:fill="FFFFFF"/>
        </w:rPr>
        <w:t>Commission</w:t>
      </w:r>
      <w:r w:rsidR="00EB74BB">
        <w:rPr>
          <w:rStyle w:val="eop"/>
          <w:rFonts w:cs="Open Sans"/>
          <w:color w:val="000000"/>
          <w:shd w:val="clear" w:color="auto" w:fill="FFFFFF"/>
        </w:rPr>
        <w:t>er</w:t>
      </w:r>
      <w:r w:rsidRPr="0083152B">
        <w:rPr>
          <w:rStyle w:val="eop"/>
          <w:rFonts w:cs="Open Sans"/>
          <w:color w:val="000000"/>
          <w:shd w:val="clear" w:color="auto" w:fill="FFFFFF"/>
        </w:rPr>
        <w:t xml:space="preserve"> that they wanted better support to enter the workforce, including through skill building, and supportive workplaces.</w:t>
      </w:r>
      <w:r w:rsidR="0083152B">
        <w:rPr>
          <w:rStyle w:val="eop"/>
          <w:rFonts w:cs="Open Sans"/>
          <w:color w:val="000000"/>
          <w:shd w:val="clear" w:color="auto" w:fill="FFFFFF"/>
        </w:rPr>
        <w:t xml:space="preserve"> </w:t>
      </w:r>
      <w:r w:rsidR="0083152B">
        <w:rPr>
          <w:rStyle w:val="normaltextrun"/>
          <w:rFonts w:cs="Open Sans"/>
          <w:color w:val="000000"/>
          <w:shd w:val="clear" w:color="auto" w:fill="FFFFFF"/>
        </w:rPr>
        <w:t>Recent statistics indicated that for people with disabilities aged 15–64 years, 53.4% were in the labour force, compared with a labour force participation rate of 84.1% for those without disabilities.</w:t>
      </w:r>
      <w:r w:rsidR="008068E2">
        <w:rPr>
          <w:rStyle w:val="EndnoteReference"/>
          <w:rFonts w:cs="Open Sans"/>
          <w:color w:val="000000"/>
          <w:shd w:val="clear" w:color="auto" w:fill="FFFFFF"/>
        </w:rPr>
        <w:endnoteReference w:id="33"/>
      </w:r>
    </w:p>
    <w:p w14:paraId="75FE52CE" w14:textId="5BEEA2F3" w:rsidR="006411CD" w:rsidRPr="0083152B" w:rsidRDefault="56BD7D40" w:rsidP="00860357">
      <w:pPr>
        <w:rPr>
          <w:rStyle w:val="eop"/>
          <w:rFonts w:cs="Open Sans"/>
          <w:color w:val="000000"/>
          <w:shd w:val="clear" w:color="auto" w:fill="FFFFFF"/>
        </w:rPr>
      </w:pPr>
      <w:r>
        <w:rPr>
          <w:rStyle w:val="normaltextrun"/>
          <w:rFonts w:cs="Open Sans"/>
          <w:b/>
          <w:bCs/>
          <w:color w:val="000000"/>
          <w:shd w:val="clear" w:color="auto" w:fill="FFFFFF"/>
        </w:rPr>
        <w:t>Recommendation</w:t>
      </w:r>
      <w:r w:rsidR="62412BB9" w:rsidRPr="15363531">
        <w:rPr>
          <w:rStyle w:val="normaltextrun"/>
          <w:rFonts w:cs="Open Sans"/>
          <w:b/>
          <w:bCs/>
          <w:color w:val="000000" w:themeColor="text1"/>
        </w:rPr>
        <w:t xml:space="preserve"> 1</w:t>
      </w:r>
      <w:r w:rsidR="52F018CE" w:rsidRPr="15363531">
        <w:rPr>
          <w:rStyle w:val="normaltextrun"/>
          <w:rFonts w:cs="Open Sans"/>
          <w:b/>
          <w:bCs/>
          <w:color w:val="000000" w:themeColor="text1"/>
        </w:rPr>
        <w:t>1</w:t>
      </w:r>
      <w:r>
        <w:rPr>
          <w:rStyle w:val="normaltextrun"/>
          <w:rFonts w:cs="Open Sans"/>
          <w:b/>
          <w:bCs/>
          <w:color w:val="000000"/>
          <w:shd w:val="clear" w:color="auto" w:fill="FFFFFF"/>
        </w:rPr>
        <w:t xml:space="preserve">: </w:t>
      </w:r>
      <w:r w:rsidR="00540111">
        <w:rPr>
          <w:rStyle w:val="normaltextrun"/>
          <w:rFonts w:cs="Open Sans"/>
          <w:b/>
          <w:bCs/>
          <w:color w:val="000000"/>
          <w:shd w:val="clear" w:color="auto" w:fill="FFFFFF"/>
        </w:rPr>
        <w:t>The Australi</w:t>
      </w:r>
      <w:r w:rsidR="000D3C3B">
        <w:rPr>
          <w:rStyle w:val="normaltextrun"/>
          <w:rFonts w:cs="Open Sans"/>
          <w:b/>
          <w:bCs/>
          <w:color w:val="000000"/>
          <w:shd w:val="clear" w:color="auto" w:fill="FFFFFF"/>
        </w:rPr>
        <w:t>an, State and Territory Governments should i</w:t>
      </w:r>
      <w:r w:rsidR="10E3A403">
        <w:rPr>
          <w:rStyle w:val="normaltextrun"/>
          <w:rFonts w:cs="Open Sans"/>
          <w:b/>
          <w:bCs/>
          <w:color w:val="000000"/>
          <w:shd w:val="clear" w:color="auto" w:fill="FFFFFF"/>
        </w:rPr>
        <w:t>ncrease awareness about the harms to children and young people caused by discrimination based on disability in the workplace, including through education and support for workplaces on how to be inclusive. </w:t>
      </w:r>
      <w:r w:rsidR="10E3A403">
        <w:rPr>
          <w:rStyle w:val="eop"/>
          <w:rFonts w:cs="Open Sans"/>
          <w:color w:val="000000"/>
          <w:shd w:val="clear" w:color="auto" w:fill="FFFFFF"/>
        </w:rPr>
        <w:t> </w:t>
      </w:r>
    </w:p>
    <w:p w14:paraId="6D9583B1" w14:textId="5D58CCD3" w:rsidR="006F36E7" w:rsidRPr="006F36E7" w:rsidRDefault="006F36E7" w:rsidP="009E2BE2">
      <w:pPr>
        <w:rPr>
          <w:rStyle w:val="normaltextrun"/>
          <w:rFonts w:cs="Open Sans"/>
          <w:color w:val="000000"/>
          <w:shd w:val="clear" w:color="auto" w:fill="FFFFFF"/>
        </w:rPr>
      </w:pPr>
      <w:r>
        <w:rPr>
          <w:rStyle w:val="normaltextrun"/>
          <w:rFonts w:cs="Open Sans"/>
          <w:color w:val="000000"/>
          <w:shd w:val="clear" w:color="auto" w:fill="FFFFFF"/>
        </w:rPr>
        <w:t xml:space="preserve">In </w:t>
      </w:r>
      <w:r w:rsidR="00D65EC9">
        <w:rPr>
          <w:rStyle w:val="normaltextrun"/>
          <w:rFonts w:cs="Open Sans"/>
          <w:color w:val="000000"/>
          <w:shd w:val="clear" w:color="auto" w:fill="FFFFFF"/>
        </w:rPr>
        <w:t>‘</w:t>
      </w:r>
      <w:r>
        <w:rPr>
          <w:rStyle w:val="normaltextrun"/>
          <w:rFonts w:cs="Open Sans"/>
          <w:i/>
          <w:iCs/>
          <w:color w:val="000000"/>
          <w:shd w:val="clear" w:color="auto" w:fill="FFFFFF"/>
        </w:rPr>
        <w:t xml:space="preserve">Keeping Kids Safe and Well </w:t>
      </w:r>
      <w:r w:rsidR="00D65EC9">
        <w:rPr>
          <w:rStyle w:val="normaltextrun"/>
          <w:rFonts w:cs="Open Sans"/>
          <w:i/>
          <w:iCs/>
          <w:color w:val="000000"/>
          <w:shd w:val="clear" w:color="auto" w:fill="FFFFFF"/>
        </w:rPr>
        <w:t>– Your Voices’</w:t>
      </w:r>
      <w:r>
        <w:rPr>
          <w:rStyle w:val="normaltextrun"/>
          <w:rFonts w:cs="Open Sans"/>
          <w:i/>
          <w:iCs/>
          <w:color w:val="000000"/>
          <w:shd w:val="clear" w:color="auto" w:fill="FFFFFF"/>
        </w:rPr>
        <w:t xml:space="preserve"> </w:t>
      </w:r>
      <w:r>
        <w:rPr>
          <w:rStyle w:val="normaltextrun"/>
          <w:rFonts w:cs="Open Sans"/>
          <w:color w:val="000000"/>
          <w:shd w:val="clear" w:color="auto" w:fill="FFFFFF"/>
        </w:rPr>
        <w:t>consultations</w:t>
      </w:r>
      <w:r>
        <w:rPr>
          <w:rStyle w:val="normaltextrun"/>
          <w:rFonts w:cs="Open Sans"/>
          <w:i/>
          <w:iCs/>
          <w:color w:val="000000"/>
          <w:shd w:val="clear" w:color="auto" w:fill="FFFFFF"/>
        </w:rPr>
        <w:t>,</w:t>
      </w:r>
      <w:r>
        <w:rPr>
          <w:rStyle w:val="normaltextrun"/>
          <w:rFonts w:cs="Open Sans"/>
          <w:color w:val="000000"/>
          <w:shd w:val="clear" w:color="auto" w:fill="FFFFFF"/>
        </w:rPr>
        <w:t xml:space="preserve"> </w:t>
      </w:r>
      <w:r w:rsidR="00A9585D">
        <w:rPr>
          <w:rStyle w:val="normaltextrun"/>
          <w:rFonts w:cs="Open Sans"/>
          <w:color w:val="000000"/>
          <w:shd w:val="clear" w:color="auto" w:fill="FFFFFF"/>
        </w:rPr>
        <w:t>children and</w:t>
      </w:r>
      <w:r>
        <w:rPr>
          <w:rStyle w:val="normaltextrun"/>
          <w:rFonts w:cs="Open Sans"/>
          <w:color w:val="000000"/>
          <w:shd w:val="clear" w:color="auto" w:fill="FFFFFF"/>
        </w:rPr>
        <w:t xml:space="preserve"> young people with disabilities and parents of children with disabilities expressed concern about the adequacy of support at school. Young people and parents reported that a lack of diagnosis or recognition of a child’s disabilities created barriers to receiving support at school. Some young people emphasised the importance of early diagnosis as it enables children to receive the support they need from the outset</w:t>
      </w:r>
      <w:r w:rsidR="00315FDE">
        <w:rPr>
          <w:rStyle w:val="normaltextrun"/>
          <w:rFonts w:cs="Open Sans"/>
          <w:color w:val="000000"/>
          <w:shd w:val="clear" w:color="auto" w:fill="FFFFFF"/>
        </w:rPr>
        <w:t>.</w:t>
      </w:r>
      <w:r>
        <w:rPr>
          <w:rStyle w:val="normaltextrun"/>
          <w:rFonts w:cs="Open Sans"/>
          <w:color w:val="000000"/>
          <w:shd w:val="clear" w:color="auto" w:fill="FFFFFF"/>
        </w:rPr>
        <w:t> </w:t>
      </w:r>
      <w:r>
        <w:rPr>
          <w:rStyle w:val="eop"/>
          <w:rFonts w:cs="Open Sans"/>
          <w:color w:val="000000"/>
          <w:shd w:val="clear" w:color="auto" w:fill="FFFFFF"/>
        </w:rPr>
        <w:t> </w:t>
      </w:r>
    </w:p>
    <w:p w14:paraId="4E2EABFC" w14:textId="6CEE3B43" w:rsidR="00CE16D4" w:rsidRDefault="29C6F533" w:rsidP="009E2BE2">
      <w:pPr>
        <w:rPr>
          <w:rStyle w:val="eop"/>
          <w:rFonts w:cs="Open Sans"/>
          <w:color w:val="000000"/>
          <w:shd w:val="clear" w:color="auto" w:fill="FFFFFF"/>
        </w:rPr>
      </w:pPr>
      <w:r>
        <w:rPr>
          <w:rStyle w:val="normaltextrun"/>
          <w:rFonts w:cs="Open Sans"/>
          <w:b/>
          <w:bCs/>
          <w:color w:val="000000"/>
          <w:shd w:val="clear" w:color="auto" w:fill="FFFFFF"/>
        </w:rPr>
        <w:lastRenderedPageBreak/>
        <w:t>Recommendation</w:t>
      </w:r>
      <w:r w:rsidR="52F018CE" w:rsidRPr="15363531">
        <w:rPr>
          <w:rStyle w:val="normaltextrun"/>
          <w:rFonts w:cs="Open Sans"/>
          <w:b/>
          <w:bCs/>
          <w:color w:val="000000" w:themeColor="text1"/>
        </w:rPr>
        <w:t xml:space="preserve"> 12</w:t>
      </w:r>
      <w:r>
        <w:rPr>
          <w:rStyle w:val="normaltextrun"/>
          <w:rFonts w:cs="Open Sans"/>
          <w:b/>
          <w:bCs/>
          <w:color w:val="000000"/>
          <w:shd w:val="clear" w:color="auto" w:fill="FFFFFF"/>
        </w:rPr>
        <w:t xml:space="preserve">: </w:t>
      </w:r>
      <w:r w:rsidR="00B7402E">
        <w:rPr>
          <w:rStyle w:val="normaltextrun"/>
          <w:rFonts w:cs="Open Sans"/>
          <w:b/>
          <w:bCs/>
          <w:color w:val="000000"/>
          <w:shd w:val="clear" w:color="auto" w:fill="FFFFFF"/>
        </w:rPr>
        <w:t xml:space="preserve">The Australian, State and Territory Governments should </w:t>
      </w:r>
      <w:r w:rsidR="004149EA">
        <w:rPr>
          <w:rStyle w:val="normaltextrun"/>
          <w:rFonts w:cs="Open Sans"/>
          <w:b/>
          <w:bCs/>
          <w:color w:val="000000"/>
          <w:shd w:val="clear" w:color="auto" w:fill="FFFFFF"/>
        </w:rPr>
        <w:t>i</w:t>
      </w:r>
      <w:r w:rsidR="4F2E74F4">
        <w:rPr>
          <w:rStyle w:val="normaltextrun"/>
          <w:rFonts w:cs="Open Sans"/>
          <w:b/>
          <w:bCs/>
          <w:color w:val="000000"/>
          <w:shd w:val="clear" w:color="auto" w:fill="FFFFFF"/>
        </w:rPr>
        <w:t>ncrease access to learning supports at school for children and young people with disabilities to help them achieve their full potential. </w:t>
      </w:r>
      <w:r w:rsidR="4F2E74F4">
        <w:rPr>
          <w:rStyle w:val="eop"/>
          <w:rFonts w:cs="Open Sans"/>
          <w:color w:val="000000"/>
          <w:shd w:val="clear" w:color="auto" w:fill="FFFFFF"/>
        </w:rPr>
        <w:t> </w:t>
      </w:r>
    </w:p>
    <w:p w14:paraId="3BA9313C" w14:textId="38EE2B9A" w:rsidR="002E7989" w:rsidRDefault="000D49D6" w:rsidP="002E7989">
      <w:pPr>
        <w:pStyle w:val="SubmissionNormal"/>
        <w:keepNext/>
        <w:keepLines/>
        <w:numPr>
          <w:ilvl w:val="0"/>
          <w:numId w:val="0"/>
        </w:numPr>
        <w:spacing w:after="0"/>
        <w:rPr>
          <w:rFonts w:cs="Open Sans"/>
        </w:rPr>
      </w:pPr>
      <w:r w:rsidRPr="00B56CB3">
        <w:t>Disability advocacy organisations have argued that the high incarceration rate</w:t>
      </w:r>
      <w:r w:rsidR="007473F4">
        <w:t xml:space="preserve"> of people with disability</w:t>
      </w:r>
      <w:r w:rsidRPr="00B56CB3">
        <w:t xml:space="preserve"> is due to the failures in </w:t>
      </w:r>
      <w:r w:rsidRPr="00B56CB3">
        <w:rPr>
          <w:lang w:val="en"/>
        </w:rPr>
        <w:t>mental health, child protection, housing, disability and community service systems to provide appropriate assessment and supports for children with disability</w:t>
      </w:r>
      <w:r>
        <w:rPr>
          <w:lang w:val="en"/>
        </w:rPr>
        <w:t>.</w:t>
      </w:r>
      <w:r>
        <w:rPr>
          <w:rStyle w:val="EndnoteReference"/>
          <w:lang w:val="en"/>
        </w:rPr>
        <w:endnoteReference w:id="34"/>
      </w:r>
      <w:r w:rsidR="002E7989">
        <w:rPr>
          <w:lang w:val="en"/>
        </w:rPr>
        <w:t xml:space="preserve"> </w:t>
      </w:r>
      <w:r w:rsidR="002E7989" w:rsidRPr="7BFC491C">
        <w:rPr>
          <w:rFonts w:cs="Open Sans"/>
        </w:rPr>
        <w:t>The United Nations Committee on the Rights of the Child, in their General Comment 24 on Children’s Rights in the Child Justice System in 2019, recommended that:</w:t>
      </w:r>
    </w:p>
    <w:p w14:paraId="469D3EBF" w14:textId="7A65C1D0" w:rsidR="000D49D6" w:rsidRDefault="00E542C3" w:rsidP="00161890">
      <w:pPr>
        <w:ind w:left="720"/>
      </w:pPr>
      <w:r w:rsidRPr="00CD5714">
        <w:rPr>
          <w:rFonts w:cs="Open Sans"/>
          <w:color w:val="000000"/>
        </w:rPr>
        <w:t xml:space="preserve">Children with developmental delays or neurodevelopmental disorders or disabilities (for example, autism spectrum disorders, </w:t>
      </w:r>
      <w:r w:rsidR="003D2E17" w:rsidRPr="00CD5714">
        <w:rPr>
          <w:rFonts w:cs="Open Sans"/>
          <w:color w:val="000000"/>
        </w:rPr>
        <w:t>foetal</w:t>
      </w:r>
      <w:r w:rsidRPr="00CD5714">
        <w:rPr>
          <w:rFonts w:cs="Open Sans"/>
          <w:color w:val="000000"/>
        </w:rPr>
        <w:t xml:space="preserve"> alcohol spectrum disorders or acquired brain injuries) should not be in the child justice system at all, even if they have reached the minimum age of criminal responsibility. If not automatically excluded, such children should be individually assessed</w:t>
      </w:r>
      <w:r>
        <w:rPr>
          <w:rFonts w:cs="Open Sans"/>
          <w:color w:val="000000"/>
        </w:rPr>
        <w:t>.</w:t>
      </w:r>
      <w:r>
        <w:rPr>
          <w:rStyle w:val="EndnoteReference"/>
          <w:rFonts w:cs="Open Sans"/>
          <w:color w:val="000000"/>
        </w:rPr>
        <w:endnoteReference w:id="35"/>
      </w:r>
    </w:p>
    <w:p w14:paraId="4F2423A6" w14:textId="01268677" w:rsidR="00BA689A" w:rsidRDefault="006F3924" w:rsidP="000B5D07">
      <w:r>
        <w:t xml:space="preserve">In addition to </w:t>
      </w:r>
      <w:r w:rsidR="0028321F">
        <w:t>the Commission’s</w:t>
      </w:r>
      <w:r>
        <w:t xml:space="preserve"> </w:t>
      </w:r>
      <w:r w:rsidR="00B5222F">
        <w:t xml:space="preserve">previous submission and associated recommendations in relation to people with disability and the criminal justice system, </w:t>
      </w:r>
      <w:r w:rsidR="00B9441C">
        <w:t>and noting the concer</w:t>
      </w:r>
      <w:r w:rsidR="0071557D">
        <w:t xml:space="preserve">ns of the </w:t>
      </w:r>
      <w:r w:rsidR="0028321F">
        <w:t>CRPD C</w:t>
      </w:r>
      <w:r w:rsidR="0071557D">
        <w:t xml:space="preserve">ommittee </w:t>
      </w:r>
      <w:r w:rsidR="00331F34">
        <w:t xml:space="preserve">in its 2019 Concluding </w:t>
      </w:r>
      <w:r w:rsidR="009A7916">
        <w:t xml:space="preserve">Observations, </w:t>
      </w:r>
      <w:r w:rsidR="00A5483E">
        <w:t>particularly around</w:t>
      </w:r>
      <w:r w:rsidR="0071557D" w:rsidRPr="0071557D">
        <w:t xml:space="preserve"> the overrepresentation of convicted young persons with disabilities in the youth justice system, especially male youth from Indigenous </w:t>
      </w:r>
      <w:r w:rsidR="00331F34">
        <w:rPr>
          <w:rStyle w:val="normaltextrun"/>
          <w:rFonts w:cs="Open Sans"/>
          <w:color w:val="000000"/>
          <w:shd w:val="clear" w:color="auto" w:fill="FFFFFF"/>
        </w:rPr>
        <w:t>communities</w:t>
      </w:r>
      <w:r w:rsidR="00FD7268">
        <w:rPr>
          <w:rStyle w:val="normaltextrun"/>
          <w:rFonts w:cs="Open Sans"/>
          <w:color w:val="000000"/>
          <w:shd w:val="clear" w:color="auto" w:fill="FFFFFF"/>
        </w:rPr>
        <w:t>, the</w:t>
      </w:r>
      <w:r w:rsidR="00331F34">
        <w:rPr>
          <w:rStyle w:val="superscript"/>
          <w:rFonts w:cs="Open Sans"/>
          <w:color w:val="000000"/>
          <w:sz w:val="16"/>
          <w:szCs w:val="16"/>
          <w:shd w:val="clear" w:color="auto" w:fill="FFFFFF"/>
          <w:vertAlign w:val="superscript"/>
        </w:rPr>
        <w:t xml:space="preserve"> </w:t>
      </w:r>
      <w:r w:rsidR="00A5483E">
        <w:t xml:space="preserve">Commission </w:t>
      </w:r>
      <w:r w:rsidR="00FD34C4">
        <w:t>also makes the following recommendations specifically regarding children</w:t>
      </w:r>
      <w:r w:rsidR="001F1486">
        <w:t>:</w:t>
      </w:r>
    </w:p>
    <w:p w14:paraId="0FF31785" w14:textId="30FFD996" w:rsidR="00FD34C4" w:rsidRPr="00FD34C4" w:rsidRDefault="00FD34C4" w:rsidP="00FD34C4">
      <w:pPr>
        <w:pStyle w:val="paragraph"/>
        <w:spacing w:before="0" w:beforeAutospacing="0" w:after="0" w:afterAutospacing="0"/>
        <w:textAlignment w:val="baseline"/>
        <w:rPr>
          <w:rFonts w:ascii="Open Sans" w:eastAsia="MS Mincho" w:hAnsi="Open Sans"/>
          <w:b/>
          <w:bCs/>
          <w:szCs w:val="26"/>
        </w:rPr>
      </w:pPr>
      <w:r w:rsidRPr="00FD34C4">
        <w:rPr>
          <w:rFonts w:ascii="Open Sans" w:eastAsia="MS Mincho" w:hAnsi="Open Sans"/>
          <w:b/>
          <w:bCs/>
          <w:szCs w:val="26"/>
        </w:rPr>
        <w:t>Recommendation</w:t>
      </w:r>
      <w:r w:rsidR="0053127C">
        <w:rPr>
          <w:rFonts w:ascii="Open Sans" w:eastAsia="MS Mincho" w:hAnsi="Open Sans"/>
          <w:b/>
          <w:bCs/>
          <w:szCs w:val="26"/>
        </w:rPr>
        <w:t xml:space="preserve"> 13</w:t>
      </w:r>
      <w:r w:rsidRPr="00FD34C4">
        <w:rPr>
          <w:rFonts w:ascii="Open Sans" w:eastAsia="MS Mincho" w:hAnsi="Open Sans"/>
          <w:b/>
          <w:bCs/>
          <w:szCs w:val="26"/>
        </w:rPr>
        <w:t xml:space="preserve">: </w:t>
      </w:r>
      <w:r w:rsidR="00175AA8">
        <w:rPr>
          <w:rFonts w:ascii="Open Sans" w:eastAsia="MS Mincho" w:hAnsi="Open Sans"/>
          <w:b/>
          <w:bCs/>
          <w:szCs w:val="26"/>
        </w:rPr>
        <w:t>C</w:t>
      </w:r>
      <w:r w:rsidR="00175AA8" w:rsidRPr="00FD34C4">
        <w:rPr>
          <w:rFonts w:ascii="Open Sans" w:eastAsia="MS Mincho" w:hAnsi="Open Sans"/>
          <w:b/>
          <w:bCs/>
          <w:szCs w:val="26"/>
        </w:rPr>
        <w:t>hildren with disabilit</w:t>
      </w:r>
      <w:r w:rsidR="00175AA8">
        <w:rPr>
          <w:rFonts w:ascii="Open Sans" w:eastAsia="MS Mincho" w:hAnsi="Open Sans"/>
          <w:b/>
          <w:bCs/>
          <w:szCs w:val="26"/>
        </w:rPr>
        <w:t>ies should be provided with appropriate treatment and therapeutic support in the community.</w:t>
      </w:r>
      <w:r w:rsidRPr="00FD34C4">
        <w:rPr>
          <w:rFonts w:ascii="Open Sans" w:eastAsia="MS Mincho" w:hAnsi="Open Sans"/>
          <w:b/>
          <w:bCs/>
          <w:szCs w:val="26"/>
        </w:rPr>
        <w:t xml:space="preserve"> </w:t>
      </w:r>
      <w:r w:rsidR="0050409F">
        <w:rPr>
          <w:rFonts w:ascii="Open Sans" w:eastAsia="MS Mincho" w:hAnsi="Open Sans"/>
          <w:b/>
          <w:bCs/>
          <w:szCs w:val="26"/>
        </w:rPr>
        <w:t xml:space="preserve">State and Territory Governments should </w:t>
      </w:r>
      <w:r w:rsidR="00F7519F">
        <w:rPr>
          <w:rFonts w:ascii="Open Sans" w:eastAsia="MS Mincho" w:hAnsi="Open Sans"/>
          <w:b/>
          <w:bCs/>
          <w:szCs w:val="26"/>
        </w:rPr>
        <w:t>divert c</w:t>
      </w:r>
      <w:r w:rsidRPr="00FD34C4">
        <w:rPr>
          <w:rFonts w:ascii="Open Sans" w:eastAsia="MS Mincho" w:hAnsi="Open Sans"/>
          <w:b/>
          <w:bCs/>
          <w:szCs w:val="26"/>
        </w:rPr>
        <w:t>hildren with developmental delays or neurodevelopmental disorders or disabilities from involvement in the youth justice system. </w:t>
      </w:r>
    </w:p>
    <w:p w14:paraId="0C478582" w14:textId="77777777" w:rsidR="00FD34C4" w:rsidRPr="00FD34C4" w:rsidRDefault="00FD34C4" w:rsidP="00FD34C4">
      <w:pPr>
        <w:pStyle w:val="paragraph"/>
        <w:spacing w:before="0" w:beforeAutospacing="0" w:after="0" w:afterAutospacing="0"/>
        <w:textAlignment w:val="baseline"/>
        <w:rPr>
          <w:rFonts w:ascii="Open Sans" w:eastAsia="MS Mincho" w:hAnsi="Open Sans"/>
          <w:b/>
          <w:bCs/>
          <w:szCs w:val="26"/>
        </w:rPr>
      </w:pPr>
    </w:p>
    <w:p w14:paraId="77646B27" w14:textId="624B2CA1" w:rsidR="00FD34C4" w:rsidRPr="00FD34C4" w:rsidRDefault="00FD34C4" w:rsidP="00FD34C4">
      <w:pPr>
        <w:pStyle w:val="paragraph"/>
        <w:spacing w:before="0" w:beforeAutospacing="0" w:after="0" w:afterAutospacing="0"/>
        <w:textAlignment w:val="baseline"/>
        <w:rPr>
          <w:rFonts w:ascii="Open Sans" w:eastAsia="MS Mincho" w:hAnsi="Open Sans"/>
          <w:b/>
          <w:bCs/>
          <w:szCs w:val="26"/>
        </w:rPr>
      </w:pPr>
      <w:r w:rsidRPr="00FD34C4">
        <w:rPr>
          <w:rFonts w:ascii="Open Sans" w:eastAsia="MS Mincho" w:hAnsi="Open Sans"/>
          <w:b/>
          <w:bCs/>
          <w:szCs w:val="26"/>
        </w:rPr>
        <w:t>Recommendation</w:t>
      </w:r>
      <w:r w:rsidR="0053127C">
        <w:rPr>
          <w:rFonts w:ascii="Open Sans" w:eastAsia="MS Mincho" w:hAnsi="Open Sans"/>
          <w:b/>
          <w:bCs/>
          <w:szCs w:val="26"/>
        </w:rPr>
        <w:t xml:space="preserve"> 14</w:t>
      </w:r>
      <w:r w:rsidRPr="00FD34C4">
        <w:rPr>
          <w:rFonts w:ascii="Open Sans" w:eastAsia="MS Mincho" w:hAnsi="Open Sans"/>
          <w:b/>
          <w:bCs/>
          <w:szCs w:val="26"/>
        </w:rPr>
        <w:t xml:space="preserve">: </w:t>
      </w:r>
      <w:r w:rsidR="00CC49BA">
        <w:rPr>
          <w:rFonts w:ascii="Open Sans" w:eastAsia="MS Mincho" w:hAnsi="Open Sans"/>
          <w:b/>
          <w:bCs/>
          <w:szCs w:val="26"/>
        </w:rPr>
        <w:t>State and Territory Governments should ensure that c</w:t>
      </w:r>
      <w:r w:rsidRPr="00FD34C4">
        <w:rPr>
          <w:rFonts w:ascii="Open Sans" w:eastAsia="MS Mincho" w:hAnsi="Open Sans"/>
          <w:b/>
          <w:bCs/>
          <w:szCs w:val="26"/>
        </w:rPr>
        <w:t xml:space="preserve">hildren are screened for all types of disability, including </w:t>
      </w:r>
      <w:r w:rsidR="00CC49BA">
        <w:rPr>
          <w:rFonts w:ascii="Open Sans" w:eastAsia="MS Mincho" w:hAnsi="Open Sans"/>
          <w:b/>
          <w:bCs/>
          <w:szCs w:val="26"/>
        </w:rPr>
        <w:t xml:space="preserve">Foetal Alcohol </w:t>
      </w:r>
      <w:r w:rsidR="008804BD">
        <w:rPr>
          <w:rFonts w:ascii="Open Sans" w:eastAsia="MS Mincho" w:hAnsi="Open Sans"/>
          <w:b/>
          <w:bCs/>
          <w:szCs w:val="26"/>
        </w:rPr>
        <w:t>Spectrum Disorders</w:t>
      </w:r>
      <w:r w:rsidR="00CC49BA">
        <w:rPr>
          <w:rFonts w:ascii="Open Sans" w:eastAsia="MS Mincho" w:hAnsi="Open Sans"/>
          <w:b/>
          <w:bCs/>
          <w:szCs w:val="26"/>
        </w:rPr>
        <w:t xml:space="preserve"> (FASD)</w:t>
      </w:r>
      <w:r w:rsidRPr="00FD34C4">
        <w:rPr>
          <w:rFonts w:ascii="Open Sans" w:eastAsia="MS Mincho" w:hAnsi="Open Sans"/>
          <w:b/>
          <w:bCs/>
          <w:szCs w:val="26"/>
        </w:rPr>
        <w:t xml:space="preserve">, </w:t>
      </w:r>
      <w:r w:rsidR="0010428E">
        <w:rPr>
          <w:rFonts w:ascii="Open Sans" w:eastAsia="MS Mincho" w:hAnsi="Open Sans"/>
          <w:b/>
          <w:bCs/>
          <w:szCs w:val="26"/>
        </w:rPr>
        <w:t xml:space="preserve">in early childhood. </w:t>
      </w:r>
      <w:r w:rsidR="001D0691">
        <w:rPr>
          <w:rFonts w:ascii="Open Sans" w:eastAsia="MS Mincho" w:hAnsi="Open Sans"/>
          <w:b/>
          <w:bCs/>
          <w:szCs w:val="26"/>
        </w:rPr>
        <w:t xml:space="preserve">Disability screening and treatment should be a priority for all children </w:t>
      </w:r>
      <w:r w:rsidR="00042613">
        <w:rPr>
          <w:rFonts w:ascii="Open Sans" w:eastAsia="MS Mincho" w:hAnsi="Open Sans"/>
          <w:b/>
          <w:bCs/>
          <w:szCs w:val="26"/>
        </w:rPr>
        <w:t xml:space="preserve">involved </w:t>
      </w:r>
      <w:r w:rsidR="00D7534E">
        <w:rPr>
          <w:rFonts w:ascii="Open Sans" w:eastAsia="MS Mincho" w:hAnsi="Open Sans"/>
          <w:b/>
          <w:bCs/>
          <w:szCs w:val="26"/>
        </w:rPr>
        <w:t>with</w:t>
      </w:r>
      <w:r w:rsidR="00042613">
        <w:rPr>
          <w:rFonts w:ascii="Open Sans" w:eastAsia="MS Mincho" w:hAnsi="Open Sans"/>
          <w:b/>
          <w:bCs/>
          <w:szCs w:val="26"/>
        </w:rPr>
        <w:t xml:space="preserve"> the child protection system </w:t>
      </w:r>
      <w:r w:rsidR="00D7534E">
        <w:rPr>
          <w:rFonts w:ascii="Open Sans" w:eastAsia="MS Mincho" w:hAnsi="Open Sans"/>
          <w:b/>
          <w:bCs/>
          <w:szCs w:val="26"/>
        </w:rPr>
        <w:t xml:space="preserve">and </w:t>
      </w:r>
      <w:r w:rsidRPr="00FD34C4">
        <w:rPr>
          <w:rFonts w:ascii="Open Sans" w:eastAsia="MS Mincho" w:hAnsi="Open Sans"/>
          <w:b/>
          <w:bCs/>
          <w:szCs w:val="26"/>
        </w:rPr>
        <w:t>at early stages of youth justice involvement</w:t>
      </w:r>
      <w:r w:rsidR="008E69E0">
        <w:rPr>
          <w:rFonts w:ascii="Open Sans" w:eastAsia="MS Mincho" w:hAnsi="Open Sans"/>
          <w:b/>
          <w:bCs/>
          <w:szCs w:val="26"/>
        </w:rPr>
        <w:t xml:space="preserve">. </w:t>
      </w:r>
    </w:p>
    <w:p w14:paraId="682FA75A" w14:textId="77777777" w:rsidR="00433C68" w:rsidRDefault="00433C68" w:rsidP="00433C68">
      <w:pPr>
        <w:pStyle w:val="AHRCHeading2"/>
      </w:pPr>
      <w:bookmarkStart w:id="26" w:name="_Toc122679379"/>
      <w:r>
        <w:t>Article 8: Awareness raising</w:t>
      </w:r>
      <w:bookmarkEnd w:id="26"/>
    </w:p>
    <w:p w14:paraId="28D37D36" w14:textId="2ECAF28C" w:rsidR="00EC5259" w:rsidRDefault="38B7EC5C" w:rsidP="00EC5259">
      <w:r>
        <w:t>The Commission’s complaint</w:t>
      </w:r>
      <w:r w:rsidR="59072907">
        <w:t>s</w:t>
      </w:r>
      <w:r>
        <w:t xml:space="preserve"> data provided in this submission </w:t>
      </w:r>
      <w:r w:rsidR="47D2D343">
        <w:t>highlights</w:t>
      </w:r>
      <w:r>
        <w:t xml:space="preserve"> there is more work to be done to improve community attitudes towards people with disability.</w:t>
      </w:r>
    </w:p>
    <w:p w14:paraId="72902667" w14:textId="49915BE8" w:rsidR="00433C68" w:rsidRDefault="00433C68" w:rsidP="00433C68">
      <w:r>
        <w:lastRenderedPageBreak/>
        <w:t>In a 2021 national survey</w:t>
      </w:r>
      <w:r w:rsidR="000413FF">
        <w:t xml:space="preserve"> </w:t>
      </w:r>
      <w:r>
        <w:t>on attitudes toward people with disability</w:t>
      </w:r>
      <w:r w:rsidR="00EC5259">
        <w:t>,</w:t>
      </w:r>
      <w:r w:rsidR="000976CF">
        <w:rPr>
          <w:rStyle w:val="EndnoteReference"/>
        </w:rPr>
        <w:endnoteReference w:id="36"/>
      </w:r>
      <w:r w:rsidR="00EC5259">
        <w:t xml:space="preserve"> </w:t>
      </w:r>
      <w:r>
        <w:t>the Centre for Research Excellence in Disability and Health</w:t>
      </w:r>
      <w:r w:rsidR="00EC5259">
        <w:t xml:space="preserve"> </w:t>
      </w:r>
      <w:r>
        <w:t>note</w:t>
      </w:r>
      <w:r w:rsidR="00EC5259">
        <w:t>s</w:t>
      </w:r>
      <w:r>
        <w:t xml:space="preserve">: </w:t>
      </w:r>
    </w:p>
    <w:p w14:paraId="1F1E30E3" w14:textId="73A1F316" w:rsidR="00433C68" w:rsidRDefault="180A5EF5" w:rsidP="00433C68">
      <w:pPr>
        <w:ind w:left="720"/>
      </w:pPr>
      <w:r w:rsidRPr="001E5AF0">
        <w:rPr>
          <w:sz w:val="22"/>
          <w:szCs w:val="22"/>
        </w:rPr>
        <w:t>[The CRPD] declares full and active participation in society as a fundamental right of people with disability. With negative attitudes and consequent discriminatory behaviours known to be a key limiting factor to full participation, the results of this survey indicate that Australia still has a long way to go in meeting its obligations.</w:t>
      </w:r>
      <w:r w:rsidR="00433C68">
        <w:rPr>
          <w:rStyle w:val="EndnoteReference"/>
        </w:rPr>
        <w:endnoteReference w:id="37"/>
      </w:r>
      <w:r>
        <w:t xml:space="preserve"> </w:t>
      </w:r>
    </w:p>
    <w:p w14:paraId="6446247E" w14:textId="2B17140A" w:rsidR="00433C68" w:rsidRDefault="00433C68" w:rsidP="00433C68">
      <w:r>
        <w:t>Attitudes have concrete impacts on outcomes for people with disability</w:t>
      </w:r>
      <w:r w:rsidR="000976CF">
        <w:t>.</w:t>
      </w:r>
      <w:r>
        <w:t xml:space="preserve"> </w:t>
      </w:r>
      <w:r w:rsidR="000976CF">
        <w:t>For</w:t>
      </w:r>
      <w:r>
        <w:t xml:space="preserve"> example, 20% or 1 in 5 people in the 2021 national survey agreed that employers should be able to refuse to hire a person with disability</w:t>
      </w:r>
      <w:r>
        <w:rPr>
          <w:rStyle w:val="EndnoteReference"/>
        </w:rPr>
        <w:endnoteReference w:id="38"/>
      </w:r>
      <w:r>
        <w:t xml:space="preserve"> and 13% held the view that children with disability ‘should only be educated in special schools’</w:t>
      </w:r>
      <w:r w:rsidR="000976CF">
        <w:t>.</w:t>
      </w:r>
      <w:r>
        <w:rPr>
          <w:rStyle w:val="EndnoteReference"/>
        </w:rPr>
        <w:endnoteReference w:id="39"/>
      </w:r>
    </w:p>
    <w:p w14:paraId="0D8ECF21" w14:textId="7608DBF8" w:rsidR="00433C68" w:rsidRDefault="00433C68" w:rsidP="00433C68">
      <w:r>
        <w:t>Every initiative that aims to include people with disability</w:t>
      </w:r>
      <w:r w:rsidR="00A64756">
        <w:t xml:space="preserve"> in our </w:t>
      </w:r>
      <w:r w:rsidR="00791AB9">
        <w:t>communities</w:t>
      </w:r>
      <w:r w:rsidR="00086885">
        <w:t>,</w:t>
      </w:r>
      <w:r>
        <w:t xml:space="preserve"> whether it be in employment, education, or social settings, is likely to have a positive attitudinal impact. Further, the inclusion of an o</w:t>
      </w:r>
      <w:r w:rsidRPr="006D3F76">
        <w:t>utcome</w:t>
      </w:r>
      <w:r>
        <w:t xml:space="preserve"> within </w:t>
      </w:r>
      <w:r w:rsidR="00791AB9">
        <w:t xml:space="preserve">Australia’s </w:t>
      </w:r>
      <w:r>
        <w:t>Disability Strategy specifically to ensure that ‘</w:t>
      </w:r>
      <w:r w:rsidRPr="006D3F76">
        <w:t xml:space="preserve">Community attitudes support equality, inclusion and participation in society for people with </w:t>
      </w:r>
      <w:r w:rsidR="004E147C" w:rsidRPr="006D3F76">
        <w:t>disability</w:t>
      </w:r>
      <w:r w:rsidR="00D9634E">
        <w:t>’</w:t>
      </w:r>
      <w:r>
        <w:t xml:space="preserve"> demonstrates a recognition of the impact of community attitudes as a key factor impacting inclusion of people with disability in all aspects of their lives. </w:t>
      </w:r>
    </w:p>
    <w:p w14:paraId="0421A21D" w14:textId="2F689711" w:rsidR="00A75EDF" w:rsidRDefault="00433C68" w:rsidP="00433C68">
      <w:r>
        <w:t xml:space="preserve">The Commission supports the recommendations outlined in the </w:t>
      </w:r>
      <w:r w:rsidRPr="00402C9B">
        <w:t>Centre for Research Excellence in Disability and Health</w:t>
      </w:r>
      <w:r>
        <w:t xml:space="preserve"> national survey</w:t>
      </w:r>
      <w:r w:rsidR="00CB4068">
        <w:t>,</w:t>
      </w:r>
      <w:r>
        <w:rPr>
          <w:rStyle w:val="EndnoteReference"/>
        </w:rPr>
        <w:endnoteReference w:id="40"/>
      </w:r>
      <w:r>
        <w:t xml:space="preserve"> particularly the development and ongoing monitoring and evaluation of a series of long-term interventions, co-designed with people with disability, aimed at </w:t>
      </w:r>
      <w:r w:rsidRPr="00293CD0">
        <w:t>remo</w:t>
      </w:r>
      <w:r>
        <w:t>ving</w:t>
      </w:r>
      <w:r w:rsidRPr="00293CD0">
        <w:t xml:space="preserve"> attitudinal barriers that prevent people with disability realising their human rights to fully participate in everyday life on an equal basis to others</w:t>
      </w:r>
      <w:r>
        <w:t xml:space="preserve">. </w:t>
      </w:r>
      <w:r w:rsidR="009E05BC">
        <w:t xml:space="preserve">This </w:t>
      </w:r>
      <w:r w:rsidR="00472784">
        <w:t xml:space="preserve">position is broadly consistent with the </w:t>
      </w:r>
      <w:r w:rsidR="00F157A2">
        <w:t xml:space="preserve">CRPD </w:t>
      </w:r>
      <w:r w:rsidR="00472784">
        <w:t>Committee</w:t>
      </w:r>
      <w:r w:rsidR="00F157A2">
        <w:t>’s</w:t>
      </w:r>
      <w:r w:rsidR="00472784">
        <w:t xml:space="preserve"> </w:t>
      </w:r>
      <w:r w:rsidR="00EB5FD7">
        <w:t>position in the 2019 Concluding Observations relating to Article 8 of the CRPD.</w:t>
      </w:r>
      <w:r w:rsidR="00F157A2">
        <w:rPr>
          <w:rStyle w:val="EndnoteReference"/>
        </w:rPr>
        <w:endnoteReference w:id="41"/>
      </w:r>
      <w:r w:rsidR="00EB5FD7">
        <w:t xml:space="preserve"> </w:t>
      </w:r>
    </w:p>
    <w:p w14:paraId="3AACE20E" w14:textId="148FF531" w:rsidR="00433C68" w:rsidRDefault="007D5DE1" w:rsidP="00433C68">
      <w:r>
        <w:t xml:space="preserve">However, any awareness raising campaign needs to be </w:t>
      </w:r>
      <w:r w:rsidR="000D68DE">
        <w:t xml:space="preserve">cognisant of the need to </w:t>
      </w:r>
      <w:r w:rsidR="00A06FFA">
        <w:t xml:space="preserve">target </w:t>
      </w:r>
      <w:r w:rsidR="00D45685">
        <w:t>all levels of the education system and reflect the concept of disability contained in the CRPD. Linking awareness raising campaigns to Article 8 of the CRPD ensures greater efficacy of any campaign undertaken.</w:t>
      </w:r>
      <w:r w:rsidR="00705D4B">
        <w:t xml:space="preserve"> </w:t>
      </w:r>
      <w:r w:rsidR="00F9392A">
        <w:t xml:space="preserve">Although there is a Community Attitudes Targeted Action Plan under </w:t>
      </w:r>
      <w:r w:rsidR="00E21EE4">
        <w:t>Australia’s Disability Strategy</w:t>
      </w:r>
      <w:r w:rsidR="005303E6">
        <w:rPr>
          <w:rStyle w:val="EndnoteReference"/>
        </w:rPr>
        <w:endnoteReference w:id="42"/>
      </w:r>
      <w:r w:rsidR="00A80205">
        <w:t xml:space="preserve">, </w:t>
      </w:r>
      <w:r w:rsidR="0016541E">
        <w:t xml:space="preserve"> the actions suggested are general in nature </w:t>
      </w:r>
      <w:r w:rsidR="00525941">
        <w:t xml:space="preserve">and do not highlight the need to recognise </w:t>
      </w:r>
      <w:r w:rsidR="00C93A6C">
        <w:t xml:space="preserve">and advance </w:t>
      </w:r>
      <w:r w:rsidR="00525941">
        <w:t>the human rights of people with disability</w:t>
      </w:r>
      <w:r w:rsidR="00C93A6C">
        <w:t>.</w:t>
      </w:r>
      <w:r w:rsidR="00525941">
        <w:t xml:space="preserve"> </w:t>
      </w:r>
      <w:r w:rsidR="00A80205">
        <w:t xml:space="preserve"> </w:t>
      </w:r>
      <w:r w:rsidR="00E21EE4">
        <w:t xml:space="preserve"> </w:t>
      </w:r>
    </w:p>
    <w:p w14:paraId="503ABDCE" w14:textId="693FBED4" w:rsidR="00FD34C4" w:rsidRDefault="00433C68" w:rsidP="00317037">
      <w:r w:rsidRPr="008215A9">
        <w:rPr>
          <w:b/>
          <w:bCs/>
        </w:rPr>
        <w:t>Recommendation</w:t>
      </w:r>
      <w:r w:rsidR="0053127C">
        <w:rPr>
          <w:b/>
          <w:bCs/>
        </w:rPr>
        <w:t xml:space="preserve"> 15</w:t>
      </w:r>
      <w:r w:rsidRPr="008215A9">
        <w:rPr>
          <w:b/>
          <w:bCs/>
        </w:rPr>
        <w:t xml:space="preserve">: </w:t>
      </w:r>
      <w:r>
        <w:rPr>
          <w:b/>
          <w:bCs/>
        </w:rPr>
        <w:t>The Australian</w:t>
      </w:r>
      <w:r w:rsidR="00A9217A">
        <w:rPr>
          <w:b/>
          <w:bCs/>
        </w:rPr>
        <w:t xml:space="preserve">, </w:t>
      </w:r>
      <w:r w:rsidR="005304A0">
        <w:rPr>
          <w:b/>
          <w:bCs/>
        </w:rPr>
        <w:t>State, Territory and Local</w:t>
      </w:r>
      <w:r>
        <w:rPr>
          <w:b/>
          <w:bCs/>
        </w:rPr>
        <w:t xml:space="preserve"> </w:t>
      </w:r>
      <w:r w:rsidR="00B45921">
        <w:rPr>
          <w:b/>
          <w:bCs/>
        </w:rPr>
        <w:t>Government</w:t>
      </w:r>
      <w:r w:rsidR="00A9217A">
        <w:rPr>
          <w:b/>
          <w:bCs/>
        </w:rPr>
        <w:t>s</w:t>
      </w:r>
      <w:r>
        <w:rPr>
          <w:b/>
          <w:bCs/>
        </w:rPr>
        <w:t xml:space="preserve"> </w:t>
      </w:r>
      <w:r w:rsidR="00B45921">
        <w:rPr>
          <w:b/>
          <w:bCs/>
        </w:rPr>
        <w:t xml:space="preserve">should </w:t>
      </w:r>
      <w:r w:rsidRPr="008215A9">
        <w:rPr>
          <w:b/>
          <w:bCs/>
        </w:rPr>
        <w:t xml:space="preserve">develop a series of long-term interventions, co-designed with people with disability, aimed at removing attitudinal </w:t>
      </w:r>
      <w:r w:rsidRPr="008215A9">
        <w:rPr>
          <w:b/>
          <w:bCs/>
        </w:rPr>
        <w:lastRenderedPageBreak/>
        <w:t>barriers that prevent people with disability realising their human rights to fully participate in everyday life on an equal basis to others</w:t>
      </w:r>
      <w:r w:rsidR="00D84105">
        <w:rPr>
          <w:b/>
          <w:bCs/>
        </w:rPr>
        <w:t xml:space="preserve"> in a manner consistent with Article 8 of the CRPD</w:t>
      </w:r>
      <w:r w:rsidRPr="008215A9">
        <w:rPr>
          <w:b/>
          <w:bCs/>
        </w:rPr>
        <w:t xml:space="preserve">. </w:t>
      </w:r>
    </w:p>
    <w:p w14:paraId="3EF490E6" w14:textId="669539FC" w:rsidR="00B459C7" w:rsidRDefault="00B459C7" w:rsidP="00807D15">
      <w:pPr>
        <w:pStyle w:val="AHRCHeading2"/>
      </w:pPr>
      <w:bookmarkStart w:id="27" w:name="_Toc122679380"/>
      <w:r>
        <w:t>Article 9: Accessibility</w:t>
      </w:r>
      <w:bookmarkEnd w:id="27"/>
    </w:p>
    <w:p w14:paraId="6BBFAD14" w14:textId="5C8C113B" w:rsidR="00AE3835" w:rsidRDefault="1B8A09FF" w:rsidP="006A08CB">
      <w:r>
        <w:t xml:space="preserve">The Disability Discrimination Act is supplemented by a series of Disability Standards </w:t>
      </w:r>
      <w:r w:rsidR="23A0CD5D">
        <w:t>that provide certainty</w:t>
      </w:r>
      <w:r>
        <w:t xml:space="preserve"> on </w:t>
      </w:r>
      <w:r w:rsidR="23A0CD5D">
        <w:t>the operation of the Disability Discrimination Act</w:t>
      </w:r>
      <w:r>
        <w:t>.</w:t>
      </w:r>
      <w:r w:rsidR="0AC56FA1">
        <w:t xml:space="preserve"> There are currently three sets of Standards in operation in relation to transport</w:t>
      </w:r>
      <w:r w:rsidR="340A87FE">
        <w:t>,</w:t>
      </w:r>
      <w:r w:rsidR="0AC56FA1">
        <w:t xml:space="preserve"> education</w:t>
      </w:r>
      <w:r w:rsidR="2CF323D8">
        <w:t>,</w:t>
      </w:r>
      <w:r w:rsidR="0AC56FA1">
        <w:t xml:space="preserve"> and access to premises.</w:t>
      </w:r>
      <w:r w:rsidR="00BB0446">
        <w:rPr>
          <w:rStyle w:val="EndnoteReference"/>
        </w:rPr>
        <w:endnoteReference w:id="43"/>
      </w:r>
      <w:r w:rsidR="4992A904">
        <w:t xml:space="preserve">  </w:t>
      </w:r>
    </w:p>
    <w:p w14:paraId="3DFA06E7" w14:textId="5C6F77AE" w:rsidR="00B459C7" w:rsidRDefault="003410AA" w:rsidP="003410AA">
      <w:r w:rsidRPr="003410AA">
        <w:t xml:space="preserve">The Commission is concerned that the lack of measures to ensure nationally consistent implementation, enforceability, monitoring and compliance under the </w:t>
      </w:r>
      <w:r w:rsidRPr="006D5549">
        <w:rPr>
          <w:i/>
          <w:iCs/>
        </w:rPr>
        <w:t>Disability Standards for Accessible Public Transport 2002</w:t>
      </w:r>
      <w:r w:rsidRPr="003410AA">
        <w:t xml:space="preserve"> (Transport Standards) and the </w:t>
      </w:r>
      <w:r w:rsidRPr="006D5549">
        <w:rPr>
          <w:i/>
          <w:iCs/>
        </w:rPr>
        <w:t xml:space="preserve">Disability (Access to Premises—Buildings) Standards 2010 </w:t>
      </w:r>
      <w:r w:rsidRPr="006D5549">
        <w:t>(</w:t>
      </w:r>
      <w:r w:rsidRPr="003410AA">
        <w:t>Building Standards) has limited the effectiveness of both Standards.</w:t>
      </w:r>
      <w:r w:rsidR="005D5F97">
        <w:t xml:space="preserve"> </w:t>
      </w:r>
      <w:r w:rsidR="00AE3835">
        <w:t xml:space="preserve">This is coupled with </w:t>
      </w:r>
      <w:r w:rsidRPr="003410AA">
        <w:t xml:space="preserve">a lack of progress and insufficient resources allocated to implement the recommendations made following the statutory reviews of the </w:t>
      </w:r>
      <w:r w:rsidR="00830C19">
        <w:t>s</w:t>
      </w:r>
      <w:r w:rsidRPr="003410AA">
        <w:t>tandards every five years.</w:t>
      </w:r>
    </w:p>
    <w:p w14:paraId="4D8A0075" w14:textId="6727C7BD" w:rsidR="00DE21E1" w:rsidRDefault="03D3B38D" w:rsidP="003410AA">
      <w:r w:rsidRPr="00B31BA0">
        <w:t>In Australia, 96% of people with disability live in private dwellings in the community.</w:t>
      </w:r>
      <w:r w:rsidR="007660E9">
        <w:rPr>
          <w:rStyle w:val="EndnoteReference"/>
        </w:rPr>
        <w:endnoteReference w:id="44"/>
      </w:r>
      <w:r>
        <w:t xml:space="preserve"> </w:t>
      </w:r>
      <w:r w:rsidRPr="00B31BA0">
        <w:t>Despite this, research completed in 2020 by the University of Melbourne found that 74% of respondents with mobility limitations were living in housing that does not meet their needs.</w:t>
      </w:r>
      <w:r w:rsidR="007660E9">
        <w:rPr>
          <w:rStyle w:val="EndnoteReference"/>
        </w:rPr>
        <w:endnoteReference w:id="45"/>
      </w:r>
      <w:r w:rsidR="097B7F68">
        <w:t xml:space="preserve"> </w:t>
      </w:r>
      <w:r w:rsidR="2B9ACD60">
        <w:t xml:space="preserve">The </w:t>
      </w:r>
      <w:r w:rsidR="475089F4">
        <w:t>Organisation for Economic Cooperation and Development (OECD)</w:t>
      </w:r>
      <w:r w:rsidR="2B9ACD60">
        <w:t xml:space="preserve"> highlights the importance of housing quality, as ‘it is a major driver of health status with effects for both mental and physical health.’</w:t>
      </w:r>
      <w:r w:rsidR="00880A21">
        <w:rPr>
          <w:rStyle w:val="EndnoteReference"/>
        </w:rPr>
        <w:endnoteReference w:id="46"/>
      </w:r>
      <w:r w:rsidR="2B9ACD60">
        <w:t xml:space="preserve"> There is evidence of the impact that poor quality housing has on the community and the economy</w:t>
      </w:r>
      <w:r w:rsidR="0EDA24D0">
        <w:t>.</w:t>
      </w:r>
      <w:r w:rsidR="009F1FF4">
        <w:rPr>
          <w:rStyle w:val="EndnoteReference"/>
        </w:rPr>
        <w:endnoteReference w:id="47"/>
      </w:r>
      <w:r w:rsidR="6B3F8120">
        <w:t xml:space="preserve"> </w:t>
      </w:r>
      <w:r w:rsidR="47B3FB76">
        <w:t>Y</w:t>
      </w:r>
      <w:r w:rsidR="0BDFEAE9">
        <w:t xml:space="preserve">et the availability of appropriate accessible housing remains a challenge for </w:t>
      </w:r>
      <w:r w:rsidR="73C70CF4">
        <w:t xml:space="preserve">many of the </w:t>
      </w:r>
      <w:r w:rsidR="302B0201">
        <w:t>4.4 million people with disability in Australia</w:t>
      </w:r>
      <w:r w:rsidR="73C70CF4">
        <w:t>.</w:t>
      </w:r>
    </w:p>
    <w:p w14:paraId="2011252E" w14:textId="778AB9E6" w:rsidR="00D516BF" w:rsidRDefault="00D516BF" w:rsidP="003410AA">
      <w:r>
        <w:t xml:space="preserve">A regulatory intervention </w:t>
      </w:r>
      <w:r w:rsidR="00A13E0E">
        <w:t>has been</w:t>
      </w:r>
      <w:r>
        <w:t xml:space="preserve"> needed to introduce a mandatory minimum standard of accessibility for all private dwellings in Australia. An amendment of the National Construction Code (NCC) is the most viable way to introduce this standard. </w:t>
      </w:r>
      <w:r w:rsidR="00132949">
        <w:t>T</w:t>
      </w:r>
      <w:r w:rsidR="00BE0DDB">
        <w:t>he recent</w:t>
      </w:r>
      <w:r w:rsidR="00132949">
        <w:t>ly</w:t>
      </w:r>
      <w:r w:rsidR="00BE0DDB">
        <w:t xml:space="preserve"> publi</w:t>
      </w:r>
      <w:r w:rsidR="00132949">
        <w:t>shed</w:t>
      </w:r>
      <w:r w:rsidR="00BE0DDB">
        <w:t xml:space="preserve"> </w:t>
      </w:r>
      <w:r w:rsidR="00132949">
        <w:t>Liv</w:t>
      </w:r>
      <w:r w:rsidR="005917DC">
        <w:t>e</w:t>
      </w:r>
      <w:r w:rsidR="00132949">
        <w:t>able Housing Design Standard, which the</w:t>
      </w:r>
      <w:r w:rsidR="00BE0DDB">
        <w:t xml:space="preserve"> Australian Building Codes Board (ABCB) </w:t>
      </w:r>
      <w:r w:rsidR="005114F3">
        <w:t xml:space="preserve">intends to be a minimum </w:t>
      </w:r>
      <w:r w:rsidR="005705F3">
        <w:t xml:space="preserve">necessary provision, </w:t>
      </w:r>
      <w:r w:rsidR="00A67175">
        <w:t>is</w:t>
      </w:r>
      <w:r w:rsidR="0037229B">
        <w:t xml:space="preserve"> </w:t>
      </w:r>
      <w:r w:rsidR="002B1DF6">
        <w:t xml:space="preserve">a good </w:t>
      </w:r>
      <w:r w:rsidR="00A146D5">
        <w:t xml:space="preserve">initial </w:t>
      </w:r>
      <w:r w:rsidR="002B1DF6">
        <w:t xml:space="preserve">framework </w:t>
      </w:r>
      <w:r w:rsidR="00B31048">
        <w:t xml:space="preserve">for a </w:t>
      </w:r>
      <w:r w:rsidR="00880863">
        <w:t xml:space="preserve">minimum </w:t>
      </w:r>
      <w:r w:rsidR="00D84817">
        <w:t xml:space="preserve">mandatory national standard. </w:t>
      </w:r>
    </w:p>
    <w:p w14:paraId="58367DE7" w14:textId="13CF8599" w:rsidR="00810395" w:rsidRDefault="00810395" w:rsidP="003410AA">
      <w:r w:rsidRPr="00810395">
        <w:t>The decision</w:t>
      </w:r>
      <w:r w:rsidR="00D256D8" w:rsidRPr="00810395">
        <w:t xml:space="preserve"> </w:t>
      </w:r>
      <w:r w:rsidRPr="00810395">
        <w:t>made at the Building Ministers’ Meeting (BMM)</w:t>
      </w:r>
      <w:r>
        <w:t xml:space="preserve"> </w:t>
      </w:r>
      <w:r w:rsidRPr="00810395">
        <w:t>in April 2021</w:t>
      </w:r>
      <w:r w:rsidR="000F45E7">
        <w:t>,</w:t>
      </w:r>
      <w:r w:rsidR="007B28E9">
        <w:t xml:space="preserve"> </w:t>
      </w:r>
      <w:r w:rsidRPr="00810395">
        <w:t>to include minimum accessibility provisions for new residential houses</w:t>
      </w:r>
      <w:r>
        <w:t xml:space="preserve"> </w:t>
      </w:r>
      <w:r w:rsidRPr="00810395">
        <w:t>and apartments in the NCC 2022</w:t>
      </w:r>
      <w:r w:rsidR="000F45E7">
        <w:t>,</w:t>
      </w:r>
      <w:r>
        <w:t xml:space="preserve"> </w:t>
      </w:r>
      <w:r w:rsidRPr="00810395">
        <w:t xml:space="preserve">is an important step for Australia in discharging its human rights obligations. Previous efforts to increase the availability of accessible housing have been undertaken on a voluntary basis, including </w:t>
      </w:r>
      <w:r w:rsidR="004C106F">
        <w:t xml:space="preserve">through </w:t>
      </w:r>
      <w:r w:rsidRPr="00810395">
        <w:t>the use of the National Disability Strategy (NDS)</w:t>
      </w:r>
      <w:r>
        <w:t xml:space="preserve"> </w:t>
      </w:r>
      <w:r w:rsidRPr="00810395">
        <w:t xml:space="preserve">and National Dialogue </w:t>
      </w:r>
      <w:r w:rsidRPr="00810395">
        <w:lastRenderedPageBreak/>
        <w:t>on Universal Housing Design. Despite the aspirational target in the NDS that all new homes would meet agreed universal standards by 2020</w:t>
      </w:r>
      <w:r w:rsidR="000F45E7">
        <w:t>,</w:t>
      </w:r>
      <w:r w:rsidR="00CD3F72">
        <w:rPr>
          <w:rStyle w:val="EndnoteReference"/>
        </w:rPr>
        <w:endnoteReference w:id="48"/>
      </w:r>
      <w:r w:rsidRPr="00810395">
        <w:t xml:space="preserve"> research has demonstrated that only 5% of newly built houses in this time met this target.</w:t>
      </w:r>
      <w:r w:rsidR="00C54D9F">
        <w:rPr>
          <w:rStyle w:val="EndnoteReference"/>
        </w:rPr>
        <w:endnoteReference w:id="49"/>
      </w:r>
      <w:r w:rsidR="00C54D9F">
        <w:t xml:space="preserve"> </w:t>
      </w:r>
      <w:r w:rsidRPr="00810395">
        <w:t>The introduction of mandatory standards through the NCC provides</w:t>
      </w:r>
      <w:r w:rsidR="00C54D9F">
        <w:t xml:space="preserve"> </w:t>
      </w:r>
      <w:r w:rsidRPr="00810395">
        <w:t>an effective means for increasing the availability of housing which meets the needs of all Australians.</w:t>
      </w:r>
      <w:r w:rsidR="00C54D9F">
        <w:t xml:space="preserve"> </w:t>
      </w:r>
      <w:r w:rsidRPr="00810395">
        <w:t>At this time, all States other than New South Wales</w:t>
      </w:r>
      <w:r w:rsidR="00C54D9F">
        <w:t xml:space="preserve"> </w:t>
      </w:r>
      <w:r w:rsidRPr="00810395">
        <w:t>and Western Australia have agreed to include minimum accessibility provisions in the NCC.</w:t>
      </w:r>
    </w:p>
    <w:p w14:paraId="30219E84" w14:textId="76FBF9B3" w:rsidR="0051638A" w:rsidRPr="0051638A" w:rsidRDefault="00C54D9F" w:rsidP="00512C2D">
      <w:r w:rsidRPr="0034244F">
        <w:rPr>
          <w:b/>
          <w:bCs/>
        </w:rPr>
        <w:t>Recommendation</w:t>
      </w:r>
      <w:r w:rsidR="00D256D8">
        <w:rPr>
          <w:b/>
          <w:bCs/>
        </w:rPr>
        <w:t xml:space="preserve"> 16</w:t>
      </w:r>
      <w:r w:rsidRPr="0034244F">
        <w:rPr>
          <w:b/>
          <w:bCs/>
        </w:rPr>
        <w:t xml:space="preserve">: </w:t>
      </w:r>
      <w:r w:rsidR="00F0093A" w:rsidRPr="0034244F">
        <w:rPr>
          <w:b/>
          <w:bCs/>
        </w:rPr>
        <w:t xml:space="preserve">All States and Territories should </w:t>
      </w:r>
      <w:r w:rsidR="0026583A">
        <w:rPr>
          <w:b/>
          <w:bCs/>
        </w:rPr>
        <w:t>be required</w:t>
      </w:r>
      <w:r w:rsidR="00F55B97" w:rsidRPr="00F55B97">
        <w:rPr>
          <w:b/>
          <w:bCs/>
        </w:rPr>
        <w:t xml:space="preserve"> to adopt the Liv</w:t>
      </w:r>
      <w:r w:rsidR="005917DC">
        <w:rPr>
          <w:b/>
          <w:bCs/>
        </w:rPr>
        <w:t>e</w:t>
      </w:r>
      <w:r w:rsidR="00F55B97" w:rsidRPr="00F55B97">
        <w:rPr>
          <w:b/>
          <w:bCs/>
        </w:rPr>
        <w:t>able Housing Design Standard</w:t>
      </w:r>
      <w:r w:rsidR="00925F27">
        <w:rPr>
          <w:b/>
          <w:bCs/>
        </w:rPr>
        <w:t xml:space="preserve"> </w:t>
      </w:r>
      <w:r w:rsidR="00F0093A" w:rsidRPr="0034244F">
        <w:rPr>
          <w:b/>
          <w:bCs/>
        </w:rPr>
        <w:t>minimum accessibility</w:t>
      </w:r>
      <w:r w:rsidR="00F0093A">
        <w:rPr>
          <w:b/>
          <w:bCs/>
        </w:rPr>
        <w:t xml:space="preserve"> provisions </w:t>
      </w:r>
      <w:r w:rsidR="00B46B7D">
        <w:rPr>
          <w:b/>
          <w:bCs/>
        </w:rPr>
        <w:t xml:space="preserve">in the National Construction Code </w:t>
      </w:r>
      <w:r w:rsidR="00F0093A">
        <w:rPr>
          <w:b/>
          <w:bCs/>
        </w:rPr>
        <w:t xml:space="preserve">for new </w:t>
      </w:r>
      <w:r w:rsidR="0034244F">
        <w:rPr>
          <w:b/>
          <w:bCs/>
        </w:rPr>
        <w:t>homes</w:t>
      </w:r>
      <w:r w:rsidR="002765C8">
        <w:rPr>
          <w:b/>
          <w:bCs/>
        </w:rPr>
        <w:t xml:space="preserve"> </w:t>
      </w:r>
      <w:r w:rsidR="007B28E9">
        <w:rPr>
          <w:b/>
          <w:bCs/>
        </w:rPr>
        <w:t>and apartments</w:t>
      </w:r>
      <w:r w:rsidR="00925F27">
        <w:rPr>
          <w:b/>
          <w:bCs/>
        </w:rPr>
        <w:t>.</w:t>
      </w:r>
      <w:r w:rsidR="0034244F">
        <w:rPr>
          <w:b/>
          <w:bCs/>
        </w:rPr>
        <w:t xml:space="preserve"> </w:t>
      </w:r>
    </w:p>
    <w:p w14:paraId="2D47BB50" w14:textId="54392A89" w:rsidR="00807D15" w:rsidRDefault="00635838" w:rsidP="00807D15">
      <w:pPr>
        <w:pStyle w:val="AHRCHeading2"/>
      </w:pPr>
      <w:bookmarkStart w:id="28" w:name="_Toc122679381"/>
      <w:r>
        <w:t>Article 12</w:t>
      </w:r>
      <w:r w:rsidR="00807D15">
        <w:t xml:space="preserve">: </w:t>
      </w:r>
      <w:r w:rsidR="00BB7BB0">
        <w:t>t</w:t>
      </w:r>
      <w:r w:rsidR="00807D15" w:rsidRPr="00807D15">
        <w:t>he right to equal recognition before the law</w:t>
      </w:r>
      <w:bookmarkEnd w:id="28"/>
    </w:p>
    <w:p w14:paraId="5B23AABB" w14:textId="4FE65D4D" w:rsidR="005C6AEC" w:rsidRDefault="00922A49" w:rsidP="00BB7BB0">
      <w:r>
        <w:t xml:space="preserve">The essence of this article is summed up by </w:t>
      </w:r>
      <w:r w:rsidR="00234AE2">
        <w:t xml:space="preserve">Professor Ron McCallum in his 2020 research report: </w:t>
      </w:r>
    </w:p>
    <w:p w14:paraId="44810AE1" w14:textId="4920CA5D" w:rsidR="00234AE2" w:rsidRPr="001E5AF0" w:rsidRDefault="1EF5277B" w:rsidP="15363531">
      <w:pPr>
        <w:pStyle w:val="Blockquote"/>
        <w:rPr>
          <w:sz w:val="22"/>
          <w:szCs w:val="22"/>
        </w:rPr>
      </w:pPr>
      <w:r w:rsidRPr="001E5AF0">
        <w:rPr>
          <w:sz w:val="22"/>
          <w:szCs w:val="22"/>
        </w:rPr>
        <w:t>In order to be a full legal person, an individual must be recognised as a rights holder (possessing legal status / standing) and legal agent (free to exercise their rights). Together, these elements make up legal capacity, a mechanism by which rights and responsibilities are granted or denied to an individual. The recognition of universal, full legal capacity is therefore a precondition for the exercise of all other human rights and fundamental freedoms.</w:t>
      </w:r>
      <w:r w:rsidR="003C505C">
        <w:rPr>
          <w:rStyle w:val="EndnoteReference"/>
          <w:szCs w:val="22"/>
        </w:rPr>
        <w:endnoteReference w:id="50"/>
      </w:r>
    </w:p>
    <w:p w14:paraId="7B9AFA9B" w14:textId="30E45660" w:rsidR="00281ED5" w:rsidRDefault="00240250" w:rsidP="00281ED5">
      <w:r w:rsidRPr="00FD3EE1">
        <w:t>As previously mentioned</w:t>
      </w:r>
      <w:r>
        <w:t xml:space="preserve">, </w:t>
      </w:r>
      <w:r w:rsidR="0034244F">
        <w:t>i</w:t>
      </w:r>
      <w:r w:rsidR="00496ACC">
        <w:t xml:space="preserve">n ratifying the </w:t>
      </w:r>
      <w:r w:rsidR="0042181B">
        <w:t>C</w:t>
      </w:r>
      <w:r w:rsidR="00496ACC">
        <w:t>onvention</w:t>
      </w:r>
      <w:r w:rsidR="009E1DF0">
        <w:t>,</w:t>
      </w:r>
      <w:r w:rsidR="00496ACC">
        <w:t xml:space="preserve"> Australia </w:t>
      </w:r>
      <w:r w:rsidR="006C3DC1">
        <w:t xml:space="preserve">made an interpretive declaration </w:t>
      </w:r>
      <w:r w:rsidR="00B86CBA">
        <w:t>that ‘</w:t>
      </w:r>
      <w:r w:rsidR="00B86CBA" w:rsidRPr="00B86CBA">
        <w:t>the Convention allows for fully supported or substituted decision-making arrangements, which provide for decisions to be made on behalf of a person, only where such arrangements are necessary, as a last resort and subject to safeguards</w:t>
      </w:r>
      <w:r w:rsidR="009E1DF0">
        <w:t>’</w:t>
      </w:r>
      <w:r w:rsidR="00E67856">
        <w:t>.</w:t>
      </w:r>
      <w:r w:rsidR="00E67856">
        <w:rPr>
          <w:rStyle w:val="EndnoteReference"/>
        </w:rPr>
        <w:endnoteReference w:id="51"/>
      </w:r>
      <w:r w:rsidR="00E67856">
        <w:t xml:space="preserve"> </w:t>
      </w:r>
    </w:p>
    <w:p w14:paraId="5C8D75B8" w14:textId="42D26E6D" w:rsidR="00B7737C" w:rsidRDefault="7E479A13" w:rsidP="00B7737C">
      <w:r>
        <w:t xml:space="preserve">In 2013, the CRPD Committee </w:t>
      </w:r>
      <w:r w:rsidR="096AEA2F">
        <w:t>recommended that Australia review its interpretive declaration with a view to its withdrawal.</w:t>
      </w:r>
      <w:r w:rsidR="096AEA2F" w:rsidRPr="00306D70">
        <w:rPr>
          <w:rStyle w:val="EndnoteReference"/>
        </w:rPr>
        <w:t xml:space="preserve"> </w:t>
      </w:r>
      <w:r w:rsidR="00306D70">
        <w:rPr>
          <w:rStyle w:val="EndnoteReference"/>
        </w:rPr>
        <w:endnoteReference w:id="52"/>
      </w:r>
      <w:r w:rsidR="2482F8D6">
        <w:t xml:space="preserve"> </w:t>
      </w:r>
      <w:r w:rsidR="46E80937">
        <w:t xml:space="preserve">Specifically, in relation to article 12, </w:t>
      </w:r>
      <w:r w:rsidR="114C3E9E">
        <w:t>t</w:t>
      </w:r>
      <w:r w:rsidR="46E80937">
        <w:t>he CRPD Committee recommended that Australia:</w:t>
      </w:r>
    </w:p>
    <w:p w14:paraId="39E9EA76" w14:textId="1DE3255D" w:rsidR="00B7737C" w:rsidRDefault="46E80937" w:rsidP="00512C2D">
      <w:pPr>
        <w:pStyle w:val="ListParagraph"/>
        <w:rPr>
          <w:sz w:val="22"/>
          <w:szCs w:val="22"/>
        </w:rPr>
      </w:pPr>
      <w:r w:rsidRPr="001E5AF0">
        <w:rPr>
          <w:sz w:val="22"/>
          <w:szCs w:val="22"/>
        </w:rPr>
        <w:t>Repeal any laws and policies, and end practices or customs, which have the purpose or effect of denying or diminishing recognition of any person with disabilities as a person before the law;</w:t>
      </w:r>
    </w:p>
    <w:p w14:paraId="5DD489CE" w14:textId="77777777" w:rsidR="00B7737C" w:rsidRPr="001E5AF0" w:rsidRDefault="46E80937" w:rsidP="15363531">
      <w:pPr>
        <w:ind w:left="720"/>
        <w:rPr>
          <w:sz w:val="22"/>
          <w:szCs w:val="22"/>
        </w:rPr>
      </w:pPr>
      <w:r w:rsidRPr="001E5AF0">
        <w:rPr>
          <w:sz w:val="22"/>
          <w:szCs w:val="22"/>
        </w:rPr>
        <w:t>[and]</w:t>
      </w:r>
    </w:p>
    <w:p w14:paraId="6DE577AC" w14:textId="1BCB74A8" w:rsidR="00B7737C" w:rsidRDefault="46E80937" w:rsidP="00B7737C">
      <w:pPr>
        <w:ind w:left="720"/>
      </w:pPr>
      <w:r w:rsidRPr="001E5AF0">
        <w:rPr>
          <w:sz w:val="22"/>
          <w:szCs w:val="22"/>
        </w:rPr>
        <w:t xml:space="preserve">Implement a nationally consistent supported decision-making framework, as recommended in </w:t>
      </w:r>
      <w:r w:rsidR="48B4FEBC" w:rsidRPr="001E5AF0">
        <w:rPr>
          <w:sz w:val="22"/>
          <w:szCs w:val="22"/>
        </w:rPr>
        <w:t>t</w:t>
      </w:r>
      <w:r w:rsidRPr="001E5AF0">
        <w:rPr>
          <w:sz w:val="22"/>
          <w:szCs w:val="22"/>
        </w:rPr>
        <w:t>he Australian Law Reform Commission’s 2014 report, ‘Equality, Capacity and Disability in Commonwealth Laws’.</w:t>
      </w:r>
      <w:r w:rsidR="00B7737C">
        <w:rPr>
          <w:rStyle w:val="EndnoteReference"/>
        </w:rPr>
        <w:endnoteReference w:id="53"/>
      </w:r>
    </w:p>
    <w:p w14:paraId="4A360E01" w14:textId="67471643" w:rsidR="00AC4C8F" w:rsidRDefault="2482F8D6" w:rsidP="00AC4C8F">
      <w:r>
        <w:lastRenderedPageBreak/>
        <w:t>However, i</w:t>
      </w:r>
      <w:r w:rsidR="5D9A0CAC">
        <w:t xml:space="preserve">n its Combined Second and Third Periodic Reports of </w:t>
      </w:r>
      <w:r w:rsidR="5D9A0CAC" w:rsidRPr="006C6F85">
        <w:t xml:space="preserve">September </w:t>
      </w:r>
      <w:r w:rsidR="5D9A0CAC" w:rsidRPr="008F40DD">
        <w:t>2018,</w:t>
      </w:r>
      <w:r w:rsidR="5D9A0CAC">
        <w:t xml:space="preserve"> Australia stated that it did not intend to withdraw its interpretive declaration.</w:t>
      </w:r>
      <w:r w:rsidR="006C6F85">
        <w:rPr>
          <w:rStyle w:val="EndnoteReference"/>
        </w:rPr>
        <w:endnoteReference w:id="54"/>
      </w:r>
      <w:r w:rsidR="4BEDCB26" w:rsidRPr="00AC4C8F">
        <w:t xml:space="preserve"> </w:t>
      </w:r>
      <w:r w:rsidR="4BEDCB26">
        <w:t>For as long as Australia maintains its interpretative declaration, it facilitates the continuation of legislation</w:t>
      </w:r>
      <w:r w:rsidR="0005498E">
        <w:t>,</w:t>
      </w:r>
      <w:r w:rsidR="4BEDCB26">
        <w:t xml:space="preserve"> which is not only inconsistent with the CRPD, but increasingly outmoded. As heard in the evidence provided by Gerard Quinn, Special Rapporteur to the UN, article 12 is</w:t>
      </w:r>
      <w:r w:rsidR="0050F2F0">
        <w:t xml:space="preserve"> critical</w:t>
      </w:r>
      <w:r w:rsidR="484911E9">
        <w:t xml:space="preserve"> and foundational</w:t>
      </w:r>
      <w:r w:rsidR="0050F2F0">
        <w:t xml:space="preserve"> in recognising the inherent personhood </w:t>
      </w:r>
      <w:r w:rsidR="0C91C08C">
        <w:t>of people with disability, and therefore is the ‘heart of the flip between the medical model and the human rights model’</w:t>
      </w:r>
      <w:r w:rsidR="4BEDCB26">
        <w:t>.</w:t>
      </w:r>
      <w:r w:rsidR="00D938CB">
        <w:rPr>
          <w:rStyle w:val="EndnoteReference"/>
        </w:rPr>
        <w:endnoteReference w:id="55"/>
      </w:r>
    </w:p>
    <w:p w14:paraId="5DAB94A6" w14:textId="301A37EC" w:rsidR="00F825BD" w:rsidRDefault="00ED7E05" w:rsidP="001816F0">
      <w:r>
        <w:t xml:space="preserve">It is worth acknowledging that, </w:t>
      </w:r>
      <w:r w:rsidR="0023403F">
        <w:t>broadly</w:t>
      </w:r>
      <w:r>
        <w:t>,</w:t>
      </w:r>
      <w:r w:rsidR="003D120F">
        <w:t xml:space="preserve"> </w:t>
      </w:r>
      <w:r w:rsidR="004F72F8">
        <w:t xml:space="preserve">the </w:t>
      </w:r>
      <w:r w:rsidR="000E3131">
        <w:t>trajectory of changes over the last decade to</w:t>
      </w:r>
      <w:r w:rsidR="00F65572">
        <w:t xml:space="preserve"> </w:t>
      </w:r>
      <w:r w:rsidR="00AC4C8F">
        <w:t>the suite of</w:t>
      </w:r>
      <w:r>
        <w:t xml:space="preserve"> laws</w:t>
      </w:r>
      <w:r w:rsidR="00443B14">
        <w:t xml:space="preserve"> </w:t>
      </w:r>
      <w:r w:rsidR="00AC4C8F">
        <w:t>that pertain to the exercise of legal capacity</w:t>
      </w:r>
      <w:r w:rsidR="00F60D7F">
        <w:t xml:space="preserve"> </w:t>
      </w:r>
      <w:r w:rsidR="007B1F67">
        <w:t>ha</w:t>
      </w:r>
      <w:r w:rsidR="00711529">
        <w:t>ve</w:t>
      </w:r>
      <w:r w:rsidR="000E3131">
        <w:t xml:space="preserve"> </w:t>
      </w:r>
      <w:r w:rsidR="000E1F9A">
        <w:t>generally</w:t>
      </w:r>
      <w:r w:rsidR="00304199">
        <w:t xml:space="preserve"> been in keeping with</w:t>
      </w:r>
      <w:r w:rsidR="00443B14">
        <w:t xml:space="preserve"> </w:t>
      </w:r>
      <w:r w:rsidR="00B050BC">
        <w:t>the principles</w:t>
      </w:r>
      <w:r w:rsidR="008214E2">
        <w:t xml:space="preserve"> </w:t>
      </w:r>
      <w:r w:rsidR="00B050BC">
        <w:t>enshrined</w:t>
      </w:r>
      <w:r>
        <w:t xml:space="preserve"> </w:t>
      </w:r>
      <w:r w:rsidR="00812D57">
        <w:t xml:space="preserve">in </w:t>
      </w:r>
      <w:r>
        <w:t>article 12</w:t>
      </w:r>
      <w:r w:rsidR="00763A82">
        <w:t xml:space="preserve"> – </w:t>
      </w:r>
      <w:r w:rsidR="00D108CB">
        <w:t>includ</w:t>
      </w:r>
      <w:r w:rsidR="00902501">
        <w:t>ing</w:t>
      </w:r>
      <w:r>
        <w:t xml:space="preserve"> a </w:t>
      </w:r>
      <w:r w:rsidR="00240250">
        <w:t xml:space="preserve">slow but </w:t>
      </w:r>
      <w:r>
        <w:t xml:space="preserve">gradual </w:t>
      </w:r>
      <w:r w:rsidR="00D638AB">
        <w:t>drift toward</w:t>
      </w:r>
      <w:r w:rsidR="00812D57">
        <w:t xml:space="preserve"> the recognition and provision of</w:t>
      </w:r>
      <w:r w:rsidR="00D638AB">
        <w:t xml:space="preserve"> </w:t>
      </w:r>
      <w:r>
        <w:t>various forms of assisted or supportive decision-making.</w:t>
      </w:r>
      <w:r>
        <w:rPr>
          <w:rStyle w:val="EndnoteReference"/>
        </w:rPr>
        <w:endnoteReference w:id="56"/>
      </w:r>
      <w:r w:rsidR="00614EEC">
        <w:t xml:space="preserve"> </w:t>
      </w:r>
      <w:r w:rsidR="00240250">
        <w:t xml:space="preserve">Victoria’s </w:t>
      </w:r>
      <w:r w:rsidR="00240250" w:rsidRPr="008F40DD">
        <w:rPr>
          <w:i/>
        </w:rPr>
        <w:t xml:space="preserve">Guardianship </w:t>
      </w:r>
      <w:r w:rsidR="00240250">
        <w:rPr>
          <w:i/>
          <w:iCs/>
        </w:rPr>
        <w:t xml:space="preserve">and Administration </w:t>
      </w:r>
      <w:r w:rsidR="00240250" w:rsidRPr="008F40DD">
        <w:rPr>
          <w:i/>
        </w:rPr>
        <w:t xml:space="preserve">Act 2019 </w:t>
      </w:r>
      <w:r w:rsidR="00240250">
        <w:t>is an</w:t>
      </w:r>
      <w:r w:rsidR="00C725B3">
        <w:t xml:space="preserve"> example</w:t>
      </w:r>
      <w:r w:rsidR="00240250">
        <w:t xml:space="preserve"> </w:t>
      </w:r>
      <w:r w:rsidR="00761257">
        <w:t>of state</w:t>
      </w:r>
      <w:r w:rsidR="006A240E">
        <w:t xml:space="preserve">-level </w:t>
      </w:r>
      <w:r w:rsidR="00956442">
        <w:t>shifts</w:t>
      </w:r>
      <w:r w:rsidR="006A240E">
        <w:t xml:space="preserve"> </w:t>
      </w:r>
      <w:r w:rsidR="00D777A2">
        <w:t>in this direction</w:t>
      </w:r>
      <w:r w:rsidR="00134830">
        <w:t>.</w:t>
      </w:r>
    </w:p>
    <w:p w14:paraId="70CC03F8" w14:textId="4A3517C4" w:rsidR="00FF56F5" w:rsidRDefault="2CC004F5" w:rsidP="00D4463B">
      <w:r>
        <w:t>Notwithstanding the above</w:t>
      </w:r>
      <w:r w:rsidR="37684302">
        <w:t xml:space="preserve">, </w:t>
      </w:r>
      <w:r w:rsidR="5269A4AD">
        <w:t>the absence of</w:t>
      </w:r>
      <w:r w:rsidR="45BAD9B6">
        <w:t xml:space="preserve"> </w:t>
      </w:r>
      <w:r w:rsidR="3F701AED" w:rsidRPr="00586FC6">
        <w:t>a nationally consistent decision-making framework</w:t>
      </w:r>
      <w:r w:rsidR="0EAF0677">
        <w:t xml:space="preserve"> at the Commonwealth level</w:t>
      </w:r>
      <w:r w:rsidR="3F701AED" w:rsidRPr="00586FC6">
        <w:t xml:space="preserve">, as recommended in the </w:t>
      </w:r>
      <w:r w:rsidR="3F701AED" w:rsidRPr="15363531">
        <w:rPr>
          <w:i/>
          <w:iCs/>
        </w:rPr>
        <w:t xml:space="preserve">Equality, Capacity and Disability in Commonwealth Laws </w:t>
      </w:r>
      <w:r w:rsidR="3F701AED" w:rsidRPr="00586FC6">
        <w:t xml:space="preserve">report by the </w:t>
      </w:r>
      <w:r w:rsidR="315E6F64">
        <w:t>Australian Law Reform Commission</w:t>
      </w:r>
      <w:r w:rsidR="02F8F8DF">
        <w:t>,</w:t>
      </w:r>
      <w:r w:rsidR="00D4463B">
        <w:rPr>
          <w:rStyle w:val="EndnoteReference"/>
        </w:rPr>
        <w:endnoteReference w:id="57"/>
      </w:r>
      <w:r w:rsidR="5269A4AD">
        <w:t xml:space="preserve"> remains an issue of</w:t>
      </w:r>
      <w:r w:rsidR="0C3AB3C1">
        <w:t xml:space="preserve"> concern. </w:t>
      </w:r>
      <w:r w:rsidR="2E9F2F5A">
        <w:t xml:space="preserve">A </w:t>
      </w:r>
      <w:r w:rsidR="5067142C">
        <w:t>national</w:t>
      </w:r>
      <w:r w:rsidR="2E9F2F5A">
        <w:t xml:space="preserve"> decision-making model which closely adheres to article 12 </w:t>
      </w:r>
      <w:r w:rsidR="5AD1EA99">
        <w:t xml:space="preserve">would not only </w:t>
      </w:r>
      <w:r w:rsidR="197F4B5C">
        <w:t>embed compliance with article 12</w:t>
      </w:r>
      <w:r w:rsidR="2E9F2F5A">
        <w:t xml:space="preserve"> </w:t>
      </w:r>
      <w:r w:rsidR="197F4B5C">
        <w:t xml:space="preserve">into </w:t>
      </w:r>
      <w:r w:rsidR="315E6F64">
        <w:t>federal</w:t>
      </w:r>
      <w:r w:rsidR="4BDD8864">
        <w:t xml:space="preserve"> law, it </w:t>
      </w:r>
      <w:r w:rsidR="5F010D13">
        <w:t>would</w:t>
      </w:r>
      <w:r w:rsidR="0EAF0677">
        <w:t xml:space="preserve"> a</w:t>
      </w:r>
      <w:r w:rsidR="5E094E52">
        <w:t>ssist</w:t>
      </w:r>
      <w:r w:rsidR="0EAF0677">
        <w:t xml:space="preserve"> </w:t>
      </w:r>
      <w:r w:rsidR="5E094E52">
        <w:t xml:space="preserve">States and Territories to ensure a uniform </w:t>
      </w:r>
      <w:r w:rsidR="05DDCBA0">
        <w:t xml:space="preserve">approach to </w:t>
      </w:r>
      <w:r w:rsidR="792F8CAD">
        <w:t>decision</w:t>
      </w:r>
      <w:r w:rsidR="2F02AD3F">
        <w:t>-</w:t>
      </w:r>
      <w:r w:rsidR="792F8CAD">
        <w:t>making models</w:t>
      </w:r>
      <w:r w:rsidR="16CECBCA">
        <w:t xml:space="preserve"> across </w:t>
      </w:r>
      <w:r w:rsidR="165C22AC">
        <w:t>jurisdictions</w:t>
      </w:r>
      <w:r w:rsidR="4043410B">
        <w:t>.</w:t>
      </w:r>
    </w:p>
    <w:p w14:paraId="5A172231" w14:textId="2CE13075" w:rsidR="002D31A5" w:rsidRDefault="002D31A5" w:rsidP="005E3A73">
      <w:r w:rsidRPr="00FA7A1B">
        <w:rPr>
          <w:rFonts w:cs="Open Sans"/>
          <w:b/>
        </w:rPr>
        <w:t>Recommendation</w:t>
      </w:r>
      <w:r w:rsidR="008A2EC7">
        <w:rPr>
          <w:rFonts w:cs="Open Sans"/>
          <w:b/>
        </w:rPr>
        <w:t xml:space="preserve"> 17</w:t>
      </w:r>
      <w:r w:rsidRPr="00FA7A1B">
        <w:rPr>
          <w:rFonts w:cs="Open Sans"/>
          <w:b/>
        </w:rPr>
        <w:t xml:space="preserve">: </w:t>
      </w:r>
      <w:r w:rsidR="007A347D">
        <w:rPr>
          <w:rFonts w:cs="Open Sans"/>
          <w:b/>
        </w:rPr>
        <w:t xml:space="preserve">The Australian Government should </w:t>
      </w:r>
      <w:r w:rsidRPr="00FA7A1B">
        <w:rPr>
          <w:rFonts w:cs="Open Sans"/>
          <w:b/>
        </w:rPr>
        <w:t xml:space="preserve">implement </w:t>
      </w:r>
      <w:r w:rsidR="005F3CBD">
        <w:rPr>
          <w:rFonts w:cs="Open Sans"/>
          <w:b/>
        </w:rPr>
        <w:t xml:space="preserve">the recommendations </w:t>
      </w:r>
      <w:r w:rsidR="004135E0">
        <w:rPr>
          <w:rFonts w:cs="Open Sans"/>
          <w:b/>
        </w:rPr>
        <w:t xml:space="preserve">made by </w:t>
      </w:r>
      <w:r w:rsidR="00055A1E" w:rsidRPr="00FA7A1B">
        <w:rPr>
          <w:rFonts w:cs="Open Sans"/>
          <w:b/>
        </w:rPr>
        <w:t>the Australian Law Reform Commission</w:t>
      </w:r>
      <w:r w:rsidR="004135E0">
        <w:rPr>
          <w:rFonts w:cs="Open Sans"/>
          <w:b/>
        </w:rPr>
        <w:t xml:space="preserve"> in the </w:t>
      </w:r>
      <w:r w:rsidR="00055A1E" w:rsidRPr="00FA7A1B">
        <w:rPr>
          <w:rFonts w:cs="Open Sans"/>
          <w:b/>
        </w:rPr>
        <w:t>2014 report</w:t>
      </w:r>
      <w:r w:rsidR="00763A82">
        <w:rPr>
          <w:rFonts w:cs="Open Sans"/>
          <w:b/>
        </w:rPr>
        <w:t>,</w:t>
      </w:r>
      <w:r w:rsidR="00055A1E" w:rsidRPr="00FA7A1B">
        <w:rPr>
          <w:rFonts w:cs="Open Sans"/>
          <w:b/>
        </w:rPr>
        <w:t xml:space="preserve"> </w:t>
      </w:r>
      <w:r w:rsidR="00055A1E" w:rsidRPr="00FA7A1B">
        <w:rPr>
          <w:rFonts w:cs="Open Sans"/>
          <w:b/>
          <w:i/>
        </w:rPr>
        <w:t>Equality, Capacity and Disability in Commonwealth Laws</w:t>
      </w:r>
      <w:r w:rsidR="00055A1E" w:rsidRPr="00FA7A1B">
        <w:rPr>
          <w:rFonts w:cs="Open Sans"/>
          <w:b/>
        </w:rPr>
        <w:t>.</w:t>
      </w:r>
    </w:p>
    <w:p w14:paraId="11C6940D" w14:textId="5D6B0858" w:rsidR="0058524D" w:rsidRDefault="008A0FA9" w:rsidP="00FE1B2E">
      <w:pPr>
        <w:pStyle w:val="AHRCHeading2"/>
      </w:pPr>
      <w:bookmarkStart w:id="29" w:name="_Toc122679382"/>
      <w:r>
        <w:t>Article 28:</w:t>
      </w:r>
      <w:r w:rsidR="009C78AE">
        <w:t xml:space="preserve"> </w:t>
      </w:r>
      <w:r w:rsidR="00FE1B2E" w:rsidRPr="00FE1B2E">
        <w:t>Adequate standard of living and social protection</w:t>
      </w:r>
      <w:bookmarkEnd w:id="29"/>
      <w:r w:rsidR="00FE1B2E">
        <w:t xml:space="preserve"> </w:t>
      </w:r>
    </w:p>
    <w:p w14:paraId="65A21A70" w14:textId="6E43B8A6" w:rsidR="00D70CF6" w:rsidRDefault="7ED59918" w:rsidP="00D70CF6">
      <w:r>
        <w:rPr>
          <w:lang w:val="en-US" w:eastAsia="ko-KR"/>
        </w:rPr>
        <w:t xml:space="preserve">Article 28 of the CRPD requires State Parties to </w:t>
      </w:r>
      <w:r w:rsidR="00CD3490">
        <w:rPr>
          <w:lang w:val="en-US" w:eastAsia="ko-KR"/>
        </w:rPr>
        <w:t>r</w:t>
      </w:r>
      <w:r w:rsidR="005F00B3">
        <w:rPr>
          <w:lang w:val="en-US" w:eastAsia="ko-KR"/>
        </w:rPr>
        <w:t>ecognize</w:t>
      </w:r>
      <w:r w:rsidR="008A2EC7" w:rsidRPr="00512C2D">
        <w:rPr>
          <w:vertAlign w:val="superscript"/>
          <w:lang w:val="en-US" w:eastAsia="ko-KR"/>
        </w:rPr>
        <w:pgNum/>
      </w:r>
      <w:r w:rsidR="59606D71" w:rsidRPr="15363531">
        <w:rPr>
          <w:lang w:val="en-US" w:eastAsia="ko-KR"/>
        </w:rPr>
        <w:t xml:space="preserve"> </w:t>
      </w:r>
      <w:r>
        <w:t xml:space="preserve">the right of persons with disabilities to an adequate standard of living for themselves and their families, including adequate food, clothing and housing, and to the continuous improvement of living conditions, and shall take appropriate steps to safeguard and promote the </w:t>
      </w:r>
      <w:r w:rsidR="59606D71">
        <w:t xml:space="preserve">realisation </w:t>
      </w:r>
      <w:r>
        <w:t xml:space="preserve">of this right without discrimination on the basis of disability. State Parties must also ensure access by persons with disabilities to social protection programs and poverty reduction programs. </w:t>
      </w:r>
    </w:p>
    <w:p w14:paraId="16DD2B88" w14:textId="77777777" w:rsidR="00D70CF6" w:rsidRDefault="00D70CF6" w:rsidP="00D70CF6">
      <w:r>
        <w:t>General Comment No 5 (2017) on living independently and being included in the community recognises that:</w:t>
      </w:r>
    </w:p>
    <w:p w14:paraId="3DDBC903" w14:textId="0A04D269" w:rsidR="00D70CF6" w:rsidRDefault="7ED59918" w:rsidP="00D70CF6">
      <w:pPr>
        <w:ind w:left="720"/>
      </w:pPr>
      <w:r w:rsidRPr="001E5AF0">
        <w:rPr>
          <w:sz w:val="22"/>
          <w:szCs w:val="22"/>
        </w:rPr>
        <w:t xml:space="preserve">Cash transfers such as disability allowances represent one of the forms in which States parties provide support for persons with disabilities in line with articles 19 and 28 of the Convention. Such cash transfers often acknowledge disability-related expenses and facilitate the full inclusion of persons with disabilities in the </w:t>
      </w:r>
      <w:r w:rsidRPr="001E5AF0">
        <w:rPr>
          <w:sz w:val="22"/>
          <w:szCs w:val="22"/>
        </w:rPr>
        <w:lastRenderedPageBreak/>
        <w:t>community. Cash transfers also tackle situations of poverty and extreme poverty that persons with disabilities may face.</w:t>
      </w:r>
      <w:r w:rsidR="00D70CF6">
        <w:rPr>
          <w:rStyle w:val="EndnoteReference"/>
        </w:rPr>
        <w:endnoteReference w:id="58"/>
      </w:r>
    </w:p>
    <w:p w14:paraId="33BB524E" w14:textId="40047AB5" w:rsidR="00D70CF6" w:rsidRDefault="00D70CF6" w:rsidP="00D70CF6">
      <w:r>
        <w:t>State Parties have a responsibility to recognise that many people live in poverty and that there is a critical need to address the negative impact of poverty on people with disability.</w:t>
      </w:r>
      <w:r>
        <w:rPr>
          <w:rStyle w:val="EndnoteReference"/>
        </w:rPr>
        <w:endnoteReference w:id="59"/>
      </w:r>
      <w:r>
        <w:t xml:space="preserve"> The requirement to support people with disability who are living in poverty is not limited to those who are unable work due to a permanent impairment as is the current purpose of the </w:t>
      </w:r>
      <w:r w:rsidR="004A6C51">
        <w:t>Disability Support Pension (DSP)</w:t>
      </w:r>
      <w:r>
        <w:t xml:space="preserve">. </w:t>
      </w:r>
    </w:p>
    <w:p w14:paraId="48364CC8" w14:textId="7608C2FC" w:rsidR="00CF78D9" w:rsidRDefault="0FF5F738" w:rsidP="00DD5A9C">
      <w:r>
        <w:t xml:space="preserve">The NDIS and </w:t>
      </w:r>
      <w:r w:rsidR="7B5DF564">
        <w:t>Australia’s</w:t>
      </w:r>
      <w:r>
        <w:t xml:space="preserve"> Disability Strategy </w:t>
      </w:r>
      <w:r w:rsidR="68FBDDCF">
        <w:t xml:space="preserve">are landmark achievements </w:t>
      </w:r>
      <w:r w:rsidR="36C3E4F5">
        <w:t xml:space="preserve">that each go some way towards fulfilling the obligations outlined in </w:t>
      </w:r>
      <w:r w:rsidR="6A7BB809">
        <w:t>a</w:t>
      </w:r>
      <w:r w:rsidR="36C3E4F5">
        <w:t>rticle 28. However, neith</w:t>
      </w:r>
      <w:r w:rsidR="7F71C48A">
        <w:t>e</w:t>
      </w:r>
      <w:r w:rsidR="36C3E4F5">
        <w:t xml:space="preserve">r of these </w:t>
      </w:r>
      <w:r w:rsidR="7F71C48A">
        <w:t xml:space="preserve">significant reforms go far enough to ensure an adequate standard of living for all people with disability. </w:t>
      </w:r>
    </w:p>
    <w:p w14:paraId="5F8A1002" w14:textId="62F95964" w:rsidR="005F11E0" w:rsidRDefault="007E0C73" w:rsidP="008215A9">
      <w:r>
        <w:t xml:space="preserve">The Commission remains concerned about the limited </w:t>
      </w:r>
      <w:r w:rsidR="00C71769">
        <w:t>consideration of persons with disability in poverty and homelessness reduction strategies</w:t>
      </w:r>
      <w:r w:rsidR="00AF6835">
        <w:t xml:space="preserve"> and</w:t>
      </w:r>
      <w:r w:rsidR="00AF6835" w:rsidRPr="00AF6835">
        <w:t xml:space="preserve"> </w:t>
      </w:r>
      <w:r w:rsidR="00AF6835">
        <w:t>lack of accessible housing in Australia, which is a contributing factor to homelessness for people with disability</w:t>
      </w:r>
      <w:r w:rsidR="00C71769">
        <w:t xml:space="preserve">. </w:t>
      </w:r>
      <w:r w:rsidR="004838EC">
        <w:t xml:space="preserve">As mentioned in </w:t>
      </w:r>
      <w:r w:rsidR="0005498E">
        <w:t>the Commission’s</w:t>
      </w:r>
      <w:r w:rsidR="004838EC">
        <w:t xml:space="preserve"> 2019 </w:t>
      </w:r>
      <w:r w:rsidR="0008595E">
        <w:t>report</w:t>
      </w:r>
      <w:r w:rsidR="0008595E">
        <w:rPr>
          <w:rStyle w:val="EndnoteReference"/>
        </w:rPr>
        <w:endnoteReference w:id="60"/>
      </w:r>
      <w:r w:rsidR="004838EC">
        <w:t xml:space="preserve"> to the </w:t>
      </w:r>
      <w:r w:rsidR="005F11E0">
        <w:t xml:space="preserve">CRPD </w:t>
      </w:r>
      <w:r w:rsidR="004838EC">
        <w:t>Committee</w:t>
      </w:r>
      <w:r w:rsidR="005F11E0">
        <w:t>:</w:t>
      </w:r>
    </w:p>
    <w:p w14:paraId="45629525" w14:textId="492D2A45" w:rsidR="00C71769" w:rsidRDefault="005F11E0" w:rsidP="008215A9">
      <w:pPr>
        <w:pStyle w:val="ListParagraph"/>
        <w:numPr>
          <w:ilvl w:val="0"/>
          <w:numId w:val="38"/>
        </w:numPr>
      </w:pPr>
      <w:r>
        <w:t>t</w:t>
      </w:r>
      <w:r w:rsidR="00C71769">
        <w:t>he National Housing and Homelessness Agreement does not comprehensively include people with disability, including those with intellectual and psychosocial disabilities, as a national homelessness cohort with specific priority measures</w:t>
      </w:r>
    </w:p>
    <w:p w14:paraId="22AB1D36" w14:textId="6C75642E" w:rsidR="00AF6835" w:rsidRDefault="00C71769" w:rsidP="008215A9">
      <w:pPr>
        <w:pStyle w:val="ListParagraph"/>
        <w:numPr>
          <w:ilvl w:val="0"/>
          <w:numId w:val="38"/>
        </w:numPr>
      </w:pPr>
      <w:r>
        <w:t>Australia currently lacks a national poverty reduction plan</w:t>
      </w:r>
      <w:r w:rsidR="006D2AC4">
        <w:t>,</w:t>
      </w:r>
      <w:r>
        <w:t xml:space="preserve"> and</w:t>
      </w:r>
    </w:p>
    <w:p w14:paraId="276A1637" w14:textId="78FBF8F2" w:rsidR="00043A03" w:rsidRDefault="00AF6835" w:rsidP="008215A9">
      <w:pPr>
        <w:pStyle w:val="ListParagraph"/>
        <w:numPr>
          <w:ilvl w:val="0"/>
          <w:numId w:val="38"/>
        </w:numPr>
      </w:pPr>
      <w:r>
        <w:t>Australia</w:t>
      </w:r>
      <w:r w:rsidR="00C71769">
        <w:t xml:space="preserve"> has yet to agree to a consistent national definition of ‘poverty’.</w:t>
      </w:r>
      <w:r>
        <w:t xml:space="preserve">  </w:t>
      </w:r>
    </w:p>
    <w:p w14:paraId="120777B2" w14:textId="7FCE68B3" w:rsidR="00774ADB" w:rsidRPr="00085011" w:rsidRDefault="570070B5" w:rsidP="15363531">
      <w:pPr>
        <w:pStyle w:val="SubmissionNormal"/>
        <w:numPr>
          <w:ilvl w:val="0"/>
          <w:numId w:val="0"/>
        </w:numPr>
        <w:rPr>
          <w:rFonts w:cs="Open Sans"/>
          <w:b/>
          <w:bCs/>
        </w:rPr>
      </w:pPr>
      <w:r w:rsidRPr="15363531">
        <w:rPr>
          <w:rFonts w:cs="Open Sans"/>
          <w:b/>
          <w:bCs/>
        </w:rPr>
        <w:t>Recommendation</w:t>
      </w:r>
      <w:r w:rsidR="17765E3F" w:rsidRPr="15363531">
        <w:rPr>
          <w:rFonts w:cs="Open Sans"/>
          <w:b/>
          <w:bCs/>
        </w:rPr>
        <w:t xml:space="preserve"> 18</w:t>
      </w:r>
      <w:r w:rsidRPr="15363531">
        <w:rPr>
          <w:rFonts w:cs="Open Sans"/>
          <w:b/>
          <w:bCs/>
        </w:rPr>
        <w:t>: The Australian Government</w:t>
      </w:r>
      <w:r w:rsidR="00C7163A">
        <w:rPr>
          <w:rFonts w:cs="Open Sans"/>
          <w:b/>
          <w:bCs/>
        </w:rPr>
        <w:t xml:space="preserve"> should</w:t>
      </w:r>
      <w:r w:rsidR="319F247A" w:rsidRPr="15363531">
        <w:rPr>
          <w:rFonts w:cs="Open Sans"/>
          <w:b/>
          <w:bCs/>
        </w:rPr>
        <w:t xml:space="preserve"> collaborat</w:t>
      </w:r>
      <w:r w:rsidR="00070FD2">
        <w:rPr>
          <w:rFonts w:cs="Open Sans"/>
          <w:b/>
          <w:bCs/>
        </w:rPr>
        <w:t>e</w:t>
      </w:r>
      <w:r w:rsidR="319F247A" w:rsidRPr="15363531">
        <w:rPr>
          <w:rFonts w:cs="Open Sans"/>
          <w:b/>
          <w:bCs/>
        </w:rPr>
        <w:t xml:space="preserve"> </w:t>
      </w:r>
      <w:r w:rsidRPr="15363531">
        <w:rPr>
          <w:rFonts w:cs="Open Sans"/>
          <w:b/>
          <w:bCs/>
        </w:rPr>
        <w:t xml:space="preserve">with </w:t>
      </w:r>
      <w:r w:rsidR="007E53F4">
        <w:rPr>
          <w:rFonts w:cs="Open Sans"/>
          <w:b/>
          <w:bCs/>
        </w:rPr>
        <w:t>S</w:t>
      </w:r>
      <w:r w:rsidRPr="15363531">
        <w:rPr>
          <w:rFonts w:cs="Open Sans"/>
          <w:b/>
          <w:bCs/>
        </w:rPr>
        <w:t xml:space="preserve">tate and </w:t>
      </w:r>
      <w:r w:rsidR="007E53F4">
        <w:rPr>
          <w:rFonts w:cs="Open Sans"/>
          <w:b/>
          <w:bCs/>
        </w:rPr>
        <w:t>T</w:t>
      </w:r>
      <w:r w:rsidRPr="15363531">
        <w:rPr>
          <w:rFonts w:cs="Open Sans"/>
          <w:b/>
          <w:bCs/>
        </w:rPr>
        <w:t xml:space="preserve">erritory </w:t>
      </w:r>
      <w:r w:rsidR="319F247A" w:rsidRPr="15363531">
        <w:rPr>
          <w:rFonts w:cs="Open Sans"/>
          <w:b/>
          <w:bCs/>
        </w:rPr>
        <w:t>G</w:t>
      </w:r>
      <w:r w:rsidRPr="15363531">
        <w:rPr>
          <w:rFonts w:cs="Open Sans"/>
          <w:b/>
          <w:bCs/>
        </w:rPr>
        <w:t>overnments</w:t>
      </w:r>
      <w:r w:rsidR="319F247A" w:rsidRPr="15363531">
        <w:rPr>
          <w:rFonts w:cs="Open Sans"/>
          <w:b/>
          <w:bCs/>
        </w:rPr>
        <w:t xml:space="preserve">, </w:t>
      </w:r>
      <w:r w:rsidRPr="15363531">
        <w:rPr>
          <w:rFonts w:cs="Open Sans"/>
          <w:b/>
          <w:bCs/>
        </w:rPr>
        <w:t>in the implementation of the National Affordable Housing Agreement and the National Partnership Agreement on Homelessness</w:t>
      </w:r>
      <w:r w:rsidR="3E5B8822" w:rsidRPr="15363531">
        <w:rPr>
          <w:rFonts w:cs="Open Sans"/>
          <w:b/>
          <w:bCs/>
        </w:rPr>
        <w:t xml:space="preserve"> </w:t>
      </w:r>
      <w:r w:rsidR="78746AE5" w:rsidRPr="15363531">
        <w:rPr>
          <w:rFonts w:cs="Open Sans"/>
          <w:b/>
          <w:bCs/>
        </w:rPr>
        <w:t>to</w:t>
      </w:r>
      <w:r w:rsidR="178BD380" w:rsidRPr="15363531">
        <w:rPr>
          <w:rFonts w:cs="Open Sans"/>
          <w:b/>
          <w:bCs/>
        </w:rPr>
        <w:t>:</w:t>
      </w:r>
    </w:p>
    <w:p w14:paraId="5AD5355A" w14:textId="13C14DB9" w:rsidR="00EA6EDB" w:rsidRPr="00085011" w:rsidRDefault="178BD380" w:rsidP="00774ADB">
      <w:pPr>
        <w:pStyle w:val="SubmissionNormal"/>
        <w:numPr>
          <w:ilvl w:val="0"/>
          <w:numId w:val="40"/>
        </w:numPr>
        <w:rPr>
          <w:rFonts w:cs="Open Sans"/>
          <w:b/>
        </w:rPr>
      </w:pPr>
      <w:r w:rsidRPr="15363531">
        <w:rPr>
          <w:rFonts w:cs="Open Sans"/>
          <w:b/>
          <w:bCs/>
        </w:rPr>
        <w:t>include people with disability as a priority cohort</w:t>
      </w:r>
    </w:p>
    <w:p w14:paraId="1C973456" w14:textId="3D1C573F" w:rsidR="00774ADB" w:rsidRPr="00085011" w:rsidRDefault="178BD380" w:rsidP="008F40DD">
      <w:pPr>
        <w:pStyle w:val="SubmissionNormal"/>
        <w:numPr>
          <w:ilvl w:val="0"/>
          <w:numId w:val="40"/>
        </w:numPr>
        <w:rPr>
          <w:rFonts w:cs="Open Sans"/>
          <w:b/>
        </w:rPr>
      </w:pPr>
      <w:r w:rsidRPr="15363531">
        <w:rPr>
          <w:rFonts w:cs="Open Sans"/>
          <w:b/>
          <w:bCs/>
        </w:rPr>
        <w:t>align the agreement with Australia’s Disability Strategy</w:t>
      </w:r>
      <w:r w:rsidR="36B0A2C7" w:rsidRPr="15363531">
        <w:rPr>
          <w:rFonts w:cs="Open Sans"/>
          <w:b/>
          <w:bCs/>
        </w:rPr>
        <w:t>.</w:t>
      </w:r>
    </w:p>
    <w:p w14:paraId="2B4472C1" w14:textId="48668D76" w:rsidR="00EA6EDB" w:rsidRPr="00085011" w:rsidRDefault="00EA6EDB" w:rsidP="008215A9">
      <w:pPr>
        <w:pStyle w:val="SubmissionNormal"/>
        <w:numPr>
          <w:ilvl w:val="0"/>
          <w:numId w:val="0"/>
        </w:numPr>
        <w:rPr>
          <w:rFonts w:cs="Open Sans"/>
          <w:b/>
        </w:rPr>
      </w:pPr>
      <w:r w:rsidRPr="00085011">
        <w:rPr>
          <w:rFonts w:cs="Open Sans"/>
          <w:b/>
        </w:rPr>
        <w:t>Recommendation</w:t>
      </w:r>
      <w:r w:rsidR="001E5226">
        <w:rPr>
          <w:rFonts w:cs="Open Sans"/>
          <w:b/>
        </w:rPr>
        <w:t xml:space="preserve"> 19</w:t>
      </w:r>
      <w:r w:rsidRPr="00085011">
        <w:rPr>
          <w:rFonts w:cs="Open Sans"/>
          <w:b/>
        </w:rPr>
        <w:t>: The Australian Government</w:t>
      </w:r>
      <w:r w:rsidR="00150E00">
        <w:rPr>
          <w:rFonts w:cs="Open Sans"/>
          <w:b/>
        </w:rPr>
        <w:t xml:space="preserve"> should</w:t>
      </w:r>
      <w:r w:rsidRPr="00085011">
        <w:rPr>
          <w:rFonts w:cs="Open Sans"/>
          <w:b/>
        </w:rPr>
        <w:t xml:space="preserve"> develop a national poverty reduction plan that addresses disability as a cross-cutting issue.</w:t>
      </w:r>
    </w:p>
    <w:p w14:paraId="3AE0EB92" w14:textId="720D8CB5" w:rsidR="00150E00" w:rsidRDefault="00150E00" w:rsidP="00150E00">
      <w:r>
        <w:lastRenderedPageBreak/>
        <w:t>The Commission supports advice in the Productivity Commission’s 2022 study report</w:t>
      </w:r>
      <w:r w:rsidR="00D840A1">
        <w:t>,</w:t>
      </w:r>
      <w:r>
        <w:t xml:space="preserve"> </w:t>
      </w:r>
      <w:r w:rsidRPr="001E5AF0">
        <w:rPr>
          <w:i/>
          <w:iCs/>
        </w:rPr>
        <w:t>In Need of Repair</w:t>
      </w:r>
      <w:r w:rsidR="00D840A1">
        <w:t>,</w:t>
      </w:r>
      <w:r>
        <w:t xml:space="preserve"> that the next </w:t>
      </w:r>
      <w:r w:rsidRPr="00250F91">
        <w:t xml:space="preserve">National Housing and Homelessness </w:t>
      </w:r>
      <w:r>
        <w:t>Agreement ‘should align with Australia’s Disability Strategy’ and that the Strategy should include a housing Targeted Action Plan or a disability housing objective within the existing Safety Targeted Action Plan to assist all jurisdictions to include actions to address the availability of affordable and accessible housing for people with disability in their own strategies.</w:t>
      </w:r>
      <w:r>
        <w:rPr>
          <w:rStyle w:val="EndnoteReference"/>
        </w:rPr>
        <w:endnoteReference w:id="61"/>
      </w:r>
    </w:p>
    <w:p w14:paraId="75F9070E" w14:textId="2C93A0DA" w:rsidR="00D73E86" w:rsidRPr="008215A9" w:rsidRDefault="00C5174A" w:rsidP="00DD5A9C">
      <w:pPr>
        <w:rPr>
          <w:b/>
          <w:bCs/>
        </w:rPr>
      </w:pPr>
      <w:r w:rsidRPr="00085011">
        <w:rPr>
          <w:b/>
          <w:bCs/>
        </w:rPr>
        <w:t>Recommendation</w:t>
      </w:r>
      <w:r w:rsidR="00437FDE">
        <w:rPr>
          <w:b/>
          <w:bCs/>
        </w:rPr>
        <w:t xml:space="preserve"> </w:t>
      </w:r>
      <w:r w:rsidR="00D559FA">
        <w:rPr>
          <w:b/>
          <w:bCs/>
        </w:rPr>
        <w:t>20</w:t>
      </w:r>
      <w:r w:rsidRPr="00085011">
        <w:rPr>
          <w:b/>
          <w:bCs/>
        </w:rPr>
        <w:t xml:space="preserve">: </w:t>
      </w:r>
      <w:r w:rsidR="00085011">
        <w:rPr>
          <w:b/>
          <w:bCs/>
        </w:rPr>
        <w:t xml:space="preserve">The Australian Government develop </w:t>
      </w:r>
      <w:r w:rsidR="00F71992" w:rsidRPr="00085011">
        <w:rPr>
          <w:b/>
          <w:bCs/>
        </w:rPr>
        <w:t>a housing Targeted Action Plan</w:t>
      </w:r>
      <w:r w:rsidR="00085011">
        <w:rPr>
          <w:b/>
          <w:bCs/>
        </w:rPr>
        <w:t xml:space="preserve"> under Australia’s Disability Strategy</w:t>
      </w:r>
      <w:r w:rsidR="00A44612">
        <w:rPr>
          <w:b/>
          <w:bCs/>
        </w:rPr>
        <w:t>, which should include</w:t>
      </w:r>
      <w:r w:rsidR="00C566C9">
        <w:rPr>
          <w:b/>
          <w:bCs/>
        </w:rPr>
        <w:t xml:space="preserve"> considerations for:</w:t>
      </w:r>
    </w:p>
    <w:p w14:paraId="50A51A45" w14:textId="7FBEA16E" w:rsidR="00C566C9" w:rsidRDefault="476F1721" w:rsidP="00C566C9">
      <w:pPr>
        <w:pStyle w:val="ListParagraph"/>
        <w:numPr>
          <w:ilvl w:val="0"/>
          <w:numId w:val="44"/>
        </w:numPr>
        <w:rPr>
          <w:b/>
          <w:bCs/>
        </w:rPr>
      </w:pPr>
      <w:r w:rsidRPr="15363531">
        <w:rPr>
          <w:b/>
          <w:bCs/>
        </w:rPr>
        <w:t xml:space="preserve">security </w:t>
      </w:r>
      <w:r w:rsidR="002C304D">
        <w:rPr>
          <w:b/>
          <w:bCs/>
        </w:rPr>
        <w:t xml:space="preserve">and different types </w:t>
      </w:r>
      <w:r w:rsidRPr="15363531">
        <w:rPr>
          <w:b/>
          <w:bCs/>
        </w:rPr>
        <w:t>of tenancy</w:t>
      </w:r>
    </w:p>
    <w:p w14:paraId="238D09C8" w14:textId="257E638B" w:rsidR="00C566C9" w:rsidRDefault="56EA01F5" w:rsidP="00C566C9">
      <w:pPr>
        <w:pStyle w:val="ListParagraph"/>
        <w:numPr>
          <w:ilvl w:val="0"/>
          <w:numId w:val="44"/>
        </w:numPr>
        <w:rPr>
          <w:b/>
          <w:bCs/>
        </w:rPr>
      </w:pPr>
      <w:r w:rsidRPr="15363531">
        <w:rPr>
          <w:b/>
          <w:bCs/>
        </w:rPr>
        <w:t>design</w:t>
      </w:r>
    </w:p>
    <w:p w14:paraId="0EA87204" w14:textId="42DF83A9" w:rsidR="00722540" w:rsidRDefault="3250C210" w:rsidP="00C566C9">
      <w:pPr>
        <w:pStyle w:val="ListParagraph"/>
        <w:numPr>
          <w:ilvl w:val="0"/>
          <w:numId w:val="44"/>
        </w:numPr>
        <w:rPr>
          <w:b/>
          <w:bCs/>
        </w:rPr>
      </w:pPr>
      <w:r w:rsidRPr="15363531">
        <w:rPr>
          <w:b/>
          <w:bCs/>
        </w:rPr>
        <w:t>location</w:t>
      </w:r>
    </w:p>
    <w:p w14:paraId="254CBC1F" w14:textId="20B6C976" w:rsidR="00453397" w:rsidRDefault="00453397" w:rsidP="00C566C9">
      <w:pPr>
        <w:pStyle w:val="ListParagraph"/>
        <w:numPr>
          <w:ilvl w:val="0"/>
          <w:numId w:val="44"/>
        </w:numPr>
        <w:rPr>
          <w:b/>
          <w:bCs/>
        </w:rPr>
      </w:pPr>
      <w:r>
        <w:rPr>
          <w:b/>
          <w:bCs/>
        </w:rPr>
        <w:t>availability</w:t>
      </w:r>
    </w:p>
    <w:p w14:paraId="651080E1" w14:textId="5226E3D7" w:rsidR="00623CC1" w:rsidRDefault="3250C210" w:rsidP="00C566C9">
      <w:pPr>
        <w:pStyle w:val="ListParagraph"/>
        <w:numPr>
          <w:ilvl w:val="0"/>
          <w:numId w:val="44"/>
        </w:numPr>
        <w:rPr>
          <w:b/>
          <w:bCs/>
        </w:rPr>
      </w:pPr>
      <w:r w:rsidRPr="15363531">
        <w:rPr>
          <w:b/>
          <w:bCs/>
        </w:rPr>
        <w:t>affordability</w:t>
      </w:r>
    </w:p>
    <w:p w14:paraId="3D4CA810" w14:textId="5042C146" w:rsidR="00623CC1" w:rsidRPr="00C566C9" w:rsidRDefault="3250C210" w:rsidP="00C566C9">
      <w:pPr>
        <w:pStyle w:val="ListParagraph"/>
        <w:numPr>
          <w:ilvl w:val="0"/>
          <w:numId w:val="44"/>
        </w:numPr>
        <w:rPr>
          <w:b/>
          <w:bCs/>
        </w:rPr>
      </w:pPr>
      <w:r w:rsidRPr="15363531">
        <w:rPr>
          <w:b/>
          <w:bCs/>
        </w:rPr>
        <w:t>accessibility.</w:t>
      </w:r>
    </w:p>
    <w:p w14:paraId="17241682" w14:textId="77777777" w:rsidR="002543B2" w:rsidRDefault="002543B2">
      <w:pPr>
        <w:pStyle w:val="AHRCHeading2"/>
      </w:pPr>
      <w:bookmarkStart w:id="30" w:name="_Toc118299570"/>
      <w:bookmarkStart w:id="31" w:name="_Toc122679383"/>
      <w:r>
        <w:t xml:space="preserve">Article 25: </w:t>
      </w:r>
      <w:r w:rsidR="009D30BF">
        <w:t>Health</w:t>
      </w:r>
      <w:bookmarkEnd w:id="30"/>
      <w:bookmarkEnd w:id="31"/>
      <w:r w:rsidR="009D30BF">
        <w:t xml:space="preserve"> </w:t>
      </w:r>
    </w:p>
    <w:p w14:paraId="7902E73F" w14:textId="6F7D2AD1" w:rsidR="00047CD0" w:rsidRDefault="07EFCDF5" w:rsidP="00047CD0">
      <w:r>
        <w:t xml:space="preserve">Broadly </w:t>
      </w:r>
      <w:r w:rsidR="63B9B789">
        <w:t>a</w:t>
      </w:r>
      <w:r>
        <w:t xml:space="preserve">rticle 25 concerns the </w:t>
      </w:r>
      <w:r w:rsidR="08C96883">
        <w:t>right to the enjoyment of the highest attainable standard of health without discrimination on the basis of disability</w:t>
      </w:r>
      <w:r>
        <w:t>, and requi</w:t>
      </w:r>
      <w:r w:rsidR="14304762">
        <w:t xml:space="preserve">res State </w:t>
      </w:r>
      <w:r w:rsidR="27C2C10D">
        <w:t xml:space="preserve">Parties </w:t>
      </w:r>
      <w:r w:rsidR="14304762">
        <w:t>to</w:t>
      </w:r>
      <w:r w:rsidR="08C96883">
        <w:t xml:space="preserve"> take all appropriate measures to ensure access for persons with disabilities to health services</w:t>
      </w:r>
      <w:r w:rsidR="14304762">
        <w:t xml:space="preserve">. </w:t>
      </w:r>
      <w:r w:rsidR="08C96883">
        <w:t xml:space="preserve"> </w:t>
      </w:r>
    </w:p>
    <w:p w14:paraId="2B68F33F" w14:textId="38DB5137" w:rsidR="00BA02FB" w:rsidRPr="008F40DD" w:rsidRDefault="00BA02FB" w:rsidP="008F40DD">
      <w:pPr>
        <w:pStyle w:val="AHRCHeading3"/>
        <w:numPr>
          <w:ilvl w:val="0"/>
          <w:numId w:val="0"/>
        </w:numPr>
        <w:ind w:left="851" w:hanging="851"/>
        <w:rPr>
          <w:b/>
        </w:rPr>
      </w:pPr>
      <w:bookmarkStart w:id="32" w:name="_Toc122679384"/>
      <w:r>
        <w:rPr>
          <w:rFonts w:eastAsia="Times New Roman"/>
          <w:b/>
          <w:szCs w:val="24"/>
        </w:rPr>
        <w:t>Access to health care</w:t>
      </w:r>
      <w:bookmarkEnd w:id="32"/>
    </w:p>
    <w:p w14:paraId="7A031113" w14:textId="77777777" w:rsidR="005161BF" w:rsidRPr="00FA7A1B" w:rsidRDefault="005161BF" w:rsidP="008215A9">
      <w:pPr>
        <w:pStyle w:val="SubmissionNormal"/>
        <w:numPr>
          <w:ilvl w:val="0"/>
          <w:numId w:val="0"/>
        </w:numPr>
        <w:tabs>
          <w:tab w:val="num" w:pos="7383"/>
        </w:tabs>
        <w:autoSpaceDE w:val="0"/>
        <w:autoSpaceDN w:val="0"/>
        <w:adjustRightInd w:val="0"/>
        <w:spacing w:before="0" w:after="0"/>
        <w:rPr>
          <w:rFonts w:cs="Open Sans"/>
        </w:rPr>
      </w:pPr>
      <w:r w:rsidRPr="00FA7A1B">
        <w:rPr>
          <w:rFonts w:cs="Open Sans"/>
        </w:rPr>
        <w:t xml:space="preserve">The Commission is concerned that people with disability continue to face a range of barriers in accessing health services on an equal basis with others, without discrimination, including mental health services. </w:t>
      </w:r>
    </w:p>
    <w:p w14:paraId="70BBCF6F" w14:textId="2D92C590" w:rsidR="00626928" w:rsidRDefault="7832303E" w:rsidP="00626928">
      <w:r>
        <w:t>People with intellectual disability experience substantially elevated mortality rates above the general population, with over twice the rate of avoidable deaths (with at least 38% of deaths potentially avoidable) and lower rates of preventative healthcare and illness detection.</w:t>
      </w:r>
      <w:r w:rsidR="00F42A30" w:rsidRPr="15363531">
        <w:rPr>
          <w:rStyle w:val="EndnoteReference"/>
          <w:rFonts w:cs="Open Sans"/>
          <w:sz w:val="24"/>
        </w:rPr>
        <w:endnoteReference w:id="62"/>
      </w:r>
      <w:r>
        <w:t xml:space="preserve"> Health professionals face challenges communicating with people with intellectual disability, distinguishing health problems from disability, and diagnosing complex health conditions.</w:t>
      </w:r>
      <w:r w:rsidR="00301CE8" w:rsidRPr="15363531">
        <w:rPr>
          <w:rStyle w:val="EndnoteReference"/>
          <w:rFonts w:cs="Open Sans"/>
          <w:sz w:val="24"/>
        </w:rPr>
        <w:endnoteReference w:id="63"/>
      </w:r>
      <w:r>
        <w:t xml:space="preserve"> </w:t>
      </w:r>
    </w:p>
    <w:p w14:paraId="764238E9" w14:textId="444DE806" w:rsidR="00626928" w:rsidRDefault="00626928" w:rsidP="00626928">
      <w:r>
        <w:t xml:space="preserve">Aboriginal and Torres Strait Islander peoples with disability face unique, intersectional discrimination in accessing health services. People with disability in rural and remote areas also face considerable challenges to accessing </w:t>
      </w:r>
      <w:r>
        <w:lastRenderedPageBreak/>
        <w:t>affordable, accessible, quality and culturally sensitive health services. People with disability and their carers report travelling long distances, extensive waiting times and workforce shortages resulting in difficulties accessing therapy and high levels of unmet need.</w:t>
      </w:r>
      <w:r w:rsidR="001C0F78" w:rsidRPr="00FA7A1B">
        <w:rPr>
          <w:rStyle w:val="EndnoteReference"/>
          <w:rFonts w:cs="Open Sans"/>
          <w:sz w:val="24"/>
          <w:shd w:val="clear" w:color="auto" w:fill="FFFFFF"/>
        </w:rPr>
        <w:endnoteReference w:id="64"/>
      </w:r>
      <w:r>
        <w:t xml:space="preserve"> Physiotherapy, occupational therapy, speech pathology, and early intervention services are examples of services that are not readily available in regional and remote areas, yet these play an important role in supporting people with disability to participate in society on an equal basis with others. This lack of support is particularly exacerbated for children living in rural areas.</w:t>
      </w:r>
      <w:r w:rsidR="00986E3B" w:rsidRPr="00FA7A1B">
        <w:rPr>
          <w:rStyle w:val="EndnoteReference"/>
          <w:rFonts w:cs="Open Sans"/>
          <w:sz w:val="24"/>
          <w:shd w:val="clear" w:color="auto" w:fill="FFFFFF"/>
        </w:rPr>
        <w:endnoteReference w:id="65"/>
      </w:r>
      <w:r>
        <w:t xml:space="preserve"> </w:t>
      </w:r>
    </w:p>
    <w:p w14:paraId="2FB28491" w14:textId="5C0E0517" w:rsidR="00713510" w:rsidRDefault="00626928" w:rsidP="00161890">
      <w:r>
        <w:t>As noted by the Productivity Commission, there are concerns that ‘a lack of clarity at the interface of the NDIS and mainstream service systems, particularly the health system, is leading to people missing out on, or experiencing delayed access to, some services’.</w:t>
      </w:r>
      <w:r w:rsidR="000D0350" w:rsidRPr="00FA7A1B">
        <w:rPr>
          <w:rStyle w:val="EndnoteReference"/>
          <w:rFonts w:cs="Open Sans"/>
          <w:sz w:val="24"/>
        </w:rPr>
        <w:endnoteReference w:id="66"/>
      </w:r>
      <w:r w:rsidR="000D0350" w:rsidRPr="00FA7A1B">
        <w:rPr>
          <w:rFonts w:cs="Open Sans"/>
        </w:rPr>
        <w:t xml:space="preserve"> </w:t>
      </w:r>
      <w:r>
        <w:t>This includes services for people with psychosocial disability.</w:t>
      </w:r>
      <w:r w:rsidR="00EF37B9" w:rsidRPr="00FA7A1B">
        <w:rPr>
          <w:rStyle w:val="EndnoteReference"/>
          <w:rFonts w:cs="Open Sans"/>
          <w:sz w:val="24"/>
        </w:rPr>
        <w:endnoteReference w:id="67"/>
      </w:r>
      <w:r w:rsidR="00EF37B9" w:rsidRPr="00FA7A1B">
        <w:rPr>
          <w:rFonts w:cs="Open Sans"/>
        </w:rPr>
        <w:t xml:space="preserve"> </w:t>
      </w:r>
      <w:r>
        <w:t xml:space="preserve">  </w:t>
      </w:r>
    </w:p>
    <w:p w14:paraId="54C575F7" w14:textId="60094148" w:rsidR="009F04AB" w:rsidRPr="008215A9" w:rsidRDefault="009F04AB" w:rsidP="009F04AB">
      <w:pPr>
        <w:rPr>
          <w:b/>
          <w:bCs/>
        </w:rPr>
      </w:pPr>
      <w:r w:rsidRPr="008215A9">
        <w:rPr>
          <w:b/>
          <w:bCs/>
        </w:rPr>
        <w:t>Recommendation</w:t>
      </w:r>
      <w:r w:rsidR="00437FDE">
        <w:rPr>
          <w:b/>
          <w:bCs/>
        </w:rPr>
        <w:t xml:space="preserve"> 2</w:t>
      </w:r>
      <w:r w:rsidR="00D559FA">
        <w:rPr>
          <w:b/>
          <w:bCs/>
        </w:rPr>
        <w:t>1</w:t>
      </w:r>
      <w:r w:rsidRPr="008215A9">
        <w:rPr>
          <w:b/>
          <w:bCs/>
        </w:rPr>
        <w:t xml:space="preserve">: The Australian Government work with </w:t>
      </w:r>
      <w:r w:rsidR="00C10CF1">
        <w:rPr>
          <w:b/>
          <w:bCs/>
        </w:rPr>
        <w:t>S</w:t>
      </w:r>
      <w:r w:rsidRPr="008215A9">
        <w:rPr>
          <w:b/>
          <w:bCs/>
        </w:rPr>
        <w:t xml:space="preserve">tate and </w:t>
      </w:r>
      <w:r w:rsidR="002529A0">
        <w:rPr>
          <w:b/>
          <w:bCs/>
        </w:rPr>
        <w:t>T</w:t>
      </w:r>
      <w:r w:rsidRPr="008215A9">
        <w:rPr>
          <w:b/>
          <w:bCs/>
        </w:rPr>
        <w:t>erritory governments to develop an action plan</w:t>
      </w:r>
      <w:r w:rsidR="00855AFC">
        <w:rPr>
          <w:b/>
          <w:bCs/>
        </w:rPr>
        <w:t xml:space="preserve"> under Australia’s </w:t>
      </w:r>
      <w:r w:rsidR="001E63F1">
        <w:rPr>
          <w:b/>
          <w:bCs/>
        </w:rPr>
        <w:t>Disability Strategy</w:t>
      </w:r>
      <w:r w:rsidRPr="008215A9">
        <w:rPr>
          <w:b/>
          <w:bCs/>
        </w:rPr>
        <w:t xml:space="preserve"> </w:t>
      </w:r>
      <w:r w:rsidR="00822B0D">
        <w:rPr>
          <w:b/>
          <w:bCs/>
        </w:rPr>
        <w:t>committing to</w:t>
      </w:r>
      <w:r w:rsidRPr="008215A9">
        <w:rPr>
          <w:b/>
          <w:bCs/>
        </w:rPr>
        <w:t>:</w:t>
      </w:r>
    </w:p>
    <w:p w14:paraId="364B6F5B" w14:textId="34E31E7D" w:rsidR="009F04AB" w:rsidRPr="008F40DD" w:rsidRDefault="179055FE" w:rsidP="008F40DD">
      <w:pPr>
        <w:pStyle w:val="ListParagraph"/>
        <w:numPr>
          <w:ilvl w:val="0"/>
          <w:numId w:val="42"/>
        </w:numPr>
        <w:rPr>
          <w:b/>
          <w:bCs/>
        </w:rPr>
      </w:pPr>
      <w:r w:rsidRPr="15363531">
        <w:rPr>
          <w:b/>
          <w:bCs/>
        </w:rPr>
        <w:t>all people with disability hav</w:t>
      </w:r>
      <w:r w:rsidR="20EF5944" w:rsidRPr="15363531">
        <w:rPr>
          <w:b/>
          <w:bCs/>
        </w:rPr>
        <w:t>ing</w:t>
      </w:r>
      <w:r w:rsidRPr="15363531">
        <w:rPr>
          <w:b/>
          <w:bCs/>
        </w:rPr>
        <w:t xml:space="preserve"> access, on an equal basis with others, to affordable, accessible, quality and culturally sensitive health services, including sexual and reproductive health and mental health services, with particular consideration of people in rural and remote areas and Aboriginal and Torres Strait Islander </w:t>
      </w:r>
      <w:r w:rsidR="70388D27" w:rsidRPr="15363531">
        <w:rPr>
          <w:b/>
          <w:bCs/>
        </w:rPr>
        <w:t>P</w:t>
      </w:r>
      <w:r w:rsidRPr="15363531">
        <w:rPr>
          <w:b/>
          <w:bCs/>
        </w:rPr>
        <w:t xml:space="preserve">eoples with disability  </w:t>
      </w:r>
    </w:p>
    <w:p w14:paraId="06FBBBBF" w14:textId="081583A5" w:rsidR="009F04AB" w:rsidRPr="008F40DD" w:rsidRDefault="179055FE" w:rsidP="008F40DD">
      <w:pPr>
        <w:pStyle w:val="ListParagraph"/>
        <w:numPr>
          <w:ilvl w:val="0"/>
          <w:numId w:val="42"/>
        </w:numPr>
        <w:rPr>
          <w:b/>
          <w:bCs/>
        </w:rPr>
      </w:pPr>
      <w:r w:rsidRPr="15363531">
        <w:rPr>
          <w:b/>
          <w:bCs/>
        </w:rPr>
        <w:t xml:space="preserve">all health care services and programs </w:t>
      </w:r>
      <w:r w:rsidR="20EF5944" w:rsidRPr="15363531">
        <w:rPr>
          <w:b/>
          <w:bCs/>
        </w:rPr>
        <w:t>being</w:t>
      </w:r>
      <w:r w:rsidRPr="15363531">
        <w:rPr>
          <w:b/>
          <w:bCs/>
        </w:rPr>
        <w:t xml:space="preserve"> based on a human rights approach to disability, are non-discriminatory and seek informed consent prior to any medical treatment</w:t>
      </w:r>
    </w:p>
    <w:p w14:paraId="025E3F05" w14:textId="4A3B6410" w:rsidR="009F04AB" w:rsidRPr="008F40DD" w:rsidRDefault="179055FE" w:rsidP="008F40DD">
      <w:pPr>
        <w:pStyle w:val="ListParagraph"/>
        <w:numPr>
          <w:ilvl w:val="0"/>
          <w:numId w:val="42"/>
        </w:numPr>
        <w:rPr>
          <w:b/>
          <w:bCs/>
        </w:rPr>
      </w:pPr>
      <w:r w:rsidRPr="15363531">
        <w:rPr>
          <w:b/>
          <w:bCs/>
        </w:rPr>
        <w:t xml:space="preserve">health-care practitioners </w:t>
      </w:r>
      <w:r w:rsidR="20EF5944" w:rsidRPr="15363531">
        <w:rPr>
          <w:b/>
          <w:bCs/>
        </w:rPr>
        <w:t>being</w:t>
      </w:r>
      <w:r w:rsidRPr="15363531">
        <w:rPr>
          <w:b/>
          <w:bCs/>
        </w:rPr>
        <w:t xml:space="preserve"> provided with training on the human rights-based approach to disability to enhance their capacity to provide accessible, quality health care to people with disability. </w:t>
      </w:r>
    </w:p>
    <w:p w14:paraId="74A451DE" w14:textId="5E1A5DFE" w:rsidR="009F04AB" w:rsidRDefault="179055FE" w:rsidP="009F04AB">
      <w:pPr>
        <w:rPr>
          <w:b/>
          <w:bCs/>
        </w:rPr>
      </w:pPr>
      <w:r w:rsidRPr="15363531">
        <w:rPr>
          <w:b/>
          <w:bCs/>
        </w:rPr>
        <w:t>Recommendation</w:t>
      </w:r>
      <w:r w:rsidR="095C5B41" w:rsidRPr="15363531">
        <w:rPr>
          <w:b/>
          <w:bCs/>
        </w:rPr>
        <w:t xml:space="preserve"> 2</w:t>
      </w:r>
      <w:r w:rsidR="00D559FA">
        <w:rPr>
          <w:b/>
          <w:bCs/>
        </w:rPr>
        <w:t>2</w:t>
      </w:r>
      <w:r w:rsidRPr="15363531">
        <w:rPr>
          <w:b/>
          <w:bCs/>
        </w:rPr>
        <w:t xml:space="preserve">: The Australian Government redouble </w:t>
      </w:r>
      <w:r w:rsidR="610F4EAC" w:rsidRPr="15363531">
        <w:rPr>
          <w:b/>
          <w:bCs/>
        </w:rPr>
        <w:t xml:space="preserve">its </w:t>
      </w:r>
      <w:r w:rsidRPr="15363531">
        <w:rPr>
          <w:b/>
          <w:bCs/>
        </w:rPr>
        <w:t>efforts to achieve the Closing the Gap targets, including by adequately funding the National Aboriginal and Torres Strait Islander Health Plan, the Plan to Improve Outcomes for Aboriginal and Torres Strait Islander People with Disability and targeting programs to address the social determinants of health.</w:t>
      </w:r>
    </w:p>
    <w:p w14:paraId="63F6D1C9" w14:textId="77777777" w:rsidR="002168A7" w:rsidRDefault="002168A7" w:rsidP="002168A7">
      <w:pPr>
        <w:pStyle w:val="SubmissionNormal"/>
        <w:numPr>
          <w:ilvl w:val="0"/>
          <w:numId w:val="0"/>
        </w:numPr>
        <w:tabs>
          <w:tab w:val="num" w:pos="7383"/>
        </w:tabs>
        <w:autoSpaceDE w:val="0"/>
        <w:autoSpaceDN w:val="0"/>
        <w:adjustRightInd w:val="0"/>
        <w:spacing w:before="0" w:after="0"/>
        <w:rPr>
          <w:rFonts w:cs="Open Sans"/>
        </w:rPr>
      </w:pPr>
      <w:r>
        <w:rPr>
          <w:rFonts w:cs="Open Sans"/>
        </w:rPr>
        <w:lastRenderedPageBreak/>
        <w:t>Article 25 of the CRPD requires health professionals to provide care on the basis of free and informed consent, and the issue of forced contraceptive treatment and sterilisation also touches upon article 6 of the CRPD which seeks to ‘ensure the full development, advancement and empowerment of women’.</w:t>
      </w:r>
      <w:r>
        <w:rPr>
          <w:rStyle w:val="EndnoteReference"/>
          <w:rFonts w:cs="Open Sans"/>
        </w:rPr>
        <w:endnoteReference w:id="68"/>
      </w:r>
      <w:r>
        <w:rPr>
          <w:rFonts w:cs="Open Sans"/>
        </w:rPr>
        <w:t xml:space="preserve"> </w:t>
      </w:r>
    </w:p>
    <w:p w14:paraId="0CA3DEA6" w14:textId="77777777" w:rsidR="007C50FB" w:rsidRDefault="007C50FB" w:rsidP="00BA02FB">
      <w:pPr>
        <w:pStyle w:val="SubmissionNormal"/>
        <w:numPr>
          <w:ilvl w:val="0"/>
          <w:numId w:val="0"/>
        </w:numPr>
        <w:tabs>
          <w:tab w:val="num" w:pos="7383"/>
        </w:tabs>
        <w:autoSpaceDE w:val="0"/>
        <w:autoSpaceDN w:val="0"/>
        <w:adjustRightInd w:val="0"/>
        <w:spacing w:before="0" w:after="0"/>
        <w:rPr>
          <w:rFonts w:cs="Open Sans"/>
        </w:rPr>
      </w:pPr>
    </w:p>
    <w:p w14:paraId="7150DA61" w14:textId="2AEB8361" w:rsidR="009F04AB" w:rsidRDefault="5BD8B518" w:rsidP="00BA02FB">
      <w:pPr>
        <w:pStyle w:val="SubmissionNormal"/>
        <w:numPr>
          <w:ilvl w:val="0"/>
          <w:numId w:val="0"/>
        </w:numPr>
        <w:tabs>
          <w:tab w:val="num" w:pos="7383"/>
        </w:tabs>
        <w:autoSpaceDE w:val="0"/>
        <w:autoSpaceDN w:val="0"/>
        <w:adjustRightInd w:val="0"/>
        <w:spacing w:before="0" w:after="0"/>
        <w:rPr>
          <w:rFonts w:cs="Open Sans"/>
        </w:rPr>
      </w:pPr>
      <w:r w:rsidRPr="00FA7A1B">
        <w:rPr>
          <w:rFonts w:cs="Open Sans"/>
        </w:rPr>
        <w:t xml:space="preserve">The </w:t>
      </w:r>
      <w:r w:rsidRPr="00FA7A1B">
        <w:rPr>
          <w:rFonts w:cs="Open Sans"/>
          <w:color w:val="000000"/>
        </w:rPr>
        <w:t>Commission</w:t>
      </w:r>
      <w:r w:rsidRPr="00FA7A1B">
        <w:rPr>
          <w:rFonts w:cs="Open Sans"/>
        </w:rPr>
        <w:t xml:space="preserve"> remains deeply concerned that the sterilisation of people with disability, particularly women and girls with disability, continues to take place in Australia without </w:t>
      </w:r>
      <w:r w:rsidR="507AA4D4" w:rsidRPr="00FA7A1B">
        <w:rPr>
          <w:rFonts w:cs="Open Sans"/>
        </w:rPr>
        <w:t xml:space="preserve">their </w:t>
      </w:r>
      <w:r w:rsidRPr="00FA7A1B">
        <w:rPr>
          <w:rFonts w:cs="Open Sans"/>
        </w:rPr>
        <w:t>free, prior and informed consent.</w:t>
      </w:r>
      <w:r w:rsidR="007049DE" w:rsidRPr="15363531">
        <w:rPr>
          <w:rStyle w:val="EndnoteReference"/>
          <w:rFonts w:cs="Open Sans"/>
          <w:sz w:val="24"/>
        </w:rPr>
        <w:endnoteReference w:id="69"/>
      </w:r>
      <w:r w:rsidRPr="00FA7A1B">
        <w:rPr>
          <w:rFonts w:cs="Open Sans"/>
        </w:rPr>
        <w:t xml:space="preserve"> </w:t>
      </w:r>
      <w:r>
        <w:rPr>
          <w:rFonts w:cs="Open Sans"/>
        </w:rPr>
        <w:t xml:space="preserve">The Commission is </w:t>
      </w:r>
      <w:r w:rsidRPr="00FA7A1B">
        <w:rPr>
          <w:rFonts w:cs="Open Sans"/>
        </w:rPr>
        <w:t xml:space="preserve">also concerned </w:t>
      </w:r>
      <w:r>
        <w:rPr>
          <w:rFonts w:cs="Open Sans"/>
        </w:rPr>
        <w:t xml:space="preserve">by </w:t>
      </w:r>
      <w:r w:rsidRPr="00FA7A1B">
        <w:rPr>
          <w:rFonts w:cs="Open Sans"/>
        </w:rPr>
        <w:t>the</w:t>
      </w:r>
      <w:r>
        <w:rPr>
          <w:rFonts w:cs="Open Sans"/>
        </w:rPr>
        <w:t xml:space="preserve"> forced </w:t>
      </w:r>
      <w:r w:rsidRPr="00FA7A1B">
        <w:rPr>
          <w:rFonts w:cs="Open Sans"/>
        </w:rPr>
        <w:t>administration of contraceptives and abortion procedures.</w:t>
      </w:r>
      <w:r w:rsidR="007049DE" w:rsidRPr="15363531">
        <w:rPr>
          <w:rStyle w:val="EndnoteReference"/>
          <w:rFonts w:cs="Open Sans"/>
          <w:sz w:val="24"/>
        </w:rPr>
        <w:endnoteReference w:id="70"/>
      </w:r>
      <w:r w:rsidRPr="00FA7A1B">
        <w:rPr>
          <w:rFonts w:cs="Open Sans"/>
        </w:rPr>
        <w:t xml:space="preserve"> </w:t>
      </w:r>
    </w:p>
    <w:p w14:paraId="517C90D3" w14:textId="77777777" w:rsidR="006B6A13" w:rsidRDefault="006B6A13" w:rsidP="00BA02FB">
      <w:pPr>
        <w:pStyle w:val="SubmissionNormal"/>
        <w:numPr>
          <w:ilvl w:val="0"/>
          <w:numId w:val="0"/>
        </w:numPr>
        <w:tabs>
          <w:tab w:val="num" w:pos="7383"/>
        </w:tabs>
        <w:autoSpaceDE w:val="0"/>
        <w:autoSpaceDN w:val="0"/>
        <w:adjustRightInd w:val="0"/>
        <w:spacing w:before="0" w:after="0"/>
        <w:rPr>
          <w:rFonts w:cs="Open Sans"/>
        </w:rPr>
      </w:pPr>
    </w:p>
    <w:p w14:paraId="10547170" w14:textId="4CD2E746" w:rsidR="00FE0C5B" w:rsidRDefault="008927AD" w:rsidP="00BA02FB">
      <w:pPr>
        <w:pStyle w:val="SubmissionNormal"/>
        <w:numPr>
          <w:ilvl w:val="0"/>
          <w:numId w:val="0"/>
        </w:numPr>
        <w:tabs>
          <w:tab w:val="num" w:pos="7383"/>
        </w:tabs>
        <w:autoSpaceDE w:val="0"/>
        <w:autoSpaceDN w:val="0"/>
        <w:adjustRightInd w:val="0"/>
        <w:spacing w:before="0" w:after="0"/>
        <w:rPr>
          <w:rFonts w:cs="Open Sans"/>
        </w:rPr>
      </w:pPr>
      <w:r>
        <w:rPr>
          <w:rFonts w:cs="Open Sans"/>
        </w:rPr>
        <w:t xml:space="preserve">The recommendations below are </w:t>
      </w:r>
      <w:r w:rsidR="00EC20A7">
        <w:rPr>
          <w:rFonts w:cs="Open Sans"/>
        </w:rPr>
        <w:t xml:space="preserve">partly </w:t>
      </w:r>
      <w:r>
        <w:rPr>
          <w:rFonts w:cs="Open Sans"/>
        </w:rPr>
        <w:t xml:space="preserve">informed by the </w:t>
      </w:r>
      <w:r w:rsidR="006B6A13">
        <w:rPr>
          <w:rFonts w:cs="Open Sans"/>
        </w:rPr>
        <w:t>Commission</w:t>
      </w:r>
      <w:r w:rsidR="0066130F">
        <w:rPr>
          <w:rFonts w:cs="Open Sans"/>
        </w:rPr>
        <w:t xml:space="preserve">’s </w:t>
      </w:r>
      <w:r w:rsidR="00A948EE">
        <w:rPr>
          <w:rFonts w:cs="Open Sans"/>
        </w:rPr>
        <w:t xml:space="preserve">2021 Report </w:t>
      </w:r>
      <w:r w:rsidR="002A105B">
        <w:rPr>
          <w:rFonts w:cs="Open Sans"/>
        </w:rPr>
        <w:t>‘</w:t>
      </w:r>
      <w:r w:rsidR="002A105B" w:rsidRPr="001E5AF0">
        <w:rPr>
          <w:rFonts w:cs="Open Sans"/>
          <w:i/>
          <w:iCs/>
        </w:rPr>
        <w:t>Ensuring health and bodily integrity: towards a human rights approach for people born with variations in sex characteristics</w:t>
      </w:r>
      <w:r w:rsidR="005F11EA" w:rsidRPr="001E5AF0">
        <w:rPr>
          <w:rFonts w:cs="Open Sans"/>
          <w:i/>
          <w:iCs/>
        </w:rPr>
        <w:t>’</w:t>
      </w:r>
      <w:r w:rsidR="005A62DB">
        <w:rPr>
          <w:rStyle w:val="EndnoteReference"/>
          <w:rFonts w:cs="Open Sans"/>
        </w:rPr>
        <w:endnoteReference w:id="71"/>
      </w:r>
      <w:r w:rsidR="0019401A">
        <w:rPr>
          <w:rFonts w:cs="Open Sans"/>
        </w:rPr>
        <w:t xml:space="preserve">, </w:t>
      </w:r>
      <w:r w:rsidR="00847DDD">
        <w:rPr>
          <w:rFonts w:cs="Open Sans"/>
        </w:rPr>
        <w:t xml:space="preserve">which </w:t>
      </w:r>
      <w:r w:rsidR="005A62DB">
        <w:rPr>
          <w:rFonts w:cs="Open Sans"/>
        </w:rPr>
        <w:t>looks specifically at</w:t>
      </w:r>
      <w:r w:rsidR="00BB3E35">
        <w:rPr>
          <w:rFonts w:cs="Open Sans"/>
        </w:rPr>
        <w:t xml:space="preserve"> the implementation of CRPD </w:t>
      </w:r>
      <w:r w:rsidR="00C1182B">
        <w:rPr>
          <w:rFonts w:cs="Open Sans"/>
        </w:rPr>
        <w:t xml:space="preserve">rights </w:t>
      </w:r>
      <w:r w:rsidR="00BB3E35">
        <w:rPr>
          <w:rFonts w:cs="Open Sans"/>
        </w:rPr>
        <w:t xml:space="preserve">of people </w:t>
      </w:r>
      <w:r w:rsidR="00983571" w:rsidRPr="00983571">
        <w:rPr>
          <w:rFonts w:cs="Open Sans"/>
        </w:rPr>
        <w:t>born with variations in sex characteristics</w:t>
      </w:r>
      <w:r w:rsidR="005C4A29">
        <w:rPr>
          <w:rFonts w:cs="Open Sans"/>
        </w:rPr>
        <w:t xml:space="preserve"> in the context of consenting to medical intervention</w:t>
      </w:r>
      <w:r w:rsidR="00C210E8">
        <w:rPr>
          <w:rFonts w:cs="Open Sans"/>
        </w:rPr>
        <w:t>.</w:t>
      </w:r>
    </w:p>
    <w:p w14:paraId="13A6EFBB" w14:textId="3494B643" w:rsidR="00437FDE" w:rsidRPr="00FA7A1B" w:rsidRDefault="009F04AB" w:rsidP="009F04AB">
      <w:pPr>
        <w:pStyle w:val="SubmissionNormal"/>
        <w:numPr>
          <w:ilvl w:val="0"/>
          <w:numId w:val="0"/>
        </w:numPr>
        <w:spacing w:after="0"/>
        <w:rPr>
          <w:rFonts w:cs="Open Sans"/>
          <w:b/>
        </w:rPr>
      </w:pPr>
      <w:r w:rsidRPr="00FA7A1B">
        <w:rPr>
          <w:rFonts w:cs="Open Sans"/>
          <w:b/>
        </w:rPr>
        <w:t>Recommendation</w:t>
      </w:r>
      <w:r w:rsidR="00437FDE">
        <w:rPr>
          <w:rFonts w:cs="Open Sans"/>
          <w:b/>
        </w:rPr>
        <w:t xml:space="preserve"> 2</w:t>
      </w:r>
      <w:r w:rsidR="003F6B17">
        <w:rPr>
          <w:rFonts w:cs="Open Sans"/>
          <w:b/>
        </w:rPr>
        <w:t>3</w:t>
      </w:r>
      <w:r w:rsidRPr="00FA7A1B">
        <w:rPr>
          <w:rFonts w:cs="Open Sans"/>
          <w:b/>
        </w:rPr>
        <w:t>: The Australian Government</w:t>
      </w:r>
      <w:r>
        <w:rPr>
          <w:rFonts w:cs="Open Sans"/>
          <w:b/>
        </w:rPr>
        <w:t>, and</w:t>
      </w:r>
      <w:r w:rsidRPr="00FA7A1B">
        <w:rPr>
          <w:rFonts w:cs="Open Sans"/>
          <w:b/>
        </w:rPr>
        <w:t xml:space="preserve"> </w:t>
      </w:r>
      <w:r w:rsidR="00064854">
        <w:rPr>
          <w:rFonts w:cs="Open Sans"/>
          <w:b/>
        </w:rPr>
        <w:t>s</w:t>
      </w:r>
      <w:r w:rsidRPr="00FA7A1B">
        <w:rPr>
          <w:rFonts w:cs="Open Sans"/>
          <w:b/>
        </w:rPr>
        <w:t xml:space="preserve">tate and </w:t>
      </w:r>
      <w:r w:rsidR="00064854">
        <w:rPr>
          <w:rFonts w:cs="Open Sans"/>
          <w:b/>
        </w:rPr>
        <w:t>t</w:t>
      </w:r>
      <w:r w:rsidRPr="00FA7A1B">
        <w:rPr>
          <w:rFonts w:cs="Open Sans"/>
          <w:b/>
        </w:rPr>
        <w:t>erritory governments</w:t>
      </w:r>
      <w:r>
        <w:rPr>
          <w:rFonts w:cs="Open Sans"/>
          <w:b/>
        </w:rPr>
        <w:t xml:space="preserve">, </w:t>
      </w:r>
      <w:r w:rsidRPr="00FA7A1B">
        <w:rPr>
          <w:rFonts w:cs="Open Sans"/>
          <w:b/>
        </w:rPr>
        <w:t>adopt uniform legislation prohibiting, in the absence of the free, prior and informed consent of the person concerned:</w:t>
      </w:r>
    </w:p>
    <w:p w14:paraId="47245005" w14:textId="77777777" w:rsidR="009F04AB" w:rsidRPr="00FA7A1B" w:rsidRDefault="009F04AB" w:rsidP="001E5AF0">
      <w:pPr>
        <w:pStyle w:val="SubmissionNormal"/>
        <w:numPr>
          <w:ilvl w:val="0"/>
          <w:numId w:val="48"/>
        </w:numPr>
        <w:spacing w:before="0" w:after="0"/>
        <w:rPr>
          <w:rFonts w:cs="Open Sans"/>
          <w:b/>
        </w:rPr>
      </w:pPr>
      <w:r w:rsidRPr="00FA7A1B">
        <w:rPr>
          <w:rFonts w:cs="Open Sans"/>
          <w:b/>
        </w:rPr>
        <w:t>the administration of contraceptives and abortion procedures on women and girls with disability</w:t>
      </w:r>
    </w:p>
    <w:p w14:paraId="571E9D37" w14:textId="77777777" w:rsidR="009F04AB" w:rsidRPr="00FA7A1B" w:rsidRDefault="009F04AB" w:rsidP="001E5AF0">
      <w:pPr>
        <w:pStyle w:val="SubmissionNormal"/>
        <w:numPr>
          <w:ilvl w:val="0"/>
          <w:numId w:val="48"/>
        </w:numPr>
        <w:spacing w:before="0" w:after="0"/>
        <w:rPr>
          <w:rFonts w:cs="Open Sans"/>
          <w:b/>
        </w:rPr>
      </w:pPr>
      <w:r w:rsidRPr="00FA7A1B">
        <w:rPr>
          <w:rFonts w:cs="Open Sans"/>
          <w:b/>
        </w:rPr>
        <w:t>the sterilisation of adults and children with disability.</w:t>
      </w:r>
    </w:p>
    <w:p w14:paraId="4C82392C" w14:textId="77777777" w:rsidR="009F04AB" w:rsidRPr="00FA7A1B" w:rsidRDefault="009F04AB" w:rsidP="009F04AB">
      <w:pPr>
        <w:pStyle w:val="SubmissionNormal"/>
        <w:numPr>
          <w:ilvl w:val="0"/>
          <w:numId w:val="0"/>
        </w:numPr>
        <w:spacing w:before="0" w:after="0"/>
        <w:rPr>
          <w:rFonts w:cs="Open Sans"/>
          <w:b/>
        </w:rPr>
      </w:pPr>
    </w:p>
    <w:p w14:paraId="3AD81FEE" w14:textId="3201F70D" w:rsidR="009F04AB" w:rsidRDefault="009F04AB" w:rsidP="009F04AB">
      <w:pPr>
        <w:pStyle w:val="SubmissionNormal"/>
        <w:numPr>
          <w:ilvl w:val="0"/>
          <w:numId w:val="0"/>
        </w:numPr>
        <w:spacing w:before="0" w:after="0"/>
        <w:rPr>
          <w:rFonts w:cs="Open Sans"/>
          <w:b/>
        </w:rPr>
      </w:pPr>
      <w:r w:rsidRPr="00FA7A1B">
        <w:rPr>
          <w:rFonts w:cs="Open Sans"/>
          <w:b/>
        </w:rPr>
        <w:t>Recommendation</w:t>
      </w:r>
      <w:r w:rsidR="009C7144">
        <w:rPr>
          <w:rFonts w:cs="Open Sans"/>
          <w:b/>
        </w:rPr>
        <w:t xml:space="preserve"> </w:t>
      </w:r>
      <w:r w:rsidR="003F6B17">
        <w:rPr>
          <w:rFonts w:cs="Open Sans"/>
          <w:b/>
        </w:rPr>
        <w:t>24</w:t>
      </w:r>
      <w:r w:rsidRPr="00FA7A1B">
        <w:rPr>
          <w:rFonts w:cs="Open Sans"/>
          <w:b/>
        </w:rPr>
        <w:t xml:space="preserve">: The Australian Government review and amend the Family Law Rules 2004 relating to Medical Procedure Applications so that they align with the </w:t>
      </w:r>
      <w:r>
        <w:rPr>
          <w:rFonts w:cs="Open Sans"/>
          <w:b/>
        </w:rPr>
        <w:t>Convention on the Rights of Persons with Disabilities</w:t>
      </w:r>
      <w:r w:rsidRPr="00FA7A1B">
        <w:rPr>
          <w:rFonts w:cs="Open Sans"/>
          <w:b/>
        </w:rPr>
        <w:t xml:space="preserve"> and the </w:t>
      </w:r>
      <w:r>
        <w:rPr>
          <w:rFonts w:cs="Open Sans"/>
          <w:b/>
        </w:rPr>
        <w:t>Convention on the Rights of the Child</w:t>
      </w:r>
      <w:r w:rsidRPr="00FA7A1B">
        <w:rPr>
          <w:rFonts w:cs="Open Sans"/>
          <w:b/>
        </w:rPr>
        <w:t xml:space="preserve">. </w:t>
      </w:r>
    </w:p>
    <w:p w14:paraId="6C805E42" w14:textId="77777777" w:rsidR="00085011" w:rsidRPr="00FA7A1B" w:rsidRDefault="00085011" w:rsidP="009F04AB">
      <w:pPr>
        <w:pStyle w:val="SubmissionNormal"/>
        <w:numPr>
          <w:ilvl w:val="0"/>
          <w:numId w:val="0"/>
        </w:numPr>
        <w:spacing w:before="0" w:after="0"/>
        <w:rPr>
          <w:rFonts w:cs="Open Sans"/>
          <w:b/>
        </w:rPr>
      </w:pPr>
    </w:p>
    <w:p w14:paraId="7D495060" w14:textId="106F8BB0" w:rsidR="00BF317F" w:rsidRPr="001E5AF0" w:rsidRDefault="009F04AB" w:rsidP="00E53111">
      <w:pPr>
        <w:pStyle w:val="SubmissionNormal"/>
        <w:numPr>
          <w:ilvl w:val="0"/>
          <w:numId w:val="0"/>
        </w:numPr>
        <w:tabs>
          <w:tab w:val="num" w:pos="7383"/>
        </w:tabs>
        <w:autoSpaceDE w:val="0"/>
        <w:autoSpaceDN w:val="0"/>
        <w:adjustRightInd w:val="0"/>
        <w:spacing w:before="0" w:after="0"/>
        <w:rPr>
          <w:rFonts w:cs="Open Sans"/>
          <w:b/>
          <w:bCs/>
        </w:rPr>
      </w:pPr>
      <w:r w:rsidRPr="00DC5820">
        <w:rPr>
          <w:rFonts w:cs="Open Sans"/>
          <w:b/>
        </w:rPr>
        <w:t>Recommendation</w:t>
      </w:r>
      <w:r w:rsidR="008E6CDC" w:rsidRPr="00DC5820">
        <w:rPr>
          <w:rFonts w:cs="Open Sans"/>
          <w:b/>
        </w:rPr>
        <w:t xml:space="preserve"> 2</w:t>
      </w:r>
      <w:r w:rsidR="003F6B17" w:rsidRPr="00DC5820">
        <w:rPr>
          <w:rFonts w:cs="Open Sans"/>
          <w:b/>
        </w:rPr>
        <w:t>5</w:t>
      </w:r>
      <w:r w:rsidRPr="00DC5820">
        <w:rPr>
          <w:rFonts w:cs="Open Sans"/>
          <w:b/>
        </w:rPr>
        <w:t xml:space="preserve">: The Australian Government, with </w:t>
      </w:r>
      <w:r w:rsidR="00064854" w:rsidRPr="00DC5820">
        <w:rPr>
          <w:rFonts w:cs="Open Sans"/>
          <w:b/>
          <w:bCs/>
        </w:rPr>
        <w:t>s</w:t>
      </w:r>
      <w:r w:rsidRPr="00DC5820">
        <w:rPr>
          <w:rFonts w:cs="Open Sans"/>
          <w:b/>
        </w:rPr>
        <w:t xml:space="preserve">tate and </w:t>
      </w:r>
      <w:r w:rsidR="00064854" w:rsidRPr="00DC5820">
        <w:rPr>
          <w:rFonts w:cs="Open Sans"/>
          <w:b/>
          <w:bCs/>
        </w:rPr>
        <w:t>t</w:t>
      </w:r>
      <w:r w:rsidRPr="00DC5820">
        <w:rPr>
          <w:rFonts w:cs="Open Sans"/>
          <w:b/>
        </w:rPr>
        <w:t>erritory governments, develop a nationally consistent human rights-based approach to decision-making about medical interventions on children with variations in sex characteristics</w:t>
      </w:r>
      <w:r w:rsidR="00155235" w:rsidRPr="00DC5820">
        <w:rPr>
          <w:rFonts w:cs="Open Sans"/>
          <w:b/>
        </w:rPr>
        <w:t xml:space="preserve"> </w:t>
      </w:r>
      <w:r w:rsidR="00155235" w:rsidRPr="00DC5820">
        <w:rPr>
          <w:rFonts w:cs="Open Sans"/>
          <w:b/>
          <w:bCs/>
        </w:rPr>
        <w:t>based on the following principles</w:t>
      </w:r>
      <w:r w:rsidR="003134FB" w:rsidRPr="00DC5820">
        <w:rPr>
          <w:rFonts w:cs="Open Sans"/>
          <w:b/>
          <w:bCs/>
        </w:rPr>
        <w:t xml:space="preserve"> outlined in the </w:t>
      </w:r>
      <w:r w:rsidR="00384B76" w:rsidRPr="00DC5820">
        <w:rPr>
          <w:rFonts w:cs="Open Sans"/>
          <w:b/>
          <w:bCs/>
        </w:rPr>
        <w:t xml:space="preserve">Australian Human Rights Commission’s </w:t>
      </w:r>
      <w:r w:rsidR="00207BC5" w:rsidRPr="00DC5820">
        <w:rPr>
          <w:rFonts w:cs="Open Sans"/>
          <w:b/>
          <w:bCs/>
        </w:rPr>
        <w:t>‘</w:t>
      </w:r>
      <w:r w:rsidR="00207BC5" w:rsidRPr="00512C2D">
        <w:rPr>
          <w:rFonts w:cs="Open Sans"/>
          <w:b/>
          <w:bCs/>
          <w:i/>
          <w:iCs/>
        </w:rPr>
        <w:t xml:space="preserve">Ensuring </w:t>
      </w:r>
      <w:r w:rsidR="003125D0" w:rsidRPr="00512C2D">
        <w:rPr>
          <w:rFonts w:cs="Open Sans"/>
          <w:b/>
          <w:bCs/>
          <w:i/>
          <w:iCs/>
        </w:rPr>
        <w:t>health and bodily Integrity</w:t>
      </w:r>
      <w:r w:rsidR="00F75AFC" w:rsidRPr="00512C2D">
        <w:rPr>
          <w:rFonts w:cs="Open Sans"/>
          <w:b/>
          <w:bCs/>
          <w:i/>
          <w:iCs/>
        </w:rPr>
        <w:t>’</w:t>
      </w:r>
      <w:r w:rsidR="00F75AFC" w:rsidRPr="00DC5820">
        <w:rPr>
          <w:rFonts w:cs="Open Sans"/>
          <w:b/>
          <w:bCs/>
        </w:rPr>
        <w:t xml:space="preserve"> </w:t>
      </w:r>
      <w:r w:rsidR="00354092" w:rsidRPr="00DC5820">
        <w:rPr>
          <w:rFonts w:cs="Open Sans"/>
          <w:b/>
          <w:bCs/>
        </w:rPr>
        <w:t>report</w:t>
      </w:r>
      <w:r w:rsidR="00155235" w:rsidRPr="00DC5820">
        <w:rPr>
          <w:rFonts w:cs="Open Sans"/>
          <w:b/>
          <w:bCs/>
        </w:rPr>
        <w:t>:</w:t>
      </w:r>
    </w:p>
    <w:p w14:paraId="7BFF2611" w14:textId="224E89E0" w:rsidR="00753D20" w:rsidRPr="001E5AF0" w:rsidRDefault="00DC5820" w:rsidP="00512C2D">
      <w:pPr>
        <w:pStyle w:val="ListParagraph"/>
        <w:numPr>
          <w:ilvl w:val="0"/>
          <w:numId w:val="41"/>
        </w:numPr>
        <w:rPr>
          <w:b/>
          <w:bCs/>
        </w:rPr>
      </w:pPr>
      <w:r>
        <w:rPr>
          <w:b/>
          <w:bCs/>
        </w:rPr>
        <w:t>b</w:t>
      </w:r>
      <w:r w:rsidR="00753D20" w:rsidRPr="001E5AF0">
        <w:rPr>
          <w:b/>
          <w:bCs/>
        </w:rPr>
        <w:t>odily integrity</w:t>
      </w:r>
    </w:p>
    <w:p w14:paraId="58AE6A02" w14:textId="3A0C0CEC" w:rsidR="001270D4" w:rsidRPr="001E5AF0" w:rsidRDefault="00DC5820" w:rsidP="00512C2D">
      <w:pPr>
        <w:pStyle w:val="ListParagraph"/>
        <w:numPr>
          <w:ilvl w:val="0"/>
          <w:numId w:val="41"/>
        </w:numPr>
        <w:rPr>
          <w:b/>
          <w:bCs/>
        </w:rPr>
      </w:pPr>
      <w:r>
        <w:rPr>
          <w:b/>
          <w:bCs/>
        </w:rPr>
        <w:t>c</w:t>
      </w:r>
      <w:r w:rsidR="00753D20" w:rsidRPr="001E5AF0">
        <w:rPr>
          <w:b/>
          <w:bCs/>
        </w:rPr>
        <w:t xml:space="preserve">hildren’s agency </w:t>
      </w:r>
    </w:p>
    <w:p w14:paraId="28B56624" w14:textId="7B589C90" w:rsidR="001270D4" w:rsidRPr="001E5AF0" w:rsidRDefault="00DC5820" w:rsidP="00512C2D">
      <w:pPr>
        <w:pStyle w:val="ListParagraph"/>
        <w:numPr>
          <w:ilvl w:val="0"/>
          <w:numId w:val="41"/>
        </w:numPr>
        <w:rPr>
          <w:b/>
          <w:bCs/>
        </w:rPr>
      </w:pPr>
      <w:r>
        <w:rPr>
          <w:b/>
          <w:bCs/>
        </w:rPr>
        <w:t>p</w:t>
      </w:r>
      <w:r w:rsidR="00753D20" w:rsidRPr="001E5AF0">
        <w:rPr>
          <w:b/>
          <w:bCs/>
        </w:rPr>
        <w:t>recautionary principle</w:t>
      </w:r>
    </w:p>
    <w:p w14:paraId="3EBC9C77" w14:textId="117B308F" w:rsidR="00A25A44" w:rsidRPr="001E5AF0" w:rsidRDefault="00DC5820" w:rsidP="001E5AF0">
      <w:pPr>
        <w:pStyle w:val="ListParagraph"/>
        <w:numPr>
          <w:ilvl w:val="0"/>
          <w:numId w:val="41"/>
        </w:numPr>
        <w:rPr>
          <w:b/>
          <w:bCs/>
        </w:rPr>
      </w:pPr>
      <w:r>
        <w:rPr>
          <w:b/>
          <w:bCs/>
        </w:rPr>
        <w:t>m</w:t>
      </w:r>
      <w:r w:rsidR="00A25A44" w:rsidRPr="001E5AF0">
        <w:rPr>
          <w:b/>
          <w:bCs/>
        </w:rPr>
        <w:t>edical necessity</w:t>
      </w:r>
    </w:p>
    <w:p w14:paraId="521C2C9F" w14:textId="3E029552" w:rsidR="001270D4" w:rsidRPr="001E5AF0" w:rsidRDefault="00DC5820" w:rsidP="001E5AF0">
      <w:pPr>
        <w:pStyle w:val="ListParagraph"/>
        <w:numPr>
          <w:ilvl w:val="0"/>
          <w:numId w:val="41"/>
        </w:numPr>
        <w:rPr>
          <w:b/>
          <w:bCs/>
        </w:rPr>
      </w:pPr>
      <w:r>
        <w:rPr>
          <w:b/>
          <w:bCs/>
        </w:rPr>
        <w:t>i</w:t>
      </w:r>
      <w:r w:rsidR="00A25A44" w:rsidRPr="001E5AF0">
        <w:rPr>
          <w:b/>
          <w:bCs/>
        </w:rPr>
        <w:t>ndependent oversight</w:t>
      </w:r>
      <w:r>
        <w:rPr>
          <w:b/>
          <w:bCs/>
        </w:rPr>
        <w:t>.</w:t>
      </w:r>
    </w:p>
    <w:p w14:paraId="6D557BCA" w14:textId="7E4817B4" w:rsidR="001270D4" w:rsidRPr="001E5AF0" w:rsidRDefault="001270D4" w:rsidP="001E5AF0">
      <w:pPr>
        <w:framePr w:hSpace="180" w:wrap="around" w:vAnchor="text" w:hAnchor="text" w:y="1"/>
        <w:spacing w:before="0" w:after="0"/>
        <w:ind w:right="-108"/>
        <w:suppressOverlap/>
        <w:rPr>
          <w:rFonts w:cs="Open Sans"/>
          <w:b/>
          <w:bCs/>
        </w:rPr>
      </w:pPr>
    </w:p>
    <w:p w14:paraId="5A1363F5" w14:textId="26F3C1DD" w:rsidR="005F55B1" w:rsidRPr="008F40DD" w:rsidRDefault="00BC2B14" w:rsidP="002A2750">
      <w:pPr>
        <w:pStyle w:val="AHRCHeading3"/>
        <w:numPr>
          <w:ilvl w:val="0"/>
          <w:numId w:val="0"/>
        </w:numPr>
        <w:rPr>
          <w:b/>
        </w:rPr>
      </w:pPr>
      <w:bookmarkStart w:id="33" w:name="_Toc118299573"/>
      <w:bookmarkStart w:id="34" w:name="_Toc122679385"/>
      <w:r w:rsidRPr="00DD7FC7">
        <w:rPr>
          <w:rFonts w:eastAsia="Times New Roman"/>
          <w:b/>
          <w:szCs w:val="24"/>
        </w:rPr>
        <w:t>COVID</w:t>
      </w:r>
      <w:r w:rsidRPr="008F40DD">
        <w:rPr>
          <w:b/>
        </w:rPr>
        <w:t xml:space="preserve">-19 and </w:t>
      </w:r>
      <w:r w:rsidR="50B0E5EF" w:rsidRPr="008F40DD">
        <w:rPr>
          <w:b/>
        </w:rPr>
        <w:t>Long COVID</w:t>
      </w:r>
      <w:bookmarkEnd w:id="33"/>
      <w:bookmarkEnd w:id="34"/>
    </w:p>
    <w:p w14:paraId="45BE5C1A" w14:textId="25E788C7" w:rsidR="00E77672" w:rsidRDefault="00E77672" w:rsidP="00E77672">
      <w:r>
        <w:t>Data gathered by the UK Office of National Statistics shows that</w:t>
      </w:r>
      <w:r w:rsidR="00722D4E">
        <w:t>,</w:t>
      </w:r>
      <w:r>
        <w:t xml:space="preserve"> ‘w</w:t>
      </w:r>
      <w:r w:rsidRPr="00045EFA">
        <w:t>hen modelling the risk of death involving COVID-19, after adjusting for age, residence type, geography, socio-economic and demographic factors, health characteristics, and vaccination status, a significantly greater risk of death remains for all disabled people compared with non-disabled people</w:t>
      </w:r>
      <w:r w:rsidR="00722D4E">
        <w:t>’</w:t>
      </w:r>
      <w:r>
        <w:t>.</w:t>
      </w:r>
      <w:r>
        <w:rPr>
          <w:rStyle w:val="EndnoteReference"/>
        </w:rPr>
        <w:endnoteReference w:id="72"/>
      </w:r>
    </w:p>
    <w:p w14:paraId="32E01EFF" w14:textId="23959680" w:rsidR="00E77672" w:rsidRDefault="00E77672" w:rsidP="00E77672">
      <w:r>
        <w:t>In relation to persons with disabilities, particularly women and girls, the evidence indicates that during the pandemic they were, and continue to be, directly affected and disproportionately disadvantaged due to the increased risk of infection, morbidity, and mortality.</w:t>
      </w:r>
      <w:r>
        <w:rPr>
          <w:rStyle w:val="EndnoteReference"/>
        </w:rPr>
        <w:endnoteReference w:id="73"/>
      </w:r>
    </w:p>
    <w:p w14:paraId="5B11F666" w14:textId="74D024F4" w:rsidR="00E77672" w:rsidRDefault="7D0A74A1" w:rsidP="00E77672">
      <w:r>
        <w:t>In its recent Health Equity report, the W</w:t>
      </w:r>
      <w:r w:rsidR="005F00B3">
        <w:t xml:space="preserve">orld </w:t>
      </w:r>
      <w:r>
        <w:t>H</w:t>
      </w:r>
      <w:r w:rsidR="005F00B3">
        <w:t xml:space="preserve">ealth </w:t>
      </w:r>
      <w:r>
        <w:t>O</w:t>
      </w:r>
      <w:r w:rsidR="005F00B3">
        <w:t>rganisation</w:t>
      </w:r>
      <w:r>
        <w:t xml:space="preserve"> note</w:t>
      </w:r>
      <w:r w:rsidR="0E59E619">
        <w:t>s</w:t>
      </w:r>
      <w:r>
        <w:t xml:space="preserve"> that many people are experiencing post COVID-19 conditions. Initial studies demonstrate that 1 in 5 people will have a new disability when assessed six months after COVID-19 hospitalization. However, the evidence on how COVID-19 impacts disability prevalence in populations is still evolving.</w:t>
      </w:r>
      <w:r w:rsidR="00E77672">
        <w:rPr>
          <w:rStyle w:val="EndnoteReference"/>
        </w:rPr>
        <w:endnoteReference w:id="74"/>
      </w:r>
    </w:p>
    <w:p w14:paraId="5B26981F" w14:textId="49E3F1F1" w:rsidR="00E77672" w:rsidRDefault="00E77672" w:rsidP="00E77672">
      <w:r w:rsidRPr="008215A9">
        <w:t xml:space="preserve">It is </w:t>
      </w:r>
      <w:r>
        <w:t xml:space="preserve">now </w:t>
      </w:r>
      <w:r w:rsidR="00AE3807" w:rsidRPr="008215A9">
        <w:t>recogni</w:t>
      </w:r>
      <w:r w:rsidR="00AE3807">
        <w:t>s</w:t>
      </w:r>
      <w:r w:rsidR="00AE3807" w:rsidRPr="008215A9">
        <w:t>ed</w:t>
      </w:r>
      <w:r w:rsidRPr="008215A9">
        <w:t xml:space="preserve"> that approximately 10% of individuals </w:t>
      </w:r>
      <w:r>
        <w:t>who catch</w:t>
      </w:r>
      <w:r w:rsidRPr="008215A9">
        <w:t xml:space="preserve"> COVID-19 develop persistent and often relapsing and remitting symptoms beyond 4 to 12 weeks after infection, according to 2020 data from the UK Office of National Statistics.</w:t>
      </w:r>
      <w:r w:rsidRPr="00F354E0">
        <w:rPr>
          <w:rStyle w:val="EndnoteReference"/>
          <w:rFonts w:eastAsiaTheme="minorEastAsia" w:cs="Open Sans"/>
          <w:sz w:val="22"/>
        </w:rPr>
        <w:endnoteReference w:id="75"/>
      </w:r>
      <w:r w:rsidR="00B65752">
        <w:rPr>
          <w:vertAlign w:val="superscript"/>
        </w:rPr>
        <w:t xml:space="preserve"> </w:t>
      </w:r>
      <w:r>
        <w:t>With other</w:t>
      </w:r>
      <w:r w:rsidRPr="008215A9">
        <w:t xml:space="preserve"> studies </w:t>
      </w:r>
      <w:r>
        <w:t>suggesting</w:t>
      </w:r>
      <w:r w:rsidRPr="008215A9">
        <w:t xml:space="preserve"> likelihood may be higher than this</w:t>
      </w:r>
      <w:r w:rsidRPr="008215A9">
        <w:rPr>
          <w:rStyle w:val="normaltextrun"/>
          <w:rFonts w:cs="Open Sans"/>
          <w:color w:val="000000"/>
          <w:shd w:val="clear" w:color="auto" w:fill="FFFFFF"/>
        </w:rPr>
        <w:t>.</w:t>
      </w:r>
      <w:r w:rsidRPr="001F02D0">
        <w:rPr>
          <w:rStyle w:val="EndnoteReference"/>
          <w:color w:val="000000"/>
          <w:shd w:val="clear" w:color="auto" w:fill="FFFFFF"/>
        </w:rPr>
        <w:endnoteReference w:id="76"/>
      </w:r>
      <w:r w:rsidRPr="004B77D4">
        <w:rPr>
          <w:rStyle w:val="EndnoteReference"/>
          <w:rFonts w:eastAsiaTheme="minorEastAsia" w:cs="Open Sans"/>
        </w:rPr>
        <w:t xml:space="preserve"> </w:t>
      </w:r>
      <w:r>
        <w:rPr>
          <w:rStyle w:val="EndnoteReference"/>
          <w:rFonts w:eastAsiaTheme="minorEastAsia" w:cs="Open Sans"/>
        </w:rPr>
        <w:endnoteReference w:id="77"/>
      </w:r>
    </w:p>
    <w:p w14:paraId="72A6BAC5" w14:textId="48C59865" w:rsidR="00E77672" w:rsidRDefault="7D0A74A1" w:rsidP="00E77672">
      <w:r>
        <w:t>What we are seeing is both that COVID-19 impacts people with disability disproportionately, and is also being termed a ‘mass disabling event’ with significant implications for the disabled community and Australian society more broadly.</w:t>
      </w:r>
      <w:r w:rsidR="00E77672">
        <w:rPr>
          <w:rStyle w:val="EndnoteReference"/>
        </w:rPr>
        <w:endnoteReference w:id="78"/>
      </w:r>
      <w:r>
        <w:t xml:space="preserve"> Not only should protections continue to be provided for as long as COVID-19 presents a significant risk to people with disability, we also need to ensure </w:t>
      </w:r>
      <w:r w:rsidR="5B72ABF3">
        <w:t xml:space="preserve">that </w:t>
      </w:r>
      <w:r>
        <w:t>what protections are in place do</w:t>
      </w:r>
      <w:r w:rsidR="44F18DD8">
        <w:t xml:space="preserve"> </w:t>
      </w:r>
      <w:r>
        <w:t>n</w:t>
      </w:r>
      <w:r w:rsidR="06C93B09">
        <w:t>o</w:t>
      </w:r>
      <w:r>
        <w:t>t have the effect of isolating, segregating or stigmatising people with disability.</w:t>
      </w:r>
    </w:p>
    <w:p w14:paraId="5BA7F83E" w14:textId="322E8546" w:rsidR="00826A76" w:rsidRPr="008215A9" w:rsidRDefault="006703B5" w:rsidP="008F40DD">
      <w:pPr>
        <w:pStyle w:val="SubmissionNormal"/>
        <w:numPr>
          <w:ilvl w:val="0"/>
          <w:numId w:val="0"/>
        </w:numPr>
      </w:pPr>
      <w:r>
        <w:rPr>
          <w:b/>
          <w:bCs/>
        </w:rPr>
        <w:t>Recommendation</w:t>
      </w:r>
      <w:r w:rsidR="004B4707">
        <w:rPr>
          <w:b/>
          <w:bCs/>
        </w:rPr>
        <w:t xml:space="preserve"> 2</w:t>
      </w:r>
      <w:r w:rsidR="003F6B17">
        <w:rPr>
          <w:b/>
          <w:bCs/>
        </w:rPr>
        <w:t>6</w:t>
      </w:r>
      <w:r>
        <w:rPr>
          <w:b/>
          <w:bCs/>
        </w:rPr>
        <w:t xml:space="preserve">: The Australian Government ensure that policies and procedures are in place to protect people with disability from being impacted by COVID-19 without limiting their ability to continue to engage in all aspects of society on an equal basis with others.  </w:t>
      </w:r>
    </w:p>
    <w:p w14:paraId="7B849914" w14:textId="0700A861" w:rsidR="0077687B" w:rsidRDefault="0077687B">
      <w:pPr>
        <w:pStyle w:val="AHRCHeading2"/>
      </w:pPr>
      <w:bookmarkStart w:id="35" w:name="_Toc118299575"/>
      <w:bookmarkStart w:id="36" w:name="_Toc122679386"/>
      <w:r>
        <w:t>Article 31: Data collection</w:t>
      </w:r>
      <w:bookmarkEnd w:id="35"/>
      <w:bookmarkEnd w:id="36"/>
      <w:r>
        <w:t xml:space="preserve"> </w:t>
      </w:r>
    </w:p>
    <w:p w14:paraId="1337150D" w14:textId="7F6E5D23" w:rsidR="00BD6440" w:rsidRDefault="008D2FFD" w:rsidP="005B7507">
      <w:bookmarkStart w:id="37" w:name="_Toc118299576"/>
      <w:r>
        <w:t xml:space="preserve">Data gaps impede Australia’s capacity to monitor and report on the CRPD and the wellbeing of people with disability. </w:t>
      </w:r>
      <w:bookmarkEnd w:id="37"/>
      <w:r w:rsidR="0075182B">
        <w:t xml:space="preserve">There is a lack of data on people with disability disaggregated by age, location, socio-economic status, cultural </w:t>
      </w:r>
      <w:r w:rsidR="0075182B">
        <w:lastRenderedPageBreak/>
        <w:t xml:space="preserve">background, disability, lesbian, gay, bisexual, trans and intersex (LGBTI) status and priority population groups, including Aboriginal and Torres Strait Islander peoples with disability. </w:t>
      </w:r>
    </w:p>
    <w:p w14:paraId="63F398B5" w14:textId="5F743F78" w:rsidR="00807E7C" w:rsidRDefault="178BD380" w:rsidP="005B7507">
      <w:r>
        <w:t xml:space="preserve">This was a criticism of the </w:t>
      </w:r>
      <w:r w:rsidR="497615F5">
        <w:t>National Disability Strategy</w:t>
      </w:r>
      <w:r w:rsidR="23B84767">
        <w:t xml:space="preserve">, and the subject of a recommendation </w:t>
      </w:r>
      <w:r w:rsidR="79F5C4F2">
        <w:t xml:space="preserve">by the CRPD Committee. It is </w:t>
      </w:r>
      <w:r w:rsidR="0C5DC637">
        <w:t xml:space="preserve">important </w:t>
      </w:r>
      <w:r w:rsidR="79F5C4F2">
        <w:t>that a different approach be taken to monitor against the</w:t>
      </w:r>
      <w:r w:rsidR="497615F5">
        <w:t xml:space="preserve"> outcome</w:t>
      </w:r>
      <w:r w:rsidR="271BAC81">
        <w:t xml:space="preserve"> benchmarks</w:t>
      </w:r>
      <w:r w:rsidR="497615F5">
        <w:t xml:space="preserve"> in Australia’s Disability Strategy. </w:t>
      </w:r>
    </w:p>
    <w:p w14:paraId="627CE1C2" w14:textId="09B3C433" w:rsidR="00281A1F" w:rsidRDefault="00A30BEF" w:rsidP="005B7507">
      <w:r>
        <w:t xml:space="preserve">The Australian Government established a new </w:t>
      </w:r>
      <w:r w:rsidR="00AA0CF9">
        <w:t xml:space="preserve">National Disability Data Asset </w:t>
      </w:r>
      <w:r w:rsidR="00DC03CC">
        <w:t>some years ago</w:t>
      </w:r>
      <w:r w:rsidR="00B24143">
        <w:t xml:space="preserve"> </w:t>
      </w:r>
      <w:r w:rsidR="000310F5">
        <w:t xml:space="preserve">to </w:t>
      </w:r>
      <w:r w:rsidR="0018249A">
        <w:t>link data sets from different government agencies and services, to have greater visibility of outcomes from policies and services for people with disability.</w:t>
      </w:r>
      <w:r w:rsidR="0018249A" w:rsidDel="00A4521A">
        <w:t xml:space="preserve"> </w:t>
      </w:r>
      <w:r w:rsidR="00A4521A">
        <w:t>H</w:t>
      </w:r>
      <w:r w:rsidR="00281A1F">
        <w:t>owever</w:t>
      </w:r>
      <w:r w:rsidR="00643338">
        <w:t>,</w:t>
      </w:r>
      <w:r w:rsidR="00281A1F">
        <w:t xml:space="preserve"> i</w:t>
      </w:r>
      <w:r w:rsidR="0018249A">
        <w:t xml:space="preserve">t </w:t>
      </w:r>
      <w:r w:rsidR="00A4521A">
        <w:t>appea</w:t>
      </w:r>
      <w:r w:rsidR="004B5563">
        <w:t>r</w:t>
      </w:r>
      <w:r w:rsidR="00A4521A">
        <w:t>s</w:t>
      </w:r>
      <w:r w:rsidR="00281A1F">
        <w:t xml:space="preserve"> this work has </w:t>
      </w:r>
      <w:r w:rsidR="00643338">
        <w:t>stagnated</w:t>
      </w:r>
      <w:r w:rsidR="00BD6440">
        <w:t>.</w:t>
      </w:r>
    </w:p>
    <w:p w14:paraId="7C9CAF46" w14:textId="3DBBA2E0" w:rsidR="005B7507" w:rsidRDefault="00281A1F" w:rsidP="005B7507">
      <w:r>
        <w:rPr>
          <w:b/>
          <w:bCs/>
        </w:rPr>
        <w:t>Recommendation</w:t>
      </w:r>
      <w:r w:rsidR="001118E5">
        <w:rPr>
          <w:b/>
          <w:bCs/>
        </w:rPr>
        <w:t xml:space="preserve"> 2</w:t>
      </w:r>
      <w:r w:rsidR="003F6B17">
        <w:rPr>
          <w:b/>
          <w:bCs/>
        </w:rPr>
        <w:t>7</w:t>
      </w:r>
      <w:r>
        <w:rPr>
          <w:b/>
          <w:bCs/>
        </w:rPr>
        <w:t xml:space="preserve">: The Australian Government should prioritise </w:t>
      </w:r>
      <w:r w:rsidR="00996F85">
        <w:rPr>
          <w:b/>
          <w:bCs/>
        </w:rPr>
        <w:t xml:space="preserve">the design and development of </w:t>
      </w:r>
      <w:r w:rsidR="004B5563">
        <w:rPr>
          <w:b/>
          <w:bCs/>
        </w:rPr>
        <w:t>the</w:t>
      </w:r>
      <w:r w:rsidR="00996F85">
        <w:rPr>
          <w:b/>
          <w:bCs/>
        </w:rPr>
        <w:t xml:space="preserve"> National Disability Data Asset.</w:t>
      </w:r>
      <w:r w:rsidR="00BD6440">
        <w:t xml:space="preserve"> </w:t>
      </w:r>
    </w:p>
    <w:p w14:paraId="29C78B35" w14:textId="4E2F0341" w:rsidR="00EA7CEE" w:rsidRDefault="00EA7CEE">
      <w:pPr>
        <w:pStyle w:val="AHRCHeading2"/>
      </w:pPr>
      <w:bookmarkStart w:id="38" w:name="_Toc118299577"/>
      <w:bookmarkStart w:id="39" w:name="_Toc122679387"/>
      <w:r>
        <w:t>Article 33: National implementation and monitoring</w:t>
      </w:r>
      <w:bookmarkEnd w:id="38"/>
      <w:bookmarkEnd w:id="39"/>
    </w:p>
    <w:p w14:paraId="11488B1B" w14:textId="1F1DEDA0" w:rsidR="00420613" w:rsidRDefault="006738A7" w:rsidP="005F55B1">
      <w:r>
        <w:t>The Commission</w:t>
      </w:r>
      <w:r w:rsidR="00504B85">
        <w:t xml:space="preserve"> recommends the Australian Government establish stronger mechanisms for the full and effective engagement of people with disability and their representative organisations in the policy development, implementation and monitoring of actions relating to the CRPD.</w:t>
      </w:r>
      <w:r w:rsidR="00B57451" w:rsidRPr="00B57451">
        <w:t xml:space="preserve"> </w:t>
      </w:r>
      <w:r w:rsidR="00445856">
        <w:t>Positive developments are underway with the creation of the Advisory Council to Australia’s Disability Strategy and new appointments made to the Board of the NDIA, for instance</w:t>
      </w:r>
      <w:r w:rsidR="00E926ED">
        <w:t>, but more is required to be fully compliant with CRPD obligations</w:t>
      </w:r>
      <w:r w:rsidR="00445856">
        <w:t xml:space="preserve">. </w:t>
      </w:r>
    </w:p>
    <w:p w14:paraId="07F135F2" w14:textId="1532B184" w:rsidR="00445856" w:rsidRDefault="00E926ED" w:rsidP="005F55B1">
      <w:r>
        <w:t>T</w:t>
      </w:r>
      <w:r w:rsidR="00C62CCC">
        <w:t xml:space="preserve">he Commission </w:t>
      </w:r>
      <w:r w:rsidR="00B83760">
        <w:t>welcomes the funding from the Australian Government to develop</w:t>
      </w:r>
      <w:r w:rsidR="00B41C57">
        <w:t xml:space="preserve"> </w:t>
      </w:r>
      <w:r w:rsidR="00B83760">
        <w:t>Good</w:t>
      </w:r>
      <w:r w:rsidR="00C62CCC">
        <w:t xml:space="preserve"> </w:t>
      </w:r>
      <w:r w:rsidR="00B83760">
        <w:t>P</w:t>
      </w:r>
      <w:r w:rsidR="003A5AB6">
        <w:t>ractice</w:t>
      </w:r>
      <w:r w:rsidR="00C62CCC">
        <w:t xml:space="preserve"> </w:t>
      </w:r>
      <w:r w:rsidR="00B41C57">
        <w:t>G</w:t>
      </w:r>
      <w:r w:rsidR="00C62CCC">
        <w:t xml:space="preserve">uidelines for the </w:t>
      </w:r>
      <w:r w:rsidR="00B41C57">
        <w:t>E</w:t>
      </w:r>
      <w:r w:rsidR="00C62CCC">
        <w:t xml:space="preserve">ngagement of </w:t>
      </w:r>
      <w:r w:rsidR="00B41C57">
        <w:t>P</w:t>
      </w:r>
      <w:r w:rsidR="00C62CCC">
        <w:t xml:space="preserve">eople with </w:t>
      </w:r>
      <w:r w:rsidR="00B41C57">
        <w:t>D</w:t>
      </w:r>
      <w:r w:rsidR="00C62CCC">
        <w:t>isability</w:t>
      </w:r>
      <w:r w:rsidR="00B41C57">
        <w:t xml:space="preserve">, as part of Australia’s Disability Strategy Engagement Plan. </w:t>
      </w:r>
      <w:r w:rsidR="00D2286F">
        <w:t xml:space="preserve">This will be a valuable resource and benchmark for policy makers and other organisations engaging with people with disability. </w:t>
      </w:r>
      <w:r w:rsidR="00EE3D97">
        <w:t xml:space="preserve">It is crucial that the Guidelines be consistent with the CRPD. </w:t>
      </w:r>
      <w:r w:rsidR="00C62CCC">
        <w:t xml:space="preserve"> </w:t>
      </w:r>
    </w:p>
    <w:p w14:paraId="6A25E459" w14:textId="54E60FD3" w:rsidR="00BD49B0" w:rsidRDefault="00B83760" w:rsidP="005F55B1">
      <w:r>
        <w:t xml:space="preserve">Finally, the </w:t>
      </w:r>
      <w:r w:rsidR="00D14713">
        <w:t xml:space="preserve">Commission is aware that </w:t>
      </w:r>
      <w:r w:rsidR="00B57451">
        <w:t xml:space="preserve">independent advocacy support for people with disability </w:t>
      </w:r>
      <w:r w:rsidR="000E7902">
        <w:t>is</w:t>
      </w:r>
      <w:r w:rsidR="00D14713">
        <w:t xml:space="preserve"> </w:t>
      </w:r>
      <w:r w:rsidR="00032EF4">
        <w:t>limited</w:t>
      </w:r>
      <w:r w:rsidR="000E7902">
        <w:t>.</w:t>
      </w:r>
      <w:r w:rsidR="009920BB">
        <w:t xml:space="preserve"> This means advocates are not</w:t>
      </w:r>
      <w:r w:rsidR="00D14713">
        <w:t xml:space="preserve"> resourced to </w:t>
      </w:r>
      <w:r w:rsidR="00F70E23">
        <w:t xml:space="preserve">respond to </w:t>
      </w:r>
      <w:r w:rsidR="009920BB">
        <w:t xml:space="preserve">all </w:t>
      </w:r>
      <w:r w:rsidR="00F70E23">
        <w:t xml:space="preserve">need and to </w:t>
      </w:r>
      <w:r w:rsidR="003A5AB6">
        <w:t>fully engage in</w:t>
      </w:r>
      <w:r w:rsidR="00F70E23">
        <w:t xml:space="preserve"> systemic advocacy. </w:t>
      </w:r>
      <w:r w:rsidR="003A7B6F">
        <w:t>The Commission</w:t>
      </w:r>
      <w:r w:rsidR="00F70E23">
        <w:t xml:space="preserve"> </w:t>
      </w:r>
      <w:r w:rsidR="0006325F">
        <w:t>supports</w:t>
      </w:r>
      <w:r w:rsidR="00F70E23">
        <w:t xml:space="preserve"> the </w:t>
      </w:r>
      <w:r w:rsidR="0006325F">
        <w:t>reque</w:t>
      </w:r>
      <w:r w:rsidR="007F6ABD">
        <w:t>s</w:t>
      </w:r>
      <w:r w:rsidR="0006325F">
        <w:t>t</w:t>
      </w:r>
      <w:r w:rsidR="00F70E23">
        <w:t xml:space="preserve"> made by Disability Representative Organisations in a recent letter to the Royal Commission for:</w:t>
      </w:r>
    </w:p>
    <w:p w14:paraId="266DE8EF" w14:textId="31657839" w:rsidR="00F70E23" w:rsidRDefault="00A3572F" w:rsidP="00F70E23">
      <w:pPr>
        <w:pStyle w:val="ListParagraph"/>
        <w:numPr>
          <w:ilvl w:val="0"/>
          <w:numId w:val="39"/>
        </w:numPr>
      </w:pPr>
      <w:r>
        <w:t>i</w:t>
      </w:r>
      <w:r w:rsidR="003A7B6F">
        <w:t xml:space="preserve">ndependent advocacy and representation, including funding to </w:t>
      </w:r>
      <w:r>
        <w:t>address currently</w:t>
      </w:r>
      <w:r w:rsidR="003A7B6F">
        <w:t xml:space="preserve"> unmet demand and need </w:t>
      </w:r>
    </w:p>
    <w:p w14:paraId="23BBD569" w14:textId="77777777" w:rsidR="00F70E23" w:rsidRDefault="003A7B6F" w:rsidP="00F70E23">
      <w:pPr>
        <w:pStyle w:val="ListParagraph"/>
        <w:numPr>
          <w:ilvl w:val="0"/>
          <w:numId w:val="39"/>
        </w:numPr>
      </w:pPr>
      <w:r>
        <w:t xml:space="preserve">targeted approaches to meet the needs of marginalised demographic groups </w:t>
      </w:r>
    </w:p>
    <w:p w14:paraId="7C51F54E" w14:textId="5F1E250C" w:rsidR="003A7B6F" w:rsidRDefault="63C02B64" w:rsidP="00F70E23">
      <w:pPr>
        <w:pStyle w:val="ListParagraph"/>
        <w:numPr>
          <w:ilvl w:val="0"/>
          <w:numId w:val="39"/>
        </w:numPr>
      </w:pPr>
      <w:r>
        <w:lastRenderedPageBreak/>
        <w:t xml:space="preserve">the removal of </w:t>
      </w:r>
      <w:r w:rsidR="7728105F">
        <w:t>barriers to advocacy and representation</w:t>
      </w:r>
      <w:r w:rsidR="332E0B86">
        <w:t xml:space="preserve"> </w:t>
      </w:r>
      <w:r w:rsidR="7728105F">
        <w:t>for people with disability in segregated or isolated settings such as boarding houses, group homes, mental health services, prisons and any other settings where access can be denied/limited by the service provider or government body responsible for the service.</w:t>
      </w:r>
      <w:r w:rsidR="00EE4441">
        <w:rPr>
          <w:rStyle w:val="EndnoteReference"/>
        </w:rPr>
        <w:endnoteReference w:id="79"/>
      </w:r>
    </w:p>
    <w:p w14:paraId="5FB563F0" w14:textId="62643A0C" w:rsidR="00F32E0B" w:rsidRDefault="2D2D2B54" w:rsidP="005F55B1">
      <w:pPr>
        <w:rPr>
          <w:b/>
          <w:bCs/>
        </w:rPr>
      </w:pPr>
      <w:r w:rsidRPr="15363531">
        <w:rPr>
          <w:b/>
          <w:bCs/>
        </w:rPr>
        <w:t>Recommendation</w:t>
      </w:r>
      <w:r w:rsidR="5611DB76" w:rsidRPr="15363531">
        <w:rPr>
          <w:b/>
          <w:bCs/>
        </w:rPr>
        <w:t xml:space="preserve"> 2</w:t>
      </w:r>
      <w:r w:rsidR="007A7AE5">
        <w:rPr>
          <w:b/>
          <w:bCs/>
        </w:rPr>
        <w:t>8</w:t>
      </w:r>
      <w:r w:rsidRPr="15363531">
        <w:rPr>
          <w:b/>
          <w:bCs/>
        </w:rPr>
        <w:t xml:space="preserve">: The Australian Government </w:t>
      </w:r>
      <w:r w:rsidR="66124401" w:rsidRPr="15363531">
        <w:rPr>
          <w:b/>
          <w:bCs/>
        </w:rPr>
        <w:t xml:space="preserve">should </w:t>
      </w:r>
      <w:r w:rsidRPr="15363531">
        <w:rPr>
          <w:b/>
          <w:bCs/>
        </w:rPr>
        <w:t>ensure adequate, secure and long-term funding for independent and systemic representation and advocacy</w:t>
      </w:r>
      <w:r w:rsidR="4E8D69BC" w:rsidRPr="15363531">
        <w:rPr>
          <w:b/>
          <w:bCs/>
        </w:rPr>
        <w:t xml:space="preserve"> for people with disability</w:t>
      </w:r>
      <w:r w:rsidRPr="15363531">
        <w:rPr>
          <w:b/>
          <w:bCs/>
        </w:rPr>
        <w:t>.</w:t>
      </w:r>
    </w:p>
    <w:p w14:paraId="1E8DA88E" w14:textId="77777777" w:rsidR="00592B81" w:rsidRDefault="00592B81" w:rsidP="009621BE">
      <w:pPr>
        <w:pStyle w:val="AHRCHeading1"/>
        <w:numPr>
          <w:ilvl w:val="0"/>
          <w:numId w:val="0"/>
        </w:numPr>
        <w:ind w:left="851"/>
        <w:rPr>
          <w:b w:val="0"/>
        </w:rPr>
        <w:sectPr w:rsidR="00592B81" w:rsidSect="00E16DD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1134" w:right="1418" w:bottom="1134" w:left="1418" w:header="907" w:footer="283" w:gutter="0"/>
          <w:pgNumType w:start="2"/>
          <w:cols w:space="708"/>
          <w:titlePg/>
          <w:docGrid w:linePitch="360"/>
        </w:sectPr>
      </w:pPr>
    </w:p>
    <w:p w14:paraId="07AE4112" w14:textId="22802E5A" w:rsidR="008D4BF4" w:rsidRDefault="72A7FAF2" w:rsidP="004079E6">
      <w:pPr>
        <w:pStyle w:val="AHRCHeading1"/>
      </w:pPr>
      <w:bookmarkStart w:id="40" w:name="_Toc122679388"/>
      <w:r>
        <w:lastRenderedPageBreak/>
        <w:t>Appendi</w:t>
      </w:r>
      <w:r w:rsidR="004DD84B">
        <w:t>x</w:t>
      </w:r>
      <w:bookmarkEnd w:id="40"/>
    </w:p>
    <w:p w14:paraId="556ECA98" w14:textId="3A13D3EC" w:rsidR="004079E6" w:rsidRPr="004079E6" w:rsidRDefault="00BA67ED" w:rsidP="004079E6">
      <w:pPr>
        <w:pStyle w:val="AHRCHeading2"/>
      </w:pPr>
      <w:bookmarkStart w:id="41" w:name="_Toc122679389"/>
      <w:r>
        <w:t>Summary of i</w:t>
      </w:r>
      <w:r w:rsidRPr="00BA67ED">
        <w:t xml:space="preserve">ndividual </w:t>
      </w:r>
      <w:r w:rsidR="00A313DA">
        <w:t>communications</w:t>
      </w:r>
      <w:r w:rsidRPr="00BA67ED">
        <w:t xml:space="preserve"> </w:t>
      </w:r>
      <w:r>
        <w:t xml:space="preserve">made in relation to the CRPD and Optional Protocol </w:t>
      </w:r>
      <w:r w:rsidRPr="00BA67ED">
        <w:t>for Australia</w:t>
      </w:r>
      <w:bookmarkEnd w:id="41"/>
    </w:p>
    <w:tbl>
      <w:tblPr>
        <w:tblStyle w:val="TableGrid"/>
        <w:tblW w:w="0" w:type="auto"/>
        <w:tblLayout w:type="fixed"/>
        <w:tblLook w:val="04A0" w:firstRow="1" w:lastRow="0" w:firstColumn="1" w:lastColumn="0" w:noHBand="0" w:noVBand="1"/>
      </w:tblPr>
      <w:tblGrid>
        <w:gridCol w:w="1129"/>
        <w:gridCol w:w="1701"/>
        <w:gridCol w:w="1862"/>
        <w:gridCol w:w="1245"/>
        <w:gridCol w:w="3299"/>
        <w:gridCol w:w="3233"/>
        <w:gridCol w:w="2091"/>
      </w:tblGrid>
      <w:tr w:rsidR="008D4BF4" w14:paraId="426C22A8" w14:textId="77777777" w:rsidTr="001E5AF0">
        <w:trPr>
          <w:tblHeader/>
        </w:trPr>
        <w:tc>
          <w:tcPr>
            <w:tcW w:w="1129" w:type="dxa"/>
          </w:tcPr>
          <w:p w14:paraId="43030710" w14:textId="77777777" w:rsidR="008D4BF4" w:rsidRPr="00D151D9" w:rsidRDefault="008D4BF4">
            <w:pPr>
              <w:rPr>
                <w:b/>
                <w:sz w:val="18"/>
                <w:szCs w:val="18"/>
              </w:rPr>
            </w:pPr>
            <w:r w:rsidRPr="00D151D9">
              <w:rPr>
                <w:b/>
                <w:sz w:val="18"/>
                <w:szCs w:val="18"/>
              </w:rPr>
              <w:t>Case name</w:t>
            </w:r>
          </w:p>
        </w:tc>
        <w:tc>
          <w:tcPr>
            <w:tcW w:w="1701" w:type="dxa"/>
          </w:tcPr>
          <w:p w14:paraId="6632BB24" w14:textId="77777777" w:rsidR="008D4BF4" w:rsidRPr="00D151D9" w:rsidRDefault="008D4BF4">
            <w:pPr>
              <w:rPr>
                <w:b/>
                <w:sz w:val="18"/>
                <w:szCs w:val="18"/>
              </w:rPr>
            </w:pPr>
            <w:r w:rsidRPr="00D151D9">
              <w:rPr>
                <w:b/>
                <w:sz w:val="18"/>
                <w:szCs w:val="18"/>
              </w:rPr>
              <w:t>Date of communication</w:t>
            </w:r>
          </w:p>
        </w:tc>
        <w:tc>
          <w:tcPr>
            <w:tcW w:w="1862" w:type="dxa"/>
          </w:tcPr>
          <w:p w14:paraId="4342351C" w14:textId="77777777" w:rsidR="008D4BF4" w:rsidRPr="00D151D9" w:rsidRDefault="008D4BF4">
            <w:pPr>
              <w:rPr>
                <w:b/>
                <w:sz w:val="18"/>
                <w:szCs w:val="18"/>
              </w:rPr>
            </w:pPr>
            <w:r w:rsidRPr="00D151D9">
              <w:rPr>
                <w:b/>
                <w:sz w:val="18"/>
                <w:szCs w:val="18"/>
              </w:rPr>
              <w:t>Articles of the CRPD</w:t>
            </w:r>
          </w:p>
        </w:tc>
        <w:tc>
          <w:tcPr>
            <w:tcW w:w="1245" w:type="dxa"/>
          </w:tcPr>
          <w:p w14:paraId="5DFC55A0" w14:textId="77777777" w:rsidR="008D4BF4" w:rsidRPr="00D151D9" w:rsidRDefault="008D4BF4">
            <w:pPr>
              <w:rPr>
                <w:b/>
                <w:sz w:val="18"/>
                <w:szCs w:val="18"/>
              </w:rPr>
            </w:pPr>
            <w:r>
              <w:rPr>
                <w:b/>
                <w:sz w:val="18"/>
                <w:szCs w:val="18"/>
              </w:rPr>
              <w:t>Jurisdiction</w:t>
            </w:r>
          </w:p>
        </w:tc>
        <w:tc>
          <w:tcPr>
            <w:tcW w:w="3299" w:type="dxa"/>
          </w:tcPr>
          <w:p w14:paraId="346DCEE4" w14:textId="77777777" w:rsidR="008D4BF4" w:rsidRPr="00D151D9" w:rsidRDefault="008D4BF4">
            <w:pPr>
              <w:rPr>
                <w:b/>
                <w:sz w:val="18"/>
                <w:szCs w:val="18"/>
              </w:rPr>
            </w:pPr>
            <w:r w:rsidRPr="00D151D9">
              <w:rPr>
                <w:b/>
                <w:sz w:val="18"/>
                <w:szCs w:val="18"/>
              </w:rPr>
              <w:t xml:space="preserve">Summary of the matter </w:t>
            </w:r>
          </w:p>
        </w:tc>
        <w:tc>
          <w:tcPr>
            <w:tcW w:w="3233" w:type="dxa"/>
          </w:tcPr>
          <w:p w14:paraId="73A6CCA7" w14:textId="15F2F155" w:rsidR="008D4BF4" w:rsidRPr="00D151D9" w:rsidRDefault="00EB6B89">
            <w:pPr>
              <w:rPr>
                <w:b/>
                <w:sz w:val="18"/>
                <w:szCs w:val="18"/>
              </w:rPr>
            </w:pPr>
            <w:r>
              <w:rPr>
                <w:b/>
                <w:sz w:val="18"/>
                <w:szCs w:val="18"/>
              </w:rPr>
              <w:t>General views made by the CRPD Committee</w:t>
            </w:r>
            <w:r w:rsidR="00DB5805">
              <w:rPr>
                <w:rStyle w:val="EndnoteReference"/>
                <w:b/>
                <w:szCs w:val="18"/>
              </w:rPr>
              <w:endnoteReference w:id="80"/>
            </w:r>
            <w:r>
              <w:rPr>
                <w:b/>
                <w:sz w:val="18"/>
                <w:szCs w:val="18"/>
              </w:rPr>
              <w:t xml:space="preserve"> </w:t>
            </w:r>
            <w:r w:rsidR="00A25878">
              <w:rPr>
                <w:b/>
                <w:sz w:val="18"/>
                <w:szCs w:val="18"/>
              </w:rPr>
              <w:t xml:space="preserve"> </w:t>
            </w:r>
            <w:r w:rsidR="00CC4EC4">
              <w:rPr>
                <w:b/>
                <w:sz w:val="18"/>
                <w:szCs w:val="18"/>
              </w:rPr>
              <w:t xml:space="preserve"> </w:t>
            </w:r>
          </w:p>
        </w:tc>
        <w:tc>
          <w:tcPr>
            <w:tcW w:w="2091" w:type="dxa"/>
          </w:tcPr>
          <w:p w14:paraId="61061BFA" w14:textId="77777777" w:rsidR="008D4BF4" w:rsidRPr="00D151D9" w:rsidRDefault="008D4BF4">
            <w:pPr>
              <w:rPr>
                <w:b/>
                <w:sz w:val="18"/>
                <w:szCs w:val="18"/>
              </w:rPr>
            </w:pPr>
            <w:r w:rsidRPr="00D151D9">
              <w:rPr>
                <w:b/>
                <w:sz w:val="18"/>
                <w:szCs w:val="18"/>
              </w:rPr>
              <w:t xml:space="preserve">Implementation status </w:t>
            </w:r>
          </w:p>
        </w:tc>
      </w:tr>
      <w:tr w:rsidR="008D4BF4" w14:paraId="0788EE86" w14:textId="77777777" w:rsidTr="001E5AF0">
        <w:tc>
          <w:tcPr>
            <w:tcW w:w="1129" w:type="dxa"/>
          </w:tcPr>
          <w:p w14:paraId="497A62E5" w14:textId="400DCE93" w:rsidR="00246E5A" w:rsidRPr="002658CC" w:rsidRDefault="002658CC" w:rsidP="002658CC">
            <w:pPr>
              <w:rPr>
                <w:bCs/>
                <w:sz w:val="16"/>
                <w:szCs w:val="16"/>
              </w:rPr>
            </w:pPr>
            <w:r>
              <w:rPr>
                <w:bCs/>
                <w:i/>
                <w:iCs/>
                <w:sz w:val="16"/>
                <w:szCs w:val="16"/>
              </w:rPr>
              <w:t xml:space="preserve">M.N. </w:t>
            </w:r>
            <w:r w:rsidR="00246E5A" w:rsidRPr="0083334D">
              <w:rPr>
                <w:i/>
                <w:sz w:val="16"/>
                <w:szCs w:val="16"/>
              </w:rPr>
              <w:t xml:space="preserve"> v Australia</w:t>
            </w:r>
            <w:r>
              <w:rPr>
                <w:bCs/>
                <w:i/>
                <w:iCs/>
                <w:sz w:val="16"/>
                <w:szCs w:val="16"/>
              </w:rPr>
              <w:t xml:space="preserve"> </w:t>
            </w:r>
            <w:r>
              <w:rPr>
                <w:bCs/>
                <w:sz w:val="16"/>
                <w:szCs w:val="16"/>
              </w:rPr>
              <w:t>(</w:t>
            </w:r>
            <w:r w:rsidRPr="00481A2B">
              <w:rPr>
                <w:bCs/>
                <w:sz w:val="16"/>
                <w:szCs w:val="16"/>
              </w:rPr>
              <w:t>7/2012</w:t>
            </w:r>
            <w:r>
              <w:rPr>
                <w:bCs/>
                <w:sz w:val="16"/>
                <w:szCs w:val="16"/>
              </w:rPr>
              <w:t>)</w:t>
            </w:r>
          </w:p>
        </w:tc>
        <w:tc>
          <w:tcPr>
            <w:tcW w:w="1701" w:type="dxa"/>
          </w:tcPr>
          <w:p w14:paraId="7730B930" w14:textId="77777777" w:rsidR="008D4BF4" w:rsidRPr="00481A2B" w:rsidRDefault="008D4BF4">
            <w:pPr>
              <w:rPr>
                <w:bCs/>
                <w:sz w:val="16"/>
                <w:szCs w:val="16"/>
              </w:rPr>
            </w:pPr>
            <w:r w:rsidRPr="000A5AC6">
              <w:rPr>
                <w:bCs/>
                <w:sz w:val="16"/>
                <w:szCs w:val="16"/>
              </w:rPr>
              <w:t>12 April 2012</w:t>
            </w:r>
          </w:p>
        </w:tc>
        <w:tc>
          <w:tcPr>
            <w:tcW w:w="1862" w:type="dxa"/>
          </w:tcPr>
          <w:p w14:paraId="233D6A03" w14:textId="22B34EEF" w:rsidR="008D4BF4" w:rsidRPr="00481A2B" w:rsidRDefault="002658CC">
            <w:pPr>
              <w:rPr>
                <w:bCs/>
                <w:sz w:val="16"/>
                <w:szCs w:val="16"/>
              </w:rPr>
            </w:pPr>
            <w:r>
              <w:rPr>
                <w:bCs/>
                <w:sz w:val="16"/>
                <w:szCs w:val="16"/>
              </w:rPr>
              <w:t>A</w:t>
            </w:r>
            <w:r w:rsidR="008D4BF4" w:rsidRPr="00B837DF">
              <w:rPr>
                <w:bCs/>
                <w:sz w:val="16"/>
                <w:szCs w:val="16"/>
              </w:rPr>
              <w:t xml:space="preserve">rticles 5 (1), 12, 13, 14 (1) (b), 14 (2) and 15 </w:t>
            </w:r>
          </w:p>
        </w:tc>
        <w:tc>
          <w:tcPr>
            <w:tcW w:w="1245" w:type="dxa"/>
          </w:tcPr>
          <w:p w14:paraId="0618CD6F" w14:textId="77777777" w:rsidR="008D4BF4" w:rsidRPr="00693A71" w:rsidRDefault="008D4BF4">
            <w:pPr>
              <w:rPr>
                <w:bCs/>
                <w:sz w:val="16"/>
                <w:szCs w:val="16"/>
              </w:rPr>
            </w:pPr>
            <w:r>
              <w:rPr>
                <w:bCs/>
                <w:sz w:val="16"/>
                <w:szCs w:val="16"/>
              </w:rPr>
              <w:t>WA</w:t>
            </w:r>
          </w:p>
        </w:tc>
        <w:tc>
          <w:tcPr>
            <w:tcW w:w="3299" w:type="dxa"/>
          </w:tcPr>
          <w:p w14:paraId="008DD4B9" w14:textId="5ACC979E" w:rsidR="008D4BF4" w:rsidRPr="00481A2B" w:rsidRDefault="008D4BF4">
            <w:pPr>
              <w:rPr>
                <w:bCs/>
                <w:sz w:val="16"/>
                <w:szCs w:val="16"/>
              </w:rPr>
            </w:pPr>
            <w:r w:rsidRPr="00693A71">
              <w:rPr>
                <w:bCs/>
                <w:sz w:val="16"/>
                <w:szCs w:val="16"/>
              </w:rPr>
              <w:t xml:space="preserve">The author </w:t>
            </w:r>
            <w:r>
              <w:rPr>
                <w:bCs/>
                <w:sz w:val="16"/>
                <w:szCs w:val="16"/>
              </w:rPr>
              <w:t xml:space="preserve">was </w:t>
            </w:r>
            <w:r w:rsidR="00EA185F">
              <w:rPr>
                <w:bCs/>
                <w:sz w:val="16"/>
                <w:szCs w:val="16"/>
              </w:rPr>
              <w:t>found to be</w:t>
            </w:r>
            <w:r w:rsidRPr="00693A71">
              <w:rPr>
                <w:bCs/>
                <w:sz w:val="16"/>
                <w:szCs w:val="16"/>
              </w:rPr>
              <w:t xml:space="preserve"> “unfit to plead”, in violation of his right to enjoy legal capacity on an equal basis with others. He also submits that he continues to be deprived of the reasonable accommodation he require</w:t>
            </w:r>
            <w:r w:rsidR="0073415D">
              <w:rPr>
                <w:bCs/>
                <w:sz w:val="16"/>
                <w:szCs w:val="16"/>
              </w:rPr>
              <w:t>d</w:t>
            </w:r>
            <w:r w:rsidRPr="00693A71">
              <w:rPr>
                <w:bCs/>
                <w:sz w:val="16"/>
                <w:szCs w:val="16"/>
              </w:rPr>
              <w:t xml:space="preserve"> to exercise his legal capacity, to effectively enter a plea of not guilty and to have the evidence against him tested, in violation of articles 12 (3) and 13 (1) of the Convention.</w:t>
            </w:r>
          </w:p>
        </w:tc>
        <w:tc>
          <w:tcPr>
            <w:tcW w:w="3233" w:type="dxa"/>
          </w:tcPr>
          <w:p w14:paraId="3237057E" w14:textId="1AB3D545" w:rsidR="008D4BF4" w:rsidRPr="00C60575" w:rsidRDefault="008D4BF4">
            <w:pPr>
              <w:rPr>
                <w:bCs/>
                <w:sz w:val="16"/>
                <w:szCs w:val="16"/>
              </w:rPr>
            </w:pPr>
            <w:r>
              <w:rPr>
                <w:sz w:val="16"/>
                <w:szCs w:val="16"/>
              </w:rPr>
              <w:t>On 2 September 2016, the CRPD Committee r</w:t>
            </w:r>
            <w:r w:rsidRPr="001701EE">
              <w:rPr>
                <w:sz w:val="16"/>
                <w:szCs w:val="16"/>
              </w:rPr>
              <w:t>equest</w:t>
            </w:r>
            <w:r>
              <w:rPr>
                <w:sz w:val="16"/>
                <w:szCs w:val="16"/>
              </w:rPr>
              <w:t>ed</w:t>
            </w:r>
            <w:r w:rsidRPr="001701EE">
              <w:rPr>
                <w:sz w:val="16"/>
                <w:szCs w:val="16"/>
              </w:rPr>
              <w:t xml:space="preserve"> the State party to</w:t>
            </w:r>
            <w:r w:rsidRPr="00C60575">
              <w:rPr>
                <w:bCs/>
                <w:sz w:val="16"/>
                <w:szCs w:val="16"/>
              </w:rPr>
              <w:t xml:space="preserve"> take measures to prevent similar violations in the future. In this regard, the Committee refers to the recommendations contained in its concluding observations (CRPD/C/AUS/CO/1, para. 32) and requires the State party to:</w:t>
            </w:r>
          </w:p>
          <w:p w14:paraId="03DA7B9C" w14:textId="1F8077DC" w:rsidR="008D4BF4" w:rsidRPr="00C60575" w:rsidRDefault="008D4BF4">
            <w:pPr>
              <w:rPr>
                <w:bCs/>
                <w:sz w:val="16"/>
                <w:szCs w:val="16"/>
              </w:rPr>
            </w:pPr>
            <w:r w:rsidRPr="00C60575">
              <w:rPr>
                <w:bCs/>
                <w:sz w:val="16"/>
                <w:szCs w:val="16"/>
              </w:rPr>
              <w:t>(</w:t>
            </w:r>
            <w:proofErr w:type="spellStart"/>
            <w:r w:rsidRPr="00C60575">
              <w:rPr>
                <w:bCs/>
                <w:sz w:val="16"/>
                <w:szCs w:val="16"/>
              </w:rPr>
              <w:t>i</w:t>
            </w:r>
            <w:proofErr w:type="spellEnd"/>
            <w:r w:rsidRPr="00C60575">
              <w:rPr>
                <w:bCs/>
                <w:sz w:val="16"/>
                <w:szCs w:val="16"/>
              </w:rPr>
              <w:t>)</w:t>
            </w:r>
            <w:r>
              <w:rPr>
                <w:bCs/>
                <w:sz w:val="16"/>
                <w:szCs w:val="16"/>
              </w:rPr>
              <w:t xml:space="preserve"> </w:t>
            </w:r>
            <w:r w:rsidRPr="00C60575">
              <w:rPr>
                <w:bCs/>
                <w:sz w:val="16"/>
                <w:szCs w:val="16"/>
              </w:rPr>
              <w:t xml:space="preserve">Adopt the necessary amendments of the Mentally Impaired Defendants Act (Western Australia) and all equivalent or related federal and state legislation, in close consultation with persons with disabilities and their representative organizations, ensuring its compliance with the principles of the Convention and with the Committee’s guidelines on article 14 of the Convention; </w:t>
            </w:r>
          </w:p>
          <w:p w14:paraId="6FC4B210" w14:textId="1E82F443" w:rsidR="008D4BF4" w:rsidRPr="00C60575" w:rsidRDefault="008D4BF4">
            <w:pPr>
              <w:rPr>
                <w:bCs/>
                <w:sz w:val="16"/>
                <w:szCs w:val="16"/>
              </w:rPr>
            </w:pPr>
            <w:r w:rsidRPr="00C60575">
              <w:rPr>
                <w:bCs/>
                <w:sz w:val="16"/>
                <w:szCs w:val="16"/>
              </w:rPr>
              <w:lastRenderedPageBreak/>
              <w:t>(ii)</w:t>
            </w:r>
            <w:r>
              <w:rPr>
                <w:bCs/>
                <w:sz w:val="16"/>
                <w:szCs w:val="16"/>
              </w:rPr>
              <w:t xml:space="preserve"> </w:t>
            </w:r>
            <w:r w:rsidRPr="00C60575">
              <w:rPr>
                <w:bCs/>
                <w:sz w:val="16"/>
                <w:szCs w:val="16"/>
              </w:rPr>
              <w:t>Ensure that adequate support and accommodation measures are provided to persons with mental and intellectual disabilities to enable them to exercise their legal capacity before the courts whenever necessary;</w:t>
            </w:r>
          </w:p>
          <w:p w14:paraId="7C0884C9" w14:textId="53277CFC" w:rsidR="008D4BF4" w:rsidRPr="00481A2B" w:rsidRDefault="008D4BF4">
            <w:pPr>
              <w:rPr>
                <w:bCs/>
                <w:sz w:val="16"/>
                <w:szCs w:val="16"/>
              </w:rPr>
            </w:pPr>
            <w:r w:rsidRPr="00C60575">
              <w:rPr>
                <w:bCs/>
                <w:sz w:val="16"/>
                <w:szCs w:val="16"/>
              </w:rPr>
              <w:t>(iii)</w:t>
            </w:r>
            <w:r>
              <w:rPr>
                <w:bCs/>
                <w:sz w:val="16"/>
                <w:szCs w:val="16"/>
              </w:rPr>
              <w:t xml:space="preserve"> </w:t>
            </w:r>
            <w:r w:rsidRPr="00C60575">
              <w:rPr>
                <w:bCs/>
                <w:sz w:val="16"/>
                <w:szCs w:val="16"/>
              </w:rPr>
              <w:t>Ensure that appropriate and regular training on the scope of the Convention and its Optional Protocol, including on the exercise of legal capacity by persons with intellectual and mental disabilities, is provided to staff of the Review Board, members of the Law Reform Commission and Parliament, judicial officers and staff involved in facilitating the work of the judiciary.</w:t>
            </w:r>
          </w:p>
        </w:tc>
        <w:tc>
          <w:tcPr>
            <w:tcW w:w="2091" w:type="dxa"/>
          </w:tcPr>
          <w:p w14:paraId="619C9B5A" w14:textId="77777777" w:rsidR="004F3F9E" w:rsidRDefault="00EB6B89">
            <w:pPr>
              <w:rPr>
                <w:bCs/>
                <w:sz w:val="16"/>
                <w:szCs w:val="16"/>
              </w:rPr>
            </w:pPr>
            <w:r>
              <w:rPr>
                <w:bCs/>
                <w:sz w:val="16"/>
                <w:szCs w:val="16"/>
              </w:rPr>
              <w:lastRenderedPageBreak/>
              <w:t>Not implemented.</w:t>
            </w:r>
          </w:p>
          <w:p w14:paraId="11F0F835" w14:textId="21C512FC" w:rsidR="006D4941" w:rsidRDefault="006D4941" w:rsidP="006D4941">
            <w:pPr>
              <w:rPr>
                <w:bCs/>
                <w:sz w:val="16"/>
                <w:szCs w:val="16"/>
              </w:rPr>
            </w:pPr>
            <w:r>
              <w:rPr>
                <w:bCs/>
                <w:sz w:val="16"/>
                <w:szCs w:val="16"/>
              </w:rPr>
              <w:t>The Australian Government disagreed with some of the CRPD Committee’s views.</w:t>
            </w:r>
          </w:p>
          <w:p w14:paraId="6DDB0CDA" w14:textId="22BC943C" w:rsidR="008D4BF4" w:rsidRPr="00481A2B" w:rsidRDefault="004F3F9E">
            <w:pPr>
              <w:rPr>
                <w:bCs/>
                <w:sz w:val="16"/>
                <w:szCs w:val="16"/>
              </w:rPr>
            </w:pPr>
            <w:r>
              <w:rPr>
                <w:bCs/>
                <w:sz w:val="16"/>
                <w:szCs w:val="16"/>
              </w:rPr>
              <w:t xml:space="preserve">While the </w:t>
            </w:r>
            <w:r w:rsidR="00AD74D0">
              <w:rPr>
                <w:bCs/>
                <w:sz w:val="16"/>
                <w:szCs w:val="16"/>
              </w:rPr>
              <w:t xml:space="preserve">Mentally Impaired Defendants Act </w:t>
            </w:r>
            <w:r w:rsidR="006937A2">
              <w:rPr>
                <w:bCs/>
                <w:sz w:val="16"/>
                <w:szCs w:val="16"/>
              </w:rPr>
              <w:t>has been amended since</w:t>
            </w:r>
            <w:r w:rsidR="00DD69A5">
              <w:rPr>
                <w:bCs/>
                <w:sz w:val="16"/>
                <w:szCs w:val="16"/>
              </w:rPr>
              <w:t xml:space="preserve"> the communication was made</w:t>
            </w:r>
            <w:r w:rsidR="006937A2">
              <w:rPr>
                <w:bCs/>
                <w:sz w:val="16"/>
                <w:szCs w:val="16"/>
              </w:rPr>
              <w:t>, it can still permit indefinite detention.</w:t>
            </w:r>
            <w:r w:rsidR="008D4BF4">
              <w:rPr>
                <w:bCs/>
                <w:sz w:val="16"/>
                <w:szCs w:val="16"/>
              </w:rPr>
              <w:br/>
            </w:r>
          </w:p>
        </w:tc>
      </w:tr>
      <w:tr w:rsidR="008D4BF4" w14:paraId="19E64A39" w14:textId="77777777" w:rsidTr="001E5AF0">
        <w:tc>
          <w:tcPr>
            <w:tcW w:w="1129" w:type="dxa"/>
          </w:tcPr>
          <w:p w14:paraId="6AAD3621" w14:textId="5B4F97A1" w:rsidR="00677384" w:rsidRPr="00574A23" w:rsidRDefault="004303EC">
            <w:pPr>
              <w:rPr>
                <w:bCs/>
                <w:sz w:val="16"/>
                <w:szCs w:val="16"/>
              </w:rPr>
            </w:pPr>
            <w:r>
              <w:rPr>
                <w:bCs/>
                <w:i/>
                <w:iCs/>
                <w:sz w:val="16"/>
                <w:szCs w:val="16"/>
              </w:rPr>
              <w:t>G.B.</w:t>
            </w:r>
            <w:r w:rsidR="00677384">
              <w:rPr>
                <w:bCs/>
                <w:i/>
                <w:iCs/>
                <w:sz w:val="16"/>
                <w:szCs w:val="16"/>
              </w:rPr>
              <w:t xml:space="preserve"> v Australia</w:t>
            </w:r>
            <w:r w:rsidR="00574A23">
              <w:rPr>
                <w:bCs/>
                <w:i/>
                <w:iCs/>
                <w:sz w:val="16"/>
                <w:szCs w:val="16"/>
              </w:rPr>
              <w:t xml:space="preserve"> </w:t>
            </w:r>
            <w:r w:rsidR="00574A23">
              <w:rPr>
                <w:bCs/>
                <w:sz w:val="16"/>
                <w:szCs w:val="16"/>
              </w:rPr>
              <w:t>(11</w:t>
            </w:r>
            <w:r>
              <w:rPr>
                <w:bCs/>
                <w:sz w:val="16"/>
                <w:szCs w:val="16"/>
              </w:rPr>
              <w:t>/</w:t>
            </w:r>
            <w:r w:rsidR="00574A23">
              <w:rPr>
                <w:bCs/>
                <w:sz w:val="16"/>
                <w:szCs w:val="16"/>
              </w:rPr>
              <w:t>2013)</w:t>
            </w:r>
          </w:p>
        </w:tc>
        <w:tc>
          <w:tcPr>
            <w:tcW w:w="1701" w:type="dxa"/>
          </w:tcPr>
          <w:p w14:paraId="1202772B" w14:textId="77777777" w:rsidR="008D4BF4" w:rsidRPr="000A5AC6" w:rsidRDefault="008D4BF4">
            <w:pPr>
              <w:rPr>
                <w:bCs/>
                <w:sz w:val="16"/>
                <w:szCs w:val="16"/>
              </w:rPr>
            </w:pPr>
            <w:r w:rsidRPr="0002423B">
              <w:rPr>
                <w:bCs/>
                <w:sz w:val="16"/>
                <w:szCs w:val="16"/>
              </w:rPr>
              <w:t>29 April 2013</w:t>
            </w:r>
          </w:p>
        </w:tc>
        <w:tc>
          <w:tcPr>
            <w:tcW w:w="1862" w:type="dxa"/>
          </w:tcPr>
          <w:p w14:paraId="03A264AC" w14:textId="77777777" w:rsidR="008D4BF4" w:rsidRPr="00B837DF" w:rsidRDefault="008D4BF4">
            <w:pPr>
              <w:rPr>
                <w:bCs/>
                <w:sz w:val="16"/>
                <w:szCs w:val="16"/>
              </w:rPr>
            </w:pPr>
            <w:r>
              <w:rPr>
                <w:bCs/>
                <w:sz w:val="16"/>
                <w:szCs w:val="16"/>
              </w:rPr>
              <w:t xml:space="preserve">Articles </w:t>
            </w:r>
            <w:r w:rsidRPr="00F81253">
              <w:rPr>
                <w:bCs/>
                <w:sz w:val="16"/>
                <w:szCs w:val="16"/>
              </w:rPr>
              <w:t>2, 4, 5, 9, 12, 13, 21 and 29</w:t>
            </w:r>
          </w:p>
        </w:tc>
        <w:tc>
          <w:tcPr>
            <w:tcW w:w="1245" w:type="dxa"/>
          </w:tcPr>
          <w:p w14:paraId="07FCC8DE" w14:textId="77777777" w:rsidR="008D4BF4" w:rsidRPr="00693A71" w:rsidRDefault="008D4BF4">
            <w:pPr>
              <w:rPr>
                <w:bCs/>
                <w:sz w:val="16"/>
                <w:szCs w:val="16"/>
              </w:rPr>
            </w:pPr>
            <w:r>
              <w:rPr>
                <w:bCs/>
                <w:sz w:val="16"/>
                <w:szCs w:val="16"/>
              </w:rPr>
              <w:t>NSW</w:t>
            </w:r>
          </w:p>
        </w:tc>
        <w:tc>
          <w:tcPr>
            <w:tcW w:w="3299" w:type="dxa"/>
          </w:tcPr>
          <w:p w14:paraId="07B2B0D6" w14:textId="77777777" w:rsidR="008D4BF4" w:rsidRPr="00693A71" w:rsidRDefault="008D4BF4">
            <w:pPr>
              <w:rPr>
                <w:bCs/>
                <w:sz w:val="16"/>
                <w:szCs w:val="16"/>
              </w:rPr>
            </w:pPr>
            <w:r>
              <w:rPr>
                <w:bCs/>
                <w:sz w:val="16"/>
                <w:szCs w:val="16"/>
              </w:rPr>
              <w:t>The author, who was deaf, was refused</w:t>
            </w:r>
            <w:r w:rsidRPr="007B6319">
              <w:rPr>
                <w:bCs/>
                <w:sz w:val="16"/>
                <w:szCs w:val="16"/>
              </w:rPr>
              <w:t xml:space="preserve"> </w:t>
            </w:r>
            <w:proofErr w:type="spellStart"/>
            <w:r w:rsidRPr="007B6319">
              <w:rPr>
                <w:bCs/>
                <w:sz w:val="16"/>
                <w:szCs w:val="16"/>
              </w:rPr>
              <w:t>Auslan</w:t>
            </w:r>
            <w:proofErr w:type="spellEnd"/>
            <w:r w:rsidRPr="007B6319">
              <w:rPr>
                <w:bCs/>
                <w:sz w:val="16"/>
                <w:szCs w:val="16"/>
              </w:rPr>
              <w:t xml:space="preserve"> interpretation, thereby preventing her participation in jury</w:t>
            </w:r>
            <w:r>
              <w:rPr>
                <w:bCs/>
                <w:sz w:val="16"/>
                <w:szCs w:val="16"/>
              </w:rPr>
              <w:t xml:space="preserve"> duty. </w:t>
            </w:r>
          </w:p>
        </w:tc>
        <w:tc>
          <w:tcPr>
            <w:tcW w:w="3233" w:type="dxa"/>
          </w:tcPr>
          <w:p w14:paraId="21B1841C" w14:textId="7F41BD12" w:rsidR="008D4BF4" w:rsidRPr="00930136" w:rsidRDefault="003C669B" w:rsidP="00574A23">
            <w:pPr>
              <w:rPr>
                <w:bCs/>
                <w:sz w:val="16"/>
                <w:szCs w:val="16"/>
              </w:rPr>
            </w:pPr>
            <w:r>
              <w:rPr>
                <w:sz w:val="16"/>
                <w:szCs w:val="16"/>
              </w:rPr>
              <w:t>On 1 April 2016, the CRPD Committee r</w:t>
            </w:r>
            <w:r w:rsidRPr="001701EE">
              <w:rPr>
                <w:sz w:val="16"/>
                <w:szCs w:val="16"/>
              </w:rPr>
              <w:t>equest</w:t>
            </w:r>
            <w:r>
              <w:rPr>
                <w:sz w:val="16"/>
                <w:szCs w:val="16"/>
              </w:rPr>
              <w:t>ed</w:t>
            </w:r>
            <w:r w:rsidRPr="001701EE">
              <w:rPr>
                <w:sz w:val="16"/>
                <w:szCs w:val="16"/>
              </w:rPr>
              <w:t xml:space="preserve"> the State party </w:t>
            </w:r>
            <w:r w:rsidR="00574A23">
              <w:rPr>
                <w:sz w:val="16"/>
                <w:szCs w:val="16"/>
              </w:rPr>
              <w:t xml:space="preserve">to </w:t>
            </w:r>
            <w:r w:rsidR="008D4BF4" w:rsidRPr="00930136">
              <w:rPr>
                <w:bCs/>
                <w:sz w:val="16"/>
                <w:szCs w:val="16"/>
              </w:rPr>
              <w:t>take measures to prevent similar violations in the future, including by:</w:t>
            </w:r>
          </w:p>
          <w:p w14:paraId="3225FAC4" w14:textId="17FF5081" w:rsidR="008D4BF4" w:rsidRPr="00930136" w:rsidRDefault="008D4BF4">
            <w:pPr>
              <w:rPr>
                <w:bCs/>
                <w:sz w:val="16"/>
                <w:szCs w:val="16"/>
              </w:rPr>
            </w:pPr>
            <w:r w:rsidRPr="00930136">
              <w:rPr>
                <w:bCs/>
                <w:sz w:val="16"/>
                <w:szCs w:val="16"/>
              </w:rPr>
              <w:t>(</w:t>
            </w:r>
            <w:proofErr w:type="spellStart"/>
            <w:r w:rsidRPr="00930136">
              <w:rPr>
                <w:bCs/>
                <w:sz w:val="16"/>
                <w:szCs w:val="16"/>
              </w:rPr>
              <w:t>i</w:t>
            </w:r>
            <w:proofErr w:type="spellEnd"/>
            <w:r w:rsidRPr="00930136">
              <w:rPr>
                <w:bCs/>
                <w:sz w:val="16"/>
                <w:szCs w:val="16"/>
              </w:rPr>
              <w:t>)</w:t>
            </w:r>
            <w:r w:rsidR="00C03295">
              <w:rPr>
                <w:bCs/>
                <w:sz w:val="16"/>
                <w:szCs w:val="16"/>
              </w:rPr>
              <w:t xml:space="preserve"> </w:t>
            </w:r>
            <w:r w:rsidRPr="00930136">
              <w:rPr>
                <w:bCs/>
                <w:sz w:val="16"/>
                <w:szCs w:val="16"/>
              </w:rPr>
              <w:t xml:space="preserve">Ensuring that every time a person with disabilities is summoned to perform jury duty, a thorough, objective and comprehensive assessment of his/her request for adjustment is carried out and all reasonable </w:t>
            </w:r>
            <w:r w:rsidRPr="00930136">
              <w:rPr>
                <w:bCs/>
                <w:sz w:val="16"/>
                <w:szCs w:val="16"/>
              </w:rPr>
              <w:lastRenderedPageBreak/>
              <w:t xml:space="preserve">accommodation is duly provided to enable his/her full participation; </w:t>
            </w:r>
          </w:p>
          <w:p w14:paraId="76120DD0" w14:textId="2A7F093D" w:rsidR="008D4BF4" w:rsidRPr="00930136" w:rsidRDefault="188AF899" w:rsidP="15363531">
            <w:pPr>
              <w:rPr>
                <w:sz w:val="16"/>
                <w:szCs w:val="16"/>
              </w:rPr>
            </w:pPr>
            <w:r w:rsidRPr="15363531">
              <w:rPr>
                <w:sz w:val="16"/>
                <w:szCs w:val="16"/>
              </w:rPr>
              <w:t>(ii)</w:t>
            </w:r>
            <w:r w:rsidR="130FBC37" w:rsidRPr="15363531">
              <w:rPr>
                <w:sz w:val="16"/>
                <w:szCs w:val="16"/>
              </w:rPr>
              <w:t xml:space="preserve"> </w:t>
            </w:r>
            <w:r w:rsidRPr="15363531">
              <w:rPr>
                <w:sz w:val="16"/>
                <w:szCs w:val="16"/>
              </w:rPr>
              <w:t xml:space="preserve">Adopting the necessary amendments to the relevant laws, regulations, policies and programs, in close consultation with persons with disabilities and their representative organizations; </w:t>
            </w:r>
          </w:p>
          <w:p w14:paraId="4088A58A" w14:textId="27840716" w:rsidR="008D4BF4" w:rsidRPr="00C60575" w:rsidRDefault="008D4BF4">
            <w:pPr>
              <w:rPr>
                <w:bCs/>
                <w:sz w:val="16"/>
                <w:szCs w:val="16"/>
              </w:rPr>
            </w:pPr>
            <w:r w:rsidRPr="00930136">
              <w:rPr>
                <w:bCs/>
                <w:sz w:val="16"/>
                <w:szCs w:val="16"/>
              </w:rPr>
              <w:t>(iii)</w:t>
            </w:r>
            <w:r w:rsidR="00C03295">
              <w:rPr>
                <w:bCs/>
                <w:sz w:val="16"/>
                <w:szCs w:val="16"/>
              </w:rPr>
              <w:t xml:space="preserve"> </w:t>
            </w:r>
            <w:r w:rsidRPr="00930136">
              <w:rPr>
                <w:bCs/>
                <w:sz w:val="16"/>
                <w:szCs w:val="16"/>
              </w:rPr>
              <w:t>Ensuring that appropriate and regular training on the scope of the Convention and its Optional Protocol, including on accessibility for persons with disabilities, is provided to local authorities, such as the Sheriff, and the judicial officers and staff involved in facilitating the work of the judiciary.</w:t>
            </w:r>
          </w:p>
        </w:tc>
        <w:tc>
          <w:tcPr>
            <w:tcW w:w="2091" w:type="dxa"/>
          </w:tcPr>
          <w:p w14:paraId="5BE9FED8" w14:textId="77777777" w:rsidR="008D4BF4" w:rsidRDefault="00574A23">
            <w:pPr>
              <w:rPr>
                <w:bCs/>
                <w:sz w:val="16"/>
                <w:szCs w:val="16"/>
              </w:rPr>
            </w:pPr>
            <w:r>
              <w:rPr>
                <w:bCs/>
                <w:sz w:val="16"/>
                <w:szCs w:val="16"/>
              </w:rPr>
              <w:lastRenderedPageBreak/>
              <w:t>Not implemented.</w:t>
            </w:r>
          </w:p>
          <w:p w14:paraId="49120898" w14:textId="77777777" w:rsidR="00F52371" w:rsidRDefault="00F52371">
            <w:pPr>
              <w:rPr>
                <w:bCs/>
                <w:sz w:val="16"/>
                <w:szCs w:val="16"/>
              </w:rPr>
            </w:pPr>
            <w:r>
              <w:rPr>
                <w:bCs/>
                <w:sz w:val="16"/>
                <w:szCs w:val="16"/>
              </w:rPr>
              <w:t>The Australian Government did not accept the CRPD Committee’s views.</w:t>
            </w:r>
          </w:p>
          <w:p w14:paraId="55438230" w14:textId="10074F28" w:rsidR="006B3E4C" w:rsidRPr="00481A2B" w:rsidRDefault="42829A07" w:rsidP="15363531">
            <w:pPr>
              <w:rPr>
                <w:sz w:val="16"/>
                <w:szCs w:val="16"/>
              </w:rPr>
            </w:pPr>
            <w:r w:rsidRPr="15363531">
              <w:rPr>
                <w:sz w:val="16"/>
                <w:szCs w:val="16"/>
              </w:rPr>
              <w:t>The federal court is seeking to harmonise its jury selection and participation manuals with the CRPD</w:t>
            </w:r>
            <w:r w:rsidR="3C45CCE7" w:rsidRPr="15363531">
              <w:rPr>
                <w:sz w:val="16"/>
                <w:szCs w:val="16"/>
              </w:rPr>
              <w:t xml:space="preserve">, however </w:t>
            </w:r>
            <w:r w:rsidR="3C45CCE7" w:rsidRPr="15363531">
              <w:rPr>
                <w:sz w:val="16"/>
                <w:szCs w:val="16"/>
              </w:rPr>
              <w:lastRenderedPageBreak/>
              <w:t>legislation in most jurisdictions continue</w:t>
            </w:r>
            <w:r w:rsidR="7672C6CD" w:rsidRPr="15363531">
              <w:rPr>
                <w:sz w:val="16"/>
                <w:szCs w:val="16"/>
              </w:rPr>
              <w:t>s</w:t>
            </w:r>
            <w:r w:rsidR="3C45CCE7" w:rsidRPr="15363531">
              <w:rPr>
                <w:sz w:val="16"/>
                <w:szCs w:val="16"/>
              </w:rPr>
              <w:t xml:space="preserve"> to exclude people with disability from jury service.</w:t>
            </w:r>
            <w:r w:rsidRPr="15363531">
              <w:rPr>
                <w:sz w:val="16"/>
                <w:szCs w:val="16"/>
              </w:rPr>
              <w:t xml:space="preserve"> </w:t>
            </w:r>
          </w:p>
        </w:tc>
      </w:tr>
      <w:tr w:rsidR="008D4BF4" w14:paraId="27E3E832" w14:textId="77777777" w:rsidTr="001E5AF0">
        <w:tc>
          <w:tcPr>
            <w:tcW w:w="1129" w:type="dxa"/>
          </w:tcPr>
          <w:p w14:paraId="32BA3DEE" w14:textId="0D7F5703" w:rsidR="00677384" w:rsidRPr="008E1ADA" w:rsidRDefault="008E1ADA">
            <w:pPr>
              <w:rPr>
                <w:bCs/>
                <w:sz w:val="16"/>
                <w:szCs w:val="16"/>
              </w:rPr>
            </w:pPr>
            <w:r>
              <w:rPr>
                <w:bCs/>
                <w:i/>
                <w:iCs/>
                <w:sz w:val="16"/>
                <w:szCs w:val="16"/>
              </w:rPr>
              <w:lastRenderedPageBreak/>
              <w:t>M.L.</w:t>
            </w:r>
            <w:r w:rsidR="00FF3C1D">
              <w:rPr>
                <w:bCs/>
                <w:i/>
                <w:iCs/>
                <w:sz w:val="16"/>
                <w:szCs w:val="16"/>
              </w:rPr>
              <w:t xml:space="preserve"> v Australia</w:t>
            </w:r>
            <w:r>
              <w:rPr>
                <w:bCs/>
                <w:i/>
                <w:iCs/>
                <w:sz w:val="16"/>
                <w:szCs w:val="16"/>
              </w:rPr>
              <w:t xml:space="preserve"> </w:t>
            </w:r>
            <w:r>
              <w:rPr>
                <w:bCs/>
                <w:sz w:val="16"/>
                <w:szCs w:val="16"/>
              </w:rPr>
              <w:t>(</w:t>
            </w:r>
            <w:r w:rsidRPr="00C35B73">
              <w:rPr>
                <w:bCs/>
                <w:sz w:val="16"/>
                <w:szCs w:val="16"/>
              </w:rPr>
              <w:t>13/2013</w:t>
            </w:r>
            <w:r>
              <w:rPr>
                <w:bCs/>
                <w:sz w:val="16"/>
                <w:szCs w:val="16"/>
              </w:rPr>
              <w:t>)</w:t>
            </w:r>
          </w:p>
        </w:tc>
        <w:tc>
          <w:tcPr>
            <w:tcW w:w="1701" w:type="dxa"/>
          </w:tcPr>
          <w:p w14:paraId="2DE6A968" w14:textId="77777777" w:rsidR="008D4BF4" w:rsidRPr="0002423B" w:rsidRDefault="008D4BF4">
            <w:pPr>
              <w:rPr>
                <w:bCs/>
                <w:sz w:val="16"/>
                <w:szCs w:val="16"/>
              </w:rPr>
            </w:pPr>
            <w:r w:rsidRPr="00F37FFD">
              <w:rPr>
                <w:bCs/>
                <w:sz w:val="16"/>
                <w:szCs w:val="16"/>
              </w:rPr>
              <w:t>8 April 2013</w:t>
            </w:r>
          </w:p>
        </w:tc>
        <w:tc>
          <w:tcPr>
            <w:tcW w:w="1862" w:type="dxa"/>
          </w:tcPr>
          <w:p w14:paraId="04FDBB60" w14:textId="7E6E8F0C" w:rsidR="008D4BF4" w:rsidRDefault="61339F62" w:rsidP="15363531">
            <w:pPr>
              <w:rPr>
                <w:sz w:val="16"/>
                <w:szCs w:val="16"/>
              </w:rPr>
            </w:pPr>
            <w:r w:rsidRPr="15363531">
              <w:rPr>
                <w:sz w:val="16"/>
                <w:szCs w:val="16"/>
              </w:rPr>
              <w:t xml:space="preserve">Articles </w:t>
            </w:r>
            <w:r w:rsidR="188AF899" w:rsidRPr="15363531">
              <w:rPr>
                <w:sz w:val="16"/>
                <w:szCs w:val="16"/>
              </w:rPr>
              <w:t>2, 4, 5, 9, 12, 13, 21 and 29 and Optional Protocols 2 (d) and (e)</w:t>
            </w:r>
          </w:p>
        </w:tc>
        <w:tc>
          <w:tcPr>
            <w:tcW w:w="1245" w:type="dxa"/>
          </w:tcPr>
          <w:p w14:paraId="1509F505" w14:textId="77777777" w:rsidR="008D4BF4" w:rsidRDefault="008D4BF4">
            <w:pPr>
              <w:rPr>
                <w:bCs/>
                <w:sz w:val="16"/>
                <w:szCs w:val="16"/>
              </w:rPr>
            </w:pPr>
            <w:r>
              <w:rPr>
                <w:bCs/>
                <w:sz w:val="16"/>
                <w:szCs w:val="16"/>
              </w:rPr>
              <w:t>NSW</w:t>
            </w:r>
          </w:p>
        </w:tc>
        <w:tc>
          <w:tcPr>
            <w:tcW w:w="3299" w:type="dxa"/>
          </w:tcPr>
          <w:p w14:paraId="3A097B90" w14:textId="6939CB87" w:rsidR="008D4BF4" w:rsidRDefault="008D4BF4">
            <w:pPr>
              <w:rPr>
                <w:bCs/>
                <w:sz w:val="16"/>
                <w:szCs w:val="16"/>
              </w:rPr>
            </w:pPr>
            <w:r>
              <w:rPr>
                <w:bCs/>
                <w:sz w:val="16"/>
                <w:szCs w:val="16"/>
              </w:rPr>
              <w:t xml:space="preserve">The author, who was deaf, was denied the use of steno-captioning to be able to </w:t>
            </w:r>
            <w:r w:rsidR="00C03295">
              <w:rPr>
                <w:bCs/>
                <w:sz w:val="16"/>
                <w:szCs w:val="16"/>
              </w:rPr>
              <w:t>participate</w:t>
            </w:r>
            <w:r>
              <w:rPr>
                <w:bCs/>
                <w:sz w:val="16"/>
                <w:szCs w:val="16"/>
              </w:rPr>
              <w:t xml:space="preserve"> in jury duty, and was</w:t>
            </w:r>
            <w:r w:rsidRPr="009A752F">
              <w:rPr>
                <w:bCs/>
                <w:sz w:val="16"/>
                <w:szCs w:val="16"/>
              </w:rPr>
              <w:t xml:space="preserve"> informed that he would not be permitted to participate in the jury selection process as he was deaf</w:t>
            </w:r>
            <w:r>
              <w:rPr>
                <w:bCs/>
                <w:sz w:val="16"/>
                <w:szCs w:val="16"/>
              </w:rPr>
              <w:t xml:space="preserve">. </w:t>
            </w:r>
          </w:p>
        </w:tc>
        <w:tc>
          <w:tcPr>
            <w:tcW w:w="3233" w:type="dxa"/>
          </w:tcPr>
          <w:p w14:paraId="09A807B9" w14:textId="4EACBC1A" w:rsidR="008D4BF4" w:rsidRPr="003660F0" w:rsidRDefault="00FF3C1D">
            <w:pPr>
              <w:rPr>
                <w:bCs/>
                <w:sz w:val="16"/>
                <w:szCs w:val="16"/>
              </w:rPr>
            </w:pPr>
            <w:r>
              <w:rPr>
                <w:sz w:val="16"/>
                <w:szCs w:val="16"/>
              </w:rPr>
              <w:t>On 1 April 2016, the CRPD Committee r</w:t>
            </w:r>
            <w:r w:rsidRPr="001701EE">
              <w:rPr>
                <w:sz w:val="16"/>
                <w:szCs w:val="16"/>
              </w:rPr>
              <w:t>equest</w:t>
            </w:r>
            <w:r>
              <w:rPr>
                <w:sz w:val="16"/>
                <w:szCs w:val="16"/>
              </w:rPr>
              <w:t>ed</w:t>
            </w:r>
            <w:r w:rsidRPr="001701EE">
              <w:rPr>
                <w:sz w:val="16"/>
                <w:szCs w:val="16"/>
              </w:rPr>
              <w:t xml:space="preserve"> the State party to</w:t>
            </w:r>
            <w:r w:rsidR="008E1ADA">
              <w:rPr>
                <w:sz w:val="16"/>
                <w:szCs w:val="16"/>
              </w:rPr>
              <w:t xml:space="preserve"> </w:t>
            </w:r>
            <w:r w:rsidR="008D4BF4" w:rsidRPr="003660F0">
              <w:rPr>
                <w:bCs/>
                <w:sz w:val="16"/>
                <w:szCs w:val="16"/>
              </w:rPr>
              <w:t>take measures to prevent similar violations in the future, including by:</w:t>
            </w:r>
          </w:p>
          <w:p w14:paraId="0E3D0C5E" w14:textId="53B91001" w:rsidR="008D4BF4" w:rsidRPr="003660F0" w:rsidRDefault="008D4BF4">
            <w:pPr>
              <w:rPr>
                <w:bCs/>
                <w:sz w:val="16"/>
                <w:szCs w:val="16"/>
              </w:rPr>
            </w:pPr>
            <w:r w:rsidRPr="003660F0">
              <w:rPr>
                <w:bCs/>
                <w:sz w:val="16"/>
                <w:szCs w:val="16"/>
              </w:rPr>
              <w:t>(</w:t>
            </w:r>
            <w:proofErr w:type="spellStart"/>
            <w:r w:rsidRPr="003660F0">
              <w:rPr>
                <w:bCs/>
                <w:sz w:val="16"/>
                <w:szCs w:val="16"/>
              </w:rPr>
              <w:t>i</w:t>
            </w:r>
            <w:proofErr w:type="spellEnd"/>
            <w:r w:rsidRPr="003660F0">
              <w:rPr>
                <w:bCs/>
                <w:sz w:val="16"/>
                <w:szCs w:val="16"/>
              </w:rPr>
              <w:t>)</w:t>
            </w:r>
            <w:r w:rsidR="00FF3C1D">
              <w:rPr>
                <w:bCs/>
                <w:sz w:val="16"/>
                <w:szCs w:val="16"/>
              </w:rPr>
              <w:t xml:space="preserve"> </w:t>
            </w:r>
            <w:r w:rsidRPr="003660F0">
              <w:rPr>
                <w:bCs/>
                <w:sz w:val="16"/>
                <w:szCs w:val="16"/>
              </w:rPr>
              <w:t xml:space="preserve">Ensuring that every time a person with disabilities is summoned to perform jury duty, a thorough, objective and comprehensive assessment of his or her request for adjustment is carried out, and all reasonable accommodation is duly provided to enable his or her full participation; </w:t>
            </w:r>
          </w:p>
          <w:p w14:paraId="5710228D" w14:textId="66923B21" w:rsidR="008D4BF4" w:rsidRPr="003660F0" w:rsidRDefault="188AF899" w:rsidP="15363531">
            <w:pPr>
              <w:rPr>
                <w:sz w:val="16"/>
                <w:szCs w:val="16"/>
              </w:rPr>
            </w:pPr>
            <w:r w:rsidRPr="15363531">
              <w:rPr>
                <w:sz w:val="16"/>
                <w:szCs w:val="16"/>
              </w:rPr>
              <w:t>(ii)</w:t>
            </w:r>
            <w:r w:rsidR="62E26BB9" w:rsidRPr="15363531">
              <w:rPr>
                <w:sz w:val="16"/>
                <w:szCs w:val="16"/>
              </w:rPr>
              <w:t xml:space="preserve"> </w:t>
            </w:r>
            <w:r w:rsidRPr="15363531">
              <w:rPr>
                <w:sz w:val="16"/>
                <w:szCs w:val="16"/>
              </w:rPr>
              <w:t xml:space="preserve">Adopting the necessary amendments in the relevant laws, regulations, policies </w:t>
            </w:r>
            <w:r w:rsidRPr="15363531">
              <w:rPr>
                <w:sz w:val="16"/>
                <w:szCs w:val="16"/>
              </w:rPr>
              <w:lastRenderedPageBreak/>
              <w:t xml:space="preserve">and programs, in close consultation with persons with disabilities and their representative organizations; </w:t>
            </w:r>
          </w:p>
          <w:p w14:paraId="266241FC" w14:textId="67746C7C" w:rsidR="008D4BF4" w:rsidRPr="00930136" w:rsidRDefault="008D4BF4">
            <w:pPr>
              <w:rPr>
                <w:bCs/>
                <w:sz w:val="16"/>
                <w:szCs w:val="16"/>
              </w:rPr>
            </w:pPr>
            <w:r w:rsidRPr="003660F0">
              <w:rPr>
                <w:bCs/>
                <w:sz w:val="16"/>
                <w:szCs w:val="16"/>
              </w:rPr>
              <w:t>(iii)</w:t>
            </w:r>
            <w:r w:rsidR="00FF3C1D">
              <w:rPr>
                <w:bCs/>
                <w:sz w:val="16"/>
                <w:szCs w:val="16"/>
              </w:rPr>
              <w:t xml:space="preserve"> </w:t>
            </w:r>
            <w:r w:rsidRPr="003660F0">
              <w:rPr>
                <w:bCs/>
                <w:sz w:val="16"/>
                <w:szCs w:val="16"/>
              </w:rPr>
              <w:t>Ensuring that appropriate and regular training on the scope of the Convention and its Optional Protocol, including on accessibility for persons with disabilities, is provided to local authorities, such as the Sheriff, and the judicial officers and staff involved in facilitating the work of the judiciary.</w:t>
            </w:r>
          </w:p>
        </w:tc>
        <w:tc>
          <w:tcPr>
            <w:tcW w:w="2091" w:type="dxa"/>
          </w:tcPr>
          <w:p w14:paraId="540520B8" w14:textId="77777777" w:rsidR="008D4BF4" w:rsidRDefault="00E15CD4">
            <w:pPr>
              <w:rPr>
                <w:bCs/>
                <w:sz w:val="16"/>
                <w:szCs w:val="16"/>
              </w:rPr>
            </w:pPr>
            <w:r>
              <w:rPr>
                <w:bCs/>
                <w:sz w:val="16"/>
                <w:szCs w:val="16"/>
              </w:rPr>
              <w:lastRenderedPageBreak/>
              <w:t xml:space="preserve">Not implemented. </w:t>
            </w:r>
          </w:p>
          <w:p w14:paraId="1C5A4A78" w14:textId="77777777" w:rsidR="00E15CD4" w:rsidRDefault="00E15CD4">
            <w:pPr>
              <w:rPr>
                <w:bCs/>
                <w:sz w:val="16"/>
                <w:szCs w:val="16"/>
              </w:rPr>
            </w:pPr>
            <w:r>
              <w:rPr>
                <w:bCs/>
                <w:sz w:val="16"/>
                <w:szCs w:val="16"/>
              </w:rPr>
              <w:t>The Australian Government did not accept the CRPD Committee’s views.</w:t>
            </w:r>
          </w:p>
          <w:p w14:paraId="228A1F6A" w14:textId="643AE514" w:rsidR="002658CC" w:rsidRPr="00481A2B" w:rsidRDefault="3C45CCE7" w:rsidP="15363531">
            <w:pPr>
              <w:rPr>
                <w:sz w:val="16"/>
                <w:szCs w:val="16"/>
              </w:rPr>
            </w:pPr>
            <w:r w:rsidRPr="15363531">
              <w:rPr>
                <w:sz w:val="16"/>
                <w:szCs w:val="16"/>
              </w:rPr>
              <w:t>The federal court is seeking to harmonise its jury selection and participation manuals with the CRPD, however legislation in most jurisdictions continue</w:t>
            </w:r>
            <w:r w:rsidR="797BEBD6" w:rsidRPr="15363531">
              <w:rPr>
                <w:sz w:val="16"/>
                <w:szCs w:val="16"/>
              </w:rPr>
              <w:t>s</w:t>
            </w:r>
            <w:r w:rsidRPr="15363531">
              <w:rPr>
                <w:sz w:val="16"/>
                <w:szCs w:val="16"/>
              </w:rPr>
              <w:t xml:space="preserve"> to exclude people with </w:t>
            </w:r>
            <w:r w:rsidRPr="15363531">
              <w:rPr>
                <w:sz w:val="16"/>
                <w:szCs w:val="16"/>
              </w:rPr>
              <w:lastRenderedPageBreak/>
              <w:t>disability from jury service.</w:t>
            </w:r>
          </w:p>
        </w:tc>
      </w:tr>
      <w:tr w:rsidR="008D4BF4" w14:paraId="08B113DF" w14:textId="77777777" w:rsidTr="001E5AF0">
        <w:tc>
          <w:tcPr>
            <w:tcW w:w="1129" w:type="dxa"/>
          </w:tcPr>
          <w:p w14:paraId="6D4F92F7" w14:textId="560A55DF" w:rsidR="008D4BF4" w:rsidRDefault="00B6283B">
            <w:pPr>
              <w:rPr>
                <w:bCs/>
                <w:sz w:val="16"/>
                <w:szCs w:val="16"/>
              </w:rPr>
            </w:pPr>
            <w:r w:rsidRPr="009621BE">
              <w:rPr>
                <w:bCs/>
                <w:i/>
                <w:iCs/>
                <w:sz w:val="16"/>
                <w:szCs w:val="16"/>
              </w:rPr>
              <w:lastRenderedPageBreak/>
              <w:t>M</w:t>
            </w:r>
            <w:r w:rsidRPr="009621BE">
              <w:rPr>
                <w:i/>
                <w:sz w:val="16"/>
                <w:szCs w:val="16"/>
              </w:rPr>
              <w:t xml:space="preserve">.R. </w:t>
            </w:r>
            <w:r w:rsidR="00AE7B24" w:rsidRPr="009621BE">
              <w:rPr>
                <w:i/>
                <w:sz w:val="16"/>
                <w:szCs w:val="16"/>
              </w:rPr>
              <w:t>v Australia</w:t>
            </w:r>
            <w:r w:rsidR="008D4BF4" w:rsidRPr="006F4550" w:rsidDel="00AE7B24">
              <w:rPr>
                <w:bCs/>
                <w:sz w:val="16"/>
                <w:szCs w:val="16"/>
              </w:rPr>
              <w:t xml:space="preserve"> </w:t>
            </w:r>
            <w:r w:rsidR="00AE7B24">
              <w:rPr>
                <w:bCs/>
                <w:sz w:val="16"/>
                <w:szCs w:val="16"/>
              </w:rPr>
              <w:t>(</w:t>
            </w:r>
            <w:r w:rsidR="008D4BF4" w:rsidRPr="006F4550">
              <w:rPr>
                <w:bCs/>
                <w:sz w:val="16"/>
                <w:szCs w:val="16"/>
              </w:rPr>
              <w:t>16/2013</w:t>
            </w:r>
            <w:r w:rsidR="00AE7B24">
              <w:rPr>
                <w:bCs/>
                <w:sz w:val="16"/>
                <w:szCs w:val="16"/>
              </w:rPr>
              <w:t>)</w:t>
            </w:r>
          </w:p>
        </w:tc>
        <w:tc>
          <w:tcPr>
            <w:tcW w:w="1701" w:type="dxa"/>
          </w:tcPr>
          <w:p w14:paraId="20C5EE8A" w14:textId="77777777" w:rsidR="008D4BF4" w:rsidRPr="00F37FFD" w:rsidRDefault="008D4BF4">
            <w:pPr>
              <w:rPr>
                <w:bCs/>
                <w:sz w:val="16"/>
                <w:szCs w:val="16"/>
              </w:rPr>
            </w:pPr>
            <w:r w:rsidRPr="00CC207A">
              <w:rPr>
                <w:bCs/>
                <w:sz w:val="16"/>
                <w:szCs w:val="16"/>
              </w:rPr>
              <w:t>14 August 2013</w:t>
            </w:r>
          </w:p>
        </w:tc>
        <w:tc>
          <w:tcPr>
            <w:tcW w:w="1862" w:type="dxa"/>
          </w:tcPr>
          <w:p w14:paraId="645CF1AF" w14:textId="77777777" w:rsidR="008D4BF4" w:rsidRPr="00C60FC2" w:rsidRDefault="008D4BF4">
            <w:pPr>
              <w:rPr>
                <w:bCs/>
                <w:sz w:val="16"/>
                <w:szCs w:val="16"/>
              </w:rPr>
            </w:pPr>
            <w:r>
              <w:rPr>
                <w:bCs/>
                <w:sz w:val="16"/>
                <w:szCs w:val="16"/>
              </w:rPr>
              <w:t xml:space="preserve">Articles </w:t>
            </w:r>
            <w:r w:rsidRPr="00F013A6">
              <w:rPr>
                <w:bCs/>
                <w:sz w:val="16"/>
                <w:szCs w:val="16"/>
              </w:rPr>
              <w:t>13, 22, 23 and 28</w:t>
            </w:r>
          </w:p>
        </w:tc>
        <w:tc>
          <w:tcPr>
            <w:tcW w:w="1245" w:type="dxa"/>
          </w:tcPr>
          <w:p w14:paraId="5CB0A056" w14:textId="77777777" w:rsidR="008D4BF4" w:rsidRDefault="008D4BF4">
            <w:pPr>
              <w:rPr>
                <w:bCs/>
                <w:sz w:val="16"/>
                <w:szCs w:val="16"/>
              </w:rPr>
            </w:pPr>
            <w:r>
              <w:rPr>
                <w:bCs/>
                <w:sz w:val="16"/>
                <w:szCs w:val="16"/>
              </w:rPr>
              <w:t xml:space="preserve">Not recorded </w:t>
            </w:r>
          </w:p>
        </w:tc>
        <w:tc>
          <w:tcPr>
            <w:tcW w:w="3299" w:type="dxa"/>
          </w:tcPr>
          <w:p w14:paraId="7F03F44E" w14:textId="0751C62E" w:rsidR="008D4BF4" w:rsidRDefault="00F42B29">
            <w:pPr>
              <w:rPr>
                <w:bCs/>
                <w:sz w:val="16"/>
                <w:szCs w:val="16"/>
              </w:rPr>
            </w:pPr>
            <w:r>
              <w:rPr>
                <w:bCs/>
                <w:sz w:val="16"/>
                <w:szCs w:val="16"/>
              </w:rPr>
              <w:t>The matter related to adapted social housing and funding for support services to enable de-institutionalisation.</w:t>
            </w:r>
          </w:p>
        </w:tc>
        <w:tc>
          <w:tcPr>
            <w:tcW w:w="3233" w:type="dxa"/>
          </w:tcPr>
          <w:p w14:paraId="55C05835" w14:textId="75E17BDC" w:rsidR="008D4BF4" w:rsidRPr="003660F0" w:rsidRDefault="00257D56">
            <w:pPr>
              <w:rPr>
                <w:bCs/>
                <w:sz w:val="16"/>
                <w:szCs w:val="16"/>
              </w:rPr>
            </w:pPr>
            <w:r>
              <w:rPr>
                <w:bCs/>
                <w:sz w:val="16"/>
                <w:szCs w:val="16"/>
              </w:rPr>
              <w:t>T</w:t>
            </w:r>
            <w:r w:rsidRPr="008F2853">
              <w:rPr>
                <w:bCs/>
                <w:sz w:val="16"/>
                <w:szCs w:val="16"/>
              </w:rPr>
              <w:t xml:space="preserve">he </w:t>
            </w:r>
            <w:r w:rsidR="005549D4">
              <w:rPr>
                <w:bCs/>
                <w:sz w:val="16"/>
                <w:szCs w:val="16"/>
              </w:rPr>
              <w:t>CRPD Committee</w:t>
            </w:r>
            <w:r w:rsidRPr="008F2853">
              <w:rPr>
                <w:bCs/>
                <w:sz w:val="16"/>
                <w:szCs w:val="16"/>
              </w:rPr>
              <w:t xml:space="preserve"> </w:t>
            </w:r>
            <w:r w:rsidR="00564D6D">
              <w:rPr>
                <w:bCs/>
                <w:sz w:val="16"/>
                <w:szCs w:val="16"/>
              </w:rPr>
              <w:t>made the decision</w:t>
            </w:r>
            <w:r w:rsidR="00564D6D" w:rsidRPr="008F2853">
              <w:rPr>
                <w:bCs/>
                <w:sz w:val="16"/>
                <w:szCs w:val="16"/>
              </w:rPr>
              <w:t xml:space="preserve"> </w:t>
            </w:r>
            <w:r w:rsidRPr="008F2853">
              <w:rPr>
                <w:bCs/>
                <w:sz w:val="16"/>
                <w:szCs w:val="16"/>
              </w:rPr>
              <w:t>to discontinue the consideration of communication</w:t>
            </w:r>
            <w:r>
              <w:rPr>
                <w:bCs/>
                <w:sz w:val="16"/>
                <w:szCs w:val="16"/>
              </w:rPr>
              <w:t xml:space="preserve"> once the author was no longer institutionalised.</w:t>
            </w:r>
          </w:p>
        </w:tc>
        <w:tc>
          <w:tcPr>
            <w:tcW w:w="2091" w:type="dxa"/>
          </w:tcPr>
          <w:p w14:paraId="4F04DD78" w14:textId="52CA2CF6" w:rsidR="008D4BF4" w:rsidRPr="00481A2B" w:rsidRDefault="00257D56">
            <w:pPr>
              <w:rPr>
                <w:bCs/>
                <w:sz w:val="16"/>
                <w:szCs w:val="16"/>
              </w:rPr>
            </w:pPr>
            <w:r>
              <w:rPr>
                <w:bCs/>
                <w:sz w:val="16"/>
                <w:szCs w:val="16"/>
              </w:rPr>
              <w:t>N/A</w:t>
            </w:r>
          </w:p>
        </w:tc>
      </w:tr>
      <w:tr w:rsidR="008D4BF4" w14:paraId="7188FEBD" w14:textId="77777777" w:rsidTr="001E5AF0">
        <w:tc>
          <w:tcPr>
            <w:tcW w:w="1129" w:type="dxa"/>
          </w:tcPr>
          <w:p w14:paraId="0C540C3C" w14:textId="59937DA4" w:rsidR="00205A44" w:rsidRPr="00205A44" w:rsidRDefault="00205A44">
            <w:pPr>
              <w:rPr>
                <w:bCs/>
                <w:sz w:val="16"/>
                <w:szCs w:val="16"/>
              </w:rPr>
            </w:pPr>
            <w:r>
              <w:rPr>
                <w:bCs/>
                <w:i/>
                <w:iCs/>
                <w:sz w:val="16"/>
                <w:szCs w:val="16"/>
              </w:rPr>
              <w:t xml:space="preserve">G.J.D. v Australia </w:t>
            </w:r>
            <w:r>
              <w:rPr>
                <w:bCs/>
                <w:sz w:val="16"/>
                <w:szCs w:val="16"/>
              </w:rPr>
              <w:t>(36/2016)</w:t>
            </w:r>
          </w:p>
        </w:tc>
        <w:tc>
          <w:tcPr>
            <w:tcW w:w="1701" w:type="dxa"/>
          </w:tcPr>
          <w:p w14:paraId="0F661272" w14:textId="77777777" w:rsidR="008D4BF4" w:rsidRPr="00CC207A" w:rsidRDefault="008D4BF4">
            <w:pPr>
              <w:rPr>
                <w:bCs/>
                <w:sz w:val="16"/>
                <w:szCs w:val="16"/>
              </w:rPr>
            </w:pPr>
            <w:r w:rsidRPr="00C56DE3">
              <w:rPr>
                <w:bCs/>
                <w:sz w:val="16"/>
                <w:szCs w:val="16"/>
              </w:rPr>
              <w:t>29 March 2016</w:t>
            </w:r>
          </w:p>
        </w:tc>
        <w:tc>
          <w:tcPr>
            <w:tcW w:w="1862" w:type="dxa"/>
          </w:tcPr>
          <w:p w14:paraId="59DE5F2D" w14:textId="77777777" w:rsidR="008D4BF4" w:rsidRDefault="008D4BF4">
            <w:pPr>
              <w:rPr>
                <w:bCs/>
                <w:sz w:val="16"/>
                <w:szCs w:val="16"/>
              </w:rPr>
            </w:pPr>
            <w:r>
              <w:rPr>
                <w:bCs/>
                <w:sz w:val="16"/>
                <w:szCs w:val="16"/>
              </w:rPr>
              <w:t xml:space="preserve">Articles </w:t>
            </w:r>
            <w:r w:rsidRPr="001659F2">
              <w:rPr>
                <w:bCs/>
                <w:sz w:val="16"/>
                <w:szCs w:val="16"/>
              </w:rPr>
              <w:t>12, 14, 15, 16, 17 and 21</w:t>
            </w:r>
            <w:r>
              <w:rPr>
                <w:bCs/>
                <w:sz w:val="16"/>
                <w:szCs w:val="16"/>
              </w:rPr>
              <w:t xml:space="preserve">and Optional Protocols </w:t>
            </w:r>
            <w:r w:rsidRPr="0010340D">
              <w:rPr>
                <w:bCs/>
                <w:sz w:val="16"/>
                <w:szCs w:val="16"/>
              </w:rPr>
              <w:t>1 (1) and 2 (d) and (e)</w:t>
            </w:r>
          </w:p>
        </w:tc>
        <w:tc>
          <w:tcPr>
            <w:tcW w:w="1245" w:type="dxa"/>
          </w:tcPr>
          <w:p w14:paraId="42F6314A" w14:textId="77777777" w:rsidR="008D4BF4" w:rsidRDefault="008D4BF4">
            <w:pPr>
              <w:rPr>
                <w:bCs/>
                <w:sz w:val="16"/>
                <w:szCs w:val="16"/>
              </w:rPr>
            </w:pPr>
            <w:r>
              <w:rPr>
                <w:bCs/>
                <w:sz w:val="16"/>
                <w:szCs w:val="16"/>
              </w:rPr>
              <w:t xml:space="preserve">Victoria </w:t>
            </w:r>
          </w:p>
        </w:tc>
        <w:tc>
          <w:tcPr>
            <w:tcW w:w="3299" w:type="dxa"/>
          </w:tcPr>
          <w:p w14:paraId="79CDCBF4" w14:textId="77777777" w:rsidR="008D4BF4" w:rsidRDefault="008D4BF4">
            <w:pPr>
              <w:rPr>
                <w:bCs/>
                <w:sz w:val="16"/>
                <w:szCs w:val="16"/>
              </w:rPr>
            </w:pPr>
            <w:r w:rsidRPr="00F64B9B">
              <w:rPr>
                <w:bCs/>
                <w:sz w:val="16"/>
                <w:szCs w:val="16"/>
              </w:rPr>
              <w:t>The author claims that by subjecting him to forced hospitalization in a psychiatric hospital with involuntary treatment, including electroconvulsive therapy, the State party has violated his rights under articles 12, 14, 15, 16, 17 and 21 of the Convention</w:t>
            </w:r>
            <w:r>
              <w:rPr>
                <w:bCs/>
                <w:sz w:val="16"/>
                <w:szCs w:val="16"/>
              </w:rPr>
              <w:t xml:space="preserve">. </w:t>
            </w:r>
          </w:p>
        </w:tc>
        <w:tc>
          <w:tcPr>
            <w:tcW w:w="3233" w:type="dxa"/>
          </w:tcPr>
          <w:p w14:paraId="67165B4E" w14:textId="0A47D7D8" w:rsidR="008D4BF4" w:rsidRDefault="00B436CA">
            <w:pPr>
              <w:rPr>
                <w:bCs/>
                <w:sz w:val="16"/>
                <w:szCs w:val="16"/>
              </w:rPr>
            </w:pPr>
            <w:r>
              <w:rPr>
                <w:bCs/>
                <w:sz w:val="16"/>
                <w:szCs w:val="16"/>
              </w:rPr>
              <w:t>The CRPD Committee found the communication to be inadmissible</w:t>
            </w:r>
            <w:r w:rsidR="008D4BF4">
              <w:rPr>
                <w:bCs/>
                <w:sz w:val="16"/>
                <w:szCs w:val="16"/>
              </w:rPr>
              <w:t xml:space="preserve"> </w:t>
            </w:r>
          </w:p>
        </w:tc>
        <w:tc>
          <w:tcPr>
            <w:tcW w:w="2091" w:type="dxa"/>
          </w:tcPr>
          <w:p w14:paraId="58D43ACE" w14:textId="2EA42EE3" w:rsidR="00B436CA" w:rsidRDefault="00B436CA">
            <w:pPr>
              <w:rPr>
                <w:bCs/>
                <w:sz w:val="16"/>
                <w:szCs w:val="16"/>
              </w:rPr>
            </w:pPr>
            <w:r>
              <w:rPr>
                <w:bCs/>
                <w:sz w:val="16"/>
                <w:szCs w:val="16"/>
              </w:rPr>
              <w:t>N/A</w:t>
            </w:r>
          </w:p>
          <w:p w14:paraId="5FB9AF5A" w14:textId="6659A39A" w:rsidR="00D44F5A" w:rsidRPr="00481A2B" w:rsidRDefault="00D56CD2">
            <w:pPr>
              <w:rPr>
                <w:bCs/>
                <w:sz w:val="16"/>
                <w:szCs w:val="16"/>
              </w:rPr>
            </w:pPr>
            <w:r>
              <w:rPr>
                <w:bCs/>
                <w:sz w:val="16"/>
                <w:szCs w:val="16"/>
              </w:rPr>
              <w:t>Compulsory treatment continues to be lawfully permitted in all jurisdictions</w:t>
            </w:r>
            <w:r w:rsidR="0043330D">
              <w:rPr>
                <w:bCs/>
                <w:sz w:val="16"/>
                <w:szCs w:val="16"/>
              </w:rPr>
              <w:t xml:space="preserve">, although the Royal Commission into Victoria’s mental health system </w:t>
            </w:r>
            <w:r w:rsidR="00564D6D">
              <w:rPr>
                <w:bCs/>
                <w:sz w:val="16"/>
                <w:szCs w:val="16"/>
              </w:rPr>
              <w:t xml:space="preserve">has made a recommendation for </w:t>
            </w:r>
            <w:r w:rsidR="0043330D">
              <w:rPr>
                <w:bCs/>
                <w:sz w:val="16"/>
                <w:szCs w:val="16"/>
              </w:rPr>
              <w:lastRenderedPageBreak/>
              <w:t>targets be set to reduce its use and duration.</w:t>
            </w:r>
          </w:p>
        </w:tc>
      </w:tr>
      <w:tr w:rsidR="008D4BF4" w14:paraId="7732184C" w14:textId="77777777" w:rsidTr="001E5AF0">
        <w:tc>
          <w:tcPr>
            <w:tcW w:w="1129" w:type="dxa"/>
          </w:tcPr>
          <w:p w14:paraId="2FA179D8" w14:textId="3197C1CF" w:rsidR="008D4BF4" w:rsidRDefault="00B64D9C">
            <w:pPr>
              <w:rPr>
                <w:bCs/>
                <w:sz w:val="16"/>
                <w:szCs w:val="16"/>
              </w:rPr>
            </w:pPr>
            <w:r>
              <w:rPr>
                <w:bCs/>
                <w:i/>
                <w:iCs/>
                <w:sz w:val="16"/>
                <w:szCs w:val="16"/>
              </w:rPr>
              <w:lastRenderedPageBreak/>
              <w:t xml:space="preserve">Sherlock v Australia </w:t>
            </w:r>
            <w:r>
              <w:rPr>
                <w:bCs/>
                <w:sz w:val="16"/>
                <w:szCs w:val="16"/>
              </w:rPr>
              <w:t>(</w:t>
            </w:r>
            <w:r w:rsidR="008D4BF4" w:rsidRPr="00457C63">
              <w:rPr>
                <w:bCs/>
                <w:sz w:val="16"/>
                <w:szCs w:val="16"/>
              </w:rPr>
              <w:t>20/2014</w:t>
            </w:r>
            <w:r>
              <w:rPr>
                <w:bCs/>
                <w:sz w:val="16"/>
                <w:szCs w:val="16"/>
              </w:rPr>
              <w:t>)</w:t>
            </w:r>
          </w:p>
        </w:tc>
        <w:tc>
          <w:tcPr>
            <w:tcW w:w="1701" w:type="dxa"/>
          </w:tcPr>
          <w:p w14:paraId="60CC1D92" w14:textId="25F2F78C" w:rsidR="008D4BF4" w:rsidRPr="00C56DE3" w:rsidRDefault="008D4BF4">
            <w:pPr>
              <w:rPr>
                <w:bCs/>
                <w:sz w:val="16"/>
                <w:szCs w:val="16"/>
              </w:rPr>
            </w:pPr>
            <w:r w:rsidRPr="00A012E4">
              <w:rPr>
                <w:bCs/>
                <w:sz w:val="16"/>
                <w:szCs w:val="16"/>
              </w:rPr>
              <w:t xml:space="preserve">24 February 2014 </w:t>
            </w:r>
          </w:p>
        </w:tc>
        <w:tc>
          <w:tcPr>
            <w:tcW w:w="1862" w:type="dxa"/>
          </w:tcPr>
          <w:p w14:paraId="11975C88" w14:textId="14200A24" w:rsidR="008D4BF4" w:rsidRDefault="27CC2FA1" w:rsidP="15363531">
            <w:pPr>
              <w:rPr>
                <w:sz w:val="16"/>
                <w:szCs w:val="16"/>
              </w:rPr>
            </w:pPr>
            <w:r w:rsidRPr="15363531">
              <w:rPr>
                <w:sz w:val="16"/>
                <w:szCs w:val="16"/>
              </w:rPr>
              <w:t xml:space="preserve">Articles </w:t>
            </w:r>
            <w:r w:rsidR="188AF899" w:rsidRPr="15363531">
              <w:rPr>
                <w:sz w:val="16"/>
                <w:szCs w:val="16"/>
              </w:rPr>
              <w:t xml:space="preserve">4–5 and 18 and Optional Protocols 1 (1) </w:t>
            </w:r>
          </w:p>
        </w:tc>
        <w:tc>
          <w:tcPr>
            <w:tcW w:w="1245" w:type="dxa"/>
          </w:tcPr>
          <w:p w14:paraId="76C595DC" w14:textId="77777777" w:rsidR="008D4BF4" w:rsidRDefault="008D4BF4">
            <w:pPr>
              <w:rPr>
                <w:bCs/>
                <w:sz w:val="16"/>
                <w:szCs w:val="16"/>
              </w:rPr>
            </w:pPr>
            <w:r>
              <w:rPr>
                <w:bCs/>
                <w:sz w:val="16"/>
                <w:szCs w:val="16"/>
              </w:rPr>
              <w:t xml:space="preserve">Victoria </w:t>
            </w:r>
          </w:p>
        </w:tc>
        <w:tc>
          <w:tcPr>
            <w:tcW w:w="3299" w:type="dxa"/>
          </w:tcPr>
          <w:p w14:paraId="15130B91" w14:textId="12F35641" w:rsidR="008D4BF4" w:rsidRPr="00F64B9B" w:rsidRDefault="188AF899" w:rsidP="15363531">
            <w:pPr>
              <w:rPr>
                <w:sz w:val="16"/>
                <w:szCs w:val="16"/>
              </w:rPr>
            </w:pPr>
            <w:r w:rsidRPr="15363531">
              <w:rPr>
                <w:sz w:val="16"/>
                <w:szCs w:val="16"/>
              </w:rPr>
              <w:t>The author, who had MS, claimed that the State party failed to recognize her right to liberty of movement and freedom to choose her residence on an equal basis with others. She argued that she was unable to obtain a subclass 457 visa on an equal basis with others because she failed to satisfy the health requirement due to the cost of her treatment, which included taking a specific medicine on a monthly basis.</w:t>
            </w:r>
          </w:p>
        </w:tc>
        <w:tc>
          <w:tcPr>
            <w:tcW w:w="3233" w:type="dxa"/>
          </w:tcPr>
          <w:p w14:paraId="6825D84E" w14:textId="7A13A54E" w:rsidR="008D4BF4" w:rsidRDefault="3A6701EC" w:rsidP="15363531">
            <w:pPr>
              <w:rPr>
                <w:sz w:val="16"/>
                <w:szCs w:val="16"/>
              </w:rPr>
            </w:pPr>
            <w:r w:rsidRPr="15363531">
              <w:rPr>
                <w:sz w:val="16"/>
                <w:szCs w:val="16"/>
              </w:rPr>
              <w:t>On 19 March 2021, the CRPD Committee requested the State party to take measures to prevent similar violations in the future, including by</w:t>
            </w:r>
            <w:r w:rsidR="29F3DD4C" w:rsidRPr="15363531">
              <w:rPr>
                <w:sz w:val="16"/>
                <w:szCs w:val="16"/>
              </w:rPr>
              <w:t xml:space="preserve"> ensuring </w:t>
            </w:r>
            <w:r w:rsidR="188AF899" w:rsidRPr="15363531">
              <w:rPr>
                <w:sz w:val="16"/>
                <w:szCs w:val="16"/>
              </w:rPr>
              <w:t xml:space="preserve">that barriers to the enjoyment by persons with disabilities of the right to utilize immigration proceedings on an equal basis with others are removed under national legislation. As the State party’s law does not prohibit any private arrangements between an employee and </w:t>
            </w:r>
            <w:r w:rsidR="7022D38E" w:rsidRPr="15363531">
              <w:rPr>
                <w:sz w:val="16"/>
                <w:szCs w:val="16"/>
              </w:rPr>
              <w:t xml:space="preserve">their </w:t>
            </w:r>
            <w:r w:rsidR="188AF899" w:rsidRPr="15363531">
              <w:rPr>
                <w:sz w:val="16"/>
                <w:szCs w:val="16"/>
              </w:rPr>
              <w:t xml:space="preserve">employer concerning the payment or reimbursement of health-care costs, the Committee recommends that such arrangements be part of the visa criteria and thus be taken into consideration. </w:t>
            </w:r>
          </w:p>
        </w:tc>
        <w:tc>
          <w:tcPr>
            <w:tcW w:w="2091" w:type="dxa"/>
          </w:tcPr>
          <w:p w14:paraId="6EE46B90" w14:textId="77777777" w:rsidR="00D75E27" w:rsidRDefault="00D75E27" w:rsidP="00D75E27">
            <w:pPr>
              <w:rPr>
                <w:bCs/>
                <w:sz w:val="16"/>
                <w:szCs w:val="16"/>
              </w:rPr>
            </w:pPr>
            <w:r>
              <w:rPr>
                <w:bCs/>
                <w:sz w:val="16"/>
                <w:szCs w:val="16"/>
              </w:rPr>
              <w:t xml:space="preserve">Not implemented. </w:t>
            </w:r>
          </w:p>
          <w:p w14:paraId="4BFF6667" w14:textId="77777777" w:rsidR="00D75E27" w:rsidRDefault="00D75E27" w:rsidP="00D75E27">
            <w:pPr>
              <w:rPr>
                <w:bCs/>
                <w:sz w:val="16"/>
                <w:szCs w:val="16"/>
              </w:rPr>
            </w:pPr>
            <w:r>
              <w:rPr>
                <w:bCs/>
                <w:sz w:val="16"/>
                <w:szCs w:val="16"/>
              </w:rPr>
              <w:t>The Australian Government did not accept the CRPD Committee’s views.</w:t>
            </w:r>
          </w:p>
          <w:p w14:paraId="0EE80C72" w14:textId="2928D2F8" w:rsidR="008D4BF4" w:rsidRPr="00481A2B" w:rsidRDefault="008D4BF4">
            <w:pPr>
              <w:rPr>
                <w:bCs/>
                <w:sz w:val="16"/>
                <w:szCs w:val="16"/>
              </w:rPr>
            </w:pPr>
          </w:p>
        </w:tc>
      </w:tr>
      <w:tr w:rsidR="008D4BF4" w14:paraId="309A978C" w14:textId="77777777" w:rsidTr="001E5AF0">
        <w:tc>
          <w:tcPr>
            <w:tcW w:w="1129" w:type="dxa"/>
          </w:tcPr>
          <w:p w14:paraId="57DB263A" w14:textId="386B82E2" w:rsidR="008D4BF4" w:rsidRDefault="00E92ED5">
            <w:pPr>
              <w:rPr>
                <w:bCs/>
                <w:sz w:val="16"/>
                <w:szCs w:val="16"/>
              </w:rPr>
            </w:pPr>
            <w:r>
              <w:rPr>
                <w:bCs/>
                <w:i/>
                <w:iCs/>
                <w:sz w:val="16"/>
                <w:szCs w:val="16"/>
              </w:rPr>
              <w:t xml:space="preserve">L.H. v Australia </w:t>
            </w:r>
            <w:r>
              <w:rPr>
                <w:bCs/>
                <w:sz w:val="16"/>
                <w:szCs w:val="16"/>
              </w:rPr>
              <w:t>(</w:t>
            </w:r>
            <w:r w:rsidR="008D4BF4" w:rsidRPr="000D10E3">
              <w:rPr>
                <w:bCs/>
                <w:sz w:val="16"/>
                <w:szCs w:val="16"/>
              </w:rPr>
              <w:t>56/2018</w:t>
            </w:r>
            <w:r>
              <w:rPr>
                <w:bCs/>
                <w:sz w:val="16"/>
                <w:szCs w:val="16"/>
              </w:rPr>
              <w:t>)</w:t>
            </w:r>
          </w:p>
        </w:tc>
        <w:tc>
          <w:tcPr>
            <w:tcW w:w="1701" w:type="dxa"/>
          </w:tcPr>
          <w:p w14:paraId="0D565A69" w14:textId="77777777" w:rsidR="008D4BF4" w:rsidRPr="00C56DE3" w:rsidRDefault="008D4BF4">
            <w:pPr>
              <w:rPr>
                <w:bCs/>
                <w:sz w:val="16"/>
                <w:szCs w:val="16"/>
              </w:rPr>
            </w:pPr>
            <w:r>
              <w:rPr>
                <w:bCs/>
                <w:sz w:val="16"/>
                <w:szCs w:val="16"/>
              </w:rPr>
              <w:t>3 October 2018</w:t>
            </w:r>
          </w:p>
        </w:tc>
        <w:tc>
          <w:tcPr>
            <w:tcW w:w="1862" w:type="dxa"/>
          </w:tcPr>
          <w:p w14:paraId="44D731BB" w14:textId="77777777" w:rsidR="008D4BF4" w:rsidRDefault="008D4BF4">
            <w:pPr>
              <w:rPr>
                <w:bCs/>
                <w:sz w:val="16"/>
                <w:szCs w:val="16"/>
              </w:rPr>
            </w:pPr>
            <w:r>
              <w:rPr>
                <w:bCs/>
                <w:sz w:val="16"/>
                <w:szCs w:val="16"/>
              </w:rPr>
              <w:t xml:space="preserve">Articles </w:t>
            </w:r>
            <w:r w:rsidRPr="0040501F">
              <w:rPr>
                <w:bCs/>
                <w:sz w:val="16"/>
                <w:szCs w:val="16"/>
              </w:rPr>
              <w:t>4 (1), 4 (2) and 5 (3), 9(1)(b) and 30(1)(b)</w:t>
            </w:r>
            <w:r>
              <w:rPr>
                <w:bCs/>
                <w:sz w:val="16"/>
                <w:szCs w:val="16"/>
              </w:rPr>
              <w:t xml:space="preserve"> and Optional Protocols 2 (d-e)</w:t>
            </w:r>
          </w:p>
        </w:tc>
        <w:tc>
          <w:tcPr>
            <w:tcW w:w="1245" w:type="dxa"/>
          </w:tcPr>
          <w:p w14:paraId="0E9BA6A2" w14:textId="77777777" w:rsidR="008D4BF4" w:rsidRDefault="008D4BF4">
            <w:pPr>
              <w:rPr>
                <w:bCs/>
                <w:sz w:val="16"/>
                <w:szCs w:val="16"/>
              </w:rPr>
            </w:pPr>
            <w:r>
              <w:rPr>
                <w:bCs/>
                <w:sz w:val="16"/>
                <w:szCs w:val="16"/>
              </w:rPr>
              <w:t xml:space="preserve">Australian Government </w:t>
            </w:r>
          </w:p>
        </w:tc>
        <w:tc>
          <w:tcPr>
            <w:tcW w:w="3299" w:type="dxa"/>
          </w:tcPr>
          <w:p w14:paraId="04544436" w14:textId="77777777" w:rsidR="008D4BF4" w:rsidRPr="00F64B9B" w:rsidRDefault="008D4BF4">
            <w:pPr>
              <w:rPr>
                <w:bCs/>
                <w:sz w:val="16"/>
                <w:szCs w:val="16"/>
              </w:rPr>
            </w:pPr>
            <w:r>
              <w:rPr>
                <w:bCs/>
                <w:sz w:val="16"/>
                <w:szCs w:val="16"/>
              </w:rPr>
              <w:t>The author</w:t>
            </w:r>
            <w:r w:rsidRPr="00895987">
              <w:rPr>
                <w:bCs/>
                <w:sz w:val="16"/>
                <w:szCs w:val="16"/>
              </w:rPr>
              <w:t xml:space="preserve"> claim</w:t>
            </w:r>
            <w:r>
              <w:rPr>
                <w:bCs/>
                <w:sz w:val="16"/>
                <w:szCs w:val="16"/>
              </w:rPr>
              <w:t>ed</w:t>
            </w:r>
            <w:r w:rsidRPr="00895987">
              <w:rPr>
                <w:bCs/>
                <w:sz w:val="16"/>
                <w:szCs w:val="16"/>
              </w:rPr>
              <w:t xml:space="preserve"> violation of her rights under the Convention, as the State party failed to enable her, as a person with a disability, to live independently and participate fully in all aspects of life by not providing audio description on free-to-air</w:t>
            </w:r>
            <w:r>
              <w:rPr>
                <w:bCs/>
                <w:sz w:val="16"/>
                <w:szCs w:val="16"/>
              </w:rPr>
              <w:t xml:space="preserve"> television. </w:t>
            </w:r>
          </w:p>
        </w:tc>
        <w:tc>
          <w:tcPr>
            <w:tcW w:w="3233" w:type="dxa"/>
          </w:tcPr>
          <w:p w14:paraId="1C2B0A17" w14:textId="7025706C" w:rsidR="008D4BF4" w:rsidRPr="00F87841" w:rsidRDefault="007C74B6">
            <w:pPr>
              <w:rPr>
                <w:bCs/>
                <w:sz w:val="16"/>
                <w:szCs w:val="16"/>
              </w:rPr>
            </w:pPr>
            <w:r w:rsidRPr="007C74B6">
              <w:rPr>
                <w:sz w:val="16"/>
                <w:szCs w:val="16"/>
              </w:rPr>
              <w:t>On 23 September 2022, the CRPD Committee transmitted its views on this matter (adopted on 26 August 2022), in which it recommended the State party to:</w:t>
            </w:r>
            <w:r w:rsidRPr="007C74B6" w:rsidDel="007C74B6">
              <w:rPr>
                <w:sz w:val="16"/>
                <w:szCs w:val="16"/>
              </w:rPr>
              <w:t xml:space="preserve"> </w:t>
            </w:r>
            <w:r w:rsidR="008D4BF4" w:rsidRPr="00F87841">
              <w:rPr>
                <w:bCs/>
                <w:sz w:val="16"/>
                <w:szCs w:val="16"/>
              </w:rPr>
              <w:t>(</w:t>
            </w:r>
            <w:proofErr w:type="spellStart"/>
            <w:r w:rsidR="008D4BF4" w:rsidRPr="00F87841">
              <w:rPr>
                <w:bCs/>
                <w:sz w:val="16"/>
                <w:szCs w:val="16"/>
              </w:rPr>
              <w:t>i</w:t>
            </w:r>
            <w:proofErr w:type="spellEnd"/>
            <w:r w:rsidR="008D4BF4" w:rsidRPr="00F87841">
              <w:rPr>
                <w:bCs/>
                <w:sz w:val="16"/>
                <w:szCs w:val="16"/>
              </w:rPr>
              <w:t>) Adopt action plans and strategies to identify existing barriers to accessibility –including the provision of audio description services to visually impaired persons-, set</w:t>
            </w:r>
            <w:r w:rsidR="008D4BF4">
              <w:rPr>
                <w:bCs/>
                <w:sz w:val="16"/>
                <w:szCs w:val="16"/>
              </w:rPr>
              <w:t xml:space="preserve"> </w:t>
            </w:r>
            <w:r w:rsidR="008D4BF4" w:rsidRPr="00F87841">
              <w:rPr>
                <w:bCs/>
                <w:sz w:val="16"/>
                <w:szCs w:val="16"/>
              </w:rPr>
              <w:t xml:space="preserve">time frames with specific deadlines and provide both the human and material resources necessary to remove the barriers, such action plans and strategies should be </w:t>
            </w:r>
            <w:r w:rsidR="008D4BF4" w:rsidRPr="00F87841">
              <w:rPr>
                <w:bCs/>
                <w:sz w:val="16"/>
                <w:szCs w:val="16"/>
              </w:rPr>
              <w:lastRenderedPageBreak/>
              <w:t>strictly implemented. The State party should also strengthen their monitoring</w:t>
            </w:r>
            <w:r w:rsidR="008D4BF4">
              <w:rPr>
                <w:bCs/>
                <w:sz w:val="16"/>
                <w:szCs w:val="16"/>
              </w:rPr>
              <w:t xml:space="preserve"> </w:t>
            </w:r>
            <w:r w:rsidR="008D4BF4" w:rsidRPr="00F87841">
              <w:rPr>
                <w:bCs/>
                <w:sz w:val="16"/>
                <w:szCs w:val="16"/>
              </w:rPr>
              <w:t>mechanisms in order to ensure accessibility and it should continue providing sufficient</w:t>
            </w:r>
            <w:r w:rsidR="008D4BF4">
              <w:rPr>
                <w:bCs/>
                <w:sz w:val="16"/>
                <w:szCs w:val="16"/>
              </w:rPr>
              <w:t xml:space="preserve"> </w:t>
            </w:r>
            <w:r w:rsidR="008D4BF4" w:rsidRPr="00F87841">
              <w:rPr>
                <w:bCs/>
                <w:sz w:val="16"/>
                <w:szCs w:val="16"/>
              </w:rPr>
              <w:t>funds to remove barriers to accessibility and train monitoring staff.</w:t>
            </w:r>
          </w:p>
          <w:p w14:paraId="3A2EE1FB" w14:textId="77777777" w:rsidR="008D4BF4" w:rsidRPr="00F87841" w:rsidRDefault="008D4BF4">
            <w:pPr>
              <w:rPr>
                <w:bCs/>
                <w:sz w:val="16"/>
                <w:szCs w:val="16"/>
              </w:rPr>
            </w:pPr>
            <w:r w:rsidRPr="00F87841">
              <w:rPr>
                <w:bCs/>
                <w:sz w:val="16"/>
                <w:szCs w:val="16"/>
              </w:rPr>
              <w:t>(ii) Take the necessary legislative and policy measures with a view to ensuring the</w:t>
            </w:r>
            <w:r>
              <w:rPr>
                <w:bCs/>
                <w:sz w:val="16"/>
                <w:szCs w:val="16"/>
              </w:rPr>
              <w:t xml:space="preserve"> </w:t>
            </w:r>
            <w:r w:rsidRPr="00F87841">
              <w:rPr>
                <w:bCs/>
                <w:sz w:val="16"/>
                <w:szCs w:val="16"/>
              </w:rPr>
              <w:t>provision of audio description services to visually impaired persons.</w:t>
            </w:r>
          </w:p>
          <w:p w14:paraId="33A03AEB" w14:textId="77777777" w:rsidR="008D4BF4" w:rsidRPr="00F87841" w:rsidRDefault="008D4BF4">
            <w:pPr>
              <w:rPr>
                <w:bCs/>
                <w:sz w:val="16"/>
                <w:szCs w:val="16"/>
              </w:rPr>
            </w:pPr>
            <w:r w:rsidRPr="00F87841">
              <w:rPr>
                <w:bCs/>
                <w:sz w:val="16"/>
                <w:szCs w:val="16"/>
              </w:rPr>
              <w:t xml:space="preserve">(iii) Educate persons with disabilities about their rights under the Convention, and in particular about accessibility as a crucial means to enable them to live independently and participate fully in all aspects of life. </w:t>
            </w:r>
          </w:p>
          <w:p w14:paraId="34CDE187" w14:textId="3E02E804" w:rsidR="008D4BF4" w:rsidRDefault="008D4BF4">
            <w:pPr>
              <w:rPr>
                <w:bCs/>
                <w:sz w:val="16"/>
                <w:szCs w:val="16"/>
              </w:rPr>
            </w:pPr>
            <w:r w:rsidRPr="00F87841">
              <w:rPr>
                <w:bCs/>
                <w:sz w:val="16"/>
                <w:szCs w:val="16"/>
              </w:rPr>
              <w:t xml:space="preserve">(iv) Ensure that appropriate and regular training and awareness raising activities on the scope of the Convention and its Optional Protocol, including on accessibility for persons with disabilities, is provided to all service providers of free-to-air television and other relevant stakeholders, to ensure that these are fully accessible in compliance with the Convention. Awareness-raising should be carried out in cooperation with persons with disabilities, their </w:t>
            </w:r>
            <w:r w:rsidRPr="00F87841">
              <w:rPr>
                <w:bCs/>
                <w:sz w:val="16"/>
                <w:szCs w:val="16"/>
              </w:rPr>
              <w:lastRenderedPageBreak/>
              <w:t>representative organizations and technical experts.</w:t>
            </w:r>
          </w:p>
        </w:tc>
        <w:tc>
          <w:tcPr>
            <w:tcW w:w="2091" w:type="dxa"/>
          </w:tcPr>
          <w:p w14:paraId="5951C25F" w14:textId="4FF42344" w:rsidR="00FB0A8C" w:rsidRPr="00481A2B" w:rsidRDefault="00FD7EA6">
            <w:pPr>
              <w:rPr>
                <w:bCs/>
                <w:sz w:val="16"/>
                <w:szCs w:val="16"/>
              </w:rPr>
            </w:pPr>
            <w:r>
              <w:rPr>
                <w:bCs/>
                <w:sz w:val="16"/>
                <w:szCs w:val="16"/>
              </w:rPr>
              <w:lastRenderedPageBreak/>
              <w:t>T</w:t>
            </w:r>
            <w:r w:rsidRPr="00FD7EA6">
              <w:rPr>
                <w:bCs/>
                <w:sz w:val="16"/>
                <w:szCs w:val="16"/>
              </w:rPr>
              <w:t>he Australian Government’s written response is due on 23 March</w:t>
            </w:r>
            <w:r>
              <w:rPr>
                <w:bCs/>
                <w:sz w:val="16"/>
                <w:szCs w:val="16"/>
              </w:rPr>
              <w:t xml:space="preserve"> 2023</w:t>
            </w:r>
            <w:r w:rsidRPr="00FD7EA6">
              <w:rPr>
                <w:bCs/>
                <w:sz w:val="16"/>
                <w:szCs w:val="16"/>
              </w:rPr>
              <w:t>.</w:t>
            </w:r>
          </w:p>
        </w:tc>
      </w:tr>
      <w:tr w:rsidR="008D4BF4" w14:paraId="247DB990" w14:textId="77777777" w:rsidTr="001E5AF0">
        <w:tc>
          <w:tcPr>
            <w:tcW w:w="1129" w:type="dxa"/>
          </w:tcPr>
          <w:p w14:paraId="35B491F4" w14:textId="75BB5EC3" w:rsidR="008D4BF4" w:rsidRDefault="006B05DC">
            <w:pPr>
              <w:rPr>
                <w:sz w:val="16"/>
                <w:szCs w:val="16"/>
              </w:rPr>
            </w:pPr>
            <w:r>
              <w:rPr>
                <w:i/>
                <w:iCs/>
                <w:sz w:val="16"/>
                <w:szCs w:val="16"/>
              </w:rPr>
              <w:lastRenderedPageBreak/>
              <w:t xml:space="preserve">S.K. v Australia </w:t>
            </w:r>
            <w:r>
              <w:rPr>
                <w:sz w:val="16"/>
                <w:szCs w:val="16"/>
              </w:rPr>
              <w:t>(</w:t>
            </w:r>
            <w:r w:rsidR="008D4BF4">
              <w:rPr>
                <w:sz w:val="16"/>
                <w:szCs w:val="16"/>
              </w:rPr>
              <w:t>15/2013</w:t>
            </w:r>
            <w:r>
              <w:rPr>
                <w:sz w:val="16"/>
                <w:szCs w:val="16"/>
              </w:rPr>
              <w:t>)</w:t>
            </w:r>
          </w:p>
        </w:tc>
        <w:tc>
          <w:tcPr>
            <w:tcW w:w="1701" w:type="dxa"/>
          </w:tcPr>
          <w:p w14:paraId="6B500B0A" w14:textId="77777777" w:rsidR="008D4BF4" w:rsidRDefault="008D4BF4">
            <w:pPr>
              <w:rPr>
                <w:sz w:val="16"/>
                <w:szCs w:val="16"/>
              </w:rPr>
            </w:pPr>
            <w:r>
              <w:rPr>
                <w:sz w:val="16"/>
                <w:szCs w:val="16"/>
              </w:rPr>
              <w:t>14 August 2013</w:t>
            </w:r>
          </w:p>
        </w:tc>
        <w:tc>
          <w:tcPr>
            <w:tcW w:w="1862" w:type="dxa"/>
          </w:tcPr>
          <w:p w14:paraId="78C470D2" w14:textId="77777777" w:rsidR="008D4BF4" w:rsidRDefault="008D4BF4">
            <w:pPr>
              <w:rPr>
                <w:sz w:val="16"/>
                <w:szCs w:val="16"/>
              </w:rPr>
            </w:pPr>
            <w:r>
              <w:rPr>
                <w:sz w:val="16"/>
                <w:szCs w:val="16"/>
              </w:rPr>
              <w:t>Articles 14, 18, 19, 22, 23, 26 and 28</w:t>
            </w:r>
          </w:p>
        </w:tc>
        <w:tc>
          <w:tcPr>
            <w:tcW w:w="1245" w:type="dxa"/>
          </w:tcPr>
          <w:p w14:paraId="2329219A" w14:textId="77777777" w:rsidR="008D4BF4" w:rsidRDefault="008D4BF4">
            <w:pPr>
              <w:rPr>
                <w:sz w:val="16"/>
                <w:szCs w:val="16"/>
              </w:rPr>
            </w:pPr>
            <w:r>
              <w:rPr>
                <w:sz w:val="16"/>
                <w:szCs w:val="16"/>
              </w:rPr>
              <w:t>Queensland</w:t>
            </w:r>
          </w:p>
        </w:tc>
        <w:tc>
          <w:tcPr>
            <w:tcW w:w="3299" w:type="dxa"/>
          </w:tcPr>
          <w:p w14:paraId="7BFAC76A" w14:textId="12D25FA0" w:rsidR="008D4BF4" w:rsidRDefault="188AF899">
            <w:pPr>
              <w:rPr>
                <w:sz w:val="16"/>
                <w:szCs w:val="16"/>
              </w:rPr>
            </w:pPr>
            <w:r w:rsidRPr="15363531">
              <w:rPr>
                <w:sz w:val="16"/>
                <w:szCs w:val="16"/>
              </w:rPr>
              <w:t>The author was receiving rehabilitation services for an Acquired Brain Injury (ABI</w:t>
            </w:r>
            <w:r w:rsidR="003D2E17" w:rsidRPr="15363531">
              <w:rPr>
                <w:sz w:val="16"/>
                <w:szCs w:val="16"/>
              </w:rPr>
              <w:t>) but</w:t>
            </w:r>
            <w:r w:rsidRPr="15363531">
              <w:rPr>
                <w:sz w:val="16"/>
                <w:szCs w:val="16"/>
              </w:rPr>
              <w:t xml:space="preserve"> was discharged by the service because it deemed that ‘no further rehabilitation outcomes’ were likely to be achieved. He was found eligible for social housing, but he would not be allocated social housing unless he was first provided with community disability support services.</w:t>
            </w:r>
          </w:p>
        </w:tc>
        <w:tc>
          <w:tcPr>
            <w:tcW w:w="3233" w:type="dxa"/>
          </w:tcPr>
          <w:p w14:paraId="5EC12FBB" w14:textId="77777777" w:rsidR="008D4BF4" w:rsidRDefault="008D4BF4">
            <w:pPr>
              <w:rPr>
                <w:sz w:val="16"/>
                <w:szCs w:val="16"/>
              </w:rPr>
            </w:pPr>
            <w:r>
              <w:rPr>
                <w:sz w:val="16"/>
                <w:szCs w:val="16"/>
              </w:rPr>
              <w:t>The author discontinued the communication in 2019.</w:t>
            </w:r>
          </w:p>
        </w:tc>
        <w:tc>
          <w:tcPr>
            <w:tcW w:w="2091" w:type="dxa"/>
          </w:tcPr>
          <w:p w14:paraId="34510D73" w14:textId="77777777" w:rsidR="008D4BF4" w:rsidRPr="00481A2B" w:rsidRDefault="008D4BF4">
            <w:pPr>
              <w:rPr>
                <w:sz w:val="16"/>
                <w:szCs w:val="16"/>
              </w:rPr>
            </w:pPr>
            <w:r>
              <w:rPr>
                <w:sz w:val="16"/>
                <w:szCs w:val="16"/>
              </w:rPr>
              <w:t>N/A</w:t>
            </w:r>
          </w:p>
        </w:tc>
      </w:tr>
      <w:tr w:rsidR="008D4BF4" w14:paraId="470D6902" w14:textId="77777777" w:rsidTr="001E5AF0">
        <w:tc>
          <w:tcPr>
            <w:tcW w:w="1129" w:type="dxa"/>
          </w:tcPr>
          <w:p w14:paraId="0644996A" w14:textId="0075B530" w:rsidR="008D4BF4" w:rsidRDefault="000E466F">
            <w:pPr>
              <w:rPr>
                <w:sz w:val="16"/>
                <w:szCs w:val="16"/>
              </w:rPr>
            </w:pPr>
            <w:r w:rsidRPr="009621BE">
              <w:rPr>
                <w:i/>
                <w:sz w:val="16"/>
                <w:szCs w:val="16"/>
              </w:rPr>
              <w:t>D</w:t>
            </w:r>
            <w:r w:rsidR="008D4BF4" w:rsidRPr="009621BE">
              <w:rPr>
                <w:i/>
                <w:sz w:val="16"/>
                <w:szCs w:val="16"/>
              </w:rPr>
              <w:t>.</w:t>
            </w:r>
            <w:r w:rsidRPr="009621BE">
              <w:rPr>
                <w:i/>
                <w:sz w:val="16"/>
                <w:szCs w:val="16"/>
              </w:rPr>
              <w:t>R. v Australia</w:t>
            </w:r>
            <w:r w:rsidR="008D4BF4">
              <w:rPr>
                <w:sz w:val="16"/>
                <w:szCs w:val="16"/>
              </w:rPr>
              <w:t xml:space="preserve"> </w:t>
            </w:r>
            <w:r>
              <w:rPr>
                <w:sz w:val="16"/>
                <w:szCs w:val="16"/>
              </w:rPr>
              <w:t>(</w:t>
            </w:r>
            <w:r w:rsidR="008D4BF4">
              <w:rPr>
                <w:sz w:val="16"/>
                <w:szCs w:val="16"/>
              </w:rPr>
              <w:t>14/2013</w:t>
            </w:r>
            <w:r>
              <w:rPr>
                <w:sz w:val="16"/>
                <w:szCs w:val="16"/>
              </w:rPr>
              <w:t>)</w:t>
            </w:r>
          </w:p>
        </w:tc>
        <w:tc>
          <w:tcPr>
            <w:tcW w:w="1701" w:type="dxa"/>
          </w:tcPr>
          <w:p w14:paraId="10BE31A8" w14:textId="77777777" w:rsidR="008D4BF4" w:rsidRDefault="008D4BF4">
            <w:pPr>
              <w:rPr>
                <w:sz w:val="16"/>
                <w:szCs w:val="16"/>
              </w:rPr>
            </w:pPr>
            <w:r>
              <w:rPr>
                <w:sz w:val="16"/>
                <w:szCs w:val="16"/>
              </w:rPr>
              <w:t>14 August 2013</w:t>
            </w:r>
          </w:p>
        </w:tc>
        <w:tc>
          <w:tcPr>
            <w:tcW w:w="1862" w:type="dxa"/>
          </w:tcPr>
          <w:p w14:paraId="6B83ABB5" w14:textId="77777777" w:rsidR="008D4BF4" w:rsidRDefault="008D4BF4">
            <w:pPr>
              <w:rPr>
                <w:sz w:val="16"/>
                <w:szCs w:val="16"/>
              </w:rPr>
            </w:pPr>
            <w:r>
              <w:rPr>
                <w:sz w:val="16"/>
                <w:szCs w:val="16"/>
              </w:rPr>
              <w:t>Articles 4, 5(2), 14, 18, 19, 22, 26 and 28</w:t>
            </w:r>
          </w:p>
        </w:tc>
        <w:tc>
          <w:tcPr>
            <w:tcW w:w="1245" w:type="dxa"/>
          </w:tcPr>
          <w:p w14:paraId="355F2901" w14:textId="77777777" w:rsidR="008D4BF4" w:rsidRDefault="008D4BF4">
            <w:pPr>
              <w:rPr>
                <w:sz w:val="16"/>
                <w:szCs w:val="16"/>
              </w:rPr>
            </w:pPr>
            <w:r>
              <w:rPr>
                <w:sz w:val="16"/>
                <w:szCs w:val="16"/>
              </w:rPr>
              <w:t>Queensland</w:t>
            </w:r>
          </w:p>
        </w:tc>
        <w:tc>
          <w:tcPr>
            <w:tcW w:w="3299" w:type="dxa"/>
          </w:tcPr>
          <w:p w14:paraId="1EB4D4B8" w14:textId="61E47092" w:rsidR="008D4BF4" w:rsidRDefault="188AF899">
            <w:pPr>
              <w:rPr>
                <w:sz w:val="16"/>
                <w:szCs w:val="16"/>
              </w:rPr>
            </w:pPr>
            <w:r w:rsidRPr="15363531">
              <w:rPr>
                <w:sz w:val="16"/>
                <w:szCs w:val="16"/>
              </w:rPr>
              <w:t>The author was receiving rehabilitation services for an Acquired Brain Injury (ABI</w:t>
            </w:r>
            <w:r w:rsidR="003D2E17" w:rsidRPr="15363531">
              <w:rPr>
                <w:sz w:val="16"/>
                <w:szCs w:val="16"/>
              </w:rPr>
              <w:t>) but</w:t>
            </w:r>
            <w:r w:rsidRPr="15363531">
              <w:rPr>
                <w:sz w:val="16"/>
                <w:szCs w:val="16"/>
              </w:rPr>
              <w:t xml:space="preserve"> was discharged by the service as suitable for discharge, on the basis that community based accommodation and disability support services would be available to him. Over a period of 10 years (2000-2010), referrals were made but </w:t>
            </w:r>
            <w:r w:rsidR="1BF2A85E" w:rsidRPr="15363531">
              <w:rPr>
                <w:sz w:val="16"/>
                <w:szCs w:val="16"/>
              </w:rPr>
              <w:t xml:space="preserve">were </w:t>
            </w:r>
            <w:r w:rsidRPr="15363531">
              <w:rPr>
                <w:sz w:val="16"/>
                <w:szCs w:val="16"/>
              </w:rPr>
              <w:t>unsuccessful.</w:t>
            </w:r>
          </w:p>
        </w:tc>
        <w:tc>
          <w:tcPr>
            <w:tcW w:w="3233" w:type="dxa"/>
          </w:tcPr>
          <w:p w14:paraId="1A516A04" w14:textId="77777777" w:rsidR="008D4BF4" w:rsidRDefault="008D4BF4">
            <w:pPr>
              <w:rPr>
                <w:sz w:val="16"/>
                <w:szCs w:val="16"/>
              </w:rPr>
            </w:pPr>
            <w:r>
              <w:rPr>
                <w:sz w:val="16"/>
                <w:szCs w:val="16"/>
              </w:rPr>
              <w:t>The CRPD Committee found the communication to be inadmissible.</w:t>
            </w:r>
          </w:p>
        </w:tc>
        <w:tc>
          <w:tcPr>
            <w:tcW w:w="2091" w:type="dxa"/>
          </w:tcPr>
          <w:p w14:paraId="405CE6C2" w14:textId="6884F76C" w:rsidR="008D4BF4" w:rsidRPr="00481A2B" w:rsidRDefault="006B05DC">
            <w:pPr>
              <w:rPr>
                <w:sz w:val="16"/>
                <w:szCs w:val="16"/>
              </w:rPr>
            </w:pPr>
            <w:r>
              <w:rPr>
                <w:sz w:val="16"/>
                <w:szCs w:val="16"/>
              </w:rPr>
              <w:t>N/A</w:t>
            </w:r>
          </w:p>
        </w:tc>
      </w:tr>
      <w:tr w:rsidR="008D4BF4" w14:paraId="05DA7E78" w14:textId="77777777" w:rsidTr="001E5AF0">
        <w:tc>
          <w:tcPr>
            <w:tcW w:w="1129" w:type="dxa"/>
          </w:tcPr>
          <w:p w14:paraId="688244F8" w14:textId="5963D786" w:rsidR="008D4BF4" w:rsidRPr="00481A2B" w:rsidRDefault="009044DD">
            <w:pPr>
              <w:rPr>
                <w:bCs/>
                <w:sz w:val="16"/>
                <w:szCs w:val="16"/>
              </w:rPr>
            </w:pPr>
            <w:r w:rsidRPr="009621BE">
              <w:rPr>
                <w:i/>
                <w:sz w:val="16"/>
                <w:szCs w:val="16"/>
              </w:rPr>
              <w:t>C.L. v Australia</w:t>
            </w:r>
            <w:r>
              <w:rPr>
                <w:sz w:val="16"/>
                <w:szCs w:val="16"/>
              </w:rPr>
              <w:t xml:space="preserve"> (</w:t>
            </w:r>
            <w:r w:rsidR="008D4BF4">
              <w:rPr>
                <w:sz w:val="16"/>
                <w:szCs w:val="16"/>
              </w:rPr>
              <w:t>17/2013</w:t>
            </w:r>
            <w:r>
              <w:rPr>
                <w:sz w:val="16"/>
                <w:szCs w:val="16"/>
              </w:rPr>
              <w:t>)</w:t>
            </w:r>
          </w:p>
        </w:tc>
        <w:tc>
          <w:tcPr>
            <w:tcW w:w="1701" w:type="dxa"/>
          </w:tcPr>
          <w:p w14:paraId="689CD6BA" w14:textId="77777777" w:rsidR="008D4BF4" w:rsidRPr="00481A2B" w:rsidRDefault="008D4BF4">
            <w:pPr>
              <w:rPr>
                <w:bCs/>
                <w:sz w:val="16"/>
                <w:szCs w:val="16"/>
              </w:rPr>
            </w:pPr>
            <w:r>
              <w:rPr>
                <w:sz w:val="16"/>
                <w:szCs w:val="16"/>
              </w:rPr>
              <w:t>19 September 2013</w:t>
            </w:r>
          </w:p>
        </w:tc>
        <w:tc>
          <w:tcPr>
            <w:tcW w:w="1862" w:type="dxa"/>
          </w:tcPr>
          <w:p w14:paraId="63E68857" w14:textId="77777777" w:rsidR="008D4BF4" w:rsidRPr="00481A2B" w:rsidRDefault="008D4BF4">
            <w:pPr>
              <w:rPr>
                <w:bCs/>
                <w:sz w:val="16"/>
                <w:szCs w:val="16"/>
              </w:rPr>
            </w:pPr>
            <w:r>
              <w:rPr>
                <w:sz w:val="16"/>
                <w:szCs w:val="16"/>
              </w:rPr>
              <w:t>Articles 5, 12, 13, 14, 15, 19, 25, 26 and 28</w:t>
            </w:r>
          </w:p>
        </w:tc>
        <w:tc>
          <w:tcPr>
            <w:tcW w:w="1245" w:type="dxa"/>
          </w:tcPr>
          <w:p w14:paraId="1E096B97" w14:textId="77777777" w:rsidR="008D4BF4" w:rsidRDefault="008D4BF4">
            <w:pPr>
              <w:rPr>
                <w:sz w:val="16"/>
                <w:szCs w:val="16"/>
              </w:rPr>
            </w:pPr>
            <w:r>
              <w:rPr>
                <w:sz w:val="16"/>
                <w:szCs w:val="16"/>
              </w:rPr>
              <w:t>Northern Territory</w:t>
            </w:r>
          </w:p>
        </w:tc>
        <w:tc>
          <w:tcPr>
            <w:tcW w:w="3299" w:type="dxa"/>
          </w:tcPr>
          <w:p w14:paraId="6A714E9A" w14:textId="66501368" w:rsidR="008D4BF4" w:rsidRPr="00481A2B" w:rsidRDefault="008D4BF4">
            <w:pPr>
              <w:rPr>
                <w:bCs/>
                <w:sz w:val="16"/>
                <w:szCs w:val="16"/>
              </w:rPr>
            </w:pPr>
            <w:r>
              <w:rPr>
                <w:sz w:val="16"/>
                <w:szCs w:val="16"/>
              </w:rPr>
              <w:t>The author was charged with assault and determined unfit to stand trial due to mental impairment. He spent 5 years and 10 months in custody, in harsh and isolated conditions, almost six times the period of custody he would have been required to serve had he been convicted of the offence.</w:t>
            </w:r>
          </w:p>
        </w:tc>
        <w:tc>
          <w:tcPr>
            <w:tcW w:w="3233" w:type="dxa"/>
          </w:tcPr>
          <w:p w14:paraId="17E1667B" w14:textId="77777777" w:rsidR="008D4BF4" w:rsidRDefault="008D4BF4">
            <w:pPr>
              <w:rPr>
                <w:sz w:val="16"/>
                <w:szCs w:val="16"/>
              </w:rPr>
            </w:pPr>
            <w:r>
              <w:rPr>
                <w:sz w:val="16"/>
                <w:szCs w:val="16"/>
              </w:rPr>
              <w:t>On 30 August 2019, the CRPD Committee r</w:t>
            </w:r>
            <w:r w:rsidRPr="001701EE">
              <w:rPr>
                <w:sz w:val="16"/>
                <w:szCs w:val="16"/>
              </w:rPr>
              <w:t>equest</w:t>
            </w:r>
            <w:r>
              <w:rPr>
                <w:sz w:val="16"/>
                <w:szCs w:val="16"/>
              </w:rPr>
              <w:t>ed</w:t>
            </w:r>
            <w:r w:rsidRPr="001701EE">
              <w:rPr>
                <w:sz w:val="16"/>
                <w:szCs w:val="16"/>
              </w:rPr>
              <w:t xml:space="preserve"> the State party to:</w:t>
            </w:r>
          </w:p>
          <w:p w14:paraId="3D252BD0" w14:textId="79BB9342" w:rsidR="008D4BF4" w:rsidRDefault="188AF899">
            <w:pPr>
              <w:rPr>
                <w:sz w:val="16"/>
                <w:szCs w:val="16"/>
              </w:rPr>
            </w:pPr>
            <w:r w:rsidRPr="15363531">
              <w:rPr>
                <w:sz w:val="16"/>
                <w:szCs w:val="16"/>
              </w:rPr>
              <w:t xml:space="preserve"> (</w:t>
            </w:r>
            <w:proofErr w:type="spellStart"/>
            <w:r w:rsidRPr="15363531">
              <w:rPr>
                <w:sz w:val="16"/>
                <w:szCs w:val="16"/>
              </w:rPr>
              <w:t>i</w:t>
            </w:r>
            <w:proofErr w:type="spellEnd"/>
            <w:r w:rsidRPr="15363531">
              <w:rPr>
                <w:sz w:val="16"/>
                <w:szCs w:val="16"/>
              </w:rPr>
              <w:t xml:space="preserve">) Amend part IIA of the Northern Territory Criminal Code and all equivalent or related federal and state legislation, in close consultation with persons with disabilities and their representative organizations, in such a </w:t>
            </w:r>
            <w:r w:rsidRPr="15363531">
              <w:rPr>
                <w:sz w:val="16"/>
                <w:szCs w:val="16"/>
              </w:rPr>
              <w:lastRenderedPageBreak/>
              <w:t xml:space="preserve">way as to comply with the principles of the Convention and with the Committee’s guidelines on the right to liberty and security of persons with disabilities; </w:t>
            </w:r>
          </w:p>
          <w:p w14:paraId="560EAE11" w14:textId="77777777" w:rsidR="008D4BF4" w:rsidRDefault="008D4BF4">
            <w:pPr>
              <w:rPr>
                <w:sz w:val="16"/>
                <w:szCs w:val="16"/>
              </w:rPr>
            </w:pPr>
            <w:r w:rsidRPr="001701EE">
              <w:rPr>
                <w:sz w:val="16"/>
                <w:szCs w:val="16"/>
              </w:rPr>
              <w:t>(ii) Ensure without further delay that adequate support and accommodation measures are provided to persons with intellectual and psychosocial disabilities to enable them to exercise their legal capacity before the courts whenever necessary;</w:t>
            </w:r>
          </w:p>
          <w:p w14:paraId="0C38A469" w14:textId="77777777" w:rsidR="008D4BF4" w:rsidRDefault="008D4BF4">
            <w:pPr>
              <w:rPr>
                <w:sz w:val="16"/>
                <w:szCs w:val="16"/>
              </w:rPr>
            </w:pPr>
            <w:r w:rsidRPr="001701EE">
              <w:rPr>
                <w:sz w:val="16"/>
                <w:szCs w:val="16"/>
              </w:rPr>
              <w:t xml:space="preserve"> (iii) Protect the right to live independently and be included in the community by taking steps, to the maximum of its available resources, to create community residences in order to replace any institutionalized settings with independent living support services; </w:t>
            </w:r>
          </w:p>
          <w:p w14:paraId="740808A3" w14:textId="77777777" w:rsidR="008D4BF4" w:rsidRPr="00481A2B" w:rsidRDefault="008D4BF4">
            <w:pPr>
              <w:rPr>
                <w:bCs/>
                <w:sz w:val="16"/>
                <w:szCs w:val="16"/>
              </w:rPr>
            </w:pPr>
            <w:r w:rsidRPr="001701EE">
              <w:rPr>
                <w:sz w:val="16"/>
                <w:szCs w:val="16"/>
              </w:rPr>
              <w:t xml:space="preserve">(iv) Ensure that appropriate and regular training on the scope of the Convention and its Optional Protocol, including on the exercise of legal capacity and access to justice, is provided to staff working with persons with intellectual and psychosocial disabilities, members of the Law Reform Commission and Parliament, judicial officers and staff </w:t>
            </w:r>
            <w:r w:rsidRPr="001701EE">
              <w:rPr>
                <w:sz w:val="16"/>
                <w:szCs w:val="16"/>
              </w:rPr>
              <w:lastRenderedPageBreak/>
              <w:t>involved in facilitating the work of the judiciary, and avoid using high-security institutions for the confinement of persons with intellectual and psychosocial disabilities.</w:t>
            </w:r>
          </w:p>
        </w:tc>
        <w:tc>
          <w:tcPr>
            <w:tcW w:w="2091" w:type="dxa"/>
          </w:tcPr>
          <w:p w14:paraId="734053C4" w14:textId="08A78A71" w:rsidR="008D4BF4" w:rsidRPr="00481A2B" w:rsidRDefault="007005FD">
            <w:pPr>
              <w:rPr>
                <w:bCs/>
                <w:sz w:val="16"/>
                <w:szCs w:val="16"/>
              </w:rPr>
            </w:pPr>
            <w:r>
              <w:rPr>
                <w:bCs/>
                <w:sz w:val="16"/>
                <w:szCs w:val="16"/>
              </w:rPr>
              <w:lastRenderedPageBreak/>
              <w:t>Not implemented.</w:t>
            </w:r>
          </w:p>
        </w:tc>
      </w:tr>
      <w:tr w:rsidR="008D4BF4" w14:paraId="6CABDB71" w14:textId="77777777" w:rsidTr="001E5AF0">
        <w:tc>
          <w:tcPr>
            <w:tcW w:w="1129" w:type="dxa"/>
          </w:tcPr>
          <w:p w14:paraId="2A32633D" w14:textId="67D612FD" w:rsidR="008D4BF4" w:rsidRDefault="003B4B69">
            <w:pPr>
              <w:rPr>
                <w:sz w:val="16"/>
                <w:szCs w:val="16"/>
              </w:rPr>
            </w:pPr>
            <w:r>
              <w:rPr>
                <w:i/>
                <w:iCs/>
                <w:sz w:val="16"/>
                <w:szCs w:val="16"/>
              </w:rPr>
              <w:lastRenderedPageBreak/>
              <w:t xml:space="preserve">M.D. v Australia </w:t>
            </w:r>
            <w:r>
              <w:rPr>
                <w:sz w:val="16"/>
                <w:szCs w:val="16"/>
              </w:rPr>
              <w:t>(</w:t>
            </w:r>
            <w:r w:rsidR="008D4BF4">
              <w:rPr>
                <w:sz w:val="16"/>
                <w:szCs w:val="16"/>
              </w:rPr>
              <w:t>18/2013</w:t>
            </w:r>
            <w:r>
              <w:rPr>
                <w:sz w:val="16"/>
                <w:szCs w:val="16"/>
              </w:rPr>
              <w:t>)</w:t>
            </w:r>
          </w:p>
        </w:tc>
        <w:tc>
          <w:tcPr>
            <w:tcW w:w="1701" w:type="dxa"/>
          </w:tcPr>
          <w:p w14:paraId="6A15E3FD" w14:textId="77777777" w:rsidR="008D4BF4" w:rsidRDefault="008D4BF4">
            <w:pPr>
              <w:rPr>
                <w:sz w:val="16"/>
                <w:szCs w:val="16"/>
              </w:rPr>
            </w:pPr>
            <w:r>
              <w:rPr>
                <w:sz w:val="16"/>
                <w:szCs w:val="16"/>
              </w:rPr>
              <w:t>19 September 2013</w:t>
            </w:r>
          </w:p>
        </w:tc>
        <w:tc>
          <w:tcPr>
            <w:tcW w:w="1862" w:type="dxa"/>
          </w:tcPr>
          <w:p w14:paraId="64D85007" w14:textId="77777777" w:rsidR="008D4BF4" w:rsidRDefault="008D4BF4">
            <w:pPr>
              <w:rPr>
                <w:sz w:val="16"/>
                <w:szCs w:val="16"/>
              </w:rPr>
            </w:pPr>
            <w:r>
              <w:rPr>
                <w:sz w:val="16"/>
                <w:szCs w:val="16"/>
              </w:rPr>
              <w:t>Articles 5, 12, 13, 14, 15, 19, 25, 26 and 28</w:t>
            </w:r>
          </w:p>
        </w:tc>
        <w:tc>
          <w:tcPr>
            <w:tcW w:w="1245" w:type="dxa"/>
          </w:tcPr>
          <w:p w14:paraId="598304B1" w14:textId="77777777" w:rsidR="008D4BF4" w:rsidRDefault="008D4BF4">
            <w:pPr>
              <w:rPr>
                <w:sz w:val="16"/>
                <w:szCs w:val="16"/>
              </w:rPr>
            </w:pPr>
            <w:r>
              <w:rPr>
                <w:sz w:val="16"/>
                <w:szCs w:val="16"/>
              </w:rPr>
              <w:t>Northern Territory</w:t>
            </w:r>
          </w:p>
        </w:tc>
        <w:tc>
          <w:tcPr>
            <w:tcW w:w="3299" w:type="dxa"/>
          </w:tcPr>
          <w:p w14:paraId="1257E693" w14:textId="17E62E61" w:rsidR="008D4BF4" w:rsidRDefault="008D4BF4">
            <w:pPr>
              <w:rPr>
                <w:sz w:val="16"/>
                <w:szCs w:val="16"/>
              </w:rPr>
            </w:pPr>
            <w:r>
              <w:rPr>
                <w:sz w:val="16"/>
                <w:szCs w:val="16"/>
              </w:rPr>
              <w:t xml:space="preserve">The author was incarcerated at a high security section of prison, he was found unfit to stand trial due to mental impairment, and </w:t>
            </w:r>
            <w:r w:rsidR="00AA633C">
              <w:rPr>
                <w:sz w:val="16"/>
                <w:szCs w:val="16"/>
              </w:rPr>
              <w:t xml:space="preserve">following a special hearing, he was </w:t>
            </w:r>
            <w:r>
              <w:rPr>
                <w:sz w:val="16"/>
                <w:szCs w:val="16"/>
              </w:rPr>
              <w:t>found not guilty of the offence by reason of mental impairment and liable to supervision. He was placed on a custodial supervision order. He spent a total of four years and nine months in custody, almost five times the period of custody required had he been convicted of the offence.</w:t>
            </w:r>
          </w:p>
        </w:tc>
        <w:tc>
          <w:tcPr>
            <w:tcW w:w="3233" w:type="dxa"/>
          </w:tcPr>
          <w:p w14:paraId="51355AEF" w14:textId="77777777" w:rsidR="008D4BF4" w:rsidRDefault="008D4BF4">
            <w:pPr>
              <w:rPr>
                <w:sz w:val="16"/>
                <w:szCs w:val="16"/>
              </w:rPr>
            </w:pPr>
            <w:r>
              <w:rPr>
                <w:sz w:val="16"/>
                <w:szCs w:val="16"/>
              </w:rPr>
              <w:t>On 30 August 2019, the CRPD Committee r</w:t>
            </w:r>
            <w:r w:rsidRPr="001701EE">
              <w:rPr>
                <w:sz w:val="16"/>
                <w:szCs w:val="16"/>
              </w:rPr>
              <w:t>equest</w:t>
            </w:r>
            <w:r>
              <w:rPr>
                <w:sz w:val="16"/>
                <w:szCs w:val="16"/>
              </w:rPr>
              <w:t>ed</w:t>
            </w:r>
            <w:r w:rsidRPr="001701EE">
              <w:rPr>
                <w:sz w:val="16"/>
                <w:szCs w:val="16"/>
              </w:rPr>
              <w:t xml:space="preserve"> the State party to</w:t>
            </w:r>
          </w:p>
          <w:p w14:paraId="06EE723F" w14:textId="2C0D470F" w:rsidR="008D4BF4" w:rsidRDefault="188AF899">
            <w:pPr>
              <w:rPr>
                <w:sz w:val="16"/>
                <w:szCs w:val="16"/>
              </w:rPr>
            </w:pPr>
            <w:r w:rsidRPr="15363531">
              <w:rPr>
                <w:sz w:val="16"/>
                <w:szCs w:val="16"/>
              </w:rPr>
              <w:t>(</w:t>
            </w:r>
            <w:proofErr w:type="spellStart"/>
            <w:r w:rsidRPr="15363531">
              <w:rPr>
                <w:sz w:val="16"/>
                <w:szCs w:val="16"/>
              </w:rPr>
              <w:t>i</w:t>
            </w:r>
            <w:proofErr w:type="spellEnd"/>
            <w:r w:rsidRPr="15363531">
              <w:rPr>
                <w:sz w:val="16"/>
                <w:szCs w:val="16"/>
              </w:rPr>
              <w:t xml:space="preserve">) Amend part IIA of the Northern Territory Criminal Code and all equivalent or related federal and State legislation, in close consultation with persons with disabilities and their representative organizations, in such a way as to comply with the principles of the Convention and with the Committee’s guidelines on the right to liberty and security of persons with disabilities; </w:t>
            </w:r>
          </w:p>
          <w:p w14:paraId="04A19230" w14:textId="77777777" w:rsidR="008D4BF4" w:rsidRDefault="008D4BF4">
            <w:pPr>
              <w:rPr>
                <w:sz w:val="16"/>
                <w:szCs w:val="16"/>
              </w:rPr>
            </w:pPr>
            <w:r w:rsidRPr="00B52A68">
              <w:rPr>
                <w:sz w:val="16"/>
                <w:szCs w:val="16"/>
              </w:rPr>
              <w:t xml:space="preserve">(ii) Ensure without delay that adequate support and accommodation measures are provided to persons with intellectual and psychosocial disabilities to enable them to exercise their legal capacity before the courts whenever necessary; </w:t>
            </w:r>
          </w:p>
          <w:p w14:paraId="4571F0DD" w14:textId="77777777" w:rsidR="008D4BF4" w:rsidRDefault="008D4BF4">
            <w:pPr>
              <w:rPr>
                <w:sz w:val="16"/>
                <w:szCs w:val="16"/>
              </w:rPr>
            </w:pPr>
            <w:r w:rsidRPr="00B52A68">
              <w:rPr>
                <w:sz w:val="16"/>
                <w:szCs w:val="16"/>
              </w:rPr>
              <w:t xml:space="preserve">(iii) Protect the right to live independently and be included in the community by taking steps, to the maximum of its available resources, to create community residences in order to replace any institutionalized settings </w:t>
            </w:r>
            <w:r w:rsidRPr="00B52A68">
              <w:rPr>
                <w:sz w:val="16"/>
                <w:szCs w:val="16"/>
              </w:rPr>
              <w:lastRenderedPageBreak/>
              <w:t xml:space="preserve">with independent living support services; </w:t>
            </w:r>
          </w:p>
          <w:p w14:paraId="3F321551" w14:textId="146BDC80" w:rsidR="008D4BF4" w:rsidRDefault="188AF899">
            <w:pPr>
              <w:rPr>
                <w:sz w:val="16"/>
                <w:szCs w:val="16"/>
              </w:rPr>
            </w:pPr>
            <w:r w:rsidRPr="15363531">
              <w:rPr>
                <w:sz w:val="16"/>
                <w:szCs w:val="16"/>
              </w:rPr>
              <w:t>(iv) Ensure that appropriate and regular training on the scope of the Convention and its Optional Protocol, including on the exercise of legal capacity and access to justice, is provided to staff working with persons with intellectual and psychosocial disabilities, members of the Law Reform Commission and Parliament, judicial officers and staff involved in facilitating the work of the judiciary, and avoid using high-security institutions for the confinement of persons with intellectual and psychosocial disabilities.</w:t>
            </w:r>
          </w:p>
        </w:tc>
        <w:tc>
          <w:tcPr>
            <w:tcW w:w="2091" w:type="dxa"/>
          </w:tcPr>
          <w:p w14:paraId="7F68A5C1" w14:textId="1D945E29" w:rsidR="008D4BF4" w:rsidRPr="00481A2B" w:rsidRDefault="003B4B69">
            <w:pPr>
              <w:rPr>
                <w:sz w:val="16"/>
                <w:szCs w:val="16"/>
              </w:rPr>
            </w:pPr>
            <w:r>
              <w:rPr>
                <w:sz w:val="16"/>
                <w:szCs w:val="16"/>
              </w:rPr>
              <w:lastRenderedPageBreak/>
              <w:t>Not implemented.</w:t>
            </w:r>
          </w:p>
        </w:tc>
      </w:tr>
      <w:tr w:rsidR="008D4BF4" w14:paraId="457A06AD" w14:textId="77777777" w:rsidTr="001E5AF0">
        <w:tc>
          <w:tcPr>
            <w:tcW w:w="1129" w:type="dxa"/>
          </w:tcPr>
          <w:p w14:paraId="180E617C" w14:textId="08F6CA02" w:rsidR="008D4BF4" w:rsidRDefault="77519845">
            <w:pPr>
              <w:rPr>
                <w:sz w:val="16"/>
                <w:szCs w:val="16"/>
              </w:rPr>
            </w:pPr>
            <w:r w:rsidRPr="15363531">
              <w:rPr>
                <w:i/>
                <w:iCs/>
                <w:sz w:val="16"/>
                <w:szCs w:val="16"/>
              </w:rPr>
              <w:t xml:space="preserve">F.G. v Australia </w:t>
            </w:r>
            <w:r w:rsidRPr="15363531">
              <w:rPr>
                <w:sz w:val="16"/>
                <w:szCs w:val="16"/>
              </w:rPr>
              <w:t>(</w:t>
            </w:r>
            <w:r w:rsidR="188AF899" w:rsidRPr="15363531">
              <w:rPr>
                <w:sz w:val="16"/>
                <w:szCs w:val="16"/>
              </w:rPr>
              <w:t>19</w:t>
            </w:r>
            <w:r w:rsidR="0311FDAE" w:rsidRPr="15363531">
              <w:rPr>
                <w:sz w:val="16"/>
                <w:szCs w:val="16"/>
              </w:rPr>
              <w:t>/</w:t>
            </w:r>
            <w:r w:rsidR="188AF899" w:rsidRPr="15363531">
              <w:rPr>
                <w:sz w:val="16"/>
                <w:szCs w:val="16"/>
              </w:rPr>
              <w:t>2014</w:t>
            </w:r>
            <w:r w:rsidRPr="15363531">
              <w:rPr>
                <w:sz w:val="16"/>
                <w:szCs w:val="16"/>
              </w:rPr>
              <w:t>)</w:t>
            </w:r>
          </w:p>
        </w:tc>
        <w:tc>
          <w:tcPr>
            <w:tcW w:w="1701" w:type="dxa"/>
          </w:tcPr>
          <w:p w14:paraId="7ABE8705" w14:textId="77777777" w:rsidR="008D4BF4" w:rsidRDefault="008D4BF4">
            <w:pPr>
              <w:rPr>
                <w:sz w:val="16"/>
                <w:szCs w:val="16"/>
              </w:rPr>
            </w:pPr>
            <w:r>
              <w:rPr>
                <w:sz w:val="16"/>
                <w:szCs w:val="16"/>
              </w:rPr>
              <w:t>27 November 2013</w:t>
            </w:r>
          </w:p>
        </w:tc>
        <w:tc>
          <w:tcPr>
            <w:tcW w:w="1862" w:type="dxa"/>
          </w:tcPr>
          <w:p w14:paraId="7A4EB4C3" w14:textId="77777777" w:rsidR="008D4BF4" w:rsidRDefault="008D4BF4">
            <w:pPr>
              <w:rPr>
                <w:sz w:val="16"/>
                <w:szCs w:val="16"/>
              </w:rPr>
            </w:pPr>
            <w:r>
              <w:rPr>
                <w:sz w:val="16"/>
                <w:szCs w:val="16"/>
              </w:rPr>
              <w:t xml:space="preserve">Articles </w:t>
            </w:r>
            <w:r w:rsidRPr="002776C9">
              <w:rPr>
                <w:sz w:val="16"/>
                <w:szCs w:val="16"/>
              </w:rPr>
              <w:t>4 (1) (a), (b), (d), (e) and (g), 5 (2) and (3), 9 and 29 (a) (</w:t>
            </w:r>
            <w:proofErr w:type="spellStart"/>
            <w:r w:rsidRPr="002776C9">
              <w:rPr>
                <w:sz w:val="16"/>
                <w:szCs w:val="16"/>
              </w:rPr>
              <w:t>i</w:t>
            </w:r>
            <w:proofErr w:type="spellEnd"/>
            <w:r w:rsidRPr="002776C9">
              <w:rPr>
                <w:sz w:val="16"/>
                <w:szCs w:val="16"/>
              </w:rPr>
              <w:t>), (ii) and (iii)</w:t>
            </w:r>
          </w:p>
        </w:tc>
        <w:tc>
          <w:tcPr>
            <w:tcW w:w="1245" w:type="dxa"/>
          </w:tcPr>
          <w:p w14:paraId="3879970C" w14:textId="77777777" w:rsidR="008D4BF4" w:rsidRDefault="008D4BF4">
            <w:pPr>
              <w:rPr>
                <w:sz w:val="16"/>
                <w:szCs w:val="16"/>
              </w:rPr>
            </w:pPr>
            <w:r>
              <w:rPr>
                <w:sz w:val="16"/>
                <w:szCs w:val="16"/>
              </w:rPr>
              <w:t>New South Wales</w:t>
            </w:r>
          </w:p>
        </w:tc>
        <w:tc>
          <w:tcPr>
            <w:tcW w:w="3299" w:type="dxa"/>
          </w:tcPr>
          <w:p w14:paraId="2BA48B17" w14:textId="77777777" w:rsidR="008D4BF4" w:rsidRDefault="008D4BF4">
            <w:pPr>
              <w:rPr>
                <w:sz w:val="16"/>
                <w:szCs w:val="16"/>
              </w:rPr>
            </w:pPr>
            <w:r>
              <w:rPr>
                <w:sz w:val="16"/>
                <w:szCs w:val="16"/>
              </w:rPr>
              <w:t xml:space="preserve">The author requested access to electronic assisted voting to enable her to vote by secret ballot in a federal election. The adjustment was required because she had limited mobility and no speech, due to cerebral palsy. </w:t>
            </w:r>
          </w:p>
          <w:p w14:paraId="6278C220" w14:textId="7EB06858" w:rsidR="008D4BF4" w:rsidRDefault="188AF899">
            <w:pPr>
              <w:rPr>
                <w:sz w:val="16"/>
                <w:szCs w:val="16"/>
              </w:rPr>
            </w:pPr>
            <w:r w:rsidRPr="15363531">
              <w:rPr>
                <w:sz w:val="16"/>
                <w:szCs w:val="16"/>
              </w:rPr>
              <w:t xml:space="preserve">Her request was refused on the basis that </w:t>
            </w:r>
            <w:r w:rsidR="0C4F05F3" w:rsidRPr="15363531">
              <w:rPr>
                <w:sz w:val="16"/>
                <w:szCs w:val="16"/>
              </w:rPr>
              <w:t xml:space="preserve">under </w:t>
            </w:r>
            <w:r w:rsidRPr="15363531">
              <w:rPr>
                <w:sz w:val="16"/>
                <w:szCs w:val="16"/>
              </w:rPr>
              <w:t xml:space="preserve">the </w:t>
            </w:r>
            <w:r w:rsidRPr="15363531">
              <w:rPr>
                <w:i/>
                <w:iCs/>
                <w:sz w:val="16"/>
                <w:szCs w:val="16"/>
              </w:rPr>
              <w:t xml:space="preserve">Electoral Act 1918 </w:t>
            </w:r>
            <w:r w:rsidRPr="15363531">
              <w:rPr>
                <w:sz w:val="16"/>
                <w:szCs w:val="16"/>
              </w:rPr>
              <w:t>(</w:t>
            </w:r>
            <w:proofErr w:type="spellStart"/>
            <w:r w:rsidRPr="15363531">
              <w:rPr>
                <w:sz w:val="16"/>
                <w:szCs w:val="16"/>
              </w:rPr>
              <w:t>Cth</w:t>
            </w:r>
            <w:proofErr w:type="spellEnd"/>
            <w:r w:rsidRPr="15363531">
              <w:rPr>
                <w:sz w:val="16"/>
                <w:szCs w:val="16"/>
              </w:rPr>
              <w:t xml:space="preserve">) electronic voting systems are only </w:t>
            </w:r>
            <w:r w:rsidRPr="15363531">
              <w:rPr>
                <w:sz w:val="16"/>
                <w:szCs w:val="16"/>
              </w:rPr>
              <w:lastRenderedPageBreak/>
              <w:t xml:space="preserve">available to persons with visual impairments. </w:t>
            </w:r>
          </w:p>
          <w:p w14:paraId="4DBC3E7C" w14:textId="748DF423" w:rsidR="008D4BF4" w:rsidRDefault="008D4BF4">
            <w:pPr>
              <w:rPr>
                <w:sz w:val="16"/>
                <w:szCs w:val="16"/>
              </w:rPr>
            </w:pPr>
            <w:r>
              <w:rPr>
                <w:sz w:val="16"/>
                <w:szCs w:val="16"/>
              </w:rPr>
              <w:t>She requested assistance of a polling booth presiding officer to</w:t>
            </w:r>
            <w:r w:rsidR="00FB1534">
              <w:rPr>
                <w:sz w:val="16"/>
                <w:szCs w:val="16"/>
              </w:rPr>
              <w:t xml:space="preserve"> secretly</w:t>
            </w:r>
            <w:r>
              <w:rPr>
                <w:sz w:val="16"/>
                <w:szCs w:val="16"/>
              </w:rPr>
              <w:t xml:space="preserve"> cast her ballot, but was made to be assisted by her assistant, against her will and preventing her from casting a secret ballot.</w:t>
            </w:r>
          </w:p>
        </w:tc>
        <w:tc>
          <w:tcPr>
            <w:tcW w:w="3233" w:type="dxa"/>
          </w:tcPr>
          <w:p w14:paraId="49B5F45C" w14:textId="77777777" w:rsidR="008D4BF4" w:rsidRDefault="008D4BF4">
            <w:pPr>
              <w:rPr>
                <w:sz w:val="16"/>
                <w:szCs w:val="16"/>
              </w:rPr>
            </w:pPr>
            <w:r>
              <w:rPr>
                <w:sz w:val="16"/>
                <w:szCs w:val="16"/>
              </w:rPr>
              <w:lastRenderedPageBreak/>
              <w:t>On 16 February 2018, the CRPD Committee required the</w:t>
            </w:r>
            <w:r w:rsidRPr="001A255B">
              <w:t xml:space="preserve"> </w:t>
            </w:r>
            <w:r w:rsidRPr="001A255B">
              <w:rPr>
                <w:sz w:val="16"/>
                <w:szCs w:val="16"/>
              </w:rPr>
              <w:t>s the State party to:</w:t>
            </w:r>
          </w:p>
          <w:p w14:paraId="646C5B0A" w14:textId="77777777" w:rsidR="008D4BF4" w:rsidRDefault="008D4BF4">
            <w:pPr>
              <w:rPr>
                <w:sz w:val="16"/>
                <w:szCs w:val="16"/>
              </w:rPr>
            </w:pPr>
            <w:r w:rsidRPr="001A255B">
              <w:rPr>
                <w:sz w:val="16"/>
                <w:szCs w:val="16"/>
              </w:rPr>
              <w:t>(</w:t>
            </w:r>
            <w:proofErr w:type="spellStart"/>
            <w:r w:rsidRPr="001A255B">
              <w:rPr>
                <w:sz w:val="16"/>
                <w:szCs w:val="16"/>
              </w:rPr>
              <w:t>i</w:t>
            </w:r>
            <w:proofErr w:type="spellEnd"/>
            <w:r w:rsidRPr="001A255B">
              <w:rPr>
                <w:sz w:val="16"/>
                <w:szCs w:val="16"/>
              </w:rPr>
              <w:t xml:space="preserve">) Consider amending the Electoral Act in order to ensure that electronic voting options are available and accessible to all people with disabilities who so require, whatever the types of impairment; </w:t>
            </w:r>
          </w:p>
          <w:p w14:paraId="2BED84DF" w14:textId="77777777" w:rsidR="008D4BF4" w:rsidRDefault="008D4BF4">
            <w:pPr>
              <w:rPr>
                <w:sz w:val="16"/>
                <w:szCs w:val="16"/>
              </w:rPr>
            </w:pPr>
            <w:r w:rsidRPr="001A255B">
              <w:rPr>
                <w:sz w:val="16"/>
                <w:szCs w:val="16"/>
              </w:rPr>
              <w:lastRenderedPageBreak/>
              <w:t>(ii) Uphold, and guarantee in practice, the right to vote for persons with disabilities, on an equal basis with others, as required by article 29 of the Convention, by ensuring that voting procedures, facilities and materials are appropriate, accessible and easy to understand and use, and protect the right of persons with disabilities to vote by secret ballot through the use of assistive technologies;</w:t>
            </w:r>
          </w:p>
          <w:p w14:paraId="520F2A9D" w14:textId="77777777" w:rsidR="008D4BF4" w:rsidRDefault="008D4BF4">
            <w:pPr>
              <w:rPr>
                <w:sz w:val="16"/>
                <w:szCs w:val="16"/>
              </w:rPr>
            </w:pPr>
            <w:r w:rsidRPr="001A255B">
              <w:rPr>
                <w:sz w:val="16"/>
                <w:szCs w:val="16"/>
              </w:rPr>
              <w:t xml:space="preserve"> (iii) Consider amending the Electoral Act in order to ensure that, in cases where assistance by another person may be necessary to enable a voter to cast his or her vote, the person providing such assistance is under an obligation to maintain the confidentiality of that vote</w:t>
            </w:r>
            <w:r>
              <w:rPr>
                <w:sz w:val="16"/>
                <w:szCs w:val="16"/>
              </w:rPr>
              <w:t>.</w:t>
            </w:r>
          </w:p>
        </w:tc>
        <w:tc>
          <w:tcPr>
            <w:tcW w:w="2091" w:type="dxa"/>
          </w:tcPr>
          <w:p w14:paraId="2AE2AD71" w14:textId="77777777" w:rsidR="008D4BF4" w:rsidRDefault="008D4BF4">
            <w:pPr>
              <w:rPr>
                <w:sz w:val="16"/>
                <w:szCs w:val="16"/>
              </w:rPr>
            </w:pPr>
            <w:r>
              <w:rPr>
                <w:sz w:val="16"/>
                <w:szCs w:val="16"/>
              </w:rPr>
              <w:lastRenderedPageBreak/>
              <w:t>Not implemented.</w:t>
            </w:r>
          </w:p>
          <w:p w14:paraId="4009F114" w14:textId="11C3BF38" w:rsidR="00CF45E4" w:rsidRDefault="00CF45E4">
            <w:pPr>
              <w:rPr>
                <w:sz w:val="16"/>
                <w:szCs w:val="16"/>
              </w:rPr>
            </w:pPr>
            <w:r>
              <w:rPr>
                <w:bCs/>
                <w:sz w:val="16"/>
                <w:szCs w:val="16"/>
              </w:rPr>
              <w:t>The Australian Government did not accept the CRPD Committee’s views.</w:t>
            </w:r>
          </w:p>
          <w:p w14:paraId="55248AD0" w14:textId="77777777" w:rsidR="008D4BF4" w:rsidRDefault="008D4BF4">
            <w:pPr>
              <w:rPr>
                <w:sz w:val="16"/>
                <w:szCs w:val="16"/>
              </w:rPr>
            </w:pPr>
            <w:r>
              <w:rPr>
                <w:sz w:val="16"/>
                <w:szCs w:val="16"/>
              </w:rPr>
              <w:t xml:space="preserve">The Australian Electoral Commission has undertaken some work, through its Disability Advisory Committee, to </w:t>
            </w:r>
            <w:r>
              <w:rPr>
                <w:sz w:val="16"/>
                <w:szCs w:val="16"/>
              </w:rPr>
              <w:lastRenderedPageBreak/>
              <w:t xml:space="preserve">promote greater accessibility, inclusion and participation in the electoral system. </w:t>
            </w:r>
          </w:p>
          <w:p w14:paraId="75EE2154" w14:textId="77777777" w:rsidR="008D4BF4" w:rsidRDefault="008D4BF4">
            <w:pPr>
              <w:rPr>
                <w:sz w:val="16"/>
                <w:szCs w:val="16"/>
              </w:rPr>
            </w:pPr>
            <w:r>
              <w:rPr>
                <w:sz w:val="16"/>
                <w:szCs w:val="16"/>
              </w:rPr>
              <w:t>The Australian Law Reform Commission in 2014 made recommendations in line with the views of the CRPD.</w:t>
            </w:r>
            <w:r>
              <w:rPr>
                <w:rStyle w:val="EndnoteReference"/>
                <w:szCs w:val="16"/>
              </w:rPr>
              <w:endnoteReference w:id="81"/>
            </w:r>
          </w:p>
          <w:p w14:paraId="4B819691" w14:textId="797C956A" w:rsidR="008D4BF4" w:rsidRPr="00481A2B" w:rsidRDefault="008D4BF4">
            <w:pPr>
              <w:rPr>
                <w:sz w:val="16"/>
                <w:szCs w:val="16"/>
              </w:rPr>
            </w:pPr>
            <w:r>
              <w:rPr>
                <w:sz w:val="16"/>
                <w:szCs w:val="16"/>
              </w:rPr>
              <w:t xml:space="preserve">The Electoral Act </w:t>
            </w:r>
            <w:r w:rsidR="00AE7855">
              <w:rPr>
                <w:sz w:val="16"/>
                <w:szCs w:val="16"/>
              </w:rPr>
              <w:t>was</w:t>
            </w:r>
            <w:r>
              <w:rPr>
                <w:sz w:val="16"/>
                <w:szCs w:val="16"/>
              </w:rPr>
              <w:t xml:space="preserve"> amended in 2021 and 2022</w:t>
            </w:r>
            <w:r>
              <w:rPr>
                <w:rStyle w:val="EndnoteReference"/>
                <w:szCs w:val="16"/>
              </w:rPr>
              <w:endnoteReference w:id="82"/>
            </w:r>
            <w:r>
              <w:rPr>
                <w:sz w:val="16"/>
                <w:szCs w:val="16"/>
              </w:rPr>
              <w:t xml:space="preserve">, but the amendments do not give effect to the CRPD Committee recommendations. </w:t>
            </w:r>
          </w:p>
        </w:tc>
      </w:tr>
      <w:tr w:rsidR="008D4BF4" w14:paraId="2C818314" w14:textId="77777777" w:rsidTr="001E5AF0">
        <w:tc>
          <w:tcPr>
            <w:tcW w:w="1129" w:type="dxa"/>
          </w:tcPr>
          <w:p w14:paraId="755EF80E" w14:textId="156CDEF8" w:rsidR="008D4BF4" w:rsidRDefault="002C7194">
            <w:pPr>
              <w:rPr>
                <w:sz w:val="16"/>
                <w:szCs w:val="16"/>
              </w:rPr>
            </w:pPr>
            <w:r>
              <w:rPr>
                <w:i/>
                <w:iCs/>
                <w:sz w:val="16"/>
                <w:szCs w:val="16"/>
              </w:rPr>
              <w:lastRenderedPageBreak/>
              <w:t>J.H. v Australia</w:t>
            </w:r>
            <w:r w:rsidR="008D4BF4">
              <w:rPr>
                <w:sz w:val="16"/>
                <w:szCs w:val="16"/>
              </w:rPr>
              <w:t xml:space="preserve"> </w:t>
            </w:r>
            <w:r>
              <w:rPr>
                <w:sz w:val="16"/>
                <w:szCs w:val="16"/>
              </w:rPr>
              <w:t>(</w:t>
            </w:r>
            <w:r w:rsidR="008D4BF4">
              <w:rPr>
                <w:sz w:val="16"/>
                <w:szCs w:val="16"/>
              </w:rPr>
              <w:t>35/2016</w:t>
            </w:r>
            <w:r>
              <w:rPr>
                <w:sz w:val="16"/>
                <w:szCs w:val="16"/>
              </w:rPr>
              <w:t>)</w:t>
            </w:r>
          </w:p>
        </w:tc>
        <w:tc>
          <w:tcPr>
            <w:tcW w:w="1701" w:type="dxa"/>
          </w:tcPr>
          <w:p w14:paraId="575F2FCA" w14:textId="77777777" w:rsidR="008D4BF4" w:rsidRDefault="008D4BF4">
            <w:pPr>
              <w:rPr>
                <w:sz w:val="16"/>
                <w:szCs w:val="16"/>
              </w:rPr>
            </w:pPr>
            <w:r>
              <w:rPr>
                <w:sz w:val="16"/>
                <w:szCs w:val="16"/>
              </w:rPr>
              <w:t>12 February 2016</w:t>
            </w:r>
          </w:p>
        </w:tc>
        <w:tc>
          <w:tcPr>
            <w:tcW w:w="1862" w:type="dxa"/>
          </w:tcPr>
          <w:p w14:paraId="79B93837" w14:textId="77777777" w:rsidR="008D4BF4" w:rsidRDefault="008D4BF4">
            <w:pPr>
              <w:rPr>
                <w:sz w:val="16"/>
                <w:szCs w:val="16"/>
              </w:rPr>
            </w:pPr>
            <w:r>
              <w:rPr>
                <w:sz w:val="16"/>
                <w:szCs w:val="16"/>
              </w:rPr>
              <w:t>Articles 5(2) and (3), 12 (2) and (3) and 21 (b) and (e)</w:t>
            </w:r>
          </w:p>
        </w:tc>
        <w:tc>
          <w:tcPr>
            <w:tcW w:w="1245" w:type="dxa"/>
          </w:tcPr>
          <w:p w14:paraId="51AE7C08" w14:textId="77777777" w:rsidR="008D4BF4" w:rsidRDefault="008D4BF4">
            <w:pPr>
              <w:rPr>
                <w:sz w:val="16"/>
                <w:szCs w:val="16"/>
              </w:rPr>
            </w:pPr>
            <w:r>
              <w:rPr>
                <w:sz w:val="16"/>
                <w:szCs w:val="16"/>
              </w:rPr>
              <w:t>Western Australia</w:t>
            </w:r>
          </w:p>
        </w:tc>
        <w:tc>
          <w:tcPr>
            <w:tcW w:w="3299" w:type="dxa"/>
          </w:tcPr>
          <w:p w14:paraId="2DD92808" w14:textId="30AD9AA8" w:rsidR="008D4BF4" w:rsidRDefault="188AF899">
            <w:pPr>
              <w:rPr>
                <w:sz w:val="16"/>
                <w:szCs w:val="16"/>
              </w:rPr>
            </w:pPr>
            <w:r w:rsidRPr="15363531">
              <w:rPr>
                <w:sz w:val="16"/>
                <w:szCs w:val="16"/>
              </w:rPr>
              <w:t>The author</w:t>
            </w:r>
            <w:r w:rsidR="69539BE8" w:rsidRPr="15363531">
              <w:rPr>
                <w:sz w:val="16"/>
                <w:szCs w:val="16"/>
              </w:rPr>
              <w:t>, who</w:t>
            </w:r>
            <w:r w:rsidRPr="15363531">
              <w:rPr>
                <w:sz w:val="16"/>
                <w:szCs w:val="16"/>
              </w:rPr>
              <w:t xml:space="preserve"> was born deaf and uses Australian Sign Language (</w:t>
            </w:r>
            <w:proofErr w:type="spellStart"/>
            <w:r w:rsidRPr="15363531">
              <w:rPr>
                <w:sz w:val="16"/>
                <w:szCs w:val="16"/>
              </w:rPr>
              <w:t>AusLan</w:t>
            </w:r>
            <w:proofErr w:type="spellEnd"/>
            <w:r w:rsidRPr="15363531">
              <w:rPr>
                <w:sz w:val="16"/>
                <w:szCs w:val="16"/>
              </w:rPr>
              <w:t>)</w:t>
            </w:r>
            <w:r w:rsidR="46265358" w:rsidRPr="15363531">
              <w:rPr>
                <w:sz w:val="16"/>
                <w:szCs w:val="16"/>
              </w:rPr>
              <w:t>,</w:t>
            </w:r>
            <w:r w:rsidRPr="15363531">
              <w:rPr>
                <w:sz w:val="16"/>
                <w:szCs w:val="16"/>
              </w:rPr>
              <w:t xml:space="preserve"> was summoned to attend jury service. She was later excused from the summons as the court was unable to provide her with the necessary means (i.e. an </w:t>
            </w:r>
            <w:proofErr w:type="spellStart"/>
            <w:r w:rsidRPr="15363531">
              <w:rPr>
                <w:sz w:val="16"/>
                <w:szCs w:val="16"/>
              </w:rPr>
              <w:t>AusLan</w:t>
            </w:r>
            <w:proofErr w:type="spellEnd"/>
            <w:r w:rsidRPr="15363531">
              <w:rPr>
                <w:sz w:val="16"/>
                <w:szCs w:val="16"/>
              </w:rPr>
              <w:t xml:space="preserve"> interpreter) to enable her to serve effectively as a juror.</w:t>
            </w:r>
          </w:p>
        </w:tc>
        <w:tc>
          <w:tcPr>
            <w:tcW w:w="3233" w:type="dxa"/>
          </w:tcPr>
          <w:p w14:paraId="7EE18EAC" w14:textId="77777777" w:rsidR="008D4BF4" w:rsidRDefault="008D4BF4">
            <w:pPr>
              <w:rPr>
                <w:sz w:val="16"/>
                <w:szCs w:val="16"/>
              </w:rPr>
            </w:pPr>
            <w:r>
              <w:rPr>
                <w:sz w:val="16"/>
                <w:szCs w:val="16"/>
              </w:rPr>
              <w:t xml:space="preserve">On 13 August 2018, the CRPD Committee required the </w:t>
            </w:r>
            <w:r w:rsidRPr="007D78B4">
              <w:rPr>
                <w:sz w:val="16"/>
                <w:szCs w:val="16"/>
              </w:rPr>
              <w:t>State party to:</w:t>
            </w:r>
          </w:p>
          <w:p w14:paraId="2E2B5F89" w14:textId="77777777" w:rsidR="008D4BF4" w:rsidRDefault="008D4BF4">
            <w:pPr>
              <w:rPr>
                <w:sz w:val="16"/>
                <w:szCs w:val="16"/>
              </w:rPr>
            </w:pPr>
            <w:r w:rsidRPr="007D78B4">
              <w:rPr>
                <w:sz w:val="16"/>
                <w:szCs w:val="16"/>
              </w:rPr>
              <w:t xml:space="preserve"> (</w:t>
            </w:r>
            <w:proofErr w:type="spellStart"/>
            <w:r w:rsidRPr="007D78B4">
              <w:rPr>
                <w:sz w:val="16"/>
                <w:szCs w:val="16"/>
              </w:rPr>
              <w:t>i</w:t>
            </w:r>
            <w:proofErr w:type="spellEnd"/>
            <w:r w:rsidRPr="007D78B4">
              <w:rPr>
                <w:sz w:val="16"/>
                <w:szCs w:val="16"/>
              </w:rPr>
              <w:t xml:space="preserve">) Ensure that every time a person with disabilities is summoned to perform jury duty, a thorough, objective and comprehensive assessment of his/her request for adjustment is conducted and all reasonable accommodation is duly provided to enable his or her full participation; </w:t>
            </w:r>
          </w:p>
          <w:p w14:paraId="50FCD8C5" w14:textId="509FEBF5" w:rsidR="008D4BF4" w:rsidRDefault="188AF899">
            <w:pPr>
              <w:rPr>
                <w:sz w:val="16"/>
                <w:szCs w:val="16"/>
              </w:rPr>
            </w:pPr>
            <w:r w:rsidRPr="15363531">
              <w:rPr>
                <w:sz w:val="16"/>
                <w:szCs w:val="16"/>
              </w:rPr>
              <w:t xml:space="preserve">(ii) Adopt the necessary amendments to the relevant laws, regulations, policies </w:t>
            </w:r>
            <w:r w:rsidRPr="15363531">
              <w:rPr>
                <w:sz w:val="16"/>
                <w:szCs w:val="16"/>
              </w:rPr>
              <w:lastRenderedPageBreak/>
              <w:t>and programs, in close consultation with persons with disabilities and their representative organizations;</w:t>
            </w:r>
          </w:p>
          <w:p w14:paraId="0F14DAC8" w14:textId="77777777" w:rsidR="008D4BF4" w:rsidRDefault="008D4BF4">
            <w:pPr>
              <w:rPr>
                <w:sz w:val="16"/>
                <w:szCs w:val="16"/>
              </w:rPr>
            </w:pPr>
            <w:r w:rsidRPr="007D78B4">
              <w:rPr>
                <w:sz w:val="16"/>
                <w:szCs w:val="16"/>
              </w:rPr>
              <w:t xml:space="preserve"> (iii) Ensure that appropriate and regular training on the scope of the Convention and the Optional Protocol, including on accessibility for persons with disabilities, is provided to local authorities and the judicial officers and staff involved in facilitating the work of the judiciary, such as the manager of jury services.</w:t>
            </w:r>
          </w:p>
        </w:tc>
        <w:tc>
          <w:tcPr>
            <w:tcW w:w="2091" w:type="dxa"/>
          </w:tcPr>
          <w:p w14:paraId="44E8AF08" w14:textId="77777777" w:rsidR="002C7194" w:rsidRDefault="002C7194" w:rsidP="002C7194">
            <w:pPr>
              <w:rPr>
                <w:bCs/>
                <w:sz w:val="16"/>
                <w:szCs w:val="16"/>
              </w:rPr>
            </w:pPr>
            <w:r>
              <w:rPr>
                <w:bCs/>
                <w:sz w:val="16"/>
                <w:szCs w:val="16"/>
              </w:rPr>
              <w:lastRenderedPageBreak/>
              <w:t xml:space="preserve">Not implemented. </w:t>
            </w:r>
          </w:p>
          <w:p w14:paraId="2D8F8FC9" w14:textId="77777777" w:rsidR="002C7194" w:rsidRDefault="002C7194" w:rsidP="002C7194">
            <w:pPr>
              <w:rPr>
                <w:bCs/>
                <w:sz w:val="16"/>
                <w:szCs w:val="16"/>
              </w:rPr>
            </w:pPr>
            <w:r>
              <w:rPr>
                <w:bCs/>
                <w:sz w:val="16"/>
                <w:szCs w:val="16"/>
              </w:rPr>
              <w:t>The Australian Government did not accept the CRPD Committee’s views.</w:t>
            </w:r>
          </w:p>
          <w:p w14:paraId="3132129C" w14:textId="5A1DF9C1" w:rsidR="008D4BF4" w:rsidRPr="006F216A" w:rsidRDefault="5DBA7246" w:rsidP="002C7194">
            <w:pPr>
              <w:rPr>
                <w:sz w:val="16"/>
                <w:szCs w:val="16"/>
              </w:rPr>
            </w:pPr>
            <w:r w:rsidRPr="15363531">
              <w:rPr>
                <w:sz w:val="16"/>
                <w:szCs w:val="16"/>
              </w:rPr>
              <w:t>The federal court is seeking to harmonise its jury selection and participation manuals with the CRPD, however legislation in most jurisdictions continue</w:t>
            </w:r>
            <w:r w:rsidR="768FD7BA" w:rsidRPr="15363531">
              <w:rPr>
                <w:sz w:val="16"/>
                <w:szCs w:val="16"/>
              </w:rPr>
              <w:t>s</w:t>
            </w:r>
            <w:r w:rsidRPr="15363531">
              <w:rPr>
                <w:sz w:val="16"/>
                <w:szCs w:val="16"/>
              </w:rPr>
              <w:t xml:space="preserve"> to </w:t>
            </w:r>
            <w:r w:rsidRPr="15363531">
              <w:rPr>
                <w:sz w:val="16"/>
                <w:szCs w:val="16"/>
              </w:rPr>
              <w:lastRenderedPageBreak/>
              <w:t>exclude people with disability from jury service.</w:t>
            </w:r>
          </w:p>
          <w:p w14:paraId="6900C9C1" w14:textId="77777777" w:rsidR="008D4BF4" w:rsidRDefault="008D4BF4">
            <w:pPr>
              <w:rPr>
                <w:sz w:val="16"/>
                <w:szCs w:val="16"/>
              </w:rPr>
            </w:pPr>
          </w:p>
          <w:p w14:paraId="5E48DE35" w14:textId="77777777" w:rsidR="008D4BF4" w:rsidRPr="00481A2B" w:rsidRDefault="008D4BF4" w:rsidP="009621BE">
            <w:pPr>
              <w:jc w:val="center"/>
              <w:rPr>
                <w:sz w:val="16"/>
                <w:szCs w:val="16"/>
              </w:rPr>
            </w:pPr>
          </w:p>
        </w:tc>
      </w:tr>
    </w:tbl>
    <w:p w14:paraId="02A1EA8B" w14:textId="77777777" w:rsidR="006A4AE2" w:rsidRDefault="006A4AE2" w:rsidP="004A1E74">
      <w:pPr>
        <w:rPr>
          <w:b/>
        </w:rPr>
      </w:pPr>
    </w:p>
    <w:p w14:paraId="7DB11A99" w14:textId="77777777" w:rsidR="009D4F31" w:rsidRPr="005C7982" w:rsidRDefault="009D4F31" w:rsidP="009D4F31">
      <w:pPr>
        <w:pStyle w:val="Blockquote"/>
        <w:jc w:val="right"/>
        <w:rPr>
          <w:sz w:val="22"/>
          <w:szCs w:val="22"/>
        </w:rPr>
      </w:pPr>
    </w:p>
    <w:bookmarkEnd w:id="2"/>
    <w:bookmarkEnd w:id="3"/>
    <w:bookmarkEnd w:id="4"/>
    <w:p w14:paraId="1A42EB4E" w14:textId="77777777" w:rsidR="00D2709C" w:rsidRDefault="00D2709C" w:rsidP="00434945">
      <w:pPr>
        <w:pStyle w:val="ListNumber"/>
        <w:numPr>
          <w:ilvl w:val="0"/>
          <w:numId w:val="0"/>
        </w:numPr>
        <w:sectPr w:rsidR="00D2709C" w:rsidSect="002A2750">
          <w:endnotePr>
            <w:numFmt w:val="decimal"/>
          </w:endnotePr>
          <w:pgSz w:w="16838" w:h="11906" w:orient="landscape" w:code="9"/>
          <w:pgMar w:top="1418" w:right="1134" w:bottom="1418" w:left="1134" w:header="907" w:footer="283" w:gutter="0"/>
          <w:cols w:space="708"/>
          <w:titlePg/>
          <w:docGrid w:linePitch="360"/>
        </w:sectPr>
      </w:pPr>
    </w:p>
    <w:p w14:paraId="79CC5852" w14:textId="7033D2EE" w:rsidR="003423F4" w:rsidRPr="00E23DB3" w:rsidRDefault="003423F4" w:rsidP="00434945">
      <w:pPr>
        <w:pStyle w:val="ListNumber"/>
        <w:numPr>
          <w:ilvl w:val="0"/>
          <w:numId w:val="0"/>
        </w:numPr>
      </w:pPr>
    </w:p>
    <w:sectPr w:rsidR="003423F4" w:rsidRPr="00E23DB3" w:rsidSect="00166DB7">
      <w:endnotePr>
        <w:numFmt w:val="decimal"/>
      </w:endnotePr>
      <w:pgSz w:w="11906" w:h="16838" w:code="9"/>
      <w:pgMar w:top="1134" w:right="1418" w:bottom="1134" w:left="1418" w:header="90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3CBF" w14:textId="77777777" w:rsidR="00BA1189" w:rsidRDefault="00BA1189" w:rsidP="00F14C6D">
      <w:r>
        <w:separator/>
      </w:r>
    </w:p>
  </w:endnote>
  <w:endnote w:type="continuationSeparator" w:id="0">
    <w:p w14:paraId="6181D0E5" w14:textId="77777777" w:rsidR="00BA1189" w:rsidRDefault="00BA1189" w:rsidP="00F14C6D">
      <w:r>
        <w:continuationSeparator/>
      </w:r>
    </w:p>
  </w:endnote>
  <w:endnote w:type="continuationNotice" w:id="1">
    <w:p w14:paraId="14A6E133" w14:textId="77777777" w:rsidR="00BA1189" w:rsidRDefault="00BA1189">
      <w:pPr>
        <w:spacing w:before="0" w:after="0"/>
      </w:pPr>
    </w:p>
  </w:endnote>
  <w:endnote w:id="2">
    <w:p w14:paraId="55FA3870" w14:textId="7064905D" w:rsidR="00A075ED" w:rsidRPr="00D2709C" w:rsidRDefault="00A075ED">
      <w:pPr>
        <w:pStyle w:val="EndnoteText"/>
      </w:pPr>
      <w:r>
        <w:rPr>
          <w:rStyle w:val="EndnoteReference"/>
        </w:rPr>
        <w:endnoteRef/>
      </w:r>
      <w:r w:rsidR="00DC024A" w:rsidDel="00D2709C">
        <w:t xml:space="preserve"> </w:t>
      </w:r>
      <w:r w:rsidR="00D2709C">
        <w:rPr>
          <w:i/>
          <w:iCs/>
        </w:rPr>
        <w:t xml:space="preserve">Royal Commission into Violence, Abuse, Neglect and Exploitation of People with Disability </w:t>
      </w:r>
      <w:r w:rsidR="00D2709C">
        <w:t xml:space="preserve">(Interim Report, </w:t>
      </w:r>
      <w:r w:rsidR="0053458F">
        <w:t>October 2020).</w:t>
      </w:r>
    </w:p>
  </w:endnote>
  <w:endnote w:id="3">
    <w:p w14:paraId="563ACD0A" w14:textId="31674455" w:rsidR="00303F79" w:rsidRPr="00A539E6" w:rsidRDefault="00303F79">
      <w:pPr>
        <w:pStyle w:val="EndnoteText"/>
      </w:pPr>
      <w:r w:rsidRPr="009A0F18">
        <w:rPr>
          <w:rStyle w:val="EndnoteReference"/>
        </w:rPr>
        <w:endnoteRef/>
      </w:r>
      <w:r w:rsidRPr="009A0F18">
        <w:t xml:space="preserve"> </w:t>
      </w:r>
      <w:r w:rsidR="00435411" w:rsidRPr="009621BE">
        <w:t>Disability Representative Organisations</w:t>
      </w:r>
      <w:r w:rsidR="00A539E6" w:rsidRPr="009621BE">
        <w:t>,</w:t>
      </w:r>
      <w:r w:rsidR="00A539E6" w:rsidRPr="00B73AF8">
        <w:t xml:space="preserve"> </w:t>
      </w:r>
      <w:r w:rsidR="000D5049" w:rsidRPr="009621BE">
        <w:t xml:space="preserve">Joint </w:t>
      </w:r>
      <w:r w:rsidR="000D5049">
        <w:t>S</w:t>
      </w:r>
      <w:r w:rsidR="000D5049" w:rsidRPr="009621BE">
        <w:t>ubmission</w:t>
      </w:r>
      <w:r w:rsidR="000D5049" w:rsidRPr="005507A1">
        <w:t xml:space="preserve"> to </w:t>
      </w:r>
      <w:r w:rsidR="000D5049" w:rsidRPr="009621BE">
        <w:t>Royal Commission into Violence, Abuse, Neglect and Exploitation of People with Disability</w:t>
      </w:r>
      <w:r w:rsidR="00D2184F">
        <w:t xml:space="preserve">, </w:t>
      </w:r>
      <w:r w:rsidR="00D2184F" w:rsidRPr="00D2184F">
        <w:rPr>
          <w:i/>
          <w:iCs/>
        </w:rPr>
        <w:t>I</w:t>
      </w:r>
      <w:r w:rsidR="002C7066" w:rsidRPr="00D2184F">
        <w:rPr>
          <w:i/>
          <w:iCs/>
        </w:rPr>
        <w:t>dentified</w:t>
      </w:r>
      <w:r w:rsidR="0063644C" w:rsidRPr="00D2184F">
        <w:rPr>
          <w:i/>
          <w:iCs/>
        </w:rPr>
        <w:t xml:space="preserve"> gaps in the scope of work undertaken by the Disability Royal Commission as at November 2022</w:t>
      </w:r>
      <w:r w:rsidR="00A539E6" w:rsidRPr="009621BE">
        <w:t xml:space="preserve"> </w:t>
      </w:r>
      <w:r w:rsidR="00A539E6">
        <w:t>(</w:t>
      </w:r>
      <w:r w:rsidR="002C0AE5">
        <w:t xml:space="preserve">21 </w:t>
      </w:r>
      <w:r w:rsidR="00A539E6">
        <w:t>November 2022)</w:t>
      </w:r>
      <w:r w:rsidR="001C6ED9">
        <w:t xml:space="preserve"> (‘</w:t>
      </w:r>
      <w:r w:rsidR="007D561E" w:rsidRPr="00D2184F">
        <w:rPr>
          <w:i/>
          <w:iCs/>
        </w:rPr>
        <w:t>Identified gaps in the scope of work undertaken by the Disability Royal Commission</w:t>
      </w:r>
      <w:r w:rsidR="007D561E">
        <w:rPr>
          <w:i/>
          <w:iCs/>
        </w:rPr>
        <w:t>’)</w:t>
      </w:r>
      <w:r w:rsidR="00FB1534">
        <w:rPr>
          <w:i/>
          <w:iCs/>
        </w:rPr>
        <w:t>.</w:t>
      </w:r>
    </w:p>
  </w:endnote>
  <w:endnote w:id="4">
    <w:p w14:paraId="4A4F9114" w14:textId="1E6D18B9" w:rsidR="00D97C94" w:rsidRDefault="00D97C94" w:rsidP="00D97C94">
      <w:pPr>
        <w:pStyle w:val="EndnoteText"/>
      </w:pPr>
      <w:r>
        <w:rPr>
          <w:rStyle w:val="EndnoteReference"/>
        </w:rPr>
        <w:endnoteRef/>
      </w:r>
      <w:r>
        <w:t xml:space="preserve"> Rosemary Kayess </w:t>
      </w:r>
      <w:r w:rsidR="00F664BD">
        <w:t xml:space="preserve">and </w:t>
      </w:r>
      <w:r w:rsidR="00E31F49">
        <w:t>Therese Sands, ‘Convention on the Rights of Persons with Disabilities: Shining a light on Social Transformation’</w:t>
      </w:r>
      <w:r w:rsidR="009F0AEE">
        <w:t xml:space="preserve"> (Research R</w:t>
      </w:r>
      <w:r>
        <w:t>eport</w:t>
      </w:r>
      <w:r w:rsidR="009F0AEE">
        <w:t xml:space="preserve">, </w:t>
      </w:r>
      <w:r w:rsidR="007768DF">
        <w:t xml:space="preserve">Royal Commission into Violence, Abuse, Neglect and Exploitation of People with Disability, </w:t>
      </w:r>
      <w:r w:rsidR="003F5F3C">
        <w:t>September 2020</w:t>
      </w:r>
      <w:r w:rsidR="009F0AEE">
        <w:t xml:space="preserve">) </w:t>
      </w:r>
      <w:r>
        <w:t>46</w:t>
      </w:r>
      <w:r w:rsidR="009A0F18">
        <w:t>.</w:t>
      </w:r>
    </w:p>
  </w:endnote>
  <w:endnote w:id="5">
    <w:p w14:paraId="178809E8" w14:textId="77777777" w:rsidR="0033305C" w:rsidRPr="00DD1D1E" w:rsidRDefault="0033305C" w:rsidP="0033305C">
      <w:pPr>
        <w:pStyle w:val="EndnoteText"/>
      </w:pPr>
      <w:r>
        <w:rPr>
          <w:rStyle w:val="EndnoteReference"/>
        </w:rPr>
        <w:endnoteRef/>
      </w:r>
      <w:r>
        <w:t xml:space="preserve"> </w:t>
      </w:r>
      <w:r w:rsidRPr="005D652F">
        <w:rPr>
          <w:i/>
          <w:iCs/>
        </w:rPr>
        <w:t xml:space="preserve">Bradley v Commonwealth </w:t>
      </w:r>
      <w:r w:rsidRPr="005D652F">
        <w:t>(1973) 128 CLR 557</w:t>
      </w:r>
      <w:r>
        <w:t xml:space="preserve"> at 582 (Barwick CJ and Gibbs J); </w:t>
      </w:r>
      <w:r w:rsidRPr="00636767">
        <w:rPr>
          <w:i/>
          <w:iCs/>
        </w:rPr>
        <w:t>Dietrich v The Queen</w:t>
      </w:r>
      <w:r>
        <w:t xml:space="preserve"> (1992) 177 CLR 292 at 305 (Mason CJ and McHugh J); </w:t>
      </w:r>
      <w:r w:rsidRPr="00153A05">
        <w:rPr>
          <w:i/>
          <w:iCs/>
        </w:rPr>
        <w:t>Minister for Immigration and Ethnic Affairs v Teoh</w:t>
      </w:r>
      <w:r>
        <w:t xml:space="preserve"> (1995) </w:t>
      </w:r>
      <w:r w:rsidRPr="00DD1D1E">
        <w:t>183 CLR 273 at 286–287 (Mason CJ and Deane J) and 315 (McHugh J).</w:t>
      </w:r>
    </w:p>
  </w:endnote>
  <w:endnote w:id="6">
    <w:p w14:paraId="6B51D349" w14:textId="7093D634" w:rsidR="001F5F9B" w:rsidRDefault="001F5F9B" w:rsidP="001F5F9B">
      <w:pPr>
        <w:pStyle w:val="EndnoteText"/>
      </w:pPr>
      <w:r w:rsidRPr="009621BE">
        <w:rPr>
          <w:rStyle w:val="EndnoteReference"/>
        </w:rPr>
        <w:endnoteRef/>
      </w:r>
      <w:r w:rsidRPr="00DD1D1E">
        <w:t xml:space="preserve"> Transcript of Proceedings, </w:t>
      </w:r>
      <w:r w:rsidRPr="00DD1D1E">
        <w:rPr>
          <w:i/>
          <w:iCs/>
        </w:rPr>
        <w:t>Royal Commission into Violence, Abuse, Neglect and Exploitation of People with Disability</w:t>
      </w:r>
      <w:r>
        <w:rPr>
          <w:i/>
          <w:iCs/>
        </w:rPr>
        <w:t xml:space="preserve"> </w:t>
      </w:r>
      <w:r>
        <w:t>(</w:t>
      </w:r>
      <w:r w:rsidRPr="00F82484">
        <w:t>Public hearing 18, 8 November 2021</w:t>
      </w:r>
      <w:r>
        <w:t>) 44 [25] (Natalie Wade)</w:t>
      </w:r>
      <w:r w:rsidR="00DD1D1E">
        <w:t>.</w:t>
      </w:r>
      <w:r>
        <w:t xml:space="preserve"> </w:t>
      </w:r>
    </w:p>
  </w:endnote>
  <w:endnote w:id="7">
    <w:p w14:paraId="1E3F793E" w14:textId="2E449E02" w:rsidR="0006355B" w:rsidRPr="00ED5268" w:rsidRDefault="0006355B">
      <w:pPr>
        <w:pStyle w:val="EndnoteText"/>
      </w:pPr>
      <w:r w:rsidRPr="004A40BA">
        <w:rPr>
          <w:rStyle w:val="EndnoteReference"/>
        </w:rPr>
        <w:endnoteRef/>
      </w:r>
      <w:r w:rsidRPr="004A40BA">
        <w:t xml:space="preserve"> </w:t>
      </w:r>
      <w:r w:rsidR="00976963" w:rsidRPr="004A40BA">
        <w:t xml:space="preserve">International Law Commission, </w:t>
      </w:r>
      <w:r w:rsidR="00976963" w:rsidRPr="004A40BA">
        <w:rPr>
          <w:i/>
          <w:iCs/>
        </w:rPr>
        <w:t>Guide to Practice on Reservations to Treaties</w:t>
      </w:r>
      <w:r w:rsidR="00976963" w:rsidRPr="004A40BA">
        <w:t xml:space="preserve"> (2011)</w:t>
      </w:r>
      <w:r w:rsidR="00092217" w:rsidRPr="004A40BA">
        <w:t xml:space="preserve">, </w:t>
      </w:r>
      <w:r w:rsidR="003816A6" w:rsidRPr="004A40BA">
        <w:t xml:space="preserve">submitted to the General Assembly </w:t>
      </w:r>
      <w:r w:rsidR="00483115" w:rsidRPr="004A40BA">
        <w:t xml:space="preserve">as part of </w:t>
      </w:r>
      <w:r w:rsidR="00C94BE4" w:rsidRPr="004A40BA">
        <w:t>the ILC’s report covering the wor</w:t>
      </w:r>
      <w:r w:rsidR="000F0FDB" w:rsidRPr="004A40BA">
        <w:t xml:space="preserve">k of its </w:t>
      </w:r>
      <w:r w:rsidR="00B04787" w:rsidRPr="004A40BA">
        <w:t xml:space="preserve">sixty-third session: </w:t>
      </w:r>
      <w:r w:rsidR="00167CE1" w:rsidRPr="004A40BA">
        <w:t>UN Doc A/66/</w:t>
      </w:r>
      <w:r w:rsidR="00ED7295" w:rsidRPr="004A40BA">
        <w:t>10, para 75</w:t>
      </w:r>
      <w:r w:rsidR="00B30A90" w:rsidRPr="004A40BA">
        <w:t xml:space="preserve"> </w:t>
      </w:r>
      <w:r w:rsidR="001B3517" w:rsidRPr="004A40BA">
        <w:t>at [</w:t>
      </w:r>
      <w:r w:rsidR="00D51DA0" w:rsidRPr="004A40BA">
        <w:t>1.2</w:t>
      </w:r>
      <w:r w:rsidR="007A52E4" w:rsidRPr="004A40BA">
        <w:t>]</w:t>
      </w:r>
      <w:r w:rsidR="00ED7295" w:rsidRPr="004A40BA">
        <w:t>.</w:t>
      </w:r>
    </w:p>
  </w:endnote>
  <w:endnote w:id="8">
    <w:p w14:paraId="415700CB" w14:textId="3F22C54E" w:rsidR="00D51DA0" w:rsidRPr="00ED5268" w:rsidRDefault="00D51DA0" w:rsidP="00D51DA0">
      <w:pPr>
        <w:pStyle w:val="EndnoteText"/>
      </w:pPr>
      <w:r w:rsidRPr="00ED5268">
        <w:rPr>
          <w:rStyle w:val="EndnoteReference"/>
        </w:rPr>
        <w:endnoteRef/>
      </w:r>
      <w:r w:rsidRPr="00ED5268">
        <w:t xml:space="preserve"> </w:t>
      </w:r>
      <w:r w:rsidR="00DD1D1E" w:rsidRPr="00ED5268">
        <w:t>Ibid</w:t>
      </w:r>
      <w:r w:rsidRPr="00ED5268">
        <w:t xml:space="preserve"> [4.7.1].</w:t>
      </w:r>
    </w:p>
  </w:endnote>
  <w:endnote w:id="9">
    <w:p w14:paraId="74551207" w14:textId="0D16C35F" w:rsidR="000F3EF1" w:rsidRDefault="000F3EF1" w:rsidP="000F3EF1">
      <w:pPr>
        <w:pStyle w:val="EndnoteText"/>
      </w:pPr>
      <w:r w:rsidRPr="00ED5268">
        <w:rPr>
          <w:rStyle w:val="EndnoteReference"/>
        </w:rPr>
        <w:endnoteRef/>
      </w:r>
      <w:r w:rsidRPr="00ED5268">
        <w:t xml:space="preserve"> </w:t>
      </w:r>
      <w:r w:rsidR="00142DB1" w:rsidRPr="00ED5268">
        <w:t>Kayess and Sands</w:t>
      </w:r>
      <w:r w:rsidR="007A4D30" w:rsidRPr="00ED5268">
        <w:t xml:space="preserve"> </w:t>
      </w:r>
      <w:r w:rsidR="00873221" w:rsidRPr="00ED5268">
        <w:t xml:space="preserve">(n </w:t>
      </w:r>
      <w:r w:rsidR="00B5682A" w:rsidRPr="00ED5268">
        <w:t>3</w:t>
      </w:r>
      <w:r w:rsidR="00873221" w:rsidRPr="00ED5268">
        <w:t>)</w:t>
      </w:r>
      <w:r w:rsidR="00166C06" w:rsidRPr="00ED5268">
        <w:t xml:space="preserve"> </w:t>
      </w:r>
      <w:r w:rsidR="00485ADE" w:rsidRPr="00ED5268">
        <w:t>44</w:t>
      </w:r>
      <w:r w:rsidR="00805152" w:rsidRPr="00ED5268">
        <w:t>.</w:t>
      </w:r>
      <w:r w:rsidR="00142DB1">
        <w:t xml:space="preserve"> </w:t>
      </w:r>
    </w:p>
  </w:endnote>
  <w:endnote w:id="10">
    <w:p w14:paraId="6AF03D40" w14:textId="6213C4E5" w:rsidR="00873D34" w:rsidRPr="00197AD5" w:rsidRDefault="00873D34">
      <w:pPr>
        <w:pStyle w:val="EndnoteText"/>
      </w:pPr>
      <w:r w:rsidRPr="00197AD5">
        <w:rPr>
          <w:rStyle w:val="EndnoteReference"/>
        </w:rPr>
        <w:endnoteRef/>
      </w:r>
      <w:r w:rsidRPr="003B2A89">
        <w:t xml:space="preserve"> </w:t>
      </w:r>
      <w:r w:rsidR="0091239C" w:rsidRPr="003B2A89">
        <w:t>‘</w:t>
      </w:r>
      <w:r w:rsidR="00D510C3" w:rsidRPr="003B2A89">
        <w:t>CRPD Committee</w:t>
      </w:r>
      <w:r w:rsidR="00FB1534">
        <w:t>’</w:t>
      </w:r>
      <w:r w:rsidR="00D510C3" w:rsidRPr="003B2A89">
        <w:t>s Views on Individual Communications under the Optional Protocol</w:t>
      </w:r>
      <w:r w:rsidR="0091239C" w:rsidRPr="003B2A89">
        <w:t xml:space="preserve">’, </w:t>
      </w:r>
      <w:r w:rsidR="0091239C" w:rsidRPr="003B2A89">
        <w:rPr>
          <w:i/>
        </w:rPr>
        <w:t>International Disability Alliance</w:t>
      </w:r>
      <w:r w:rsidR="00C175EE" w:rsidRPr="003B2A89">
        <w:t xml:space="preserve"> (Web Page)</w:t>
      </w:r>
      <w:r w:rsidR="00C65C24" w:rsidRPr="003B2A89">
        <w:t xml:space="preserve"> </w:t>
      </w:r>
      <w:r w:rsidR="00D510C3" w:rsidRPr="003B2A89">
        <w:t>&lt;</w:t>
      </w:r>
      <w:hyperlink r:id="rId1" w:history="1">
        <w:r w:rsidR="00FC6747" w:rsidRPr="003B2A89">
          <w:rPr>
            <w:rStyle w:val="Hyperlink"/>
          </w:rPr>
          <w:t>https://www.internationaldisabilityalliance.org/crpd-committee-interpretation</w:t>
        </w:r>
      </w:hyperlink>
      <w:r w:rsidR="00D510C3" w:rsidRPr="003B2A89">
        <w:t>&gt;</w:t>
      </w:r>
      <w:r w:rsidR="00162C77" w:rsidRPr="003B2A89">
        <w:t>.</w:t>
      </w:r>
      <w:r w:rsidR="00D510C3">
        <w:t xml:space="preserve"> </w:t>
      </w:r>
      <w:r w:rsidR="00F6167F" w:rsidRPr="00197AD5">
        <w:t>(</w:t>
      </w:r>
      <w:r w:rsidR="006E2291" w:rsidRPr="00197AD5">
        <w:t xml:space="preserve">Note: </w:t>
      </w:r>
      <w:r w:rsidR="005E63BB" w:rsidRPr="00197AD5">
        <w:t>This page lists 44 views delivered up to 30 September 2020</w:t>
      </w:r>
      <w:r w:rsidR="00C8453A" w:rsidRPr="00197AD5">
        <w:t>.</w:t>
      </w:r>
      <w:r w:rsidR="002422B7" w:rsidRPr="00197AD5">
        <w:t xml:space="preserve">, </w:t>
      </w:r>
      <w:r w:rsidR="00C43BEE" w:rsidRPr="00197AD5">
        <w:t>T</w:t>
      </w:r>
      <w:r w:rsidR="002422B7" w:rsidRPr="00197AD5">
        <w:t xml:space="preserve">here have been </w:t>
      </w:r>
      <w:r w:rsidR="005E63BB" w:rsidRPr="00197AD5">
        <w:t>4 sessions since the 23</w:t>
      </w:r>
      <w:r w:rsidR="005E63BB" w:rsidRPr="00512C2D">
        <w:rPr>
          <w:vertAlign w:val="superscript"/>
        </w:rPr>
        <w:t>rd</w:t>
      </w:r>
      <w:r w:rsidR="005E63BB" w:rsidRPr="00197AD5">
        <w:t xml:space="preserve"> session of the CRPD, with 16 views adopted, including 3 relating to Australia</w:t>
      </w:r>
      <w:r w:rsidR="002028F5" w:rsidRPr="00197AD5">
        <w:t xml:space="preserve">, giving </w:t>
      </w:r>
      <w:r w:rsidR="00C43BEE" w:rsidRPr="00197AD5">
        <w:t>the</w:t>
      </w:r>
      <w:r w:rsidR="002028F5" w:rsidRPr="00197AD5">
        <w:t xml:space="preserve"> total of </w:t>
      </w:r>
      <w:r w:rsidR="00424868" w:rsidRPr="00197AD5">
        <w:t>60</w:t>
      </w:r>
      <w:r w:rsidR="00C43BEE" w:rsidRPr="00197AD5">
        <w:t>)</w:t>
      </w:r>
      <w:r w:rsidR="00424868" w:rsidRPr="00197AD5">
        <w:t xml:space="preserve">. </w:t>
      </w:r>
    </w:p>
  </w:endnote>
  <w:endnote w:id="11">
    <w:p w14:paraId="24F0B0DD" w14:textId="404F5441" w:rsidR="00EF5167" w:rsidRDefault="00EF5167">
      <w:pPr>
        <w:pStyle w:val="EndnoteText"/>
      </w:pPr>
      <w:r>
        <w:rPr>
          <w:rStyle w:val="EndnoteReference"/>
        </w:rPr>
        <w:endnoteRef/>
      </w:r>
      <w:r>
        <w:t xml:space="preserve"> </w:t>
      </w:r>
      <w:r w:rsidR="00B37382" w:rsidRPr="009621BE">
        <w:t xml:space="preserve">Australian Government, Submission </w:t>
      </w:r>
      <w:r w:rsidR="00B37382">
        <w:t xml:space="preserve">No </w:t>
      </w:r>
      <w:r w:rsidR="00B37382" w:rsidRPr="009621BE">
        <w:t>0022.0001.000</w:t>
      </w:r>
      <w:r w:rsidR="00B37382">
        <w:t>1</w:t>
      </w:r>
      <w:r w:rsidR="00B37382" w:rsidRPr="009621BE">
        <w:t xml:space="preserve"> to Royal Commission into Violence, Abuse, Neglect and Exploitation of People with Disability</w:t>
      </w:r>
      <w:r w:rsidR="00DA6C76">
        <w:t xml:space="preserve">, </w:t>
      </w:r>
      <w:r w:rsidR="00DA6C76" w:rsidRPr="008215A9">
        <w:rPr>
          <w:i/>
        </w:rPr>
        <w:t>Public hearing 18</w:t>
      </w:r>
      <w:r w:rsidR="00DA6C76">
        <w:rPr>
          <w:i/>
          <w:iCs/>
        </w:rPr>
        <w:t xml:space="preserve">: The human rights of people with disability and making the Convention on the Rights of Persons with Disabilities a reality in Australian </w:t>
      </w:r>
      <w:r w:rsidR="00A31149">
        <w:rPr>
          <w:i/>
          <w:iCs/>
        </w:rPr>
        <w:t>l</w:t>
      </w:r>
      <w:r w:rsidR="00DA6C76">
        <w:rPr>
          <w:i/>
          <w:iCs/>
        </w:rPr>
        <w:t>aw</w:t>
      </w:r>
      <w:r w:rsidR="00A31149">
        <w:rPr>
          <w:i/>
          <w:iCs/>
        </w:rPr>
        <w:t>, policies and practices</w:t>
      </w:r>
      <w:r w:rsidR="008D2863">
        <w:rPr>
          <w:i/>
          <w:iCs/>
        </w:rPr>
        <w:t xml:space="preserve"> </w:t>
      </w:r>
      <w:r w:rsidR="00B37382" w:rsidRPr="009621BE">
        <w:t xml:space="preserve">(15 February 2022) </w:t>
      </w:r>
      <w:r w:rsidR="00B37382" w:rsidRPr="00B37382">
        <w:t xml:space="preserve">5 </w:t>
      </w:r>
      <w:r w:rsidR="001A53F9" w:rsidRPr="00B37382">
        <w:t>[14]</w:t>
      </w:r>
      <w:r w:rsidR="00DE2D29">
        <w:t xml:space="preserve"> (‘Submission No 00.22.0001.0001’)</w:t>
      </w:r>
      <w:r w:rsidR="00C11BE0" w:rsidRPr="00B37382">
        <w:t>.</w:t>
      </w:r>
    </w:p>
  </w:endnote>
  <w:endnote w:id="12">
    <w:p w14:paraId="4F8007D5" w14:textId="58E669FD" w:rsidR="00AF6372" w:rsidRDefault="00AF6372">
      <w:pPr>
        <w:pStyle w:val="EndnoteText"/>
      </w:pPr>
      <w:r>
        <w:rPr>
          <w:rStyle w:val="EndnoteReference"/>
        </w:rPr>
        <w:endnoteRef/>
      </w:r>
      <w:r>
        <w:t xml:space="preserve"> </w:t>
      </w:r>
      <w:r w:rsidR="008B1FFA">
        <w:t>Optional Protocol to the Convention on the Rights of Persons with Disabilities, art 6(4)</w:t>
      </w:r>
      <w:r w:rsidR="008D7A79">
        <w:t>.</w:t>
      </w:r>
    </w:p>
  </w:endnote>
  <w:endnote w:id="13">
    <w:p w14:paraId="52FDE368" w14:textId="16CFDC90" w:rsidR="00876998" w:rsidRDefault="00876998" w:rsidP="00876998">
      <w:pPr>
        <w:pStyle w:val="EndnoteText"/>
      </w:pPr>
      <w:r>
        <w:rPr>
          <w:rStyle w:val="EndnoteReference"/>
        </w:rPr>
        <w:endnoteRef/>
      </w:r>
      <w:r>
        <w:t xml:space="preserve"> Australian Human Rights Commission, </w:t>
      </w:r>
      <w:r w:rsidRPr="008215A9">
        <w:rPr>
          <w:i/>
          <w:iCs/>
        </w:rPr>
        <w:t>AHRC Annual Report 2021 – 2022</w:t>
      </w:r>
      <w:r w:rsidR="00FC6068">
        <w:rPr>
          <w:i/>
          <w:iCs/>
        </w:rPr>
        <w:t xml:space="preserve"> </w:t>
      </w:r>
      <w:r w:rsidR="00FC6068">
        <w:t>(</w:t>
      </w:r>
      <w:r w:rsidR="008174A2">
        <w:t>R</w:t>
      </w:r>
      <w:r w:rsidR="00FC6068">
        <w:t>eport</w:t>
      </w:r>
      <w:r>
        <w:t xml:space="preserve">, </w:t>
      </w:r>
      <w:r w:rsidR="00794F8C">
        <w:t xml:space="preserve">November </w:t>
      </w:r>
      <w:r w:rsidR="008174A2">
        <w:t>2022</w:t>
      </w:r>
      <w:r w:rsidR="00794F8C">
        <w:t>)</w:t>
      </w:r>
      <w:r w:rsidR="00FB1534">
        <w:t>.</w:t>
      </w:r>
      <w:r w:rsidR="00794F8C">
        <w:t xml:space="preserve"> </w:t>
      </w:r>
    </w:p>
  </w:endnote>
  <w:endnote w:id="14">
    <w:p w14:paraId="2500126C" w14:textId="1086801B" w:rsidR="00D55CCF" w:rsidRDefault="00D55CCF" w:rsidP="00D55CCF">
      <w:pPr>
        <w:pStyle w:val="EndnoteText"/>
      </w:pPr>
      <w:r w:rsidRPr="00F14F78">
        <w:rPr>
          <w:rStyle w:val="EndnoteReference"/>
        </w:rPr>
        <w:endnoteRef/>
      </w:r>
      <w:r>
        <w:t xml:space="preserve"> </w:t>
      </w:r>
      <w:r w:rsidRPr="001C350E">
        <w:t>See</w:t>
      </w:r>
      <w:r>
        <w:t xml:space="preserve"> Exhibit 18-21, CTD.9999.0030.0001, Response to Questions in letter from the Office of the Solicitor Assisting the Royal Commission dated 6 October 2021 - 1 November 2021, [365]-[366].</w:t>
      </w:r>
    </w:p>
  </w:endnote>
  <w:endnote w:id="15">
    <w:p w14:paraId="1339C178" w14:textId="08E59F5A" w:rsidR="00DD2374" w:rsidRDefault="00DD2374">
      <w:pPr>
        <w:pStyle w:val="EndnoteText"/>
      </w:pPr>
      <w:r w:rsidRPr="001A53F9">
        <w:rPr>
          <w:rStyle w:val="EndnoteReference"/>
        </w:rPr>
        <w:endnoteRef/>
      </w:r>
      <w:r>
        <w:t xml:space="preserve"> </w:t>
      </w:r>
      <w:r w:rsidR="001A53F9" w:rsidRPr="009621BE">
        <w:t xml:space="preserve">Submission </w:t>
      </w:r>
      <w:r w:rsidR="00847518">
        <w:t xml:space="preserve">No </w:t>
      </w:r>
      <w:r w:rsidR="001A53F9" w:rsidRPr="009621BE">
        <w:t>0022.0001.000</w:t>
      </w:r>
      <w:r w:rsidR="00772B52">
        <w:t>1</w:t>
      </w:r>
      <w:r w:rsidR="00572926">
        <w:t xml:space="preserve"> (n</w:t>
      </w:r>
      <w:r w:rsidR="00F14F78">
        <w:t xml:space="preserve"> </w:t>
      </w:r>
      <w:r w:rsidR="00572926">
        <w:t>1</w:t>
      </w:r>
      <w:r w:rsidR="00E6117F">
        <w:t>0</w:t>
      </w:r>
      <w:r w:rsidR="00572926">
        <w:t>)</w:t>
      </w:r>
      <w:r w:rsidR="001A53F9" w:rsidRPr="009621BE">
        <w:t xml:space="preserve"> 5 [</w:t>
      </w:r>
      <w:r w:rsidR="005C12E3" w:rsidRPr="001A53F9">
        <w:t>13</w:t>
      </w:r>
      <w:r w:rsidR="001A53F9" w:rsidRPr="001A53F9">
        <w:t>].</w:t>
      </w:r>
    </w:p>
  </w:endnote>
  <w:endnote w:id="16">
    <w:p w14:paraId="524A9753" w14:textId="7181883F" w:rsidR="003853EE" w:rsidRDefault="003853EE">
      <w:pPr>
        <w:pStyle w:val="EndnoteText"/>
      </w:pPr>
      <w:r>
        <w:rPr>
          <w:rStyle w:val="EndnoteReference"/>
        </w:rPr>
        <w:endnoteRef/>
      </w:r>
      <w:r>
        <w:t xml:space="preserve"> Counsel Assisting, Submission No </w:t>
      </w:r>
      <w:r w:rsidRPr="00B6384C">
        <w:t>0022.0001.0026</w:t>
      </w:r>
      <w:r>
        <w:t xml:space="preserve"> to Royal Commission into Violence, Abuse, Neglect and Exploitation of People with Disability, </w:t>
      </w:r>
      <w:r w:rsidRPr="008215A9">
        <w:rPr>
          <w:i/>
        </w:rPr>
        <w:t>Public hearing 18</w:t>
      </w:r>
      <w:r>
        <w:rPr>
          <w:i/>
          <w:iCs/>
        </w:rPr>
        <w:t xml:space="preserve">: The human rights of people with disability and making the Convention on the Rights of Persons with Disabilities a reality in Australian </w:t>
      </w:r>
      <w:r w:rsidR="00A31149">
        <w:rPr>
          <w:i/>
          <w:iCs/>
        </w:rPr>
        <w:t>l</w:t>
      </w:r>
      <w:r>
        <w:rPr>
          <w:i/>
          <w:iCs/>
        </w:rPr>
        <w:t>aw</w:t>
      </w:r>
      <w:r w:rsidR="00A31149">
        <w:rPr>
          <w:i/>
          <w:iCs/>
        </w:rPr>
        <w:t>, policies and practices</w:t>
      </w:r>
      <w:r w:rsidDel="001A53F9">
        <w:rPr>
          <w:i/>
          <w:iCs/>
        </w:rPr>
        <w:t xml:space="preserve"> </w:t>
      </w:r>
      <w:r>
        <w:t>(14 December 2021) [246]</w:t>
      </w:r>
      <w:r w:rsidR="001A53F9">
        <w:t>.</w:t>
      </w:r>
    </w:p>
  </w:endnote>
  <w:endnote w:id="17">
    <w:p w14:paraId="22697BCD" w14:textId="3F38E540" w:rsidR="00F11019" w:rsidRDefault="00F11019" w:rsidP="00F11019">
      <w:pPr>
        <w:pStyle w:val="EndnoteText"/>
      </w:pPr>
      <w:r w:rsidRPr="009621BE">
        <w:rPr>
          <w:rStyle w:val="EndnoteReference"/>
        </w:rPr>
        <w:endnoteRef/>
      </w:r>
      <w:r w:rsidRPr="009621BE">
        <w:t xml:space="preserve"> </w:t>
      </w:r>
      <w:r w:rsidR="00682019" w:rsidRPr="00682019">
        <w:t xml:space="preserve">The Committee on the Rights of Persons with Disabilities, </w:t>
      </w:r>
      <w:r w:rsidR="00682019" w:rsidRPr="00DA5BC2">
        <w:rPr>
          <w:i/>
          <w:iCs/>
        </w:rPr>
        <w:t>Concluding Observations on the Second and Third Combined Reports of Australia</w:t>
      </w:r>
      <w:r w:rsidR="00632C17">
        <w:t>, 22</w:t>
      </w:r>
      <w:r w:rsidR="00632C17" w:rsidRPr="00632C17">
        <w:rPr>
          <w:vertAlign w:val="superscript"/>
        </w:rPr>
        <w:t>nd</w:t>
      </w:r>
      <w:r w:rsidR="00632C17">
        <w:t xml:space="preserve"> sess, UN</w:t>
      </w:r>
      <w:r w:rsidR="001B7580">
        <w:t xml:space="preserve"> Doc </w:t>
      </w:r>
      <w:r w:rsidR="00682019">
        <w:t>CRPD/C/AUS/CO/2-3</w:t>
      </w:r>
      <w:r w:rsidR="001B7580">
        <w:t xml:space="preserve"> (</w:t>
      </w:r>
      <w:r w:rsidR="00682019">
        <w:t>15 October 2019</w:t>
      </w:r>
      <w:r w:rsidR="00DA5BC2">
        <w:t>)</w:t>
      </w:r>
      <w:r w:rsidR="00090A6C">
        <w:t xml:space="preserve"> (</w:t>
      </w:r>
      <w:r w:rsidR="007533DA">
        <w:t>‘</w:t>
      </w:r>
      <w:r w:rsidR="000D7F20">
        <w:t>CRPD Com</w:t>
      </w:r>
      <w:r w:rsidR="00F54192">
        <w:t>mittee c</w:t>
      </w:r>
      <w:r w:rsidR="007533DA">
        <w:t xml:space="preserve">oncluding </w:t>
      </w:r>
      <w:r w:rsidR="00F54192">
        <w:t>o</w:t>
      </w:r>
      <w:r w:rsidR="007533DA">
        <w:t>bs</w:t>
      </w:r>
      <w:r w:rsidR="00C34A4D">
        <w:t>ervations</w:t>
      </w:r>
      <w:r w:rsidR="000D7F20">
        <w:t>’</w:t>
      </w:r>
      <w:r w:rsidR="00F54192">
        <w:t>)</w:t>
      </w:r>
      <w:r w:rsidR="00682019">
        <w:t>.</w:t>
      </w:r>
    </w:p>
  </w:endnote>
  <w:endnote w:id="18">
    <w:p w14:paraId="2D5D561D" w14:textId="00DE90E7" w:rsidR="00750F60" w:rsidRDefault="00750F60" w:rsidP="00750F60">
      <w:pPr>
        <w:pStyle w:val="EndnoteText"/>
      </w:pPr>
      <w:r w:rsidRPr="00DF1658">
        <w:rPr>
          <w:rStyle w:val="EndnoteReference"/>
        </w:rPr>
        <w:endnoteRef/>
      </w:r>
      <w:r>
        <w:t xml:space="preserve"> Counsel Assisting, Submission No </w:t>
      </w:r>
      <w:r w:rsidRPr="00B6384C">
        <w:t>0022.0001.0026</w:t>
      </w:r>
      <w:r>
        <w:t xml:space="preserve"> to Royal Commission into Violence, Abuse, Neglect and Exploitation of People with Disability, </w:t>
      </w:r>
      <w:r w:rsidRPr="008215A9">
        <w:rPr>
          <w:i/>
        </w:rPr>
        <w:t>Public hearing 18</w:t>
      </w:r>
      <w:r>
        <w:rPr>
          <w:i/>
          <w:iCs/>
        </w:rPr>
        <w:t xml:space="preserve">: The human rights of people with disability and making the Convention on the Rights of Persons with Disabilities a reality in Australian Law </w:t>
      </w:r>
      <w:r>
        <w:t xml:space="preserve">(14 December 2021) 72 [245]. </w:t>
      </w:r>
    </w:p>
  </w:endnote>
  <w:endnote w:id="19">
    <w:p w14:paraId="1A349C5B" w14:textId="77777777" w:rsidR="001D7F79" w:rsidRDefault="001D7F79" w:rsidP="001D7F79">
      <w:pPr>
        <w:pStyle w:val="EndnoteText"/>
      </w:pPr>
      <w:r w:rsidRPr="00286435">
        <w:rPr>
          <w:rStyle w:val="EndnoteReference"/>
        </w:rPr>
        <w:endnoteRef/>
      </w:r>
      <w:r w:rsidRPr="00286435">
        <w:t xml:space="preserve"> CRPD Committee concluding observations (n 15) 3 [9]-[10].</w:t>
      </w:r>
    </w:p>
  </w:endnote>
  <w:endnote w:id="20">
    <w:p w14:paraId="43BF3852" w14:textId="7B3EEA3E" w:rsidR="00F11019" w:rsidRDefault="00F11019" w:rsidP="00F11019">
      <w:pPr>
        <w:pStyle w:val="EndnoteText"/>
      </w:pPr>
      <w:r>
        <w:rPr>
          <w:rStyle w:val="EndnoteReference"/>
        </w:rPr>
        <w:endnoteRef/>
      </w:r>
      <w:r>
        <w:t xml:space="preserve"> </w:t>
      </w:r>
      <w:r w:rsidRPr="008215A9">
        <w:rPr>
          <w:i/>
          <w:iCs/>
        </w:rPr>
        <w:t>Disability Discrimination Act</w:t>
      </w:r>
      <w:r>
        <w:t xml:space="preserve"> 1992 (Cth) s 3(c)</w:t>
      </w:r>
      <w:r w:rsidR="001A53F9">
        <w:t>.</w:t>
      </w:r>
    </w:p>
  </w:endnote>
  <w:endnote w:id="21">
    <w:p w14:paraId="7465FD3A" w14:textId="3BB1E1BB" w:rsidR="00FA207F" w:rsidRPr="009621BE" w:rsidRDefault="00FA207F">
      <w:pPr>
        <w:pStyle w:val="EndnoteText"/>
        <w:rPr>
          <w:lang w:val="en-GB"/>
        </w:rPr>
      </w:pPr>
      <w:r>
        <w:rPr>
          <w:rStyle w:val="EndnoteReference"/>
        </w:rPr>
        <w:endnoteRef/>
      </w:r>
      <w:r>
        <w:t xml:space="preserve"> </w:t>
      </w:r>
      <w:r>
        <w:rPr>
          <w:lang w:val="en-GB"/>
        </w:rPr>
        <w:t>Australian Human Rights Commission,</w:t>
      </w:r>
      <w:r w:rsidRPr="009621BE">
        <w:rPr>
          <w:i/>
          <w:lang w:val="en-GB"/>
        </w:rPr>
        <w:t xml:space="preserve"> </w:t>
      </w:r>
      <w:r w:rsidR="00504213" w:rsidRPr="009621BE">
        <w:rPr>
          <w:i/>
          <w:lang w:val="en-GB"/>
        </w:rPr>
        <w:t xml:space="preserve">Respect@Work: National Inquiry </w:t>
      </w:r>
      <w:r w:rsidR="00FF0CB6" w:rsidRPr="009621BE">
        <w:rPr>
          <w:i/>
          <w:lang w:val="en-GB"/>
        </w:rPr>
        <w:t xml:space="preserve">into Sexual harassment in Australian </w:t>
      </w:r>
      <w:r w:rsidR="00FF0CB6" w:rsidRPr="008D0EEE">
        <w:rPr>
          <w:i/>
          <w:iCs/>
          <w:lang w:val="en-GB"/>
        </w:rPr>
        <w:t>Workplaces</w:t>
      </w:r>
      <w:r w:rsidR="001A53F9" w:rsidRPr="009621BE">
        <w:rPr>
          <w:i/>
          <w:lang w:val="en-GB"/>
        </w:rPr>
        <w:t xml:space="preserve"> </w:t>
      </w:r>
      <w:r w:rsidR="00FF0CB6">
        <w:rPr>
          <w:lang w:val="en-GB"/>
        </w:rPr>
        <w:t>(</w:t>
      </w:r>
      <w:r w:rsidR="003A3A27">
        <w:rPr>
          <w:lang w:val="en-GB"/>
        </w:rPr>
        <w:t>Report</w:t>
      </w:r>
      <w:r w:rsidR="00E75DCF">
        <w:rPr>
          <w:lang w:val="en-GB"/>
        </w:rPr>
        <w:t xml:space="preserve">, </w:t>
      </w:r>
      <w:r w:rsidR="000E3642">
        <w:rPr>
          <w:lang w:val="en-GB"/>
        </w:rPr>
        <w:t xml:space="preserve">29 January </w:t>
      </w:r>
      <w:r w:rsidR="002D007B">
        <w:rPr>
          <w:lang w:val="en-GB"/>
        </w:rPr>
        <w:t xml:space="preserve">2020) </w:t>
      </w:r>
      <w:r w:rsidR="000D1CB8">
        <w:rPr>
          <w:lang w:val="en-GB"/>
        </w:rPr>
        <w:t>549</w:t>
      </w:r>
      <w:r w:rsidR="001A53F9">
        <w:rPr>
          <w:lang w:val="en-GB"/>
        </w:rPr>
        <w:t>.</w:t>
      </w:r>
    </w:p>
  </w:endnote>
  <w:endnote w:id="22">
    <w:p w14:paraId="47804D82" w14:textId="2DB01508" w:rsidR="0050662E" w:rsidRDefault="0050662E">
      <w:pPr>
        <w:pStyle w:val="EndnoteText"/>
      </w:pPr>
      <w:r>
        <w:rPr>
          <w:rStyle w:val="EndnoteReference"/>
        </w:rPr>
        <w:endnoteRef/>
      </w:r>
      <w:r>
        <w:t xml:space="preserve"> </w:t>
      </w:r>
      <w:r w:rsidRPr="009621BE">
        <w:rPr>
          <w:i/>
        </w:rPr>
        <w:t>Sklavos v Australasian College of Dermatologists</w:t>
      </w:r>
      <w:r w:rsidRPr="0050662E">
        <w:t xml:space="preserve"> </w:t>
      </w:r>
      <w:r>
        <w:t>(</w:t>
      </w:r>
      <w:r w:rsidRPr="0050662E">
        <w:t>2017</w:t>
      </w:r>
      <w:r>
        <w:t>)</w:t>
      </w:r>
      <w:r w:rsidRPr="0050662E">
        <w:t xml:space="preserve"> FCAFC 128</w:t>
      </w:r>
      <w:r>
        <w:t>.</w:t>
      </w:r>
    </w:p>
  </w:endnote>
  <w:endnote w:id="23">
    <w:p w14:paraId="4AA8D40D" w14:textId="1CA935F3" w:rsidR="00CF073E" w:rsidRPr="002547BD" w:rsidRDefault="00CF073E">
      <w:pPr>
        <w:pStyle w:val="EndnoteText"/>
      </w:pPr>
      <w:r>
        <w:rPr>
          <w:rStyle w:val="EndnoteReference"/>
        </w:rPr>
        <w:endnoteRef/>
      </w:r>
      <w:r>
        <w:t xml:space="preserve"> </w:t>
      </w:r>
      <w:r w:rsidR="002547BD">
        <w:t>Australian Human Rights Commission</w:t>
      </w:r>
      <w:r w:rsidR="008D0EEE">
        <w:t>,</w:t>
      </w:r>
      <w:r w:rsidR="002547BD">
        <w:t xml:space="preserve"> </w:t>
      </w:r>
      <w:r w:rsidR="002547BD">
        <w:rPr>
          <w:i/>
          <w:iCs/>
        </w:rPr>
        <w:t>Free and Equal: A reform agenda for federal discrimination laws</w:t>
      </w:r>
      <w:r w:rsidR="002547BD">
        <w:t xml:space="preserve"> (</w:t>
      </w:r>
      <w:r w:rsidR="008976BB">
        <w:t xml:space="preserve">Position Paper, </w:t>
      </w:r>
      <w:r w:rsidR="002547BD">
        <w:t>December 2021).</w:t>
      </w:r>
    </w:p>
  </w:endnote>
  <w:endnote w:id="24">
    <w:p w14:paraId="3061C8DA" w14:textId="3EC4D400" w:rsidR="00D2001A" w:rsidRPr="00B83675" w:rsidRDefault="00D2001A">
      <w:pPr>
        <w:pStyle w:val="EndnoteText"/>
      </w:pPr>
      <w:r>
        <w:rPr>
          <w:rStyle w:val="EndnoteReference"/>
        </w:rPr>
        <w:endnoteRef/>
      </w:r>
      <w:r>
        <w:t xml:space="preserve"> </w:t>
      </w:r>
      <w:r w:rsidR="00B83675">
        <w:t xml:space="preserve">The </w:t>
      </w:r>
      <w:r w:rsidR="00FA6EAD">
        <w:t xml:space="preserve">Australian Human Rights </w:t>
      </w:r>
      <w:r w:rsidR="00B83675">
        <w:t xml:space="preserve">Commission’s upcoming report, </w:t>
      </w:r>
      <w:r w:rsidR="00B83675">
        <w:rPr>
          <w:i/>
          <w:iCs/>
        </w:rPr>
        <w:t>Bringing Rights Home</w:t>
      </w:r>
      <w:r w:rsidR="002F13DA">
        <w:rPr>
          <w:i/>
          <w:iCs/>
        </w:rPr>
        <w:t>: A human rights act for Australia</w:t>
      </w:r>
      <w:r w:rsidR="00B83675">
        <w:t xml:space="preserve">, to be published in February 2023, will make the case for a </w:t>
      </w:r>
      <w:r w:rsidR="002F13DA">
        <w:t xml:space="preserve">federal human rights </w:t>
      </w:r>
      <w:r w:rsidR="000A0F18">
        <w:t>A</w:t>
      </w:r>
      <w:r w:rsidR="002F13DA">
        <w:t>ct.</w:t>
      </w:r>
    </w:p>
  </w:endnote>
  <w:endnote w:id="25">
    <w:p w14:paraId="19E07B42" w14:textId="77777777" w:rsidR="00F11019" w:rsidRDefault="00F11019" w:rsidP="00F11019">
      <w:pPr>
        <w:pStyle w:val="EndnoteText"/>
      </w:pPr>
      <w:r>
        <w:rPr>
          <w:rStyle w:val="EndnoteReference"/>
        </w:rPr>
        <w:endnoteRef/>
      </w:r>
      <w:r>
        <w:t xml:space="preserve"> </w:t>
      </w:r>
      <w:r w:rsidRPr="008215A9">
        <w:rPr>
          <w:i/>
          <w:iCs/>
        </w:rPr>
        <w:t>National Disability Insurance Scheme Act 2013</w:t>
      </w:r>
      <w:r>
        <w:t xml:space="preserve"> (Cth) s 3(1)(a).</w:t>
      </w:r>
    </w:p>
  </w:endnote>
  <w:endnote w:id="26">
    <w:p w14:paraId="1D1A69D5" w14:textId="4C5D1A8C" w:rsidR="00F11019" w:rsidRPr="005B75E9" w:rsidRDefault="00F11019" w:rsidP="00F11019">
      <w:pPr>
        <w:pStyle w:val="EndnoteText"/>
        <w:rPr>
          <w:lang w:val="en-GB"/>
        </w:rPr>
      </w:pPr>
      <w:r w:rsidRPr="005B75E9">
        <w:rPr>
          <w:rStyle w:val="EndnoteReference"/>
        </w:rPr>
        <w:endnoteRef/>
      </w:r>
      <w:r w:rsidRPr="005B75E9">
        <w:t xml:space="preserve"> </w:t>
      </w:r>
      <w:r w:rsidR="00734B99" w:rsidRPr="005B75E9">
        <w:t>Department of Social Services</w:t>
      </w:r>
      <w:r w:rsidRPr="005B75E9">
        <w:t>,</w:t>
      </w:r>
      <w:r w:rsidR="00361430" w:rsidRPr="005B75E9">
        <w:t xml:space="preserve"> Commonwealth of Australia,</w:t>
      </w:r>
      <w:r w:rsidRPr="005B75E9">
        <w:t xml:space="preserve"> </w:t>
      </w:r>
      <w:r w:rsidR="00734B99" w:rsidRPr="005B75E9">
        <w:rPr>
          <w:i/>
          <w:iCs/>
        </w:rPr>
        <w:t>Australia’s Disability Strategy 2021-2031</w:t>
      </w:r>
      <w:r w:rsidRPr="005B75E9">
        <w:rPr>
          <w:i/>
        </w:rPr>
        <w:t xml:space="preserve"> </w:t>
      </w:r>
      <w:r w:rsidR="00734B99" w:rsidRPr="005B75E9">
        <w:t xml:space="preserve">(2021) </w:t>
      </w:r>
      <w:r w:rsidR="00734B99" w:rsidRPr="005B75E9">
        <w:rPr>
          <w:lang w:val="en-GB"/>
        </w:rPr>
        <w:t>5</w:t>
      </w:r>
      <w:r w:rsidR="00361430" w:rsidRPr="005B75E9">
        <w:rPr>
          <w:lang w:val="en-GB"/>
        </w:rPr>
        <w:t xml:space="preserve"> (‘</w:t>
      </w:r>
      <w:r w:rsidR="00361430" w:rsidRPr="005B75E9">
        <w:rPr>
          <w:i/>
          <w:iCs/>
          <w:lang w:val="en-GB"/>
        </w:rPr>
        <w:t>Australia’s Disability Strategy 2021-2031</w:t>
      </w:r>
      <w:r w:rsidR="00361430" w:rsidRPr="005B75E9">
        <w:rPr>
          <w:lang w:val="en-GB"/>
        </w:rPr>
        <w:t>’)</w:t>
      </w:r>
      <w:r w:rsidRPr="005B75E9">
        <w:rPr>
          <w:lang w:val="en-GB"/>
        </w:rPr>
        <w:t xml:space="preserve">. </w:t>
      </w:r>
    </w:p>
  </w:endnote>
  <w:endnote w:id="27">
    <w:p w14:paraId="0A23F55B" w14:textId="60A2ED95" w:rsidR="004F4A57" w:rsidRPr="00361430" w:rsidRDefault="004F4A57" w:rsidP="00361430">
      <w:pPr>
        <w:pStyle w:val="EndnoteText"/>
        <w:rPr>
          <w:i/>
          <w:iCs/>
        </w:rPr>
      </w:pPr>
      <w:r w:rsidRPr="005B75E9">
        <w:rPr>
          <w:rStyle w:val="EndnoteReference"/>
        </w:rPr>
        <w:endnoteRef/>
      </w:r>
      <w:r w:rsidRPr="005B75E9">
        <w:t xml:space="preserve"> Senate</w:t>
      </w:r>
      <w:r w:rsidR="00864AFE" w:rsidRPr="005B75E9">
        <w:t xml:space="preserve"> Community Affairs</w:t>
      </w:r>
      <w:r w:rsidR="00666E77" w:rsidRPr="005B75E9">
        <w:t xml:space="preserve"> Reference</w:t>
      </w:r>
      <w:r w:rsidR="003A09E1" w:rsidRPr="005B75E9">
        <w:t>s</w:t>
      </w:r>
      <w:r w:rsidR="00666E77" w:rsidRPr="005B75E9">
        <w:t xml:space="preserve"> Committee</w:t>
      </w:r>
      <w:r w:rsidR="00864AFE" w:rsidRPr="005B75E9">
        <w:t>,</w:t>
      </w:r>
      <w:r w:rsidR="00361430" w:rsidRPr="005B75E9">
        <w:t xml:space="preserve"> Commonwealth of Australia,</w:t>
      </w:r>
      <w:r w:rsidRPr="005B75E9">
        <w:t xml:space="preserve"> </w:t>
      </w:r>
      <w:r w:rsidR="00B663D5" w:rsidRPr="005B75E9">
        <w:rPr>
          <w:i/>
          <w:iCs/>
        </w:rPr>
        <w:t>Delivery of outcomes under the National Disability Strategy 2010-2020 to build inclusive and accessible</w:t>
      </w:r>
      <w:r w:rsidR="00B663D5" w:rsidRPr="007E697F">
        <w:rPr>
          <w:i/>
          <w:iCs/>
        </w:rPr>
        <w:t xml:space="preserve"> communities</w:t>
      </w:r>
      <w:r w:rsidR="007E697F">
        <w:rPr>
          <w:i/>
          <w:iCs/>
        </w:rPr>
        <w:t xml:space="preserve"> </w:t>
      </w:r>
      <w:r w:rsidR="007E697F">
        <w:t>(Report</w:t>
      </w:r>
      <w:r w:rsidR="006017DE">
        <w:t>, 29 November 2017)</w:t>
      </w:r>
      <w:r w:rsidR="00C736AC">
        <w:t xml:space="preserve"> (‘</w:t>
      </w:r>
      <w:r w:rsidR="00467545">
        <w:t>Senate inquiry into delivery of outcomes under the</w:t>
      </w:r>
      <w:r w:rsidR="007D33C4">
        <w:t xml:space="preserve"> NDS 2010-2020’)</w:t>
      </w:r>
      <w:r w:rsidR="00FB1534">
        <w:t>.</w:t>
      </w:r>
    </w:p>
  </w:endnote>
  <w:endnote w:id="28">
    <w:p w14:paraId="5F33A0C6" w14:textId="11F4DFE0" w:rsidR="003241CD" w:rsidRDefault="003241CD">
      <w:pPr>
        <w:pStyle w:val="EndnoteText"/>
      </w:pPr>
      <w:r w:rsidRPr="0067580D">
        <w:rPr>
          <w:rStyle w:val="EndnoteReference"/>
        </w:rPr>
        <w:endnoteRef/>
      </w:r>
      <w:r w:rsidRPr="0067580D">
        <w:t xml:space="preserve"> </w:t>
      </w:r>
      <w:r w:rsidR="000C3FF7" w:rsidRPr="0067580D">
        <w:rPr>
          <w:i/>
          <w:iCs/>
        </w:rPr>
        <w:t>Australia’s Disability Strategy 2021-2031</w:t>
      </w:r>
      <w:r w:rsidR="000C3FF7" w:rsidRPr="0067580D">
        <w:rPr>
          <w:i/>
        </w:rPr>
        <w:t xml:space="preserve"> </w:t>
      </w:r>
      <w:r w:rsidR="003358AC" w:rsidRPr="0067580D">
        <w:t>(n 24)</w:t>
      </w:r>
      <w:r w:rsidR="000C3FF7" w:rsidRPr="0067580D">
        <w:t xml:space="preserve"> </w:t>
      </w:r>
      <w:r w:rsidR="000C3FF7" w:rsidRPr="0067580D">
        <w:rPr>
          <w:lang w:val="en-GB"/>
        </w:rPr>
        <w:t>5</w:t>
      </w:r>
      <w:r w:rsidRPr="0067580D">
        <w:t>.</w:t>
      </w:r>
    </w:p>
  </w:endnote>
  <w:endnote w:id="29">
    <w:p w14:paraId="2E169610" w14:textId="0DE2555C" w:rsidR="002A074F" w:rsidRDefault="002A074F">
      <w:pPr>
        <w:pStyle w:val="EndnoteText"/>
      </w:pPr>
      <w:r>
        <w:rPr>
          <w:rStyle w:val="EndnoteReference"/>
        </w:rPr>
        <w:endnoteRef/>
      </w:r>
      <w:r>
        <w:t xml:space="preserve"> </w:t>
      </w:r>
      <w:r w:rsidR="007D33C4">
        <w:t>Senate inquiry into delivery of outcomes under the NDS 2010-2020 (n</w:t>
      </w:r>
      <w:r w:rsidR="00361430">
        <w:t xml:space="preserve"> 25).</w:t>
      </w:r>
    </w:p>
  </w:endnote>
  <w:endnote w:id="30">
    <w:p w14:paraId="4EED7BB9" w14:textId="786966BF" w:rsidR="00CF4410" w:rsidRDefault="00CF4410">
      <w:pPr>
        <w:pStyle w:val="EndnoteText"/>
      </w:pPr>
      <w:r>
        <w:rPr>
          <w:rStyle w:val="EndnoteReference"/>
        </w:rPr>
        <w:endnoteRef/>
      </w:r>
      <w:r>
        <w:t xml:space="preserve"> CRPD Committee </w:t>
      </w:r>
      <w:r w:rsidR="00B21687">
        <w:t>concluding</w:t>
      </w:r>
      <w:r w:rsidR="000C3FF7">
        <w:t xml:space="preserve"> observations</w:t>
      </w:r>
      <w:r w:rsidR="00B21687">
        <w:t xml:space="preserve"> (n 15)</w:t>
      </w:r>
      <w:r w:rsidR="001F6658">
        <w:t>.</w:t>
      </w:r>
    </w:p>
  </w:endnote>
  <w:endnote w:id="31">
    <w:p w14:paraId="40C9732F" w14:textId="54201A25" w:rsidR="004F4A57" w:rsidRDefault="004F4A57">
      <w:pPr>
        <w:pStyle w:val="EndnoteText"/>
      </w:pPr>
      <w:r w:rsidRPr="0067580D">
        <w:rPr>
          <w:rStyle w:val="EndnoteReference"/>
        </w:rPr>
        <w:endnoteRef/>
      </w:r>
      <w:r w:rsidR="00FD1F58" w:rsidRPr="0067580D">
        <w:rPr>
          <w:i/>
          <w:iCs/>
        </w:rPr>
        <w:t>Australia’s Disability Strategy 2021-2031</w:t>
      </w:r>
      <w:r w:rsidR="00FD1F58" w:rsidRPr="0067580D">
        <w:rPr>
          <w:i/>
        </w:rPr>
        <w:t xml:space="preserve"> </w:t>
      </w:r>
      <w:r w:rsidR="00FD1F58" w:rsidRPr="0067580D">
        <w:t xml:space="preserve">(n 24) </w:t>
      </w:r>
      <w:r w:rsidR="00FD1F58" w:rsidRPr="0067580D">
        <w:rPr>
          <w:lang w:val="en-GB"/>
        </w:rPr>
        <w:t>5</w:t>
      </w:r>
      <w:r w:rsidR="00FD1F58" w:rsidRPr="0067580D">
        <w:t>.</w:t>
      </w:r>
    </w:p>
  </w:endnote>
  <w:endnote w:id="32">
    <w:p w14:paraId="0A66DBE3" w14:textId="71BB6041" w:rsidR="00696E5B" w:rsidRPr="002A7060" w:rsidRDefault="00696E5B">
      <w:pPr>
        <w:pStyle w:val="EndnoteText"/>
      </w:pPr>
      <w:r>
        <w:rPr>
          <w:rStyle w:val="EndnoteReference"/>
        </w:rPr>
        <w:endnoteRef/>
      </w:r>
      <w:r>
        <w:t xml:space="preserve"> Australian Human Rights Commission, </w:t>
      </w:r>
      <w:r w:rsidRPr="00D57335">
        <w:rPr>
          <w:i/>
          <w:iCs/>
        </w:rPr>
        <w:t>Keeping Kids Safe and Well – Your Voices</w:t>
      </w:r>
      <w:r>
        <w:t xml:space="preserve"> (</w:t>
      </w:r>
      <w:r w:rsidR="00E461F8">
        <w:t xml:space="preserve">Report, </w:t>
      </w:r>
      <w:r w:rsidR="00A072E6">
        <w:t xml:space="preserve">December </w:t>
      </w:r>
      <w:r>
        <w:t>202</w:t>
      </w:r>
      <w:r w:rsidR="00A072E6">
        <w:t>1</w:t>
      </w:r>
      <w:r>
        <w:t>)</w:t>
      </w:r>
      <w:r w:rsidR="00B21687">
        <w:t xml:space="preserve"> </w:t>
      </w:r>
      <w:r w:rsidRPr="00BF33D5">
        <w:t>96</w:t>
      </w:r>
      <w:r w:rsidR="00FB1534">
        <w:t>.</w:t>
      </w:r>
      <w:r w:rsidR="001B6713">
        <w:t xml:space="preserve"> </w:t>
      </w:r>
    </w:p>
  </w:endnote>
  <w:endnote w:id="33">
    <w:p w14:paraId="3CED0708" w14:textId="46922B2A" w:rsidR="008068E2" w:rsidRDefault="008068E2" w:rsidP="008068E2">
      <w:pPr>
        <w:pStyle w:val="EndnoteText"/>
      </w:pPr>
      <w:r>
        <w:rPr>
          <w:rStyle w:val="EndnoteReference"/>
        </w:rPr>
        <w:endnoteRef/>
      </w:r>
      <w:r>
        <w:t xml:space="preserve"> </w:t>
      </w:r>
      <w:r w:rsidR="003F347F" w:rsidRPr="003F347F">
        <w:t>Australian Bureau of Statistics</w:t>
      </w:r>
      <w:r w:rsidR="003F347F">
        <w:t xml:space="preserve">, </w:t>
      </w:r>
      <w:r w:rsidRPr="003F347F">
        <w:rPr>
          <w:i/>
          <w:iCs/>
        </w:rPr>
        <w:t>Disability, Ageing and Carers, Australia: Summary of Findings</w:t>
      </w:r>
      <w:r w:rsidRPr="008068E2">
        <w:rPr>
          <w:iCs/>
        </w:rPr>
        <w:t xml:space="preserve"> </w:t>
      </w:r>
      <w:r w:rsidRPr="008068E2">
        <w:t>(Web Page, 24 October 2019) &lt;</w:t>
      </w:r>
      <w:hyperlink r:id="rId2" w:history="1">
        <w:r w:rsidRPr="008068E2">
          <w:rPr>
            <w:rStyle w:val="Hyperlink"/>
          </w:rPr>
          <w:t>https://www.abs.gov.au/statistics/health/disability/disability-ageing-and-carers-australia-summary-findings/latest-release</w:t>
        </w:r>
      </w:hyperlink>
      <w:r w:rsidRPr="008068E2">
        <w:t>&gt;.</w:t>
      </w:r>
    </w:p>
  </w:endnote>
  <w:endnote w:id="34">
    <w:p w14:paraId="4D13AC9D" w14:textId="336E657C" w:rsidR="000D49D6" w:rsidRDefault="000D49D6">
      <w:pPr>
        <w:pStyle w:val="EndnoteText"/>
      </w:pPr>
      <w:r>
        <w:rPr>
          <w:rStyle w:val="EndnoteReference"/>
        </w:rPr>
        <w:endnoteRef/>
      </w:r>
      <w:r>
        <w:t xml:space="preserve"> </w:t>
      </w:r>
      <w:r w:rsidR="001721D0" w:rsidRPr="001721D0">
        <w:rPr>
          <w:lang w:val="en-US"/>
        </w:rPr>
        <w:t xml:space="preserve">Senate </w:t>
      </w:r>
      <w:r w:rsidR="000F09FE">
        <w:rPr>
          <w:lang w:val="en-US"/>
        </w:rPr>
        <w:t>Community Affairs Reference</w:t>
      </w:r>
      <w:r w:rsidR="003A09E1">
        <w:rPr>
          <w:lang w:val="en-US"/>
        </w:rPr>
        <w:t>s Committee</w:t>
      </w:r>
      <w:r w:rsidR="001721D0" w:rsidRPr="001721D0">
        <w:rPr>
          <w:lang w:val="en-US"/>
        </w:rPr>
        <w:t>,</w:t>
      </w:r>
      <w:r w:rsidR="003A09E1">
        <w:rPr>
          <w:lang w:val="en-US"/>
        </w:rPr>
        <w:t xml:space="preserve"> Commonwealth of Australia,</w:t>
      </w:r>
      <w:r w:rsidR="001721D0" w:rsidRPr="001721D0">
        <w:rPr>
          <w:lang w:val="en-US"/>
        </w:rPr>
        <w:t xml:space="preserve"> </w:t>
      </w:r>
      <w:r w:rsidR="001721D0" w:rsidRPr="001721D0">
        <w:rPr>
          <w:i/>
          <w:iCs/>
          <w:lang w:val="en-US"/>
        </w:rPr>
        <w:t>Protecting vulnerable children: A national challenge</w:t>
      </w:r>
      <w:r w:rsidR="001721D0" w:rsidRPr="001721D0">
        <w:rPr>
          <w:lang w:val="en-US"/>
        </w:rPr>
        <w:t xml:space="preserve"> (2005) ch 5</w:t>
      </w:r>
      <w:r w:rsidR="001721D0">
        <w:rPr>
          <w:lang w:val="en-US"/>
        </w:rPr>
        <w:t>.</w:t>
      </w:r>
    </w:p>
  </w:endnote>
  <w:endnote w:id="35">
    <w:p w14:paraId="144073C6" w14:textId="64D9CEEE" w:rsidR="00E542C3" w:rsidRDefault="00E542C3">
      <w:pPr>
        <w:pStyle w:val="EndnoteText"/>
      </w:pPr>
      <w:r>
        <w:rPr>
          <w:rStyle w:val="EndnoteReference"/>
        </w:rPr>
        <w:endnoteRef/>
      </w:r>
      <w:r>
        <w:t xml:space="preserve"> </w:t>
      </w:r>
      <w:r w:rsidR="00FD7268" w:rsidRPr="00FD7268">
        <w:t xml:space="preserve">United Nations Committee on the Rights of the Child, </w:t>
      </w:r>
      <w:r w:rsidR="00FD7268" w:rsidRPr="00CA4B9C">
        <w:rPr>
          <w:i/>
          <w:iCs/>
        </w:rPr>
        <w:t xml:space="preserve">General </w:t>
      </w:r>
      <w:r w:rsidR="00D76933">
        <w:rPr>
          <w:i/>
          <w:iCs/>
        </w:rPr>
        <w:t>C</w:t>
      </w:r>
      <w:r w:rsidR="00FD7268" w:rsidRPr="00CA4B9C">
        <w:rPr>
          <w:i/>
          <w:iCs/>
        </w:rPr>
        <w:t>omment No</w:t>
      </w:r>
      <w:r w:rsidR="00D76933">
        <w:rPr>
          <w:i/>
          <w:iCs/>
        </w:rPr>
        <w:t xml:space="preserve"> </w:t>
      </w:r>
      <w:r w:rsidR="00FD7268" w:rsidRPr="00CA4B9C">
        <w:rPr>
          <w:i/>
          <w:iCs/>
        </w:rPr>
        <w:t>24</w:t>
      </w:r>
      <w:r w:rsidR="00D76933">
        <w:rPr>
          <w:i/>
          <w:iCs/>
        </w:rPr>
        <w:t xml:space="preserve">: </w:t>
      </w:r>
      <w:r w:rsidR="00FD7268" w:rsidRPr="00CA4B9C">
        <w:rPr>
          <w:i/>
          <w:iCs/>
        </w:rPr>
        <w:t>Children’s Rights in the Child Justice System</w:t>
      </w:r>
      <w:r w:rsidR="00103D8F" w:rsidRPr="00103D8F">
        <w:t xml:space="preserve">, </w:t>
      </w:r>
      <w:r w:rsidR="00EE2535">
        <w:t>UN Doc</w:t>
      </w:r>
      <w:r w:rsidR="00CA4B9C">
        <w:t xml:space="preserve"> </w:t>
      </w:r>
      <w:r w:rsidR="00FD7268" w:rsidRPr="00FD7268">
        <w:t>CRC/C/GC/24</w:t>
      </w:r>
      <w:r w:rsidR="007E7D7F">
        <w:t xml:space="preserve"> (</w:t>
      </w:r>
      <w:r w:rsidR="00046B03">
        <w:t xml:space="preserve">18 September 2019) </w:t>
      </w:r>
      <w:r w:rsidR="00FD7268">
        <w:t>[28].</w:t>
      </w:r>
    </w:p>
  </w:endnote>
  <w:endnote w:id="36">
    <w:p w14:paraId="568B4F6F" w14:textId="77777777" w:rsidR="000976CF" w:rsidRPr="00CD2202" w:rsidRDefault="000976CF" w:rsidP="000976CF">
      <w:pPr>
        <w:pStyle w:val="EndnoteText"/>
        <w:rPr>
          <w:lang w:val="en-GB"/>
        </w:rPr>
      </w:pPr>
      <w:r w:rsidRPr="006033F3">
        <w:rPr>
          <w:vertAlign w:val="superscript"/>
          <w:lang w:val="en-GB"/>
        </w:rPr>
        <w:endnoteRef/>
      </w:r>
      <w:r w:rsidRPr="00E540B7">
        <w:rPr>
          <w:lang w:val="en-GB"/>
        </w:rPr>
        <w:t xml:space="preserve"> Bollier, A-M et al, ‘Attitudes Matter: Findings from a National Survey of Community Attitudes Toward People with Disability in Australia’ </w:t>
      </w:r>
      <w:r>
        <w:rPr>
          <w:lang w:val="en-GB"/>
        </w:rPr>
        <w:t>(2021)</w:t>
      </w:r>
      <w:r w:rsidRPr="00E540B7">
        <w:rPr>
          <w:lang w:val="en-GB"/>
        </w:rPr>
        <w:t xml:space="preserve"> </w:t>
      </w:r>
      <w:r w:rsidRPr="009621BE">
        <w:rPr>
          <w:i/>
          <w:lang w:val="en-GB"/>
        </w:rPr>
        <w:t>Centre of Research Excellence in Disability and Health, The University of Melbourne</w:t>
      </w:r>
      <w:r w:rsidRPr="00E540B7">
        <w:rPr>
          <w:lang w:val="en-GB"/>
        </w:rPr>
        <w:t xml:space="preserve"> </w:t>
      </w:r>
      <w:r>
        <w:rPr>
          <w:lang w:val="en-GB"/>
        </w:rPr>
        <w:t>&lt;</w:t>
      </w:r>
      <w:hyperlink r:id="rId3" w:history="1">
        <w:r>
          <w:rPr>
            <w:rStyle w:val="Hyperlink"/>
          </w:rPr>
          <w:t>Community Attitudes towards People with Disability – National Survey results – CRE-DH (credh.org.au)</w:t>
        </w:r>
      </w:hyperlink>
      <w:r>
        <w:rPr>
          <w:lang w:val="en-GB"/>
        </w:rPr>
        <w:t>&gt;.</w:t>
      </w:r>
    </w:p>
  </w:endnote>
  <w:endnote w:id="37">
    <w:p w14:paraId="295B3333" w14:textId="3D8B0059" w:rsidR="00433C68" w:rsidRPr="008215A9" w:rsidRDefault="00433C68" w:rsidP="00433C68">
      <w:pPr>
        <w:pStyle w:val="EndnoteText"/>
        <w:rPr>
          <w:lang w:val="en-GB"/>
        </w:rPr>
      </w:pPr>
      <w:r>
        <w:rPr>
          <w:rStyle w:val="EndnoteReference"/>
        </w:rPr>
        <w:endnoteRef/>
      </w:r>
      <w:r>
        <w:t xml:space="preserve"> </w:t>
      </w:r>
      <w:r w:rsidR="00B76840">
        <w:rPr>
          <w:lang w:val="en-GB"/>
        </w:rPr>
        <w:t>I</w:t>
      </w:r>
      <w:r w:rsidR="00BB4D53">
        <w:rPr>
          <w:lang w:val="en-GB"/>
        </w:rPr>
        <w:t xml:space="preserve">bid </w:t>
      </w:r>
      <w:r>
        <w:rPr>
          <w:lang w:val="en-GB"/>
        </w:rPr>
        <w:t>5</w:t>
      </w:r>
      <w:r w:rsidR="00CB638F">
        <w:rPr>
          <w:lang w:val="en-GB"/>
        </w:rPr>
        <w:t>.</w:t>
      </w:r>
    </w:p>
  </w:endnote>
  <w:endnote w:id="38">
    <w:p w14:paraId="2AC7EFA4" w14:textId="7024B3E2" w:rsidR="00433C68" w:rsidRPr="008215A9" w:rsidRDefault="00433C68" w:rsidP="00433C68">
      <w:pPr>
        <w:pStyle w:val="EndnoteText"/>
        <w:rPr>
          <w:lang w:val="en-GB"/>
        </w:rPr>
      </w:pPr>
      <w:r>
        <w:rPr>
          <w:rStyle w:val="EndnoteReference"/>
        </w:rPr>
        <w:endnoteRef/>
      </w:r>
      <w:r>
        <w:t xml:space="preserve"> </w:t>
      </w:r>
      <w:r w:rsidR="00BB4D53">
        <w:rPr>
          <w:lang w:val="en-GB"/>
        </w:rPr>
        <w:t>Ibid</w:t>
      </w:r>
      <w:r>
        <w:rPr>
          <w:lang w:val="en-GB"/>
        </w:rPr>
        <w:t xml:space="preserve"> 16</w:t>
      </w:r>
      <w:r w:rsidR="00CB638F">
        <w:rPr>
          <w:lang w:val="en-GB"/>
        </w:rPr>
        <w:t>.</w:t>
      </w:r>
    </w:p>
  </w:endnote>
  <w:endnote w:id="39">
    <w:p w14:paraId="53411E53" w14:textId="4B15D558" w:rsidR="00433C68" w:rsidRPr="008215A9" w:rsidRDefault="00433C68" w:rsidP="00433C68">
      <w:pPr>
        <w:pStyle w:val="EndnoteText"/>
        <w:rPr>
          <w:lang w:val="en-GB"/>
        </w:rPr>
      </w:pPr>
      <w:r>
        <w:rPr>
          <w:rStyle w:val="EndnoteReference"/>
        </w:rPr>
        <w:endnoteRef/>
      </w:r>
      <w:r>
        <w:t xml:space="preserve"> </w:t>
      </w:r>
      <w:r w:rsidR="00113CED">
        <w:rPr>
          <w:lang w:val="en-GB"/>
        </w:rPr>
        <w:t>Ibid</w:t>
      </w:r>
      <w:r w:rsidR="00CB638F">
        <w:rPr>
          <w:lang w:val="en-GB"/>
        </w:rPr>
        <w:t>.</w:t>
      </w:r>
    </w:p>
  </w:endnote>
  <w:endnote w:id="40">
    <w:p w14:paraId="04353564" w14:textId="1FA66EB5" w:rsidR="00433C68" w:rsidRPr="008215A9" w:rsidRDefault="00433C68" w:rsidP="00433C68">
      <w:pPr>
        <w:pStyle w:val="EndnoteText"/>
        <w:rPr>
          <w:lang w:val="en-GB"/>
        </w:rPr>
      </w:pPr>
      <w:r>
        <w:rPr>
          <w:rStyle w:val="EndnoteReference"/>
        </w:rPr>
        <w:endnoteRef/>
      </w:r>
      <w:r>
        <w:t xml:space="preserve"> </w:t>
      </w:r>
      <w:r w:rsidR="00113CED">
        <w:rPr>
          <w:lang w:val="en-GB"/>
        </w:rPr>
        <w:t xml:space="preserve">Ibid </w:t>
      </w:r>
      <w:r>
        <w:rPr>
          <w:lang w:val="en-GB"/>
        </w:rPr>
        <w:t>24</w:t>
      </w:r>
      <w:r w:rsidR="00CB638F">
        <w:rPr>
          <w:lang w:val="en-GB"/>
        </w:rPr>
        <w:t>.</w:t>
      </w:r>
    </w:p>
  </w:endnote>
  <w:endnote w:id="41">
    <w:p w14:paraId="2709427B" w14:textId="533424EC" w:rsidR="00F157A2" w:rsidRDefault="00F157A2">
      <w:pPr>
        <w:pStyle w:val="EndnoteText"/>
      </w:pPr>
      <w:r>
        <w:rPr>
          <w:rStyle w:val="EndnoteReference"/>
        </w:rPr>
        <w:endnoteRef/>
      </w:r>
      <w:r>
        <w:t xml:space="preserve"> </w:t>
      </w:r>
      <w:r w:rsidR="006F28BE">
        <w:t>CRPD Committee concluding observations (n 15).</w:t>
      </w:r>
    </w:p>
  </w:endnote>
  <w:endnote w:id="42">
    <w:p w14:paraId="4542FF5E" w14:textId="4E16AD15" w:rsidR="005303E6" w:rsidRPr="002D5BBA" w:rsidRDefault="005303E6">
      <w:pPr>
        <w:pStyle w:val="EndnoteText"/>
      </w:pPr>
      <w:r>
        <w:rPr>
          <w:rStyle w:val="EndnoteReference"/>
        </w:rPr>
        <w:endnoteRef/>
      </w:r>
      <w:r>
        <w:t xml:space="preserve"> </w:t>
      </w:r>
      <w:r w:rsidR="00944FE7" w:rsidRPr="005B75E9">
        <w:t xml:space="preserve">Department of Social Services, Commonwealth of Australia, </w:t>
      </w:r>
      <w:r w:rsidR="00BB05E2">
        <w:rPr>
          <w:i/>
          <w:iCs/>
        </w:rPr>
        <w:t>Community Attitudes Targeted Action Plan</w:t>
      </w:r>
      <w:r w:rsidR="002D5BBA">
        <w:t>,</w:t>
      </w:r>
    </w:p>
  </w:endnote>
  <w:endnote w:id="43">
    <w:p w14:paraId="5D472D52" w14:textId="5488F495" w:rsidR="00BB0446" w:rsidRDefault="00BB0446">
      <w:pPr>
        <w:pStyle w:val="EndnoteText"/>
      </w:pPr>
      <w:r>
        <w:rPr>
          <w:rStyle w:val="EndnoteReference"/>
        </w:rPr>
        <w:endnoteRef/>
      </w:r>
      <w:r>
        <w:t xml:space="preserve"> </w:t>
      </w:r>
      <w:r w:rsidR="00122865">
        <w:rPr>
          <w:i/>
          <w:iCs/>
        </w:rPr>
        <w:t xml:space="preserve">Disability Standards for Accessible Public Transport 2002 </w:t>
      </w:r>
      <w:r w:rsidR="00122865">
        <w:t xml:space="preserve">(Cth); </w:t>
      </w:r>
      <w:r w:rsidR="00122865">
        <w:rPr>
          <w:i/>
          <w:iCs/>
        </w:rPr>
        <w:t xml:space="preserve">Disability Standards for Education 2005 </w:t>
      </w:r>
      <w:r w:rsidR="00122865">
        <w:t xml:space="preserve">(Cth); </w:t>
      </w:r>
      <w:r w:rsidR="008C7EF3" w:rsidRPr="008C7EF3">
        <w:rPr>
          <w:i/>
          <w:iCs/>
        </w:rPr>
        <w:t>Disability (Access to Premises – Buildings) Standards 2010</w:t>
      </w:r>
      <w:r w:rsidR="008C7EF3">
        <w:t xml:space="preserve"> (Cth)</w:t>
      </w:r>
      <w:r w:rsidR="00B976C1">
        <w:t>.</w:t>
      </w:r>
    </w:p>
  </w:endnote>
  <w:endnote w:id="44">
    <w:p w14:paraId="5414D5FD" w14:textId="7683F4B3" w:rsidR="007660E9" w:rsidRDefault="007660E9">
      <w:pPr>
        <w:pStyle w:val="EndnoteText"/>
      </w:pPr>
      <w:r>
        <w:rPr>
          <w:rStyle w:val="EndnoteReference"/>
        </w:rPr>
        <w:endnoteRef/>
      </w:r>
      <w:r>
        <w:t xml:space="preserve"> </w:t>
      </w:r>
      <w:r w:rsidRPr="007660E9">
        <w:t xml:space="preserve">Australian Institute of Health and Welfare, </w:t>
      </w:r>
      <w:r w:rsidR="003905B5">
        <w:t>Australian Government,</w:t>
      </w:r>
      <w:r w:rsidRPr="007660E9">
        <w:t xml:space="preserve"> </w:t>
      </w:r>
      <w:r w:rsidRPr="009621BE">
        <w:rPr>
          <w:i/>
        </w:rPr>
        <w:t>People with disability in Australia</w:t>
      </w:r>
      <w:r w:rsidR="003A7B31">
        <w:rPr>
          <w:i/>
          <w:iCs/>
        </w:rPr>
        <w:t xml:space="preserve"> 2022</w:t>
      </w:r>
      <w:r w:rsidR="00F85DA9">
        <w:t xml:space="preserve"> </w:t>
      </w:r>
      <w:r w:rsidRPr="007660E9">
        <w:t>(</w:t>
      </w:r>
      <w:r w:rsidR="00F85DA9">
        <w:t>Report</w:t>
      </w:r>
      <w:r w:rsidR="00A165CA">
        <w:t xml:space="preserve"> </w:t>
      </w:r>
      <w:r w:rsidR="007C46E6">
        <w:t xml:space="preserve">Catalogue No DIS </w:t>
      </w:r>
      <w:r w:rsidR="00AE5C0A">
        <w:t>72,</w:t>
      </w:r>
      <w:r w:rsidR="00F85DA9">
        <w:t xml:space="preserve"> </w:t>
      </w:r>
      <w:r w:rsidR="0075350F">
        <w:t>5</w:t>
      </w:r>
      <w:r w:rsidRPr="007660E9">
        <w:t xml:space="preserve"> </w:t>
      </w:r>
      <w:r w:rsidR="0075350F">
        <w:t>July 2022</w:t>
      </w:r>
      <w:r w:rsidRPr="007660E9">
        <w:t xml:space="preserve">) </w:t>
      </w:r>
      <w:r w:rsidR="0096310A">
        <w:t>204</w:t>
      </w:r>
      <w:r w:rsidR="00B976C1">
        <w:t>.</w:t>
      </w:r>
    </w:p>
  </w:endnote>
  <w:endnote w:id="45">
    <w:p w14:paraId="62FABCFC" w14:textId="001B6C4D" w:rsidR="007660E9" w:rsidRDefault="007660E9">
      <w:pPr>
        <w:pStyle w:val="EndnoteText"/>
      </w:pPr>
      <w:r>
        <w:rPr>
          <w:rStyle w:val="EndnoteReference"/>
        </w:rPr>
        <w:endnoteRef/>
      </w:r>
      <w:r>
        <w:t xml:space="preserve"> </w:t>
      </w:r>
      <w:r w:rsidR="00287827" w:rsidRPr="00287827">
        <w:t xml:space="preserve">Ilan Wiesel, </w:t>
      </w:r>
      <w:r w:rsidR="00BC7110">
        <w:t xml:space="preserve">Submission </w:t>
      </w:r>
      <w:r w:rsidR="00351413">
        <w:t>to Australian Building Codes Board RIS</w:t>
      </w:r>
      <w:r w:rsidR="00024E2A">
        <w:t xml:space="preserve">, </w:t>
      </w:r>
      <w:r w:rsidR="00287827" w:rsidRPr="005049D1">
        <w:rPr>
          <w:i/>
          <w:iCs/>
        </w:rPr>
        <w:t>Lived experience and social, health and economic impacts of</w:t>
      </w:r>
      <w:r w:rsidR="001D33CA" w:rsidRPr="005049D1">
        <w:rPr>
          <w:i/>
          <w:iCs/>
        </w:rPr>
        <w:t xml:space="preserve"> </w:t>
      </w:r>
      <w:r w:rsidR="00287827" w:rsidRPr="005049D1">
        <w:rPr>
          <w:i/>
          <w:iCs/>
        </w:rPr>
        <w:t>inaccessible housing</w:t>
      </w:r>
      <w:r w:rsidR="00BC7110">
        <w:t xml:space="preserve"> </w:t>
      </w:r>
      <w:r w:rsidR="00287827" w:rsidRPr="00287827">
        <w:t>(</w:t>
      </w:r>
      <w:r w:rsidR="00DC7723">
        <w:t>University of Melbourne,</w:t>
      </w:r>
      <w:r w:rsidR="006C57F2">
        <w:t xml:space="preserve"> </w:t>
      </w:r>
      <w:r w:rsidR="00A57D0C">
        <w:t xml:space="preserve">31 </w:t>
      </w:r>
      <w:r w:rsidR="00287827" w:rsidRPr="00287827">
        <w:t>August 2020) 5</w:t>
      </w:r>
      <w:r w:rsidR="00FB1534">
        <w:t>.</w:t>
      </w:r>
    </w:p>
  </w:endnote>
  <w:endnote w:id="46">
    <w:p w14:paraId="7DA00600" w14:textId="014A29A1" w:rsidR="00880A21" w:rsidRPr="00880A21" w:rsidRDefault="00880A21">
      <w:pPr>
        <w:pStyle w:val="EndnoteText"/>
      </w:pPr>
      <w:r>
        <w:rPr>
          <w:rStyle w:val="EndnoteReference"/>
        </w:rPr>
        <w:endnoteRef/>
      </w:r>
      <w:r>
        <w:t xml:space="preserve"> </w:t>
      </w:r>
      <w:r w:rsidRPr="001E5AF0">
        <w:t>OECD, ‘How’s life? Measuring well-being’</w:t>
      </w:r>
      <w:r w:rsidR="007F7E1A">
        <w:t xml:space="preserve"> (2020)</w:t>
      </w:r>
      <w:r w:rsidRPr="001E5AF0">
        <w:t>, </w:t>
      </w:r>
      <w:r>
        <w:t>&lt;</w:t>
      </w:r>
      <w:hyperlink r:id="rId4" w:history="1">
        <w:r w:rsidR="007F7E1A" w:rsidRPr="001E5AF0">
          <w:rPr>
            <w:rStyle w:val="Hyperlink"/>
          </w:rPr>
          <w:t>https://www.oecd-ilibrary.org</w:t>
        </w:r>
      </w:hyperlink>
      <w:r>
        <w:t>&gt;</w:t>
      </w:r>
      <w:r w:rsidR="007B1136">
        <w:t>.</w:t>
      </w:r>
    </w:p>
  </w:endnote>
  <w:endnote w:id="47">
    <w:p w14:paraId="0E7F37EB" w14:textId="0E9880FD" w:rsidR="009F1FF4" w:rsidRPr="001E5AF0" w:rsidRDefault="009F1FF4">
      <w:pPr>
        <w:pStyle w:val="EndnoteText"/>
        <w:rPr>
          <w:lang w:val="en-GB"/>
        </w:rPr>
      </w:pPr>
      <w:r>
        <w:rPr>
          <w:rStyle w:val="EndnoteReference"/>
        </w:rPr>
        <w:endnoteRef/>
      </w:r>
      <w:r>
        <w:t xml:space="preserve"> </w:t>
      </w:r>
      <w:r w:rsidR="008E3955" w:rsidRPr="008E3955">
        <w:t xml:space="preserve">Roys M, Davidson M, Nicol S, Ormandy D and Ambrose </w:t>
      </w:r>
      <w:r w:rsidR="008E3955" w:rsidRPr="001E5AF0">
        <w:rPr>
          <w:i/>
          <w:iCs/>
        </w:rPr>
        <w:t>P The real cost of poor housing</w:t>
      </w:r>
      <w:r w:rsidR="008E3955">
        <w:t xml:space="preserve"> (</w:t>
      </w:r>
      <w:r w:rsidR="008E3955" w:rsidRPr="008E3955">
        <w:t>2010</w:t>
      </w:r>
      <w:r w:rsidR="008E3955">
        <w:t>)</w:t>
      </w:r>
      <w:r w:rsidR="008E3955" w:rsidRPr="008E3955">
        <w:t>,</w:t>
      </w:r>
    </w:p>
  </w:endnote>
  <w:endnote w:id="48">
    <w:p w14:paraId="3396760F" w14:textId="66BDDB77" w:rsidR="00CD3F72" w:rsidRDefault="00CD3F72">
      <w:pPr>
        <w:pStyle w:val="EndnoteText"/>
      </w:pPr>
      <w:r>
        <w:rPr>
          <w:rStyle w:val="EndnoteReference"/>
        </w:rPr>
        <w:endnoteRef/>
      </w:r>
      <w:r>
        <w:t xml:space="preserve"> </w:t>
      </w:r>
      <w:r w:rsidR="002B628C">
        <w:t xml:space="preserve">Department of Social Services, Commonwealth of Australia, </w:t>
      </w:r>
      <w:r w:rsidR="002B628C" w:rsidRPr="002B628C">
        <w:rPr>
          <w:i/>
          <w:iCs/>
        </w:rPr>
        <w:t xml:space="preserve">National </w:t>
      </w:r>
      <w:r w:rsidR="009B78C8" w:rsidRPr="002B628C">
        <w:rPr>
          <w:i/>
          <w:iCs/>
        </w:rPr>
        <w:t xml:space="preserve">Disability Strategy </w:t>
      </w:r>
      <w:r w:rsidR="00460786" w:rsidRPr="002B628C">
        <w:rPr>
          <w:i/>
          <w:iCs/>
        </w:rPr>
        <w:t xml:space="preserve">2010 </w:t>
      </w:r>
      <w:r w:rsidR="007025DF" w:rsidRPr="002B628C">
        <w:rPr>
          <w:i/>
          <w:iCs/>
        </w:rPr>
        <w:t>–</w:t>
      </w:r>
      <w:r w:rsidR="00460786" w:rsidRPr="002B628C">
        <w:rPr>
          <w:i/>
          <w:iCs/>
        </w:rPr>
        <w:t xml:space="preserve"> 2020</w:t>
      </w:r>
      <w:r w:rsidR="002B628C">
        <w:rPr>
          <w:i/>
          <w:iCs/>
        </w:rPr>
        <w:t xml:space="preserve"> </w:t>
      </w:r>
      <w:r w:rsidR="002B628C">
        <w:t xml:space="preserve">(2011) </w:t>
      </w:r>
      <w:r w:rsidR="007025DF">
        <w:t>34</w:t>
      </w:r>
      <w:r w:rsidR="00B976C1">
        <w:t>.</w:t>
      </w:r>
    </w:p>
  </w:endnote>
  <w:endnote w:id="49">
    <w:p w14:paraId="73551F2F" w14:textId="371BE938" w:rsidR="00C54D9F" w:rsidRDefault="00C54D9F">
      <w:pPr>
        <w:pStyle w:val="EndnoteText"/>
      </w:pPr>
      <w:r>
        <w:rPr>
          <w:rStyle w:val="EndnoteReference"/>
        </w:rPr>
        <w:endnoteRef/>
      </w:r>
      <w:r>
        <w:t xml:space="preserve"> </w:t>
      </w:r>
      <w:r w:rsidRPr="00C54D9F">
        <w:t xml:space="preserve">Australian Building Codes Board, </w:t>
      </w:r>
      <w:r w:rsidR="00460786" w:rsidRPr="00700FB0">
        <w:rPr>
          <w:i/>
          <w:iCs/>
        </w:rPr>
        <w:t>Accessible</w:t>
      </w:r>
      <w:r w:rsidRPr="00700FB0">
        <w:rPr>
          <w:i/>
          <w:iCs/>
        </w:rPr>
        <w:t xml:space="preserve"> housing: Options Paper</w:t>
      </w:r>
      <w:r w:rsidRPr="00C54D9F">
        <w:t xml:space="preserve"> (September 2018) 10</w:t>
      </w:r>
      <w:r w:rsidR="007B1136">
        <w:t>.</w:t>
      </w:r>
      <w:r w:rsidR="00584B90">
        <w:t xml:space="preserve"> </w:t>
      </w:r>
    </w:p>
  </w:endnote>
  <w:endnote w:id="50">
    <w:p w14:paraId="0A003944" w14:textId="559BFB94" w:rsidR="003C505C" w:rsidRDefault="003C505C">
      <w:pPr>
        <w:pStyle w:val="EndnoteText"/>
      </w:pPr>
      <w:r>
        <w:rPr>
          <w:rStyle w:val="EndnoteReference"/>
        </w:rPr>
        <w:endnoteRef/>
      </w:r>
      <w:r>
        <w:t xml:space="preserve"> Ron McCallum, ‘The United Nations Convention on the Rights of Persons with Disabilities: An Assessment of Australia’s Level of Compliance’ (Research Report, </w:t>
      </w:r>
      <w:r w:rsidRPr="00EB7ACE">
        <w:t>Royal Commission into Violence, Abuse, Neglect and Exploitation of People with Disability,</w:t>
      </w:r>
      <w:r>
        <w:t xml:space="preserve"> October 2020)</w:t>
      </w:r>
      <w:r w:rsidR="00FD3EE1">
        <w:t xml:space="preserve"> 46</w:t>
      </w:r>
      <w:r>
        <w:t>.</w:t>
      </w:r>
    </w:p>
  </w:endnote>
  <w:endnote w:id="51">
    <w:p w14:paraId="055C5BBC" w14:textId="28B395C7" w:rsidR="006E35D2" w:rsidRPr="00D05CA3" w:rsidRDefault="00E67856" w:rsidP="00B801FB">
      <w:pPr>
        <w:pStyle w:val="EndnoteText"/>
      </w:pPr>
      <w:r>
        <w:rPr>
          <w:rStyle w:val="EndnoteReference"/>
        </w:rPr>
        <w:endnoteRef/>
      </w:r>
      <w:r>
        <w:t xml:space="preserve"> </w:t>
      </w:r>
      <w:r w:rsidR="009468C7">
        <w:rPr>
          <w:i/>
          <w:iCs/>
        </w:rPr>
        <w:t xml:space="preserve">Convention on the </w:t>
      </w:r>
      <w:r w:rsidR="00796531">
        <w:rPr>
          <w:i/>
          <w:iCs/>
        </w:rPr>
        <w:t xml:space="preserve">Rights of Persons with Disabilities Declaration 2009 </w:t>
      </w:r>
      <w:r w:rsidR="00796531">
        <w:t>(</w:t>
      </w:r>
      <w:r w:rsidR="00460CD6">
        <w:t>Australia</w:t>
      </w:r>
      <w:r w:rsidR="00796531">
        <w:t>)</w:t>
      </w:r>
      <w:r w:rsidR="00177FC4">
        <w:t xml:space="preserve"> sch 2</w:t>
      </w:r>
      <w:r w:rsidR="00D226D7">
        <w:t xml:space="preserve">. </w:t>
      </w:r>
    </w:p>
  </w:endnote>
  <w:endnote w:id="52">
    <w:p w14:paraId="7A7DC2F6" w14:textId="39069640" w:rsidR="00306D70" w:rsidRPr="00555482" w:rsidRDefault="00306D70" w:rsidP="00306D70">
      <w:pPr>
        <w:pStyle w:val="EndnoteText"/>
        <w:rPr>
          <w:lang w:val="en-GB"/>
        </w:rPr>
      </w:pPr>
      <w:r>
        <w:rPr>
          <w:rStyle w:val="EndnoteReference"/>
        </w:rPr>
        <w:endnoteRef/>
      </w:r>
      <w:r>
        <w:t xml:space="preserve"> </w:t>
      </w:r>
      <w:r w:rsidRPr="006033ED">
        <w:t>The Committee on the Rights of Persons with Disabilities</w:t>
      </w:r>
      <w:r w:rsidRPr="00772E6F">
        <w:rPr>
          <w:i/>
          <w:iCs/>
        </w:rPr>
        <w:t>, Concluding Observations on the Initial Report of Australia</w:t>
      </w:r>
      <w:r w:rsidRPr="006033ED">
        <w:t>, 10th sess, UN Doc CRPD/C/AUS/co/1</w:t>
      </w:r>
      <w:r w:rsidR="00432342">
        <w:t xml:space="preserve"> (</w:t>
      </w:r>
      <w:r w:rsidRPr="006033ED">
        <w:t>21 October 2013</w:t>
      </w:r>
      <w:r w:rsidR="00432342">
        <w:t>)</w:t>
      </w:r>
      <w:r w:rsidRPr="006033ED">
        <w:t xml:space="preserve"> [9].</w:t>
      </w:r>
    </w:p>
  </w:endnote>
  <w:endnote w:id="53">
    <w:p w14:paraId="46DB1F4D" w14:textId="632C6C6D" w:rsidR="00B7737C" w:rsidRPr="00FD689E" w:rsidRDefault="00B7737C" w:rsidP="00B7737C">
      <w:pPr>
        <w:pStyle w:val="EndnoteText"/>
      </w:pPr>
      <w:r>
        <w:rPr>
          <w:rStyle w:val="EndnoteReference"/>
        </w:rPr>
        <w:endnoteRef/>
      </w:r>
      <w:r>
        <w:t xml:space="preserve"> </w:t>
      </w:r>
      <w:r w:rsidR="0098595E">
        <w:t xml:space="preserve">CRPD Committee concluding observations (n 15) </w:t>
      </w:r>
      <w:r>
        <w:t xml:space="preserve">[24].  </w:t>
      </w:r>
    </w:p>
  </w:endnote>
  <w:endnote w:id="54">
    <w:p w14:paraId="6DE8C694" w14:textId="616AD8D3" w:rsidR="006C6F85" w:rsidRPr="0098595E" w:rsidRDefault="006C6F85">
      <w:pPr>
        <w:pStyle w:val="EndnoteText"/>
        <w:rPr>
          <w:b/>
          <w:bCs/>
        </w:rPr>
      </w:pPr>
      <w:r w:rsidRPr="002C3392">
        <w:rPr>
          <w:rStyle w:val="EndnoteReference"/>
        </w:rPr>
        <w:endnoteRef/>
      </w:r>
      <w:r w:rsidR="002C3392" w:rsidRPr="002C3392">
        <w:t xml:space="preserve"> Attorney-General's Department, Commonwealth</w:t>
      </w:r>
      <w:r w:rsidR="00EB7ACE">
        <w:t xml:space="preserve"> of Australia</w:t>
      </w:r>
      <w:r w:rsidR="002C3392" w:rsidRPr="00490697">
        <w:rPr>
          <w:i/>
          <w:iCs/>
        </w:rPr>
        <w:t>, Combined Second and Third Periodic Reports Submitted by Australia under article 35 of the Convention</w:t>
      </w:r>
      <w:r w:rsidR="002C3392" w:rsidRPr="002C3392">
        <w:t>, UN Doc CRPD/C/Aus/2-3</w:t>
      </w:r>
      <w:r w:rsidR="0025057C">
        <w:t xml:space="preserve"> (</w:t>
      </w:r>
      <w:r w:rsidR="002C3392" w:rsidRPr="002C3392">
        <w:t>7 September 2018</w:t>
      </w:r>
      <w:r w:rsidR="0025057C">
        <w:t xml:space="preserve">) </w:t>
      </w:r>
      <w:r w:rsidR="002C3392" w:rsidRPr="002C3392">
        <w:t>[16] and [147].</w:t>
      </w:r>
    </w:p>
  </w:endnote>
  <w:endnote w:id="55">
    <w:p w14:paraId="3B21AEC4" w14:textId="1729BAFB" w:rsidR="00D938CB" w:rsidRDefault="00D938CB">
      <w:pPr>
        <w:pStyle w:val="EndnoteText"/>
      </w:pPr>
      <w:r w:rsidRPr="008F40DD">
        <w:rPr>
          <w:rStyle w:val="EndnoteReference"/>
        </w:rPr>
        <w:endnoteRef/>
      </w:r>
      <w:r w:rsidRPr="008F40DD">
        <w:t xml:space="preserve"> </w:t>
      </w:r>
      <w:r w:rsidR="00895525" w:rsidRPr="00895525">
        <w:t>Transcript</w:t>
      </w:r>
      <w:r w:rsidR="00895525" w:rsidRPr="00F82484">
        <w:t xml:space="preserve"> of </w:t>
      </w:r>
      <w:r w:rsidR="00895525">
        <w:t>Proceedings</w:t>
      </w:r>
      <w:r w:rsidR="00895525" w:rsidRPr="00F82484">
        <w:t xml:space="preserve">, </w:t>
      </w:r>
      <w:r w:rsidR="00895525">
        <w:rPr>
          <w:i/>
          <w:iCs/>
        </w:rPr>
        <w:t xml:space="preserve">Royal Commission into Violence, Abuse, Neglect </w:t>
      </w:r>
      <w:r w:rsidR="00895525" w:rsidRPr="00895525">
        <w:rPr>
          <w:i/>
          <w:iCs/>
        </w:rPr>
        <w:t>and Exploitation of People with Disability (</w:t>
      </w:r>
      <w:r w:rsidR="003B0A11" w:rsidRPr="008F40DD">
        <w:t>Public Hearing 31, Monday 12 December 2022</w:t>
      </w:r>
      <w:r w:rsidR="00895525" w:rsidRPr="008F40DD">
        <w:t xml:space="preserve">) </w:t>
      </w:r>
      <w:r w:rsidR="003B0A11" w:rsidRPr="008F40DD">
        <w:t>54</w:t>
      </w:r>
      <w:r w:rsidR="00895525" w:rsidRPr="008F40DD">
        <w:t xml:space="preserve"> (Gerard Quinn)</w:t>
      </w:r>
      <w:r w:rsidR="003B0A11" w:rsidRPr="008F40DD">
        <w:t>.</w:t>
      </w:r>
    </w:p>
  </w:endnote>
  <w:endnote w:id="56">
    <w:p w14:paraId="7DA2BE4A" w14:textId="67A07892" w:rsidR="00ED7E05" w:rsidRDefault="00ED7E05" w:rsidP="00ED7E05">
      <w:pPr>
        <w:pStyle w:val="EndnoteText"/>
      </w:pPr>
      <w:r>
        <w:rPr>
          <w:rStyle w:val="EndnoteReference"/>
        </w:rPr>
        <w:endnoteRef/>
      </w:r>
      <w:r>
        <w:t xml:space="preserve"> </w:t>
      </w:r>
      <w:r w:rsidR="0014302E">
        <w:t>Ron McCallum</w:t>
      </w:r>
      <w:r w:rsidR="00BC6B44">
        <w:t>, ‘</w:t>
      </w:r>
      <w:r w:rsidR="0014302E">
        <w:t xml:space="preserve">The United Nations </w:t>
      </w:r>
      <w:r w:rsidR="00BC6B44">
        <w:t xml:space="preserve">Convention on the Rights of Persons with Disabilities: </w:t>
      </w:r>
      <w:r w:rsidR="0014302E">
        <w:t>An Assessment of Australia’s Level of Compliance</w:t>
      </w:r>
      <w:r w:rsidR="00586619">
        <w:t>’</w:t>
      </w:r>
      <w:r w:rsidR="00BC6B44">
        <w:t xml:space="preserve"> (Research Report, </w:t>
      </w:r>
      <w:r w:rsidR="00BC6B44" w:rsidRPr="00EB7ACE">
        <w:t>Royal Commission into Violence, Abuse, Neglect and Exploitation of People with Disability,</w:t>
      </w:r>
      <w:r w:rsidR="00BC6B44">
        <w:t xml:space="preserve"> </w:t>
      </w:r>
      <w:r w:rsidR="0014302E">
        <w:t>October</w:t>
      </w:r>
      <w:r w:rsidR="00BC6B44">
        <w:t xml:space="preserve"> 2020) </w:t>
      </w:r>
      <w:r w:rsidR="0014302E">
        <w:t>54</w:t>
      </w:r>
      <w:r w:rsidR="007B1136">
        <w:t>.</w:t>
      </w:r>
    </w:p>
  </w:endnote>
  <w:endnote w:id="57">
    <w:p w14:paraId="20DD2D60" w14:textId="1E41C8B1" w:rsidR="00D4463B" w:rsidRPr="007F42FC" w:rsidRDefault="00D4463B" w:rsidP="00D4463B">
      <w:pPr>
        <w:pStyle w:val="EndnoteText"/>
        <w:rPr>
          <w:b/>
          <w:bCs/>
        </w:rPr>
      </w:pPr>
      <w:r>
        <w:rPr>
          <w:rStyle w:val="EndnoteReference"/>
        </w:rPr>
        <w:endnoteRef/>
      </w:r>
      <w:r>
        <w:t xml:space="preserve"> </w:t>
      </w:r>
      <w:r w:rsidR="00393243" w:rsidRPr="009621BE">
        <w:t>Australia Law Reform Commission</w:t>
      </w:r>
      <w:r w:rsidR="001E5DA0">
        <w:t xml:space="preserve">, </w:t>
      </w:r>
      <w:r w:rsidR="00D85920" w:rsidRPr="00D85920">
        <w:rPr>
          <w:i/>
          <w:iCs/>
        </w:rPr>
        <w:t>Final Report:</w:t>
      </w:r>
      <w:r w:rsidR="00D85920">
        <w:t xml:space="preserve"> </w:t>
      </w:r>
      <w:r w:rsidR="00393243" w:rsidRPr="009621BE">
        <w:rPr>
          <w:i/>
        </w:rPr>
        <w:t xml:space="preserve">Equality, Capacity and Disability in Commonwealth Laws </w:t>
      </w:r>
      <w:r w:rsidR="00393243" w:rsidRPr="009621BE">
        <w:t xml:space="preserve">(Report </w:t>
      </w:r>
      <w:r w:rsidR="00A3426B">
        <w:t xml:space="preserve">No </w:t>
      </w:r>
      <w:r w:rsidR="00393243" w:rsidRPr="009621BE">
        <w:t>124</w:t>
      </w:r>
      <w:r w:rsidR="000448EA">
        <w:t xml:space="preserve">, </w:t>
      </w:r>
      <w:r w:rsidR="00AE1EA8">
        <w:t>August 2014</w:t>
      </w:r>
      <w:r w:rsidR="00393243" w:rsidRPr="009621BE">
        <w:t>)</w:t>
      </w:r>
      <w:r w:rsidR="005079C9">
        <w:t xml:space="preserve"> (‘</w:t>
      </w:r>
      <w:r w:rsidR="005079C9" w:rsidRPr="00D85920">
        <w:rPr>
          <w:i/>
          <w:iCs/>
        </w:rPr>
        <w:t>Final Report:</w:t>
      </w:r>
      <w:r w:rsidR="005079C9">
        <w:t xml:space="preserve"> </w:t>
      </w:r>
      <w:r w:rsidR="005079C9" w:rsidRPr="009621BE">
        <w:rPr>
          <w:i/>
        </w:rPr>
        <w:t>Equality, Capacity and Disability in Commonwealth Laws</w:t>
      </w:r>
      <w:r w:rsidR="005079C9">
        <w:rPr>
          <w:iCs/>
        </w:rPr>
        <w:t>’</w:t>
      </w:r>
      <w:r w:rsidR="005079C9">
        <w:rPr>
          <w:i/>
        </w:rPr>
        <w:t>)</w:t>
      </w:r>
      <w:r w:rsidR="00AE1EA8">
        <w:t>.</w:t>
      </w:r>
    </w:p>
  </w:endnote>
  <w:endnote w:id="58">
    <w:p w14:paraId="3451487D" w14:textId="580F3050" w:rsidR="00D70CF6" w:rsidRPr="00E2339A" w:rsidRDefault="00D70CF6" w:rsidP="00D70CF6">
      <w:pPr>
        <w:pStyle w:val="EndnoteText"/>
      </w:pPr>
      <w:r>
        <w:rPr>
          <w:rStyle w:val="EndnoteReference"/>
        </w:rPr>
        <w:endnoteRef/>
      </w:r>
      <w:r>
        <w:t xml:space="preserve"> Committee on the Rights of Persons with Disabilities</w:t>
      </w:r>
      <w:r w:rsidR="001E29E9">
        <w:t xml:space="preserve">, </w:t>
      </w:r>
      <w:r>
        <w:rPr>
          <w:i/>
          <w:iCs/>
        </w:rPr>
        <w:t xml:space="preserve">General </w:t>
      </w:r>
      <w:r w:rsidR="00AA19BB">
        <w:rPr>
          <w:i/>
          <w:iCs/>
        </w:rPr>
        <w:t>C</w:t>
      </w:r>
      <w:r>
        <w:rPr>
          <w:i/>
          <w:iCs/>
        </w:rPr>
        <w:t>omment No 5</w:t>
      </w:r>
      <w:r w:rsidR="00AA19BB">
        <w:rPr>
          <w:i/>
          <w:iCs/>
        </w:rPr>
        <w:t xml:space="preserve">: </w:t>
      </w:r>
      <w:r w:rsidR="005F6E3A">
        <w:rPr>
          <w:i/>
          <w:iCs/>
        </w:rPr>
        <w:t>on living</w:t>
      </w:r>
      <w:r>
        <w:rPr>
          <w:i/>
          <w:iCs/>
        </w:rPr>
        <w:t xml:space="preserve"> independently and be</w:t>
      </w:r>
      <w:r w:rsidR="005F6E3A">
        <w:rPr>
          <w:i/>
          <w:iCs/>
        </w:rPr>
        <w:t>ing</w:t>
      </w:r>
      <w:r>
        <w:rPr>
          <w:i/>
          <w:iCs/>
        </w:rPr>
        <w:t xml:space="preserve"> included in the community</w:t>
      </w:r>
      <w:r w:rsidR="004163CA">
        <w:rPr>
          <w:i/>
          <w:iCs/>
        </w:rPr>
        <w:t>,</w:t>
      </w:r>
      <w:r w:rsidR="004163CA">
        <w:t xml:space="preserve"> UN Doc CRPD/C/GC/5 </w:t>
      </w:r>
      <w:r w:rsidR="00E2339A">
        <w:t>(27 October 2017)</w:t>
      </w:r>
      <w:r w:rsidR="005A088D">
        <w:t xml:space="preserve"> 12 [62].</w:t>
      </w:r>
    </w:p>
  </w:endnote>
  <w:endnote w:id="59">
    <w:p w14:paraId="2D56A832" w14:textId="698D93D4" w:rsidR="00D70CF6" w:rsidRPr="007517AB" w:rsidRDefault="00D70CF6" w:rsidP="00D70CF6">
      <w:pPr>
        <w:pStyle w:val="EndnoteText"/>
        <w:rPr>
          <w:b/>
          <w:bCs/>
        </w:rPr>
      </w:pPr>
      <w:r w:rsidRPr="00D8714D">
        <w:rPr>
          <w:rStyle w:val="EndnoteReference"/>
        </w:rPr>
        <w:endnoteRef/>
      </w:r>
      <w:r w:rsidRPr="00D8714D">
        <w:t xml:space="preserve"> </w:t>
      </w:r>
      <w:r w:rsidR="001E3851" w:rsidRPr="00D8714D">
        <w:rPr>
          <w:i/>
          <w:iCs/>
        </w:rPr>
        <w:t xml:space="preserve">United Nations </w:t>
      </w:r>
      <w:r w:rsidRPr="00D8714D">
        <w:rPr>
          <w:i/>
          <w:iCs/>
        </w:rPr>
        <w:t>Convention on the Rights of Persons with Disabilities,</w:t>
      </w:r>
      <w:r w:rsidRPr="00D8714D">
        <w:t xml:space="preserve"> </w:t>
      </w:r>
      <w:r w:rsidR="00AE2614" w:rsidRPr="00D8714D">
        <w:t xml:space="preserve">opened for signature </w:t>
      </w:r>
      <w:r w:rsidR="002F590D" w:rsidRPr="00D8714D">
        <w:t>30 March 2007</w:t>
      </w:r>
      <w:r w:rsidR="003C4EC2" w:rsidRPr="00D8714D">
        <w:t xml:space="preserve">, </w:t>
      </w:r>
      <w:r w:rsidR="003C4EC2" w:rsidRPr="00D8714D">
        <w:rPr>
          <w:lang w:val="en-GB"/>
        </w:rPr>
        <w:t>999 UNTS 3</w:t>
      </w:r>
      <w:r w:rsidR="00E842E9" w:rsidRPr="00D8714D">
        <w:rPr>
          <w:lang w:val="en-GB"/>
        </w:rPr>
        <w:t xml:space="preserve"> </w:t>
      </w:r>
      <w:r w:rsidR="00190C0D" w:rsidRPr="00D8714D">
        <w:t>(entered into for</w:t>
      </w:r>
      <w:r w:rsidR="0061560A" w:rsidRPr="00D8714D">
        <w:t xml:space="preserve">ce </w:t>
      </w:r>
      <w:r w:rsidR="00B95DF0" w:rsidRPr="00D8714D">
        <w:t>3 May</w:t>
      </w:r>
      <w:r w:rsidR="006372C2" w:rsidRPr="00D8714D">
        <w:t xml:space="preserve"> 2008</w:t>
      </w:r>
      <w:r w:rsidR="00190C0D" w:rsidRPr="00D8714D">
        <w:t xml:space="preserve">) </w:t>
      </w:r>
      <w:r w:rsidRPr="00D8714D">
        <w:t>Preamble</w:t>
      </w:r>
      <w:r w:rsidR="00A54AC7" w:rsidRPr="00D8714D">
        <w:t xml:space="preserve"> para </w:t>
      </w:r>
      <w:r w:rsidR="00EE378C" w:rsidRPr="00D8714D">
        <w:t>20</w:t>
      </w:r>
      <w:r w:rsidR="00FA66D1" w:rsidRPr="00D8714D">
        <w:t xml:space="preserve"> </w:t>
      </w:r>
      <w:r w:rsidR="00D8714D" w:rsidRPr="00D8714D">
        <w:t>(‘</w:t>
      </w:r>
      <w:r w:rsidR="00D8714D" w:rsidRPr="00D8714D">
        <w:rPr>
          <w:i/>
          <w:iCs/>
        </w:rPr>
        <w:t>CRPD</w:t>
      </w:r>
      <w:r w:rsidR="00D8714D" w:rsidRPr="00D8714D">
        <w:t xml:space="preserve">’) </w:t>
      </w:r>
      <w:r w:rsidR="00FA66D1" w:rsidRPr="00D8714D">
        <w:t>&lt;</w:t>
      </w:r>
      <w:hyperlink r:id="rId5" w:history="1">
        <w:r w:rsidR="00FA66D1" w:rsidRPr="00D8714D">
          <w:rPr>
            <w:rStyle w:val="Hyperlink"/>
          </w:rPr>
          <w:t>https://www.un.org/development/desa/disabilities/convention-on-the-rights-of-persons-with-disabilities/preamble.html</w:t>
        </w:r>
      </w:hyperlink>
      <w:r w:rsidR="00FA66D1" w:rsidRPr="00D8714D">
        <w:t xml:space="preserve">&gt;. </w:t>
      </w:r>
    </w:p>
  </w:endnote>
  <w:endnote w:id="60">
    <w:p w14:paraId="7131E1CA" w14:textId="7D69A924" w:rsidR="0008595E" w:rsidRPr="008215A9" w:rsidRDefault="0008595E">
      <w:pPr>
        <w:pStyle w:val="EndnoteText"/>
        <w:rPr>
          <w:lang w:val="en-GB"/>
        </w:rPr>
      </w:pPr>
      <w:r>
        <w:rPr>
          <w:rStyle w:val="EndnoteReference"/>
        </w:rPr>
        <w:endnoteRef/>
      </w:r>
      <w:r>
        <w:t xml:space="preserve"> </w:t>
      </w:r>
      <w:r>
        <w:rPr>
          <w:lang w:val="en-GB"/>
        </w:rPr>
        <w:t xml:space="preserve">Australian Human Rights Commission, </w:t>
      </w:r>
      <w:r w:rsidR="00A4722E">
        <w:rPr>
          <w:lang w:val="en-GB"/>
        </w:rPr>
        <w:t>‘</w:t>
      </w:r>
      <w:r>
        <w:rPr>
          <w:lang w:val="en-GB"/>
        </w:rPr>
        <w:t xml:space="preserve">Information Concerning Compliance with the </w:t>
      </w:r>
      <w:r w:rsidRPr="00215F82">
        <w:rPr>
          <w:i/>
          <w:iCs/>
          <w:lang w:val="en-GB"/>
        </w:rPr>
        <w:t>Convention on the Rights of Persons with Disabilities</w:t>
      </w:r>
      <w:r w:rsidR="008B3D84" w:rsidRPr="00215F82">
        <w:rPr>
          <w:i/>
          <w:iCs/>
          <w:lang w:val="en-GB"/>
        </w:rPr>
        <w:t>’</w:t>
      </w:r>
      <w:r>
        <w:rPr>
          <w:lang w:val="en-GB"/>
        </w:rPr>
        <w:t xml:space="preserve">, </w:t>
      </w:r>
      <w:r w:rsidR="00215F82">
        <w:rPr>
          <w:lang w:val="en-GB"/>
        </w:rPr>
        <w:t>Submissio</w:t>
      </w:r>
      <w:r w:rsidR="00BE69A9">
        <w:rPr>
          <w:lang w:val="en-GB"/>
        </w:rPr>
        <w:t xml:space="preserve">n to </w:t>
      </w:r>
      <w:r w:rsidR="00A111B7">
        <w:rPr>
          <w:lang w:val="en-GB"/>
        </w:rPr>
        <w:t>the United Nations Committee on the Rights of Persons with Disabilities</w:t>
      </w:r>
      <w:r w:rsidR="00D848DE">
        <w:rPr>
          <w:lang w:val="en-GB"/>
        </w:rPr>
        <w:t>,</w:t>
      </w:r>
      <w:r w:rsidR="00A35C8E">
        <w:rPr>
          <w:lang w:val="en-GB"/>
        </w:rPr>
        <w:t xml:space="preserve"> </w:t>
      </w:r>
      <w:r w:rsidR="004D3F98">
        <w:rPr>
          <w:lang w:val="en-GB"/>
        </w:rPr>
        <w:t xml:space="preserve">25 July 2019. </w:t>
      </w:r>
      <w:r w:rsidR="00D848DE" w:rsidRPr="008215A9">
        <w:rPr>
          <w:lang w:val="en-GB"/>
        </w:rPr>
        <w:t xml:space="preserve"> </w:t>
      </w:r>
    </w:p>
  </w:endnote>
  <w:endnote w:id="61">
    <w:p w14:paraId="37F34747" w14:textId="65EA4D24" w:rsidR="00150E00" w:rsidRPr="008215A9" w:rsidRDefault="00150E00" w:rsidP="00150E00">
      <w:pPr>
        <w:pStyle w:val="EndnoteText"/>
        <w:rPr>
          <w:lang w:val="en-GB"/>
        </w:rPr>
      </w:pPr>
      <w:r>
        <w:rPr>
          <w:rStyle w:val="EndnoteReference"/>
        </w:rPr>
        <w:endnoteRef/>
      </w:r>
      <w:r>
        <w:t xml:space="preserve"> </w:t>
      </w:r>
      <w:r>
        <w:rPr>
          <w:lang w:val="en-GB"/>
        </w:rPr>
        <w:t>Productivity Commission,</w:t>
      </w:r>
      <w:r w:rsidR="0092352A">
        <w:rPr>
          <w:lang w:val="en-GB"/>
        </w:rPr>
        <w:t xml:space="preserve"> Australian Government,</w:t>
      </w:r>
      <w:r>
        <w:rPr>
          <w:lang w:val="en-GB"/>
        </w:rPr>
        <w:t xml:space="preserve"> </w:t>
      </w:r>
      <w:r w:rsidRPr="00545D39">
        <w:rPr>
          <w:i/>
          <w:iCs/>
          <w:lang w:val="en-GB"/>
        </w:rPr>
        <w:t>In need of repair: The National Housing and Homelessness Agreement</w:t>
      </w:r>
      <w:r w:rsidR="00545D39">
        <w:rPr>
          <w:i/>
          <w:iCs/>
          <w:lang w:val="en-GB"/>
        </w:rPr>
        <w:t xml:space="preserve"> </w:t>
      </w:r>
      <w:r w:rsidR="00545D39">
        <w:rPr>
          <w:lang w:val="en-GB"/>
        </w:rPr>
        <w:t>(</w:t>
      </w:r>
      <w:r>
        <w:rPr>
          <w:lang w:val="en-GB"/>
        </w:rPr>
        <w:t>Stud</w:t>
      </w:r>
      <w:r w:rsidR="00545D39">
        <w:rPr>
          <w:lang w:val="en-GB"/>
        </w:rPr>
        <w:t>y Report</w:t>
      </w:r>
      <w:r>
        <w:rPr>
          <w:lang w:val="en-GB"/>
        </w:rPr>
        <w:t xml:space="preserve">, </w:t>
      </w:r>
      <w:r w:rsidR="001D6C7B">
        <w:rPr>
          <w:lang w:val="en-GB"/>
        </w:rPr>
        <w:t>August 2022)</w:t>
      </w:r>
      <w:r w:rsidR="007B1136">
        <w:rPr>
          <w:lang w:val="en-GB"/>
        </w:rPr>
        <w:t>.</w:t>
      </w:r>
    </w:p>
  </w:endnote>
  <w:endnote w:id="62">
    <w:p w14:paraId="5BA6F955" w14:textId="7E46A3AB" w:rsidR="00F42A30" w:rsidRPr="007104B3" w:rsidRDefault="00F42A30" w:rsidP="00F42A30">
      <w:pPr>
        <w:pStyle w:val="EndnoteText"/>
        <w:rPr>
          <w:rFonts w:cs="Open Sans"/>
        </w:rPr>
      </w:pPr>
      <w:r w:rsidRPr="007104B3">
        <w:rPr>
          <w:rStyle w:val="EndnoteReference"/>
          <w:rFonts w:cs="Open Sans"/>
        </w:rPr>
        <w:endnoteRef/>
      </w:r>
      <w:r w:rsidRPr="007104B3">
        <w:rPr>
          <w:rFonts w:cs="Open Sans"/>
        </w:rPr>
        <w:t xml:space="preserve"> </w:t>
      </w:r>
      <w:r w:rsidRPr="007104B3">
        <w:rPr>
          <w:rFonts w:cs="Open Sans"/>
        </w:rPr>
        <w:fldChar w:fldCharType="begin"/>
      </w:r>
      <w:r>
        <w:rPr>
          <w:rFonts w:cs="Open Sans"/>
        </w:rPr>
        <w:instrText xml:space="preserve"> ADDIN ZOTERO_ITEM CSL_CITATION {"citationID":"LAcv4Ge0","properties":{"formattedCitation":"Julian Trollor et al, \\uc0\\u8216{}Cause of Death and Potentially Avoidable Deaths in Australian Adults with Intellectual Disability Using Retrospective Linked Data\\uc0\\u8217{} (2017) 7(2) {\\i{}BMJ Open} e013489; Faculty of Medicine, The Department of Developmental Disability Neuropsychiatry 3DN, \\uc0\\u8216{}Health Inequality and People with Intellectual Disability - Research Summary\\uc0\\u8217{} (April 2019) &lt;http://www.nswcid.org.au/images/Advocacy/Research-Analysis-Health-Status-of-People-With-Intellectual-Disability.pdf&gt;.","plainCitation":"Julian Trollor et al, ‘Cause of Death and Potentially Avoidable Deaths in Australian Adults with Intellectual Disability Using Retrospective Linked Data’ (2017) 7(2) BMJ Open e013489; Faculty of Medicine, The Department of Developmental Disability Neuropsychiatry 3DN, ‘Health Inequality and People with Intellectual Disability - Research Summary’ (April 2019) &lt;http://www.nswcid.org.au/images/Advocacy/Research-Analysis-Health-Status-of-People-With-Intellectual-Disability.pdf&gt;.","noteIndex":100},"citationItems":[{"id":3688,"uris":["http://zotero.org/groups/1703699/items/8GGA43RL"],"uri":["http://zotero.org/groups/1703699/items/8GGA43RL"],"itemData":{"id":3688,"type":"article-journal","title":"Cause of death and potentially avoidable deaths in Australian adults with intellectual disability using retrospective linked data","container-title":"BMJ Open","page":"e013489","volume":"7","issue":"2","source":"search.library.nuigalway.ie","abstract":"To investigate mortality and its causes in adults over the age of 20 years with intellectual disability (ID).","DOI":"10.1136/bmjopen-2016-013489","ISSN":"2044-6055","language":"eng","author":[{"family":"Trollor","given":"Julian"},{"family":"Srasuebkul","given":"Preeyaporn"},{"family":"Xu","given":"Han"},{"family":"Howlett","given":"Sophie"}],"issued":{"date-parts":[["2017"]]}}},{"id":4601,"uris":["http://zotero.org/groups/1703699/items/9WWLQ2HZ"],"uri":["http://zotero.org/groups/1703699/items/9WWLQ2HZ"],"itemData":{"id":4601,"type":"report","title":"Health Inequality and People with Intellectual Disability - Research Summary","URL":"http://www.nswcid.org.au/images/Advocacy/Research-Analysis-Health-Status-of-People-With-Intellectual-Disability.pdf","author":[{"family":"Faculty of Medicine, The Department of Developmental Disability Neuropsychiatry 3DN","given":""}],"issued":{"date-parts":[["2019",4]]}}}],"schema":"https://github.com/citation-style-language/schema/raw/master/csl-citation.json"} </w:instrText>
      </w:r>
      <w:r w:rsidRPr="007104B3">
        <w:rPr>
          <w:rFonts w:cs="Open Sans"/>
        </w:rPr>
        <w:fldChar w:fldCharType="separate"/>
      </w:r>
      <w:r w:rsidRPr="007104B3">
        <w:rPr>
          <w:rFonts w:cs="Open Sans"/>
        </w:rPr>
        <w:t xml:space="preserve">Julian Trollor et al, ‘Cause of Death and Potentially Avoidable Deaths in Australian Adults with Intellectual Disability Using Retrospective Linked Data’ (2017) 7(2) </w:t>
      </w:r>
      <w:r w:rsidRPr="007104B3">
        <w:rPr>
          <w:rFonts w:cs="Open Sans"/>
          <w:i/>
          <w:iCs/>
        </w:rPr>
        <w:t>BMJ Open</w:t>
      </w:r>
      <w:r w:rsidRPr="007104B3">
        <w:rPr>
          <w:rFonts w:cs="Open Sans"/>
        </w:rPr>
        <w:t xml:space="preserve"> e013489; </w:t>
      </w:r>
      <w:r w:rsidR="00D67EB4">
        <w:rPr>
          <w:rFonts w:cs="Open Sans"/>
        </w:rPr>
        <w:t>Julian Trollor and Jac</w:t>
      </w:r>
      <w:r w:rsidR="00793F28">
        <w:rPr>
          <w:rFonts w:cs="Open Sans"/>
        </w:rPr>
        <w:t>queline Small</w:t>
      </w:r>
      <w:r w:rsidR="00DA5339">
        <w:rPr>
          <w:rFonts w:cs="Open Sans"/>
        </w:rPr>
        <w:t xml:space="preserve">, </w:t>
      </w:r>
      <w:r w:rsidR="00860F28" w:rsidRPr="00D01C83">
        <w:rPr>
          <w:rFonts w:cs="Open Sans"/>
        </w:rPr>
        <w:t>‘Health Inequality and People with Intellectual Disability</w:t>
      </w:r>
      <w:r w:rsidR="00026F0D">
        <w:rPr>
          <w:rFonts w:cs="Open Sans"/>
        </w:rPr>
        <w:t>' (Research Summary</w:t>
      </w:r>
      <w:r w:rsidR="00D85FFB">
        <w:rPr>
          <w:rFonts w:cs="Open Sans"/>
        </w:rPr>
        <w:t>,</w:t>
      </w:r>
      <w:r w:rsidR="00026F0D">
        <w:rPr>
          <w:rFonts w:cs="Open Sans"/>
        </w:rPr>
        <w:t xml:space="preserve"> </w:t>
      </w:r>
      <w:r w:rsidRPr="007104B3">
        <w:rPr>
          <w:rFonts w:cs="Open Sans"/>
        </w:rPr>
        <w:t xml:space="preserve">Faculty of Medicine, Department of Developmental Disability Neuropsychiatry 3DN, </w:t>
      </w:r>
      <w:r w:rsidR="00E2798C">
        <w:rPr>
          <w:rFonts w:cs="Open Sans"/>
        </w:rPr>
        <w:t>U</w:t>
      </w:r>
      <w:r w:rsidR="00274321">
        <w:rPr>
          <w:rFonts w:cs="Open Sans"/>
        </w:rPr>
        <w:t xml:space="preserve">niversity of New South Wales, </w:t>
      </w:r>
      <w:r w:rsidRPr="007104B3">
        <w:rPr>
          <w:rFonts w:cs="Open Sans"/>
        </w:rPr>
        <w:t>April 2019</w:t>
      </w:r>
      <w:r w:rsidRPr="00D01C83">
        <w:rPr>
          <w:rFonts w:cs="Open Sans"/>
        </w:rPr>
        <w:t>).</w:t>
      </w:r>
      <w:r w:rsidRPr="007104B3">
        <w:rPr>
          <w:rFonts w:cs="Open Sans"/>
        </w:rPr>
        <w:fldChar w:fldCharType="end"/>
      </w:r>
    </w:p>
  </w:endnote>
  <w:endnote w:id="63">
    <w:p w14:paraId="1ED0CA06" w14:textId="1C5546B2" w:rsidR="00301CE8" w:rsidRPr="00F70629" w:rsidRDefault="00301CE8" w:rsidP="00301CE8">
      <w:pPr>
        <w:pStyle w:val="EndnoteText"/>
        <w:rPr>
          <w:rFonts w:cs="Open Sans"/>
          <w:b/>
        </w:rPr>
      </w:pPr>
      <w:r w:rsidRPr="007104B3">
        <w:rPr>
          <w:rStyle w:val="EndnoteReference"/>
          <w:rFonts w:cs="Open Sans"/>
        </w:rPr>
        <w:endnoteRef/>
      </w:r>
      <w:r w:rsidRPr="007104B3">
        <w:rPr>
          <w:rFonts w:cs="Open Sans"/>
        </w:rPr>
        <w:t xml:space="preserve"> </w:t>
      </w:r>
      <w:r w:rsidR="00157433" w:rsidRPr="00157433">
        <w:rPr>
          <w:rFonts w:cs="Open Sans"/>
        </w:rPr>
        <w:t>Julian Trollor et al, ‘Cause of Death and Potentially Avoidable Deaths in Australian Adults with Intellectual Disability Using Retrospective Linked Data’ (2017) 7(2) BMJ Open e013489; Faculty of Medicine, The Department of Developmental Disability Neuropsychiatry 3DN, ‘Health Inequality and People with Intellectual Disability - Research Summary’ (April 2019)</w:t>
      </w:r>
      <w:r w:rsidR="007B1136">
        <w:rPr>
          <w:rFonts w:cs="Open Sans"/>
        </w:rPr>
        <w:t>.</w:t>
      </w:r>
      <w:r w:rsidR="007B1136" w:rsidRPr="00157433" w:rsidDel="007B1136">
        <w:rPr>
          <w:rFonts w:cs="Open Sans"/>
        </w:rPr>
        <w:t xml:space="preserve">            </w:t>
      </w:r>
      <w:r w:rsidR="00157433" w:rsidRPr="00157433">
        <w:rPr>
          <w:rFonts w:cs="Open Sans"/>
        </w:rPr>
        <w:t>.</w:t>
      </w:r>
    </w:p>
  </w:endnote>
  <w:endnote w:id="64">
    <w:p w14:paraId="55EBFE85" w14:textId="1CD49EBA" w:rsidR="001C0F78" w:rsidRPr="007104B3" w:rsidRDefault="001C0F78" w:rsidP="001C0F78">
      <w:pPr>
        <w:pStyle w:val="EndnoteText"/>
        <w:rPr>
          <w:rFonts w:cs="Open Sans"/>
        </w:rPr>
      </w:pPr>
      <w:r w:rsidRPr="007104B3">
        <w:rPr>
          <w:rStyle w:val="EndnoteReference"/>
          <w:rFonts w:cs="Open Sans"/>
        </w:rPr>
        <w:endnoteRef/>
      </w:r>
      <w:r w:rsidRPr="007104B3">
        <w:rPr>
          <w:rFonts w:cs="Open Sans"/>
        </w:rPr>
        <w:t xml:space="preserve"> </w:t>
      </w:r>
      <w:r w:rsidRPr="007104B3">
        <w:rPr>
          <w:rFonts w:cs="Open Sans"/>
        </w:rPr>
        <w:fldChar w:fldCharType="begin"/>
      </w:r>
      <w:r>
        <w:rPr>
          <w:rFonts w:cs="Open Sans"/>
        </w:rPr>
        <w:instrText xml:space="preserve"> ADDIN ZOTERO_ITEM CSL_CITATION {"citationID":"0L0nw6V7","properties":{"formattedCitation":"Australian Human Rights Commission, \\uc0\\u8216{}The Indicators of, and Impact of, Regional Inequality in Australian - Submission to the Senate Economics References Committee\\uc0\\u8217{} (Submission 33, 30 April 2018) &lt;https://www.aph.gov.au/DocumentStore.ashx?id=16515e83-f424-432f-ae02-ea62d338d2f0&amp;subId=565544&gt;.","plainCitation":"Australian Human Rights Commission, ‘The Indicators of, and Impact of, Regional Inequality in Australian - Submission to the Senate Economics References Committee’ (Submission 33, 30 April 2018) &lt;https://www.aph.gov.au/DocumentStore.ashx?id=16515e83-f424-432f-ae02-ea62d338d2f0&amp;subId=565544&gt;.","noteIndex":101},"citationItems":[{"id":4602,"uris":["http://zotero.org/groups/1703699/items/IIQUG9CQ"],"uri":["http://zotero.org/groups/1703699/items/IIQUG9CQ"],"itemData":{"id":4602,"type":"report","title":"The indicators of, and impact of, regional inequality in Australian - Submission to the Senate Economics References Committee","URL":"https://www.aph.gov.au/DocumentStore.ashx?id=16515e83-f424-432f-ae02-ea62d338d2f0&amp;subId=565544","number":"Submission 33","author":[{"family":"Australian Human Rights Commission","given":""}],"issued":{"date-parts":[["2018",4,30]]}}}],"schema":"https://github.com/citation-style-language/schema/raw/master/csl-citation.json"} </w:instrText>
      </w:r>
      <w:r w:rsidRPr="007104B3">
        <w:rPr>
          <w:rFonts w:cs="Open Sans"/>
        </w:rPr>
        <w:fldChar w:fldCharType="separate"/>
      </w:r>
      <w:r w:rsidRPr="007104B3">
        <w:rPr>
          <w:rFonts w:cs="Open Sans"/>
        </w:rPr>
        <w:t xml:space="preserve">Australian Human Rights Commission, </w:t>
      </w:r>
      <w:r w:rsidR="00993C64">
        <w:rPr>
          <w:rFonts w:cs="Open Sans"/>
        </w:rPr>
        <w:t>Submission No 33</w:t>
      </w:r>
      <w:r w:rsidR="00BA3BF8">
        <w:rPr>
          <w:rFonts w:cs="Open Sans"/>
        </w:rPr>
        <w:t xml:space="preserve"> to </w:t>
      </w:r>
      <w:r w:rsidR="006E0846">
        <w:rPr>
          <w:rFonts w:cs="Open Sans"/>
        </w:rPr>
        <w:t xml:space="preserve">The </w:t>
      </w:r>
      <w:r w:rsidR="00BA3BF8">
        <w:rPr>
          <w:rFonts w:cs="Open Sans"/>
        </w:rPr>
        <w:t>Senate Economics References Committee</w:t>
      </w:r>
      <w:r w:rsidR="00303803">
        <w:rPr>
          <w:rFonts w:cs="Open Sans"/>
        </w:rPr>
        <w:t xml:space="preserve">, Parliament of Australia, </w:t>
      </w:r>
      <w:r w:rsidR="00B31059">
        <w:rPr>
          <w:rFonts w:cs="Open Sans"/>
          <w:i/>
          <w:iCs/>
        </w:rPr>
        <w:t>T</w:t>
      </w:r>
      <w:r w:rsidR="007C4A2D" w:rsidRPr="007C4A2D">
        <w:rPr>
          <w:rFonts w:cs="Open Sans"/>
          <w:i/>
          <w:iCs/>
        </w:rPr>
        <w:t xml:space="preserve">he </w:t>
      </w:r>
      <w:r w:rsidR="00B31059">
        <w:rPr>
          <w:rFonts w:cs="Open Sans"/>
          <w:i/>
          <w:iCs/>
        </w:rPr>
        <w:t>I</w:t>
      </w:r>
      <w:r w:rsidR="007C4A2D" w:rsidRPr="007C4A2D">
        <w:rPr>
          <w:rFonts w:cs="Open Sans"/>
          <w:i/>
          <w:iCs/>
        </w:rPr>
        <w:t xml:space="preserve">ndicators of, and </w:t>
      </w:r>
      <w:r w:rsidR="00B31059">
        <w:rPr>
          <w:rFonts w:cs="Open Sans"/>
          <w:i/>
          <w:iCs/>
        </w:rPr>
        <w:t>I</w:t>
      </w:r>
      <w:r w:rsidR="007C4A2D" w:rsidRPr="007C4A2D">
        <w:rPr>
          <w:rFonts w:cs="Open Sans"/>
          <w:i/>
          <w:iCs/>
        </w:rPr>
        <w:t xml:space="preserve">mpact of, </w:t>
      </w:r>
      <w:r w:rsidR="00B31059">
        <w:rPr>
          <w:rFonts w:cs="Open Sans"/>
          <w:i/>
          <w:iCs/>
        </w:rPr>
        <w:t>R</w:t>
      </w:r>
      <w:r w:rsidR="007C4A2D" w:rsidRPr="007C4A2D">
        <w:rPr>
          <w:rFonts w:cs="Open Sans"/>
          <w:i/>
          <w:iCs/>
        </w:rPr>
        <w:t xml:space="preserve">egional </w:t>
      </w:r>
      <w:r w:rsidR="00B31059">
        <w:rPr>
          <w:rFonts w:cs="Open Sans"/>
          <w:i/>
          <w:iCs/>
        </w:rPr>
        <w:t>I</w:t>
      </w:r>
      <w:r w:rsidR="007C4A2D" w:rsidRPr="007C4A2D">
        <w:rPr>
          <w:rFonts w:cs="Open Sans"/>
          <w:i/>
          <w:iCs/>
        </w:rPr>
        <w:t xml:space="preserve">nequality in Australia </w:t>
      </w:r>
      <w:r w:rsidR="00BA3556">
        <w:rPr>
          <w:rFonts w:cs="Open Sans"/>
        </w:rPr>
        <w:t>(</w:t>
      </w:r>
      <w:r w:rsidRPr="007104B3">
        <w:rPr>
          <w:rFonts w:cs="Open Sans"/>
        </w:rPr>
        <w:t>30 April 2018).</w:t>
      </w:r>
      <w:r w:rsidRPr="007104B3">
        <w:rPr>
          <w:rFonts w:cs="Open Sans"/>
        </w:rPr>
        <w:fldChar w:fldCharType="end"/>
      </w:r>
    </w:p>
  </w:endnote>
  <w:endnote w:id="65">
    <w:p w14:paraId="325723DB" w14:textId="3FF871D3" w:rsidR="00986E3B" w:rsidRPr="007104B3" w:rsidRDefault="00986E3B" w:rsidP="00986E3B">
      <w:pPr>
        <w:pStyle w:val="EndnoteText"/>
        <w:rPr>
          <w:rFonts w:cs="Open Sans"/>
        </w:rPr>
      </w:pPr>
      <w:r w:rsidRPr="007104B3">
        <w:rPr>
          <w:rStyle w:val="EndnoteReference"/>
          <w:rFonts w:cs="Open Sans"/>
        </w:rPr>
        <w:endnoteRef/>
      </w:r>
      <w:r w:rsidRPr="007104B3">
        <w:rPr>
          <w:rFonts w:cs="Open Sans"/>
        </w:rPr>
        <w:t xml:space="preserve"> For example, </w:t>
      </w:r>
      <w:r w:rsidRPr="007104B3">
        <w:rPr>
          <w:rFonts w:cs="Open Sans"/>
          <w:shd w:val="clear" w:color="auto" w:fill="FFFFFF"/>
        </w:rPr>
        <w:t>32% of children living in rural or remote NSW are unable to access the health services they need</w:t>
      </w:r>
      <w:r w:rsidR="00DD7BAE">
        <w:rPr>
          <w:rFonts w:cs="Open Sans"/>
          <w:shd w:val="clear" w:color="auto" w:fill="FFFFFF"/>
        </w:rPr>
        <w:t>:</w:t>
      </w:r>
      <w:r>
        <w:rPr>
          <w:rFonts w:cs="Open Sans"/>
          <w:shd w:val="clear" w:color="auto" w:fill="FFFFFF"/>
        </w:rPr>
        <w:t xml:space="preserve"> </w:t>
      </w:r>
      <w:r w:rsidRPr="007104B3">
        <w:rPr>
          <w:rFonts w:cs="Open Sans"/>
        </w:rPr>
        <w:fldChar w:fldCharType="begin"/>
      </w:r>
      <w:r>
        <w:rPr>
          <w:rFonts w:cs="Open Sans"/>
        </w:rPr>
        <w:instrText xml:space="preserve"> ADDIN ZOTERO_ITEM CSL_CITATION {"citationID":"VcHimhU3","properties":{"formattedCitation":"Royal Far West, \\uc0\\u8216{}The Invisible Children - The State of Country Children\\uc0\\u8217{}s Health and Development in Australia\\uc0\\u8217{} (2017) &lt;https://www.royalfarwest.org.au/wp-content/uploads/2017/12/Invisible-children-web.pdf&gt;.","plainCitation":"Royal Far West, ‘The Invisible Children - The State of Country Children’s Health and Development in Australia’ (2017) &lt;https://www.royalfarwest.org.au/wp-content/uploads/2017/12/Invisible-children-web.pdf&gt;.","noteIndex":102},"citationItems":[{"id":4603,"uris":["http://zotero.org/groups/1703699/items/NEB2PQSH"],"uri":["http://zotero.org/groups/1703699/items/NEB2PQSH"],"itemData":{"id":4603,"type":"report","title":"The Invisible Children - The state of country children's health and development in Australia","URL":"https://www.royalfarwest.org.au/wp-content/uploads/2017/12/Invisible-children-web.pdf","author":[{"family":"Royal Far West","given":""}],"issued":{"date-parts":[["2017"]]}}}],"schema":"https://github.com/citation-style-language/schema/raw/master/csl-citation.json"} </w:instrText>
      </w:r>
      <w:r w:rsidRPr="007104B3">
        <w:rPr>
          <w:rFonts w:cs="Open Sans"/>
        </w:rPr>
        <w:fldChar w:fldCharType="separate"/>
      </w:r>
      <w:r w:rsidRPr="007104B3">
        <w:rPr>
          <w:rFonts w:cs="Open Sans"/>
        </w:rPr>
        <w:t xml:space="preserve">Royal Far West, </w:t>
      </w:r>
      <w:r w:rsidRPr="00AB1E96">
        <w:rPr>
          <w:rFonts w:cs="Open Sans"/>
          <w:i/>
        </w:rPr>
        <w:t>The Invisible Children</w:t>
      </w:r>
      <w:r w:rsidR="00477CB0">
        <w:rPr>
          <w:rFonts w:cs="Open Sans"/>
          <w:i/>
          <w:iCs/>
        </w:rPr>
        <w:t>:</w:t>
      </w:r>
      <w:r>
        <w:rPr>
          <w:rFonts w:cs="Open Sans"/>
          <w:i/>
        </w:rPr>
        <w:t xml:space="preserve"> </w:t>
      </w:r>
      <w:r w:rsidRPr="00AB1E96">
        <w:rPr>
          <w:rFonts w:cs="Open Sans"/>
          <w:i/>
        </w:rPr>
        <w:t xml:space="preserve">The State of Country Children’s Health and Development in </w:t>
      </w:r>
      <w:r w:rsidRPr="00AB1E96">
        <w:rPr>
          <w:rFonts w:cs="Open Sans"/>
          <w:i/>
          <w:iCs/>
        </w:rPr>
        <w:t>Australia</w:t>
      </w:r>
      <w:r w:rsidR="00AB1E96" w:rsidRPr="00AB1E96">
        <w:rPr>
          <w:rFonts w:cs="Open Sans"/>
          <w:i/>
          <w:iCs/>
        </w:rPr>
        <w:t xml:space="preserve"> </w:t>
      </w:r>
      <w:r w:rsidRPr="007104B3">
        <w:rPr>
          <w:rFonts w:cs="Open Sans"/>
        </w:rPr>
        <w:t>(</w:t>
      </w:r>
      <w:r w:rsidR="00AB1E96">
        <w:rPr>
          <w:rFonts w:cs="Open Sans"/>
        </w:rPr>
        <w:t xml:space="preserve">Report, </w:t>
      </w:r>
      <w:r w:rsidR="00E21CA0">
        <w:rPr>
          <w:rFonts w:cs="Open Sans"/>
        </w:rPr>
        <w:t>September</w:t>
      </w:r>
      <w:r w:rsidR="00643F80">
        <w:rPr>
          <w:rFonts w:cs="Open Sans"/>
        </w:rPr>
        <w:t xml:space="preserve"> </w:t>
      </w:r>
      <w:r w:rsidRPr="007104B3">
        <w:rPr>
          <w:rFonts w:cs="Open Sans"/>
        </w:rPr>
        <w:t>2017)</w:t>
      </w:r>
      <w:r w:rsidRPr="007104B3">
        <w:rPr>
          <w:rFonts w:cs="Open Sans"/>
        </w:rPr>
        <w:fldChar w:fldCharType="end"/>
      </w:r>
      <w:r w:rsidR="007B1136">
        <w:rPr>
          <w:rFonts w:cs="Open Sans"/>
        </w:rPr>
        <w:t>.</w:t>
      </w:r>
    </w:p>
  </w:endnote>
  <w:endnote w:id="66">
    <w:p w14:paraId="603AA90C" w14:textId="77C15EE3" w:rsidR="000D0350" w:rsidRPr="00614A06" w:rsidRDefault="000D0350" w:rsidP="000D0350">
      <w:pPr>
        <w:pStyle w:val="EndnoteText"/>
        <w:rPr>
          <w:rFonts w:cs="Open Sans"/>
          <w:highlight w:val="yellow"/>
        </w:rPr>
      </w:pPr>
      <w:r w:rsidRPr="007104B3">
        <w:rPr>
          <w:rStyle w:val="EndnoteReference"/>
          <w:rFonts w:cs="Open Sans"/>
        </w:rPr>
        <w:endnoteRef/>
      </w:r>
      <w:r w:rsidRPr="007104B3">
        <w:rPr>
          <w:rFonts w:cs="Open Sans"/>
        </w:rPr>
        <w:t xml:space="preserve"> </w:t>
      </w:r>
      <w:r w:rsidRPr="007104B3">
        <w:rPr>
          <w:rFonts w:cs="Open Sans"/>
        </w:rPr>
        <w:fldChar w:fldCharType="begin"/>
      </w:r>
      <w:r>
        <w:rPr>
          <w:rFonts w:cs="Open Sans"/>
        </w:rPr>
        <w:instrText xml:space="preserve"> ADDIN ZOTERO_ITEM CSL_CITATION {"citationID":"UwwgdHUu","properties":{"formattedCitation":"Productivity Commission, above n 11, 12\\uc0\\u8211{}13, 93.","plainCitation":"Productivity Commission, above n 11, 12–13, 93.","noteIndex":103},"citationItems":[{"id":3673,"uris":["http://zotero.org/groups/1703699/items/VK377CDR"],"uri":["http://zotero.org/groups/1703699/items/VK377CDR"],"itemData":{"id":3673,"type":"report","title":"Review of the National Disability Agreement: Study Report","URL":"https://www.pc.gov.au/inquiries/completed/disability-agreement/report/disability-agreement.pdf","author":[{"family":"Productivity Commission","given":""}],"issued":{"date-parts":[["2019",1]]}},"locator":"12-13, 93"}],"schema":"https://github.com/citation-style-language/schema/raw/master/csl-citation.json"} </w:instrText>
      </w:r>
      <w:r w:rsidRPr="007104B3">
        <w:rPr>
          <w:rFonts w:cs="Open Sans"/>
        </w:rPr>
        <w:fldChar w:fldCharType="separate"/>
      </w:r>
      <w:r w:rsidRPr="00D76408">
        <w:rPr>
          <w:rFonts w:cs="Open Sans"/>
          <w:szCs w:val="24"/>
        </w:rPr>
        <w:t xml:space="preserve">Productivity Commission, </w:t>
      </w:r>
      <w:r w:rsidR="00DC30C6" w:rsidRPr="00D76408">
        <w:rPr>
          <w:rFonts w:cs="Open Sans"/>
          <w:szCs w:val="24"/>
        </w:rPr>
        <w:t xml:space="preserve">Commonwealth of </w:t>
      </w:r>
      <w:r w:rsidR="006F267B" w:rsidRPr="00D76408">
        <w:rPr>
          <w:rFonts w:cs="Open Sans"/>
          <w:szCs w:val="24"/>
        </w:rPr>
        <w:t xml:space="preserve">Australia, </w:t>
      </w:r>
      <w:r w:rsidR="003337C9" w:rsidRPr="00D76408">
        <w:rPr>
          <w:rFonts w:cs="Open Sans"/>
          <w:i/>
          <w:iCs/>
          <w:szCs w:val="24"/>
        </w:rPr>
        <w:t xml:space="preserve">Review of the National Disability Agreement </w:t>
      </w:r>
      <w:r w:rsidR="003337C9" w:rsidRPr="00D76408">
        <w:rPr>
          <w:rFonts w:cs="Open Sans"/>
          <w:szCs w:val="24"/>
        </w:rPr>
        <w:t>(</w:t>
      </w:r>
      <w:r w:rsidR="005E7B64" w:rsidRPr="00D76408">
        <w:rPr>
          <w:rFonts w:cs="Open Sans"/>
          <w:szCs w:val="24"/>
        </w:rPr>
        <w:t>Study Report, January 2019)</w:t>
      </w:r>
      <w:r w:rsidRPr="00D76408">
        <w:rPr>
          <w:rFonts w:cs="Open Sans"/>
          <w:szCs w:val="24"/>
        </w:rPr>
        <w:t xml:space="preserve"> 12–13.</w:t>
      </w:r>
      <w:r w:rsidRPr="007104B3">
        <w:rPr>
          <w:rFonts w:cs="Open Sans"/>
        </w:rPr>
        <w:fldChar w:fldCharType="end"/>
      </w:r>
    </w:p>
  </w:endnote>
  <w:endnote w:id="67">
    <w:p w14:paraId="2C400A7C" w14:textId="051BA054" w:rsidR="00EF37B9" w:rsidRPr="007104B3" w:rsidRDefault="00EF37B9" w:rsidP="00EF37B9">
      <w:pPr>
        <w:pStyle w:val="EndnoteText"/>
        <w:rPr>
          <w:rFonts w:cs="Open Sans"/>
        </w:rPr>
      </w:pPr>
      <w:r w:rsidRPr="007104B3">
        <w:rPr>
          <w:rStyle w:val="EndnoteReference"/>
          <w:rFonts w:cs="Open Sans"/>
        </w:rPr>
        <w:endnoteRef/>
      </w:r>
      <w:r w:rsidRPr="007104B3">
        <w:rPr>
          <w:rFonts w:cs="Open Sans"/>
        </w:rPr>
        <w:t xml:space="preserve"> </w:t>
      </w:r>
      <w:r w:rsidRPr="007104B3">
        <w:rPr>
          <w:rFonts w:cs="Open Sans"/>
        </w:rPr>
        <w:fldChar w:fldCharType="begin"/>
      </w:r>
      <w:r>
        <w:rPr>
          <w:rFonts w:cs="Open Sans"/>
        </w:rPr>
        <w:instrText xml:space="preserve"> ADDIN ZOTERO_ITEM CSL_CITATION {"citationID":"J5AU0FIW","properties":{"formattedCitation":"Productivity Commission, above n 11, 14.","plainCitation":"Productivity Commission, above n 11, 14.","noteIndex":104},"citationItems":[{"id":3673,"uris":["http://zotero.org/groups/1703699/items/VK377CDR"],"uri":["http://zotero.org/groups/1703699/items/VK377CDR"],"itemData":{"id":3673,"type":"report","title":"Review of the National Disability Agreement: Study Report","URL":"https://www.pc.gov.au/inquiries/completed/disability-agreement/report/disability-agreement.pdf","author":[{"family":"Productivity Commission","given":""}],"issued":{"date-parts":[["2019",1]]}},"locator":"14"}],"schema":"https://github.com/citation-style-language/schema/raw/master/csl-citation.json"} </w:instrText>
      </w:r>
      <w:r w:rsidRPr="007104B3">
        <w:rPr>
          <w:rFonts w:cs="Open Sans"/>
        </w:rPr>
        <w:fldChar w:fldCharType="separate"/>
      </w:r>
      <w:r w:rsidR="00D8309C" w:rsidRPr="003236E4">
        <w:rPr>
          <w:rFonts w:cs="Open Sans"/>
        </w:rPr>
        <w:t>Ibid</w:t>
      </w:r>
      <w:r w:rsidRPr="003236E4">
        <w:rPr>
          <w:rFonts w:cs="Open Sans"/>
        </w:rPr>
        <w:t xml:space="preserve"> 14</w:t>
      </w:r>
      <w:r w:rsidR="00985983">
        <w:rPr>
          <w:rFonts w:cs="Open Sans"/>
        </w:rPr>
        <w:t>, 85</w:t>
      </w:r>
      <w:r w:rsidRPr="003236E4">
        <w:rPr>
          <w:rFonts w:cs="Open Sans"/>
        </w:rPr>
        <w:t>.</w:t>
      </w:r>
      <w:r w:rsidRPr="007104B3">
        <w:rPr>
          <w:rFonts w:cs="Open Sans"/>
        </w:rPr>
        <w:fldChar w:fldCharType="end"/>
      </w:r>
    </w:p>
  </w:endnote>
  <w:endnote w:id="68">
    <w:p w14:paraId="0EDAEAF5" w14:textId="4EE1C1BC" w:rsidR="002168A7" w:rsidRDefault="002168A7" w:rsidP="002168A7">
      <w:pPr>
        <w:pStyle w:val="EndnoteText"/>
      </w:pPr>
      <w:r>
        <w:rPr>
          <w:rStyle w:val="EndnoteReference"/>
        </w:rPr>
        <w:endnoteRef/>
      </w:r>
      <w:r>
        <w:t xml:space="preserve"> </w:t>
      </w:r>
      <w:r w:rsidRPr="007C7FAE">
        <w:rPr>
          <w:i/>
        </w:rPr>
        <w:t xml:space="preserve">CRPD </w:t>
      </w:r>
      <w:r w:rsidR="001F19CC" w:rsidRPr="007C7FAE">
        <w:t xml:space="preserve">(n 53) </w:t>
      </w:r>
      <w:r w:rsidRPr="007C7FAE">
        <w:t>art 6.</w:t>
      </w:r>
    </w:p>
  </w:endnote>
  <w:endnote w:id="69">
    <w:p w14:paraId="404B557E" w14:textId="3E1705B1" w:rsidR="007049DE" w:rsidRPr="007104B3" w:rsidRDefault="007049DE" w:rsidP="007049DE">
      <w:pPr>
        <w:pStyle w:val="EndnoteText"/>
        <w:rPr>
          <w:rFonts w:cs="Open Sans"/>
        </w:rPr>
      </w:pPr>
      <w:r w:rsidRPr="007104B3">
        <w:rPr>
          <w:rStyle w:val="EndnoteReference"/>
          <w:rFonts w:cs="Open Sans"/>
        </w:rPr>
        <w:endnoteRef/>
      </w:r>
      <w:r w:rsidRPr="007104B3">
        <w:rPr>
          <w:rFonts w:cs="Open Sans"/>
        </w:rPr>
        <w:t xml:space="preserve"> </w:t>
      </w:r>
      <w:r w:rsidR="00A3257B" w:rsidRPr="00A3257B">
        <w:rPr>
          <w:rFonts w:cs="Open Sans"/>
        </w:rPr>
        <w:t xml:space="preserve">Australian Human Rights Commission, </w:t>
      </w:r>
      <w:r w:rsidR="00A3257B" w:rsidRPr="001E5AF0">
        <w:rPr>
          <w:rFonts w:cs="Open Sans"/>
          <w:i/>
          <w:iCs/>
        </w:rPr>
        <w:t xml:space="preserve">Information Concerning Australia’s Compliance with the </w:t>
      </w:r>
      <w:r w:rsidR="00A3257B" w:rsidRPr="00424CAB">
        <w:rPr>
          <w:rFonts w:cs="Open Sans"/>
          <w:i/>
        </w:rPr>
        <w:t>Convention on the Elimination of All Forms of Discrimination against Women</w:t>
      </w:r>
      <w:r w:rsidR="0085022C">
        <w:rPr>
          <w:rFonts w:cs="Open Sans"/>
        </w:rPr>
        <w:t xml:space="preserve">, </w:t>
      </w:r>
      <w:r w:rsidR="0085022C" w:rsidRPr="001E5AF0">
        <w:rPr>
          <w:rFonts w:cs="Open Sans"/>
          <w:i/>
          <w:iCs/>
        </w:rPr>
        <w:t>Submission to the United Nations Committee on the Elimination of Discrimination Against Women</w:t>
      </w:r>
      <w:r w:rsidR="0085022C">
        <w:rPr>
          <w:rFonts w:cs="Open Sans"/>
        </w:rPr>
        <w:t xml:space="preserve">, </w:t>
      </w:r>
      <w:r w:rsidR="00A3257B" w:rsidRPr="00A3257B">
        <w:rPr>
          <w:rFonts w:cs="Open Sans"/>
        </w:rPr>
        <w:t>12 June 2018</w:t>
      </w:r>
      <w:r w:rsidR="00EF0839">
        <w:rPr>
          <w:rFonts w:cs="Open Sans"/>
        </w:rPr>
        <w:t>,</w:t>
      </w:r>
      <w:r w:rsidR="003E0669">
        <w:rPr>
          <w:rFonts w:cs="Open Sans"/>
        </w:rPr>
        <w:t xml:space="preserve"> </w:t>
      </w:r>
      <w:r w:rsidR="00A3257B" w:rsidRPr="003E0669">
        <w:rPr>
          <w:rFonts w:cs="Open Sans"/>
        </w:rPr>
        <w:t>25</w:t>
      </w:r>
      <w:r w:rsidR="00734409" w:rsidRPr="003E0669">
        <w:rPr>
          <w:rFonts w:cs="Open Sans"/>
        </w:rPr>
        <w:t>;</w:t>
      </w:r>
      <w:r w:rsidR="00A3257B" w:rsidRPr="001E5AF0">
        <w:rPr>
          <w:rFonts w:cs="Open Sans"/>
        </w:rPr>
        <w:t xml:space="preserve"> Australian Human Rights Commission, </w:t>
      </w:r>
      <w:r w:rsidR="00A3257B" w:rsidRPr="001E5AF0">
        <w:rPr>
          <w:rFonts w:cs="Open Sans"/>
          <w:i/>
          <w:iCs/>
        </w:rPr>
        <w:t>Information Relating to Australia’s Joint Fifth and Sixth Report under the Convention on the Rights of the Child, Second Report on the Optional Protocol on the Sale of Children</w:t>
      </w:r>
      <w:r w:rsidR="00A3257B" w:rsidRPr="001E5AF0">
        <w:rPr>
          <w:rFonts w:cs="Open Sans"/>
        </w:rPr>
        <w:t xml:space="preserve">, </w:t>
      </w:r>
      <w:r w:rsidR="00A3257B" w:rsidRPr="001E5AF0">
        <w:rPr>
          <w:rFonts w:cs="Open Sans"/>
          <w:i/>
          <w:iCs/>
        </w:rPr>
        <w:t>Child Prostitution and Child Pornography</w:t>
      </w:r>
      <w:r w:rsidR="00A3257B" w:rsidRPr="001E5AF0">
        <w:rPr>
          <w:rFonts w:cs="Open Sans"/>
        </w:rPr>
        <w:t xml:space="preserve">, and </w:t>
      </w:r>
      <w:r w:rsidR="00A3257B" w:rsidRPr="001E5AF0">
        <w:rPr>
          <w:rFonts w:cs="Open Sans"/>
          <w:i/>
          <w:iCs/>
        </w:rPr>
        <w:t>Second Report on the Optional Protocol on the Involvement of Children in Armed Conflict</w:t>
      </w:r>
      <w:r w:rsidR="00A3257B" w:rsidRPr="001E5AF0">
        <w:rPr>
          <w:rFonts w:cs="Open Sans"/>
        </w:rPr>
        <w:t xml:space="preserve">, 36; Australian Human Rights Commission, </w:t>
      </w:r>
      <w:r w:rsidR="00A3257B" w:rsidRPr="001E5AF0">
        <w:rPr>
          <w:rFonts w:cs="Open Sans"/>
          <w:i/>
          <w:iCs/>
        </w:rPr>
        <w:t xml:space="preserve">Information Concerning Australia’s Compliance with the International Covenant on Civil and Political Rights </w:t>
      </w:r>
      <w:r w:rsidR="002D4806">
        <w:rPr>
          <w:rFonts w:cs="Open Sans"/>
          <w:i/>
          <w:iCs/>
        </w:rPr>
        <w:t>–</w:t>
      </w:r>
      <w:r w:rsidR="00A3257B" w:rsidRPr="001E5AF0">
        <w:rPr>
          <w:rFonts w:cs="Open Sans"/>
          <w:i/>
          <w:iCs/>
        </w:rPr>
        <w:t xml:space="preserve"> Submission to the UN Human Rights Committee</w:t>
      </w:r>
      <w:r w:rsidR="00A3257B" w:rsidRPr="001E5AF0">
        <w:rPr>
          <w:rFonts w:cs="Open Sans"/>
        </w:rPr>
        <w:t xml:space="preserve"> (18 September 2017)</w:t>
      </w:r>
      <w:r w:rsidR="003E0669" w:rsidRPr="001E5AF0">
        <w:rPr>
          <w:rFonts w:cs="Open Sans"/>
        </w:rPr>
        <w:t>;</w:t>
      </w:r>
      <w:r w:rsidR="00A3257B" w:rsidRPr="001E5AF0">
        <w:rPr>
          <w:rFonts w:cs="Open Sans"/>
        </w:rPr>
        <w:t xml:space="preserve"> Australian Human Rights Commission, </w:t>
      </w:r>
      <w:r w:rsidR="00A3257B" w:rsidRPr="001E5AF0">
        <w:rPr>
          <w:rFonts w:cs="Open Sans"/>
          <w:i/>
          <w:iCs/>
        </w:rPr>
        <w:t>‘Submission by the Australian Human Rights Commission under the Universal Periodic Review Process</w:t>
      </w:r>
      <w:r w:rsidR="00A3257B" w:rsidRPr="001E5AF0">
        <w:rPr>
          <w:rFonts w:cs="Open Sans"/>
        </w:rPr>
        <w:t>’ (April 2015)</w:t>
      </w:r>
      <w:r w:rsidR="003E0669" w:rsidRPr="001E5AF0">
        <w:rPr>
          <w:rFonts w:cs="Open Sans"/>
        </w:rPr>
        <w:t xml:space="preserve">, </w:t>
      </w:r>
      <w:r w:rsidR="00A3257B" w:rsidRPr="001E5AF0">
        <w:rPr>
          <w:rFonts w:cs="Open Sans"/>
        </w:rPr>
        <w:t>26; Australian Human Rights Commission, ‘</w:t>
      </w:r>
      <w:r w:rsidR="00A3257B" w:rsidRPr="001E5AF0">
        <w:rPr>
          <w:rFonts w:cs="Open Sans"/>
          <w:i/>
          <w:iCs/>
        </w:rPr>
        <w:t xml:space="preserve">The Involuntary or Coerced Sterilisation of People with Disabilities in Australia </w:t>
      </w:r>
      <w:r w:rsidR="002D4806">
        <w:rPr>
          <w:rFonts w:cs="Open Sans"/>
          <w:i/>
          <w:iCs/>
        </w:rPr>
        <w:t>–</w:t>
      </w:r>
      <w:r w:rsidR="00A3257B" w:rsidRPr="001E5AF0">
        <w:rPr>
          <w:rFonts w:cs="Open Sans"/>
          <w:i/>
          <w:iCs/>
        </w:rPr>
        <w:t xml:space="preserve"> Submission to the Senate Community Affairs References Committee’</w:t>
      </w:r>
      <w:r w:rsidR="00A3257B" w:rsidRPr="001E5AF0">
        <w:rPr>
          <w:rFonts w:cs="Open Sans"/>
        </w:rPr>
        <w:t xml:space="preserve"> (Submission No.5, 20 November 2012)</w:t>
      </w:r>
      <w:r w:rsidR="003E0669" w:rsidRPr="001E5AF0">
        <w:rPr>
          <w:rFonts w:cs="Open Sans"/>
        </w:rPr>
        <w:t xml:space="preserve">. </w:t>
      </w:r>
    </w:p>
  </w:endnote>
  <w:endnote w:id="70">
    <w:p w14:paraId="251B9FFC" w14:textId="1D33F39C" w:rsidR="007049DE" w:rsidRPr="007104B3" w:rsidRDefault="007049DE" w:rsidP="007049DE">
      <w:pPr>
        <w:pStyle w:val="EndnoteText"/>
        <w:rPr>
          <w:rFonts w:cs="Open Sans"/>
        </w:rPr>
      </w:pPr>
      <w:r w:rsidRPr="007104B3">
        <w:rPr>
          <w:rStyle w:val="EndnoteReference"/>
          <w:rFonts w:cs="Open Sans"/>
        </w:rPr>
        <w:endnoteRef/>
      </w:r>
      <w:r w:rsidRPr="007104B3">
        <w:rPr>
          <w:rFonts w:cs="Open Sans"/>
        </w:rPr>
        <w:t xml:space="preserve"> </w:t>
      </w:r>
      <w:r w:rsidRPr="007104B3">
        <w:rPr>
          <w:rFonts w:cs="Open Sans"/>
        </w:rPr>
        <w:fldChar w:fldCharType="begin"/>
      </w:r>
      <w:r>
        <w:rPr>
          <w:rFonts w:cs="Open Sans"/>
        </w:rPr>
        <w:instrText xml:space="preserve"> ADDIN ZOTERO_ITEM CSL_CITATION {"citationID":"90EZQJ6D","properties":{"formattedCitation":"Australian Human Rights Commission, \\uc0\\u8216{}The Involuntary or Coerced Sterilisation of People with Disabilities in Australia - Submission to the Senate Community Affairs References Committee\\uc0\\u8217{}, above n 73.","plainCitation":"Australian Human Rights Commission, ‘The Involuntary or Coerced Sterilisation of People with Disabilities in Australia - Submission to the Senate Community Affairs References Committee’, above n 73.","noteIndex":74},"citationItems":[{"id":4476,"uris":["http://zotero.org/groups/1703699/items/55ZQTJVR"],"uri":["http://zotero.org/groups/1703699/items/55ZQTJVR"],"itemData":{"id":4476,"type":"report","title":"The Involuntary or Coerced Sterilisation of People with Disabilities in Australia - Submission to the Senate Community Affairs References Committee","URL":"http://www.aph.gov.au/DocumentStore.ashx?id=3d3c9b64-7a59- 4e30-bd96-e38d52fe85c8&amp;subId=16108","number":"Submission No.5","author":[{"family":"Australian Human Rights Commission","given":""}],"issued":{"date-parts":[["2012",11,20]]}}}],"schema":"https://github.com/citation-style-language/schema/raw/master/csl-citation.json"} </w:instrText>
      </w:r>
      <w:r w:rsidRPr="007104B3">
        <w:rPr>
          <w:rFonts w:cs="Open Sans"/>
        </w:rPr>
        <w:fldChar w:fldCharType="separate"/>
      </w:r>
      <w:r w:rsidRPr="00AA63E6">
        <w:rPr>
          <w:rFonts w:cs="Open Sans"/>
          <w:szCs w:val="24"/>
        </w:rPr>
        <w:t xml:space="preserve">Australian Human Rights Commission, </w:t>
      </w:r>
      <w:r w:rsidR="000E6854">
        <w:rPr>
          <w:rFonts w:cs="Open Sans"/>
          <w:szCs w:val="24"/>
        </w:rPr>
        <w:t xml:space="preserve">Submission No </w:t>
      </w:r>
      <w:r w:rsidR="00D63083">
        <w:rPr>
          <w:rFonts w:cs="Open Sans"/>
          <w:szCs w:val="24"/>
        </w:rPr>
        <w:t xml:space="preserve">5 to the Senate Community Affairs References Committee, </w:t>
      </w:r>
      <w:r w:rsidR="00283EBB">
        <w:rPr>
          <w:rFonts w:cs="Open Sans"/>
          <w:szCs w:val="24"/>
        </w:rPr>
        <w:t xml:space="preserve">Parliament of Australia, </w:t>
      </w:r>
      <w:r w:rsidRPr="00ED4AE7">
        <w:rPr>
          <w:rFonts w:cs="Open Sans"/>
          <w:i/>
          <w:szCs w:val="24"/>
        </w:rPr>
        <w:t>The Involuntary or Coerced Sterilisation of People with Disabilities in Australia</w:t>
      </w:r>
      <w:r w:rsidRPr="00AA63E6">
        <w:rPr>
          <w:rFonts w:cs="Open Sans"/>
          <w:szCs w:val="24"/>
        </w:rPr>
        <w:t xml:space="preserve"> </w:t>
      </w:r>
      <w:r w:rsidR="00ED4AE7">
        <w:rPr>
          <w:rFonts w:cs="Open Sans"/>
          <w:szCs w:val="24"/>
        </w:rPr>
        <w:t>(</w:t>
      </w:r>
      <w:r w:rsidR="00B61E69">
        <w:rPr>
          <w:rFonts w:cs="Open Sans"/>
          <w:szCs w:val="24"/>
        </w:rPr>
        <w:t>20 November 2012)</w:t>
      </w:r>
      <w:r w:rsidRPr="007104B3">
        <w:rPr>
          <w:rFonts w:cs="Open Sans"/>
        </w:rPr>
        <w:fldChar w:fldCharType="end"/>
      </w:r>
      <w:r w:rsidR="00D1789D">
        <w:rPr>
          <w:rFonts w:cs="Open Sans"/>
        </w:rPr>
        <w:t>.</w:t>
      </w:r>
    </w:p>
  </w:endnote>
  <w:endnote w:id="71">
    <w:p w14:paraId="04943CF9" w14:textId="62936C3E" w:rsidR="005A62DB" w:rsidRPr="001E5AF0" w:rsidRDefault="005A62DB">
      <w:pPr>
        <w:pStyle w:val="EndnoteText"/>
        <w:rPr>
          <w:lang w:val="en-GB"/>
        </w:rPr>
      </w:pPr>
      <w:r>
        <w:rPr>
          <w:rStyle w:val="EndnoteReference"/>
        </w:rPr>
        <w:endnoteRef/>
      </w:r>
      <w:r>
        <w:t xml:space="preserve"> </w:t>
      </w:r>
      <w:r>
        <w:rPr>
          <w:lang w:val="en-GB"/>
        </w:rPr>
        <w:t>Australian Human Rights Commission</w:t>
      </w:r>
      <w:r w:rsidRPr="001E5AF0">
        <w:rPr>
          <w:i/>
          <w:iCs/>
          <w:lang w:val="en-GB"/>
        </w:rPr>
        <w:t xml:space="preserve">, </w:t>
      </w:r>
      <w:r w:rsidR="00152545" w:rsidRPr="001E5AF0">
        <w:rPr>
          <w:i/>
          <w:iCs/>
          <w:lang w:val="en-GB"/>
        </w:rPr>
        <w:t>Ensuring health and bodily integrity: towards a human rights approach for people born with variations in sex characteristics</w:t>
      </w:r>
      <w:r w:rsidR="00220D91">
        <w:rPr>
          <w:lang w:val="en-GB"/>
        </w:rPr>
        <w:t xml:space="preserve"> (</w:t>
      </w:r>
      <w:r w:rsidR="00BB15BF">
        <w:rPr>
          <w:lang w:val="en-GB"/>
        </w:rPr>
        <w:t>18 October 2021)</w:t>
      </w:r>
      <w:r w:rsidR="002D4806">
        <w:rPr>
          <w:lang w:val="en-GB"/>
        </w:rPr>
        <w:t>.</w:t>
      </w:r>
      <w:r w:rsidR="00BB15BF">
        <w:rPr>
          <w:lang w:val="en-GB"/>
        </w:rPr>
        <w:t xml:space="preserve"> </w:t>
      </w:r>
    </w:p>
  </w:endnote>
  <w:endnote w:id="72">
    <w:p w14:paraId="05096EAB" w14:textId="789096CF" w:rsidR="00E77672" w:rsidRPr="00D73A39" w:rsidRDefault="00F01100" w:rsidP="00E77672">
      <w:pPr>
        <w:pStyle w:val="EndnoteText"/>
        <w:rPr>
          <w:lang w:val="en-GB"/>
        </w:rPr>
      </w:pPr>
      <w:r>
        <w:rPr>
          <w:rStyle w:val="EndnoteReference"/>
        </w:rPr>
        <w:endnoteRef/>
      </w:r>
      <w:r>
        <w:t xml:space="preserve"> </w:t>
      </w:r>
      <w:r w:rsidRPr="00F01100">
        <w:t>Office for National Statistics, ‘Updated estimates of coronavirus (COVID-19) related deaths by disability status, England: 24 January 2020 to 9 March 2022’</w:t>
      </w:r>
      <w:r w:rsidR="00D1789D">
        <w:t>.</w:t>
      </w:r>
      <w:r w:rsidRPr="00F01100">
        <w:t xml:space="preserve"> </w:t>
      </w:r>
      <w:r w:rsidR="007135B4">
        <w:t>&lt;</w:t>
      </w:r>
      <w:hyperlink r:id="rId6" w:history="1">
        <w:r w:rsidR="007135B4" w:rsidRPr="00265152">
          <w:rPr>
            <w:rStyle w:val="Hyperlink"/>
          </w:rPr>
          <w:t>https://www.ons.gov.uk/peoplepopulationandcommunity/birthsdeathsandmarriages/deaths/articles/coronaviruscovid19relateddeathsbydisabilitystatusenglandandwales/24january2020to9march2022</w:t>
        </w:r>
      </w:hyperlink>
      <w:r w:rsidR="007135B4">
        <w:t>&gt;</w:t>
      </w:r>
      <w:r w:rsidR="00234BA8">
        <w:t>.</w:t>
      </w:r>
      <w:r>
        <w:t xml:space="preserve"> </w:t>
      </w:r>
    </w:p>
  </w:endnote>
  <w:endnote w:id="73">
    <w:p w14:paraId="3CBB81FE" w14:textId="14423F14" w:rsidR="00E77672" w:rsidRPr="0015529D" w:rsidRDefault="0015529D">
      <w:pPr>
        <w:pStyle w:val="EndnoteText"/>
        <w:rPr>
          <w:lang w:val="en-GB"/>
        </w:rPr>
      </w:pPr>
      <w:r>
        <w:rPr>
          <w:rStyle w:val="EndnoteReference"/>
        </w:rPr>
        <w:endnoteRef/>
      </w:r>
      <w:r>
        <w:t xml:space="preserve"> </w:t>
      </w:r>
      <w:r w:rsidR="004A39D2">
        <w:t>Ibid</w:t>
      </w:r>
      <w:r w:rsidR="00D5126A">
        <w:t xml:space="preserve"> </w:t>
      </w:r>
      <w:r w:rsidR="006C4DC2">
        <w:t>35</w:t>
      </w:r>
      <w:r w:rsidR="002D4806">
        <w:t>.</w:t>
      </w:r>
    </w:p>
  </w:endnote>
  <w:endnote w:id="74">
    <w:p w14:paraId="63F4CF7E" w14:textId="417F3DA3" w:rsidR="00E77672" w:rsidRPr="00F75CDA" w:rsidRDefault="00CF458B">
      <w:pPr>
        <w:pStyle w:val="EndnoteText"/>
        <w:rPr>
          <w:lang w:val="en-GB"/>
        </w:rPr>
      </w:pPr>
      <w:r>
        <w:rPr>
          <w:rStyle w:val="EndnoteReference"/>
        </w:rPr>
        <w:endnoteRef/>
      </w:r>
      <w:r>
        <w:t xml:space="preserve"> </w:t>
      </w:r>
      <w:r w:rsidRPr="00CF458B">
        <w:t>World Health Organisation, ‘Global report on health equity for persons with disability’ (2022) 26</w:t>
      </w:r>
    </w:p>
  </w:endnote>
  <w:endnote w:id="75">
    <w:p w14:paraId="616AEF65" w14:textId="6BCC6558" w:rsidR="00E77672" w:rsidRPr="00596776" w:rsidRDefault="00E77672" w:rsidP="00E77672">
      <w:pPr>
        <w:pStyle w:val="EndnoteText"/>
        <w:ind w:left="0" w:firstLine="0"/>
      </w:pPr>
      <w:r w:rsidRPr="3BED7CBE">
        <w:rPr>
          <w:rStyle w:val="EndnoteReference"/>
        </w:rPr>
        <w:endnoteRef/>
      </w:r>
      <w:r>
        <w:t xml:space="preserve"> ‘</w:t>
      </w:r>
      <w:r w:rsidRPr="00F354E0">
        <w:t>The prevalence of long COVID symptoms and COVID-19 complications</w:t>
      </w:r>
      <w:r>
        <w:t>’</w:t>
      </w:r>
      <w:r w:rsidR="008A688E">
        <w:t xml:space="preserve">, </w:t>
      </w:r>
      <w:r w:rsidR="008A688E">
        <w:rPr>
          <w:i/>
          <w:iCs/>
        </w:rPr>
        <w:t>Office for National Statistics</w:t>
      </w:r>
      <w:r w:rsidR="00CB51DA">
        <w:rPr>
          <w:i/>
          <w:iCs/>
        </w:rPr>
        <w:t xml:space="preserve"> </w:t>
      </w:r>
      <w:r w:rsidR="001D0672">
        <w:t xml:space="preserve">(Web Page, </w:t>
      </w:r>
      <w:r w:rsidR="00201CA4">
        <w:t>16 December 2020)</w:t>
      </w:r>
      <w:r w:rsidR="00126CF0">
        <w:t xml:space="preserve"> </w:t>
      </w:r>
      <w:r w:rsidR="00201CA4">
        <w:t>&lt;</w:t>
      </w:r>
      <w:hyperlink r:id="rId7" w:history="1">
        <w:r w:rsidRPr="00350F27">
          <w:rPr>
            <w:rStyle w:val="Hyperlink"/>
          </w:rPr>
          <w:t>https://www.ons.gov.uk/news/statementsandletters/theprevalenceoflongcovidsymptomsandcovid19complications</w:t>
        </w:r>
      </w:hyperlink>
      <w:r w:rsidR="00201CA4">
        <w:t>&gt;.</w:t>
      </w:r>
      <w:r>
        <w:t xml:space="preserve"> </w:t>
      </w:r>
    </w:p>
  </w:endnote>
  <w:endnote w:id="76">
    <w:p w14:paraId="5E6EEAD7" w14:textId="722FB419" w:rsidR="00E77672" w:rsidRPr="003E7BF6" w:rsidRDefault="00E77672" w:rsidP="00E77672">
      <w:pPr>
        <w:pStyle w:val="EndnoteText"/>
        <w:ind w:left="0" w:firstLine="0"/>
      </w:pPr>
      <w:r w:rsidRPr="00451900">
        <w:rPr>
          <w:rStyle w:val="EndnoteReference"/>
        </w:rPr>
        <w:endnoteRef/>
      </w:r>
      <w:r>
        <w:t xml:space="preserve"> 29.2% according to a 2022 study</w:t>
      </w:r>
      <w:r w:rsidR="00F53809">
        <w:t xml:space="preserve">: </w:t>
      </w:r>
      <w:r>
        <w:t>see Arjun et al</w:t>
      </w:r>
      <w:r w:rsidR="00F74FFA">
        <w:t>,</w:t>
      </w:r>
      <w:r>
        <w:t xml:space="preserve"> ‘</w:t>
      </w:r>
      <w:r w:rsidRPr="00153BDE">
        <w:t>Prevalence, characteristics, and predictors of Long COVID among diagnosed cases of COVID-19</w:t>
      </w:r>
      <w:r>
        <w:t xml:space="preserve">’ </w:t>
      </w:r>
      <w:r w:rsidR="00594A02">
        <w:t>(2</w:t>
      </w:r>
      <w:r w:rsidR="00D0304C">
        <w:t>022)</w:t>
      </w:r>
      <w:r w:rsidR="002D4806">
        <w:t>.</w:t>
      </w:r>
      <w:r w:rsidR="00126CF0">
        <w:t xml:space="preserve"> &lt;</w:t>
      </w:r>
      <w:hyperlink r:id="rId8" w:history="1">
        <w:r w:rsidRPr="00350F27">
          <w:rPr>
            <w:rStyle w:val="Hyperlink"/>
          </w:rPr>
          <w:t>https://www.medrxiv.org/content/10.1101/2022.01.04.21268536v1.full</w:t>
        </w:r>
      </w:hyperlink>
      <w:r>
        <w:t>)</w:t>
      </w:r>
      <w:r w:rsidR="00126CF0">
        <w:t>&gt;</w:t>
      </w:r>
      <w:r w:rsidR="00504A1C">
        <w:t>.</w:t>
      </w:r>
      <w:r>
        <w:t xml:space="preserve"> </w:t>
      </w:r>
      <w:r w:rsidRPr="00451900">
        <w:t xml:space="preserve">The </w:t>
      </w:r>
      <w:r w:rsidR="00197AD5" w:rsidRPr="00451900">
        <w:t>US Center for Disease Control</w:t>
      </w:r>
      <w:r>
        <w:t xml:space="preserve"> notes ‘t</w:t>
      </w:r>
      <w:r w:rsidRPr="00804B35">
        <w:t>he prevalence of post-COVID conditions has been challenging to estimate, with estimates ranging widely (5–30%)</w:t>
      </w:r>
      <w:r>
        <w:t>…</w:t>
      </w:r>
      <w:r w:rsidRPr="00D66CA8">
        <w:t>(nearly 1 in 5) of U.S. adults who reported ever having had COVID-19 currently have symptoms of long COVID, defined as symptoms lasting 3 or more months that were not present prior to having COVID-19.</w:t>
      </w:r>
      <w:r>
        <w:t xml:space="preserve">’ </w:t>
      </w:r>
      <w:r w:rsidR="000857C2">
        <w:t>S</w:t>
      </w:r>
      <w:r>
        <w:t>ee ‘</w:t>
      </w:r>
      <w:r w:rsidRPr="0007225F">
        <w:t>Post-COVID Conditions: Information for Healthcare Providers</w:t>
      </w:r>
      <w:r>
        <w:t>’</w:t>
      </w:r>
      <w:r w:rsidR="00C93202">
        <w:t xml:space="preserve">, </w:t>
      </w:r>
      <w:r w:rsidR="00C93202" w:rsidRPr="002F1877">
        <w:rPr>
          <w:i/>
          <w:iCs/>
        </w:rPr>
        <w:t>Centre for Disease Control and Prevention</w:t>
      </w:r>
      <w:r w:rsidR="004E736C" w:rsidRPr="002F1877">
        <w:rPr>
          <w:i/>
          <w:iCs/>
        </w:rPr>
        <w:t xml:space="preserve"> </w:t>
      </w:r>
      <w:r w:rsidR="000857C2" w:rsidRPr="002F1877">
        <w:rPr>
          <w:i/>
          <w:iCs/>
        </w:rPr>
        <w:t>(</w:t>
      </w:r>
      <w:r w:rsidR="004E736C">
        <w:t xml:space="preserve">Web Page, </w:t>
      </w:r>
      <w:r w:rsidR="002F1877">
        <w:t xml:space="preserve">16 December </w:t>
      </w:r>
      <w:r w:rsidR="000857C2">
        <w:t>2022)</w:t>
      </w:r>
      <w:r>
        <w:t xml:space="preserve"> </w:t>
      </w:r>
      <w:r w:rsidR="000857C2">
        <w:t>&lt;</w:t>
      </w:r>
      <w:hyperlink r:id="rId9" w:history="1">
        <w:r w:rsidRPr="00350F27">
          <w:rPr>
            <w:rStyle w:val="Hyperlink"/>
          </w:rPr>
          <w:t>https://www.cdc.gov/coronavirus/2019-ncov/hcp/clinical-care/post-covid-conditions.html</w:t>
        </w:r>
      </w:hyperlink>
      <w:r w:rsidR="000857C2">
        <w:t>&gt;.</w:t>
      </w:r>
      <w:r>
        <w:t xml:space="preserve"> </w:t>
      </w:r>
    </w:p>
  </w:endnote>
  <w:endnote w:id="77">
    <w:p w14:paraId="563EE37B" w14:textId="31281E5F" w:rsidR="00E77672" w:rsidRPr="00267E61" w:rsidRDefault="00CD70D5" w:rsidP="00267E61">
      <w:pPr>
        <w:pStyle w:val="EndnoteText"/>
      </w:pPr>
      <w:r>
        <w:rPr>
          <w:rStyle w:val="EndnoteReference"/>
        </w:rPr>
        <w:endnoteRef/>
      </w:r>
      <w:r>
        <w:t xml:space="preserve"> </w:t>
      </w:r>
      <w:r w:rsidR="00F110F9" w:rsidRPr="00F110F9">
        <w:t>CDC/National Center for Health Statistics, ‘Nearly One in Five American Adults Who Have Had COVID-19 Still Have “Long COVID”</w:t>
      </w:r>
      <w:r w:rsidR="00D1789D">
        <w:t>.</w:t>
      </w:r>
      <w:r w:rsidR="00F110F9" w:rsidRPr="00F110F9">
        <w:t xml:space="preserve"> </w:t>
      </w:r>
      <w:r w:rsidR="00267E61">
        <w:t>&lt;</w:t>
      </w:r>
      <w:hyperlink r:id="rId10" w:history="1">
        <w:r w:rsidR="00ED51FF" w:rsidRPr="00265152">
          <w:rPr>
            <w:rStyle w:val="Hyperlink"/>
          </w:rPr>
          <w:t>https://www.cdc.gov/nchs/pressroom/nchs_press_releases/2022/20220622.htm</w:t>
        </w:r>
      </w:hyperlink>
      <w:r w:rsidR="00267E61">
        <w:t>&gt;</w:t>
      </w:r>
      <w:r w:rsidR="00F01352">
        <w:t>.</w:t>
      </w:r>
    </w:p>
  </w:endnote>
  <w:endnote w:id="78">
    <w:p w14:paraId="51349618" w14:textId="0893EC79" w:rsidR="00E77672" w:rsidRPr="00DB5AF1" w:rsidRDefault="002338A0">
      <w:pPr>
        <w:pStyle w:val="EndnoteText"/>
        <w:rPr>
          <w:lang w:val="en-GB"/>
        </w:rPr>
      </w:pPr>
      <w:r>
        <w:rPr>
          <w:rStyle w:val="EndnoteReference"/>
        </w:rPr>
        <w:endnoteRef/>
      </w:r>
      <w:r>
        <w:t xml:space="preserve"> </w:t>
      </w:r>
      <w:r w:rsidRPr="002338A0">
        <w:t xml:space="preserve">ABC Radio National, 'Mass disabling event': Long COVID is hitting Australian workplaces’ (broadcast 26 Jun 2022) </w:t>
      </w:r>
      <w:hyperlink r:id="rId11" w:history="1">
        <w:r w:rsidR="00C83E02" w:rsidRPr="00265152">
          <w:rPr>
            <w:rStyle w:val="Hyperlink"/>
          </w:rPr>
          <w:t>https://www.abc.net.au/radionational/programs/this-working-life/mass-disabling-event-long-covid-is-hitting-australian-workplaces/13944890</w:t>
        </w:r>
      </w:hyperlink>
      <w:r w:rsidR="00C83E02">
        <w:t xml:space="preserve">. </w:t>
      </w:r>
    </w:p>
  </w:endnote>
  <w:endnote w:id="79">
    <w:p w14:paraId="098C402B" w14:textId="14C8B1A6" w:rsidR="00EE4441" w:rsidRDefault="00EE4441">
      <w:pPr>
        <w:pStyle w:val="EndnoteText"/>
      </w:pPr>
      <w:r w:rsidRPr="00F96E6E">
        <w:rPr>
          <w:rStyle w:val="EndnoteReference"/>
        </w:rPr>
        <w:endnoteRef/>
      </w:r>
      <w:r w:rsidRPr="00F96E6E">
        <w:t xml:space="preserve"> </w:t>
      </w:r>
      <w:r w:rsidR="00812FEE" w:rsidRPr="00F96E6E">
        <w:rPr>
          <w:i/>
        </w:rPr>
        <w:t>I</w:t>
      </w:r>
      <w:r w:rsidR="00812FEE" w:rsidRPr="00D2184F">
        <w:rPr>
          <w:i/>
        </w:rPr>
        <w:t>dentified gaps in the scope of work undertaken by the Disability Royal Commission</w:t>
      </w:r>
      <w:r w:rsidR="00812FEE">
        <w:rPr>
          <w:i/>
        </w:rPr>
        <w:t xml:space="preserve"> </w:t>
      </w:r>
      <w:r w:rsidR="00F96E6E">
        <w:t>(n 2)</w:t>
      </w:r>
      <w:r w:rsidR="00D1789D">
        <w:t>.</w:t>
      </w:r>
    </w:p>
  </w:endnote>
  <w:endnote w:id="80">
    <w:p w14:paraId="263134B0" w14:textId="49E52A64" w:rsidR="00DB5805" w:rsidRDefault="00DB5805">
      <w:pPr>
        <w:pStyle w:val="EndnoteText"/>
      </w:pPr>
      <w:r>
        <w:rPr>
          <w:rStyle w:val="EndnoteReference"/>
        </w:rPr>
        <w:endnoteRef/>
      </w:r>
      <w:r>
        <w:t xml:space="preserve"> For every communication, the CRPD Committee also produces views </w:t>
      </w:r>
      <w:r w:rsidR="00977293">
        <w:t>and recommendations for the State Party to provide effective remedy to the individual or group of individuals affected. These recommendations are not included in the table.</w:t>
      </w:r>
    </w:p>
  </w:endnote>
  <w:endnote w:id="81">
    <w:p w14:paraId="7F8E5859" w14:textId="41E1FAAD" w:rsidR="008D4BF4" w:rsidRPr="00F544FD" w:rsidRDefault="008D4BF4" w:rsidP="008D4BF4">
      <w:pPr>
        <w:pStyle w:val="EndnoteText"/>
      </w:pPr>
      <w:r w:rsidRPr="0064041D">
        <w:rPr>
          <w:rStyle w:val="EndnoteReference"/>
        </w:rPr>
        <w:endnoteRef/>
      </w:r>
      <w:r w:rsidRPr="0064041D">
        <w:t xml:space="preserve"> </w:t>
      </w:r>
      <w:r w:rsidR="005079C9" w:rsidRPr="00D85920">
        <w:rPr>
          <w:i/>
          <w:iCs/>
        </w:rPr>
        <w:t>Final Report:</w:t>
      </w:r>
      <w:r w:rsidR="005079C9">
        <w:t xml:space="preserve"> </w:t>
      </w:r>
      <w:r w:rsidR="005079C9" w:rsidRPr="009621BE">
        <w:rPr>
          <w:i/>
        </w:rPr>
        <w:t>Equality, Capacity and Disability in Commonwealth Laws</w:t>
      </w:r>
      <w:r w:rsidR="005079C9">
        <w:rPr>
          <w:iCs/>
        </w:rPr>
        <w:t xml:space="preserve"> (n 51)</w:t>
      </w:r>
      <w:r w:rsidR="00D1789D">
        <w:rPr>
          <w:iCs/>
        </w:rPr>
        <w:t>.</w:t>
      </w:r>
    </w:p>
  </w:endnote>
  <w:endnote w:id="82">
    <w:p w14:paraId="12E0567B" w14:textId="1FE11EE3" w:rsidR="008D4BF4" w:rsidRDefault="008D4BF4" w:rsidP="008D4BF4">
      <w:pPr>
        <w:pStyle w:val="EndnoteText"/>
      </w:pPr>
      <w:r w:rsidRPr="00197DFC">
        <w:rPr>
          <w:rStyle w:val="EndnoteReference"/>
        </w:rPr>
        <w:endnoteRef/>
      </w:r>
      <w:r w:rsidRPr="00197DFC">
        <w:t xml:space="preserve"> </w:t>
      </w:r>
      <w:r w:rsidR="008B22B8" w:rsidRPr="00197DFC">
        <w:t>‘Recent and proposed changes to electoral law</w:t>
      </w:r>
      <w:r w:rsidR="00EA07B9" w:rsidRPr="00197DFC">
        <w:t xml:space="preserve">’, </w:t>
      </w:r>
      <w:r w:rsidR="00EA07B9" w:rsidRPr="00197DFC">
        <w:rPr>
          <w:i/>
          <w:iCs/>
        </w:rPr>
        <w:t xml:space="preserve">Australian Electoral Commission </w:t>
      </w:r>
      <w:r w:rsidR="00EA07B9" w:rsidRPr="00197DFC">
        <w:t xml:space="preserve">(Web Page, </w:t>
      </w:r>
      <w:r w:rsidR="00197DFC" w:rsidRPr="00197DFC">
        <w:t xml:space="preserve">18 February 2022) </w:t>
      </w:r>
      <w:hyperlink r:id="rId12" w:history="1">
        <w:r w:rsidR="00197DFC" w:rsidRPr="00197DFC">
          <w:rPr>
            <w:rStyle w:val="Hyperlink"/>
          </w:rPr>
          <w:t>https://www.aec.gov.au/news/electoral-laws.htm</w:t>
        </w:r>
      </w:hyperlink>
      <w:r w:rsidR="00197DFC" w:rsidRPr="00197DFC">
        <w:t>&gt;.</w:t>
      </w:r>
      <w:r w:rsidR="00197DFC">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5FFC" w14:textId="77777777" w:rsidR="00AC636D" w:rsidRPr="000465F1" w:rsidRDefault="00AC636D" w:rsidP="000465F1">
    <w:pPr>
      <w:pStyle w:val="Footer"/>
    </w:pPr>
    <w:r w:rsidRPr="000465F1">
      <w:t>ABN 47 996 232 602</w:t>
    </w:r>
  </w:p>
  <w:p w14:paraId="78711D3C" w14:textId="77777777" w:rsidR="00AC636D" w:rsidRPr="000465F1" w:rsidRDefault="00AC636D" w:rsidP="000465F1">
    <w:pPr>
      <w:pStyle w:val="Footer"/>
    </w:pPr>
    <w:r w:rsidRPr="000465F1">
      <w:t>GPO Box 5218, Sydney NSW 2001</w:t>
    </w:r>
  </w:p>
  <w:p w14:paraId="267B8D12" w14:textId="77777777" w:rsidR="00AC636D" w:rsidRPr="000465F1" w:rsidRDefault="00AC636D" w:rsidP="000465F1">
    <w:pPr>
      <w:pStyle w:val="Footer"/>
    </w:pPr>
    <w:r w:rsidRPr="000465F1">
      <w:t>General enquiries 1300 369 711</w:t>
    </w:r>
  </w:p>
  <w:p w14:paraId="6CDFB232" w14:textId="77777777" w:rsidR="00AC636D" w:rsidRPr="000465F1" w:rsidRDefault="00990B81" w:rsidP="000465F1">
    <w:pPr>
      <w:pStyle w:val="Footer"/>
    </w:pPr>
    <w:r>
      <w:t>National Info Service</w:t>
    </w:r>
    <w:r w:rsidR="00AC636D" w:rsidRPr="000465F1">
      <w:t xml:space="preserve"> 1300 656 419</w:t>
    </w:r>
  </w:p>
  <w:p w14:paraId="5CC40D04"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E5F7" w14:textId="77777777" w:rsidR="008D4BF4" w:rsidRDefault="008D4BF4">
    <w:pPr>
      <w:pStyle w:val="Footer"/>
      <w:jc w:val="right"/>
    </w:pPr>
    <w:r>
      <w:fldChar w:fldCharType="begin"/>
    </w:r>
    <w:r>
      <w:instrText xml:space="preserve"> PAGE   \* MERGEFORMAT </w:instrText>
    </w:r>
    <w:r>
      <w:fldChar w:fldCharType="separate"/>
    </w:r>
    <w:r>
      <w:rPr>
        <w:noProof/>
      </w:rPr>
      <w:t>2</w:t>
    </w:r>
    <w:r>
      <w:rPr>
        <w:noProof/>
      </w:rPr>
      <w:fldChar w:fldCharType="end"/>
    </w:r>
  </w:p>
  <w:p w14:paraId="7B470A85" w14:textId="77777777" w:rsidR="008D4BF4" w:rsidRDefault="008D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716A" w14:textId="77777777" w:rsidR="008D4BF4" w:rsidRDefault="008D4BF4" w:rsidP="00E53546">
    <w:pPr>
      <w:pStyle w:val="FooterOddPageNumber"/>
    </w:pPr>
    <w:r w:rsidRPr="00AB7C8F">
      <w:fldChar w:fldCharType="begin"/>
    </w:r>
    <w:r>
      <w:instrText xml:space="preserve"> PAGE   \* MERGEFORMAT </w:instrText>
    </w:r>
    <w:r w:rsidRPr="00AB7C8F">
      <w:fldChar w:fldCharType="separate"/>
    </w:r>
    <w:r>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C14F" w14:textId="77777777" w:rsidR="008D4BF4" w:rsidRDefault="008D4BF4">
    <w:pPr>
      <w:pStyle w:val="Footer"/>
      <w:jc w:val="right"/>
    </w:pPr>
    <w:r>
      <w:fldChar w:fldCharType="begin"/>
    </w:r>
    <w:r>
      <w:instrText xml:space="preserve"> PAGE   \* MERGEFORMAT </w:instrText>
    </w:r>
    <w:r>
      <w:fldChar w:fldCharType="separate"/>
    </w:r>
    <w:r>
      <w:rPr>
        <w:noProof/>
      </w:rPr>
      <w:t>2</w:t>
    </w:r>
    <w:r>
      <w:rPr>
        <w:noProof/>
      </w:rPr>
      <w:fldChar w:fldCharType="end"/>
    </w:r>
  </w:p>
  <w:p w14:paraId="750FE31D" w14:textId="77777777" w:rsidR="008D4BF4" w:rsidRDefault="008D4BF4"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28A3" w14:textId="77777777" w:rsidR="00BA1189" w:rsidRDefault="00BA1189" w:rsidP="00F14C6D">
      <w:r>
        <w:separator/>
      </w:r>
    </w:p>
  </w:footnote>
  <w:footnote w:type="continuationSeparator" w:id="0">
    <w:p w14:paraId="5DE318B2" w14:textId="77777777" w:rsidR="00BA1189" w:rsidRDefault="00BA1189" w:rsidP="00F14C6D">
      <w:r>
        <w:continuationSeparator/>
      </w:r>
    </w:p>
  </w:footnote>
  <w:footnote w:type="continuationNotice" w:id="1">
    <w:p w14:paraId="21FD8327" w14:textId="77777777" w:rsidR="00BA1189" w:rsidRDefault="00BA118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F422" w14:textId="77777777" w:rsidR="00BF6406" w:rsidRPr="000465F1" w:rsidRDefault="005713E7" w:rsidP="000465F1">
    <w:pPr>
      <w:pStyle w:val="Header"/>
    </w:pPr>
    <w:r>
      <w:rPr>
        <w:noProof/>
      </w:rPr>
      <w:drawing>
        <wp:anchor distT="0" distB="0" distL="114300" distR="114300" simplePos="0" relativeHeight="251658241" behindDoc="1" locked="0" layoutInCell="0" allowOverlap="1" wp14:anchorId="40DA20DF" wp14:editId="209B67F8">
          <wp:simplePos x="0" y="0"/>
          <wp:positionH relativeFrom="margin">
            <wp:align>center</wp:align>
          </wp:positionH>
          <wp:positionV relativeFrom="margin">
            <wp:align>center</wp:align>
          </wp:positionV>
          <wp:extent cx="11822430" cy="17271365"/>
          <wp:effectExtent l="0" t="0" r="0" b="5715"/>
          <wp:wrapNone/>
          <wp:docPr id="19" name="WordPictureWatermark1034833"/>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034833"/>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0" cy="4490085"/>
                  </a:xfrm>
                  <a:prstGeom prst="rect">
                    <a:avLst/>
                  </a:prstGeom>
                  <a:noFill/>
                </pic:spPr>
              </pic:pic>
            </a:graphicData>
          </a:graphic>
          <wp14:sizeRelH relativeFrom="page">
            <wp14:pctWidth>0</wp14:pctWidth>
          </wp14:sizeRelH>
          <wp14:sizeRelV relativeFrom="page">
            <wp14:pctHeight>0</wp14:pctHeight>
          </wp14:sizeRelV>
        </wp:anchor>
      </w:drawing>
    </w:r>
    <w:r w:rsidR="00BF6406" w:rsidRPr="000465F1">
      <w:t>Australian Human Rights Commission</w:t>
    </w:r>
  </w:p>
  <w:p w14:paraId="076C7527"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3C90" w14:textId="77777777" w:rsidR="00B34946" w:rsidRPr="000465F1" w:rsidRDefault="005713E7" w:rsidP="000465F1">
    <w:r>
      <w:rPr>
        <w:noProof/>
      </w:rPr>
      <w:drawing>
        <wp:anchor distT="0" distB="0" distL="114300" distR="114300" simplePos="0" relativeHeight="251658242" behindDoc="1" locked="0" layoutInCell="0" allowOverlap="1" wp14:anchorId="0B2BE95A" wp14:editId="04F06233">
          <wp:simplePos x="0" y="0"/>
          <wp:positionH relativeFrom="margin">
            <wp:align>center</wp:align>
          </wp:positionH>
          <wp:positionV relativeFrom="margin">
            <wp:align>center</wp:align>
          </wp:positionV>
          <wp:extent cx="11822430" cy="17271365"/>
          <wp:effectExtent l="0" t="0" r="0" b="5715"/>
          <wp:wrapNone/>
          <wp:docPr id="20" name="WordPictureWatermark1034834"/>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034834"/>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0" cy="4490085"/>
                  </a:xfrm>
                  <a:prstGeom prst="rect">
                    <a:avLst/>
                  </a:prstGeom>
                  <a:noFill/>
                </pic:spPr>
              </pic:pic>
            </a:graphicData>
          </a:graphic>
          <wp14:sizeRelH relativeFrom="page">
            <wp14:pctWidth>0</wp14:pctWidth>
          </wp14:sizeRelH>
          <wp14:sizeRelV relativeFrom="page">
            <wp14:pctHeight>0</wp14:pctHeight>
          </wp14:sizeRelV>
        </wp:anchor>
      </w:drawing>
    </w:r>
    <w:r w:rsidR="00B34946" w:rsidRPr="000465F1">
      <w:t>Australian Human Rights Commission</w:t>
    </w:r>
  </w:p>
  <w:p w14:paraId="388F4923"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D527" w14:textId="77777777" w:rsidR="00CC2AA0" w:rsidRDefault="005713E7" w:rsidP="002012F7">
    <w:pPr>
      <w:pStyle w:val="Header"/>
    </w:pPr>
    <w:r>
      <w:rPr>
        <w:noProof/>
      </w:rPr>
      <w:drawing>
        <wp:anchor distT="0" distB="0" distL="114300" distR="114300" simplePos="0" relativeHeight="251658243" behindDoc="1" locked="0" layoutInCell="0" allowOverlap="1" wp14:anchorId="2EA3C91C" wp14:editId="14F3EE7C">
          <wp:simplePos x="0" y="0"/>
          <wp:positionH relativeFrom="margin">
            <wp:posOffset>-902335</wp:posOffset>
          </wp:positionH>
          <wp:positionV relativeFrom="margin">
            <wp:posOffset>-1377950</wp:posOffset>
          </wp:positionV>
          <wp:extent cx="7564755" cy="11050905"/>
          <wp:effectExtent l="0" t="0" r="0" b="3175"/>
          <wp:wrapNone/>
          <wp:docPr id="23" name="WordPictureWatermark14066017"/>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4066017"/>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340" cy="4530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0" allowOverlap="1" wp14:anchorId="5C66FF7A" wp14:editId="6D10C81C">
          <wp:simplePos x="0" y="0"/>
          <wp:positionH relativeFrom="margin">
            <wp:posOffset>-900430</wp:posOffset>
          </wp:positionH>
          <wp:positionV relativeFrom="margin">
            <wp:posOffset>-1384935</wp:posOffset>
          </wp:positionV>
          <wp:extent cx="7557770" cy="11041380"/>
          <wp:effectExtent l="0" t="0" r="635" b="0"/>
          <wp:wrapNone/>
          <wp:docPr id="18" name="WordPictureWatermark1034832"/>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034832"/>
                  <pic:cNvPicPr>
                    <a:picLocks noGrp="1" noRot="1" noChangeAspect="1" noResize="1" noEditPoints="1" noAdjustHandles="1" noChangeArrowheads="1" noChangeShapeType="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98165" cy="4526915"/>
                  </a:xfrm>
                  <a:prstGeom prst="rect">
                    <a:avLst/>
                  </a:prstGeom>
                  <a:noFill/>
                </pic:spPr>
              </pic:pic>
            </a:graphicData>
          </a:graphic>
          <wp14:sizeRelH relativeFrom="page">
            <wp14:pctWidth>0</wp14:pctWidth>
          </wp14:sizeRelH>
          <wp14:sizeRelV relativeFrom="page">
            <wp14:pctHeight>0</wp14:pctHeight>
          </wp14:sizeRelV>
        </wp:anchor>
      </w:drawing>
    </w:r>
  </w:p>
  <w:p w14:paraId="2E01EB99" w14:textId="77777777" w:rsidR="008B3899" w:rsidRDefault="008B3899" w:rsidP="002012F7">
    <w:pPr>
      <w:pStyle w:val="Header"/>
    </w:pPr>
  </w:p>
  <w:p w14:paraId="1AB8096D"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61CF" w14:textId="77777777" w:rsidR="008D4BF4" w:rsidRPr="000465F1" w:rsidRDefault="008D4BF4"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6BA8" w14:textId="77777777" w:rsidR="008D4BF4" w:rsidRPr="00902EC3" w:rsidRDefault="008D4BF4" w:rsidP="00902EC3">
    <w:pPr>
      <w:pStyle w:val="Header"/>
    </w:pPr>
    <w:r w:rsidRPr="00902EC3">
      <w:t>Australian Human Rights Commission</w:t>
    </w:r>
  </w:p>
  <w:p w14:paraId="789308DC" w14:textId="04DBC5B3" w:rsidR="008D4BF4" w:rsidRDefault="008D4BF4" w:rsidP="002F5E96">
    <w:pPr>
      <w:pStyle w:val="HeaderDocumentDate"/>
      <w:rPr>
        <w:rStyle w:val="Reporttitleinheader"/>
      </w:rPr>
    </w:pPr>
    <w:r>
      <w:rPr>
        <w:rStyle w:val="Reporttitleinheader"/>
      </w:rPr>
      <w:t>Submission to the Royal Commission into</w:t>
    </w:r>
  </w:p>
  <w:p w14:paraId="3BC7D14A" w14:textId="77777777" w:rsidR="008D4BF4" w:rsidRDefault="008D4BF4" w:rsidP="002F5E96">
    <w:pPr>
      <w:pStyle w:val="HeaderDocumentDate"/>
      <w:rPr>
        <w:rStyle w:val="Reporttitleinheader"/>
      </w:rPr>
    </w:pPr>
    <w:r>
      <w:rPr>
        <w:rStyle w:val="Reporttitleinheader"/>
      </w:rPr>
      <w:t xml:space="preserve"> Violence, Abuse, Neglect and Exploitation</w:t>
    </w:r>
  </w:p>
  <w:p w14:paraId="7BB4D6FA" w14:textId="77777777" w:rsidR="008D4BF4" w:rsidRDefault="008D4BF4" w:rsidP="002F5E96">
    <w:pPr>
      <w:pStyle w:val="HeaderDocumentDate"/>
      <w:rPr>
        <w:rStyle w:val="Reporttitleinheader"/>
      </w:rPr>
    </w:pPr>
    <w:r>
      <w:rPr>
        <w:rStyle w:val="Reporttitleinheader"/>
      </w:rPr>
      <w:t>of People with Disability</w:t>
    </w:r>
  </w:p>
  <w:p w14:paraId="63A81F84" w14:textId="3EE5996B" w:rsidR="008D4BF4" w:rsidRPr="000465F1" w:rsidRDefault="008D4BF4" w:rsidP="002F5E96">
    <w:pPr>
      <w:pStyle w:val="HeaderDocumentDate"/>
    </w:pPr>
    <w:r>
      <w:fldChar w:fldCharType="begin"/>
    </w:r>
    <w:r>
      <w:instrText xml:space="preserve"> CREATEDATE  \@ "MMMM yyyy"  \* MERGEFORMAT </w:instrText>
    </w:r>
    <w:r>
      <w:fldChar w:fldCharType="separate"/>
    </w:r>
    <w:r w:rsidR="00950D7E">
      <w:rPr>
        <w:noProof/>
      </w:rPr>
      <w:t>December 2022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63D7" w14:textId="77777777" w:rsidR="008D4BF4" w:rsidRPr="00F51ECD" w:rsidRDefault="008D4BF4" w:rsidP="0063009F">
    <w:pPr>
      <w:pStyle w:val="Header"/>
      <w:rPr>
        <w:sz w:val="22"/>
        <w:szCs w:val="22"/>
      </w:rPr>
    </w:pPr>
    <w:r w:rsidRPr="00F51ECD">
      <w:rPr>
        <w:sz w:val="22"/>
        <w:szCs w:val="22"/>
      </w:rPr>
      <w:t>Australian Human Rights Commission</w:t>
    </w:r>
  </w:p>
  <w:p w14:paraId="4EC7F71C" w14:textId="7E3C158D" w:rsidR="008D4BF4" w:rsidRDefault="008D4BF4" w:rsidP="00FE17A6">
    <w:pPr>
      <w:pStyle w:val="HeaderDocumentDate"/>
      <w:rPr>
        <w:rStyle w:val="Reporttitleinheader"/>
      </w:rPr>
    </w:pPr>
    <w:r>
      <w:rPr>
        <w:rStyle w:val="Reporttitleinheader"/>
      </w:rPr>
      <w:t>Submission to the Royal Commission into</w:t>
    </w:r>
  </w:p>
  <w:p w14:paraId="685FDC5D" w14:textId="77777777" w:rsidR="008D4BF4" w:rsidRDefault="008D4BF4" w:rsidP="00FE17A6">
    <w:pPr>
      <w:pStyle w:val="HeaderDocumentDate"/>
      <w:rPr>
        <w:rStyle w:val="Reporttitleinheader"/>
      </w:rPr>
    </w:pPr>
    <w:r>
      <w:rPr>
        <w:rStyle w:val="Reporttitleinheader"/>
      </w:rPr>
      <w:t xml:space="preserve"> Violence, Abuse, Neglect and Exploitation</w:t>
    </w:r>
  </w:p>
  <w:p w14:paraId="4095CAE7" w14:textId="77777777" w:rsidR="008D4BF4" w:rsidRDefault="008D4BF4" w:rsidP="00FE17A6">
    <w:pPr>
      <w:pStyle w:val="HeaderDocumentDate"/>
      <w:rPr>
        <w:rStyle w:val="Reporttitleinheader"/>
      </w:rPr>
    </w:pPr>
    <w:r>
      <w:rPr>
        <w:rStyle w:val="Reporttitleinheader"/>
      </w:rPr>
      <w:t>of People with Disability</w:t>
    </w:r>
  </w:p>
  <w:p w14:paraId="4D95E811" w14:textId="35FC2B85" w:rsidR="008D4BF4" w:rsidRPr="000465F1" w:rsidRDefault="008D4BF4" w:rsidP="0063009F">
    <w:pPr>
      <w:pStyle w:val="HeaderDocumentDate"/>
    </w:pPr>
    <w:r>
      <w:t xml:space="preserve"> </w:t>
    </w:r>
    <w:r>
      <w:fldChar w:fldCharType="begin"/>
    </w:r>
    <w:r>
      <w:instrText xml:space="preserve"> CREATEDATE  \@ "MMMM yyyy"  \* MERGEFORMAT </w:instrText>
    </w:r>
    <w:r>
      <w:fldChar w:fldCharType="separate"/>
    </w:r>
    <w:r w:rsidR="00950D7E">
      <w:rPr>
        <w:noProof/>
      </w:rPr>
      <w:t>December 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6AEAC8"/>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0295D6A"/>
    <w:multiLevelType w:val="hybridMultilevel"/>
    <w:tmpl w:val="EC68E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F33857"/>
    <w:multiLevelType w:val="hybridMultilevel"/>
    <w:tmpl w:val="28DCD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15:restartNumberingAfterBreak="0">
    <w:nsid w:val="12DC300C"/>
    <w:multiLevelType w:val="hybridMultilevel"/>
    <w:tmpl w:val="97E24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3D67C8"/>
    <w:multiLevelType w:val="hybridMultilevel"/>
    <w:tmpl w:val="84A64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AE6390"/>
    <w:multiLevelType w:val="hybridMultilevel"/>
    <w:tmpl w:val="B7109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7E659D"/>
    <w:multiLevelType w:val="hybridMultilevel"/>
    <w:tmpl w:val="F25C6666"/>
    <w:styleLink w:val="ImportedStyle11"/>
    <w:lvl w:ilvl="0" w:tplc="EEC239F6">
      <w:start w:val="1"/>
      <w:numFmt w:val="bullet"/>
      <w:lvlText w:val="·"/>
      <w:lvlJc w:val="left"/>
      <w:pPr>
        <w:tabs>
          <w:tab w:val="left" w:pos="113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7AAB00">
      <w:start w:val="1"/>
      <w:numFmt w:val="bullet"/>
      <w:lvlText w:val="·"/>
      <w:lvlJc w:val="left"/>
      <w:pPr>
        <w:tabs>
          <w:tab w:val="left" w:pos="1134"/>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644C512">
      <w:start w:val="1"/>
      <w:numFmt w:val="bullet"/>
      <w:lvlText w:val="·"/>
      <w:lvlJc w:val="left"/>
      <w:pPr>
        <w:tabs>
          <w:tab w:val="left" w:pos="1134"/>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6B8EF00">
      <w:start w:val="1"/>
      <w:numFmt w:val="bullet"/>
      <w:lvlText w:val="·"/>
      <w:lvlJc w:val="left"/>
      <w:pPr>
        <w:tabs>
          <w:tab w:val="left" w:pos="1134"/>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6A9B76">
      <w:start w:val="1"/>
      <w:numFmt w:val="bullet"/>
      <w:lvlText w:val="·"/>
      <w:lvlJc w:val="left"/>
      <w:pPr>
        <w:tabs>
          <w:tab w:val="left" w:pos="1134"/>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BFE6682">
      <w:start w:val="1"/>
      <w:numFmt w:val="bullet"/>
      <w:lvlText w:val="·"/>
      <w:lvlJc w:val="left"/>
      <w:pPr>
        <w:tabs>
          <w:tab w:val="left" w:pos="1134"/>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1F867FC">
      <w:start w:val="1"/>
      <w:numFmt w:val="bullet"/>
      <w:lvlText w:val="·"/>
      <w:lvlJc w:val="left"/>
      <w:pPr>
        <w:tabs>
          <w:tab w:val="left" w:pos="1134"/>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36180E">
      <w:start w:val="1"/>
      <w:numFmt w:val="bullet"/>
      <w:lvlText w:val="·"/>
      <w:lvlJc w:val="left"/>
      <w:pPr>
        <w:tabs>
          <w:tab w:val="left" w:pos="1134"/>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03E6DDA">
      <w:start w:val="1"/>
      <w:numFmt w:val="bullet"/>
      <w:lvlText w:val="·"/>
      <w:lvlJc w:val="left"/>
      <w:pPr>
        <w:tabs>
          <w:tab w:val="left" w:pos="1134"/>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BE66A6D"/>
    <w:multiLevelType w:val="hybridMultilevel"/>
    <w:tmpl w:val="2A3CBA2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2F78AA"/>
    <w:multiLevelType w:val="hybridMultilevel"/>
    <w:tmpl w:val="EC645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AA5537"/>
    <w:multiLevelType w:val="hybridMultilevel"/>
    <w:tmpl w:val="78749D16"/>
    <w:lvl w:ilvl="0" w:tplc="E42AAECC">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51A10E5"/>
    <w:multiLevelType w:val="hybridMultilevel"/>
    <w:tmpl w:val="8D2AE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391150"/>
    <w:multiLevelType w:val="hybridMultilevel"/>
    <w:tmpl w:val="A9D853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03805B3"/>
    <w:multiLevelType w:val="hybridMultilevel"/>
    <w:tmpl w:val="A6E65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E21B7A"/>
    <w:multiLevelType w:val="hybridMultilevel"/>
    <w:tmpl w:val="BA0E3644"/>
    <w:lvl w:ilvl="0" w:tplc="AA0AD98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3DA65FA"/>
    <w:multiLevelType w:val="hybridMultilevel"/>
    <w:tmpl w:val="DBC8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B73602"/>
    <w:multiLevelType w:val="hybridMultilevel"/>
    <w:tmpl w:val="6A804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01C3607"/>
    <w:multiLevelType w:val="hybridMultilevel"/>
    <w:tmpl w:val="A74ED9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3" w15:restartNumberingAfterBreak="0">
    <w:nsid w:val="4CB74660"/>
    <w:multiLevelType w:val="hybridMultilevel"/>
    <w:tmpl w:val="E854A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FEB217B"/>
    <w:multiLevelType w:val="hybridMultilevel"/>
    <w:tmpl w:val="4878737C"/>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6" w15:restartNumberingAfterBreak="0">
    <w:nsid w:val="50CA2A71"/>
    <w:multiLevelType w:val="hybridMultilevel"/>
    <w:tmpl w:val="F2A4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870636"/>
    <w:multiLevelType w:val="hybridMultilevel"/>
    <w:tmpl w:val="EC448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AB77EF"/>
    <w:multiLevelType w:val="hybridMultilevel"/>
    <w:tmpl w:val="F25C6666"/>
    <w:numStyleLink w:val="ImportedStyle11"/>
  </w:abstractNum>
  <w:abstractNum w:abstractNumId="39" w15:restartNumberingAfterBreak="0">
    <w:nsid w:val="64D628DC"/>
    <w:multiLevelType w:val="hybridMultilevel"/>
    <w:tmpl w:val="8096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7825F3"/>
    <w:multiLevelType w:val="hybridMultilevel"/>
    <w:tmpl w:val="5168559E"/>
    <w:lvl w:ilvl="0" w:tplc="8E90D6EA">
      <w:numFmt w:val="bullet"/>
      <w:lvlText w:val="-"/>
      <w:lvlJc w:val="left"/>
      <w:pPr>
        <w:ind w:left="720" w:hanging="360"/>
      </w:pPr>
      <w:rPr>
        <w:rFonts w:ascii="Open Sans" w:eastAsia="MS Mincho"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FE7E0B"/>
    <w:multiLevelType w:val="hybridMultilevel"/>
    <w:tmpl w:val="97680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303094"/>
    <w:multiLevelType w:val="hybridMultilevel"/>
    <w:tmpl w:val="B44C6E2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32478EF"/>
    <w:multiLevelType w:val="hybridMultilevel"/>
    <w:tmpl w:val="6B4CDD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3E3181E"/>
    <w:multiLevelType w:val="hybridMultilevel"/>
    <w:tmpl w:val="FFCCE55C"/>
    <w:lvl w:ilvl="0" w:tplc="4BFEB5D4">
      <w:start w:val="2"/>
      <w:numFmt w:val="bullet"/>
      <w:lvlText w:val="-"/>
      <w:lvlJc w:val="left"/>
      <w:pPr>
        <w:ind w:left="720" w:hanging="360"/>
      </w:pPr>
      <w:rPr>
        <w:rFonts w:ascii="Open Sans" w:eastAsia="MS Mincho"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3F44B4"/>
    <w:multiLevelType w:val="hybridMultilevel"/>
    <w:tmpl w:val="FF0407A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46" w15:restartNumberingAfterBreak="0">
    <w:nsid w:val="79947F72"/>
    <w:multiLevelType w:val="hybridMultilevel"/>
    <w:tmpl w:val="04D84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6B2A3E"/>
    <w:multiLevelType w:val="multilevel"/>
    <w:tmpl w:val="8BE444DC"/>
    <w:numStyleLink w:val="AHRCReportHeadings"/>
  </w:abstractNum>
  <w:num w:numId="1" w16cid:durableId="760874090">
    <w:abstractNumId w:val="32"/>
  </w:num>
  <w:num w:numId="2" w16cid:durableId="1261059909">
    <w:abstractNumId w:val="9"/>
  </w:num>
  <w:num w:numId="3" w16cid:durableId="1023827692">
    <w:abstractNumId w:val="7"/>
  </w:num>
  <w:num w:numId="4" w16cid:durableId="1895312667">
    <w:abstractNumId w:val="6"/>
  </w:num>
  <w:num w:numId="5" w16cid:durableId="326204510">
    <w:abstractNumId w:val="5"/>
  </w:num>
  <w:num w:numId="6" w16cid:durableId="1086998620">
    <w:abstractNumId w:val="4"/>
  </w:num>
  <w:num w:numId="7" w16cid:durableId="993484242">
    <w:abstractNumId w:val="8"/>
  </w:num>
  <w:num w:numId="8" w16cid:durableId="1132871695">
    <w:abstractNumId w:val="1"/>
  </w:num>
  <w:num w:numId="9" w16cid:durableId="696737178">
    <w:abstractNumId w:val="0"/>
  </w:num>
  <w:num w:numId="10" w16cid:durableId="1609579044">
    <w:abstractNumId w:val="3"/>
  </w:num>
  <w:num w:numId="11" w16cid:durableId="1757482171">
    <w:abstractNumId w:val="2"/>
  </w:num>
  <w:num w:numId="12" w16cid:durableId="1094783635">
    <w:abstractNumId w:val="34"/>
  </w:num>
  <w:num w:numId="13" w16cid:durableId="826827003">
    <w:abstractNumId w:val="30"/>
  </w:num>
  <w:num w:numId="14" w16cid:durableId="1463768367">
    <w:abstractNumId w:val="20"/>
  </w:num>
  <w:num w:numId="15" w16cid:durableId="528030643">
    <w:abstractNumId w:val="19"/>
  </w:num>
  <w:num w:numId="16" w16cid:durableId="1796023162">
    <w:abstractNumId w:val="12"/>
  </w:num>
  <w:num w:numId="17" w16cid:durableId="527529873">
    <w:abstractNumId w:val="13"/>
  </w:num>
  <w:num w:numId="18" w16cid:durableId="1106657672">
    <w:abstractNumId w:val="47"/>
  </w:num>
  <w:num w:numId="19" w16cid:durableId="1525898818">
    <w:abstractNumId w:val="39"/>
  </w:num>
  <w:num w:numId="20" w16cid:durableId="583295550">
    <w:abstractNumId w:val="22"/>
  </w:num>
  <w:num w:numId="21" w16cid:durableId="557013846">
    <w:abstractNumId w:val="29"/>
  </w:num>
  <w:num w:numId="22" w16cid:durableId="959452791">
    <w:abstractNumId w:val="14"/>
  </w:num>
  <w:num w:numId="23" w16cid:durableId="490027127">
    <w:abstractNumId w:val="46"/>
  </w:num>
  <w:num w:numId="24" w16cid:durableId="720445461">
    <w:abstractNumId w:val="17"/>
  </w:num>
  <w:num w:numId="25" w16cid:durableId="1839418276">
    <w:abstractNumId w:val="38"/>
  </w:num>
  <w:num w:numId="26" w16cid:durableId="1955399080">
    <w:abstractNumId w:val="44"/>
  </w:num>
  <w:num w:numId="27" w16cid:durableId="1311904222">
    <w:abstractNumId w:val="16"/>
  </w:num>
  <w:num w:numId="28" w16cid:durableId="1297371649">
    <w:abstractNumId w:val="28"/>
  </w:num>
  <w:num w:numId="29" w16cid:durableId="2110461573">
    <w:abstractNumId w:val="15"/>
  </w:num>
  <w:num w:numId="30" w16cid:durableId="1355113060">
    <w:abstractNumId w:val="35"/>
  </w:num>
  <w:num w:numId="31" w16cid:durableId="2072999576">
    <w:abstractNumId w:val="33"/>
  </w:num>
  <w:num w:numId="32" w16cid:durableId="608897156">
    <w:abstractNumId w:val="36"/>
  </w:num>
  <w:num w:numId="33" w16cid:durableId="1058361099">
    <w:abstractNumId w:val="21"/>
  </w:num>
  <w:num w:numId="34" w16cid:durableId="467405202">
    <w:abstractNumId w:val="40"/>
  </w:num>
  <w:num w:numId="35" w16cid:durableId="396363347">
    <w:abstractNumId w:val="41"/>
  </w:num>
  <w:num w:numId="36" w16cid:durableId="1532839729">
    <w:abstractNumId w:val="18"/>
  </w:num>
  <w:num w:numId="37" w16cid:durableId="1950696799">
    <w:abstractNumId w:val="11"/>
  </w:num>
  <w:num w:numId="38" w16cid:durableId="1762022775">
    <w:abstractNumId w:val="10"/>
  </w:num>
  <w:num w:numId="39" w16cid:durableId="1292789135">
    <w:abstractNumId w:val="37"/>
  </w:num>
  <w:num w:numId="40" w16cid:durableId="1379738625">
    <w:abstractNumId w:val="43"/>
  </w:num>
  <w:num w:numId="41" w16cid:durableId="1730956556">
    <w:abstractNumId w:val="45"/>
  </w:num>
  <w:num w:numId="42" w16cid:durableId="1626616936">
    <w:abstractNumId w:val="26"/>
  </w:num>
  <w:num w:numId="43" w16cid:durableId="142895539">
    <w:abstractNumId w:val="27"/>
  </w:num>
  <w:num w:numId="44" w16cid:durableId="1928728864">
    <w:abstractNumId w:val="24"/>
  </w:num>
  <w:num w:numId="45" w16cid:durableId="624577220">
    <w:abstractNumId w:val="25"/>
  </w:num>
  <w:num w:numId="46" w16cid:durableId="1954743630">
    <w:abstractNumId w:val="31"/>
  </w:num>
  <w:num w:numId="47" w16cid:durableId="130053087">
    <w:abstractNumId w:val="23"/>
  </w:num>
  <w:num w:numId="48" w16cid:durableId="1357346729">
    <w:abstractNumId w:val="42"/>
  </w:num>
  <w:num w:numId="49" w16cid:durableId="745303126">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A1"/>
    <w:rsid w:val="0000105B"/>
    <w:rsid w:val="000015EC"/>
    <w:rsid w:val="000016BC"/>
    <w:rsid w:val="00001A47"/>
    <w:rsid w:val="00002A1E"/>
    <w:rsid w:val="00002B9A"/>
    <w:rsid w:val="00002C54"/>
    <w:rsid w:val="00002FE3"/>
    <w:rsid w:val="000038B4"/>
    <w:rsid w:val="00003B09"/>
    <w:rsid w:val="00003EA5"/>
    <w:rsid w:val="000040E2"/>
    <w:rsid w:val="00006964"/>
    <w:rsid w:val="00006D10"/>
    <w:rsid w:val="00006F3B"/>
    <w:rsid w:val="000073D2"/>
    <w:rsid w:val="00007BE0"/>
    <w:rsid w:val="000109B5"/>
    <w:rsid w:val="00010FCB"/>
    <w:rsid w:val="0001100D"/>
    <w:rsid w:val="000112B4"/>
    <w:rsid w:val="0001138A"/>
    <w:rsid w:val="00011E4F"/>
    <w:rsid w:val="00012179"/>
    <w:rsid w:val="0001306F"/>
    <w:rsid w:val="000133CC"/>
    <w:rsid w:val="000135F7"/>
    <w:rsid w:val="00013658"/>
    <w:rsid w:val="0001395C"/>
    <w:rsid w:val="00014250"/>
    <w:rsid w:val="0001439E"/>
    <w:rsid w:val="00014645"/>
    <w:rsid w:val="000147A3"/>
    <w:rsid w:val="00014807"/>
    <w:rsid w:val="00014BB2"/>
    <w:rsid w:val="00014E95"/>
    <w:rsid w:val="00015687"/>
    <w:rsid w:val="00015E50"/>
    <w:rsid w:val="00015F94"/>
    <w:rsid w:val="000161C2"/>
    <w:rsid w:val="0001703D"/>
    <w:rsid w:val="00017D6E"/>
    <w:rsid w:val="000207BE"/>
    <w:rsid w:val="00020805"/>
    <w:rsid w:val="00020B9D"/>
    <w:rsid w:val="00020BAD"/>
    <w:rsid w:val="00020F22"/>
    <w:rsid w:val="000210F7"/>
    <w:rsid w:val="00022912"/>
    <w:rsid w:val="00022BAD"/>
    <w:rsid w:val="0002338D"/>
    <w:rsid w:val="00023813"/>
    <w:rsid w:val="00023D89"/>
    <w:rsid w:val="00024184"/>
    <w:rsid w:val="0002423B"/>
    <w:rsid w:val="00024329"/>
    <w:rsid w:val="0002476A"/>
    <w:rsid w:val="0002488F"/>
    <w:rsid w:val="000248B0"/>
    <w:rsid w:val="00024E2A"/>
    <w:rsid w:val="000259FE"/>
    <w:rsid w:val="00026D67"/>
    <w:rsid w:val="00026F0D"/>
    <w:rsid w:val="0002769C"/>
    <w:rsid w:val="00027A3C"/>
    <w:rsid w:val="000310F5"/>
    <w:rsid w:val="00031381"/>
    <w:rsid w:val="00032111"/>
    <w:rsid w:val="00032D07"/>
    <w:rsid w:val="00032D0B"/>
    <w:rsid w:val="00032EF4"/>
    <w:rsid w:val="000333AF"/>
    <w:rsid w:val="000340FF"/>
    <w:rsid w:val="00034911"/>
    <w:rsid w:val="0003494D"/>
    <w:rsid w:val="0003590B"/>
    <w:rsid w:val="000369DC"/>
    <w:rsid w:val="00036BE4"/>
    <w:rsid w:val="00037965"/>
    <w:rsid w:val="0004065B"/>
    <w:rsid w:val="00041101"/>
    <w:rsid w:val="000413FF"/>
    <w:rsid w:val="000417E3"/>
    <w:rsid w:val="0004188C"/>
    <w:rsid w:val="00042032"/>
    <w:rsid w:val="00042613"/>
    <w:rsid w:val="000430B8"/>
    <w:rsid w:val="00043A03"/>
    <w:rsid w:val="00043B26"/>
    <w:rsid w:val="00043EC3"/>
    <w:rsid w:val="0004452A"/>
    <w:rsid w:val="000448EA"/>
    <w:rsid w:val="00044C20"/>
    <w:rsid w:val="00045712"/>
    <w:rsid w:val="00045C4B"/>
    <w:rsid w:val="00045CE3"/>
    <w:rsid w:val="00045E70"/>
    <w:rsid w:val="00046112"/>
    <w:rsid w:val="000465F1"/>
    <w:rsid w:val="00046B03"/>
    <w:rsid w:val="00047CD0"/>
    <w:rsid w:val="000500A8"/>
    <w:rsid w:val="000500AA"/>
    <w:rsid w:val="00050391"/>
    <w:rsid w:val="000503AF"/>
    <w:rsid w:val="000506E9"/>
    <w:rsid w:val="00051763"/>
    <w:rsid w:val="00051FA6"/>
    <w:rsid w:val="00052B5B"/>
    <w:rsid w:val="00053283"/>
    <w:rsid w:val="000534AC"/>
    <w:rsid w:val="00053679"/>
    <w:rsid w:val="00053DB6"/>
    <w:rsid w:val="0005476B"/>
    <w:rsid w:val="0005498E"/>
    <w:rsid w:val="00054F3D"/>
    <w:rsid w:val="00054F6A"/>
    <w:rsid w:val="000554DF"/>
    <w:rsid w:val="00055A1E"/>
    <w:rsid w:val="00057406"/>
    <w:rsid w:val="000579B1"/>
    <w:rsid w:val="00057A73"/>
    <w:rsid w:val="00057AD2"/>
    <w:rsid w:val="00060071"/>
    <w:rsid w:val="00060A0F"/>
    <w:rsid w:val="00060B02"/>
    <w:rsid w:val="00060DEB"/>
    <w:rsid w:val="000619BC"/>
    <w:rsid w:val="00061C6C"/>
    <w:rsid w:val="00061D14"/>
    <w:rsid w:val="00062BA2"/>
    <w:rsid w:val="00063047"/>
    <w:rsid w:val="000631D9"/>
    <w:rsid w:val="0006325F"/>
    <w:rsid w:val="0006355B"/>
    <w:rsid w:val="000635F7"/>
    <w:rsid w:val="00063601"/>
    <w:rsid w:val="00063C8D"/>
    <w:rsid w:val="00063F93"/>
    <w:rsid w:val="000641A9"/>
    <w:rsid w:val="00064854"/>
    <w:rsid w:val="0006512C"/>
    <w:rsid w:val="000657AA"/>
    <w:rsid w:val="00065AEB"/>
    <w:rsid w:val="00065EEA"/>
    <w:rsid w:val="00066537"/>
    <w:rsid w:val="00066C68"/>
    <w:rsid w:val="0006748D"/>
    <w:rsid w:val="000676A5"/>
    <w:rsid w:val="00070C51"/>
    <w:rsid w:val="00070FD2"/>
    <w:rsid w:val="000725AF"/>
    <w:rsid w:val="00072EDA"/>
    <w:rsid w:val="00074071"/>
    <w:rsid w:val="00074712"/>
    <w:rsid w:val="00074955"/>
    <w:rsid w:val="00074E54"/>
    <w:rsid w:val="00075988"/>
    <w:rsid w:val="00076127"/>
    <w:rsid w:val="000769D0"/>
    <w:rsid w:val="00076F99"/>
    <w:rsid w:val="00077CF8"/>
    <w:rsid w:val="000808BA"/>
    <w:rsid w:val="00081833"/>
    <w:rsid w:val="000819A5"/>
    <w:rsid w:val="00082930"/>
    <w:rsid w:val="00083035"/>
    <w:rsid w:val="000830D2"/>
    <w:rsid w:val="00083D83"/>
    <w:rsid w:val="00083F16"/>
    <w:rsid w:val="00084673"/>
    <w:rsid w:val="00085011"/>
    <w:rsid w:val="0008504B"/>
    <w:rsid w:val="00085070"/>
    <w:rsid w:val="00085459"/>
    <w:rsid w:val="000857C2"/>
    <w:rsid w:val="0008595E"/>
    <w:rsid w:val="000859FA"/>
    <w:rsid w:val="00086885"/>
    <w:rsid w:val="00087142"/>
    <w:rsid w:val="000873E5"/>
    <w:rsid w:val="000879B6"/>
    <w:rsid w:val="000906E3"/>
    <w:rsid w:val="000907D2"/>
    <w:rsid w:val="000909A8"/>
    <w:rsid w:val="00090A6C"/>
    <w:rsid w:val="00090BD7"/>
    <w:rsid w:val="0009144D"/>
    <w:rsid w:val="00091608"/>
    <w:rsid w:val="00091B0C"/>
    <w:rsid w:val="00092217"/>
    <w:rsid w:val="00092868"/>
    <w:rsid w:val="00093228"/>
    <w:rsid w:val="00093542"/>
    <w:rsid w:val="000936FB"/>
    <w:rsid w:val="0009385C"/>
    <w:rsid w:val="000946AD"/>
    <w:rsid w:val="000948C2"/>
    <w:rsid w:val="0009513E"/>
    <w:rsid w:val="00095896"/>
    <w:rsid w:val="00095953"/>
    <w:rsid w:val="00096A7D"/>
    <w:rsid w:val="00096CED"/>
    <w:rsid w:val="00097199"/>
    <w:rsid w:val="00097550"/>
    <w:rsid w:val="000976CF"/>
    <w:rsid w:val="00097945"/>
    <w:rsid w:val="00097C1A"/>
    <w:rsid w:val="000A012E"/>
    <w:rsid w:val="000A0F18"/>
    <w:rsid w:val="000A1341"/>
    <w:rsid w:val="000A13FE"/>
    <w:rsid w:val="000A1DB8"/>
    <w:rsid w:val="000A2A95"/>
    <w:rsid w:val="000A3563"/>
    <w:rsid w:val="000A360C"/>
    <w:rsid w:val="000A3EAC"/>
    <w:rsid w:val="000A3F0F"/>
    <w:rsid w:val="000A45FE"/>
    <w:rsid w:val="000A48AC"/>
    <w:rsid w:val="000A520E"/>
    <w:rsid w:val="000A57BE"/>
    <w:rsid w:val="000A5AC6"/>
    <w:rsid w:val="000A64B2"/>
    <w:rsid w:val="000A6D81"/>
    <w:rsid w:val="000A6F70"/>
    <w:rsid w:val="000A7769"/>
    <w:rsid w:val="000B0603"/>
    <w:rsid w:val="000B0649"/>
    <w:rsid w:val="000B0768"/>
    <w:rsid w:val="000B0A5D"/>
    <w:rsid w:val="000B10FB"/>
    <w:rsid w:val="000B12D1"/>
    <w:rsid w:val="000B133B"/>
    <w:rsid w:val="000B13CC"/>
    <w:rsid w:val="000B15DF"/>
    <w:rsid w:val="000B1BF2"/>
    <w:rsid w:val="000B218A"/>
    <w:rsid w:val="000B2586"/>
    <w:rsid w:val="000B2A04"/>
    <w:rsid w:val="000B3186"/>
    <w:rsid w:val="000B342D"/>
    <w:rsid w:val="000B37FE"/>
    <w:rsid w:val="000B5029"/>
    <w:rsid w:val="000B59B9"/>
    <w:rsid w:val="000B5A09"/>
    <w:rsid w:val="000B5AD4"/>
    <w:rsid w:val="000B5B68"/>
    <w:rsid w:val="000B5C16"/>
    <w:rsid w:val="000B5D07"/>
    <w:rsid w:val="000B65C0"/>
    <w:rsid w:val="000B719C"/>
    <w:rsid w:val="000B77BD"/>
    <w:rsid w:val="000B7DB9"/>
    <w:rsid w:val="000C002C"/>
    <w:rsid w:val="000C08C3"/>
    <w:rsid w:val="000C092B"/>
    <w:rsid w:val="000C0990"/>
    <w:rsid w:val="000C0A62"/>
    <w:rsid w:val="000C1E91"/>
    <w:rsid w:val="000C2245"/>
    <w:rsid w:val="000C2479"/>
    <w:rsid w:val="000C28DD"/>
    <w:rsid w:val="000C2CE1"/>
    <w:rsid w:val="000C2D24"/>
    <w:rsid w:val="000C2EF2"/>
    <w:rsid w:val="000C3AB0"/>
    <w:rsid w:val="000C3FF7"/>
    <w:rsid w:val="000C47C9"/>
    <w:rsid w:val="000C50AF"/>
    <w:rsid w:val="000C50FB"/>
    <w:rsid w:val="000C5608"/>
    <w:rsid w:val="000C5DA6"/>
    <w:rsid w:val="000C6424"/>
    <w:rsid w:val="000C68CE"/>
    <w:rsid w:val="000C6D4A"/>
    <w:rsid w:val="000C7139"/>
    <w:rsid w:val="000C7156"/>
    <w:rsid w:val="000C7208"/>
    <w:rsid w:val="000D0350"/>
    <w:rsid w:val="000D04EA"/>
    <w:rsid w:val="000D077F"/>
    <w:rsid w:val="000D10E3"/>
    <w:rsid w:val="000D1767"/>
    <w:rsid w:val="000D1CB8"/>
    <w:rsid w:val="000D2296"/>
    <w:rsid w:val="000D27E0"/>
    <w:rsid w:val="000D2B46"/>
    <w:rsid w:val="000D3154"/>
    <w:rsid w:val="000D3529"/>
    <w:rsid w:val="000D36C8"/>
    <w:rsid w:val="000D3A63"/>
    <w:rsid w:val="000D3C3B"/>
    <w:rsid w:val="000D3ECE"/>
    <w:rsid w:val="000D4414"/>
    <w:rsid w:val="000D49D6"/>
    <w:rsid w:val="000D4E1C"/>
    <w:rsid w:val="000D4F14"/>
    <w:rsid w:val="000D5049"/>
    <w:rsid w:val="000D5DF5"/>
    <w:rsid w:val="000D6609"/>
    <w:rsid w:val="000D68DE"/>
    <w:rsid w:val="000D7082"/>
    <w:rsid w:val="000D77C6"/>
    <w:rsid w:val="000D7F20"/>
    <w:rsid w:val="000D7FC9"/>
    <w:rsid w:val="000E06F3"/>
    <w:rsid w:val="000E0862"/>
    <w:rsid w:val="000E130A"/>
    <w:rsid w:val="000E131C"/>
    <w:rsid w:val="000E1569"/>
    <w:rsid w:val="000E187C"/>
    <w:rsid w:val="000E1D8C"/>
    <w:rsid w:val="000E1EEF"/>
    <w:rsid w:val="000E1F9A"/>
    <w:rsid w:val="000E209A"/>
    <w:rsid w:val="000E2394"/>
    <w:rsid w:val="000E2A3C"/>
    <w:rsid w:val="000E3131"/>
    <w:rsid w:val="000E3642"/>
    <w:rsid w:val="000E3B8A"/>
    <w:rsid w:val="000E43BD"/>
    <w:rsid w:val="000E4627"/>
    <w:rsid w:val="000E466F"/>
    <w:rsid w:val="000E54EE"/>
    <w:rsid w:val="000E550C"/>
    <w:rsid w:val="000E5DBE"/>
    <w:rsid w:val="000E641A"/>
    <w:rsid w:val="000E6854"/>
    <w:rsid w:val="000E6D18"/>
    <w:rsid w:val="000E70EB"/>
    <w:rsid w:val="000E7902"/>
    <w:rsid w:val="000F0547"/>
    <w:rsid w:val="000F0822"/>
    <w:rsid w:val="000F084A"/>
    <w:rsid w:val="000F09FE"/>
    <w:rsid w:val="000F0E08"/>
    <w:rsid w:val="000F0EF8"/>
    <w:rsid w:val="000F0F6E"/>
    <w:rsid w:val="000F0FDB"/>
    <w:rsid w:val="000F1091"/>
    <w:rsid w:val="000F13C1"/>
    <w:rsid w:val="000F1ED7"/>
    <w:rsid w:val="000F2711"/>
    <w:rsid w:val="000F2C0B"/>
    <w:rsid w:val="000F2EA8"/>
    <w:rsid w:val="000F3540"/>
    <w:rsid w:val="000F3987"/>
    <w:rsid w:val="000F3D8F"/>
    <w:rsid w:val="000F3E49"/>
    <w:rsid w:val="000F3EF1"/>
    <w:rsid w:val="000F42A4"/>
    <w:rsid w:val="000F4468"/>
    <w:rsid w:val="000F45E7"/>
    <w:rsid w:val="000F5C1C"/>
    <w:rsid w:val="000F69BA"/>
    <w:rsid w:val="000F6C29"/>
    <w:rsid w:val="000F6E5A"/>
    <w:rsid w:val="000F7613"/>
    <w:rsid w:val="000F7635"/>
    <w:rsid w:val="000F7BAC"/>
    <w:rsid w:val="000F7C26"/>
    <w:rsid w:val="000F7E92"/>
    <w:rsid w:val="000F7F91"/>
    <w:rsid w:val="000F7F93"/>
    <w:rsid w:val="0010110F"/>
    <w:rsid w:val="0010340D"/>
    <w:rsid w:val="00103D8F"/>
    <w:rsid w:val="00104188"/>
    <w:rsid w:val="0010428E"/>
    <w:rsid w:val="0010597C"/>
    <w:rsid w:val="00105F6A"/>
    <w:rsid w:val="00106CE5"/>
    <w:rsid w:val="001070CB"/>
    <w:rsid w:val="00110264"/>
    <w:rsid w:val="00110315"/>
    <w:rsid w:val="00111282"/>
    <w:rsid w:val="00111372"/>
    <w:rsid w:val="001118E5"/>
    <w:rsid w:val="0011222B"/>
    <w:rsid w:val="00112584"/>
    <w:rsid w:val="00112EAC"/>
    <w:rsid w:val="001134F2"/>
    <w:rsid w:val="001136E4"/>
    <w:rsid w:val="00113954"/>
    <w:rsid w:val="00113CED"/>
    <w:rsid w:val="0011479F"/>
    <w:rsid w:val="00116B27"/>
    <w:rsid w:val="00116C6F"/>
    <w:rsid w:val="00117C1A"/>
    <w:rsid w:val="0012048B"/>
    <w:rsid w:val="001210D7"/>
    <w:rsid w:val="0012159E"/>
    <w:rsid w:val="00121CEB"/>
    <w:rsid w:val="00121DD3"/>
    <w:rsid w:val="0012231C"/>
    <w:rsid w:val="00122448"/>
    <w:rsid w:val="00122865"/>
    <w:rsid w:val="0012325B"/>
    <w:rsid w:val="001236D1"/>
    <w:rsid w:val="0012483E"/>
    <w:rsid w:val="001250B7"/>
    <w:rsid w:val="00125341"/>
    <w:rsid w:val="00125935"/>
    <w:rsid w:val="00126127"/>
    <w:rsid w:val="00126CF0"/>
    <w:rsid w:val="00126D81"/>
    <w:rsid w:val="001270D4"/>
    <w:rsid w:val="001271B2"/>
    <w:rsid w:val="001279BC"/>
    <w:rsid w:val="00127DAE"/>
    <w:rsid w:val="001307B0"/>
    <w:rsid w:val="00130B88"/>
    <w:rsid w:val="00130F8F"/>
    <w:rsid w:val="0013131F"/>
    <w:rsid w:val="001318ED"/>
    <w:rsid w:val="001326F9"/>
    <w:rsid w:val="0013281B"/>
    <w:rsid w:val="00132949"/>
    <w:rsid w:val="00132DFC"/>
    <w:rsid w:val="0013315F"/>
    <w:rsid w:val="00133175"/>
    <w:rsid w:val="00134774"/>
    <w:rsid w:val="00134830"/>
    <w:rsid w:val="00134CB3"/>
    <w:rsid w:val="001353A4"/>
    <w:rsid w:val="001357DE"/>
    <w:rsid w:val="00135B91"/>
    <w:rsid w:val="001369A8"/>
    <w:rsid w:val="0013757F"/>
    <w:rsid w:val="00137EDF"/>
    <w:rsid w:val="0014009D"/>
    <w:rsid w:val="00140167"/>
    <w:rsid w:val="00140274"/>
    <w:rsid w:val="0014067F"/>
    <w:rsid w:val="001407E4"/>
    <w:rsid w:val="00140CC3"/>
    <w:rsid w:val="00141073"/>
    <w:rsid w:val="00142820"/>
    <w:rsid w:val="00142B43"/>
    <w:rsid w:val="00142DB1"/>
    <w:rsid w:val="0014302E"/>
    <w:rsid w:val="00143348"/>
    <w:rsid w:val="00143359"/>
    <w:rsid w:val="00143B23"/>
    <w:rsid w:val="00144176"/>
    <w:rsid w:val="00144371"/>
    <w:rsid w:val="00144E5D"/>
    <w:rsid w:val="001457B7"/>
    <w:rsid w:val="00145998"/>
    <w:rsid w:val="00145A21"/>
    <w:rsid w:val="00145A89"/>
    <w:rsid w:val="00145FAD"/>
    <w:rsid w:val="001467D1"/>
    <w:rsid w:val="00147EF4"/>
    <w:rsid w:val="001509AE"/>
    <w:rsid w:val="00150D10"/>
    <w:rsid w:val="00150D82"/>
    <w:rsid w:val="00150E00"/>
    <w:rsid w:val="00150EAD"/>
    <w:rsid w:val="00151263"/>
    <w:rsid w:val="0015152C"/>
    <w:rsid w:val="0015191A"/>
    <w:rsid w:val="00151E2C"/>
    <w:rsid w:val="00151EA9"/>
    <w:rsid w:val="00152088"/>
    <w:rsid w:val="0015239E"/>
    <w:rsid w:val="00152545"/>
    <w:rsid w:val="00152CE4"/>
    <w:rsid w:val="0015313C"/>
    <w:rsid w:val="001531B3"/>
    <w:rsid w:val="001533AD"/>
    <w:rsid w:val="0015353C"/>
    <w:rsid w:val="00153A05"/>
    <w:rsid w:val="00153D73"/>
    <w:rsid w:val="00154EBA"/>
    <w:rsid w:val="00155015"/>
    <w:rsid w:val="00155235"/>
    <w:rsid w:val="0015529D"/>
    <w:rsid w:val="001568D5"/>
    <w:rsid w:val="00156FC9"/>
    <w:rsid w:val="00157433"/>
    <w:rsid w:val="00160158"/>
    <w:rsid w:val="00160198"/>
    <w:rsid w:val="0016074D"/>
    <w:rsid w:val="001607A5"/>
    <w:rsid w:val="0016087A"/>
    <w:rsid w:val="00160D80"/>
    <w:rsid w:val="00161890"/>
    <w:rsid w:val="00161D09"/>
    <w:rsid w:val="0016266F"/>
    <w:rsid w:val="001626E3"/>
    <w:rsid w:val="00162A8D"/>
    <w:rsid w:val="00162C77"/>
    <w:rsid w:val="00163774"/>
    <w:rsid w:val="00163BE1"/>
    <w:rsid w:val="001644CC"/>
    <w:rsid w:val="0016485F"/>
    <w:rsid w:val="00164BD1"/>
    <w:rsid w:val="0016541E"/>
    <w:rsid w:val="001659F2"/>
    <w:rsid w:val="00165E3C"/>
    <w:rsid w:val="00166052"/>
    <w:rsid w:val="001664F5"/>
    <w:rsid w:val="00166C06"/>
    <w:rsid w:val="00166CFF"/>
    <w:rsid w:val="00166D87"/>
    <w:rsid w:val="00166DB7"/>
    <w:rsid w:val="00167AE0"/>
    <w:rsid w:val="00167CE1"/>
    <w:rsid w:val="001700B5"/>
    <w:rsid w:val="001701EE"/>
    <w:rsid w:val="0017088E"/>
    <w:rsid w:val="00171406"/>
    <w:rsid w:val="001721D0"/>
    <w:rsid w:val="00172677"/>
    <w:rsid w:val="00172955"/>
    <w:rsid w:val="001736B5"/>
    <w:rsid w:val="00173D35"/>
    <w:rsid w:val="00173D7F"/>
    <w:rsid w:val="00173ED1"/>
    <w:rsid w:val="00173F4A"/>
    <w:rsid w:val="00173F75"/>
    <w:rsid w:val="00173FB5"/>
    <w:rsid w:val="001741A1"/>
    <w:rsid w:val="001746C9"/>
    <w:rsid w:val="00174D9A"/>
    <w:rsid w:val="00174F13"/>
    <w:rsid w:val="00174FA8"/>
    <w:rsid w:val="001752B6"/>
    <w:rsid w:val="0017570C"/>
    <w:rsid w:val="00175AA4"/>
    <w:rsid w:val="00175AA8"/>
    <w:rsid w:val="00175CB4"/>
    <w:rsid w:val="00175CDA"/>
    <w:rsid w:val="001762AA"/>
    <w:rsid w:val="00176A2C"/>
    <w:rsid w:val="00176A49"/>
    <w:rsid w:val="00176C4C"/>
    <w:rsid w:val="00176E3E"/>
    <w:rsid w:val="001773F9"/>
    <w:rsid w:val="001774D0"/>
    <w:rsid w:val="00177918"/>
    <w:rsid w:val="00177FC4"/>
    <w:rsid w:val="0018059B"/>
    <w:rsid w:val="00180744"/>
    <w:rsid w:val="001816F0"/>
    <w:rsid w:val="00182156"/>
    <w:rsid w:val="0018249A"/>
    <w:rsid w:val="001830BB"/>
    <w:rsid w:val="001833AB"/>
    <w:rsid w:val="001839D6"/>
    <w:rsid w:val="00183B8A"/>
    <w:rsid w:val="00185142"/>
    <w:rsid w:val="001851EA"/>
    <w:rsid w:val="00185AD5"/>
    <w:rsid w:val="00186DEB"/>
    <w:rsid w:val="00186E8E"/>
    <w:rsid w:val="00187112"/>
    <w:rsid w:val="00187528"/>
    <w:rsid w:val="00187B51"/>
    <w:rsid w:val="001900C1"/>
    <w:rsid w:val="0019029F"/>
    <w:rsid w:val="001902FE"/>
    <w:rsid w:val="00190310"/>
    <w:rsid w:val="00190C0D"/>
    <w:rsid w:val="00190DF7"/>
    <w:rsid w:val="001911AB"/>
    <w:rsid w:val="001915BB"/>
    <w:rsid w:val="001918C7"/>
    <w:rsid w:val="00192189"/>
    <w:rsid w:val="001923E9"/>
    <w:rsid w:val="001923FB"/>
    <w:rsid w:val="001928AF"/>
    <w:rsid w:val="00192D84"/>
    <w:rsid w:val="00193334"/>
    <w:rsid w:val="0019356B"/>
    <w:rsid w:val="00193CFF"/>
    <w:rsid w:val="00193D7A"/>
    <w:rsid w:val="0019401A"/>
    <w:rsid w:val="001942B4"/>
    <w:rsid w:val="001946CE"/>
    <w:rsid w:val="00194EE2"/>
    <w:rsid w:val="00195ED7"/>
    <w:rsid w:val="00195EDE"/>
    <w:rsid w:val="0019709D"/>
    <w:rsid w:val="00197594"/>
    <w:rsid w:val="00197AD5"/>
    <w:rsid w:val="00197DFC"/>
    <w:rsid w:val="001A0006"/>
    <w:rsid w:val="001A018B"/>
    <w:rsid w:val="001A0648"/>
    <w:rsid w:val="001A1A86"/>
    <w:rsid w:val="001A255B"/>
    <w:rsid w:val="001A287C"/>
    <w:rsid w:val="001A3394"/>
    <w:rsid w:val="001A4588"/>
    <w:rsid w:val="001A4DFF"/>
    <w:rsid w:val="001A5113"/>
    <w:rsid w:val="001A526D"/>
    <w:rsid w:val="001A53F9"/>
    <w:rsid w:val="001A5A0C"/>
    <w:rsid w:val="001A5A93"/>
    <w:rsid w:val="001A5F76"/>
    <w:rsid w:val="001A67EB"/>
    <w:rsid w:val="001A6D3E"/>
    <w:rsid w:val="001A708E"/>
    <w:rsid w:val="001A70F2"/>
    <w:rsid w:val="001A7158"/>
    <w:rsid w:val="001A7700"/>
    <w:rsid w:val="001A7D99"/>
    <w:rsid w:val="001B0108"/>
    <w:rsid w:val="001B02E6"/>
    <w:rsid w:val="001B0353"/>
    <w:rsid w:val="001B03CF"/>
    <w:rsid w:val="001B06DE"/>
    <w:rsid w:val="001B17F5"/>
    <w:rsid w:val="001B1878"/>
    <w:rsid w:val="001B1EDD"/>
    <w:rsid w:val="001B2372"/>
    <w:rsid w:val="001B2620"/>
    <w:rsid w:val="001B2C58"/>
    <w:rsid w:val="001B30A1"/>
    <w:rsid w:val="001B30C5"/>
    <w:rsid w:val="001B3209"/>
    <w:rsid w:val="001B32A2"/>
    <w:rsid w:val="001B3517"/>
    <w:rsid w:val="001B3BB8"/>
    <w:rsid w:val="001B5004"/>
    <w:rsid w:val="001B5947"/>
    <w:rsid w:val="001B5B56"/>
    <w:rsid w:val="001B5F41"/>
    <w:rsid w:val="001B657E"/>
    <w:rsid w:val="001B6713"/>
    <w:rsid w:val="001B7147"/>
    <w:rsid w:val="001B7187"/>
    <w:rsid w:val="001B7419"/>
    <w:rsid w:val="001B7580"/>
    <w:rsid w:val="001B77A8"/>
    <w:rsid w:val="001B7A74"/>
    <w:rsid w:val="001B7D70"/>
    <w:rsid w:val="001C03B1"/>
    <w:rsid w:val="001C05C5"/>
    <w:rsid w:val="001C0C0A"/>
    <w:rsid w:val="001C0F78"/>
    <w:rsid w:val="001C1784"/>
    <w:rsid w:val="001C1BEA"/>
    <w:rsid w:val="001C1F82"/>
    <w:rsid w:val="001C1F8B"/>
    <w:rsid w:val="001C350E"/>
    <w:rsid w:val="001C382A"/>
    <w:rsid w:val="001C3943"/>
    <w:rsid w:val="001C4039"/>
    <w:rsid w:val="001C42CE"/>
    <w:rsid w:val="001C46A9"/>
    <w:rsid w:val="001C4A69"/>
    <w:rsid w:val="001C53FC"/>
    <w:rsid w:val="001C597C"/>
    <w:rsid w:val="001C5AE2"/>
    <w:rsid w:val="001C5C69"/>
    <w:rsid w:val="001C6D51"/>
    <w:rsid w:val="001C6ED9"/>
    <w:rsid w:val="001C72A0"/>
    <w:rsid w:val="001C76DD"/>
    <w:rsid w:val="001D0285"/>
    <w:rsid w:val="001D0672"/>
    <w:rsid w:val="001D0691"/>
    <w:rsid w:val="001D0A3B"/>
    <w:rsid w:val="001D0B0E"/>
    <w:rsid w:val="001D15DD"/>
    <w:rsid w:val="001D1E48"/>
    <w:rsid w:val="001D2200"/>
    <w:rsid w:val="001D2313"/>
    <w:rsid w:val="001D2C43"/>
    <w:rsid w:val="001D2F0E"/>
    <w:rsid w:val="001D32BE"/>
    <w:rsid w:val="001D33CA"/>
    <w:rsid w:val="001D45BD"/>
    <w:rsid w:val="001D4988"/>
    <w:rsid w:val="001D4E33"/>
    <w:rsid w:val="001D5A8F"/>
    <w:rsid w:val="001D5ABB"/>
    <w:rsid w:val="001D65A2"/>
    <w:rsid w:val="001D67C1"/>
    <w:rsid w:val="001D6C7B"/>
    <w:rsid w:val="001D70F7"/>
    <w:rsid w:val="001D7D04"/>
    <w:rsid w:val="001D7D93"/>
    <w:rsid w:val="001D7F79"/>
    <w:rsid w:val="001D7FB2"/>
    <w:rsid w:val="001E0142"/>
    <w:rsid w:val="001E0509"/>
    <w:rsid w:val="001E14F4"/>
    <w:rsid w:val="001E1B39"/>
    <w:rsid w:val="001E29E9"/>
    <w:rsid w:val="001E3467"/>
    <w:rsid w:val="001E3851"/>
    <w:rsid w:val="001E3C91"/>
    <w:rsid w:val="001E434C"/>
    <w:rsid w:val="001E45BA"/>
    <w:rsid w:val="001E5226"/>
    <w:rsid w:val="001E529C"/>
    <w:rsid w:val="001E5676"/>
    <w:rsid w:val="001E56B4"/>
    <w:rsid w:val="001E5878"/>
    <w:rsid w:val="001E5AF0"/>
    <w:rsid w:val="001E5C3F"/>
    <w:rsid w:val="001E5DA0"/>
    <w:rsid w:val="001E6168"/>
    <w:rsid w:val="001E63DF"/>
    <w:rsid w:val="001E63F1"/>
    <w:rsid w:val="001E6769"/>
    <w:rsid w:val="001E6833"/>
    <w:rsid w:val="001E7522"/>
    <w:rsid w:val="001F00D9"/>
    <w:rsid w:val="001F023F"/>
    <w:rsid w:val="001F0C7F"/>
    <w:rsid w:val="001F0FC7"/>
    <w:rsid w:val="001F1486"/>
    <w:rsid w:val="001F15E6"/>
    <w:rsid w:val="001F16E5"/>
    <w:rsid w:val="001F19CC"/>
    <w:rsid w:val="001F1A0F"/>
    <w:rsid w:val="001F1FCA"/>
    <w:rsid w:val="001F2180"/>
    <w:rsid w:val="001F22D4"/>
    <w:rsid w:val="001F27F8"/>
    <w:rsid w:val="001F2BBB"/>
    <w:rsid w:val="001F3897"/>
    <w:rsid w:val="001F3E7C"/>
    <w:rsid w:val="001F4161"/>
    <w:rsid w:val="001F4400"/>
    <w:rsid w:val="001F45D7"/>
    <w:rsid w:val="001F474A"/>
    <w:rsid w:val="001F4983"/>
    <w:rsid w:val="001F4C7A"/>
    <w:rsid w:val="001F4CD2"/>
    <w:rsid w:val="001F50D3"/>
    <w:rsid w:val="001F52FD"/>
    <w:rsid w:val="001F5D6E"/>
    <w:rsid w:val="001F5F9B"/>
    <w:rsid w:val="001F62C9"/>
    <w:rsid w:val="001F62CC"/>
    <w:rsid w:val="001F6658"/>
    <w:rsid w:val="001F75A7"/>
    <w:rsid w:val="00200025"/>
    <w:rsid w:val="0020049C"/>
    <w:rsid w:val="00200677"/>
    <w:rsid w:val="002012F7"/>
    <w:rsid w:val="0020163A"/>
    <w:rsid w:val="00201CA4"/>
    <w:rsid w:val="002027F6"/>
    <w:rsid w:val="002028F5"/>
    <w:rsid w:val="00202A03"/>
    <w:rsid w:val="00202A14"/>
    <w:rsid w:val="00202B06"/>
    <w:rsid w:val="00202D04"/>
    <w:rsid w:val="002033DA"/>
    <w:rsid w:val="002034CA"/>
    <w:rsid w:val="002036FE"/>
    <w:rsid w:val="00204DCF"/>
    <w:rsid w:val="0020576C"/>
    <w:rsid w:val="00205A44"/>
    <w:rsid w:val="0020648C"/>
    <w:rsid w:val="002064AB"/>
    <w:rsid w:val="002068EB"/>
    <w:rsid w:val="00206B8F"/>
    <w:rsid w:val="00206FCC"/>
    <w:rsid w:val="00207BC5"/>
    <w:rsid w:val="00210987"/>
    <w:rsid w:val="00210C9C"/>
    <w:rsid w:val="00211173"/>
    <w:rsid w:val="00211267"/>
    <w:rsid w:val="00211D5B"/>
    <w:rsid w:val="002125EC"/>
    <w:rsid w:val="00212980"/>
    <w:rsid w:val="00212B4F"/>
    <w:rsid w:val="002130DF"/>
    <w:rsid w:val="00213458"/>
    <w:rsid w:val="00213D41"/>
    <w:rsid w:val="00214466"/>
    <w:rsid w:val="00214668"/>
    <w:rsid w:val="00214792"/>
    <w:rsid w:val="00214943"/>
    <w:rsid w:val="00214DB2"/>
    <w:rsid w:val="0021554F"/>
    <w:rsid w:val="00215B0E"/>
    <w:rsid w:val="00215F82"/>
    <w:rsid w:val="00216058"/>
    <w:rsid w:val="00216535"/>
    <w:rsid w:val="0021665A"/>
    <w:rsid w:val="00216680"/>
    <w:rsid w:val="002168A7"/>
    <w:rsid w:val="00216A04"/>
    <w:rsid w:val="0021762C"/>
    <w:rsid w:val="002176E4"/>
    <w:rsid w:val="00220105"/>
    <w:rsid w:val="0022042E"/>
    <w:rsid w:val="00220A6A"/>
    <w:rsid w:val="00220D91"/>
    <w:rsid w:val="0022126C"/>
    <w:rsid w:val="00221B60"/>
    <w:rsid w:val="00222485"/>
    <w:rsid w:val="002234EA"/>
    <w:rsid w:val="00224A7E"/>
    <w:rsid w:val="00224BDC"/>
    <w:rsid w:val="00224C21"/>
    <w:rsid w:val="00225268"/>
    <w:rsid w:val="002259D1"/>
    <w:rsid w:val="00225DEB"/>
    <w:rsid w:val="0022606D"/>
    <w:rsid w:val="0022750C"/>
    <w:rsid w:val="00227AA7"/>
    <w:rsid w:val="00227BBB"/>
    <w:rsid w:val="002306AB"/>
    <w:rsid w:val="00230AB6"/>
    <w:rsid w:val="0023158A"/>
    <w:rsid w:val="002319EC"/>
    <w:rsid w:val="00231C28"/>
    <w:rsid w:val="00231C71"/>
    <w:rsid w:val="00231ED1"/>
    <w:rsid w:val="002322D1"/>
    <w:rsid w:val="002329AE"/>
    <w:rsid w:val="002338A0"/>
    <w:rsid w:val="00233A3E"/>
    <w:rsid w:val="00233F2C"/>
    <w:rsid w:val="0023403F"/>
    <w:rsid w:val="00234627"/>
    <w:rsid w:val="00234AE2"/>
    <w:rsid w:val="00234BA8"/>
    <w:rsid w:val="00235AE6"/>
    <w:rsid w:val="00235D9C"/>
    <w:rsid w:val="0023609F"/>
    <w:rsid w:val="002365D8"/>
    <w:rsid w:val="00236B86"/>
    <w:rsid w:val="00236E01"/>
    <w:rsid w:val="00236E9A"/>
    <w:rsid w:val="0023745B"/>
    <w:rsid w:val="002374C2"/>
    <w:rsid w:val="00240250"/>
    <w:rsid w:val="00240505"/>
    <w:rsid w:val="00241178"/>
    <w:rsid w:val="00241523"/>
    <w:rsid w:val="00241599"/>
    <w:rsid w:val="00241BE1"/>
    <w:rsid w:val="002422B7"/>
    <w:rsid w:val="00242624"/>
    <w:rsid w:val="00243036"/>
    <w:rsid w:val="00243371"/>
    <w:rsid w:val="002441D0"/>
    <w:rsid w:val="00244794"/>
    <w:rsid w:val="00244ED3"/>
    <w:rsid w:val="00244FA9"/>
    <w:rsid w:val="0024557E"/>
    <w:rsid w:val="002459C0"/>
    <w:rsid w:val="002465CF"/>
    <w:rsid w:val="00246E5A"/>
    <w:rsid w:val="0024712B"/>
    <w:rsid w:val="00247183"/>
    <w:rsid w:val="002471E3"/>
    <w:rsid w:val="002471FD"/>
    <w:rsid w:val="00247317"/>
    <w:rsid w:val="002474D9"/>
    <w:rsid w:val="00250414"/>
    <w:rsid w:val="0025057C"/>
    <w:rsid w:val="00250725"/>
    <w:rsid w:val="002507E2"/>
    <w:rsid w:val="002509ED"/>
    <w:rsid w:val="00250AF8"/>
    <w:rsid w:val="00250D02"/>
    <w:rsid w:val="00250F71"/>
    <w:rsid w:val="00250F91"/>
    <w:rsid w:val="002512C6"/>
    <w:rsid w:val="0025176E"/>
    <w:rsid w:val="00251821"/>
    <w:rsid w:val="0025186A"/>
    <w:rsid w:val="00252335"/>
    <w:rsid w:val="00252587"/>
    <w:rsid w:val="0025260A"/>
    <w:rsid w:val="002529A0"/>
    <w:rsid w:val="002530AF"/>
    <w:rsid w:val="002534B8"/>
    <w:rsid w:val="00253658"/>
    <w:rsid w:val="00253768"/>
    <w:rsid w:val="00254253"/>
    <w:rsid w:val="002543B2"/>
    <w:rsid w:val="0025458C"/>
    <w:rsid w:val="002547BD"/>
    <w:rsid w:val="00254840"/>
    <w:rsid w:val="00254E08"/>
    <w:rsid w:val="00255938"/>
    <w:rsid w:val="00256531"/>
    <w:rsid w:val="00256A27"/>
    <w:rsid w:val="002571C5"/>
    <w:rsid w:val="002572BE"/>
    <w:rsid w:val="00257344"/>
    <w:rsid w:val="002575BB"/>
    <w:rsid w:val="0025781F"/>
    <w:rsid w:val="00257B84"/>
    <w:rsid w:val="00257D56"/>
    <w:rsid w:val="002609BE"/>
    <w:rsid w:val="00260E0A"/>
    <w:rsid w:val="002614B7"/>
    <w:rsid w:val="002632EA"/>
    <w:rsid w:val="0026362D"/>
    <w:rsid w:val="002637D0"/>
    <w:rsid w:val="00263813"/>
    <w:rsid w:val="002638B4"/>
    <w:rsid w:val="00263945"/>
    <w:rsid w:val="00263E4B"/>
    <w:rsid w:val="0026425D"/>
    <w:rsid w:val="00264565"/>
    <w:rsid w:val="00264749"/>
    <w:rsid w:val="00264F2D"/>
    <w:rsid w:val="00264FBD"/>
    <w:rsid w:val="0026583A"/>
    <w:rsid w:val="002658CC"/>
    <w:rsid w:val="00265C9A"/>
    <w:rsid w:val="00265EAD"/>
    <w:rsid w:val="002664F8"/>
    <w:rsid w:val="00266697"/>
    <w:rsid w:val="002669F9"/>
    <w:rsid w:val="00266E97"/>
    <w:rsid w:val="002672C8"/>
    <w:rsid w:val="00267E61"/>
    <w:rsid w:val="00267F35"/>
    <w:rsid w:val="002705B9"/>
    <w:rsid w:val="00270876"/>
    <w:rsid w:val="0027192F"/>
    <w:rsid w:val="00271AF6"/>
    <w:rsid w:val="00271D52"/>
    <w:rsid w:val="00272679"/>
    <w:rsid w:val="00272B4F"/>
    <w:rsid w:val="00272E11"/>
    <w:rsid w:val="00272EC4"/>
    <w:rsid w:val="00273350"/>
    <w:rsid w:val="00273AEB"/>
    <w:rsid w:val="00274321"/>
    <w:rsid w:val="00274677"/>
    <w:rsid w:val="00275358"/>
    <w:rsid w:val="00275592"/>
    <w:rsid w:val="00275AEA"/>
    <w:rsid w:val="00275C6E"/>
    <w:rsid w:val="00276388"/>
    <w:rsid w:val="002765C8"/>
    <w:rsid w:val="002769CB"/>
    <w:rsid w:val="00276AAE"/>
    <w:rsid w:val="002776C9"/>
    <w:rsid w:val="00280445"/>
    <w:rsid w:val="00280771"/>
    <w:rsid w:val="00281153"/>
    <w:rsid w:val="002817CA"/>
    <w:rsid w:val="00281A1F"/>
    <w:rsid w:val="00281CDF"/>
    <w:rsid w:val="00281DDA"/>
    <w:rsid w:val="00281ED5"/>
    <w:rsid w:val="00282127"/>
    <w:rsid w:val="0028263E"/>
    <w:rsid w:val="0028321F"/>
    <w:rsid w:val="00283423"/>
    <w:rsid w:val="00283AC2"/>
    <w:rsid w:val="00283EBB"/>
    <w:rsid w:val="002845A6"/>
    <w:rsid w:val="002845FC"/>
    <w:rsid w:val="00284786"/>
    <w:rsid w:val="002848AE"/>
    <w:rsid w:val="0028506A"/>
    <w:rsid w:val="0028506F"/>
    <w:rsid w:val="002850B0"/>
    <w:rsid w:val="00285EDF"/>
    <w:rsid w:val="00285FAD"/>
    <w:rsid w:val="002863D7"/>
    <w:rsid w:val="00286435"/>
    <w:rsid w:val="00286973"/>
    <w:rsid w:val="00286FED"/>
    <w:rsid w:val="002873B4"/>
    <w:rsid w:val="00287827"/>
    <w:rsid w:val="00287A05"/>
    <w:rsid w:val="00287FA2"/>
    <w:rsid w:val="002902E9"/>
    <w:rsid w:val="00291F03"/>
    <w:rsid w:val="00291F57"/>
    <w:rsid w:val="00292AB5"/>
    <w:rsid w:val="00292B62"/>
    <w:rsid w:val="002935AE"/>
    <w:rsid w:val="00293AB0"/>
    <w:rsid w:val="00293CD0"/>
    <w:rsid w:val="00293CDC"/>
    <w:rsid w:val="0029409A"/>
    <w:rsid w:val="0029430B"/>
    <w:rsid w:val="0029529E"/>
    <w:rsid w:val="00295FE7"/>
    <w:rsid w:val="002979EA"/>
    <w:rsid w:val="002A074F"/>
    <w:rsid w:val="002A086A"/>
    <w:rsid w:val="002A105B"/>
    <w:rsid w:val="002A11D2"/>
    <w:rsid w:val="002A1435"/>
    <w:rsid w:val="002A19B9"/>
    <w:rsid w:val="002A1D5C"/>
    <w:rsid w:val="002A2086"/>
    <w:rsid w:val="002A2750"/>
    <w:rsid w:val="002A297B"/>
    <w:rsid w:val="002A2DE5"/>
    <w:rsid w:val="002A359A"/>
    <w:rsid w:val="002A3BEA"/>
    <w:rsid w:val="002A4182"/>
    <w:rsid w:val="002A43C2"/>
    <w:rsid w:val="002A447B"/>
    <w:rsid w:val="002A4CA3"/>
    <w:rsid w:val="002A4D1D"/>
    <w:rsid w:val="002A5196"/>
    <w:rsid w:val="002A524B"/>
    <w:rsid w:val="002A6007"/>
    <w:rsid w:val="002A6342"/>
    <w:rsid w:val="002A63ED"/>
    <w:rsid w:val="002A67E9"/>
    <w:rsid w:val="002A687B"/>
    <w:rsid w:val="002A7060"/>
    <w:rsid w:val="002A77A8"/>
    <w:rsid w:val="002A7864"/>
    <w:rsid w:val="002A7F50"/>
    <w:rsid w:val="002B02E5"/>
    <w:rsid w:val="002B054D"/>
    <w:rsid w:val="002B1B65"/>
    <w:rsid w:val="002B1DF6"/>
    <w:rsid w:val="002B2595"/>
    <w:rsid w:val="002B2E82"/>
    <w:rsid w:val="002B3064"/>
    <w:rsid w:val="002B3D00"/>
    <w:rsid w:val="002B5272"/>
    <w:rsid w:val="002B53E3"/>
    <w:rsid w:val="002B544F"/>
    <w:rsid w:val="002B628C"/>
    <w:rsid w:val="002B6B3D"/>
    <w:rsid w:val="002C02DB"/>
    <w:rsid w:val="002C0884"/>
    <w:rsid w:val="002C0AE5"/>
    <w:rsid w:val="002C0B9B"/>
    <w:rsid w:val="002C12A0"/>
    <w:rsid w:val="002C1866"/>
    <w:rsid w:val="002C304D"/>
    <w:rsid w:val="002C3354"/>
    <w:rsid w:val="002C335B"/>
    <w:rsid w:val="002C3392"/>
    <w:rsid w:val="002C43F9"/>
    <w:rsid w:val="002C53B2"/>
    <w:rsid w:val="002C5511"/>
    <w:rsid w:val="002C5943"/>
    <w:rsid w:val="002C5D58"/>
    <w:rsid w:val="002C62C9"/>
    <w:rsid w:val="002C6AA7"/>
    <w:rsid w:val="002C7066"/>
    <w:rsid w:val="002C70C5"/>
    <w:rsid w:val="002C7194"/>
    <w:rsid w:val="002C7423"/>
    <w:rsid w:val="002C7D2C"/>
    <w:rsid w:val="002C7F94"/>
    <w:rsid w:val="002D007B"/>
    <w:rsid w:val="002D0786"/>
    <w:rsid w:val="002D0A2F"/>
    <w:rsid w:val="002D133B"/>
    <w:rsid w:val="002D2471"/>
    <w:rsid w:val="002D2CB4"/>
    <w:rsid w:val="002D31A5"/>
    <w:rsid w:val="002D3241"/>
    <w:rsid w:val="002D33EA"/>
    <w:rsid w:val="002D3528"/>
    <w:rsid w:val="002D3C43"/>
    <w:rsid w:val="002D4507"/>
    <w:rsid w:val="002D4806"/>
    <w:rsid w:val="002D5BBA"/>
    <w:rsid w:val="002D5DD0"/>
    <w:rsid w:val="002D6309"/>
    <w:rsid w:val="002D6314"/>
    <w:rsid w:val="002D67E4"/>
    <w:rsid w:val="002D6DCE"/>
    <w:rsid w:val="002D794F"/>
    <w:rsid w:val="002E07B4"/>
    <w:rsid w:val="002E0B4D"/>
    <w:rsid w:val="002E0BC8"/>
    <w:rsid w:val="002E16DB"/>
    <w:rsid w:val="002E181C"/>
    <w:rsid w:val="002E214F"/>
    <w:rsid w:val="002E327A"/>
    <w:rsid w:val="002E35BD"/>
    <w:rsid w:val="002E3F93"/>
    <w:rsid w:val="002E5024"/>
    <w:rsid w:val="002E525A"/>
    <w:rsid w:val="002E54BD"/>
    <w:rsid w:val="002E5A1B"/>
    <w:rsid w:val="002E655B"/>
    <w:rsid w:val="002E6650"/>
    <w:rsid w:val="002E6D78"/>
    <w:rsid w:val="002E7131"/>
    <w:rsid w:val="002E714B"/>
    <w:rsid w:val="002E7202"/>
    <w:rsid w:val="002E7658"/>
    <w:rsid w:val="002E7989"/>
    <w:rsid w:val="002F0044"/>
    <w:rsid w:val="002F072B"/>
    <w:rsid w:val="002F0780"/>
    <w:rsid w:val="002F0FD0"/>
    <w:rsid w:val="002F12A0"/>
    <w:rsid w:val="002F13DA"/>
    <w:rsid w:val="002F14AB"/>
    <w:rsid w:val="002F1877"/>
    <w:rsid w:val="002F2F30"/>
    <w:rsid w:val="002F361C"/>
    <w:rsid w:val="002F373F"/>
    <w:rsid w:val="002F4418"/>
    <w:rsid w:val="002F4854"/>
    <w:rsid w:val="002F4AF5"/>
    <w:rsid w:val="002F4CE1"/>
    <w:rsid w:val="002F4D4C"/>
    <w:rsid w:val="002F5593"/>
    <w:rsid w:val="002F590D"/>
    <w:rsid w:val="002F5A2E"/>
    <w:rsid w:val="002F5E96"/>
    <w:rsid w:val="002F64C2"/>
    <w:rsid w:val="002F66E0"/>
    <w:rsid w:val="002F67F8"/>
    <w:rsid w:val="00300188"/>
    <w:rsid w:val="0030053D"/>
    <w:rsid w:val="00300F22"/>
    <w:rsid w:val="003014A8"/>
    <w:rsid w:val="00301AAD"/>
    <w:rsid w:val="00301CE8"/>
    <w:rsid w:val="003026A0"/>
    <w:rsid w:val="00302779"/>
    <w:rsid w:val="00302EF0"/>
    <w:rsid w:val="00303233"/>
    <w:rsid w:val="00303803"/>
    <w:rsid w:val="00303F0A"/>
    <w:rsid w:val="00303F79"/>
    <w:rsid w:val="00304199"/>
    <w:rsid w:val="0030425F"/>
    <w:rsid w:val="003043C0"/>
    <w:rsid w:val="00304441"/>
    <w:rsid w:val="00304911"/>
    <w:rsid w:val="00304A37"/>
    <w:rsid w:val="0030502C"/>
    <w:rsid w:val="00305326"/>
    <w:rsid w:val="00305CF1"/>
    <w:rsid w:val="00305DFE"/>
    <w:rsid w:val="003068BA"/>
    <w:rsid w:val="00306D70"/>
    <w:rsid w:val="00307152"/>
    <w:rsid w:val="0030729F"/>
    <w:rsid w:val="00307729"/>
    <w:rsid w:val="003102CF"/>
    <w:rsid w:val="0031040E"/>
    <w:rsid w:val="003109F5"/>
    <w:rsid w:val="00310ED4"/>
    <w:rsid w:val="00310F2E"/>
    <w:rsid w:val="00311059"/>
    <w:rsid w:val="003110BF"/>
    <w:rsid w:val="003113A1"/>
    <w:rsid w:val="00311466"/>
    <w:rsid w:val="00311553"/>
    <w:rsid w:val="00311792"/>
    <w:rsid w:val="00311BA1"/>
    <w:rsid w:val="00312301"/>
    <w:rsid w:val="003125D0"/>
    <w:rsid w:val="003134FB"/>
    <w:rsid w:val="003137DD"/>
    <w:rsid w:val="0031479D"/>
    <w:rsid w:val="0031492A"/>
    <w:rsid w:val="00315553"/>
    <w:rsid w:val="00315851"/>
    <w:rsid w:val="00315950"/>
    <w:rsid w:val="00315FDE"/>
    <w:rsid w:val="00316252"/>
    <w:rsid w:val="00316321"/>
    <w:rsid w:val="00316737"/>
    <w:rsid w:val="00316C1A"/>
    <w:rsid w:val="00316CF3"/>
    <w:rsid w:val="00317037"/>
    <w:rsid w:val="00317192"/>
    <w:rsid w:val="0031750F"/>
    <w:rsid w:val="00317628"/>
    <w:rsid w:val="00317ACE"/>
    <w:rsid w:val="00317D29"/>
    <w:rsid w:val="00317F11"/>
    <w:rsid w:val="00320A67"/>
    <w:rsid w:val="00320D3F"/>
    <w:rsid w:val="00320ED8"/>
    <w:rsid w:val="00321095"/>
    <w:rsid w:val="00321430"/>
    <w:rsid w:val="00321D2A"/>
    <w:rsid w:val="00322142"/>
    <w:rsid w:val="003223D1"/>
    <w:rsid w:val="003236E4"/>
    <w:rsid w:val="00323C73"/>
    <w:rsid w:val="003241CD"/>
    <w:rsid w:val="00324809"/>
    <w:rsid w:val="003248F1"/>
    <w:rsid w:val="00324DA8"/>
    <w:rsid w:val="00325D5F"/>
    <w:rsid w:val="00326B3D"/>
    <w:rsid w:val="00327818"/>
    <w:rsid w:val="00327E6F"/>
    <w:rsid w:val="003307D4"/>
    <w:rsid w:val="0033095B"/>
    <w:rsid w:val="00330B3B"/>
    <w:rsid w:val="00330DC7"/>
    <w:rsid w:val="00331141"/>
    <w:rsid w:val="003316D5"/>
    <w:rsid w:val="00331F34"/>
    <w:rsid w:val="003324F2"/>
    <w:rsid w:val="0033305C"/>
    <w:rsid w:val="00333204"/>
    <w:rsid w:val="003337C9"/>
    <w:rsid w:val="00333AA3"/>
    <w:rsid w:val="003354A7"/>
    <w:rsid w:val="00335822"/>
    <w:rsid w:val="003358AC"/>
    <w:rsid w:val="00335D44"/>
    <w:rsid w:val="00336124"/>
    <w:rsid w:val="0033652C"/>
    <w:rsid w:val="003374B1"/>
    <w:rsid w:val="00337774"/>
    <w:rsid w:val="00337A77"/>
    <w:rsid w:val="003404C6"/>
    <w:rsid w:val="003410AA"/>
    <w:rsid w:val="00341E01"/>
    <w:rsid w:val="0034238C"/>
    <w:rsid w:val="003423F4"/>
    <w:rsid w:val="0034244F"/>
    <w:rsid w:val="00342738"/>
    <w:rsid w:val="003428C6"/>
    <w:rsid w:val="00342918"/>
    <w:rsid w:val="00343131"/>
    <w:rsid w:val="00343420"/>
    <w:rsid w:val="00343871"/>
    <w:rsid w:val="00343AAE"/>
    <w:rsid w:val="00343C36"/>
    <w:rsid w:val="00344758"/>
    <w:rsid w:val="00344CF9"/>
    <w:rsid w:val="003454DE"/>
    <w:rsid w:val="00346272"/>
    <w:rsid w:val="00346533"/>
    <w:rsid w:val="00347142"/>
    <w:rsid w:val="003474AE"/>
    <w:rsid w:val="0034753B"/>
    <w:rsid w:val="00347954"/>
    <w:rsid w:val="00347963"/>
    <w:rsid w:val="003501D5"/>
    <w:rsid w:val="00350D1B"/>
    <w:rsid w:val="00350EDC"/>
    <w:rsid w:val="003511D7"/>
    <w:rsid w:val="00351413"/>
    <w:rsid w:val="003515B3"/>
    <w:rsid w:val="003515B7"/>
    <w:rsid w:val="00351FD3"/>
    <w:rsid w:val="00352326"/>
    <w:rsid w:val="00352334"/>
    <w:rsid w:val="0035252A"/>
    <w:rsid w:val="00352C4A"/>
    <w:rsid w:val="00352CDC"/>
    <w:rsid w:val="00352E67"/>
    <w:rsid w:val="00352F27"/>
    <w:rsid w:val="00353293"/>
    <w:rsid w:val="003539EF"/>
    <w:rsid w:val="00354092"/>
    <w:rsid w:val="003544F8"/>
    <w:rsid w:val="00354E74"/>
    <w:rsid w:val="003564AC"/>
    <w:rsid w:val="003565A8"/>
    <w:rsid w:val="003566E7"/>
    <w:rsid w:val="003566EA"/>
    <w:rsid w:val="003575B8"/>
    <w:rsid w:val="0035761E"/>
    <w:rsid w:val="00357754"/>
    <w:rsid w:val="0036058A"/>
    <w:rsid w:val="003606FD"/>
    <w:rsid w:val="00360F80"/>
    <w:rsid w:val="00361430"/>
    <w:rsid w:val="003616D4"/>
    <w:rsid w:val="00362DF2"/>
    <w:rsid w:val="003630AD"/>
    <w:rsid w:val="00363268"/>
    <w:rsid w:val="00363F52"/>
    <w:rsid w:val="00364FEF"/>
    <w:rsid w:val="003655E2"/>
    <w:rsid w:val="0036569D"/>
    <w:rsid w:val="003660F0"/>
    <w:rsid w:val="0036611F"/>
    <w:rsid w:val="00366E4C"/>
    <w:rsid w:val="003678B2"/>
    <w:rsid w:val="00367CD1"/>
    <w:rsid w:val="00367FA4"/>
    <w:rsid w:val="00370441"/>
    <w:rsid w:val="00370E6C"/>
    <w:rsid w:val="00371444"/>
    <w:rsid w:val="0037229B"/>
    <w:rsid w:val="003724A9"/>
    <w:rsid w:val="0037267A"/>
    <w:rsid w:val="00372C79"/>
    <w:rsid w:val="00372D73"/>
    <w:rsid w:val="00372DA7"/>
    <w:rsid w:val="00373560"/>
    <w:rsid w:val="003738AB"/>
    <w:rsid w:val="00373E15"/>
    <w:rsid w:val="00374FF1"/>
    <w:rsid w:val="00375C42"/>
    <w:rsid w:val="003777EF"/>
    <w:rsid w:val="00377D68"/>
    <w:rsid w:val="00377DB0"/>
    <w:rsid w:val="00377F7B"/>
    <w:rsid w:val="00380A81"/>
    <w:rsid w:val="003816A6"/>
    <w:rsid w:val="00381891"/>
    <w:rsid w:val="00381AB5"/>
    <w:rsid w:val="00381C76"/>
    <w:rsid w:val="0038259F"/>
    <w:rsid w:val="00382F41"/>
    <w:rsid w:val="003833B2"/>
    <w:rsid w:val="0038423F"/>
    <w:rsid w:val="00384B76"/>
    <w:rsid w:val="00385297"/>
    <w:rsid w:val="003853EE"/>
    <w:rsid w:val="00386D30"/>
    <w:rsid w:val="00387466"/>
    <w:rsid w:val="00387853"/>
    <w:rsid w:val="00387D18"/>
    <w:rsid w:val="00387EDA"/>
    <w:rsid w:val="003900EC"/>
    <w:rsid w:val="003901DB"/>
    <w:rsid w:val="003905B5"/>
    <w:rsid w:val="003908C7"/>
    <w:rsid w:val="0039204B"/>
    <w:rsid w:val="0039230A"/>
    <w:rsid w:val="00393243"/>
    <w:rsid w:val="0039430D"/>
    <w:rsid w:val="003948C2"/>
    <w:rsid w:val="00394D52"/>
    <w:rsid w:val="00394F93"/>
    <w:rsid w:val="0039523A"/>
    <w:rsid w:val="00395A15"/>
    <w:rsid w:val="00397145"/>
    <w:rsid w:val="00397642"/>
    <w:rsid w:val="00397765"/>
    <w:rsid w:val="003A01F6"/>
    <w:rsid w:val="003A05AD"/>
    <w:rsid w:val="003A08F8"/>
    <w:rsid w:val="003A0917"/>
    <w:rsid w:val="003A09E1"/>
    <w:rsid w:val="003A1515"/>
    <w:rsid w:val="003A168E"/>
    <w:rsid w:val="003A18DC"/>
    <w:rsid w:val="003A1CF1"/>
    <w:rsid w:val="003A1DAD"/>
    <w:rsid w:val="003A2219"/>
    <w:rsid w:val="003A2C00"/>
    <w:rsid w:val="003A2F56"/>
    <w:rsid w:val="003A34F3"/>
    <w:rsid w:val="003A352C"/>
    <w:rsid w:val="003A377F"/>
    <w:rsid w:val="003A3A27"/>
    <w:rsid w:val="003A3E07"/>
    <w:rsid w:val="003A43A2"/>
    <w:rsid w:val="003A48B7"/>
    <w:rsid w:val="003A49A6"/>
    <w:rsid w:val="003A4A48"/>
    <w:rsid w:val="003A4C28"/>
    <w:rsid w:val="003A4CEB"/>
    <w:rsid w:val="003A4E36"/>
    <w:rsid w:val="003A5310"/>
    <w:rsid w:val="003A5540"/>
    <w:rsid w:val="003A5AB6"/>
    <w:rsid w:val="003A7B31"/>
    <w:rsid w:val="003A7B6F"/>
    <w:rsid w:val="003A7CCB"/>
    <w:rsid w:val="003B0915"/>
    <w:rsid w:val="003B0A11"/>
    <w:rsid w:val="003B17D0"/>
    <w:rsid w:val="003B19B9"/>
    <w:rsid w:val="003B2A89"/>
    <w:rsid w:val="003B2AA5"/>
    <w:rsid w:val="003B2AD8"/>
    <w:rsid w:val="003B3363"/>
    <w:rsid w:val="003B34A7"/>
    <w:rsid w:val="003B3D8A"/>
    <w:rsid w:val="003B3E31"/>
    <w:rsid w:val="003B4134"/>
    <w:rsid w:val="003B4B69"/>
    <w:rsid w:val="003B5087"/>
    <w:rsid w:val="003B50E0"/>
    <w:rsid w:val="003B5C38"/>
    <w:rsid w:val="003B5DCC"/>
    <w:rsid w:val="003B6C76"/>
    <w:rsid w:val="003B6CCF"/>
    <w:rsid w:val="003B6D6B"/>
    <w:rsid w:val="003B6EFF"/>
    <w:rsid w:val="003B6F0A"/>
    <w:rsid w:val="003B7B9B"/>
    <w:rsid w:val="003C016D"/>
    <w:rsid w:val="003C0C2F"/>
    <w:rsid w:val="003C141C"/>
    <w:rsid w:val="003C1569"/>
    <w:rsid w:val="003C2145"/>
    <w:rsid w:val="003C2533"/>
    <w:rsid w:val="003C2B20"/>
    <w:rsid w:val="003C33E8"/>
    <w:rsid w:val="003C3980"/>
    <w:rsid w:val="003C3E62"/>
    <w:rsid w:val="003C4391"/>
    <w:rsid w:val="003C43B7"/>
    <w:rsid w:val="003C4C15"/>
    <w:rsid w:val="003C4EC2"/>
    <w:rsid w:val="003C505C"/>
    <w:rsid w:val="003C6280"/>
    <w:rsid w:val="003C669B"/>
    <w:rsid w:val="003C6A2B"/>
    <w:rsid w:val="003C6AB6"/>
    <w:rsid w:val="003C6F33"/>
    <w:rsid w:val="003C752B"/>
    <w:rsid w:val="003C7BFF"/>
    <w:rsid w:val="003D06BF"/>
    <w:rsid w:val="003D0CBF"/>
    <w:rsid w:val="003D120F"/>
    <w:rsid w:val="003D1AB1"/>
    <w:rsid w:val="003D2C5F"/>
    <w:rsid w:val="003D2E17"/>
    <w:rsid w:val="003D3D3F"/>
    <w:rsid w:val="003D3F7F"/>
    <w:rsid w:val="003D4101"/>
    <w:rsid w:val="003D46FE"/>
    <w:rsid w:val="003D4ADF"/>
    <w:rsid w:val="003D52D3"/>
    <w:rsid w:val="003D64E2"/>
    <w:rsid w:val="003D665C"/>
    <w:rsid w:val="003D6733"/>
    <w:rsid w:val="003D6FD7"/>
    <w:rsid w:val="003D7A3D"/>
    <w:rsid w:val="003E02DC"/>
    <w:rsid w:val="003E0452"/>
    <w:rsid w:val="003E0669"/>
    <w:rsid w:val="003E11C2"/>
    <w:rsid w:val="003E11F9"/>
    <w:rsid w:val="003E12D8"/>
    <w:rsid w:val="003E1900"/>
    <w:rsid w:val="003E2029"/>
    <w:rsid w:val="003E2F63"/>
    <w:rsid w:val="003E30D1"/>
    <w:rsid w:val="003E31F6"/>
    <w:rsid w:val="003E3BF7"/>
    <w:rsid w:val="003E3BFC"/>
    <w:rsid w:val="003E3D57"/>
    <w:rsid w:val="003E3E10"/>
    <w:rsid w:val="003E4062"/>
    <w:rsid w:val="003E52DB"/>
    <w:rsid w:val="003E5C2A"/>
    <w:rsid w:val="003E5DEF"/>
    <w:rsid w:val="003E5F2D"/>
    <w:rsid w:val="003E60E0"/>
    <w:rsid w:val="003E65F1"/>
    <w:rsid w:val="003E6FC0"/>
    <w:rsid w:val="003E77F1"/>
    <w:rsid w:val="003E7CFC"/>
    <w:rsid w:val="003E7FAB"/>
    <w:rsid w:val="003F05E3"/>
    <w:rsid w:val="003F06DA"/>
    <w:rsid w:val="003F0AC7"/>
    <w:rsid w:val="003F19BE"/>
    <w:rsid w:val="003F1F0B"/>
    <w:rsid w:val="003F347F"/>
    <w:rsid w:val="003F44FF"/>
    <w:rsid w:val="003F4792"/>
    <w:rsid w:val="003F4ABA"/>
    <w:rsid w:val="003F4F1F"/>
    <w:rsid w:val="003F4F7A"/>
    <w:rsid w:val="003F5326"/>
    <w:rsid w:val="003F59C0"/>
    <w:rsid w:val="003F5F3C"/>
    <w:rsid w:val="003F6B17"/>
    <w:rsid w:val="003F7367"/>
    <w:rsid w:val="003F7B7F"/>
    <w:rsid w:val="0040010E"/>
    <w:rsid w:val="004001D0"/>
    <w:rsid w:val="004009F3"/>
    <w:rsid w:val="00401330"/>
    <w:rsid w:val="004027FF"/>
    <w:rsid w:val="00402C32"/>
    <w:rsid w:val="00402C9B"/>
    <w:rsid w:val="00402CF9"/>
    <w:rsid w:val="00402EFA"/>
    <w:rsid w:val="00402F4A"/>
    <w:rsid w:val="00403171"/>
    <w:rsid w:val="004031B3"/>
    <w:rsid w:val="004032EB"/>
    <w:rsid w:val="004035F8"/>
    <w:rsid w:val="00403967"/>
    <w:rsid w:val="00403983"/>
    <w:rsid w:val="00403E5D"/>
    <w:rsid w:val="00404913"/>
    <w:rsid w:val="0040497E"/>
    <w:rsid w:val="0040501F"/>
    <w:rsid w:val="0040528E"/>
    <w:rsid w:val="00405740"/>
    <w:rsid w:val="00407030"/>
    <w:rsid w:val="00407577"/>
    <w:rsid w:val="004079E6"/>
    <w:rsid w:val="00411A9E"/>
    <w:rsid w:val="0041213A"/>
    <w:rsid w:val="0041219D"/>
    <w:rsid w:val="004124CF"/>
    <w:rsid w:val="004125F9"/>
    <w:rsid w:val="004135E0"/>
    <w:rsid w:val="004138E2"/>
    <w:rsid w:val="00413D57"/>
    <w:rsid w:val="00413E7C"/>
    <w:rsid w:val="0041406A"/>
    <w:rsid w:val="004142F5"/>
    <w:rsid w:val="004149EA"/>
    <w:rsid w:val="00414A85"/>
    <w:rsid w:val="00414FA4"/>
    <w:rsid w:val="0041501F"/>
    <w:rsid w:val="00415106"/>
    <w:rsid w:val="00415799"/>
    <w:rsid w:val="00415AD2"/>
    <w:rsid w:val="004163CA"/>
    <w:rsid w:val="00416B12"/>
    <w:rsid w:val="004173B2"/>
    <w:rsid w:val="0041760E"/>
    <w:rsid w:val="0041789F"/>
    <w:rsid w:val="004203FD"/>
    <w:rsid w:val="00420613"/>
    <w:rsid w:val="00420735"/>
    <w:rsid w:val="0042091A"/>
    <w:rsid w:val="00420EEE"/>
    <w:rsid w:val="00421029"/>
    <w:rsid w:val="00421545"/>
    <w:rsid w:val="00421697"/>
    <w:rsid w:val="00421709"/>
    <w:rsid w:val="0042181B"/>
    <w:rsid w:val="00422417"/>
    <w:rsid w:val="00422460"/>
    <w:rsid w:val="004228F8"/>
    <w:rsid w:val="00422C17"/>
    <w:rsid w:val="00422F2B"/>
    <w:rsid w:val="004231AB"/>
    <w:rsid w:val="0042364B"/>
    <w:rsid w:val="00423697"/>
    <w:rsid w:val="0042398F"/>
    <w:rsid w:val="00423AC7"/>
    <w:rsid w:val="00424138"/>
    <w:rsid w:val="00424233"/>
    <w:rsid w:val="00424868"/>
    <w:rsid w:val="00424CAB"/>
    <w:rsid w:val="00425828"/>
    <w:rsid w:val="00425915"/>
    <w:rsid w:val="00425AB9"/>
    <w:rsid w:val="00425BF7"/>
    <w:rsid w:val="004268BE"/>
    <w:rsid w:val="0042729C"/>
    <w:rsid w:val="004277E0"/>
    <w:rsid w:val="004303EC"/>
    <w:rsid w:val="00430400"/>
    <w:rsid w:val="00430595"/>
    <w:rsid w:val="0043120B"/>
    <w:rsid w:val="004313C4"/>
    <w:rsid w:val="004315F8"/>
    <w:rsid w:val="0043176D"/>
    <w:rsid w:val="00431F6E"/>
    <w:rsid w:val="00432204"/>
    <w:rsid w:val="00432342"/>
    <w:rsid w:val="004331CD"/>
    <w:rsid w:val="0043330D"/>
    <w:rsid w:val="00433C68"/>
    <w:rsid w:val="00434021"/>
    <w:rsid w:val="004342D0"/>
    <w:rsid w:val="00434945"/>
    <w:rsid w:val="00434F5B"/>
    <w:rsid w:val="0043501D"/>
    <w:rsid w:val="00435411"/>
    <w:rsid w:val="00435792"/>
    <w:rsid w:val="0043582D"/>
    <w:rsid w:val="00435FDC"/>
    <w:rsid w:val="00436641"/>
    <w:rsid w:val="00436CBD"/>
    <w:rsid w:val="00436DC4"/>
    <w:rsid w:val="004377D2"/>
    <w:rsid w:val="00437D31"/>
    <w:rsid w:val="00437DD6"/>
    <w:rsid w:val="00437E0A"/>
    <w:rsid w:val="00437FDE"/>
    <w:rsid w:val="00440A76"/>
    <w:rsid w:val="0044112D"/>
    <w:rsid w:val="00441A60"/>
    <w:rsid w:val="00441AB7"/>
    <w:rsid w:val="00441FE9"/>
    <w:rsid w:val="004421FF"/>
    <w:rsid w:val="00442312"/>
    <w:rsid w:val="004437A1"/>
    <w:rsid w:val="004437DB"/>
    <w:rsid w:val="00443B14"/>
    <w:rsid w:val="00443D2F"/>
    <w:rsid w:val="00444A56"/>
    <w:rsid w:val="00444AD5"/>
    <w:rsid w:val="00445486"/>
    <w:rsid w:val="004454E2"/>
    <w:rsid w:val="0044584D"/>
    <w:rsid w:val="00445856"/>
    <w:rsid w:val="004459EC"/>
    <w:rsid w:val="00445CB5"/>
    <w:rsid w:val="004468E3"/>
    <w:rsid w:val="00446A6C"/>
    <w:rsid w:val="0044768C"/>
    <w:rsid w:val="004477E7"/>
    <w:rsid w:val="00447FCD"/>
    <w:rsid w:val="00450203"/>
    <w:rsid w:val="004509DD"/>
    <w:rsid w:val="004509ED"/>
    <w:rsid w:val="00450A17"/>
    <w:rsid w:val="00450A98"/>
    <w:rsid w:val="00450AB2"/>
    <w:rsid w:val="00450CCE"/>
    <w:rsid w:val="00450D95"/>
    <w:rsid w:val="00451586"/>
    <w:rsid w:val="00451900"/>
    <w:rsid w:val="004522BF"/>
    <w:rsid w:val="004526DB"/>
    <w:rsid w:val="00452BBD"/>
    <w:rsid w:val="00453397"/>
    <w:rsid w:val="004533B1"/>
    <w:rsid w:val="004536BE"/>
    <w:rsid w:val="004543B6"/>
    <w:rsid w:val="00454971"/>
    <w:rsid w:val="00455114"/>
    <w:rsid w:val="00456E99"/>
    <w:rsid w:val="00457540"/>
    <w:rsid w:val="0045756D"/>
    <w:rsid w:val="00457A7A"/>
    <w:rsid w:val="00457C63"/>
    <w:rsid w:val="00460786"/>
    <w:rsid w:val="00460CC7"/>
    <w:rsid w:val="00460CD6"/>
    <w:rsid w:val="00460EE0"/>
    <w:rsid w:val="0046151A"/>
    <w:rsid w:val="0046195C"/>
    <w:rsid w:val="00461E94"/>
    <w:rsid w:val="00462B0C"/>
    <w:rsid w:val="00463BA0"/>
    <w:rsid w:val="00463D2E"/>
    <w:rsid w:val="00463F3D"/>
    <w:rsid w:val="004641F9"/>
    <w:rsid w:val="0046464D"/>
    <w:rsid w:val="00464776"/>
    <w:rsid w:val="00464B54"/>
    <w:rsid w:val="00464D60"/>
    <w:rsid w:val="00464F5E"/>
    <w:rsid w:val="00465085"/>
    <w:rsid w:val="004654A7"/>
    <w:rsid w:val="004665C4"/>
    <w:rsid w:val="00466FD3"/>
    <w:rsid w:val="00467342"/>
    <w:rsid w:val="00467545"/>
    <w:rsid w:val="00467F2E"/>
    <w:rsid w:val="004703A7"/>
    <w:rsid w:val="004703E0"/>
    <w:rsid w:val="00470651"/>
    <w:rsid w:val="00470846"/>
    <w:rsid w:val="00470A08"/>
    <w:rsid w:val="00471004"/>
    <w:rsid w:val="00471091"/>
    <w:rsid w:val="004712FB"/>
    <w:rsid w:val="00471677"/>
    <w:rsid w:val="0047199E"/>
    <w:rsid w:val="00471BB7"/>
    <w:rsid w:val="00471ECD"/>
    <w:rsid w:val="0047231D"/>
    <w:rsid w:val="004723D9"/>
    <w:rsid w:val="00472784"/>
    <w:rsid w:val="00472910"/>
    <w:rsid w:val="00472EFF"/>
    <w:rsid w:val="00474063"/>
    <w:rsid w:val="00474303"/>
    <w:rsid w:val="00475166"/>
    <w:rsid w:val="004758BE"/>
    <w:rsid w:val="00475D0B"/>
    <w:rsid w:val="00475E51"/>
    <w:rsid w:val="00476793"/>
    <w:rsid w:val="00477B78"/>
    <w:rsid w:val="00477CB0"/>
    <w:rsid w:val="00477D00"/>
    <w:rsid w:val="00481A2B"/>
    <w:rsid w:val="00481B2A"/>
    <w:rsid w:val="00481F49"/>
    <w:rsid w:val="00482091"/>
    <w:rsid w:val="00482333"/>
    <w:rsid w:val="00483115"/>
    <w:rsid w:val="004838EC"/>
    <w:rsid w:val="004840DC"/>
    <w:rsid w:val="004852CD"/>
    <w:rsid w:val="00485897"/>
    <w:rsid w:val="00485ADE"/>
    <w:rsid w:val="00485CE7"/>
    <w:rsid w:val="004861C8"/>
    <w:rsid w:val="0048635C"/>
    <w:rsid w:val="00486568"/>
    <w:rsid w:val="00487383"/>
    <w:rsid w:val="00487450"/>
    <w:rsid w:val="004875E9"/>
    <w:rsid w:val="004879BD"/>
    <w:rsid w:val="00487AEC"/>
    <w:rsid w:val="00490164"/>
    <w:rsid w:val="0049026E"/>
    <w:rsid w:val="004902BE"/>
    <w:rsid w:val="00490697"/>
    <w:rsid w:val="00491946"/>
    <w:rsid w:val="00491CB2"/>
    <w:rsid w:val="00491D41"/>
    <w:rsid w:val="0049211F"/>
    <w:rsid w:val="0049415D"/>
    <w:rsid w:val="004941FB"/>
    <w:rsid w:val="00494623"/>
    <w:rsid w:val="00494711"/>
    <w:rsid w:val="0049477C"/>
    <w:rsid w:val="00494895"/>
    <w:rsid w:val="00494AAE"/>
    <w:rsid w:val="004950D9"/>
    <w:rsid w:val="00495181"/>
    <w:rsid w:val="00496144"/>
    <w:rsid w:val="00496803"/>
    <w:rsid w:val="00496ACC"/>
    <w:rsid w:val="00496D84"/>
    <w:rsid w:val="00496F05"/>
    <w:rsid w:val="0049713C"/>
    <w:rsid w:val="0049719E"/>
    <w:rsid w:val="00497413"/>
    <w:rsid w:val="0049764B"/>
    <w:rsid w:val="00497F20"/>
    <w:rsid w:val="004A0238"/>
    <w:rsid w:val="004A05E9"/>
    <w:rsid w:val="004A0686"/>
    <w:rsid w:val="004A1159"/>
    <w:rsid w:val="004A187B"/>
    <w:rsid w:val="004A1D3C"/>
    <w:rsid w:val="004A1E74"/>
    <w:rsid w:val="004A24A5"/>
    <w:rsid w:val="004A265E"/>
    <w:rsid w:val="004A2C2F"/>
    <w:rsid w:val="004A2D3C"/>
    <w:rsid w:val="004A2F42"/>
    <w:rsid w:val="004A39D2"/>
    <w:rsid w:val="004A40BA"/>
    <w:rsid w:val="004A4B7B"/>
    <w:rsid w:val="004A6220"/>
    <w:rsid w:val="004A6399"/>
    <w:rsid w:val="004A646C"/>
    <w:rsid w:val="004A6506"/>
    <w:rsid w:val="004A6716"/>
    <w:rsid w:val="004A6C51"/>
    <w:rsid w:val="004A6E63"/>
    <w:rsid w:val="004A7967"/>
    <w:rsid w:val="004B02DA"/>
    <w:rsid w:val="004B0371"/>
    <w:rsid w:val="004B03B3"/>
    <w:rsid w:val="004B0627"/>
    <w:rsid w:val="004B0D00"/>
    <w:rsid w:val="004B122D"/>
    <w:rsid w:val="004B12D3"/>
    <w:rsid w:val="004B1801"/>
    <w:rsid w:val="004B1ECF"/>
    <w:rsid w:val="004B2167"/>
    <w:rsid w:val="004B2173"/>
    <w:rsid w:val="004B226D"/>
    <w:rsid w:val="004B26ED"/>
    <w:rsid w:val="004B39D2"/>
    <w:rsid w:val="004B4707"/>
    <w:rsid w:val="004B48CE"/>
    <w:rsid w:val="004B5563"/>
    <w:rsid w:val="004B5F65"/>
    <w:rsid w:val="004B624F"/>
    <w:rsid w:val="004B69EE"/>
    <w:rsid w:val="004B7271"/>
    <w:rsid w:val="004B77D4"/>
    <w:rsid w:val="004B7E91"/>
    <w:rsid w:val="004B7F51"/>
    <w:rsid w:val="004C0BBC"/>
    <w:rsid w:val="004C0E3A"/>
    <w:rsid w:val="004C106F"/>
    <w:rsid w:val="004C14AA"/>
    <w:rsid w:val="004C15B4"/>
    <w:rsid w:val="004C1BD4"/>
    <w:rsid w:val="004C1F7E"/>
    <w:rsid w:val="004C227C"/>
    <w:rsid w:val="004C2734"/>
    <w:rsid w:val="004C2B84"/>
    <w:rsid w:val="004C3912"/>
    <w:rsid w:val="004C3B0A"/>
    <w:rsid w:val="004C43EC"/>
    <w:rsid w:val="004C498E"/>
    <w:rsid w:val="004C4BE1"/>
    <w:rsid w:val="004C5352"/>
    <w:rsid w:val="004C63A1"/>
    <w:rsid w:val="004C6433"/>
    <w:rsid w:val="004C66BE"/>
    <w:rsid w:val="004C6818"/>
    <w:rsid w:val="004C6CCA"/>
    <w:rsid w:val="004C6F3E"/>
    <w:rsid w:val="004C7412"/>
    <w:rsid w:val="004C78E1"/>
    <w:rsid w:val="004C7EE4"/>
    <w:rsid w:val="004C7F85"/>
    <w:rsid w:val="004D03C5"/>
    <w:rsid w:val="004D04BF"/>
    <w:rsid w:val="004D0953"/>
    <w:rsid w:val="004D122D"/>
    <w:rsid w:val="004D1E70"/>
    <w:rsid w:val="004D1FC5"/>
    <w:rsid w:val="004D2078"/>
    <w:rsid w:val="004D2C9E"/>
    <w:rsid w:val="004D3172"/>
    <w:rsid w:val="004D3C2C"/>
    <w:rsid w:val="004D3F98"/>
    <w:rsid w:val="004D4004"/>
    <w:rsid w:val="004D4688"/>
    <w:rsid w:val="004D4A69"/>
    <w:rsid w:val="004D4FF8"/>
    <w:rsid w:val="004D5ADC"/>
    <w:rsid w:val="004D5D0B"/>
    <w:rsid w:val="004D61B8"/>
    <w:rsid w:val="004D6C70"/>
    <w:rsid w:val="004D6DD8"/>
    <w:rsid w:val="004D76DD"/>
    <w:rsid w:val="004D7E11"/>
    <w:rsid w:val="004DD84B"/>
    <w:rsid w:val="004E00E7"/>
    <w:rsid w:val="004E0DFF"/>
    <w:rsid w:val="004E147C"/>
    <w:rsid w:val="004E17BC"/>
    <w:rsid w:val="004E1DF9"/>
    <w:rsid w:val="004E1E37"/>
    <w:rsid w:val="004E2BA1"/>
    <w:rsid w:val="004E2C89"/>
    <w:rsid w:val="004E2ECF"/>
    <w:rsid w:val="004E35EE"/>
    <w:rsid w:val="004E38BD"/>
    <w:rsid w:val="004E3C14"/>
    <w:rsid w:val="004E4C4E"/>
    <w:rsid w:val="004E4C7D"/>
    <w:rsid w:val="004E611E"/>
    <w:rsid w:val="004E63C4"/>
    <w:rsid w:val="004E6908"/>
    <w:rsid w:val="004E6DB6"/>
    <w:rsid w:val="004E6FC7"/>
    <w:rsid w:val="004E736C"/>
    <w:rsid w:val="004E7422"/>
    <w:rsid w:val="004E79FE"/>
    <w:rsid w:val="004E7A96"/>
    <w:rsid w:val="004F0425"/>
    <w:rsid w:val="004F0D6D"/>
    <w:rsid w:val="004F0F1B"/>
    <w:rsid w:val="004F1119"/>
    <w:rsid w:val="004F1307"/>
    <w:rsid w:val="004F16B9"/>
    <w:rsid w:val="004F1A47"/>
    <w:rsid w:val="004F1C7C"/>
    <w:rsid w:val="004F1FD9"/>
    <w:rsid w:val="004F222B"/>
    <w:rsid w:val="004F22B5"/>
    <w:rsid w:val="004F39F6"/>
    <w:rsid w:val="004F3A6E"/>
    <w:rsid w:val="004F3F9E"/>
    <w:rsid w:val="004F4457"/>
    <w:rsid w:val="004F44E2"/>
    <w:rsid w:val="004F4A57"/>
    <w:rsid w:val="004F6607"/>
    <w:rsid w:val="004F72F8"/>
    <w:rsid w:val="005001E3"/>
    <w:rsid w:val="00500456"/>
    <w:rsid w:val="0050057A"/>
    <w:rsid w:val="005009DA"/>
    <w:rsid w:val="0050165B"/>
    <w:rsid w:val="00501BCB"/>
    <w:rsid w:val="00501C7F"/>
    <w:rsid w:val="00501D57"/>
    <w:rsid w:val="00501F17"/>
    <w:rsid w:val="00502031"/>
    <w:rsid w:val="0050331E"/>
    <w:rsid w:val="0050362F"/>
    <w:rsid w:val="00503A05"/>
    <w:rsid w:val="0050409F"/>
    <w:rsid w:val="005041A2"/>
    <w:rsid w:val="00504213"/>
    <w:rsid w:val="00504712"/>
    <w:rsid w:val="005047FC"/>
    <w:rsid w:val="00504851"/>
    <w:rsid w:val="005049D1"/>
    <w:rsid w:val="00504A1C"/>
    <w:rsid w:val="00504B85"/>
    <w:rsid w:val="00504FA1"/>
    <w:rsid w:val="00505E53"/>
    <w:rsid w:val="005061C5"/>
    <w:rsid w:val="0050662E"/>
    <w:rsid w:val="005066CF"/>
    <w:rsid w:val="0050687E"/>
    <w:rsid w:val="00506C2B"/>
    <w:rsid w:val="00506D0E"/>
    <w:rsid w:val="00506F30"/>
    <w:rsid w:val="005074EC"/>
    <w:rsid w:val="005079C9"/>
    <w:rsid w:val="00507DBE"/>
    <w:rsid w:val="0050F2F0"/>
    <w:rsid w:val="00510390"/>
    <w:rsid w:val="0051090D"/>
    <w:rsid w:val="00510ECC"/>
    <w:rsid w:val="00510FB2"/>
    <w:rsid w:val="005114F3"/>
    <w:rsid w:val="005117F7"/>
    <w:rsid w:val="0051189C"/>
    <w:rsid w:val="005120A1"/>
    <w:rsid w:val="005123F0"/>
    <w:rsid w:val="005127BD"/>
    <w:rsid w:val="00512C2D"/>
    <w:rsid w:val="00513540"/>
    <w:rsid w:val="00513879"/>
    <w:rsid w:val="00513941"/>
    <w:rsid w:val="00514759"/>
    <w:rsid w:val="00514AD2"/>
    <w:rsid w:val="00514BCE"/>
    <w:rsid w:val="005156B6"/>
    <w:rsid w:val="00515A21"/>
    <w:rsid w:val="005161BF"/>
    <w:rsid w:val="0051638A"/>
    <w:rsid w:val="005205BF"/>
    <w:rsid w:val="00520A35"/>
    <w:rsid w:val="00520C3B"/>
    <w:rsid w:val="00523558"/>
    <w:rsid w:val="00523D98"/>
    <w:rsid w:val="00523DD8"/>
    <w:rsid w:val="0052448D"/>
    <w:rsid w:val="00524C25"/>
    <w:rsid w:val="00524CA2"/>
    <w:rsid w:val="00525466"/>
    <w:rsid w:val="00525941"/>
    <w:rsid w:val="00525C12"/>
    <w:rsid w:val="0052649C"/>
    <w:rsid w:val="005266C6"/>
    <w:rsid w:val="00527246"/>
    <w:rsid w:val="00527344"/>
    <w:rsid w:val="005278CB"/>
    <w:rsid w:val="00527B75"/>
    <w:rsid w:val="00527D64"/>
    <w:rsid w:val="005301E2"/>
    <w:rsid w:val="005303E6"/>
    <w:rsid w:val="005304A0"/>
    <w:rsid w:val="0053051D"/>
    <w:rsid w:val="005308EA"/>
    <w:rsid w:val="00530ED6"/>
    <w:rsid w:val="00530ED8"/>
    <w:rsid w:val="005311C6"/>
    <w:rsid w:val="0053127C"/>
    <w:rsid w:val="0053196B"/>
    <w:rsid w:val="00531A90"/>
    <w:rsid w:val="00531CCE"/>
    <w:rsid w:val="00531D50"/>
    <w:rsid w:val="00532155"/>
    <w:rsid w:val="00532246"/>
    <w:rsid w:val="00532AE0"/>
    <w:rsid w:val="00532CF4"/>
    <w:rsid w:val="00533106"/>
    <w:rsid w:val="00533667"/>
    <w:rsid w:val="00533D42"/>
    <w:rsid w:val="00533DB8"/>
    <w:rsid w:val="00533FF6"/>
    <w:rsid w:val="0053458F"/>
    <w:rsid w:val="00534ECC"/>
    <w:rsid w:val="00534F4C"/>
    <w:rsid w:val="00535C6E"/>
    <w:rsid w:val="00535D6D"/>
    <w:rsid w:val="00535E85"/>
    <w:rsid w:val="005366E1"/>
    <w:rsid w:val="0053725A"/>
    <w:rsid w:val="005400F0"/>
    <w:rsid w:val="00540111"/>
    <w:rsid w:val="0054015D"/>
    <w:rsid w:val="005401A1"/>
    <w:rsid w:val="0054053B"/>
    <w:rsid w:val="00540C08"/>
    <w:rsid w:val="00540C79"/>
    <w:rsid w:val="005414B9"/>
    <w:rsid w:val="00541A49"/>
    <w:rsid w:val="00541B13"/>
    <w:rsid w:val="00541E7F"/>
    <w:rsid w:val="00542BE2"/>
    <w:rsid w:val="00542C95"/>
    <w:rsid w:val="00542E77"/>
    <w:rsid w:val="0054304C"/>
    <w:rsid w:val="00543CE4"/>
    <w:rsid w:val="00543FF9"/>
    <w:rsid w:val="00545D39"/>
    <w:rsid w:val="005460B4"/>
    <w:rsid w:val="00546487"/>
    <w:rsid w:val="005470B9"/>
    <w:rsid w:val="00547CD8"/>
    <w:rsid w:val="005507A1"/>
    <w:rsid w:val="00550F85"/>
    <w:rsid w:val="00550FD3"/>
    <w:rsid w:val="00551002"/>
    <w:rsid w:val="00551B43"/>
    <w:rsid w:val="00551ED0"/>
    <w:rsid w:val="00552423"/>
    <w:rsid w:val="005529D6"/>
    <w:rsid w:val="005530A0"/>
    <w:rsid w:val="00553595"/>
    <w:rsid w:val="00553CCA"/>
    <w:rsid w:val="00554298"/>
    <w:rsid w:val="0055454F"/>
    <w:rsid w:val="005548E1"/>
    <w:rsid w:val="005549D4"/>
    <w:rsid w:val="00554A46"/>
    <w:rsid w:val="00554BF5"/>
    <w:rsid w:val="00555482"/>
    <w:rsid w:val="005561DE"/>
    <w:rsid w:val="0055631A"/>
    <w:rsid w:val="00556C08"/>
    <w:rsid w:val="00556ED1"/>
    <w:rsid w:val="00560179"/>
    <w:rsid w:val="00560590"/>
    <w:rsid w:val="005606C6"/>
    <w:rsid w:val="005606FE"/>
    <w:rsid w:val="00561019"/>
    <w:rsid w:val="0056205C"/>
    <w:rsid w:val="005621FB"/>
    <w:rsid w:val="00562327"/>
    <w:rsid w:val="0056237E"/>
    <w:rsid w:val="0056255A"/>
    <w:rsid w:val="00563273"/>
    <w:rsid w:val="0056365F"/>
    <w:rsid w:val="00564208"/>
    <w:rsid w:val="00564D6D"/>
    <w:rsid w:val="005654B9"/>
    <w:rsid w:val="00565EE1"/>
    <w:rsid w:val="005662F6"/>
    <w:rsid w:val="005669E4"/>
    <w:rsid w:val="00567339"/>
    <w:rsid w:val="005674EC"/>
    <w:rsid w:val="0057025E"/>
    <w:rsid w:val="005705F3"/>
    <w:rsid w:val="0057064D"/>
    <w:rsid w:val="00570C27"/>
    <w:rsid w:val="00570C58"/>
    <w:rsid w:val="00571187"/>
    <w:rsid w:val="005712EA"/>
    <w:rsid w:val="005712F5"/>
    <w:rsid w:val="005713E7"/>
    <w:rsid w:val="00571582"/>
    <w:rsid w:val="00571C73"/>
    <w:rsid w:val="00571C92"/>
    <w:rsid w:val="00571CEB"/>
    <w:rsid w:val="00571D05"/>
    <w:rsid w:val="00571E16"/>
    <w:rsid w:val="00572135"/>
    <w:rsid w:val="005727F7"/>
    <w:rsid w:val="0057289C"/>
    <w:rsid w:val="00572926"/>
    <w:rsid w:val="00572FA5"/>
    <w:rsid w:val="0057371A"/>
    <w:rsid w:val="0057498B"/>
    <w:rsid w:val="00574A23"/>
    <w:rsid w:val="00574B41"/>
    <w:rsid w:val="00574E54"/>
    <w:rsid w:val="00575585"/>
    <w:rsid w:val="00575CEF"/>
    <w:rsid w:val="00575F4B"/>
    <w:rsid w:val="00576B14"/>
    <w:rsid w:val="00576D10"/>
    <w:rsid w:val="0057751D"/>
    <w:rsid w:val="00580146"/>
    <w:rsid w:val="00580BBA"/>
    <w:rsid w:val="00582496"/>
    <w:rsid w:val="005825BB"/>
    <w:rsid w:val="00582831"/>
    <w:rsid w:val="00583151"/>
    <w:rsid w:val="005838A2"/>
    <w:rsid w:val="00583B81"/>
    <w:rsid w:val="0058420D"/>
    <w:rsid w:val="0058439B"/>
    <w:rsid w:val="005845D6"/>
    <w:rsid w:val="00584B90"/>
    <w:rsid w:val="0058500C"/>
    <w:rsid w:val="0058524D"/>
    <w:rsid w:val="00585942"/>
    <w:rsid w:val="00585C55"/>
    <w:rsid w:val="00586256"/>
    <w:rsid w:val="00586619"/>
    <w:rsid w:val="00586C65"/>
    <w:rsid w:val="00586FC6"/>
    <w:rsid w:val="005873BA"/>
    <w:rsid w:val="00590D42"/>
    <w:rsid w:val="00591093"/>
    <w:rsid w:val="005917DC"/>
    <w:rsid w:val="00591951"/>
    <w:rsid w:val="00591EB1"/>
    <w:rsid w:val="005920B8"/>
    <w:rsid w:val="005923A2"/>
    <w:rsid w:val="00592408"/>
    <w:rsid w:val="00592B81"/>
    <w:rsid w:val="00592D1C"/>
    <w:rsid w:val="005931A1"/>
    <w:rsid w:val="00593EC6"/>
    <w:rsid w:val="00593FA4"/>
    <w:rsid w:val="005945E4"/>
    <w:rsid w:val="0059482B"/>
    <w:rsid w:val="00594A02"/>
    <w:rsid w:val="005952DC"/>
    <w:rsid w:val="005958D8"/>
    <w:rsid w:val="00596F17"/>
    <w:rsid w:val="005A0660"/>
    <w:rsid w:val="005A0748"/>
    <w:rsid w:val="005A088D"/>
    <w:rsid w:val="005A0964"/>
    <w:rsid w:val="005A0C35"/>
    <w:rsid w:val="005A0DE1"/>
    <w:rsid w:val="005A0F76"/>
    <w:rsid w:val="005A1774"/>
    <w:rsid w:val="005A1A35"/>
    <w:rsid w:val="005A1B97"/>
    <w:rsid w:val="005A1F79"/>
    <w:rsid w:val="005A2793"/>
    <w:rsid w:val="005A2B65"/>
    <w:rsid w:val="005A2BC0"/>
    <w:rsid w:val="005A2F77"/>
    <w:rsid w:val="005A34FF"/>
    <w:rsid w:val="005A3526"/>
    <w:rsid w:val="005A3742"/>
    <w:rsid w:val="005A4D37"/>
    <w:rsid w:val="005A4FB6"/>
    <w:rsid w:val="005A5400"/>
    <w:rsid w:val="005A583B"/>
    <w:rsid w:val="005A5BAF"/>
    <w:rsid w:val="005A6020"/>
    <w:rsid w:val="005A6115"/>
    <w:rsid w:val="005A62DB"/>
    <w:rsid w:val="005A6660"/>
    <w:rsid w:val="005A705E"/>
    <w:rsid w:val="005A7A92"/>
    <w:rsid w:val="005A7C3F"/>
    <w:rsid w:val="005A7E19"/>
    <w:rsid w:val="005B01D5"/>
    <w:rsid w:val="005B041A"/>
    <w:rsid w:val="005B0574"/>
    <w:rsid w:val="005B151C"/>
    <w:rsid w:val="005B17FE"/>
    <w:rsid w:val="005B1C27"/>
    <w:rsid w:val="005B2347"/>
    <w:rsid w:val="005B29EA"/>
    <w:rsid w:val="005B36F6"/>
    <w:rsid w:val="005B4AFF"/>
    <w:rsid w:val="005B60A5"/>
    <w:rsid w:val="005B6B1E"/>
    <w:rsid w:val="005B6B29"/>
    <w:rsid w:val="005B736E"/>
    <w:rsid w:val="005B7507"/>
    <w:rsid w:val="005B75BA"/>
    <w:rsid w:val="005B75E9"/>
    <w:rsid w:val="005C01BA"/>
    <w:rsid w:val="005C0D4D"/>
    <w:rsid w:val="005C11CF"/>
    <w:rsid w:val="005C12E3"/>
    <w:rsid w:val="005C1668"/>
    <w:rsid w:val="005C1973"/>
    <w:rsid w:val="005C1EC9"/>
    <w:rsid w:val="005C20B9"/>
    <w:rsid w:val="005C20D2"/>
    <w:rsid w:val="005C2ECF"/>
    <w:rsid w:val="005C3133"/>
    <w:rsid w:val="005C32E1"/>
    <w:rsid w:val="005C450A"/>
    <w:rsid w:val="005C4A29"/>
    <w:rsid w:val="005C4E7C"/>
    <w:rsid w:val="005C4FED"/>
    <w:rsid w:val="005C56F3"/>
    <w:rsid w:val="005C5C3D"/>
    <w:rsid w:val="005C5D41"/>
    <w:rsid w:val="005C6251"/>
    <w:rsid w:val="005C67E8"/>
    <w:rsid w:val="005C6AEC"/>
    <w:rsid w:val="005C6D7F"/>
    <w:rsid w:val="005C6E48"/>
    <w:rsid w:val="005C77DF"/>
    <w:rsid w:val="005C7982"/>
    <w:rsid w:val="005C7DDB"/>
    <w:rsid w:val="005D04EC"/>
    <w:rsid w:val="005D06BD"/>
    <w:rsid w:val="005D095A"/>
    <w:rsid w:val="005D163B"/>
    <w:rsid w:val="005D1AB2"/>
    <w:rsid w:val="005D1F34"/>
    <w:rsid w:val="005D20FC"/>
    <w:rsid w:val="005D2260"/>
    <w:rsid w:val="005D2FE8"/>
    <w:rsid w:val="005D383D"/>
    <w:rsid w:val="005D3942"/>
    <w:rsid w:val="005D4231"/>
    <w:rsid w:val="005D45BC"/>
    <w:rsid w:val="005D4ED1"/>
    <w:rsid w:val="005D5601"/>
    <w:rsid w:val="005D5F97"/>
    <w:rsid w:val="005D652F"/>
    <w:rsid w:val="005D6A4B"/>
    <w:rsid w:val="005D7C28"/>
    <w:rsid w:val="005E0128"/>
    <w:rsid w:val="005E016B"/>
    <w:rsid w:val="005E08C0"/>
    <w:rsid w:val="005E0EE3"/>
    <w:rsid w:val="005E1756"/>
    <w:rsid w:val="005E24BA"/>
    <w:rsid w:val="005E3A73"/>
    <w:rsid w:val="005E42BC"/>
    <w:rsid w:val="005E435D"/>
    <w:rsid w:val="005E46C6"/>
    <w:rsid w:val="005E50BF"/>
    <w:rsid w:val="005E53A6"/>
    <w:rsid w:val="005E5AF4"/>
    <w:rsid w:val="005E5CF4"/>
    <w:rsid w:val="005E5D7C"/>
    <w:rsid w:val="005E5F73"/>
    <w:rsid w:val="005E63BB"/>
    <w:rsid w:val="005E6C1C"/>
    <w:rsid w:val="005E6D88"/>
    <w:rsid w:val="005E6D8C"/>
    <w:rsid w:val="005E6ED3"/>
    <w:rsid w:val="005E6F86"/>
    <w:rsid w:val="005E7230"/>
    <w:rsid w:val="005E7530"/>
    <w:rsid w:val="005E7983"/>
    <w:rsid w:val="005E7B64"/>
    <w:rsid w:val="005F00B3"/>
    <w:rsid w:val="005F0750"/>
    <w:rsid w:val="005F0C7D"/>
    <w:rsid w:val="005F11E0"/>
    <w:rsid w:val="005F11EA"/>
    <w:rsid w:val="005F12C1"/>
    <w:rsid w:val="005F184A"/>
    <w:rsid w:val="005F2329"/>
    <w:rsid w:val="005F2A21"/>
    <w:rsid w:val="005F2EA5"/>
    <w:rsid w:val="005F3075"/>
    <w:rsid w:val="005F351E"/>
    <w:rsid w:val="005F37BF"/>
    <w:rsid w:val="005F3CBD"/>
    <w:rsid w:val="005F3FD4"/>
    <w:rsid w:val="005F43EF"/>
    <w:rsid w:val="005F45BB"/>
    <w:rsid w:val="005F4ECC"/>
    <w:rsid w:val="005F55B1"/>
    <w:rsid w:val="005F58C5"/>
    <w:rsid w:val="005F59FB"/>
    <w:rsid w:val="005F63AE"/>
    <w:rsid w:val="005F6495"/>
    <w:rsid w:val="005F658D"/>
    <w:rsid w:val="005F6AD7"/>
    <w:rsid w:val="005F6E3A"/>
    <w:rsid w:val="0060088F"/>
    <w:rsid w:val="006017DE"/>
    <w:rsid w:val="00601EAA"/>
    <w:rsid w:val="0060283C"/>
    <w:rsid w:val="00602AAD"/>
    <w:rsid w:val="00602B3E"/>
    <w:rsid w:val="006033ED"/>
    <w:rsid w:val="006033F3"/>
    <w:rsid w:val="00603568"/>
    <w:rsid w:val="00603A04"/>
    <w:rsid w:val="00603B58"/>
    <w:rsid w:val="00605799"/>
    <w:rsid w:val="00605F8F"/>
    <w:rsid w:val="0060616E"/>
    <w:rsid w:val="006064E4"/>
    <w:rsid w:val="00606585"/>
    <w:rsid w:val="006065F2"/>
    <w:rsid w:val="00606DFF"/>
    <w:rsid w:val="00607011"/>
    <w:rsid w:val="00607235"/>
    <w:rsid w:val="006104F5"/>
    <w:rsid w:val="006109D9"/>
    <w:rsid w:val="00610DD5"/>
    <w:rsid w:val="00612358"/>
    <w:rsid w:val="00613C76"/>
    <w:rsid w:val="00614000"/>
    <w:rsid w:val="00614A06"/>
    <w:rsid w:val="00614EEC"/>
    <w:rsid w:val="00615375"/>
    <w:rsid w:val="0061560A"/>
    <w:rsid w:val="00615F79"/>
    <w:rsid w:val="00616569"/>
    <w:rsid w:val="006165E3"/>
    <w:rsid w:val="00616F88"/>
    <w:rsid w:val="006172F2"/>
    <w:rsid w:val="00620BB3"/>
    <w:rsid w:val="00620CB9"/>
    <w:rsid w:val="00621DC8"/>
    <w:rsid w:val="00622113"/>
    <w:rsid w:val="00622508"/>
    <w:rsid w:val="0062338F"/>
    <w:rsid w:val="00623953"/>
    <w:rsid w:val="00623CC1"/>
    <w:rsid w:val="00623FD7"/>
    <w:rsid w:val="006245FC"/>
    <w:rsid w:val="00624F70"/>
    <w:rsid w:val="00625127"/>
    <w:rsid w:val="006253A1"/>
    <w:rsid w:val="00625633"/>
    <w:rsid w:val="00625672"/>
    <w:rsid w:val="00625990"/>
    <w:rsid w:val="006261FC"/>
    <w:rsid w:val="006262B1"/>
    <w:rsid w:val="00626928"/>
    <w:rsid w:val="00626CFE"/>
    <w:rsid w:val="00627AC8"/>
    <w:rsid w:val="00627BC4"/>
    <w:rsid w:val="0063009F"/>
    <w:rsid w:val="00630457"/>
    <w:rsid w:val="00631B0C"/>
    <w:rsid w:val="00631B6C"/>
    <w:rsid w:val="00631C38"/>
    <w:rsid w:val="00631EC4"/>
    <w:rsid w:val="00631F45"/>
    <w:rsid w:val="00631F5A"/>
    <w:rsid w:val="006321E1"/>
    <w:rsid w:val="006326FA"/>
    <w:rsid w:val="00632C17"/>
    <w:rsid w:val="00633647"/>
    <w:rsid w:val="00634674"/>
    <w:rsid w:val="00634806"/>
    <w:rsid w:val="00634B0D"/>
    <w:rsid w:val="00634DF1"/>
    <w:rsid w:val="00635042"/>
    <w:rsid w:val="00635538"/>
    <w:rsid w:val="006356C5"/>
    <w:rsid w:val="00635838"/>
    <w:rsid w:val="00635E74"/>
    <w:rsid w:val="0063644C"/>
    <w:rsid w:val="00636767"/>
    <w:rsid w:val="006368AC"/>
    <w:rsid w:val="00636B99"/>
    <w:rsid w:val="0063713E"/>
    <w:rsid w:val="006372C2"/>
    <w:rsid w:val="006376EA"/>
    <w:rsid w:val="006377F2"/>
    <w:rsid w:val="00637B21"/>
    <w:rsid w:val="006400ED"/>
    <w:rsid w:val="0064041D"/>
    <w:rsid w:val="00640FB8"/>
    <w:rsid w:val="006411CD"/>
    <w:rsid w:val="00641433"/>
    <w:rsid w:val="006428FB"/>
    <w:rsid w:val="00642CB6"/>
    <w:rsid w:val="00642EB8"/>
    <w:rsid w:val="006431B8"/>
    <w:rsid w:val="00643338"/>
    <w:rsid w:val="00643485"/>
    <w:rsid w:val="00643F80"/>
    <w:rsid w:val="00644B30"/>
    <w:rsid w:val="006458C9"/>
    <w:rsid w:val="00645C6D"/>
    <w:rsid w:val="00646638"/>
    <w:rsid w:val="00646960"/>
    <w:rsid w:val="0064736C"/>
    <w:rsid w:val="0064778A"/>
    <w:rsid w:val="00647814"/>
    <w:rsid w:val="00647A68"/>
    <w:rsid w:val="00650E26"/>
    <w:rsid w:val="006515F6"/>
    <w:rsid w:val="00651BBA"/>
    <w:rsid w:val="00653013"/>
    <w:rsid w:val="0065373E"/>
    <w:rsid w:val="00653842"/>
    <w:rsid w:val="00653946"/>
    <w:rsid w:val="00654016"/>
    <w:rsid w:val="006545BA"/>
    <w:rsid w:val="00654793"/>
    <w:rsid w:val="00654D65"/>
    <w:rsid w:val="0065538D"/>
    <w:rsid w:val="006556CD"/>
    <w:rsid w:val="00655BF2"/>
    <w:rsid w:val="00655E0F"/>
    <w:rsid w:val="0065660C"/>
    <w:rsid w:val="00656832"/>
    <w:rsid w:val="00656E2E"/>
    <w:rsid w:val="00657C71"/>
    <w:rsid w:val="00657F92"/>
    <w:rsid w:val="0066026E"/>
    <w:rsid w:val="006604B1"/>
    <w:rsid w:val="00660DEE"/>
    <w:rsid w:val="00660F85"/>
    <w:rsid w:val="0066130F"/>
    <w:rsid w:val="00661868"/>
    <w:rsid w:val="006618A9"/>
    <w:rsid w:val="00661A18"/>
    <w:rsid w:val="00661AA3"/>
    <w:rsid w:val="006629C2"/>
    <w:rsid w:val="00662B58"/>
    <w:rsid w:val="00663008"/>
    <w:rsid w:val="006631C8"/>
    <w:rsid w:val="00663261"/>
    <w:rsid w:val="0066360B"/>
    <w:rsid w:val="00663F62"/>
    <w:rsid w:val="00664316"/>
    <w:rsid w:val="006645DA"/>
    <w:rsid w:val="00664A25"/>
    <w:rsid w:val="00665E51"/>
    <w:rsid w:val="00665FE5"/>
    <w:rsid w:val="00666709"/>
    <w:rsid w:val="00666E77"/>
    <w:rsid w:val="00667D20"/>
    <w:rsid w:val="006703B5"/>
    <w:rsid w:val="00670740"/>
    <w:rsid w:val="006709BA"/>
    <w:rsid w:val="00672DF5"/>
    <w:rsid w:val="00672E58"/>
    <w:rsid w:val="00673708"/>
    <w:rsid w:val="006738A7"/>
    <w:rsid w:val="00673999"/>
    <w:rsid w:val="00673BA0"/>
    <w:rsid w:val="00673EB9"/>
    <w:rsid w:val="0067483B"/>
    <w:rsid w:val="006750A2"/>
    <w:rsid w:val="0067580D"/>
    <w:rsid w:val="006760DD"/>
    <w:rsid w:val="006761B4"/>
    <w:rsid w:val="0067632D"/>
    <w:rsid w:val="006763C0"/>
    <w:rsid w:val="00676C25"/>
    <w:rsid w:val="00677384"/>
    <w:rsid w:val="00677CA9"/>
    <w:rsid w:val="006806FF"/>
    <w:rsid w:val="00681147"/>
    <w:rsid w:val="00682019"/>
    <w:rsid w:val="00682447"/>
    <w:rsid w:val="006826D0"/>
    <w:rsid w:val="006826F3"/>
    <w:rsid w:val="00683092"/>
    <w:rsid w:val="00683145"/>
    <w:rsid w:val="00683E1A"/>
    <w:rsid w:val="00684138"/>
    <w:rsid w:val="006841D6"/>
    <w:rsid w:val="00684BBA"/>
    <w:rsid w:val="00684C8B"/>
    <w:rsid w:val="00684D52"/>
    <w:rsid w:val="00684EC9"/>
    <w:rsid w:val="00685AC2"/>
    <w:rsid w:val="00685FAF"/>
    <w:rsid w:val="0068724A"/>
    <w:rsid w:val="0068772D"/>
    <w:rsid w:val="00687985"/>
    <w:rsid w:val="00690BD4"/>
    <w:rsid w:val="00691C25"/>
    <w:rsid w:val="00691E8A"/>
    <w:rsid w:val="00692068"/>
    <w:rsid w:val="006920C1"/>
    <w:rsid w:val="006922B0"/>
    <w:rsid w:val="006937A2"/>
    <w:rsid w:val="00693A71"/>
    <w:rsid w:val="00693F04"/>
    <w:rsid w:val="00694615"/>
    <w:rsid w:val="00694B56"/>
    <w:rsid w:val="00694DBE"/>
    <w:rsid w:val="00695522"/>
    <w:rsid w:val="00696AB3"/>
    <w:rsid w:val="00696CA7"/>
    <w:rsid w:val="00696E5B"/>
    <w:rsid w:val="00696F06"/>
    <w:rsid w:val="0069772F"/>
    <w:rsid w:val="00697890"/>
    <w:rsid w:val="00697E34"/>
    <w:rsid w:val="006A0217"/>
    <w:rsid w:val="006A02AD"/>
    <w:rsid w:val="006A04FD"/>
    <w:rsid w:val="006A08CB"/>
    <w:rsid w:val="006A0AC1"/>
    <w:rsid w:val="006A181E"/>
    <w:rsid w:val="006A1A80"/>
    <w:rsid w:val="006A240E"/>
    <w:rsid w:val="006A2844"/>
    <w:rsid w:val="006A28A8"/>
    <w:rsid w:val="006A2FDE"/>
    <w:rsid w:val="006A3C50"/>
    <w:rsid w:val="006A3D35"/>
    <w:rsid w:val="006A3D5B"/>
    <w:rsid w:val="006A4670"/>
    <w:rsid w:val="006A46D2"/>
    <w:rsid w:val="006A4AE2"/>
    <w:rsid w:val="006A4F9F"/>
    <w:rsid w:val="006A52D2"/>
    <w:rsid w:val="006A52FF"/>
    <w:rsid w:val="006A532D"/>
    <w:rsid w:val="006A592B"/>
    <w:rsid w:val="006A6BB3"/>
    <w:rsid w:val="006A74C5"/>
    <w:rsid w:val="006A7A96"/>
    <w:rsid w:val="006A7F24"/>
    <w:rsid w:val="006B05DC"/>
    <w:rsid w:val="006B0766"/>
    <w:rsid w:val="006B0A9A"/>
    <w:rsid w:val="006B1544"/>
    <w:rsid w:val="006B1A16"/>
    <w:rsid w:val="006B33CC"/>
    <w:rsid w:val="006B38CE"/>
    <w:rsid w:val="006B3A73"/>
    <w:rsid w:val="006B3C19"/>
    <w:rsid w:val="006B3DE1"/>
    <w:rsid w:val="006B3E4C"/>
    <w:rsid w:val="006B479C"/>
    <w:rsid w:val="006B4A4E"/>
    <w:rsid w:val="006B4BA1"/>
    <w:rsid w:val="006B4E2A"/>
    <w:rsid w:val="006B50F3"/>
    <w:rsid w:val="006B5802"/>
    <w:rsid w:val="006B59BE"/>
    <w:rsid w:val="006B608E"/>
    <w:rsid w:val="006B6A13"/>
    <w:rsid w:val="006B7BC7"/>
    <w:rsid w:val="006C01AF"/>
    <w:rsid w:val="006C0642"/>
    <w:rsid w:val="006C06AB"/>
    <w:rsid w:val="006C0BC4"/>
    <w:rsid w:val="006C1BFF"/>
    <w:rsid w:val="006C2274"/>
    <w:rsid w:val="006C2366"/>
    <w:rsid w:val="006C2555"/>
    <w:rsid w:val="006C327D"/>
    <w:rsid w:val="006C3923"/>
    <w:rsid w:val="006C397E"/>
    <w:rsid w:val="006C3BD6"/>
    <w:rsid w:val="006C3DC1"/>
    <w:rsid w:val="006C4DC2"/>
    <w:rsid w:val="006C53BA"/>
    <w:rsid w:val="006C57A2"/>
    <w:rsid w:val="006C57F2"/>
    <w:rsid w:val="006C5934"/>
    <w:rsid w:val="006C599F"/>
    <w:rsid w:val="006C5EEF"/>
    <w:rsid w:val="006C6065"/>
    <w:rsid w:val="006C686B"/>
    <w:rsid w:val="006C6F85"/>
    <w:rsid w:val="006C7B28"/>
    <w:rsid w:val="006D0407"/>
    <w:rsid w:val="006D08A4"/>
    <w:rsid w:val="006D08D8"/>
    <w:rsid w:val="006D10E0"/>
    <w:rsid w:val="006D1B98"/>
    <w:rsid w:val="006D20F0"/>
    <w:rsid w:val="006D2219"/>
    <w:rsid w:val="006D2718"/>
    <w:rsid w:val="006D2AC4"/>
    <w:rsid w:val="006D2F09"/>
    <w:rsid w:val="006D2F4F"/>
    <w:rsid w:val="006D3493"/>
    <w:rsid w:val="006D3F76"/>
    <w:rsid w:val="006D4295"/>
    <w:rsid w:val="006D467B"/>
    <w:rsid w:val="006D4735"/>
    <w:rsid w:val="006D4941"/>
    <w:rsid w:val="006D5549"/>
    <w:rsid w:val="006D5EE5"/>
    <w:rsid w:val="006D610F"/>
    <w:rsid w:val="006D61DD"/>
    <w:rsid w:val="006D65D3"/>
    <w:rsid w:val="006D65E1"/>
    <w:rsid w:val="006D66C1"/>
    <w:rsid w:val="006D6C13"/>
    <w:rsid w:val="006D6D8F"/>
    <w:rsid w:val="006D7173"/>
    <w:rsid w:val="006D76A2"/>
    <w:rsid w:val="006E02B4"/>
    <w:rsid w:val="006E0846"/>
    <w:rsid w:val="006E0AB1"/>
    <w:rsid w:val="006E0B24"/>
    <w:rsid w:val="006E0FB4"/>
    <w:rsid w:val="006E0FE8"/>
    <w:rsid w:val="006E19E9"/>
    <w:rsid w:val="006E1A9D"/>
    <w:rsid w:val="006E2291"/>
    <w:rsid w:val="006E274F"/>
    <w:rsid w:val="006E2CB0"/>
    <w:rsid w:val="006E35D2"/>
    <w:rsid w:val="006E38AD"/>
    <w:rsid w:val="006E400E"/>
    <w:rsid w:val="006E425D"/>
    <w:rsid w:val="006E441F"/>
    <w:rsid w:val="006E46B4"/>
    <w:rsid w:val="006E4721"/>
    <w:rsid w:val="006E4C4F"/>
    <w:rsid w:val="006E4CF0"/>
    <w:rsid w:val="006E54FC"/>
    <w:rsid w:val="006E616B"/>
    <w:rsid w:val="006E61E8"/>
    <w:rsid w:val="006E6491"/>
    <w:rsid w:val="006E6D3B"/>
    <w:rsid w:val="006F04DC"/>
    <w:rsid w:val="006F1072"/>
    <w:rsid w:val="006F216A"/>
    <w:rsid w:val="006F2569"/>
    <w:rsid w:val="006F267B"/>
    <w:rsid w:val="006F2720"/>
    <w:rsid w:val="006F28B7"/>
    <w:rsid w:val="006F28BE"/>
    <w:rsid w:val="006F30AA"/>
    <w:rsid w:val="006F3241"/>
    <w:rsid w:val="006F36E7"/>
    <w:rsid w:val="006F3924"/>
    <w:rsid w:val="006F41BC"/>
    <w:rsid w:val="006F4550"/>
    <w:rsid w:val="006F45B0"/>
    <w:rsid w:val="006F4F1B"/>
    <w:rsid w:val="006F525C"/>
    <w:rsid w:val="006F5440"/>
    <w:rsid w:val="006F5B12"/>
    <w:rsid w:val="006F5CBE"/>
    <w:rsid w:val="006F67CE"/>
    <w:rsid w:val="006F6839"/>
    <w:rsid w:val="006F7D16"/>
    <w:rsid w:val="006F7D2F"/>
    <w:rsid w:val="0070044D"/>
    <w:rsid w:val="007005FD"/>
    <w:rsid w:val="00700FB0"/>
    <w:rsid w:val="007010AA"/>
    <w:rsid w:val="0070145E"/>
    <w:rsid w:val="007015F6"/>
    <w:rsid w:val="00701882"/>
    <w:rsid w:val="007018FE"/>
    <w:rsid w:val="007025DF"/>
    <w:rsid w:val="007027BB"/>
    <w:rsid w:val="00702EA5"/>
    <w:rsid w:val="0070320A"/>
    <w:rsid w:val="00703453"/>
    <w:rsid w:val="0070349E"/>
    <w:rsid w:val="00703744"/>
    <w:rsid w:val="00703B1A"/>
    <w:rsid w:val="00703F9F"/>
    <w:rsid w:val="00704810"/>
    <w:rsid w:val="007049DE"/>
    <w:rsid w:val="00705D4B"/>
    <w:rsid w:val="007061C7"/>
    <w:rsid w:val="007061D0"/>
    <w:rsid w:val="0070689A"/>
    <w:rsid w:val="00710BD1"/>
    <w:rsid w:val="00711529"/>
    <w:rsid w:val="0071157B"/>
    <w:rsid w:val="007117DE"/>
    <w:rsid w:val="007132EE"/>
    <w:rsid w:val="0071337E"/>
    <w:rsid w:val="00713510"/>
    <w:rsid w:val="007135B4"/>
    <w:rsid w:val="0071396C"/>
    <w:rsid w:val="00713E65"/>
    <w:rsid w:val="00713EC7"/>
    <w:rsid w:val="00714FF5"/>
    <w:rsid w:val="00715065"/>
    <w:rsid w:val="0071557D"/>
    <w:rsid w:val="0071599F"/>
    <w:rsid w:val="00716CF3"/>
    <w:rsid w:val="0072042D"/>
    <w:rsid w:val="00721703"/>
    <w:rsid w:val="00721DB5"/>
    <w:rsid w:val="00722384"/>
    <w:rsid w:val="00722401"/>
    <w:rsid w:val="00722540"/>
    <w:rsid w:val="00722D4E"/>
    <w:rsid w:val="00723087"/>
    <w:rsid w:val="0072334E"/>
    <w:rsid w:val="00725D7B"/>
    <w:rsid w:val="007262A7"/>
    <w:rsid w:val="007262F1"/>
    <w:rsid w:val="00726A1A"/>
    <w:rsid w:val="007275A2"/>
    <w:rsid w:val="00727F3B"/>
    <w:rsid w:val="00730118"/>
    <w:rsid w:val="007303C5"/>
    <w:rsid w:val="00730AF1"/>
    <w:rsid w:val="00730B20"/>
    <w:rsid w:val="00730BD2"/>
    <w:rsid w:val="00731FCE"/>
    <w:rsid w:val="00732BA6"/>
    <w:rsid w:val="007336A1"/>
    <w:rsid w:val="0073415D"/>
    <w:rsid w:val="00734409"/>
    <w:rsid w:val="00734B99"/>
    <w:rsid w:val="00734ED3"/>
    <w:rsid w:val="007355AF"/>
    <w:rsid w:val="0073591D"/>
    <w:rsid w:val="00735933"/>
    <w:rsid w:val="00735F33"/>
    <w:rsid w:val="00736CC1"/>
    <w:rsid w:val="00740CDB"/>
    <w:rsid w:val="0074171C"/>
    <w:rsid w:val="00742362"/>
    <w:rsid w:val="00742883"/>
    <w:rsid w:val="0074302D"/>
    <w:rsid w:val="00743C48"/>
    <w:rsid w:val="00745072"/>
    <w:rsid w:val="007457EE"/>
    <w:rsid w:val="0074590D"/>
    <w:rsid w:val="007459BC"/>
    <w:rsid w:val="00745CA8"/>
    <w:rsid w:val="00745E77"/>
    <w:rsid w:val="007473F4"/>
    <w:rsid w:val="007504B4"/>
    <w:rsid w:val="007506CB"/>
    <w:rsid w:val="00750AF6"/>
    <w:rsid w:val="00750B8F"/>
    <w:rsid w:val="00750F60"/>
    <w:rsid w:val="007511F3"/>
    <w:rsid w:val="0075147D"/>
    <w:rsid w:val="007515E7"/>
    <w:rsid w:val="007516DA"/>
    <w:rsid w:val="007517AB"/>
    <w:rsid w:val="0075182B"/>
    <w:rsid w:val="00751EAE"/>
    <w:rsid w:val="00751F4B"/>
    <w:rsid w:val="00751FA2"/>
    <w:rsid w:val="007521F8"/>
    <w:rsid w:val="00752564"/>
    <w:rsid w:val="00752A1A"/>
    <w:rsid w:val="00753036"/>
    <w:rsid w:val="007533DA"/>
    <w:rsid w:val="0075350F"/>
    <w:rsid w:val="007536CA"/>
    <w:rsid w:val="0075399D"/>
    <w:rsid w:val="00753A0A"/>
    <w:rsid w:val="00753C05"/>
    <w:rsid w:val="00753D20"/>
    <w:rsid w:val="007540BF"/>
    <w:rsid w:val="0075445D"/>
    <w:rsid w:val="0075494E"/>
    <w:rsid w:val="00754FFE"/>
    <w:rsid w:val="0075541D"/>
    <w:rsid w:val="00755D02"/>
    <w:rsid w:val="00755DFE"/>
    <w:rsid w:val="007562DC"/>
    <w:rsid w:val="00756448"/>
    <w:rsid w:val="00756759"/>
    <w:rsid w:val="00756CEB"/>
    <w:rsid w:val="00756EE4"/>
    <w:rsid w:val="00757010"/>
    <w:rsid w:val="007576F2"/>
    <w:rsid w:val="0076050C"/>
    <w:rsid w:val="00760636"/>
    <w:rsid w:val="00761257"/>
    <w:rsid w:val="00762623"/>
    <w:rsid w:val="00762828"/>
    <w:rsid w:val="00762EB9"/>
    <w:rsid w:val="007637A8"/>
    <w:rsid w:val="00763A82"/>
    <w:rsid w:val="00763E6A"/>
    <w:rsid w:val="00764F25"/>
    <w:rsid w:val="00765B58"/>
    <w:rsid w:val="007660AD"/>
    <w:rsid w:val="007660E9"/>
    <w:rsid w:val="00766583"/>
    <w:rsid w:val="00766609"/>
    <w:rsid w:val="00770507"/>
    <w:rsid w:val="00770DCB"/>
    <w:rsid w:val="0077157E"/>
    <w:rsid w:val="00771728"/>
    <w:rsid w:val="00771A5C"/>
    <w:rsid w:val="00771C46"/>
    <w:rsid w:val="00772191"/>
    <w:rsid w:val="00772459"/>
    <w:rsid w:val="00772B52"/>
    <w:rsid w:val="00772E6F"/>
    <w:rsid w:val="0077305E"/>
    <w:rsid w:val="007738E9"/>
    <w:rsid w:val="007746A8"/>
    <w:rsid w:val="00774ADB"/>
    <w:rsid w:val="00774F04"/>
    <w:rsid w:val="00775485"/>
    <w:rsid w:val="00775930"/>
    <w:rsid w:val="00775F9B"/>
    <w:rsid w:val="0077638C"/>
    <w:rsid w:val="0077687B"/>
    <w:rsid w:val="007768DF"/>
    <w:rsid w:val="00776BF3"/>
    <w:rsid w:val="00776D51"/>
    <w:rsid w:val="00776D7F"/>
    <w:rsid w:val="00777452"/>
    <w:rsid w:val="0077762D"/>
    <w:rsid w:val="00777FD7"/>
    <w:rsid w:val="00780029"/>
    <w:rsid w:val="00780046"/>
    <w:rsid w:val="007804BB"/>
    <w:rsid w:val="0078085A"/>
    <w:rsid w:val="00780BB0"/>
    <w:rsid w:val="00780BB5"/>
    <w:rsid w:val="007816C4"/>
    <w:rsid w:val="007818DC"/>
    <w:rsid w:val="0078274F"/>
    <w:rsid w:val="00782A75"/>
    <w:rsid w:val="00783532"/>
    <w:rsid w:val="007838CA"/>
    <w:rsid w:val="00783E3D"/>
    <w:rsid w:val="007846B5"/>
    <w:rsid w:val="00784750"/>
    <w:rsid w:val="00784B9D"/>
    <w:rsid w:val="00785AE1"/>
    <w:rsid w:val="00786781"/>
    <w:rsid w:val="007869D5"/>
    <w:rsid w:val="00786A40"/>
    <w:rsid w:val="007871D6"/>
    <w:rsid w:val="0078722C"/>
    <w:rsid w:val="0079037A"/>
    <w:rsid w:val="0079140E"/>
    <w:rsid w:val="007914A1"/>
    <w:rsid w:val="007914B3"/>
    <w:rsid w:val="0079189D"/>
    <w:rsid w:val="007918F4"/>
    <w:rsid w:val="00791AB9"/>
    <w:rsid w:val="00791AF0"/>
    <w:rsid w:val="00791C68"/>
    <w:rsid w:val="007926C0"/>
    <w:rsid w:val="00793483"/>
    <w:rsid w:val="00793E35"/>
    <w:rsid w:val="00793F28"/>
    <w:rsid w:val="00794CFF"/>
    <w:rsid w:val="00794F8C"/>
    <w:rsid w:val="007951F6"/>
    <w:rsid w:val="007954F4"/>
    <w:rsid w:val="007957CC"/>
    <w:rsid w:val="00795B5A"/>
    <w:rsid w:val="00796159"/>
    <w:rsid w:val="00796256"/>
    <w:rsid w:val="00796531"/>
    <w:rsid w:val="00796584"/>
    <w:rsid w:val="00797288"/>
    <w:rsid w:val="0079773F"/>
    <w:rsid w:val="0079774B"/>
    <w:rsid w:val="00797C1E"/>
    <w:rsid w:val="007A07EB"/>
    <w:rsid w:val="007A0AE5"/>
    <w:rsid w:val="007A0BF6"/>
    <w:rsid w:val="007A0F2A"/>
    <w:rsid w:val="007A0F57"/>
    <w:rsid w:val="007A1325"/>
    <w:rsid w:val="007A1B6C"/>
    <w:rsid w:val="007A2D64"/>
    <w:rsid w:val="007A337A"/>
    <w:rsid w:val="007A347D"/>
    <w:rsid w:val="007A35E8"/>
    <w:rsid w:val="007A40EF"/>
    <w:rsid w:val="007A45AE"/>
    <w:rsid w:val="007A48DF"/>
    <w:rsid w:val="007A4D30"/>
    <w:rsid w:val="007A50E7"/>
    <w:rsid w:val="007A52E4"/>
    <w:rsid w:val="007A545E"/>
    <w:rsid w:val="007A5935"/>
    <w:rsid w:val="007A609D"/>
    <w:rsid w:val="007A664E"/>
    <w:rsid w:val="007A7AD3"/>
    <w:rsid w:val="007A7AE5"/>
    <w:rsid w:val="007B01F0"/>
    <w:rsid w:val="007B06EA"/>
    <w:rsid w:val="007B1136"/>
    <w:rsid w:val="007B17AB"/>
    <w:rsid w:val="007B1F37"/>
    <w:rsid w:val="007B1F67"/>
    <w:rsid w:val="007B253B"/>
    <w:rsid w:val="007B28E9"/>
    <w:rsid w:val="007B444D"/>
    <w:rsid w:val="007B503C"/>
    <w:rsid w:val="007B5076"/>
    <w:rsid w:val="007B598A"/>
    <w:rsid w:val="007B5E11"/>
    <w:rsid w:val="007B6319"/>
    <w:rsid w:val="007B665D"/>
    <w:rsid w:val="007B76BA"/>
    <w:rsid w:val="007B783B"/>
    <w:rsid w:val="007C04E4"/>
    <w:rsid w:val="007C0E22"/>
    <w:rsid w:val="007C10C7"/>
    <w:rsid w:val="007C27DA"/>
    <w:rsid w:val="007C2BD6"/>
    <w:rsid w:val="007C332C"/>
    <w:rsid w:val="007C380F"/>
    <w:rsid w:val="007C3E4B"/>
    <w:rsid w:val="007C46E6"/>
    <w:rsid w:val="007C4A2D"/>
    <w:rsid w:val="007C4DC1"/>
    <w:rsid w:val="007C50FB"/>
    <w:rsid w:val="007C5907"/>
    <w:rsid w:val="007C5CF6"/>
    <w:rsid w:val="007C65B7"/>
    <w:rsid w:val="007C743E"/>
    <w:rsid w:val="007C748B"/>
    <w:rsid w:val="007C74B6"/>
    <w:rsid w:val="007C7747"/>
    <w:rsid w:val="007C7C4B"/>
    <w:rsid w:val="007C7D11"/>
    <w:rsid w:val="007C7FAE"/>
    <w:rsid w:val="007D07D5"/>
    <w:rsid w:val="007D1150"/>
    <w:rsid w:val="007D16A1"/>
    <w:rsid w:val="007D1D06"/>
    <w:rsid w:val="007D2F00"/>
    <w:rsid w:val="007D32F0"/>
    <w:rsid w:val="007D33C4"/>
    <w:rsid w:val="007D48EA"/>
    <w:rsid w:val="007D561E"/>
    <w:rsid w:val="007D5DE1"/>
    <w:rsid w:val="007D6CA8"/>
    <w:rsid w:val="007D70E0"/>
    <w:rsid w:val="007D72F1"/>
    <w:rsid w:val="007D78B4"/>
    <w:rsid w:val="007D7B93"/>
    <w:rsid w:val="007D7D8A"/>
    <w:rsid w:val="007E0C73"/>
    <w:rsid w:val="007E0E16"/>
    <w:rsid w:val="007E0F42"/>
    <w:rsid w:val="007E2107"/>
    <w:rsid w:val="007E2222"/>
    <w:rsid w:val="007E34EC"/>
    <w:rsid w:val="007E3A2D"/>
    <w:rsid w:val="007E3AFD"/>
    <w:rsid w:val="007E3E45"/>
    <w:rsid w:val="007E470F"/>
    <w:rsid w:val="007E4AFD"/>
    <w:rsid w:val="007E4D0E"/>
    <w:rsid w:val="007E521C"/>
    <w:rsid w:val="007E5317"/>
    <w:rsid w:val="007E53F4"/>
    <w:rsid w:val="007E5A9C"/>
    <w:rsid w:val="007E5B88"/>
    <w:rsid w:val="007E697F"/>
    <w:rsid w:val="007E69B7"/>
    <w:rsid w:val="007E70C7"/>
    <w:rsid w:val="007E7D7F"/>
    <w:rsid w:val="007F0547"/>
    <w:rsid w:val="007F0663"/>
    <w:rsid w:val="007F066F"/>
    <w:rsid w:val="007F06AA"/>
    <w:rsid w:val="007F0B8C"/>
    <w:rsid w:val="007F0D0B"/>
    <w:rsid w:val="007F0F70"/>
    <w:rsid w:val="007F12B2"/>
    <w:rsid w:val="007F12FE"/>
    <w:rsid w:val="007F1FFA"/>
    <w:rsid w:val="007F20D9"/>
    <w:rsid w:val="007F2758"/>
    <w:rsid w:val="007F2B05"/>
    <w:rsid w:val="007F36A1"/>
    <w:rsid w:val="007F42FC"/>
    <w:rsid w:val="007F43F5"/>
    <w:rsid w:val="007F4A36"/>
    <w:rsid w:val="007F4C4D"/>
    <w:rsid w:val="007F4E9C"/>
    <w:rsid w:val="007F4F82"/>
    <w:rsid w:val="007F5D59"/>
    <w:rsid w:val="007F63D9"/>
    <w:rsid w:val="007F656E"/>
    <w:rsid w:val="007F6ABD"/>
    <w:rsid w:val="007F6B77"/>
    <w:rsid w:val="007F736A"/>
    <w:rsid w:val="007F75DB"/>
    <w:rsid w:val="007F7A0F"/>
    <w:rsid w:val="007F7E1A"/>
    <w:rsid w:val="0080018D"/>
    <w:rsid w:val="00800601"/>
    <w:rsid w:val="008007A8"/>
    <w:rsid w:val="008008A5"/>
    <w:rsid w:val="00800D61"/>
    <w:rsid w:val="00800FDC"/>
    <w:rsid w:val="008012B8"/>
    <w:rsid w:val="0080175E"/>
    <w:rsid w:val="008023C4"/>
    <w:rsid w:val="00802795"/>
    <w:rsid w:val="00802948"/>
    <w:rsid w:val="00802B4F"/>
    <w:rsid w:val="00803FC7"/>
    <w:rsid w:val="008042D9"/>
    <w:rsid w:val="00804C5F"/>
    <w:rsid w:val="00804FEE"/>
    <w:rsid w:val="00805152"/>
    <w:rsid w:val="00805D9C"/>
    <w:rsid w:val="00806267"/>
    <w:rsid w:val="008068E2"/>
    <w:rsid w:val="00806E54"/>
    <w:rsid w:val="00807687"/>
    <w:rsid w:val="008076F4"/>
    <w:rsid w:val="00807707"/>
    <w:rsid w:val="008079CB"/>
    <w:rsid w:val="00807D15"/>
    <w:rsid w:val="00807E7C"/>
    <w:rsid w:val="00807F28"/>
    <w:rsid w:val="0081001F"/>
    <w:rsid w:val="00810395"/>
    <w:rsid w:val="00810E09"/>
    <w:rsid w:val="008111CF"/>
    <w:rsid w:val="00811F92"/>
    <w:rsid w:val="008125B0"/>
    <w:rsid w:val="00812D57"/>
    <w:rsid w:val="00812FEE"/>
    <w:rsid w:val="008133AF"/>
    <w:rsid w:val="00813756"/>
    <w:rsid w:val="008138AD"/>
    <w:rsid w:val="0081394A"/>
    <w:rsid w:val="00813A64"/>
    <w:rsid w:val="00814957"/>
    <w:rsid w:val="00814ACF"/>
    <w:rsid w:val="00814B07"/>
    <w:rsid w:val="00814D92"/>
    <w:rsid w:val="00814E95"/>
    <w:rsid w:val="00814FC0"/>
    <w:rsid w:val="00815648"/>
    <w:rsid w:val="00815CBC"/>
    <w:rsid w:val="008162F9"/>
    <w:rsid w:val="008164BB"/>
    <w:rsid w:val="0081676B"/>
    <w:rsid w:val="008174A2"/>
    <w:rsid w:val="00817A39"/>
    <w:rsid w:val="00817C73"/>
    <w:rsid w:val="00820869"/>
    <w:rsid w:val="0082089C"/>
    <w:rsid w:val="008214E2"/>
    <w:rsid w:val="008215A9"/>
    <w:rsid w:val="00822B0D"/>
    <w:rsid w:val="00823005"/>
    <w:rsid w:val="0082343A"/>
    <w:rsid w:val="008238E1"/>
    <w:rsid w:val="00823ED3"/>
    <w:rsid w:val="00823F7E"/>
    <w:rsid w:val="008240C4"/>
    <w:rsid w:val="0082435A"/>
    <w:rsid w:val="00825103"/>
    <w:rsid w:val="00826834"/>
    <w:rsid w:val="00826A76"/>
    <w:rsid w:val="00826B0B"/>
    <w:rsid w:val="00826FB8"/>
    <w:rsid w:val="0082770C"/>
    <w:rsid w:val="00827BC7"/>
    <w:rsid w:val="00827EAB"/>
    <w:rsid w:val="0083054A"/>
    <w:rsid w:val="00830C19"/>
    <w:rsid w:val="00830CFD"/>
    <w:rsid w:val="0083152B"/>
    <w:rsid w:val="00831547"/>
    <w:rsid w:val="008316D5"/>
    <w:rsid w:val="00831C6E"/>
    <w:rsid w:val="00831F70"/>
    <w:rsid w:val="00832BFB"/>
    <w:rsid w:val="0083334D"/>
    <w:rsid w:val="00834631"/>
    <w:rsid w:val="00834F02"/>
    <w:rsid w:val="00835002"/>
    <w:rsid w:val="00837495"/>
    <w:rsid w:val="00837A13"/>
    <w:rsid w:val="00840565"/>
    <w:rsid w:val="008406DC"/>
    <w:rsid w:val="008406F0"/>
    <w:rsid w:val="00841E96"/>
    <w:rsid w:val="00841EF9"/>
    <w:rsid w:val="00842895"/>
    <w:rsid w:val="00842F0A"/>
    <w:rsid w:val="00843308"/>
    <w:rsid w:val="00843387"/>
    <w:rsid w:val="008438BD"/>
    <w:rsid w:val="008439F5"/>
    <w:rsid w:val="00843CC2"/>
    <w:rsid w:val="0084410C"/>
    <w:rsid w:val="0084453C"/>
    <w:rsid w:val="008446D3"/>
    <w:rsid w:val="008449B9"/>
    <w:rsid w:val="00845A7A"/>
    <w:rsid w:val="0084673A"/>
    <w:rsid w:val="00846EDF"/>
    <w:rsid w:val="00846FD9"/>
    <w:rsid w:val="00847191"/>
    <w:rsid w:val="00847518"/>
    <w:rsid w:val="00847C65"/>
    <w:rsid w:val="00847DDD"/>
    <w:rsid w:val="0085022C"/>
    <w:rsid w:val="0085035F"/>
    <w:rsid w:val="00851286"/>
    <w:rsid w:val="00851E38"/>
    <w:rsid w:val="00852AC7"/>
    <w:rsid w:val="00852DD1"/>
    <w:rsid w:val="008538A0"/>
    <w:rsid w:val="00853EE3"/>
    <w:rsid w:val="0085426E"/>
    <w:rsid w:val="00854D71"/>
    <w:rsid w:val="008551A5"/>
    <w:rsid w:val="008553C4"/>
    <w:rsid w:val="008553F5"/>
    <w:rsid w:val="0085542C"/>
    <w:rsid w:val="00855451"/>
    <w:rsid w:val="00855AFC"/>
    <w:rsid w:val="00855C7E"/>
    <w:rsid w:val="008562CA"/>
    <w:rsid w:val="0085637A"/>
    <w:rsid w:val="00860357"/>
    <w:rsid w:val="00860511"/>
    <w:rsid w:val="008605D2"/>
    <w:rsid w:val="008607B0"/>
    <w:rsid w:val="008608B5"/>
    <w:rsid w:val="00860D33"/>
    <w:rsid w:val="00860EE0"/>
    <w:rsid w:val="00860F28"/>
    <w:rsid w:val="00860FAD"/>
    <w:rsid w:val="008618F2"/>
    <w:rsid w:val="0086245D"/>
    <w:rsid w:val="0086254F"/>
    <w:rsid w:val="00862A9C"/>
    <w:rsid w:val="00862E8C"/>
    <w:rsid w:val="008639A0"/>
    <w:rsid w:val="00864961"/>
    <w:rsid w:val="00864AFE"/>
    <w:rsid w:val="00864EDD"/>
    <w:rsid w:val="00865592"/>
    <w:rsid w:val="008655A4"/>
    <w:rsid w:val="00865A68"/>
    <w:rsid w:val="00866073"/>
    <w:rsid w:val="0086642F"/>
    <w:rsid w:val="00867549"/>
    <w:rsid w:val="008678ED"/>
    <w:rsid w:val="00867AC7"/>
    <w:rsid w:val="00867AD0"/>
    <w:rsid w:val="00870830"/>
    <w:rsid w:val="0087086D"/>
    <w:rsid w:val="00870BE2"/>
    <w:rsid w:val="00871004"/>
    <w:rsid w:val="008711C7"/>
    <w:rsid w:val="0087140F"/>
    <w:rsid w:val="008724DE"/>
    <w:rsid w:val="00873221"/>
    <w:rsid w:val="008739C1"/>
    <w:rsid w:val="00873BCC"/>
    <w:rsid w:val="00873D34"/>
    <w:rsid w:val="0087480A"/>
    <w:rsid w:val="008758D9"/>
    <w:rsid w:val="008759B7"/>
    <w:rsid w:val="00875D6C"/>
    <w:rsid w:val="00875E0F"/>
    <w:rsid w:val="00876998"/>
    <w:rsid w:val="008773D9"/>
    <w:rsid w:val="008774CE"/>
    <w:rsid w:val="008804BD"/>
    <w:rsid w:val="00880863"/>
    <w:rsid w:val="00880A21"/>
    <w:rsid w:val="00880F9E"/>
    <w:rsid w:val="00881379"/>
    <w:rsid w:val="00881B59"/>
    <w:rsid w:val="00881BD3"/>
    <w:rsid w:val="00881F18"/>
    <w:rsid w:val="00882213"/>
    <w:rsid w:val="0088285A"/>
    <w:rsid w:val="00882B0A"/>
    <w:rsid w:val="0088320B"/>
    <w:rsid w:val="00883A95"/>
    <w:rsid w:val="00883F52"/>
    <w:rsid w:val="00884953"/>
    <w:rsid w:val="00884E65"/>
    <w:rsid w:val="008851EC"/>
    <w:rsid w:val="0088571B"/>
    <w:rsid w:val="00885A53"/>
    <w:rsid w:val="00885D76"/>
    <w:rsid w:val="008866B8"/>
    <w:rsid w:val="00886E88"/>
    <w:rsid w:val="00887F20"/>
    <w:rsid w:val="00887F4B"/>
    <w:rsid w:val="00887F75"/>
    <w:rsid w:val="00890B73"/>
    <w:rsid w:val="00890D12"/>
    <w:rsid w:val="00892555"/>
    <w:rsid w:val="008925B7"/>
    <w:rsid w:val="008927AD"/>
    <w:rsid w:val="00893270"/>
    <w:rsid w:val="00894A13"/>
    <w:rsid w:val="00894E36"/>
    <w:rsid w:val="00895525"/>
    <w:rsid w:val="00895612"/>
    <w:rsid w:val="00895987"/>
    <w:rsid w:val="008959F9"/>
    <w:rsid w:val="00895CD1"/>
    <w:rsid w:val="0089670C"/>
    <w:rsid w:val="00897031"/>
    <w:rsid w:val="008975BB"/>
    <w:rsid w:val="008976BB"/>
    <w:rsid w:val="00897CBF"/>
    <w:rsid w:val="008A00DC"/>
    <w:rsid w:val="008A0543"/>
    <w:rsid w:val="008A0683"/>
    <w:rsid w:val="008A0FA9"/>
    <w:rsid w:val="008A2093"/>
    <w:rsid w:val="008A23D9"/>
    <w:rsid w:val="008A260A"/>
    <w:rsid w:val="008A2EC7"/>
    <w:rsid w:val="008A3D57"/>
    <w:rsid w:val="008A3E1A"/>
    <w:rsid w:val="008A3E8E"/>
    <w:rsid w:val="008A42A2"/>
    <w:rsid w:val="008A47D2"/>
    <w:rsid w:val="008A61BE"/>
    <w:rsid w:val="008A6214"/>
    <w:rsid w:val="008A688E"/>
    <w:rsid w:val="008A69AB"/>
    <w:rsid w:val="008A7249"/>
    <w:rsid w:val="008A7305"/>
    <w:rsid w:val="008A7EF6"/>
    <w:rsid w:val="008A7EFF"/>
    <w:rsid w:val="008B09AD"/>
    <w:rsid w:val="008B0DA2"/>
    <w:rsid w:val="008B108C"/>
    <w:rsid w:val="008B12A6"/>
    <w:rsid w:val="008B1D28"/>
    <w:rsid w:val="008B1FFA"/>
    <w:rsid w:val="008B22B6"/>
    <w:rsid w:val="008B22B8"/>
    <w:rsid w:val="008B23BC"/>
    <w:rsid w:val="008B2425"/>
    <w:rsid w:val="008B2C24"/>
    <w:rsid w:val="008B3899"/>
    <w:rsid w:val="008B3C31"/>
    <w:rsid w:val="008B3D84"/>
    <w:rsid w:val="008B3F0D"/>
    <w:rsid w:val="008B42BE"/>
    <w:rsid w:val="008B4DEE"/>
    <w:rsid w:val="008B523E"/>
    <w:rsid w:val="008B5258"/>
    <w:rsid w:val="008B6A7E"/>
    <w:rsid w:val="008B6C5D"/>
    <w:rsid w:val="008B7598"/>
    <w:rsid w:val="008B7E05"/>
    <w:rsid w:val="008C0557"/>
    <w:rsid w:val="008C05F6"/>
    <w:rsid w:val="008C0778"/>
    <w:rsid w:val="008C0A7D"/>
    <w:rsid w:val="008C0F44"/>
    <w:rsid w:val="008C1101"/>
    <w:rsid w:val="008C15E5"/>
    <w:rsid w:val="008C1FEE"/>
    <w:rsid w:val="008C2725"/>
    <w:rsid w:val="008C2993"/>
    <w:rsid w:val="008C4E85"/>
    <w:rsid w:val="008C4EDD"/>
    <w:rsid w:val="008C5245"/>
    <w:rsid w:val="008C53DC"/>
    <w:rsid w:val="008C5BE3"/>
    <w:rsid w:val="008C5E2F"/>
    <w:rsid w:val="008C67EF"/>
    <w:rsid w:val="008C6AE1"/>
    <w:rsid w:val="008C7941"/>
    <w:rsid w:val="008C7EF3"/>
    <w:rsid w:val="008D0676"/>
    <w:rsid w:val="008D075E"/>
    <w:rsid w:val="008D0BEB"/>
    <w:rsid w:val="008D0EEE"/>
    <w:rsid w:val="008D205E"/>
    <w:rsid w:val="008D2863"/>
    <w:rsid w:val="008D2FFD"/>
    <w:rsid w:val="008D31D7"/>
    <w:rsid w:val="008D345D"/>
    <w:rsid w:val="008D34F8"/>
    <w:rsid w:val="008D3CCA"/>
    <w:rsid w:val="008D4BF4"/>
    <w:rsid w:val="008D5449"/>
    <w:rsid w:val="008D5631"/>
    <w:rsid w:val="008D5884"/>
    <w:rsid w:val="008D588A"/>
    <w:rsid w:val="008D5982"/>
    <w:rsid w:val="008D59D1"/>
    <w:rsid w:val="008D7A79"/>
    <w:rsid w:val="008D7DC0"/>
    <w:rsid w:val="008E117F"/>
    <w:rsid w:val="008E1ADA"/>
    <w:rsid w:val="008E1BB5"/>
    <w:rsid w:val="008E328C"/>
    <w:rsid w:val="008E3472"/>
    <w:rsid w:val="008E34C9"/>
    <w:rsid w:val="008E3955"/>
    <w:rsid w:val="008E3D60"/>
    <w:rsid w:val="008E3F4C"/>
    <w:rsid w:val="008E401F"/>
    <w:rsid w:val="008E413B"/>
    <w:rsid w:val="008E45C6"/>
    <w:rsid w:val="008E46C6"/>
    <w:rsid w:val="008E4A05"/>
    <w:rsid w:val="008E516E"/>
    <w:rsid w:val="008E535C"/>
    <w:rsid w:val="008E5BAC"/>
    <w:rsid w:val="008E65CE"/>
    <w:rsid w:val="008E69E0"/>
    <w:rsid w:val="008E6A82"/>
    <w:rsid w:val="008E6CDC"/>
    <w:rsid w:val="008E6EFB"/>
    <w:rsid w:val="008E7301"/>
    <w:rsid w:val="008E76D4"/>
    <w:rsid w:val="008E78F0"/>
    <w:rsid w:val="008E79C2"/>
    <w:rsid w:val="008E7A29"/>
    <w:rsid w:val="008E7B33"/>
    <w:rsid w:val="008E7D23"/>
    <w:rsid w:val="008F01F1"/>
    <w:rsid w:val="008F062E"/>
    <w:rsid w:val="008F07B4"/>
    <w:rsid w:val="008F08CF"/>
    <w:rsid w:val="008F0D6E"/>
    <w:rsid w:val="008F1232"/>
    <w:rsid w:val="008F13B5"/>
    <w:rsid w:val="008F14A9"/>
    <w:rsid w:val="008F15B0"/>
    <w:rsid w:val="008F2853"/>
    <w:rsid w:val="008F3321"/>
    <w:rsid w:val="008F3441"/>
    <w:rsid w:val="008F39BD"/>
    <w:rsid w:val="008F3A66"/>
    <w:rsid w:val="008F40DD"/>
    <w:rsid w:val="008F4510"/>
    <w:rsid w:val="008F56EC"/>
    <w:rsid w:val="008F5C84"/>
    <w:rsid w:val="008F5DAC"/>
    <w:rsid w:val="008F5DCF"/>
    <w:rsid w:val="008F6194"/>
    <w:rsid w:val="0090066F"/>
    <w:rsid w:val="0090070F"/>
    <w:rsid w:val="0090165F"/>
    <w:rsid w:val="009018FC"/>
    <w:rsid w:val="00901918"/>
    <w:rsid w:val="00901B82"/>
    <w:rsid w:val="00901D4B"/>
    <w:rsid w:val="00901DE8"/>
    <w:rsid w:val="0090244B"/>
    <w:rsid w:val="00902501"/>
    <w:rsid w:val="009028A4"/>
    <w:rsid w:val="00902AF1"/>
    <w:rsid w:val="00902EC3"/>
    <w:rsid w:val="009031EE"/>
    <w:rsid w:val="0090384C"/>
    <w:rsid w:val="009044DD"/>
    <w:rsid w:val="00904747"/>
    <w:rsid w:val="009049CE"/>
    <w:rsid w:val="00904EAA"/>
    <w:rsid w:val="00905441"/>
    <w:rsid w:val="00905C20"/>
    <w:rsid w:val="00905F28"/>
    <w:rsid w:val="00906DF5"/>
    <w:rsid w:val="00907311"/>
    <w:rsid w:val="0090733C"/>
    <w:rsid w:val="0090735D"/>
    <w:rsid w:val="00907446"/>
    <w:rsid w:val="009079CD"/>
    <w:rsid w:val="00907A41"/>
    <w:rsid w:val="00910925"/>
    <w:rsid w:val="00910BDD"/>
    <w:rsid w:val="00910D2F"/>
    <w:rsid w:val="00911195"/>
    <w:rsid w:val="009111FF"/>
    <w:rsid w:val="0091239C"/>
    <w:rsid w:val="00912B09"/>
    <w:rsid w:val="00912FF5"/>
    <w:rsid w:val="0091355D"/>
    <w:rsid w:val="009148FF"/>
    <w:rsid w:val="00915516"/>
    <w:rsid w:val="009156E4"/>
    <w:rsid w:val="009157AE"/>
    <w:rsid w:val="00915B42"/>
    <w:rsid w:val="0091720F"/>
    <w:rsid w:val="00917614"/>
    <w:rsid w:val="009176D9"/>
    <w:rsid w:val="0091791D"/>
    <w:rsid w:val="0092057F"/>
    <w:rsid w:val="009205C4"/>
    <w:rsid w:val="0092086C"/>
    <w:rsid w:val="00920B14"/>
    <w:rsid w:val="009210F5"/>
    <w:rsid w:val="0092187B"/>
    <w:rsid w:val="00922288"/>
    <w:rsid w:val="00922A49"/>
    <w:rsid w:val="00923238"/>
    <w:rsid w:val="0092352A"/>
    <w:rsid w:val="00923AF7"/>
    <w:rsid w:val="00923C64"/>
    <w:rsid w:val="00923D64"/>
    <w:rsid w:val="009242B9"/>
    <w:rsid w:val="00925F27"/>
    <w:rsid w:val="00926C47"/>
    <w:rsid w:val="00926E83"/>
    <w:rsid w:val="009278F7"/>
    <w:rsid w:val="00927ACC"/>
    <w:rsid w:val="00930121"/>
    <w:rsid w:val="00930136"/>
    <w:rsid w:val="009309CE"/>
    <w:rsid w:val="009314E3"/>
    <w:rsid w:val="00931AAE"/>
    <w:rsid w:val="00931D11"/>
    <w:rsid w:val="00932270"/>
    <w:rsid w:val="00932298"/>
    <w:rsid w:val="00933436"/>
    <w:rsid w:val="00933C89"/>
    <w:rsid w:val="00933CDE"/>
    <w:rsid w:val="009340E4"/>
    <w:rsid w:val="009345FF"/>
    <w:rsid w:val="00934E5F"/>
    <w:rsid w:val="00934FE6"/>
    <w:rsid w:val="009372A6"/>
    <w:rsid w:val="00937F9B"/>
    <w:rsid w:val="00941033"/>
    <w:rsid w:val="0094164F"/>
    <w:rsid w:val="0094190A"/>
    <w:rsid w:val="009428AB"/>
    <w:rsid w:val="00942C6B"/>
    <w:rsid w:val="009432CF"/>
    <w:rsid w:val="009435BC"/>
    <w:rsid w:val="00943816"/>
    <w:rsid w:val="009439EE"/>
    <w:rsid w:val="00943C2E"/>
    <w:rsid w:val="00943C3E"/>
    <w:rsid w:val="00944B69"/>
    <w:rsid w:val="00944FE7"/>
    <w:rsid w:val="00945049"/>
    <w:rsid w:val="009451EF"/>
    <w:rsid w:val="00945B11"/>
    <w:rsid w:val="00945CC8"/>
    <w:rsid w:val="009463D6"/>
    <w:rsid w:val="009468C7"/>
    <w:rsid w:val="009468E8"/>
    <w:rsid w:val="00946D32"/>
    <w:rsid w:val="00947672"/>
    <w:rsid w:val="00947B21"/>
    <w:rsid w:val="00947F8E"/>
    <w:rsid w:val="009504CD"/>
    <w:rsid w:val="0095059F"/>
    <w:rsid w:val="0095092B"/>
    <w:rsid w:val="0095095D"/>
    <w:rsid w:val="009509E4"/>
    <w:rsid w:val="00950D0A"/>
    <w:rsid w:val="00950D72"/>
    <w:rsid w:val="00950D7E"/>
    <w:rsid w:val="0095121C"/>
    <w:rsid w:val="00951624"/>
    <w:rsid w:val="00951961"/>
    <w:rsid w:val="00952A0E"/>
    <w:rsid w:val="0095318E"/>
    <w:rsid w:val="00953510"/>
    <w:rsid w:val="00953C30"/>
    <w:rsid w:val="00953F74"/>
    <w:rsid w:val="00954B10"/>
    <w:rsid w:val="00954C1E"/>
    <w:rsid w:val="00954E16"/>
    <w:rsid w:val="00954FAD"/>
    <w:rsid w:val="00955696"/>
    <w:rsid w:val="00955A04"/>
    <w:rsid w:val="00955B5D"/>
    <w:rsid w:val="00955E90"/>
    <w:rsid w:val="0095600D"/>
    <w:rsid w:val="00956043"/>
    <w:rsid w:val="009560BF"/>
    <w:rsid w:val="00956442"/>
    <w:rsid w:val="00956468"/>
    <w:rsid w:val="00956A7E"/>
    <w:rsid w:val="0095748F"/>
    <w:rsid w:val="0095771B"/>
    <w:rsid w:val="00957BCA"/>
    <w:rsid w:val="009601CA"/>
    <w:rsid w:val="00960AA6"/>
    <w:rsid w:val="00960D70"/>
    <w:rsid w:val="00961135"/>
    <w:rsid w:val="00961842"/>
    <w:rsid w:val="009621BE"/>
    <w:rsid w:val="0096310A"/>
    <w:rsid w:val="00963717"/>
    <w:rsid w:val="00965720"/>
    <w:rsid w:val="00966C2F"/>
    <w:rsid w:val="00966EF4"/>
    <w:rsid w:val="009670E0"/>
    <w:rsid w:val="00967376"/>
    <w:rsid w:val="0096742A"/>
    <w:rsid w:val="00967558"/>
    <w:rsid w:val="00967902"/>
    <w:rsid w:val="00967FBC"/>
    <w:rsid w:val="00970062"/>
    <w:rsid w:val="009700E5"/>
    <w:rsid w:val="009718C2"/>
    <w:rsid w:val="00971ED5"/>
    <w:rsid w:val="0097241D"/>
    <w:rsid w:val="00972B10"/>
    <w:rsid w:val="00972D51"/>
    <w:rsid w:val="0097383B"/>
    <w:rsid w:val="00973AD4"/>
    <w:rsid w:val="00973AE2"/>
    <w:rsid w:val="009748C7"/>
    <w:rsid w:val="0097512B"/>
    <w:rsid w:val="009766F4"/>
    <w:rsid w:val="00976804"/>
    <w:rsid w:val="00976919"/>
    <w:rsid w:val="00976963"/>
    <w:rsid w:val="00977293"/>
    <w:rsid w:val="009773B2"/>
    <w:rsid w:val="0098043A"/>
    <w:rsid w:val="00980F15"/>
    <w:rsid w:val="009810CE"/>
    <w:rsid w:val="00981264"/>
    <w:rsid w:val="0098131B"/>
    <w:rsid w:val="009817C0"/>
    <w:rsid w:val="00981997"/>
    <w:rsid w:val="00982229"/>
    <w:rsid w:val="00982404"/>
    <w:rsid w:val="00982F8F"/>
    <w:rsid w:val="00983291"/>
    <w:rsid w:val="00983297"/>
    <w:rsid w:val="009833FF"/>
    <w:rsid w:val="00983571"/>
    <w:rsid w:val="0098368A"/>
    <w:rsid w:val="00983813"/>
    <w:rsid w:val="00983B07"/>
    <w:rsid w:val="009840B5"/>
    <w:rsid w:val="009848AF"/>
    <w:rsid w:val="00984FD2"/>
    <w:rsid w:val="009851E1"/>
    <w:rsid w:val="009854FD"/>
    <w:rsid w:val="0098595E"/>
    <w:rsid w:val="00985983"/>
    <w:rsid w:val="00985B97"/>
    <w:rsid w:val="00986A25"/>
    <w:rsid w:val="00986E3B"/>
    <w:rsid w:val="0098703D"/>
    <w:rsid w:val="00987C79"/>
    <w:rsid w:val="009903AE"/>
    <w:rsid w:val="009906FC"/>
    <w:rsid w:val="00990B81"/>
    <w:rsid w:val="0099134D"/>
    <w:rsid w:val="00991A28"/>
    <w:rsid w:val="009920BB"/>
    <w:rsid w:val="00992A40"/>
    <w:rsid w:val="00992C79"/>
    <w:rsid w:val="00992F1D"/>
    <w:rsid w:val="00993A02"/>
    <w:rsid w:val="00993C64"/>
    <w:rsid w:val="00994385"/>
    <w:rsid w:val="00994AD5"/>
    <w:rsid w:val="00994C05"/>
    <w:rsid w:val="00994DBE"/>
    <w:rsid w:val="00996F85"/>
    <w:rsid w:val="00997136"/>
    <w:rsid w:val="00997645"/>
    <w:rsid w:val="009977A8"/>
    <w:rsid w:val="009A089C"/>
    <w:rsid w:val="009A0F18"/>
    <w:rsid w:val="009A1259"/>
    <w:rsid w:val="009A152B"/>
    <w:rsid w:val="009A18F2"/>
    <w:rsid w:val="009A1AD4"/>
    <w:rsid w:val="009A1B83"/>
    <w:rsid w:val="009A1D85"/>
    <w:rsid w:val="009A20A2"/>
    <w:rsid w:val="009A2AC2"/>
    <w:rsid w:val="009A2B37"/>
    <w:rsid w:val="009A2C00"/>
    <w:rsid w:val="009A2CF4"/>
    <w:rsid w:val="009A32A8"/>
    <w:rsid w:val="009A37FF"/>
    <w:rsid w:val="009A40BD"/>
    <w:rsid w:val="009A4290"/>
    <w:rsid w:val="009A4EAE"/>
    <w:rsid w:val="009A54CA"/>
    <w:rsid w:val="009A551D"/>
    <w:rsid w:val="009A5892"/>
    <w:rsid w:val="009A752F"/>
    <w:rsid w:val="009A7659"/>
    <w:rsid w:val="009A76F6"/>
    <w:rsid w:val="009A7916"/>
    <w:rsid w:val="009B04E9"/>
    <w:rsid w:val="009B0504"/>
    <w:rsid w:val="009B0A75"/>
    <w:rsid w:val="009B0CBC"/>
    <w:rsid w:val="009B12BF"/>
    <w:rsid w:val="009B1B4B"/>
    <w:rsid w:val="009B1CCE"/>
    <w:rsid w:val="009B2210"/>
    <w:rsid w:val="009B2AFA"/>
    <w:rsid w:val="009B340B"/>
    <w:rsid w:val="009B36BA"/>
    <w:rsid w:val="009B47E7"/>
    <w:rsid w:val="009B4D01"/>
    <w:rsid w:val="009B5907"/>
    <w:rsid w:val="009B5E92"/>
    <w:rsid w:val="009B61B1"/>
    <w:rsid w:val="009B6863"/>
    <w:rsid w:val="009B76F1"/>
    <w:rsid w:val="009B7886"/>
    <w:rsid w:val="009B78C8"/>
    <w:rsid w:val="009C09AC"/>
    <w:rsid w:val="009C0A2C"/>
    <w:rsid w:val="009C0C43"/>
    <w:rsid w:val="009C24B1"/>
    <w:rsid w:val="009C2999"/>
    <w:rsid w:val="009C29F1"/>
    <w:rsid w:val="009C2D97"/>
    <w:rsid w:val="009C3BF6"/>
    <w:rsid w:val="009C3E95"/>
    <w:rsid w:val="009C4964"/>
    <w:rsid w:val="009C554B"/>
    <w:rsid w:val="009C6547"/>
    <w:rsid w:val="009C7144"/>
    <w:rsid w:val="009C78AE"/>
    <w:rsid w:val="009C7B40"/>
    <w:rsid w:val="009C7E54"/>
    <w:rsid w:val="009D0598"/>
    <w:rsid w:val="009D101B"/>
    <w:rsid w:val="009D12E0"/>
    <w:rsid w:val="009D1D27"/>
    <w:rsid w:val="009D20B6"/>
    <w:rsid w:val="009D25C3"/>
    <w:rsid w:val="009D2D3E"/>
    <w:rsid w:val="009D2DCC"/>
    <w:rsid w:val="009D30BF"/>
    <w:rsid w:val="009D30CF"/>
    <w:rsid w:val="009D3102"/>
    <w:rsid w:val="009D3B11"/>
    <w:rsid w:val="009D3C65"/>
    <w:rsid w:val="009D42A4"/>
    <w:rsid w:val="009D4372"/>
    <w:rsid w:val="009D4F31"/>
    <w:rsid w:val="009D6014"/>
    <w:rsid w:val="009D632E"/>
    <w:rsid w:val="009D634E"/>
    <w:rsid w:val="009D6723"/>
    <w:rsid w:val="009D67F6"/>
    <w:rsid w:val="009D6876"/>
    <w:rsid w:val="009D69DE"/>
    <w:rsid w:val="009D6AD5"/>
    <w:rsid w:val="009D73DD"/>
    <w:rsid w:val="009D745A"/>
    <w:rsid w:val="009D7ACB"/>
    <w:rsid w:val="009D7C61"/>
    <w:rsid w:val="009E024D"/>
    <w:rsid w:val="009E05BC"/>
    <w:rsid w:val="009E08D1"/>
    <w:rsid w:val="009E09B5"/>
    <w:rsid w:val="009E0FE1"/>
    <w:rsid w:val="009E15AA"/>
    <w:rsid w:val="009E15DB"/>
    <w:rsid w:val="009E1DF0"/>
    <w:rsid w:val="009E1F69"/>
    <w:rsid w:val="009E26EA"/>
    <w:rsid w:val="009E2A38"/>
    <w:rsid w:val="009E2BE2"/>
    <w:rsid w:val="009E34CB"/>
    <w:rsid w:val="009E34FD"/>
    <w:rsid w:val="009E38D4"/>
    <w:rsid w:val="009E3C91"/>
    <w:rsid w:val="009E4618"/>
    <w:rsid w:val="009E498B"/>
    <w:rsid w:val="009E4BD0"/>
    <w:rsid w:val="009E4D4D"/>
    <w:rsid w:val="009E4E88"/>
    <w:rsid w:val="009E4EBC"/>
    <w:rsid w:val="009E5494"/>
    <w:rsid w:val="009E5800"/>
    <w:rsid w:val="009E5E78"/>
    <w:rsid w:val="009E6115"/>
    <w:rsid w:val="009E70F1"/>
    <w:rsid w:val="009F00BC"/>
    <w:rsid w:val="009F0147"/>
    <w:rsid w:val="009F04AB"/>
    <w:rsid w:val="009F04C1"/>
    <w:rsid w:val="009F0808"/>
    <w:rsid w:val="009F0AEE"/>
    <w:rsid w:val="009F0C17"/>
    <w:rsid w:val="009F0C4E"/>
    <w:rsid w:val="009F125D"/>
    <w:rsid w:val="009F166B"/>
    <w:rsid w:val="009F1AFB"/>
    <w:rsid w:val="009F1C5D"/>
    <w:rsid w:val="009F1FF4"/>
    <w:rsid w:val="009F23D5"/>
    <w:rsid w:val="009F2764"/>
    <w:rsid w:val="009F299A"/>
    <w:rsid w:val="009F2D57"/>
    <w:rsid w:val="009F37CC"/>
    <w:rsid w:val="009F38FC"/>
    <w:rsid w:val="009F3CB1"/>
    <w:rsid w:val="009F4C35"/>
    <w:rsid w:val="009F5362"/>
    <w:rsid w:val="009F6011"/>
    <w:rsid w:val="009F603F"/>
    <w:rsid w:val="009F6580"/>
    <w:rsid w:val="009F6B50"/>
    <w:rsid w:val="009F6C08"/>
    <w:rsid w:val="009F7F68"/>
    <w:rsid w:val="00A00D09"/>
    <w:rsid w:val="00A012E4"/>
    <w:rsid w:val="00A0142F"/>
    <w:rsid w:val="00A02F60"/>
    <w:rsid w:val="00A033D8"/>
    <w:rsid w:val="00A033E7"/>
    <w:rsid w:val="00A035F9"/>
    <w:rsid w:val="00A0406E"/>
    <w:rsid w:val="00A0425F"/>
    <w:rsid w:val="00A04C0D"/>
    <w:rsid w:val="00A04D47"/>
    <w:rsid w:val="00A067C1"/>
    <w:rsid w:val="00A0680A"/>
    <w:rsid w:val="00A06FFA"/>
    <w:rsid w:val="00A06FFC"/>
    <w:rsid w:val="00A072E6"/>
    <w:rsid w:val="00A075ED"/>
    <w:rsid w:val="00A07B9A"/>
    <w:rsid w:val="00A07BB5"/>
    <w:rsid w:val="00A07E00"/>
    <w:rsid w:val="00A07F0A"/>
    <w:rsid w:val="00A10406"/>
    <w:rsid w:val="00A110A3"/>
    <w:rsid w:val="00A111B7"/>
    <w:rsid w:val="00A112EB"/>
    <w:rsid w:val="00A11307"/>
    <w:rsid w:val="00A1179E"/>
    <w:rsid w:val="00A11DD3"/>
    <w:rsid w:val="00A125F8"/>
    <w:rsid w:val="00A12BF2"/>
    <w:rsid w:val="00A1351A"/>
    <w:rsid w:val="00A13838"/>
    <w:rsid w:val="00A13ACE"/>
    <w:rsid w:val="00A13AF3"/>
    <w:rsid w:val="00A13E0E"/>
    <w:rsid w:val="00A13FAE"/>
    <w:rsid w:val="00A1443E"/>
    <w:rsid w:val="00A14524"/>
    <w:rsid w:val="00A146D5"/>
    <w:rsid w:val="00A14E5C"/>
    <w:rsid w:val="00A14F49"/>
    <w:rsid w:val="00A15672"/>
    <w:rsid w:val="00A165CA"/>
    <w:rsid w:val="00A16E65"/>
    <w:rsid w:val="00A170A5"/>
    <w:rsid w:val="00A17198"/>
    <w:rsid w:val="00A2096E"/>
    <w:rsid w:val="00A212AC"/>
    <w:rsid w:val="00A21388"/>
    <w:rsid w:val="00A215C3"/>
    <w:rsid w:val="00A22B3D"/>
    <w:rsid w:val="00A235F6"/>
    <w:rsid w:val="00A23B43"/>
    <w:rsid w:val="00A2400B"/>
    <w:rsid w:val="00A24458"/>
    <w:rsid w:val="00A24564"/>
    <w:rsid w:val="00A24BB5"/>
    <w:rsid w:val="00A252B5"/>
    <w:rsid w:val="00A25878"/>
    <w:rsid w:val="00A25A44"/>
    <w:rsid w:val="00A25C03"/>
    <w:rsid w:val="00A267E9"/>
    <w:rsid w:val="00A27791"/>
    <w:rsid w:val="00A279AD"/>
    <w:rsid w:val="00A27A60"/>
    <w:rsid w:val="00A27ABE"/>
    <w:rsid w:val="00A27AEE"/>
    <w:rsid w:val="00A27C7B"/>
    <w:rsid w:val="00A27C90"/>
    <w:rsid w:val="00A30491"/>
    <w:rsid w:val="00A30A67"/>
    <w:rsid w:val="00A30BEF"/>
    <w:rsid w:val="00A30DC3"/>
    <w:rsid w:val="00A30F8C"/>
    <w:rsid w:val="00A31149"/>
    <w:rsid w:val="00A313DA"/>
    <w:rsid w:val="00A31B7E"/>
    <w:rsid w:val="00A32461"/>
    <w:rsid w:val="00A3257B"/>
    <w:rsid w:val="00A3274C"/>
    <w:rsid w:val="00A32D6C"/>
    <w:rsid w:val="00A3300F"/>
    <w:rsid w:val="00A33A20"/>
    <w:rsid w:val="00A33B4C"/>
    <w:rsid w:val="00A3426B"/>
    <w:rsid w:val="00A352B9"/>
    <w:rsid w:val="00A35551"/>
    <w:rsid w:val="00A355F9"/>
    <w:rsid w:val="00A3572F"/>
    <w:rsid w:val="00A35C8E"/>
    <w:rsid w:val="00A36525"/>
    <w:rsid w:val="00A3679B"/>
    <w:rsid w:val="00A372B3"/>
    <w:rsid w:val="00A373AF"/>
    <w:rsid w:val="00A37939"/>
    <w:rsid w:val="00A37FE6"/>
    <w:rsid w:val="00A40138"/>
    <w:rsid w:val="00A40700"/>
    <w:rsid w:val="00A40B7F"/>
    <w:rsid w:val="00A40CB6"/>
    <w:rsid w:val="00A40D32"/>
    <w:rsid w:val="00A411E6"/>
    <w:rsid w:val="00A41355"/>
    <w:rsid w:val="00A41958"/>
    <w:rsid w:val="00A42250"/>
    <w:rsid w:val="00A42643"/>
    <w:rsid w:val="00A42E49"/>
    <w:rsid w:val="00A43330"/>
    <w:rsid w:val="00A43462"/>
    <w:rsid w:val="00A437B6"/>
    <w:rsid w:val="00A4398D"/>
    <w:rsid w:val="00A43B92"/>
    <w:rsid w:val="00A43BB5"/>
    <w:rsid w:val="00A43DDA"/>
    <w:rsid w:val="00A43E71"/>
    <w:rsid w:val="00A44612"/>
    <w:rsid w:val="00A44EB2"/>
    <w:rsid w:val="00A4521A"/>
    <w:rsid w:val="00A453EA"/>
    <w:rsid w:val="00A45759"/>
    <w:rsid w:val="00A46713"/>
    <w:rsid w:val="00A467AB"/>
    <w:rsid w:val="00A468BF"/>
    <w:rsid w:val="00A46A97"/>
    <w:rsid w:val="00A4722E"/>
    <w:rsid w:val="00A47BCC"/>
    <w:rsid w:val="00A47DCE"/>
    <w:rsid w:val="00A502E4"/>
    <w:rsid w:val="00A5046D"/>
    <w:rsid w:val="00A511B7"/>
    <w:rsid w:val="00A51952"/>
    <w:rsid w:val="00A51C1D"/>
    <w:rsid w:val="00A51D69"/>
    <w:rsid w:val="00A51EAA"/>
    <w:rsid w:val="00A52294"/>
    <w:rsid w:val="00A5288C"/>
    <w:rsid w:val="00A52988"/>
    <w:rsid w:val="00A538D6"/>
    <w:rsid w:val="00A539E6"/>
    <w:rsid w:val="00A53D26"/>
    <w:rsid w:val="00A54001"/>
    <w:rsid w:val="00A541A4"/>
    <w:rsid w:val="00A54251"/>
    <w:rsid w:val="00A5483E"/>
    <w:rsid w:val="00A54AC7"/>
    <w:rsid w:val="00A5581C"/>
    <w:rsid w:val="00A55E25"/>
    <w:rsid w:val="00A568E8"/>
    <w:rsid w:val="00A56F41"/>
    <w:rsid w:val="00A57291"/>
    <w:rsid w:val="00A572F1"/>
    <w:rsid w:val="00A57D0C"/>
    <w:rsid w:val="00A60B19"/>
    <w:rsid w:val="00A6179E"/>
    <w:rsid w:val="00A617D3"/>
    <w:rsid w:val="00A625D4"/>
    <w:rsid w:val="00A6262C"/>
    <w:rsid w:val="00A6269F"/>
    <w:rsid w:val="00A62BC5"/>
    <w:rsid w:val="00A638C1"/>
    <w:rsid w:val="00A64316"/>
    <w:rsid w:val="00A64756"/>
    <w:rsid w:val="00A64811"/>
    <w:rsid w:val="00A649EF"/>
    <w:rsid w:val="00A64EB1"/>
    <w:rsid w:val="00A655E8"/>
    <w:rsid w:val="00A65AE6"/>
    <w:rsid w:val="00A662FA"/>
    <w:rsid w:val="00A66413"/>
    <w:rsid w:val="00A66F09"/>
    <w:rsid w:val="00A67112"/>
    <w:rsid w:val="00A67175"/>
    <w:rsid w:val="00A671F3"/>
    <w:rsid w:val="00A67AD8"/>
    <w:rsid w:val="00A70802"/>
    <w:rsid w:val="00A70E99"/>
    <w:rsid w:val="00A71027"/>
    <w:rsid w:val="00A711B6"/>
    <w:rsid w:val="00A715D6"/>
    <w:rsid w:val="00A71906"/>
    <w:rsid w:val="00A7284A"/>
    <w:rsid w:val="00A72D4F"/>
    <w:rsid w:val="00A73632"/>
    <w:rsid w:val="00A7371B"/>
    <w:rsid w:val="00A73886"/>
    <w:rsid w:val="00A73DB8"/>
    <w:rsid w:val="00A74357"/>
    <w:rsid w:val="00A74628"/>
    <w:rsid w:val="00A7496C"/>
    <w:rsid w:val="00A75EDF"/>
    <w:rsid w:val="00A761C4"/>
    <w:rsid w:val="00A763AC"/>
    <w:rsid w:val="00A7676B"/>
    <w:rsid w:val="00A76EA8"/>
    <w:rsid w:val="00A77962"/>
    <w:rsid w:val="00A77AA4"/>
    <w:rsid w:val="00A77B9F"/>
    <w:rsid w:val="00A77E86"/>
    <w:rsid w:val="00A77EDC"/>
    <w:rsid w:val="00A80188"/>
    <w:rsid w:val="00A80205"/>
    <w:rsid w:val="00A804D9"/>
    <w:rsid w:val="00A822DE"/>
    <w:rsid w:val="00A83161"/>
    <w:rsid w:val="00A83235"/>
    <w:rsid w:val="00A83C61"/>
    <w:rsid w:val="00A84AAA"/>
    <w:rsid w:val="00A84C31"/>
    <w:rsid w:val="00A8573B"/>
    <w:rsid w:val="00A8581D"/>
    <w:rsid w:val="00A85963"/>
    <w:rsid w:val="00A86195"/>
    <w:rsid w:val="00A8647B"/>
    <w:rsid w:val="00A8662F"/>
    <w:rsid w:val="00A86AD9"/>
    <w:rsid w:val="00A87A5B"/>
    <w:rsid w:val="00A90153"/>
    <w:rsid w:val="00A90946"/>
    <w:rsid w:val="00A90D4E"/>
    <w:rsid w:val="00A90ED6"/>
    <w:rsid w:val="00A91543"/>
    <w:rsid w:val="00A9217A"/>
    <w:rsid w:val="00A9240B"/>
    <w:rsid w:val="00A92915"/>
    <w:rsid w:val="00A9292F"/>
    <w:rsid w:val="00A92D96"/>
    <w:rsid w:val="00A92F1C"/>
    <w:rsid w:val="00A92F92"/>
    <w:rsid w:val="00A93095"/>
    <w:rsid w:val="00A945EF"/>
    <w:rsid w:val="00A948EE"/>
    <w:rsid w:val="00A94A2F"/>
    <w:rsid w:val="00A94C9E"/>
    <w:rsid w:val="00A94FCA"/>
    <w:rsid w:val="00A954D4"/>
    <w:rsid w:val="00A95847"/>
    <w:rsid w:val="00A9585D"/>
    <w:rsid w:val="00A95EFA"/>
    <w:rsid w:val="00A96892"/>
    <w:rsid w:val="00A96ED5"/>
    <w:rsid w:val="00A974D9"/>
    <w:rsid w:val="00A97A9A"/>
    <w:rsid w:val="00AA0466"/>
    <w:rsid w:val="00AA0CF9"/>
    <w:rsid w:val="00AA0DE5"/>
    <w:rsid w:val="00AA1116"/>
    <w:rsid w:val="00AA1331"/>
    <w:rsid w:val="00AA18AF"/>
    <w:rsid w:val="00AA19BB"/>
    <w:rsid w:val="00AA1B22"/>
    <w:rsid w:val="00AA2051"/>
    <w:rsid w:val="00AA227E"/>
    <w:rsid w:val="00AA2313"/>
    <w:rsid w:val="00AA2A72"/>
    <w:rsid w:val="00AA2DCA"/>
    <w:rsid w:val="00AA3937"/>
    <w:rsid w:val="00AA495D"/>
    <w:rsid w:val="00AA4CC2"/>
    <w:rsid w:val="00AA4E09"/>
    <w:rsid w:val="00AA633C"/>
    <w:rsid w:val="00AA70C4"/>
    <w:rsid w:val="00AB02C5"/>
    <w:rsid w:val="00AB0404"/>
    <w:rsid w:val="00AB0481"/>
    <w:rsid w:val="00AB08EA"/>
    <w:rsid w:val="00AB090E"/>
    <w:rsid w:val="00AB12ED"/>
    <w:rsid w:val="00AB1483"/>
    <w:rsid w:val="00AB18E8"/>
    <w:rsid w:val="00AB1E96"/>
    <w:rsid w:val="00AB399B"/>
    <w:rsid w:val="00AB4889"/>
    <w:rsid w:val="00AB4E5C"/>
    <w:rsid w:val="00AB4EF1"/>
    <w:rsid w:val="00AB5683"/>
    <w:rsid w:val="00AB5D54"/>
    <w:rsid w:val="00AB60D2"/>
    <w:rsid w:val="00AB6573"/>
    <w:rsid w:val="00AB659F"/>
    <w:rsid w:val="00AB69ED"/>
    <w:rsid w:val="00AB7C8F"/>
    <w:rsid w:val="00AC002C"/>
    <w:rsid w:val="00AC0176"/>
    <w:rsid w:val="00AC0371"/>
    <w:rsid w:val="00AC07C9"/>
    <w:rsid w:val="00AC08D1"/>
    <w:rsid w:val="00AC199D"/>
    <w:rsid w:val="00AC1E73"/>
    <w:rsid w:val="00AC2182"/>
    <w:rsid w:val="00AC2192"/>
    <w:rsid w:val="00AC2417"/>
    <w:rsid w:val="00AC2C7B"/>
    <w:rsid w:val="00AC2E3E"/>
    <w:rsid w:val="00AC31E7"/>
    <w:rsid w:val="00AC353A"/>
    <w:rsid w:val="00AC3A50"/>
    <w:rsid w:val="00AC3F6B"/>
    <w:rsid w:val="00AC416F"/>
    <w:rsid w:val="00AC4C8F"/>
    <w:rsid w:val="00AC4E8F"/>
    <w:rsid w:val="00AC5BA3"/>
    <w:rsid w:val="00AC636D"/>
    <w:rsid w:val="00AC6815"/>
    <w:rsid w:val="00AC6A7C"/>
    <w:rsid w:val="00AC7569"/>
    <w:rsid w:val="00AD075A"/>
    <w:rsid w:val="00AD0936"/>
    <w:rsid w:val="00AD0CBC"/>
    <w:rsid w:val="00AD0EDC"/>
    <w:rsid w:val="00AD107E"/>
    <w:rsid w:val="00AD10F6"/>
    <w:rsid w:val="00AD1218"/>
    <w:rsid w:val="00AD12EE"/>
    <w:rsid w:val="00AD1491"/>
    <w:rsid w:val="00AD1B65"/>
    <w:rsid w:val="00AD1F3C"/>
    <w:rsid w:val="00AD21A5"/>
    <w:rsid w:val="00AD2249"/>
    <w:rsid w:val="00AD22A7"/>
    <w:rsid w:val="00AD255E"/>
    <w:rsid w:val="00AD30D2"/>
    <w:rsid w:val="00AD3805"/>
    <w:rsid w:val="00AD3A56"/>
    <w:rsid w:val="00AD407B"/>
    <w:rsid w:val="00AD4AE5"/>
    <w:rsid w:val="00AD4ED6"/>
    <w:rsid w:val="00AD50DF"/>
    <w:rsid w:val="00AD5B80"/>
    <w:rsid w:val="00AD615F"/>
    <w:rsid w:val="00AD636B"/>
    <w:rsid w:val="00AD7271"/>
    <w:rsid w:val="00AD74D0"/>
    <w:rsid w:val="00AE068F"/>
    <w:rsid w:val="00AE0C30"/>
    <w:rsid w:val="00AE0D1B"/>
    <w:rsid w:val="00AE1634"/>
    <w:rsid w:val="00AE1923"/>
    <w:rsid w:val="00AE1CDB"/>
    <w:rsid w:val="00AE1EA8"/>
    <w:rsid w:val="00AE2519"/>
    <w:rsid w:val="00AE2525"/>
    <w:rsid w:val="00AE2601"/>
    <w:rsid w:val="00AE2614"/>
    <w:rsid w:val="00AE26B5"/>
    <w:rsid w:val="00AE2713"/>
    <w:rsid w:val="00AE32AB"/>
    <w:rsid w:val="00AE3807"/>
    <w:rsid w:val="00AE3835"/>
    <w:rsid w:val="00AE3B63"/>
    <w:rsid w:val="00AE5B90"/>
    <w:rsid w:val="00AE5C0A"/>
    <w:rsid w:val="00AE60EB"/>
    <w:rsid w:val="00AE682B"/>
    <w:rsid w:val="00AE6FD6"/>
    <w:rsid w:val="00AE7368"/>
    <w:rsid w:val="00AE7416"/>
    <w:rsid w:val="00AE7855"/>
    <w:rsid w:val="00AE7B24"/>
    <w:rsid w:val="00AF08D7"/>
    <w:rsid w:val="00AF10B4"/>
    <w:rsid w:val="00AF153A"/>
    <w:rsid w:val="00AF229E"/>
    <w:rsid w:val="00AF26EB"/>
    <w:rsid w:val="00AF2ECB"/>
    <w:rsid w:val="00AF380F"/>
    <w:rsid w:val="00AF405E"/>
    <w:rsid w:val="00AF44E5"/>
    <w:rsid w:val="00AF5F12"/>
    <w:rsid w:val="00AF614F"/>
    <w:rsid w:val="00AF6372"/>
    <w:rsid w:val="00AF6835"/>
    <w:rsid w:val="00AF685A"/>
    <w:rsid w:val="00B0010B"/>
    <w:rsid w:val="00B00CAF"/>
    <w:rsid w:val="00B00EE8"/>
    <w:rsid w:val="00B00F61"/>
    <w:rsid w:val="00B012BE"/>
    <w:rsid w:val="00B016BF"/>
    <w:rsid w:val="00B016F6"/>
    <w:rsid w:val="00B01D08"/>
    <w:rsid w:val="00B01D39"/>
    <w:rsid w:val="00B01DCC"/>
    <w:rsid w:val="00B02166"/>
    <w:rsid w:val="00B022F5"/>
    <w:rsid w:val="00B0234D"/>
    <w:rsid w:val="00B02609"/>
    <w:rsid w:val="00B037BB"/>
    <w:rsid w:val="00B037FB"/>
    <w:rsid w:val="00B03E63"/>
    <w:rsid w:val="00B0406B"/>
    <w:rsid w:val="00B04787"/>
    <w:rsid w:val="00B04880"/>
    <w:rsid w:val="00B050BC"/>
    <w:rsid w:val="00B05631"/>
    <w:rsid w:val="00B05E2A"/>
    <w:rsid w:val="00B062FD"/>
    <w:rsid w:val="00B0677A"/>
    <w:rsid w:val="00B06B3A"/>
    <w:rsid w:val="00B07914"/>
    <w:rsid w:val="00B10AFE"/>
    <w:rsid w:val="00B1177F"/>
    <w:rsid w:val="00B124D8"/>
    <w:rsid w:val="00B12D00"/>
    <w:rsid w:val="00B137B5"/>
    <w:rsid w:val="00B137C1"/>
    <w:rsid w:val="00B13A6F"/>
    <w:rsid w:val="00B13D4A"/>
    <w:rsid w:val="00B140C2"/>
    <w:rsid w:val="00B143E3"/>
    <w:rsid w:val="00B1501A"/>
    <w:rsid w:val="00B152AB"/>
    <w:rsid w:val="00B1573D"/>
    <w:rsid w:val="00B157F7"/>
    <w:rsid w:val="00B16387"/>
    <w:rsid w:val="00B175B5"/>
    <w:rsid w:val="00B17EC8"/>
    <w:rsid w:val="00B21687"/>
    <w:rsid w:val="00B21D22"/>
    <w:rsid w:val="00B2214A"/>
    <w:rsid w:val="00B22156"/>
    <w:rsid w:val="00B22A16"/>
    <w:rsid w:val="00B22C55"/>
    <w:rsid w:val="00B22C64"/>
    <w:rsid w:val="00B22EDA"/>
    <w:rsid w:val="00B237FB"/>
    <w:rsid w:val="00B23832"/>
    <w:rsid w:val="00B24143"/>
    <w:rsid w:val="00B24825"/>
    <w:rsid w:val="00B24B1D"/>
    <w:rsid w:val="00B254C9"/>
    <w:rsid w:val="00B2584B"/>
    <w:rsid w:val="00B25880"/>
    <w:rsid w:val="00B25916"/>
    <w:rsid w:val="00B25C22"/>
    <w:rsid w:val="00B25FF2"/>
    <w:rsid w:val="00B26B85"/>
    <w:rsid w:val="00B26C33"/>
    <w:rsid w:val="00B26D6E"/>
    <w:rsid w:val="00B26E95"/>
    <w:rsid w:val="00B26EDA"/>
    <w:rsid w:val="00B277E0"/>
    <w:rsid w:val="00B30049"/>
    <w:rsid w:val="00B30A90"/>
    <w:rsid w:val="00B31048"/>
    <w:rsid w:val="00B31059"/>
    <w:rsid w:val="00B310CB"/>
    <w:rsid w:val="00B315EB"/>
    <w:rsid w:val="00B31BA0"/>
    <w:rsid w:val="00B31BB2"/>
    <w:rsid w:val="00B31E09"/>
    <w:rsid w:val="00B327E1"/>
    <w:rsid w:val="00B32A80"/>
    <w:rsid w:val="00B334A8"/>
    <w:rsid w:val="00B335AD"/>
    <w:rsid w:val="00B33BD4"/>
    <w:rsid w:val="00B33C75"/>
    <w:rsid w:val="00B33EF2"/>
    <w:rsid w:val="00B344FA"/>
    <w:rsid w:val="00B3489A"/>
    <w:rsid w:val="00B34946"/>
    <w:rsid w:val="00B34C39"/>
    <w:rsid w:val="00B34E37"/>
    <w:rsid w:val="00B35B0D"/>
    <w:rsid w:val="00B35E4F"/>
    <w:rsid w:val="00B361AB"/>
    <w:rsid w:val="00B36623"/>
    <w:rsid w:val="00B36FDB"/>
    <w:rsid w:val="00B37350"/>
    <w:rsid w:val="00B37382"/>
    <w:rsid w:val="00B37B05"/>
    <w:rsid w:val="00B40C75"/>
    <w:rsid w:val="00B41644"/>
    <w:rsid w:val="00B41C57"/>
    <w:rsid w:val="00B421B3"/>
    <w:rsid w:val="00B426C7"/>
    <w:rsid w:val="00B43293"/>
    <w:rsid w:val="00B43337"/>
    <w:rsid w:val="00B4341B"/>
    <w:rsid w:val="00B4357E"/>
    <w:rsid w:val="00B436CA"/>
    <w:rsid w:val="00B43730"/>
    <w:rsid w:val="00B4377F"/>
    <w:rsid w:val="00B448FE"/>
    <w:rsid w:val="00B45408"/>
    <w:rsid w:val="00B45921"/>
    <w:rsid w:val="00B459C7"/>
    <w:rsid w:val="00B45A0E"/>
    <w:rsid w:val="00B45A81"/>
    <w:rsid w:val="00B45DE3"/>
    <w:rsid w:val="00B45E55"/>
    <w:rsid w:val="00B45F85"/>
    <w:rsid w:val="00B46059"/>
    <w:rsid w:val="00B46A64"/>
    <w:rsid w:val="00B46B7D"/>
    <w:rsid w:val="00B46C31"/>
    <w:rsid w:val="00B46CF9"/>
    <w:rsid w:val="00B46F42"/>
    <w:rsid w:val="00B4743B"/>
    <w:rsid w:val="00B477C9"/>
    <w:rsid w:val="00B47F61"/>
    <w:rsid w:val="00B50BC6"/>
    <w:rsid w:val="00B50D86"/>
    <w:rsid w:val="00B51457"/>
    <w:rsid w:val="00B51930"/>
    <w:rsid w:val="00B519FD"/>
    <w:rsid w:val="00B51A12"/>
    <w:rsid w:val="00B51D84"/>
    <w:rsid w:val="00B51F55"/>
    <w:rsid w:val="00B51F70"/>
    <w:rsid w:val="00B520BC"/>
    <w:rsid w:val="00B5222F"/>
    <w:rsid w:val="00B5287A"/>
    <w:rsid w:val="00B528B7"/>
    <w:rsid w:val="00B52A68"/>
    <w:rsid w:val="00B52D9A"/>
    <w:rsid w:val="00B539CC"/>
    <w:rsid w:val="00B54FD4"/>
    <w:rsid w:val="00B55054"/>
    <w:rsid w:val="00B55843"/>
    <w:rsid w:val="00B55A4B"/>
    <w:rsid w:val="00B5661F"/>
    <w:rsid w:val="00B5682A"/>
    <w:rsid w:val="00B56BB9"/>
    <w:rsid w:val="00B57451"/>
    <w:rsid w:val="00B574D6"/>
    <w:rsid w:val="00B57A65"/>
    <w:rsid w:val="00B6048E"/>
    <w:rsid w:val="00B60DE9"/>
    <w:rsid w:val="00B61668"/>
    <w:rsid w:val="00B61E69"/>
    <w:rsid w:val="00B620C2"/>
    <w:rsid w:val="00B6224D"/>
    <w:rsid w:val="00B6235F"/>
    <w:rsid w:val="00B6257F"/>
    <w:rsid w:val="00B6283B"/>
    <w:rsid w:val="00B6384C"/>
    <w:rsid w:val="00B63D24"/>
    <w:rsid w:val="00B63EDE"/>
    <w:rsid w:val="00B63F7B"/>
    <w:rsid w:val="00B648BA"/>
    <w:rsid w:val="00B64C79"/>
    <w:rsid w:val="00B64D9C"/>
    <w:rsid w:val="00B651AF"/>
    <w:rsid w:val="00B65752"/>
    <w:rsid w:val="00B65FF3"/>
    <w:rsid w:val="00B663D5"/>
    <w:rsid w:val="00B668A7"/>
    <w:rsid w:val="00B673E0"/>
    <w:rsid w:val="00B67416"/>
    <w:rsid w:val="00B70C50"/>
    <w:rsid w:val="00B70F86"/>
    <w:rsid w:val="00B71C1B"/>
    <w:rsid w:val="00B71C1F"/>
    <w:rsid w:val="00B71CDC"/>
    <w:rsid w:val="00B71DE1"/>
    <w:rsid w:val="00B7248B"/>
    <w:rsid w:val="00B73057"/>
    <w:rsid w:val="00B7356D"/>
    <w:rsid w:val="00B73643"/>
    <w:rsid w:val="00B738C5"/>
    <w:rsid w:val="00B738D8"/>
    <w:rsid w:val="00B73AC7"/>
    <w:rsid w:val="00B73AF8"/>
    <w:rsid w:val="00B73D7A"/>
    <w:rsid w:val="00B73DDE"/>
    <w:rsid w:val="00B73F58"/>
    <w:rsid w:val="00B7400E"/>
    <w:rsid w:val="00B7402E"/>
    <w:rsid w:val="00B74624"/>
    <w:rsid w:val="00B7475D"/>
    <w:rsid w:val="00B74FFD"/>
    <w:rsid w:val="00B760E7"/>
    <w:rsid w:val="00B76840"/>
    <w:rsid w:val="00B7694D"/>
    <w:rsid w:val="00B76978"/>
    <w:rsid w:val="00B7737C"/>
    <w:rsid w:val="00B77483"/>
    <w:rsid w:val="00B77A28"/>
    <w:rsid w:val="00B77B42"/>
    <w:rsid w:val="00B77E98"/>
    <w:rsid w:val="00B801FB"/>
    <w:rsid w:val="00B81D59"/>
    <w:rsid w:val="00B822C5"/>
    <w:rsid w:val="00B82482"/>
    <w:rsid w:val="00B8251E"/>
    <w:rsid w:val="00B82C35"/>
    <w:rsid w:val="00B83675"/>
    <w:rsid w:val="00B83760"/>
    <w:rsid w:val="00B8376B"/>
    <w:rsid w:val="00B837DF"/>
    <w:rsid w:val="00B83D53"/>
    <w:rsid w:val="00B84D7D"/>
    <w:rsid w:val="00B84DFD"/>
    <w:rsid w:val="00B85081"/>
    <w:rsid w:val="00B850BE"/>
    <w:rsid w:val="00B85B06"/>
    <w:rsid w:val="00B861C3"/>
    <w:rsid w:val="00B869C4"/>
    <w:rsid w:val="00B86CBA"/>
    <w:rsid w:val="00B877EE"/>
    <w:rsid w:val="00B90145"/>
    <w:rsid w:val="00B90148"/>
    <w:rsid w:val="00B904DB"/>
    <w:rsid w:val="00B90B0D"/>
    <w:rsid w:val="00B92178"/>
    <w:rsid w:val="00B924E6"/>
    <w:rsid w:val="00B92CBD"/>
    <w:rsid w:val="00B93515"/>
    <w:rsid w:val="00B93521"/>
    <w:rsid w:val="00B93F2A"/>
    <w:rsid w:val="00B9412E"/>
    <w:rsid w:val="00B9441C"/>
    <w:rsid w:val="00B94501"/>
    <w:rsid w:val="00B94987"/>
    <w:rsid w:val="00B95DF0"/>
    <w:rsid w:val="00B95FBE"/>
    <w:rsid w:val="00B96352"/>
    <w:rsid w:val="00B9661C"/>
    <w:rsid w:val="00B96C52"/>
    <w:rsid w:val="00B96D7D"/>
    <w:rsid w:val="00B972A2"/>
    <w:rsid w:val="00B976C1"/>
    <w:rsid w:val="00B97B5F"/>
    <w:rsid w:val="00B97FD4"/>
    <w:rsid w:val="00BA02FB"/>
    <w:rsid w:val="00BA086F"/>
    <w:rsid w:val="00BA1189"/>
    <w:rsid w:val="00BA12F2"/>
    <w:rsid w:val="00BA133A"/>
    <w:rsid w:val="00BA1C7B"/>
    <w:rsid w:val="00BA23E3"/>
    <w:rsid w:val="00BA262D"/>
    <w:rsid w:val="00BA3556"/>
    <w:rsid w:val="00BA3793"/>
    <w:rsid w:val="00BA37A4"/>
    <w:rsid w:val="00BA3BF8"/>
    <w:rsid w:val="00BA4779"/>
    <w:rsid w:val="00BA4B4C"/>
    <w:rsid w:val="00BA51C9"/>
    <w:rsid w:val="00BA5698"/>
    <w:rsid w:val="00BA5B43"/>
    <w:rsid w:val="00BA64D5"/>
    <w:rsid w:val="00BA67ED"/>
    <w:rsid w:val="00BA6896"/>
    <w:rsid w:val="00BA689A"/>
    <w:rsid w:val="00BA6A5B"/>
    <w:rsid w:val="00BA6B57"/>
    <w:rsid w:val="00BA6BE0"/>
    <w:rsid w:val="00BA6E91"/>
    <w:rsid w:val="00BA7050"/>
    <w:rsid w:val="00BA7082"/>
    <w:rsid w:val="00BA78AD"/>
    <w:rsid w:val="00BA7B91"/>
    <w:rsid w:val="00BA7C84"/>
    <w:rsid w:val="00BB0446"/>
    <w:rsid w:val="00BB049D"/>
    <w:rsid w:val="00BB05E2"/>
    <w:rsid w:val="00BB09A6"/>
    <w:rsid w:val="00BB12E9"/>
    <w:rsid w:val="00BB13CD"/>
    <w:rsid w:val="00BB1466"/>
    <w:rsid w:val="00BB15BF"/>
    <w:rsid w:val="00BB17C2"/>
    <w:rsid w:val="00BB299F"/>
    <w:rsid w:val="00BB29D4"/>
    <w:rsid w:val="00BB3A8E"/>
    <w:rsid w:val="00BB3C61"/>
    <w:rsid w:val="00BB3DF9"/>
    <w:rsid w:val="00BB3E35"/>
    <w:rsid w:val="00BB463D"/>
    <w:rsid w:val="00BB47DB"/>
    <w:rsid w:val="00BB4B08"/>
    <w:rsid w:val="00BB4D53"/>
    <w:rsid w:val="00BB50AB"/>
    <w:rsid w:val="00BB52D8"/>
    <w:rsid w:val="00BB5E78"/>
    <w:rsid w:val="00BB603E"/>
    <w:rsid w:val="00BB6EF8"/>
    <w:rsid w:val="00BB73D1"/>
    <w:rsid w:val="00BB77D4"/>
    <w:rsid w:val="00BB77DA"/>
    <w:rsid w:val="00BB7A43"/>
    <w:rsid w:val="00BB7BB0"/>
    <w:rsid w:val="00BB7D08"/>
    <w:rsid w:val="00BC0777"/>
    <w:rsid w:val="00BC0880"/>
    <w:rsid w:val="00BC0B18"/>
    <w:rsid w:val="00BC17CB"/>
    <w:rsid w:val="00BC182A"/>
    <w:rsid w:val="00BC1D19"/>
    <w:rsid w:val="00BC22E8"/>
    <w:rsid w:val="00BC2AFC"/>
    <w:rsid w:val="00BC2B14"/>
    <w:rsid w:val="00BC2BAB"/>
    <w:rsid w:val="00BC334B"/>
    <w:rsid w:val="00BC487E"/>
    <w:rsid w:val="00BC5F3C"/>
    <w:rsid w:val="00BC61C2"/>
    <w:rsid w:val="00BC65A5"/>
    <w:rsid w:val="00BC6B44"/>
    <w:rsid w:val="00BC6C1E"/>
    <w:rsid w:val="00BC7110"/>
    <w:rsid w:val="00BC79EB"/>
    <w:rsid w:val="00BD0168"/>
    <w:rsid w:val="00BD04AF"/>
    <w:rsid w:val="00BD0CFE"/>
    <w:rsid w:val="00BD1B80"/>
    <w:rsid w:val="00BD1C0B"/>
    <w:rsid w:val="00BD1E53"/>
    <w:rsid w:val="00BD2197"/>
    <w:rsid w:val="00BD2AC0"/>
    <w:rsid w:val="00BD2F6B"/>
    <w:rsid w:val="00BD319E"/>
    <w:rsid w:val="00BD3D30"/>
    <w:rsid w:val="00BD43B7"/>
    <w:rsid w:val="00BD49B0"/>
    <w:rsid w:val="00BD4E4A"/>
    <w:rsid w:val="00BD50CF"/>
    <w:rsid w:val="00BD51AF"/>
    <w:rsid w:val="00BD58A7"/>
    <w:rsid w:val="00BD6440"/>
    <w:rsid w:val="00BD691D"/>
    <w:rsid w:val="00BD6C56"/>
    <w:rsid w:val="00BD6DE7"/>
    <w:rsid w:val="00BD7374"/>
    <w:rsid w:val="00BD7B2C"/>
    <w:rsid w:val="00BD7FCF"/>
    <w:rsid w:val="00BE0DDB"/>
    <w:rsid w:val="00BE0E40"/>
    <w:rsid w:val="00BE13CA"/>
    <w:rsid w:val="00BE1BA6"/>
    <w:rsid w:val="00BE2175"/>
    <w:rsid w:val="00BE27E6"/>
    <w:rsid w:val="00BE28F9"/>
    <w:rsid w:val="00BE3647"/>
    <w:rsid w:val="00BE3D49"/>
    <w:rsid w:val="00BE3D81"/>
    <w:rsid w:val="00BE3F85"/>
    <w:rsid w:val="00BE45BE"/>
    <w:rsid w:val="00BE59B9"/>
    <w:rsid w:val="00BE5A43"/>
    <w:rsid w:val="00BE5BAB"/>
    <w:rsid w:val="00BE5CF9"/>
    <w:rsid w:val="00BE5D57"/>
    <w:rsid w:val="00BE630E"/>
    <w:rsid w:val="00BE639E"/>
    <w:rsid w:val="00BE65E6"/>
    <w:rsid w:val="00BE6952"/>
    <w:rsid w:val="00BE69A9"/>
    <w:rsid w:val="00BE7D60"/>
    <w:rsid w:val="00BE7EDA"/>
    <w:rsid w:val="00BF01C9"/>
    <w:rsid w:val="00BF04D1"/>
    <w:rsid w:val="00BF08D4"/>
    <w:rsid w:val="00BF0A02"/>
    <w:rsid w:val="00BF10D0"/>
    <w:rsid w:val="00BF1AB8"/>
    <w:rsid w:val="00BF1E08"/>
    <w:rsid w:val="00BF1E9E"/>
    <w:rsid w:val="00BF26A7"/>
    <w:rsid w:val="00BF2FB6"/>
    <w:rsid w:val="00BF317F"/>
    <w:rsid w:val="00BF32AC"/>
    <w:rsid w:val="00BF33D5"/>
    <w:rsid w:val="00BF353C"/>
    <w:rsid w:val="00BF3FB3"/>
    <w:rsid w:val="00BF48E4"/>
    <w:rsid w:val="00BF4BF5"/>
    <w:rsid w:val="00BF4D1E"/>
    <w:rsid w:val="00BF4F42"/>
    <w:rsid w:val="00BF6406"/>
    <w:rsid w:val="00BF678E"/>
    <w:rsid w:val="00BF745A"/>
    <w:rsid w:val="00C000B6"/>
    <w:rsid w:val="00C01302"/>
    <w:rsid w:val="00C020FB"/>
    <w:rsid w:val="00C02616"/>
    <w:rsid w:val="00C03295"/>
    <w:rsid w:val="00C0446C"/>
    <w:rsid w:val="00C04950"/>
    <w:rsid w:val="00C04D25"/>
    <w:rsid w:val="00C05027"/>
    <w:rsid w:val="00C05603"/>
    <w:rsid w:val="00C064DC"/>
    <w:rsid w:val="00C073AE"/>
    <w:rsid w:val="00C10562"/>
    <w:rsid w:val="00C10897"/>
    <w:rsid w:val="00C10CF1"/>
    <w:rsid w:val="00C10F27"/>
    <w:rsid w:val="00C1117E"/>
    <w:rsid w:val="00C1182B"/>
    <w:rsid w:val="00C11BE0"/>
    <w:rsid w:val="00C12CEA"/>
    <w:rsid w:val="00C132CA"/>
    <w:rsid w:val="00C139A4"/>
    <w:rsid w:val="00C14053"/>
    <w:rsid w:val="00C148CE"/>
    <w:rsid w:val="00C149BD"/>
    <w:rsid w:val="00C14B90"/>
    <w:rsid w:val="00C150B7"/>
    <w:rsid w:val="00C15E4D"/>
    <w:rsid w:val="00C15F84"/>
    <w:rsid w:val="00C16E29"/>
    <w:rsid w:val="00C16E31"/>
    <w:rsid w:val="00C1720E"/>
    <w:rsid w:val="00C175EE"/>
    <w:rsid w:val="00C176BE"/>
    <w:rsid w:val="00C17C71"/>
    <w:rsid w:val="00C20673"/>
    <w:rsid w:val="00C20706"/>
    <w:rsid w:val="00C20742"/>
    <w:rsid w:val="00C20D34"/>
    <w:rsid w:val="00C210E8"/>
    <w:rsid w:val="00C212F6"/>
    <w:rsid w:val="00C21495"/>
    <w:rsid w:val="00C219D9"/>
    <w:rsid w:val="00C21FAF"/>
    <w:rsid w:val="00C22935"/>
    <w:rsid w:val="00C24AE5"/>
    <w:rsid w:val="00C250D8"/>
    <w:rsid w:val="00C25247"/>
    <w:rsid w:val="00C25577"/>
    <w:rsid w:val="00C25BDA"/>
    <w:rsid w:val="00C25C71"/>
    <w:rsid w:val="00C26181"/>
    <w:rsid w:val="00C262D5"/>
    <w:rsid w:val="00C26DA1"/>
    <w:rsid w:val="00C275D3"/>
    <w:rsid w:val="00C313F0"/>
    <w:rsid w:val="00C315BA"/>
    <w:rsid w:val="00C3179E"/>
    <w:rsid w:val="00C31901"/>
    <w:rsid w:val="00C31C4A"/>
    <w:rsid w:val="00C31ED4"/>
    <w:rsid w:val="00C3250F"/>
    <w:rsid w:val="00C32B84"/>
    <w:rsid w:val="00C32FB2"/>
    <w:rsid w:val="00C330BD"/>
    <w:rsid w:val="00C33104"/>
    <w:rsid w:val="00C33185"/>
    <w:rsid w:val="00C332D4"/>
    <w:rsid w:val="00C34A4D"/>
    <w:rsid w:val="00C3506A"/>
    <w:rsid w:val="00C35B73"/>
    <w:rsid w:val="00C36112"/>
    <w:rsid w:val="00C36349"/>
    <w:rsid w:val="00C366D0"/>
    <w:rsid w:val="00C36A1A"/>
    <w:rsid w:val="00C36F50"/>
    <w:rsid w:val="00C37074"/>
    <w:rsid w:val="00C37B16"/>
    <w:rsid w:val="00C410A8"/>
    <w:rsid w:val="00C42232"/>
    <w:rsid w:val="00C42CD4"/>
    <w:rsid w:val="00C42E05"/>
    <w:rsid w:val="00C42E9E"/>
    <w:rsid w:val="00C43060"/>
    <w:rsid w:val="00C4376C"/>
    <w:rsid w:val="00C43BEE"/>
    <w:rsid w:val="00C443AE"/>
    <w:rsid w:val="00C44AE3"/>
    <w:rsid w:val="00C44CF6"/>
    <w:rsid w:val="00C451DC"/>
    <w:rsid w:val="00C461B4"/>
    <w:rsid w:val="00C471D1"/>
    <w:rsid w:val="00C50925"/>
    <w:rsid w:val="00C50AC3"/>
    <w:rsid w:val="00C51011"/>
    <w:rsid w:val="00C5133F"/>
    <w:rsid w:val="00C5149E"/>
    <w:rsid w:val="00C5174A"/>
    <w:rsid w:val="00C519ED"/>
    <w:rsid w:val="00C51F57"/>
    <w:rsid w:val="00C51F6A"/>
    <w:rsid w:val="00C528A3"/>
    <w:rsid w:val="00C529E9"/>
    <w:rsid w:val="00C536FF"/>
    <w:rsid w:val="00C54308"/>
    <w:rsid w:val="00C54748"/>
    <w:rsid w:val="00C54D9F"/>
    <w:rsid w:val="00C55136"/>
    <w:rsid w:val="00C55203"/>
    <w:rsid w:val="00C55C85"/>
    <w:rsid w:val="00C55E76"/>
    <w:rsid w:val="00C55E9D"/>
    <w:rsid w:val="00C560AC"/>
    <w:rsid w:val="00C56170"/>
    <w:rsid w:val="00C566C9"/>
    <w:rsid w:val="00C56B32"/>
    <w:rsid w:val="00C56DE3"/>
    <w:rsid w:val="00C5781C"/>
    <w:rsid w:val="00C57A2C"/>
    <w:rsid w:val="00C60036"/>
    <w:rsid w:val="00C60107"/>
    <w:rsid w:val="00C60343"/>
    <w:rsid w:val="00C60575"/>
    <w:rsid w:val="00C6082C"/>
    <w:rsid w:val="00C60FC2"/>
    <w:rsid w:val="00C61067"/>
    <w:rsid w:val="00C611D2"/>
    <w:rsid w:val="00C61D35"/>
    <w:rsid w:val="00C61D97"/>
    <w:rsid w:val="00C62087"/>
    <w:rsid w:val="00C62CCC"/>
    <w:rsid w:val="00C63652"/>
    <w:rsid w:val="00C63B25"/>
    <w:rsid w:val="00C649EC"/>
    <w:rsid w:val="00C64A1D"/>
    <w:rsid w:val="00C6547E"/>
    <w:rsid w:val="00C656B2"/>
    <w:rsid w:val="00C65B74"/>
    <w:rsid w:val="00C65C24"/>
    <w:rsid w:val="00C65DE4"/>
    <w:rsid w:val="00C663F4"/>
    <w:rsid w:val="00C666AF"/>
    <w:rsid w:val="00C667F9"/>
    <w:rsid w:val="00C66A8B"/>
    <w:rsid w:val="00C66D91"/>
    <w:rsid w:val="00C66E72"/>
    <w:rsid w:val="00C70098"/>
    <w:rsid w:val="00C70836"/>
    <w:rsid w:val="00C70B68"/>
    <w:rsid w:val="00C715CA"/>
    <w:rsid w:val="00C7163A"/>
    <w:rsid w:val="00C71769"/>
    <w:rsid w:val="00C725B3"/>
    <w:rsid w:val="00C72E74"/>
    <w:rsid w:val="00C730F7"/>
    <w:rsid w:val="00C736AC"/>
    <w:rsid w:val="00C7387B"/>
    <w:rsid w:val="00C7482D"/>
    <w:rsid w:val="00C7539F"/>
    <w:rsid w:val="00C763BF"/>
    <w:rsid w:val="00C76689"/>
    <w:rsid w:val="00C77913"/>
    <w:rsid w:val="00C77D31"/>
    <w:rsid w:val="00C8012C"/>
    <w:rsid w:val="00C80B04"/>
    <w:rsid w:val="00C81743"/>
    <w:rsid w:val="00C81E12"/>
    <w:rsid w:val="00C8228C"/>
    <w:rsid w:val="00C82867"/>
    <w:rsid w:val="00C83188"/>
    <w:rsid w:val="00C83A4E"/>
    <w:rsid w:val="00C83AAE"/>
    <w:rsid w:val="00C83E02"/>
    <w:rsid w:val="00C83E46"/>
    <w:rsid w:val="00C84297"/>
    <w:rsid w:val="00C8453A"/>
    <w:rsid w:val="00C85149"/>
    <w:rsid w:val="00C854D4"/>
    <w:rsid w:val="00C86071"/>
    <w:rsid w:val="00C872B7"/>
    <w:rsid w:val="00C874BD"/>
    <w:rsid w:val="00C87626"/>
    <w:rsid w:val="00C90556"/>
    <w:rsid w:val="00C90821"/>
    <w:rsid w:val="00C90D8A"/>
    <w:rsid w:val="00C9103B"/>
    <w:rsid w:val="00C9121E"/>
    <w:rsid w:val="00C91638"/>
    <w:rsid w:val="00C91A17"/>
    <w:rsid w:val="00C91A23"/>
    <w:rsid w:val="00C924D0"/>
    <w:rsid w:val="00C92B26"/>
    <w:rsid w:val="00C92D39"/>
    <w:rsid w:val="00C93202"/>
    <w:rsid w:val="00C9338B"/>
    <w:rsid w:val="00C93A6C"/>
    <w:rsid w:val="00C93A9B"/>
    <w:rsid w:val="00C93C93"/>
    <w:rsid w:val="00C93F0B"/>
    <w:rsid w:val="00C94A82"/>
    <w:rsid w:val="00C94BE4"/>
    <w:rsid w:val="00C94E9E"/>
    <w:rsid w:val="00C9568C"/>
    <w:rsid w:val="00C95912"/>
    <w:rsid w:val="00C960AC"/>
    <w:rsid w:val="00C961E1"/>
    <w:rsid w:val="00C97110"/>
    <w:rsid w:val="00C97D55"/>
    <w:rsid w:val="00CA009E"/>
    <w:rsid w:val="00CA06EB"/>
    <w:rsid w:val="00CA07A4"/>
    <w:rsid w:val="00CA09A1"/>
    <w:rsid w:val="00CA0D78"/>
    <w:rsid w:val="00CA17C3"/>
    <w:rsid w:val="00CA1C94"/>
    <w:rsid w:val="00CA1D4E"/>
    <w:rsid w:val="00CA1FE0"/>
    <w:rsid w:val="00CA301A"/>
    <w:rsid w:val="00CA448C"/>
    <w:rsid w:val="00CA46D9"/>
    <w:rsid w:val="00CA4855"/>
    <w:rsid w:val="00CA4B9C"/>
    <w:rsid w:val="00CA514C"/>
    <w:rsid w:val="00CA579C"/>
    <w:rsid w:val="00CA5D90"/>
    <w:rsid w:val="00CA6F48"/>
    <w:rsid w:val="00CA701D"/>
    <w:rsid w:val="00CA7179"/>
    <w:rsid w:val="00CB0117"/>
    <w:rsid w:val="00CB0A75"/>
    <w:rsid w:val="00CB0C28"/>
    <w:rsid w:val="00CB197A"/>
    <w:rsid w:val="00CB20C3"/>
    <w:rsid w:val="00CB2389"/>
    <w:rsid w:val="00CB24F1"/>
    <w:rsid w:val="00CB24FE"/>
    <w:rsid w:val="00CB2C9B"/>
    <w:rsid w:val="00CB338D"/>
    <w:rsid w:val="00CB3448"/>
    <w:rsid w:val="00CB3EDE"/>
    <w:rsid w:val="00CB3FF1"/>
    <w:rsid w:val="00CB4038"/>
    <w:rsid w:val="00CB4068"/>
    <w:rsid w:val="00CB51DA"/>
    <w:rsid w:val="00CB5202"/>
    <w:rsid w:val="00CB623A"/>
    <w:rsid w:val="00CB638F"/>
    <w:rsid w:val="00CB6BC4"/>
    <w:rsid w:val="00CB6C20"/>
    <w:rsid w:val="00CB6C31"/>
    <w:rsid w:val="00CB6DDE"/>
    <w:rsid w:val="00CB74BF"/>
    <w:rsid w:val="00CB7593"/>
    <w:rsid w:val="00CB7B36"/>
    <w:rsid w:val="00CB7B86"/>
    <w:rsid w:val="00CB7BA5"/>
    <w:rsid w:val="00CC037D"/>
    <w:rsid w:val="00CC05F2"/>
    <w:rsid w:val="00CC099D"/>
    <w:rsid w:val="00CC0CA7"/>
    <w:rsid w:val="00CC207A"/>
    <w:rsid w:val="00CC2125"/>
    <w:rsid w:val="00CC2AA0"/>
    <w:rsid w:val="00CC3000"/>
    <w:rsid w:val="00CC3422"/>
    <w:rsid w:val="00CC369F"/>
    <w:rsid w:val="00CC38C9"/>
    <w:rsid w:val="00CC427A"/>
    <w:rsid w:val="00CC427D"/>
    <w:rsid w:val="00CC49BA"/>
    <w:rsid w:val="00CC4DA3"/>
    <w:rsid w:val="00CC4EC4"/>
    <w:rsid w:val="00CC4EF5"/>
    <w:rsid w:val="00CC58BA"/>
    <w:rsid w:val="00CC59B2"/>
    <w:rsid w:val="00CC5DFB"/>
    <w:rsid w:val="00CC61C4"/>
    <w:rsid w:val="00CC6422"/>
    <w:rsid w:val="00CC662A"/>
    <w:rsid w:val="00CC6A83"/>
    <w:rsid w:val="00CC6B9B"/>
    <w:rsid w:val="00CC6C78"/>
    <w:rsid w:val="00CC73ED"/>
    <w:rsid w:val="00CD1040"/>
    <w:rsid w:val="00CD117B"/>
    <w:rsid w:val="00CD1244"/>
    <w:rsid w:val="00CD1405"/>
    <w:rsid w:val="00CD1440"/>
    <w:rsid w:val="00CD1ABE"/>
    <w:rsid w:val="00CD1E16"/>
    <w:rsid w:val="00CD22F5"/>
    <w:rsid w:val="00CD29D7"/>
    <w:rsid w:val="00CD2E71"/>
    <w:rsid w:val="00CD3338"/>
    <w:rsid w:val="00CD3490"/>
    <w:rsid w:val="00CD389D"/>
    <w:rsid w:val="00CD38EC"/>
    <w:rsid w:val="00CD39A0"/>
    <w:rsid w:val="00CD3F72"/>
    <w:rsid w:val="00CD41D1"/>
    <w:rsid w:val="00CD450F"/>
    <w:rsid w:val="00CD4516"/>
    <w:rsid w:val="00CD58FD"/>
    <w:rsid w:val="00CD5AF8"/>
    <w:rsid w:val="00CD5C14"/>
    <w:rsid w:val="00CD61B6"/>
    <w:rsid w:val="00CD6551"/>
    <w:rsid w:val="00CD70D5"/>
    <w:rsid w:val="00CD727A"/>
    <w:rsid w:val="00CD7A1C"/>
    <w:rsid w:val="00CE016B"/>
    <w:rsid w:val="00CE0764"/>
    <w:rsid w:val="00CE0EE5"/>
    <w:rsid w:val="00CE0F18"/>
    <w:rsid w:val="00CE16D4"/>
    <w:rsid w:val="00CE1ED0"/>
    <w:rsid w:val="00CE206D"/>
    <w:rsid w:val="00CE2DF2"/>
    <w:rsid w:val="00CE3403"/>
    <w:rsid w:val="00CE3499"/>
    <w:rsid w:val="00CE3511"/>
    <w:rsid w:val="00CE3B28"/>
    <w:rsid w:val="00CE3E63"/>
    <w:rsid w:val="00CE4078"/>
    <w:rsid w:val="00CE5035"/>
    <w:rsid w:val="00CE5713"/>
    <w:rsid w:val="00CE605F"/>
    <w:rsid w:val="00CE6D10"/>
    <w:rsid w:val="00CE6F38"/>
    <w:rsid w:val="00CE7F74"/>
    <w:rsid w:val="00CF060E"/>
    <w:rsid w:val="00CF073E"/>
    <w:rsid w:val="00CF0CFD"/>
    <w:rsid w:val="00CF168B"/>
    <w:rsid w:val="00CF2129"/>
    <w:rsid w:val="00CF23DC"/>
    <w:rsid w:val="00CF25B3"/>
    <w:rsid w:val="00CF2C59"/>
    <w:rsid w:val="00CF356F"/>
    <w:rsid w:val="00CF36E4"/>
    <w:rsid w:val="00CF40F0"/>
    <w:rsid w:val="00CF4410"/>
    <w:rsid w:val="00CF458B"/>
    <w:rsid w:val="00CF45E4"/>
    <w:rsid w:val="00CF52CF"/>
    <w:rsid w:val="00CF55F4"/>
    <w:rsid w:val="00CF5A5F"/>
    <w:rsid w:val="00CF61E0"/>
    <w:rsid w:val="00CF66B5"/>
    <w:rsid w:val="00CF78D9"/>
    <w:rsid w:val="00CF7E3D"/>
    <w:rsid w:val="00CF7E7B"/>
    <w:rsid w:val="00D01A5F"/>
    <w:rsid w:val="00D01C83"/>
    <w:rsid w:val="00D0304C"/>
    <w:rsid w:val="00D031A2"/>
    <w:rsid w:val="00D03307"/>
    <w:rsid w:val="00D03674"/>
    <w:rsid w:val="00D0391B"/>
    <w:rsid w:val="00D03B6A"/>
    <w:rsid w:val="00D03B95"/>
    <w:rsid w:val="00D03E78"/>
    <w:rsid w:val="00D03EC6"/>
    <w:rsid w:val="00D03F98"/>
    <w:rsid w:val="00D03FD9"/>
    <w:rsid w:val="00D04845"/>
    <w:rsid w:val="00D0528E"/>
    <w:rsid w:val="00D055F3"/>
    <w:rsid w:val="00D055F7"/>
    <w:rsid w:val="00D05AF7"/>
    <w:rsid w:val="00D05CA3"/>
    <w:rsid w:val="00D06A3C"/>
    <w:rsid w:val="00D06DB7"/>
    <w:rsid w:val="00D06EF2"/>
    <w:rsid w:val="00D072F8"/>
    <w:rsid w:val="00D100A6"/>
    <w:rsid w:val="00D1024A"/>
    <w:rsid w:val="00D10285"/>
    <w:rsid w:val="00D1030D"/>
    <w:rsid w:val="00D10804"/>
    <w:rsid w:val="00D108CB"/>
    <w:rsid w:val="00D10940"/>
    <w:rsid w:val="00D10BFD"/>
    <w:rsid w:val="00D11300"/>
    <w:rsid w:val="00D113E4"/>
    <w:rsid w:val="00D11AED"/>
    <w:rsid w:val="00D11D8A"/>
    <w:rsid w:val="00D13496"/>
    <w:rsid w:val="00D13F16"/>
    <w:rsid w:val="00D143F4"/>
    <w:rsid w:val="00D14713"/>
    <w:rsid w:val="00D14828"/>
    <w:rsid w:val="00D14C53"/>
    <w:rsid w:val="00D14CB2"/>
    <w:rsid w:val="00D151D9"/>
    <w:rsid w:val="00D1521A"/>
    <w:rsid w:val="00D162CB"/>
    <w:rsid w:val="00D16335"/>
    <w:rsid w:val="00D16538"/>
    <w:rsid w:val="00D16774"/>
    <w:rsid w:val="00D170F3"/>
    <w:rsid w:val="00D1789D"/>
    <w:rsid w:val="00D2001A"/>
    <w:rsid w:val="00D2082B"/>
    <w:rsid w:val="00D21255"/>
    <w:rsid w:val="00D21437"/>
    <w:rsid w:val="00D2184F"/>
    <w:rsid w:val="00D21A50"/>
    <w:rsid w:val="00D21BD3"/>
    <w:rsid w:val="00D226D7"/>
    <w:rsid w:val="00D2286F"/>
    <w:rsid w:val="00D23360"/>
    <w:rsid w:val="00D233B9"/>
    <w:rsid w:val="00D238D9"/>
    <w:rsid w:val="00D23F1C"/>
    <w:rsid w:val="00D243DE"/>
    <w:rsid w:val="00D243E1"/>
    <w:rsid w:val="00D247D9"/>
    <w:rsid w:val="00D2562E"/>
    <w:rsid w:val="00D256D8"/>
    <w:rsid w:val="00D25C95"/>
    <w:rsid w:val="00D25CBB"/>
    <w:rsid w:val="00D26740"/>
    <w:rsid w:val="00D2709C"/>
    <w:rsid w:val="00D27325"/>
    <w:rsid w:val="00D3014C"/>
    <w:rsid w:val="00D305A7"/>
    <w:rsid w:val="00D305DF"/>
    <w:rsid w:val="00D30727"/>
    <w:rsid w:val="00D30FEB"/>
    <w:rsid w:val="00D313B8"/>
    <w:rsid w:val="00D31B3B"/>
    <w:rsid w:val="00D31B8C"/>
    <w:rsid w:val="00D31F8D"/>
    <w:rsid w:val="00D326A8"/>
    <w:rsid w:val="00D330BC"/>
    <w:rsid w:val="00D3373E"/>
    <w:rsid w:val="00D343FA"/>
    <w:rsid w:val="00D345EA"/>
    <w:rsid w:val="00D347B5"/>
    <w:rsid w:val="00D3496A"/>
    <w:rsid w:val="00D34D98"/>
    <w:rsid w:val="00D356AA"/>
    <w:rsid w:val="00D3670B"/>
    <w:rsid w:val="00D3721A"/>
    <w:rsid w:val="00D373A0"/>
    <w:rsid w:val="00D37692"/>
    <w:rsid w:val="00D37E48"/>
    <w:rsid w:val="00D40478"/>
    <w:rsid w:val="00D405F6"/>
    <w:rsid w:val="00D41723"/>
    <w:rsid w:val="00D418FF"/>
    <w:rsid w:val="00D41BE1"/>
    <w:rsid w:val="00D41DC5"/>
    <w:rsid w:val="00D41FD9"/>
    <w:rsid w:val="00D4240C"/>
    <w:rsid w:val="00D42D8E"/>
    <w:rsid w:val="00D43F06"/>
    <w:rsid w:val="00D44421"/>
    <w:rsid w:val="00D4463B"/>
    <w:rsid w:val="00D44F5A"/>
    <w:rsid w:val="00D45271"/>
    <w:rsid w:val="00D452BA"/>
    <w:rsid w:val="00D45685"/>
    <w:rsid w:val="00D45884"/>
    <w:rsid w:val="00D45A22"/>
    <w:rsid w:val="00D45C4C"/>
    <w:rsid w:val="00D46430"/>
    <w:rsid w:val="00D4673F"/>
    <w:rsid w:val="00D471F1"/>
    <w:rsid w:val="00D4772D"/>
    <w:rsid w:val="00D4776F"/>
    <w:rsid w:val="00D510C3"/>
    <w:rsid w:val="00D5117B"/>
    <w:rsid w:val="00D51230"/>
    <w:rsid w:val="00D5126A"/>
    <w:rsid w:val="00D515AD"/>
    <w:rsid w:val="00D516BF"/>
    <w:rsid w:val="00D517AF"/>
    <w:rsid w:val="00D51D92"/>
    <w:rsid w:val="00D51DA0"/>
    <w:rsid w:val="00D51EE0"/>
    <w:rsid w:val="00D52941"/>
    <w:rsid w:val="00D55938"/>
    <w:rsid w:val="00D559FA"/>
    <w:rsid w:val="00D55CCF"/>
    <w:rsid w:val="00D56893"/>
    <w:rsid w:val="00D56CD2"/>
    <w:rsid w:val="00D56E7C"/>
    <w:rsid w:val="00D579E8"/>
    <w:rsid w:val="00D60241"/>
    <w:rsid w:val="00D6053E"/>
    <w:rsid w:val="00D60945"/>
    <w:rsid w:val="00D60ED1"/>
    <w:rsid w:val="00D61574"/>
    <w:rsid w:val="00D62ABC"/>
    <w:rsid w:val="00D63083"/>
    <w:rsid w:val="00D6363B"/>
    <w:rsid w:val="00D638AB"/>
    <w:rsid w:val="00D64487"/>
    <w:rsid w:val="00D650C1"/>
    <w:rsid w:val="00D65488"/>
    <w:rsid w:val="00D65C76"/>
    <w:rsid w:val="00D65EC9"/>
    <w:rsid w:val="00D66AD7"/>
    <w:rsid w:val="00D66EEC"/>
    <w:rsid w:val="00D67B02"/>
    <w:rsid w:val="00D67B5B"/>
    <w:rsid w:val="00D67EB4"/>
    <w:rsid w:val="00D70581"/>
    <w:rsid w:val="00D708F3"/>
    <w:rsid w:val="00D70CF6"/>
    <w:rsid w:val="00D72081"/>
    <w:rsid w:val="00D725FC"/>
    <w:rsid w:val="00D734C7"/>
    <w:rsid w:val="00D73CC5"/>
    <w:rsid w:val="00D73E86"/>
    <w:rsid w:val="00D74C92"/>
    <w:rsid w:val="00D7513F"/>
    <w:rsid w:val="00D7534E"/>
    <w:rsid w:val="00D7542B"/>
    <w:rsid w:val="00D75E27"/>
    <w:rsid w:val="00D7604D"/>
    <w:rsid w:val="00D76408"/>
    <w:rsid w:val="00D76933"/>
    <w:rsid w:val="00D777A2"/>
    <w:rsid w:val="00D779E0"/>
    <w:rsid w:val="00D77E18"/>
    <w:rsid w:val="00D77FC7"/>
    <w:rsid w:val="00D802A3"/>
    <w:rsid w:val="00D80FE0"/>
    <w:rsid w:val="00D81456"/>
    <w:rsid w:val="00D81F1D"/>
    <w:rsid w:val="00D822CE"/>
    <w:rsid w:val="00D827ED"/>
    <w:rsid w:val="00D82BAC"/>
    <w:rsid w:val="00D8309C"/>
    <w:rsid w:val="00D83223"/>
    <w:rsid w:val="00D83327"/>
    <w:rsid w:val="00D8351F"/>
    <w:rsid w:val="00D839EF"/>
    <w:rsid w:val="00D840A1"/>
    <w:rsid w:val="00D84105"/>
    <w:rsid w:val="00D84817"/>
    <w:rsid w:val="00D848DE"/>
    <w:rsid w:val="00D84B84"/>
    <w:rsid w:val="00D84C46"/>
    <w:rsid w:val="00D85920"/>
    <w:rsid w:val="00D8594D"/>
    <w:rsid w:val="00D85EE4"/>
    <w:rsid w:val="00D85FFB"/>
    <w:rsid w:val="00D863CB"/>
    <w:rsid w:val="00D8674A"/>
    <w:rsid w:val="00D86917"/>
    <w:rsid w:val="00D870B9"/>
    <w:rsid w:val="00D8714D"/>
    <w:rsid w:val="00D90B65"/>
    <w:rsid w:val="00D90CAE"/>
    <w:rsid w:val="00D90E9D"/>
    <w:rsid w:val="00D91B7D"/>
    <w:rsid w:val="00D9321B"/>
    <w:rsid w:val="00D938CB"/>
    <w:rsid w:val="00D93916"/>
    <w:rsid w:val="00D93B9C"/>
    <w:rsid w:val="00D94B8E"/>
    <w:rsid w:val="00D95D2E"/>
    <w:rsid w:val="00D962D3"/>
    <w:rsid w:val="00D9634E"/>
    <w:rsid w:val="00D96871"/>
    <w:rsid w:val="00D9756E"/>
    <w:rsid w:val="00D97BBF"/>
    <w:rsid w:val="00D97C94"/>
    <w:rsid w:val="00DA0729"/>
    <w:rsid w:val="00DA08D5"/>
    <w:rsid w:val="00DA1555"/>
    <w:rsid w:val="00DA1D32"/>
    <w:rsid w:val="00DA1D34"/>
    <w:rsid w:val="00DA2BEF"/>
    <w:rsid w:val="00DA2F73"/>
    <w:rsid w:val="00DA3C00"/>
    <w:rsid w:val="00DA4679"/>
    <w:rsid w:val="00DA4B7C"/>
    <w:rsid w:val="00DA4D03"/>
    <w:rsid w:val="00DA50B4"/>
    <w:rsid w:val="00DA5167"/>
    <w:rsid w:val="00DA5339"/>
    <w:rsid w:val="00DA5BC2"/>
    <w:rsid w:val="00DA6AD2"/>
    <w:rsid w:val="00DA6C76"/>
    <w:rsid w:val="00DA72B2"/>
    <w:rsid w:val="00DA7A2F"/>
    <w:rsid w:val="00DA7A55"/>
    <w:rsid w:val="00DA7A8A"/>
    <w:rsid w:val="00DA7F39"/>
    <w:rsid w:val="00DB0B7E"/>
    <w:rsid w:val="00DB18DA"/>
    <w:rsid w:val="00DB1C36"/>
    <w:rsid w:val="00DB1C97"/>
    <w:rsid w:val="00DB1E07"/>
    <w:rsid w:val="00DB1F4A"/>
    <w:rsid w:val="00DB1F65"/>
    <w:rsid w:val="00DB24D8"/>
    <w:rsid w:val="00DB3655"/>
    <w:rsid w:val="00DB377B"/>
    <w:rsid w:val="00DB37D6"/>
    <w:rsid w:val="00DB3827"/>
    <w:rsid w:val="00DB3959"/>
    <w:rsid w:val="00DB413D"/>
    <w:rsid w:val="00DB4983"/>
    <w:rsid w:val="00DB5344"/>
    <w:rsid w:val="00DB5473"/>
    <w:rsid w:val="00DB55D2"/>
    <w:rsid w:val="00DB57F9"/>
    <w:rsid w:val="00DB5805"/>
    <w:rsid w:val="00DB5AD6"/>
    <w:rsid w:val="00DB5FFE"/>
    <w:rsid w:val="00DB63C1"/>
    <w:rsid w:val="00DB7028"/>
    <w:rsid w:val="00DB79BA"/>
    <w:rsid w:val="00DB7AEC"/>
    <w:rsid w:val="00DB7F5A"/>
    <w:rsid w:val="00DC0124"/>
    <w:rsid w:val="00DC024A"/>
    <w:rsid w:val="00DC0360"/>
    <w:rsid w:val="00DC03CC"/>
    <w:rsid w:val="00DC08D5"/>
    <w:rsid w:val="00DC0B1C"/>
    <w:rsid w:val="00DC1363"/>
    <w:rsid w:val="00DC13D9"/>
    <w:rsid w:val="00DC1BB1"/>
    <w:rsid w:val="00DC1FCA"/>
    <w:rsid w:val="00DC203D"/>
    <w:rsid w:val="00DC2304"/>
    <w:rsid w:val="00DC2C2C"/>
    <w:rsid w:val="00DC2FBA"/>
    <w:rsid w:val="00DC307B"/>
    <w:rsid w:val="00DC30C6"/>
    <w:rsid w:val="00DC343B"/>
    <w:rsid w:val="00DC44E5"/>
    <w:rsid w:val="00DC462F"/>
    <w:rsid w:val="00DC469D"/>
    <w:rsid w:val="00DC499A"/>
    <w:rsid w:val="00DC536B"/>
    <w:rsid w:val="00DC5818"/>
    <w:rsid w:val="00DC5820"/>
    <w:rsid w:val="00DC6096"/>
    <w:rsid w:val="00DC6307"/>
    <w:rsid w:val="00DC634B"/>
    <w:rsid w:val="00DC7723"/>
    <w:rsid w:val="00DD010D"/>
    <w:rsid w:val="00DD1D1E"/>
    <w:rsid w:val="00DD214A"/>
    <w:rsid w:val="00DD21B6"/>
    <w:rsid w:val="00DD2374"/>
    <w:rsid w:val="00DD2927"/>
    <w:rsid w:val="00DD2C53"/>
    <w:rsid w:val="00DD398D"/>
    <w:rsid w:val="00DD4C1F"/>
    <w:rsid w:val="00DD4E0C"/>
    <w:rsid w:val="00DD5A9C"/>
    <w:rsid w:val="00DD604A"/>
    <w:rsid w:val="00DD6085"/>
    <w:rsid w:val="00DD69A5"/>
    <w:rsid w:val="00DD6A12"/>
    <w:rsid w:val="00DD6A21"/>
    <w:rsid w:val="00DD6EAF"/>
    <w:rsid w:val="00DD724B"/>
    <w:rsid w:val="00DD7362"/>
    <w:rsid w:val="00DD751C"/>
    <w:rsid w:val="00DD7BAE"/>
    <w:rsid w:val="00DD7FC7"/>
    <w:rsid w:val="00DE12C4"/>
    <w:rsid w:val="00DE18A7"/>
    <w:rsid w:val="00DE2123"/>
    <w:rsid w:val="00DE213C"/>
    <w:rsid w:val="00DE21E1"/>
    <w:rsid w:val="00DE2D29"/>
    <w:rsid w:val="00DE2EFB"/>
    <w:rsid w:val="00DE3410"/>
    <w:rsid w:val="00DE42D0"/>
    <w:rsid w:val="00DE587C"/>
    <w:rsid w:val="00DE60CA"/>
    <w:rsid w:val="00DE646C"/>
    <w:rsid w:val="00DE7E93"/>
    <w:rsid w:val="00DF01B6"/>
    <w:rsid w:val="00DF085E"/>
    <w:rsid w:val="00DF0A94"/>
    <w:rsid w:val="00DF0C67"/>
    <w:rsid w:val="00DF1439"/>
    <w:rsid w:val="00DF1658"/>
    <w:rsid w:val="00DF2688"/>
    <w:rsid w:val="00DF28F1"/>
    <w:rsid w:val="00DF36C0"/>
    <w:rsid w:val="00DF3833"/>
    <w:rsid w:val="00DF3996"/>
    <w:rsid w:val="00DF4593"/>
    <w:rsid w:val="00DF47BB"/>
    <w:rsid w:val="00DF487B"/>
    <w:rsid w:val="00DF54DD"/>
    <w:rsid w:val="00DF5C01"/>
    <w:rsid w:val="00DF60F9"/>
    <w:rsid w:val="00DF6121"/>
    <w:rsid w:val="00DF6211"/>
    <w:rsid w:val="00DF6597"/>
    <w:rsid w:val="00DF6C20"/>
    <w:rsid w:val="00DF6C26"/>
    <w:rsid w:val="00E00123"/>
    <w:rsid w:val="00E00328"/>
    <w:rsid w:val="00E0048A"/>
    <w:rsid w:val="00E01235"/>
    <w:rsid w:val="00E01236"/>
    <w:rsid w:val="00E01296"/>
    <w:rsid w:val="00E01A1A"/>
    <w:rsid w:val="00E01C92"/>
    <w:rsid w:val="00E02337"/>
    <w:rsid w:val="00E02517"/>
    <w:rsid w:val="00E02F66"/>
    <w:rsid w:val="00E036B4"/>
    <w:rsid w:val="00E04132"/>
    <w:rsid w:val="00E04745"/>
    <w:rsid w:val="00E04A49"/>
    <w:rsid w:val="00E04E1A"/>
    <w:rsid w:val="00E04EF8"/>
    <w:rsid w:val="00E0555E"/>
    <w:rsid w:val="00E0586C"/>
    <w:rsid w:val="00E05C6D"/>
    <w:rsid w:val="00E067DC"/>
    <w:rsid w:val="00E06A4D"/>
    <w:rsid w:val="00E07080"/>
    <w:rsid w:val="00E0730A"/>
    <w:rsid w:val="00E10288"/>
    <w:rsid w:val="00E10775"/>
    <w:rsid w:val="00E10E38"/>
    <w:rsid w:val="00E11326"/>
    <w:rsid w:val="00E1151F"/>
    <w:rsid w:val="00E12136"/>
    <w:rsid w:val="00E1290D"/>
    <w:rsid w:val="00E12A41"/>
    <w:rsid w:val="00E12A4D"/>
    <w:rsid w:val="00E12A85"/>
    <w:rsid w:val="00E12BFE"/>
    <w:rsid w:val="00E13457"/>
    <w:rsid w:val="00E13831"/>
    <w:rsid w:val="00E1388C"/>
    <w:rsid w:val="00E13E40"/>
    <w:rsid w:val="00E143A3"/>
    <w:rsid w:val="00E14833"/>
    <w:rsid w:val="00E14A1E"/>
    <w:rsid w:val="00E14CB4"/>
    <w:rsid w:val="00E14DE0"/>
    <w:rsid w:val="00E15385"/>
    <w:rsid w:val="00E15CD4"/>
    <w:rsid w:val="00E15D39"/>
    <w:rsid w:val="00E15D3B"/>
    <w:rsid w:val="00E160F2"/>
    <w:rsid w:val="00E163E1"/>
    <w:rsid w:val="00E1675F"/>
    <w:rsid w:val="00E16DDD"/>
    <w:rsid w:val="00E1709D"/>
    <w:rsid w:val="00E17D90"/>
    <w:rsid w:val="00E17E52"/>
    <w:rsid w:val="00E2049D"/>
    <w:rsid w:val="00E20963"/>
    <w:rsid w:val="00E20CD6"/>
    <w:rsid w:val="00E20D21"/>
    <w:rsid w:val="00E2119A"/>
    <w:rsid w:val="00E21397"/>
    <w:rsid w:val="00E21CA0"/>
    <w:rsid w:val="00E21EE4"/>
    <w:rsid w:val="00E2207F"/>
    <w:rsid w:val="00E22363"/>
    <w:rsid w:val="00E22D4F"/>
    <w:rsid w:val="00E22F0D"/>
    <w:rsid w:val="00E2339A"/>
    <w:rsid w:val="00E23DB3"/>
    <w:rsid w:val="00E23F06"/>
    <w:rsid w:val="00E2430F"/>
    <w:rsid w:val="00E24FA3"/>
    <w:rsid w:val="00E25CB3"/>
    <w:rsid w:val="00E2634D"/>
    <w:rsid w:val="00E264A5"/>
    <w:rsid w:val="00E26767"/>
    <w:rsid w:val="00E26B28"/>
    <w:rsid w:val="00E26F75"/>
    <w:rsid w:val="00E273EB"/>
    <w:rsid w:val="00E27962"/>
    <w:rsid w:val="00E27973"/>
    <w:rsid w:val="00E2798C"/>
    <w:rsid w:val="00E27C2B"/>
    <w:rsid w:val="00E30BD2"/>
    <w:rsid w:val="00E30DE2"/>
    <w:rsid w:val="00E31465"/>
    <w:rsid w:val="00E31F49"/>
    <w:rsid w:val="00E328CD"/>
    <w:rsid w:val="00E328F8"/>
    <w:rsid w:val="00E32AA6"/>
    <w:rsid w:val="00E32C76"/>
    <w:rsid w:val="00E32E91"/>
    <w:rsid w:val="00E336DE"/>
    <w:rsid w:val="00E339F0"/>
    <w:rsid w:val="00E33CBF"/>
    <w:rsid w:val="00E3453F"/>
    <w:rsid w:val="00E3489E"/>
    <w:rsid w:val="00E3546C"/>
    <w:rsid w:val="00E35BFD"/>
    <w:rsid w:val="00E35C88"/>
    <w:rsid w:val="00E36137"/>
    <w:rsid w:val="00E362F0"/>
    <w:rsid w:val="00E364E1"/>
    <w:rsid w:val="00E365F4"/>
    <w:rsid w:val="00E366AD"/>
    <w:rsid w:val="00E36B95"/>
    <w:rsid w:val="00E371BA"/>
    <w:rsid w:val="00E3776D"/>
    <w:rsid w:val="00E377D0"/>
    <w:rsid w:val="00E4003F"/>
    <w:rsid w:val="00E4045C"/>
    <w:rsid w:val="00E408D6"/>
    <w:rsid w:val="00E409E8"/>
    <w:rsid w:val="00E40CBD"/>
    <w:rsid w:val="00E40FCE"/>
    <w:rsid w:val="00E41855"/>
    <w:rsid w:val="00E421BF"/>
    <w:rsid w:val="00E424BF"/>
    <w:rsid w:val="00E42A0C"/>
    <w:rsid w:val="00E433B6"/>
    <w:rsid w:val="00E43713"/>
    <w:rsid w:val="00E44115"/>
    <w:rsid w:val="00E447B7"/>
    <w:rsid w:val="00E44FA0"/>
    <w:rsid w:val="00E458F6"/>
    <w:rsid w:val="00E45954"/>
    <w:rsid w:val="00E459CC"/>
    <w:rsid w:val="00E45DEE"/>
    <w:rsid w:val="00E461F8"/>
    <w:rsid w:val="00E46704"/>
    <w:rsid w:val="00E46E77"/>
    <w:rsid w:val="00E47961"/>
    <w:rsid w:val="00E47EC1"/>
    <w:rsid w:val="00E501C8"/>
    <w:rsid w:val="00E501F3"/>
    <w:rsid w:val="00E5036F"/>
    <w:rsid w:val="00E50F58"/>
    <w:rsid w:val="00E51773"/>
    <w:rsid w:val="00E51A66"/>
    <w:rsid w:val="00E52E47"/>
    <w:rsid w:val="00E53111"/>
    <w:rsid w:val="00E53546"/>
    <w:rsid w:val="00E537EB"/>
    <w:rsid w:val="00E53D94"/>
    <w:rsid w:val="00E540B7"/>
    <w:rsid w:val="00E542C3"/>
    <w:rsid w:val="00E55D1C"/>
    <w:rsid w:val="00E55F24"/>
    <w:rsid w:val="00E560C1"/>
    <w:rsid w:val="00E5618D"/>
    <w:rsid w:val="00E56D62"/>
    <w:rsid w:val="00E57540"/>
    <w:rsid w:val="00E579A2"/>
    <w:rsid w:val="00E60C48"/>
    <w:rsid w:val="00E6117F"/>
    <w:rsid w:val="00E61C98"/>
    <w:rsid w:val="00E631CF"/>
    <w:rsid w:val="00E63B23"/>
    <w:rsid w:val="00E63F0A"/>
    <w:rsid w:val="00E645B3"/>
    <w:rsid w:val="00E6463E"/>
    <w:rsid w:val="00E649D6"/>
    <w:rsid w:val="00E64B4A"/>
    <w:rsid w:val="00E654E2"/>
    <w:rsid w:val="00E655ED"/>
    <w:rsid w:val="00E656C0"/>
    <w:rsid w:val="00E66AC4"/>
    <w:rsid w:val="00E6713A"/>
    <w:rsid w:val="00E671BB"/>
    <w:rsid w:val="00E6724A"/>
    <w:rsid w:val="00E67514"/>
    <w:rsid w:val="00E67524"/>
    <w:rsid w:val="00E67856"/>
    <w:rsid w:val="00E67FB5"/>
    <w:rsid w:val="00E70130"/>
    <w:rsid w:val="00E70E0C"/>
    <w:rsid w:val="00E714EA"/>
    <w:rsid w:val="00E72A91"/>
    <w:rsid w:val="00E72D9B"/>
    <w:rsid w:val="00E72E9F"/>
    <w:rsid w:val="00E74601"/>
    <w:rsid w:val="00E7461F"/>
    <w:rsid w:val="00E75301"/>
    <w:rsid w:val="00E759B7"/>
    <w:rsid w:val="00E75CD0"/>
    <w:rsid w:val="00E75DCF"/>
    <w:rsid w:val="00E76343"/>
    <w:rsid w:val="00E7678B"/>
    <w:rsid w:val="00E767C7"/>
    <w:rsid w:val="00E77672"/>
    <w:rsid w:val="00E779F9"/>
    <w:rsid w:val="00E77DE1"/>
    <w:rsid w:val="00E80354"/>
    <w:rsid w:val="00E80635"/>
    <w:rsid w:val="00E80AB1"/>
    <w:rsid w:val="00E813C8"/>
    <w:rsid w:val="00E81481"/>
    <w:rsid w:val="00E81C40"/>
    <w:rsid w:val="00E81FBD"/>
    <w:rsid w:val="00E82C67"/>
    <w:rsid w:val="00E832D1"/>
    <w:rsid w:val="00E83348"/>
    <w:rsid w:val="00E83999"/>
    <w:rsid w:val="00E83B13"/>
    <w:rsid w:val="00E842E9"/>
    <w:rsid w:val="00E84B82"/>
    <w:rsid w:val="00E8502E"/>
    <w:rsid w:val="00E852AA"/>
    <w:rsid w:val="00E85635"/>
    <w:rsid w:val="00E858C2"/>
    <w:rsid w:val="00E85BCF"/>
    <w:rsid w:val="00E86C6C"/>
    <w:rsid w:val="00E86D39"/>
    <w:rsid w:val="00E86D9D"/>
    <w:rsid w:val="00E86DDC"/>
    <w:rsid w:val="00E8745D"/>
    <w:rsid w:val="00E87586"/>
    <w:rsid w:val="00E87804"/>
    <w:rsid w:val="00E879DA"/>
    <w:rsid w:val="00E905CC"/>
    <w:rsid w:val="00E905D1"/>
    <w:rsid w:val="00E912AD"/>
    <w:rsid w:val="00E9186C"/>
    <w:rsid w:val="00E9249F"/>
    <w:rsid w:val="00E926ED"/>
    <w:rsid w:val="00E927FB"/>
    <w:rsid w:val="00E92ED5"/>
    <w:rsid w:val="00E931ED"/>
    <w:rsid w:val="00E93665"/>
    <w:rsid w:val="00E93A57"/>
    <w:rsid w:val="00E944C2"/>
    <w:rsid w:val="00E94D0F"/>
    <w:rsid w:val="00E94D8D"/>
    <w:rsid w:val="00E94F69"/>
    <w:rsid w:val="00E96269"/>
    <w:rsid w:val="00E96583"/>
    <w:rsid w:val="00E96E44"/>
    <w:rsid w:val="00E97373"/>
    <w:rsid w:val="00E973C1"/>
    <w:rsid w:val="00E97B2A"/>
    <w:rsid w:val="00E97EDA"/>
    <w:rsid w:val="00E97F55"/>
    <w:rsid w:val="00EA07B9"/>
    <w:rsid w:val="00EA0F9A"/>
    <w:rsid w:val="00EA0FCD"/>
    <w:rsid w:val="00EA11B8"/>
    <w:rsid w:val="00EA185F"/>
    <w:rsid w:val="00EA1B85"/>
    <w:rsid w:val="00EA259F"/>
    <w:rsid w:val="00EA3B8B"/>
    <w:rsid w:val="00EA3DA5"/>
    <w:rsid w:val="00EA40D9"/>
    <w:rsid w:val="00EA44D9"/>
    <w:rsid w:val="00EA5CEB"/>
    <w:rsid w:val="00EA5DBF"/>
    <w:rsid w:val="00EA6591"/>
    <w:rsid w:val="00EA6EDB"/>
    <w:rsid w:val="00EA745E"/>
    <w:rsid w:val="00EA7C11"/>
    <w:rsid w:val="00EA7CEE"/>
    <w:rsid w:val="00EA7E1D"/>
    <w:rsid w:val="00EB0638"/>
    <w:rsid w:val="00EB06DA"/>
    <w:rsid w:val="00EB09DE"/>
    <w:rsid w:val="00EB09FB"/>
    <w:rsid w:val="00EB13D6"/>
    <w:rsid w:val="00EB18F2"/>
    <w:rsid w:val="00EB22E9"/>
    <w:rsid w:val="00EB253B"/>
    <w:rsid w:val="00EB25E1"/>
    <w:rsid w:val="00EB30DC"/>
    <w:rsid w:val="00EB3421"/>
    <w:rsid w:val="00EB5433"/>
    <w:rsid w:val="00EB5FD7"/>
    <w:rsid w:val="00EB6917"/>
    <w:rsid w:val="00EB6A76"/>
    <w:rsid w:val="00EB6B89"/>
    <w:rsid w:val="00EB6DEB"/>
    <w:rsid w:val="00EB70A3"/>
    <w:rsid w:val="00EB725F"/>
    <w:rsid w:val="00EB74BB"/>
    <w:rsid w:val="00EB7AAA"/>
    <w:rsid w:val="00EB7ACE"/>
    <w:rsid w:val="00EC0086"/>
    <w:rsid w:val="00EC00AD"/>
    <w:rsid w:val="00EC111D"/>
    <w:rsid w:val="00EC20A7"/>
    <w:rsid w:val="00EC20EF"/>
    <w:rsid w:val="00EC2144"/>
    <w:rsid w:val="00EC22A8"/>
    <w:rsid w:val="00EC22C6"/>
    <w:rsid w:val="00EC2EA7"/>
    <w:rsid w:val="00EC3C12"/>
    <w:rsid w:val="00EC3ED9"/>
    <w:rsid w:val="00EC3F28"/>
    <w:rsid w:val="00EC3FB6"/>
    <w:rsid w:val="00EC44E6"/>
    <w:rsid w:val="00EC4B9C"/>
    <w:rsid w:val="00EC4D2C"/>
    <w:rsid w:val="00EC5046"/>
    <w:rsid w:val="00EC520B"/>
    <w:rsid w:val="00EC5259"/>
    <w:rsid w:val="00EC52C8"/>
    <w:rsid w:val="00EC61B7"/>
    <w:rsid w:val="00EC733E"/>
    <w:rsid w:val="00EC7957"/>
    <w:rsid w:val="00EC7BB1"/>
    <w:rsid w:val="00ED0BA2"/>
    <w:rsid w:val="00ED0D57"/>
    <w:rsid w:val="00ED1409"/>
    <w:rsid w:val="00ED145E"/>
    <w:rsid w:val="00ED1752"/>
    <w:rsid w:val="00ED1B93"/>
    <w:rsid w:val="00ED1B9F"/>
    <w:rsid w:val="00ED1C41"/>
    <w:rsid w:val="00ED23E6"/>
    <w:rsid w:val="00ED2A66"/>
    <w:rsid w:val="00ED2FBA"/>
    <w:rsid w:val="00ED338C"/>
    <w:rsid w:val="00ED41B3"/>
    <w:rsid w:val="00ED4AE7"/>
    <w:rsid w:val="00ED51FF"/>
    <w:rsid w:val="00ED5268"/>
    <w:rsid w:val="00ED53D2"/>
    <w:rsid w:val="00ED623B"/>
    <w:rsid w:val="00ED698F"/>
    <w:rsid w:val="00ED6EDE"/>
    <w:rsid w:val="00ED6F1C"/>
    <w:rsid w:val="00ED7295"/>
    <w:rsid w:val="00ED77FA"/>
    <w:rsid w:val="00ED7E05"/>
    <w:rsid w:val="00ED7FB4"/>
    <w:rsid w:val="00EE05AD"/>
    <w:rsid w:val="00EE0924"/>
    <w:rsid w:val="00EE099B"/>
    <w:rsid w:val="00EE0D0A"/>
    <w:rsid w:val="00EE1074"/>
    <w:rsid w:val="00EE12E9"/>
    <w:rsid w:val="00EE1569"/>
    <w:rsid w:val="00EE1788"/>
    <w:rsid w:val="00EE19C3"/>
    <w:rsid w:val="00EE232D"/>
    <w:rsid w:val="00EE2448"/>
    <w:rsid w:val="00EE24B1"/>
    <w:rsid w:val="00EE2535"/>
    <w:rsid w:val="00EE378C"/>
    <w:rsid w:val="00EE3A85"/>
    <w:rsid w:val="00EE3D97"/>
    <w:rsid w:val="00EE415E"/>
    <w:rsid w:val="00EE4441"/>
    <w:rsid w:val="00EE4AF1"/>
    <w:rsid w:val="00EE4C14"/>
    <w:rsid w:val="00EE5D0C"/>
    <w:rsid w:val="00EE6190"/>
    <w:rsid w:val="00EE6ED3"/>
    <w:rsid w:val="00EE7EA4"/>
    <w:rsid w:val="00EF0839"/>
    <w:rsid w:val="00EF099C"/>
    <w:rsid w:val="00EF0ADD"/>
    <w:rsid w:val="00EF0B8C"/>
    <w:rsid w:val="00EF0F36"/>
    <w:rsid w:val="00EF155E"/>
    <w:rsid w:val="00EF1A67"/>
    <w:rsid w:val="00EF2354"/>
    <w:rsid w:val="00EF2601"/>
    <w:rsid w:val="00EF262A"/>
    <w:rsid w:val="00EF2BCD"/>
    <w:rsid w:val="00EF2C11"/>
    <w:rsid w:val="00EF2EBB"/>
    <w:rsid w:val="00EF30AA"/>
    <w:rsid w:val="00EF3357"/>
    <w:rsid w:val="00EF34BF"/>
    <w:rsid w:val="00EF368D"/>
    <w:rsid w:val="00EF37B9"/>
    <w:rsid w:val="00EF3B7F"/>
    <w:rsid w:val="00EF3D56"/>
    <w:rsid w:val="00EF40B2"/>
    <w:rsid w:val="00EF43C0"/>
    <w:rsid w:val="00EF46A9"/>
    <w:rsid w:val="00EF4843"/>
    <w:rsid w:val="00EF5094"/>
    <w:rsid w:val="00EF5167"/>
    <w:rsid w:val="00EF5481"/>
    <w:rsid w:val="00EF5B5B"/>
    <w:rsid w:val="00EF5D64"/>
    <w:rsid w:val="00EF682D"/>
    <w:rsid w:val="00EF6A51"/>
    <w:rsid w:val="00EF6DED"/>
    <w:rsid w:val="00EF6E8D"/>
    <w:rsid w:val="00EF7099"/>
    <w:rsid w:val="00EF71A8"/>
    <w:rsid w:val="00EF7D09"/>
    <w:rsid w:val="00F003C4"/>
    <w:rsid w:val="00F006BD"/>
    <w:rsid w:val="00F006D8"/>
    <w:rsid w:val="00F00874"/>
    <w:rsid w:val="00F0093A"/>
    <w:rsid w:val="00F00D60"/>
    <w:rsid w:val="00F00E62"/>
    <w:rsid w:val="00F01021"/>
    <w:rsid w:val="00F01100"/>
    <w:rsid w:val="00F011D9"/>
    <w:rsid w:val="00F01352"/>
    <w:rsid w:val="00F013A6"/>
    <w:rsid w:val="00F02171"/>
    <w:rsid w:val="00F02BEF"/>
    <w:rsid w:val="00F034BB"/>
    <w:rsid w:val="00F03E03"/>
    <w:rsid w:val="00F04F6C"/>
    <w:rsid w:val="00F050A1"/>
    <w:rsid w:val="00F05504"/>
    <w:rsid w:val="00F05F2A"/>
    <w:rsid w:val="00F05FC6"/>
    <w:rsid w:val="00F06283"/>
    <w:rsid w:val="00F062E7"/>
    <w:rsid w:val="00F06E80"/>
    <w:rsid w:val="00F0799D"/>
    <w:rsid w:val="00F10117"/>
    <w:rsid w:val="00F1011D"/>
    <w:rsid w:val="00F107A0"/>
    <w:rsid w:val="00F11019"/>
    <w:rsid w:val="00F110F9"/>
    <w:rsid w:val="00F127A8"/>
    <w:rsid w:val="00F12EAE"/>
    <w:rsid w:val="00F131E1"/>
    <w:rsid w:val="00F135D9"/>
    <w:rsid w:val="00F138BA"/>
    <w:rsid w:val="00F149EB"/>
    <w:rsid w:val="00F14C6D"/>
    <w:rsid w:val="00F14F78"/>
    <w:rsid w:val="00F15610"/>
    <w:rsid w:val="00F1574D"/>
    <w:rsid w:val="00F157A2"/>
    <w:rsid w:val="00F15EBC"/>
    <w:rsid w:val="00F161FB"/>
    <w:rsid w:val="00F167A8"/>
    <w:rsid w:val="00F172B3"/>
    <w:rsid w:val="00F17759"/>
    <w:rsid w:val="00F20A10"/>
    <w:rsid w:val="00F2134E"/>
    <w:rsid w:val="00F214B0"/>
    <w:rsid w:val="00F219E4"/>
    <w:rsid w:val="00F220A5"/>
    <w:rsid w:val="00F222C6"/>
    <w:rsid w:val="00F228BA"/>
    <w:rsid w:val="00F22A4B"/>
    <w:rsid w:val="00F22B9A"/>
    <w:rsid w:val="00F2370D"/>
    <w:rsid w:val="00F2392E"/>
    <w:rsid w:val="00F239BC"/>
    <w:rsid w:val="00F23E0B"/>
    <w:rsid w:val="00F2408B"/>
    <w:rsid w:val="00F245B3"/>
    <w:rsid w:val="00F24638"/>
    <w:rsid w:val="00F25410"/>
    <w:rsid w:val="00F25B35"/>
    <w:rsid w:val="00F26DD2"/>
    <w:rsid w:val="00F30F67"/>
    <w:rsid w:val="00F322DC"/>
    <w:rsid w:val="00F32E0B"/>
    <w:rsid w:val="00F332AD"/>
    <w:rsid w:val="00F33A28"/>
    <w:rsid w:val="00F33B17"/>
    <w:rsid w:val="00F33BFF"/>
    <w:rsid w:val="00F34362"/>
    <w:rsid w:val="00F345B4"/>
    <w:rsid w:val="00F34768"/>
    <w:rsid w:val="00F34BC9"/>
    <w:rsid w:val="00F34D20"/>
    <w:rsid w:val="00F359F8"/>
    <w:rsid w:val="00F35E48"/>
    <w:rsid w:val="00F35FA0"/>
    <w:rsid w:val="00F36685"/>
    <w:rsid w:val="00F3679C"/>
    <w:rsid w:val="00F368DD"/>
    <w:rsid w:val="00F369B8"/>
    <w:rsid w:val="00F37FFD"/>
    <w:rsid w:val="00F41E40"/>
    <w:rsid w:val="00F420C2"/>
    <w:rsid w:val="00F4225A"/>
    <w:rsid w:val="00F422B1"/>
    <w:rsid w:val="00F42824"/>
    <w:rsid w:val="00F42A30"/>
    <w:rsid w:val="00F42B29"/>
    <w:rsid w:val="00F42CF9"/>
    <w:rsid w:val="00F4345F"/>
    <w:rsid w:val="00F4355D"/>
    <w:rsid w:val="00F444E5"/>
    <w:rsid w:val="00F4512F"/>
    <w:rsid w:val="00F4669A"/>
    <w:rsid w:val="00F46C63"/>
    <w:rsid w:val="00F46CEE"/>
    <w:rsid w:val="00F471E9"/>
    <w:rsid w:val="00F475D7"/>
    <w:rsid w:val="00F513AE"/>
    <w:rsid w:val="00F51B5E"/>
    <w:rsid w:val="00F51ECD"/>
    <w:rsid w:val="00F52371"/>
    <w:rsid w:val="00F528E6"/>
    <w:rsid w:val="00F52EF7"/>
    <w:rsid w:val="00F537F5"/>
    <w:rsid w:val="00F53809"/>
    <w:rsid w:val="00F54192"/>
    <w:rsid w:val="00F5420D"/>
    <w:rsid w:val="00F544FD"/>
    <w:rsid w:val="00F5519E"/>
    <w:rsid w:val="00F55666"/>
    <w:rsid w:val="00F5580A"/>
    <w:rsid w:val="00F55B97"/>
    <w:rsid w:val="00F562C3"/>
    <w:rsid w:val="00F56721"/>
    <w:rsid w:val="00F56BE1"/>
    <w:rsid w:val="00F56ED2"/>
    <w:rsid w:val="00F573C6"/>
    <w:rsid w:val="00F57CA9"/>
    <w:rsid w:val="00F60B56"/>
    <w:rsid w:val="00F60BEF"/>
    <w:rsid w:val="00F60D7F"/>
    <w:rsid w:val="00F6167F"/>
    <w:rsid w:val="00F617ED"/>
    <w:rsid w:val="00F61D36"/>
    <w:rsid w:val="00F62924"/>
    <w:rsid w:val="00F63A30"/>
    <w:rsid w:val="00F63AD5"/>
    <w:rsid w:val="00F64480"/>
    <w:rsid w:val="00F649BC"/>
    <w:rsid w:val="00F64B9B"/>
    <w:rsid w:val="00F64DFE"/>
    <w:rsid w:val="00F64E4F"/>
    <w:rsid w:val="00F65147"/>
    <w:rsid w:val="00F65572"/>
    <w:rsid w:val="00F65825"/>
    <w:rsid w:val="00F65B6C"/>
    <w:rsid w:val="00F65E84"/>
    <w:rsid w:val="00F664BD"/>
    <w:rsid w:val="00F66A27"/>
    <w:rsid w:val="00F66D26"/>
    <w:rsid w:val="00F67848"/>
    <w:rsid w:val="00F70531"/>
    <w:rsid w:val="00F705CB"/>
    <w:rsid w:val="00F70629"/>
    <w:rsid w:val="00F70706"/>
    <w:rsid w:val="00F7070D"/>
    <w:rsid w:val="00F70E23"/>
    <w:rsid w:val="00F71992"/>
    <w:rsid w:val="00F723A0"/>
    <w:rsid w:val="00F72951"/>
    <w:rsid w:val="00F72E25"/>
    <w:rsid w:val="00F731A0"/>
    <w:rsid w:val="00F736BE"/>
    <w:rsid w:val="00F73932"/>
    <w:rsid w:val="00F73A3D"/>
    <w:rsid w:val="00F73B73"/>
    <w:rsid w:val="00F73F6D"/>
    <w:rsid w:val="00F74387"/>
    <w:rsid w:val="00F74FFA"/>
    <w:rsid w:val="00F7519F"/>
    <w:rsid w:val="00F758F5"/>
    <w:rsid w:val="00F75AFC"/>
    <w:rsid w:val="00F761AC"/>
    <w:rsid w:val="00F76370"/>
    <w:rsid w:val="00F770D6"/>
    <w:rsid w:val="00F8073A"/>
    <w:rsid w:val="00F8075A"/>
    <w:rsid w:val="00F80DA8"/>
    <w:rsid w:val="00F81253"/>
    <w:rsid w:val="00F81458"/>
    <w:rsid w:val="00F820CA"/>
    <w:rsid w:val="00F82484"/>
    <w:rsid w:val="00F82575"/>
    <w:rsid w:val="00F825BD"/>
    <w:rsid w:val="00F82711"/>
    <w:rsid w:val="00F8302E"/>
    <w:rsid w:val="00F83221"/>
    <w:rsid w:val="00F832F6"/>
    <w:rsid w:val="00F834A2"/>
    <w:rsid w:val="00F83A4E"/>
    <w:rsid w:val="00F83C67"/>
    <w:rsid w:val="00F83F52"/>
    <w:rsid w:val="00F84141"/>
    <w:rsid w:val="00F847B7"/>
    <w:rsid w:val="00F849C1"/>
    <w:rsid w:val="00F84B15"/>
    <w:rsid w:val="00F84F0D"/>
    <w:rsid w:val="00F85207"/>
    <w:rsid w:val="00F852F8"/>
    <w:rsid w:val="00F853D3"/>
    <w:rsid w:val="00F854CC"/>
    <w:rsid w:val="00F85ACF"/>
    <w:rsid w:val="00F85DA9"/>
    <w:rsid w:val="00F85F24"/>
    <w:rsid w:val="00F86230"/>
    <w:rsid w:val="00F8659A"/>
    <w:rsid w:val="00F867FF"/>
    <w:rsid w:val="00F86AA5"/>
    <w:rsid w:val="00F86DAB"/>
    <w:rsid w:val="00F87841"/>
    <w:rsid w:val="00F8793F"/>
    <w:rsid w:val="00F87F69"/>
    <w:rsid w:val="00F90E6D"/>
    <w:rsid w:val="00F911B6"/>
    <w:rsid w:val="00F926B5"/>
    <w:rsid w:val="00F92921"/>
    <w:rsid w:val="00F929CB"/>
    <w:rsid w:val="00F92EAD"/>
    <w:rsid w:val="00F9392A"/>
    <w:rsid w:val="00F9468F"/>
    <w:rsid w:val="00F95100"/>
    <w:rsid w:val="00F96220"/>
    <w:rsid w:val="00F96C00"/>
    <w:rsid w:val="00F96E6E"/>
    <w:rsid w:val="00F96F3E"/>
    <w:rsid w:val="00F976D1"/>
    <w:rsid w:val="00F97932"/>
    <w:rsid w:val="00FA0137"/>
    <w:rsid w:val="00FA0EAE"/>
    <w:rsid w:val="00FA1D1E"/>
    <w:rsid w:val="00FA207F"/>
    <w:rsid w:val="00FA22A8"/>
    <w:rsid w:val="00FA2769"/>
    <w:rsid w:val="00FA287D"/>
    <w:rsid w:val="00FA3012"/>
    <w:rsid w:val="00FA311D"/>
    <w:rsid w:val="00FA3F74"/>
    <w:rsid w:val="00FA4916"/>
    <w:rsid w:val="00FA506F"/>
    <w:rsid w:val="00FA635F"/>
    <w:rsid w:val="00FA6425"/>
    <w:rsid w:val="00FA64A5"/>
    <w:rsid w:val="00FA66D1"/>
    <w:rsid w:val="00FA6EAD"/>
    <w:rsid w:val="00FA74D2"/>
    <w:rsid w:val="00FA74E3"/>
    <w:rsid w:val="00FA766D"/>
    <w:rsid w:val="00FA76BF"/>
    <w:rsid w:val="00FA7A3A"/>
    <w:rsid w:val="00FA7E5C"/>
    <w:rsid w:val="00FA7E76"/>
    <w:rsid w:val="00FB0468"/>
    <w:rsid w:val="00FB0A8C"/>
    <w:rsid w:val="00FB0AAE"/>
    <w:rsid w:val="00FB0B1A"/>
    <w:rsid w:val="00FB11A7"/>
    <w:rsid w:val="00FB1534"/>
    <w:rsid w:val="00FB15DB"/>
    <w:rsid w:val="00FB166B"/>
    <w:rsid w:val="00FB173E"/>
    <w:rsid w:val="00FB1881"/>
    <w:rsid w:val="00FB193D"/>
    <w:rsid w:val="00FB26F3"/>
    <w:rsid w:val="00FB2978"/>
    <w:rsid w:val="00FB33D5"/>
    <w:rsid w:val="00FB3422"/>
    <w:rsid w:val="00FB3EB3"/>
    <w:rsid w:val="00FB57A7"/>
    <w:rsid w:val="00FB5AEF"/>
    <w:rsid w:val="00FB5C06"/>
    <w:rsid w:val="00FB6385"/>
    <w:rsid w:val="00FB667E"/>
    <w:rsid w:val="00FB6FA6"/>
    <w:rsid w:val="00FB7128"/>
    <w:rsid w:val="00FB720E"/>
    <w:rsid w:val="00FB7799"/>
    <w:rsid w:val="00FB7FE9"/>
    <w:rsid w:val="00FC096D"/>
    <w:rsid w:val="00FC0DBE"/>
    <w:rsid w:val="00FC249D"/>
    <w:rsid w:val="00FC2F67"/>
    <w:rsid w:val="00FC35B5"/>
    <w:rsid w:val="00FC392A"/>
    <w:rsid w:val="00FC3932"/>
    <w:rsid w:val="00FC3F24"/>
    <w:rsid w:val="00FC421F"/>
    <w:rsid w:val="00FC43FF"/>
    <w:rsid w:val="00FC505C"/>
    <w:rsid w:val="00FC6068"/>
    <w:rsid w:val="00FC628B"/>
    <w:rsid w:val="00FC6747"/>
    <w:rsid w:val="00FC6B50"/>
    <w:rsid w:val="00FC7596"/>
    <w:rsid w:val="00FC77F0"/>
    <w:rsid w:val="00FC7AA2"/>
    <w:rsid w:val="00FD01B5"/>
    <w:rsid w:val="00FD17F5"/>
    <w:rsid w:val="00FD1F58"/>
    <w:rsid w:val="00FD20B8"/>
    <w:rsid w:val="00FD2372"/>
    <w:rsid w:val="00FD2CCA"/>
    <w:rsid w:val="00FD3446"/>
    <w:rsid w:val="00FD34C4"/>
    <w:rsid w:val="00FD381A"/>
    <w:rsid w:val="00FD3CE6"/>
    <w:rsid w:val="00FD3EE1"/>
    <w:rsid w:val="00FD3EFE"/>
    <w:rsid w:val="00FD48F8"/>
    <w:rsid w:val="00FD4D86"/>
    <w:rsid w:val="00FD543C"/>
    <w:rsid w:val="00FD5BF0"/>
    <w:rsid w:val="00FD603E"/>
    <w:rsid w:val="00FD6474"/>
    <w:rsid w:val="00FD6475"/>
    <w:rsid w:val="00FD689E"/>
    <w:rsid w:val="00FD6E58"/>
    <w:rsid w:val="00FD7268"/>
    <w:rsid w:val="00FD7EA6"/>
    <w:rsid w:val="00FE0B86"/>
    <w:rsid w:val="00FE0C5B"/>
    <w:rsid w:val="00FE0F83"/>
    <w:rsid w:val="00FE1524"/>
    <w:rsid w:val="00FE17A6"/>
    <w:rsid w:val="00FE1B2E"/>
    <w:rsid w:val="00FE1B71"/>
    <w:rsid w:val="00FE1F35"/>
    <w:rsid w:val="00FE26EA"/>
    <w:rsid w:val="00FE2D43"/>
    <w:rsid w:val="00FE2D70"/>
    <w:rsid w:val="00FE39A9"/>
    <w:rsid w:val="00FE3CCA"/>
    <w:rsid w:val="00FE3D4F"/>
    <w:rsid w:val="00FE43CE"/>
    <w:rsid w:val="00FE52B0"/>
    <w:rsid w:val="00FE55D7"/>
    <w:rsid w:val="00FE5DC4"/>
    <w:rsid w:val="00FE652E"/>
    <w:rsid w:val="00FE66E7"/>
    <w:rsid w:val="00FE6744"/>
    <w:rsid w:val="00FE6CBF"/>
    <w:rsid w:val="00FE7B43"/>
    <w:rsid w:val="00FF0CB6"/>
    <w:rsid w:val="00FF1BC5"/>
    <w:rsid w:val="00FF1C11"/>
    <w:rsid w:val="00FF1FE1"/>
    <w:rsid w:val="00FF2FA6"/>
    <w:rsid w:val="00FF3C0E"/>
    <w:rsid w:val="00FF3C1D"/>
    <w:rsid w:val="00FF3CA5"/>
    <w:rsid w:val="00FF3E94"/>
    <w:rsid w:val="00FF5298"/>
    <w:rsid w:val="00FF56A5"/>
    <w:rsid w:val="00FF56F5"/>
    <w:rsid w:val="00FF5F1A"/>
    <w:rsid w:val="00FF629C"/>
    <w:rsid w:val="00FF64CA"/>
    <w:rsid w:val="00FF65CE"/>
    <w:rsid w:val="00FF6B81"/>
    <w:rsid w:val="00FF70FB"/>
    <w:rsid w:val="00FF756F"/>
    <w:rsid w:val="00FF76BD"/>
    <w:rsid w:val="00FF7A87"/>
    <w:rsid w:val="0125840E"/>
    <w:rsid w:val="01B6E3A5"/>
    <w:rsid w:val="01B8C909"/>
    <w:rsid w:val="01F6F796"/>
    <w:rsid w:val="028A282D"/>
    <w:rsid w:val="02CF6290"/>
    <w:rsid w:val="02F8F8DF"/>
    <w:rsid w:val="0311FDAE"/>
    <w:rsid w:val="03D3B38D"/>
    <w:rsid w:val="03DC17C7"/>
    <w:rsid w:val="04262851"/>
    <w:rsid w:val="0494260F"/>
    <w:rsid w:val="04D65FB3"/>
    <w:rsid w:val="04F1E826"/>
    <w:rsid w:val="05C81ED5"/>
    <w:rsid w:val="05DDCBA0"/>
    <w:rsid w:val="06723014"/>
    <w:rsid w:val="06C93B09"/>
    <w:rsid w:val="06CDA347"/>
    <w:rsid w:val="07EFCDF5"/>
    <w:rsid w:val="081484B0"/>
    <w:rsid w:val="08953733"/>
    <w:rsid w:val="08C96883"/>
    <w:rsid w:val="08E859DC"/>
    <w:rsid w:val="090DF9A7"/>
    <w:rsid w:val="0932F2D8"/>
    <w:rsid w:val="093F8051"/>
    <w:rsid w:val="0956CE0E"/>
    <w:rsid w:val="095C5B41"/>
    <w:rsid w:val="095F91BE"/>
    <w:rsid w:val="096AEA2F"/>
    <w:rsid w:val="097B7F68"/>
    <w:rsid w:val="09EE5B94"/>
    <w:rsid w:val="0AC56FA1"/>
    <w:rsid w:val="0BDE48D7"/>
    <w:rsid w:val="0BDFEAE9"/>
    <w:rsid w:val="0BFCD0D5"/>
    <w:rsid w:val="0C1D9FB0"/>
    <w:rsid w:val="0C3AB3C1"/>
    <w:rsid w:val="0C4F05F3"/>
    <w:rsid w:val="0C5DC637"/>
    <w:rsid w:val="0C78C432"/>
    <w:rsid w:val="0C91C08C"/>
    <w:rsid w:val="0CF39C3D"/>
    <w:rsid w:val="0D6A7CFD"/>
    <w:rsid w:val="0E59E619"/>
    <w:rsid w:val="0E84CAD7"/>
    <w:rsid w:val="0EAF0677"/>
    <w:rsid w:val="0EDA24D0"/>
    <w:rsid w:val="0F3D51CE"/>
    <w:rsid w:val="0F48D0D0"/>
    <w:rsid w:val="0FA948F8"/>
    <w:rsid w:val="0FF5F738"/>
    <w:rsid w:val="10E3A403"/>
    <w:rsid w:val="113BB270"/>
    <w:rsid w:val="11407E3D"/>
    <w:rsid w:val="11451959"/>
    <w:rsid w:val="114C3E9E"/>
    <w:rsid w:val="1165C4B7"/>
    <w:rsid w:val="122F036F"/>
    <w:rsid w:val="130FBC37"/>
    <w:rsid w:val="13793A0F"/>
    <w:rsid w:val="14304762"/>
    <w:rsid w:val="144E4798"/>
    <w:rsid w:val="15363531"/>
    <w:rsid w:val="1579FD30"/>
    <w:rsid w:val="15D85B7A"/>
    <w:rsid w:val="16308E81"/>
    <w:rsid w:val="16432278"/>
    <w:rsid w:val="165C22AC"/>
    <w:rsid w:val="16CECBCA"/>
    <w:rsid w:val="170175F4"/>
    <w:rsid w:val="17765E3F"/>
    <w:rsid w:val="17820086"/>
    <w:rsid w:val="178BD380"/>
    <w:rsid w:val="179055FE"/>
    <w:rsid w:val="17BA571E"/>
    <w:rsid w:val="180A5EF5"/>
    <w:rsid w:val="180B38EC"/>
    <w:rsid w:val="1825C8FA"/>
    <w:rsid w:val="18266DEA"/>
    <w:rsid w:val="188AF899"/>
    <w:rsid w:val="18DD7B25"/>
    <w:rsid w:val="18FDEAEF"/>
    <w:rsid w:val="197F4B5C"/>
    <w:rsid w:val="19EA41AD"/>
    <w:rsid w:val="1A16E54C"/>
    <w:rsid w:val="1A57820F"/>
    <w:rsid w:val="1A589AE3"/>
    <w:rsid w:val="1A85B8FC"/>
    <w:rsid w:val="1AEB6C0A"/>
    <w:rsid w:val="1B1E88C7"/>
    <w:rsid w:val="1B60D585"/>
    <w:rsid w:val="1B8A09FF"/>
    <w:rsid w:val="1BEA736C"/>
    <w:rsid w:val="1BF2A85E"/>
    <w:rsid w:val="1C4C9C4F"/>
    <w:rsid w:val="1DA96464"/>
    <w:rsid w:val="1E5779BD"/>
    <w:rsid w:val="1E6774E3"/>
    <w:rsid w:val="1EF5277B"/>
    <w:rsid w:val="1EF7225B"/>
    <w:rsid w:val="1F01CCE1"/>
    <w:rsid w:val="2039B88E"/>
    <w:rsid w:val="20BCB72C"/>
    <w:rsid w:val="20DF8C8D"/>
    <w:rsid w:val="20EF5944"/>
    <w:rsid w:val="210F0A47"/>
    <w:rsid w:val="21EAFB1E"/>
    <w:rsid w:val="2235D7B9"/>
    <w:rsid w:val="238F89E4"/>
    <w:rsid w:val="23A0CD5D"/>
    <w:rsid w:val="23B84767"/>
    <w:rsid w:val="23D1A81A"/>
    <w:rsid w:val="243136CD"/>
    <w:rsid w:val="2454F0F1"/>
    <w:rsid w:val="246E1F03"/>
    <w:rsid w:val="2482F8D6"/>
    <w:rsid w:val="254A6434"/>
    <w:rsid w:val="25528EBA"/>
    <w:rsid w:val="256D787B"/>
    <w:rsid w:val="25F7B01F"/>
    <w:rsid w:val="26563B66"/>
    <w:rsid w:val="26775AD3"/>
    <w:rsid w:val="27040D6D"/>
    <w:rsid w:val="2710BF96"/>
    <w:rsid w:val="271BAC81"/>
    <w:rsid w:val="2764807C"/>
    <w:rsid w:val="27C2C10D"/>
    <w:rsid w:val="27CC2FA1"/>
    <w:rsid w:val="2874885C"/>
    <w:rsid w:val="29309AB2"/>
    <w:rsid w:val="2960F854"/>
    <w:rsid w:val="29C6F533"/>
    <w:rsid w:val="29F3DD4C"/>
    <w:rsid w:val="2A199262"/>
    <w:rsid w:val="2A4D3050"/>
    <w:rsid w:val="2A4E5F40"/>
    <w:rsid w:val="2A598266"/>
    <w:rsid w:val="2A90176B"/>
    <w:rsid w:val="2AD5A61B"/>
    <w:rsid w:val="2B49B547"/>
    <w:rsid w:val="2B9ACD60"/>
    <w:rsid w:val="2BD1BEE7"/>
    <w:rsid w:val="2CC004F5"/>
    <w:rsid w:val="2CF323D8"/>
    <w:rsid w:val="2D214084"/>
    <w:rsid w:val="2D2D2B54"/>
    <w:rsid w:val="2DB024DA"/>
    <w:rsid w:val="2DB6967D"/>
    <w:rsid w:val="2E7C0569"/>
    <w:rsid w:val="2E9F2F5A"/>
    <w:rsid w:val="2EC21A72"/>
    <w:rsid w:val="2ED7C26D"/>
    <w:rsid w:val="2F02AD3F"/>
    <w:rsid w:val="2FE6532F"/>
    <w:rsid w:val="302B0201"/>
    <w:rsid w:val="3060CC9E"/>
    <w:rsid w:val="30F407CD"/>
    <w:rsid w:val="3105D459"/>
    <w:rsid w:val="3154A17C"/>
    <w:rsid w:val="3159117A"/>
    <w:rsid w:val="315E6F64"/>
    <w:rsid w:val="31886CDC"/>
    <w:rsid w:val="318EB90D"/>
    <w:rsid w:val="319F247A"/>
    <w:rsid w:val="31F092D2"/>
    <w:rsid w:val="3250C210"/>
    <w:rsid w:val="330FC50D"/>
    <w:rsid w:val="332E0B86"/>
    <w:rsid w:val="339A8388"/>
    <w:rsid w:val="33DD3373"/>
    <w:rsid w:val="33EFB96A"/>
    <w:rsid w:val="340A87FE"/>
    <w:rsid w:val="34527ECD"/>
    <w:rsid w:val="3498AA34"/>
    <w:rsid w:val="34A37612"/>
    <w:rsid w:val="34B1281E"/>
    <w:rsid w:val="34C7FCCD"/>
    <w:rsid w:val="35BBB189"/>
    <w:rsid w:val="35FEA01A"/>
    <w:rsid w:val="36660D88"/>
    <w:rsid w:val="367F4CBE"/>
    <w:rsid w:val="36AB4E21"/>
    <w:rsid w:val="36B0A2C7"/>
    <w:rsid w:val="36C3E4F5"/>
    <w:rsid w:val="37684302"/>
    <w:rsid w:val="37943E45"/>
    <w:rsid w:val="37B9993C"/>
    <w:rsid w:val="37B9D5B1"/>
    <w:rsid w:val="381B1D1F"/>
    <w:rsid w:val="38540BC9"/>
    <w:rsid w:val="385C63E3"/>
    <w:rsid w:val="38A41124"/>
    <w:rsid w:val="38B7EC5C"/>
    <w:rsid w:val="38EDCA2F"/>
    <w:rsid w:val="3964BA5F"/>
    <w:rsid w:val="3992E10A"/>
    <w:rsid w:val="39C45656"/>
    <w:rsid w:val="39CC9A39"/>
    <w:rsid w:val="3A3AF4B7"/>
    <w:rsid w:val="3A4477F3"/>
    <w:rsid w:val="3A6701EC"/>
    <w:rsid w:val="3A815E89"/>
    <w:rsid w:val="3AED6FF0"/>
    <w:rsid w:val="3B2847D0"/>
    <w:rsid w:val="3B444467"/>
    <w:rsid w:val="3B6E21F9"/>
    <w:rsid w:val="3B87751D"/>
    <w:rsid w:val="3BC1462B"/>
    <w:rsid w:val="3BC4CD2C"/>
    <w:rsid w:val="3BC4DA70"/>
    <w:rsid w:val="3C45CCE7"/>
    <w:rsid w:val="3C6F55DF"/>
    <w:rsid w:val="3DD25676"/>
    <w:rsid w:val="3DE5C97D"/>
    <w:rsid w:val="3E096810"/>
    <w:rsid w:val="3E1E6C25"/>
    <w:rsid w:val="3E5B8822"/>
    <w:rsid w:val="3E713646"/>
    <w:rsid w:val="3E8A5EA3"/>
    <w:rsid w:val="3E8D53D8"/>
    <w:rsid w:val="3F10FBEA"/>
    <w:rsid w:val="3F322E75"/>
    <w:rsid w:val="3F701AED"/>
    <w:rsid w:val="40262F04"/>
    <w:rsid w:val="4043410B"/>
    <w:rsid w:val="4056EE3A"/>
    <w:rsid w:val="40581D2A"/>
    <w:rsid w:val="4074A615"/>
    <w:rsid w:val="407BD409"/>
    <w:rsid w:val="4090A9E6"/>
    <w:rsid w:val="40D87BDC"/>
    <w:rsid w:val="412B9B1A"/>
    <w:rsid w:val="41A3AA6D"/>
    <w:rsid w:val="428210D8"/>
    <w:rsid w:val="42829A07"/>
    <w:rsid w:val="428EC8CE"/>
    <w:rsid w:val="44F18DD8"/>
    <w:rsid w:val="44F4B21F"/>
    <w:rsid w:val="45119CBB"/>
    <w:rsid w:val="45A12819"/>
    <w:rsid w:val="45BAD9B6"/>
    <w:rsid w:val="46265358"/>
    <w:rsid w:val="46545AB2"/>
    <w:rsid w:val="46E80937"/>
    <w:rsid w:val="475089F4"/>
    <w:rsid w:val="476F1721"/>
    <w:rsid w:val="47B3FB76"/>
    <w:rsid w:val="47B72E1A"/>
    <w:rsid w:val="47BF7402"/>
    <w:rsid w:val="47C12909"/>
    <w:rsid w:val="47C843C3"/>
    <w:rsid w:val="47D2D343"/>
    <w:rsid w:val="484911E9"/>
    <w:rsid w:val="484EC1B1"/>
    <w:rsid w:val="48A4A4C1"/>
    <w:rsid w:val="48B4FEBC"/>
    <w:rsid w:val="49016CEE"/>
    <w:rsid w:val="491982F7"/>
    <w:rsid w:val="497615F5"/>
    <w:rsid w:val="4992A904"/>
    <w:rsid w:val="49BCE038"/>
    <w:rsid w:val="4A6D523C"/>
    <w:rsid w:val="4AA7ABE0"/>
    <w:rsid w:val="4B085CAB"/>
    <w:rsid w:val="4BDD8864"/>
    <w:rsid w:val="4BEDCB26"/>
    <w:rsid w:val="4C93DD40"/>
    <w:rsid w:val="4D1BFA69"/>
    <w:rsid w:val="4D208DF0"/>
    <w:rsid w:val="4D6B515B"/>
    <w:rsid w:val="4DBBC292"/>
    <w:rsid w:val="4E8D69BC"/>
    <w:rsid w:val="4EFBA529"/>
    <w:rsid w:val="4F04F1FB"/>
    <w:rsid w:val="4F2E74F4"/>
    <w:rsid w:val="5067142C"/>
    <w:rsid w:val="507AA4D4"/>
    <w:rsid w:val="50B0E5EF"/>
    <w:rsid w:val="50E1E60A"/>
    <w:rsid w:val="51125D4B"/>
    <w:rsid w:val="512BF504"/>
    <w:rsid w:val="51660A8E"/>
    <w:rsid w:val="519A8153"/>
    <w:rsid w:val="51CE8883"/>
    <w:rsid w:val="524B0EFE"/>
    <w:rsid w:val="5269A4AD"/>
    <w:rsid w:val="5292926F"/>
    <w:rsid w:val="52979039"/>
    <w:rsid w:val="52F018CE"/>
    <w:rsid w:val="532F0739"/>
    <w:rsid w:val="534AF4B0"/>
    <w:rsid w:val="54429267"/>
    <w:rsid w:val="54581CE9"/>
    <w:rsid w:val="54F69B94"/>
    <w:rsid w:val="55CDD8C8"/>
    <w:rsid w:val="55ECFCDE"/>
    <w:rsid w:val="5611DB76"/>
    <w:rsid w:val="56BD7D40"/>
    <w:rsid w:val="56EA01F5"/>
    <w:rsid w:val="570070B5"/>
    <w:rsid w:val="576E0923"/>
    <w:rsid w:val="587819EC"/>
    <w:rsid w:val="589AEADC"/>
    <w:rsid w:val="59072907"/>
    <w:rsid w:val="5939F8D2"/>
    <w:rsid w:val="59606D71"/>
    <w:rsid w:val="59A9CFBE"/>
    <w:rsid w:val="5A72F30F"/>
    <w:rsid w:val="5AD1EA99"/>
    <w:rsid w:val="5AD58464"/>
    <w:rsid w:val="5AF8B5A6"/>
    <w:rsid w:val="5B461FDF"/>
    <w:rsid w:val="5B72ABF3"/>
    <w:rsid w:val="5B7EAE74"/>
    <w:rsid w:val="5BD8B518"/>
    <w:rsid w:val="5C1BAF60"/>
    <w:rsid w:val="5C589EA0"/>
    <w:rsid w:val="5C6C7911"/>
    <w:rsid w:val="5CC5EB3E"/>
    <w:rsid w:val="5CD48BC7"/>
    <w:rsid w:val="5D8D0ABE"/>
    <w:rsid w:val="5D9A0CAC"/>
    <w:rsid w:val="5D9A0EA6"/>
    <w:rsid w:val="5DBA7246"/>
    <w:rsid w:val="5DDC480F"/>
    <w:rsid w:val="5E094E52"/>
    <w:rsid w:val="5E5FEF31"/>
    <w:rsid w:val="5EE17898"/>
    <w:rsid w:val="5F010D13"/>
    <w:rsid w:val="5F1E0073"/>
    <w:rsid w:val="5F381225"/>
    <w:rsid w:val="5F56171F"/>
    <w:rsid w:val="5FB67496"/>
    <w:rsid w:val="610CA8EC"/>
    <w:rsid w:val="610F4EAC"/>
    <w:rsid w:val="61339F62"/>
    <w:rsid w:val="61B892A3"/>
    <w:rsid w:val="620B893A"/>
    <w:rsid w:val="62412BB9"/>
    <w:rsid w:val="62707E2A"/>
    <w:rsid w:val="629E5A2B"/>
    <w:rsid w:val="62E26BB9"/>
    <w:rsid w:val="63B9B789"/>
    <w:rsid w:val="63C02B64"/>
    <w:rsid w:val="64A96EAE"/>
    <w:rsid w:val="652A61AA"/>
    <w:rsid w:val="657C6A9B"/>
    <w:rsid w:val="66124401"/>
    <w:rsid w:val="662180B8"/>
    <w:rsid w:val="669C458C"/>
    <w:rsid w:val="67384DBA"/>
    <w:rsid w:val="68332549"/>
    <w:rsid w:val="6879D48C"/>
    <w:rsid w:val="68E8DC28"/>
    <w:rsid w:val="68FB8BF7"/>
    <w:rsid w:val="68FBDDCF"/>
    <w:rsid w:val="69539BE8"/>
    <w:rsid w:val="6A156694"/>
    <w:rsid w:val="6A7BB809"/>
    <w:rsid w:val="6AA7470C"/>
    <w:rsid w:val="6ACA987C"/>
    <w:rsid w:val="6AFFD4DD"/>
    <w:rsid w:val="6B0D56AF"/>
    <w:rsid w:val="6B3F8120"/>
    <w:rsid w:val="6B43AE20"/>
    <w:rsid w:val="6BA3184B"/>
    <w:rsid w:val="6C6B98FE"/>
    <w:rsid w:val="6C806A42"/>
    <w:rsid w:val="6CB08FED"/>
    <w:rsid w:val="6D0EF63F"/>
    <w:rsid w:val="6DA78F3E"/>
    <w:rsid w:val="6DFF4A03"/>
    <w:rsid w:val="6E7DED4E"/>
    <w:rsid w:val="6EA266CD"/>
    <w:rsid w:val="6EB81B93"/>
    <w:rsid w:val="6EBAF8DA"/>
    <w:rsid w:val="6EC14633"/>
    <w:rsid w:val="6F17857A"/>
    <w:rsid w:val="6F59E282"/>
    <w:rsid w:val="6F7E65BE"/>
    <w:rsid w:val="6FDF8135"/>
    <w:rsid w:val="7022D38E"/>
    <w:rsid w:val="70388D27"/>
    <w:rsid w:val="70817AF9"/>
    <w:rsid w:val="714E2418"/>
    <w:rsid w:val="71BC92AE"/>
    <w:rsid w:val="720AC6C5"/>
    <w:rsid w:val="723EF6E1"/>
    <w:rsid w:val="72A7FAF2"/>
    <w:rsid w:val="734214DB"/>
    <w:rsid w:val="73B66D1C"/>
    <w:rsid w:val="73C70CF4"/>
    <w:rsid w:val="73FF94F8"/>
    <w:rsid w:val="74D51CC8"/>
    <w:rsid w:val="7550F602"/>
    <w:rsid w:val="75709F8C"/>
    <w:rsid w:val="75B4A455"/>
    <w:rsid w:val="75C3912D"/>
    <w:rsid w:val="764F291A"/>
    <w:rsid w:val="7672C6CD"/>
    <w:rsid w:val="767CBFD8"/>
    <w:rsid w:val="768FD7BA"/>
    <w:rsid w:val="771BA6F3"/>
    <w:rsid w:val="7728105F"/>
    <w:rsid w:val="77499268"/>
    <w:rsid w:val="77519845"/>
    <w:rsid w:val="77D54F27"/>
    <w:rsid w:val="7832303E"/>
    <w:rsid w:val="78347512"/>
    <w:rsid w:val="78746AE5"/>
    <w:rsid w:val="78969134"/>
    <w:rsid w:val="790E9156"/>
    <w:rsid w:val="792F8CAD"/>
    <w:rsid w:val="797BEBD6"/>
    <w:rsid w:val="79874632"/>
    <w:rsid w:val="7989AEA8"/>
    <w:rsid w:val="79B3F11B"/>
    <w:rsid w:val="79E2DA32"/>
    <w:rsid w:val="79F5C4F2"/>
    <w:rsid w:val="7ACC2C92"/>
    <w:rsid w:val="7B2A11C4"/>
    <w:rsid w:val="7B5DF564"/>
    <w:rsid w:val="7BA6430D"/>
    <w:rsid w:val="7CA3DB45"/>
    <w:rsid w:val="7CA60376"/>
    <w:rsid w:val="7CCCF0C2"/>
    <w:rsid w:val="7CD4ED0F"/>
    <w:rsid w:val="7CFC7D3D"/>
    <w:rsid w:val="7D0A74A1"/>
    <w:rsid w:val="7D9FEA2E"/>
    <w:rsid w:val="7E10E9C7"/>
    <w:rsid w:val="7E479A13"/>
    <w:rsid w:val="7ED59918"/>
    <w:rsid w:val="7F150F75"/>
    <w:rsid w:val="7F71C48A"/>
    <w:rsid w:val="7F9325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054D0"/>
  <w15:chartTrackingRefBased/>
  <w15:docId w15:val="{F6488519-6608-411E-9CCF-07C9D419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rsid w:val="00BA23E3"/>
    <w:pPr>
      <w:numPr>
        <w:ilvl w:val="1"/>
      </w:numPr>
      <w:outlineLvl w:val="1"/>
    </w:pPr>
    <w:rPr>
      <w:bCs w:val="0"/>
      <w:sz w:val="32"/>
      <w:szCs w:val="26"/>
    </w:rPr>
  </w:style>
  <w:style w:type="paragraph" w:styleId="Heading3">
    <w:name w:val="heading 3"/>
    <w:basedOn w:val="Heading2"/>
    <w:next w:val="Normal"/>
    <w:link w:val="Heading3Char"/>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aliases w:val="No Spacing1,No Spacing11,No Spacing111"/>
    <w:basedOn w:val="Normal"/>
    <w:link w:val="SubmissionNormalChar"/>
    <w:qFormat/>
    <w:locked/>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1 Char,No Spacing1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20"/>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paragraph" w:styleId="Revision">
    <w:name w:val="Revision"/>
    <w:hidden/>
    <w:uiPriority w:val="99"/>
    <w:semiHidden/>
    <w:rsid w:val="00335D44"/>
    <w:rPr>
      <w:rFonts w:ascii="Open Sans" w:eastAsia="MS Mincho" w:hAnsi="Open Sans"/>
      <w:sz w:val="24"/>
      <w:szCs w:val="24"/>
    </w:rPr>
  </w:style>
  <w:style w:type="numbering" w:customStyle="1" w:styleId="ImportedStyle11">
    <w:name w:val="Imported Style 11"/>
    <w:rsid w:val="002C53B2"/>
    <w:pPr>
      <w:numPr>
        <w:numId w:val="24"/>
      </w:numPr>
    </w:pPr>
  </w:style>
  <w:style w:type="character" w:customStyle="1" w:styleId="normaltextrun">
    <w:name w:val="normaltextrun"/>
    <w:basedOn w:val="DefaultParagraphFont"/>
    <w:rsid w:val="00A70802"/>
  </w:style>
  <w:style w:type="paragraph" w:styleId="FootnoteText">
    <w:name w:val="footnote text"/>
    <w:basedOn w:val="Normal"/>
    <w:link w:val="FootnoteTextChar"/>
    <w:locked/>
    <w:rsid w:val="00BD2197"/>
    <w:pPr>
      <w:spacing w:before="0" w:after="0"/>
    </w:pPr>
    <w:rPr>
      <w:sz w:val="20"/>
      <w:szCs w:val="20"/>
    </w:rPr>
  </w:style>
  <w:style w:type="character" w:customStyle="1" w:styleId="FootnoteTextChar">
    <w:name w:val="Footnote Text Char"/>
    <w:basedOn w:val="DefaultParagraphFont"/>
    <w:link w:val="FootnoteText"/>
    <w:rsid w:val="00BD2197"/>
    <w:rPr>
      <w:rFonts w:ascii="Open Sans" w:eastAsia="MS Mincho" w:hAnsi="Open Sans"/>
    </w:rPr>
  </w:style>
  <w:style w:type="character" w:styleId="FootnoteReference">
    <w:name w:val="footnote reference"/>
    <w:basedOn w:val="DefaultParagraphFont"/>
    <w:locked/>
    <w:rsid w:val="00BD2197"/>
    <w:rPr>
      <w:vertAlign w:val="superscript"/>
    </w:rPr>
  </w:style>
  <w:style w:type="paragraph" w:customStyle="1" w:styleId="reportheading3">
    <w:name w:val="report heading (3)"/>
    <w:basedOn w:val="Heading3"/>
    <w:link w:val="reportheading3Char"/>
    <w:qFormat/>
    <w:rsid w:val="00023D89"/>
    <w:pPr>
      <w:numPr>
        <w:ilvl w:val="0"/>
        <w:numId w:val="0"/>
      </w:numPr>
    </w:pPr>
    <w:rPr>
      <w:rFonts w:cs="Open Sans"/>
      <w:b/>
      <w:bCs w:val="0"/>
      <w:lang w:val="en-US"/>
    </w:rPr>
  </w:style>
  <w:style w:type="character" w:customStyle="1" w:styleId="reportheading3Char">
    <w:name w:val="report heading (3) Char"/>
    <w:basedOn w:val="Heading3Char"/>
    <w:link w:val="reportheading3"/>
    <w:rsid w:val="00023D89"/>
    <w:rPr>
      <w:rFonts w:ascii="Open Sans" w:eastAsia="MS Mincho" w:hAnsi="Open Sans" w:cs="Open Sans"/>
      <w:b/>
      <w:bCs w:val="0"/>
      <w:sz w:val="24"/>
      <w:szCs w:val="26"/>
      <w:lang w:val="en-US"/>
    </w:rPr>
  </w:style>
  <w:style w:type="character" w:styleId="Mention">
    <w:name w:val="Mention"/>
    <w:basedOn w:val="DefaultParagraphFont"/>
    <w:uiPriority w:val="99"/>
    <w:unhideWhenUsed/>
    <w:rsid w:val="00141073"/>
    <w:rPr>
      <w:color w:val="2B579A"/>
      <w:shd w:val="clear" w:color="auto" w:fill="E1DFDD"/>
    </w:rPr>
  </w:style>
  <w:style w:type="character" w:customStyle="1" w:styleId="eop">
    <w:name w:val="eop"/>
    <w:basedOn w:val="DefaultParagraphFont"/>
    <w:rsid w:val="00923C64"/>
  </w:style>
  <w:style w:type="character" w:customStyle="1" w:styleId="superscript">
    <w:name w:val="superscript"/>
    <w:basedOn w:val="DefaultParagraphFont"/>
    <w:rsid w:val="0041501F"/>
  </w:style>
  <w:style w:type="paragraph" w:customStyle="1" w:styleId="paragraph">
    <w:name w:val="paragraph"/>
    <w:basedOn w:val="Normal"/>
    <w:rsid w:val="00FD34C4"/>
    <w:pPr>
      <w:spacing w:before="100" w:beforeAutospacing="1" w:after="100" w:afterAutospacing="1"/>
    </w:pPr>
    <w:rPr>
      <w:rFonts w:ascii="Times New Roman" w:eastAsia="Times New Roman" w:hAnsi="Times New Roman"/>
    </w:rPr>
  </w:style>
  <w:style w:type="character" w:customStyle="1" w:styleId="UnresolvedMention2">
    <w:name w:val="Unresolved Mention2"/>
    <w:basedOn w:val="DefaultParagraphFont"/>
    <w:uiPriority w:val="99"/>
    <w:semiHidden/>
    <w:unhideWhenUsed/>
    <w:rsid w:val="00B73AF8"/>
    <w:rPr>
      <w:color w:val="605E5C"/>
      <w:shd w:val="clear" w:color="auto" w:fill="E1DFDD"/>
    </w:rPr>
  </w:style>
  <w:style w:type="character" w:customStyle="1" w:styleId="Mention2">
    <w:name w:val="Mention2"/>
    <w:basedOn w:val="DefaultParagraphFont"/>
    <w:uiPriority w:val="99"/>
    <w:unhideWhenUsed/>
    <w:rsid w:val="00B73AF8"/>
    <w:rPr>
      <w:color w:val="2B579A"/>
      <w:shd w:val="clear" w:color="auto" w:fill="E1DFDD"/>
    </w:rPr>
  </w:style>
  <w:style w:type="character" w:customStyle="1" w:styleId="rpl-text-icongroup">
    <w:name w:val="rpl-text-icon__group"/>
    <w:basedOn w:val="DefaultParagraphFont"/>
    <w:rsid w:val="0088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4737">
      <w:bodyDiv w:val="1"/>
      <w:marLeft w:val="0"/>
      <w:marRight w:val="0"/>
      <w:marTop w:val="0"/>
      <w:marBottom w:val="0"/>
      <w:divBdr>
        <w:top w:val="none" w:sz="0" w:space="0" w:color="auto"/>
        <w:left w:val="none" w:sz="0" w:space="0" w:color="auto"/>
        <w:bottom w:val="none" w:sz="0" w:space="0" w:color="auto"/>
        <w:right w:val="none" w:sz="0" w:space="0" w:color="auto"/>
      </w:divBdr>
      <w:divsChild>
        <w:div w:id="527566812">
          <w:marLeft w:val="0"/>
          <w:marRight w:val="0"/>
          <w:marTop w:val="0"/>
          <w:marBottom w:val="0"/>
          <w:divBdr>
            <w:top w:val="none" w:sz="0" w:space="0" w:color="auto"/>
            <w:left w:val="none" w:sz="0" w:space="0" w:color="auto"/>
            <w:bottom w:val="none" w:sz="0" w:space="0" w:color="auto"/>
            <w:right w:val="none" w:sz="0" w:space="0" w:color="auto"/>
          </w:divBdr>
        </w:div>
        <w:div w:id="635914153">
          <w:marLeft w:val="0"/>
          <w:marRight w:val="0"/>
          <w:marTop w:val="0"/>
          <w:marBottom w:val="0"/>
          <w:divBdr>
            <w:top w:val="none" w:sz="0" w:space="0" w:color="auto"/>
            <w:left w:val="none" w:sz="0" w:space="0" w:color="auto"/>
            <w:bottom w:val="none" w:sz="0" w:space="0" w:color="auto"/>
            <w:right w:val="none" w:sz="0" w:space="0" w:color="auto"/>
          </w:divBdr>
        </w:div>
        <w:div w:id="813838452">
          <w:marLeft w:val="0"/>
          <w:marRight w:val="0"/>
          <w:marTop w:val="0"/>
          <w:marBottom w:val="0"/>
          <w:divBdr>
            <w:top w:val="none" w:sz="0" w:space="0" w:color="auto"/>
            <w:left w:val="none" w:sz="0" w:space="0" w:color="auto"/>
            <w:bottom w:val="none" w:sz="0" w:space="0" w:color="auto"/>
            <w:right w:val="none" w:sz="0" w:space="0" w:color="auto"/>
          </w:divBdr>
        </w:div>
        <w:div w:id="2020159215">
          <w:marLeft w:val="0"/>
          <w:marRight w:val="0"/>
          <w:marTop w:val="0"/>
          <w:marBottom w:val="0"/>
          <w:divBdr>
            <w:top w:val="none" w:sz="0" w:space="0" w:color="auto"/>
            <w:left w:val="none" w:sz="0" w:space="0" w:color="auto"/>
            <w:bottom w:val="none" w:sz="0" w:space="0" w:color="auto"/>
            <w:right w:val="none" w:sz="0" w:space="0" w:color="auto"/>
          </w:divBdr>
        </w:div>
      </w:divsChild>
    </w:div>
    <w:div w:id="266082271">
      <w:bodyDiv w:val="1"/>
      <w:marLeft w:val="0"/>
      <w:marRight w:val="0"/>
      <w:marTop w:val="0"/>
      <w:marBottom w:val="0"/>
      <w:divBdr>
        <w:top w:val="none" w:sz="0" w:space="0" w:color="auto"/>
        <w:left w:val="none" w:sz="0" w:space="0" w:color="auto"/>
        <w:bottom w:val="none" w:sz="0" w:space="0" w:color="auto"/>
        <w:right w:val="none" w:sz="0" w:space="0" w:color="auto"/>
      </w:divBdr>
    </w:div>
    <w:div w:id="569580347">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88120134">
      <w:bodyDiv w:val="1"/>
      <w:marLeft w:val="0"/>
      <w:marRight w:val="0"/>
      <w:marTop w:val="0"/>
      <w:marBottom w:val="0"/>
      <w:divBdr>
        <w:top w:val="none" w:sz="0" w:space="0" w:color="auto"/>
        <w:left w:val="none" w:sz="0" w:space="0" w:color="auto"/>
        <w:bottom w:val="none" w:sz="0" w:space="0" w:color="auto"/>
        <w:right w:val="none" w:sz="0" w:space="0" w:color="auto"/>
      </w:divBdr>
    </w:div>
    <w:div w:id="1244486127">
      <w:bodyDiv w:val="1"/>
      <w:marLeft w:val="0"/>
      <w:marRight w:val="0"/>
      <w:marTop w:val="0"/>
      <w:marBottom w:val="0"/>
      <w:divBdr>
        <w:top w:val="none" w:sz="0" w:space="0" w:color="auto"/>
        <w:left w:val="none" w:sz="0" w:space="0" w:color="auto"/>
        <w:bottom w:val="none" w:sz="0" w:space="0" w:color="auto"/>
        <w:right w:val="none" w:sz="0" w:space="0" w:color="auto"/>
      </w:divBdr>
    </w:div>
    <w:div w:id="1259480321">
      <w:bodyDiv w:val="1"/>
      <w:marLeft w:val="0"/>
      <w:marRight w:val="0"/>
      <w:marTop w:val="0"/>
      <w:marBottom w:val="0"/>
      <w:divBdr>
        <w:top w:val="none" w:sz="0" w:space="0" w:color="auto"/>
        <w:left w:val="none" w:sz="0" w:space="0" w:color="auto"/>
        <w:bottom w:val="none" w:sz="0" w:space="0" w:color="auto"/>
        <w:right w:val="none" w:sz="0" w:space="0" w:color="auto"/>
      </w:divBdr>
      <w:divsChild>
        <w:div w:id="756899781">
          <w:marLeft w:val="0"/>
          <w:marRight w:val="0"/>
          <w:marTop w:val="0"/>
          <w:marBottom w:val="0"/>
          <w:divBdr>
            <w:top w:val="none" w:sz="0" w:space="0" w:color="auto"/>
            <w:left w:val="none" w:sz="0" w:space="0" w:color="auto"/>
            <w:bottom w:val="none" w:sz="0" w:space="0" w:color="auto"/>
            <w:right w:val="none" w:sz="0" w:space="0" w:color="auto"/>
          </w:divBdr>
        </w:div>
        <w:div w:id="765924811">
          <w:marLeft w:val="0"/>
          <w:marRight w:val="0"/>
          <w:marTop w:val="0"/>
          <w:marBottom w:val="0"/>
          <w:divBdr>
            <w:top w:val="none" w:sz="0" w:space="0" w:color="auto"/>
            <w:left w:val="none" w:sz="0" w:space="0" w:color="auto"/>
            <w:bottom w:val="none" w:sz="0" w:space="0" w:color="auto"/>
            <w:right w:val="none" w:sz="0" w:space="0" w:color="auto"/>
          </w:divBdr>
        </w:div>
        <w:div w:id="787503886">
          <w:marLeft w:val="0"/>
          <w:marRight w:val="0"/>
          <w:marTop w:val="0"/>
          <w:marBottom w:val="0"/>
          <w:divBdr>
            <w:top w:val="none" w:sz="0" w:space="0" w:color="auto"/>
            <w:left w:val="none" w:sz="0" w:space="0" w:color="auto"/>
            <w:bottom w:val="none" w:sz="0" w:space="0" w:color="auto"/>
            <w:right w:val="none" w:sz="0" w:space="0" w:color="auto"/>
          </w:divBdr>
        </w:div>
        <w:div w:id="809664085">
          <w:marLeft w:val="0"/>
          <w:marRight w:val="0"/>
          <w:marTop w:val="0"/>
          <w:marBottom w:val="0"/>
          <w:divBdr>
            <w:top w:val="none" w:sz="0" w:space="0" w:color="auto"/>
            <w:left w:val="none" w:sz="0" w:space="0" w:color="auto"/>
            <w:bottom w:val="none" w:sz="0" w:space="0" w:color="auto"/>
            <w:right w:val="none" w:sz="0" w:space="0" w:color="auto"/>
          </w:divBdr>
        </w:div>
      </w:divsChild>
    </w:div>
    <w:div w:id="1414009030">
      <w:bodyDiv w:val="1"/>
      <w:marLeft w:val="0"/>
      <w:marRight w:val="0"/>
      <w:marTop w:val="0"/>
      <w:marBottom w:val="0"/>
      <w:divBdr>
        <w:top w:val="none" w:sz="0" w:space="0" w:color="auto"/>
        <w:left w:val="none" w:sz="0" w:space="0" w:color="auto"/>
        <w:bottom w:val="none" w:sz="0" w:space="0" w:color="auto"/>
        <w:right w:val="none" w:sz="0" w:space="0" w:color="auto"/>
      </w:divBdr>
      <w:divsChild>
        <w:div w:id="784689958">
          <w:marLeft w:val="0"/>
          <w:marRight w:val="0"/>
          <w:marTop w:val="0"/>
          <w:marBottom w:val="0"/>
          <w:divBdr>
            <w:top w:val="none" w:sz="0" w:space="0" w:color="auto"/>
            <w:left w:val="none" w:sz="0" w:space="0" w:color="auto"/>
            <w:bottom w:val="none" w:sz="0" w:space="0" w:color="auto"/>
            <w:right w:val="none" w:sz="0" w:space="0" w:color="auto"/>
          </w:divBdr>
        </w:div>
        <w:div w:id="1259289386">
          <w:marLeft w:val="0"/>
          <w:marRight w:val="0"/>
          <w:marTop w:val="0"/>
          <w:marBottom w:val="0"/>
          <w:divBdr>
            <w:top w:val="none" w:sz="0" w:space="0" w:color="auto"/>
            <w:left w:val="none" w:sz="0" w:space="0" w:color="auto"/>
            <w:bottom w:val="none" w:sz="0" w:space="0" w:color="auto"/>
            <w:right w:val="none" w:sz="0" w:space="0" w:color="auto"/>
          </w:divBdr>
        </w:div>
      </w:divsChild>
    </w:div>
    <w:div w:id="1492334257">
      <w:bodyDiv w:val="1"/>
      <w:marLeft w:val="0"/>
      <w:marRight w:val="0"/>
      <w:marTop w:val="0"/>
      <w:marBottom w:val="0"/>
      <w:divBdr>
        <w:top w:val="none" w:sz="0" w:space="0" w:color="auto"/>
        <w:left w:val="none" w:sz="0" w:space="0" w:color="auto"/>
        <w:bottom w:val="none" w:sz="0" w:space="0" w:color="auto"/>
        <w:right w:val="none" w:sz="0" w:space="0" w:color="auto"/>
      </w:divBdr>
    </w:div>
    <w:div w:id="21243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s://www.medrxiv.org/content/10.1101/2022.01.04.21268536v1.full" TargetMode="External"/><Relationship Id="rId3" Type="http://schemas.openxmlformats.org/officeDocument/2006/relationships/hyperlink" Target="https://credh.org.au/projects/community-attitudes/community-attitudes-towards-people-with-disability/" TargetMode="External"/><Relationship Id="rId7" Type="http://schemas.openxmlformats.org/officeDocument/2006/relationships/hyperlink" Target="https://www.ons.gov.uk/news/statementsandletters/theprevalenceoflongcovidsymptomsandcovid19complications" TargetMode="External"/><Relationship Id="rId12" Type="http://schemas.openxmlformats.org/officeDocument/2006/relationships/hyperlink" Target="https://www.aec.gov.au/news/electoral-laws.htm" TargetMode="External"/><Relationship Id="rId2" Type="http://schemas.openxmlformats.org/officeDocument/2006/relationships/hyperlink" Target="https://www.abs.gov.au/statistics/health/disability/disability-ageing-and-carers-australia-summary-findings/latest-release" TargetMode="External"/><Relationship Id="rId1" Type="http://schemas.openxmlformats.org/officeDocument/2006/relationships/hyperlink" Target="https://www.internationaldisabilityalliance.org/crpd-committee-interpretation" TargetMode="External"/><Relationship Id="rId6" Type="http://schemas.openxmlformats.org/officeDocument/2006/relationships/hyperlink" Target="https://www.ons.gov.uk/peoplepopulationandcommunity/birthsdeathsandmarriages/deaths/articles/coronaviruscovid19relateddeathsbydisabilitystatusenglandandwales/24january2020to9march2022" TargetMode="External"/><Relationship Id="rId11" Type="http://schemas.openxmlformats.org/officeDocument/2006/relationships/hyperlink" Target="https://www.abc.net.au/radionational/programs/this-working-life/mass-disabling-event-long-covid-is-hitting-australian-workplaces/13944890" TargetMode="External"/><Relationship Id="rId5" Type="http://schemas.openxmlformats.org/officeDocument/2006/relationships/hyperlink" Target="https://www.un.org/development/desa/disabilities/convention-on-the-rights-of-persons-with-disabilities/preamble.html" TargetMode="External"/><Relationship Id="rId10" Type="http://schemas.openxmlformats.org/officeDocument/2006/relationships/hyperlink" Target="https://www.cdc.gov/nchs/pressroom/nchs_press_releases/2022/20220622.htm" TargetMode="External"/><Relationship Id="rId4" Type="http://schemas.openxmlformats.org/officeDocument/2006/relationships/hyperlink" Target="https://www.oecd-ilibrary.org" TargetMode="External"/><Relationship Id="rId9" Type="http://schemas.openxmlformats.org/officeDocument/2006/relationships/hyperlink" Target="https://www.cdc.gov/coronavirus/2019-ncov/hcp/clinical-care/post-covid-condit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AHRCTemplateHub/Commission/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75c5ac6-a0cc-43ed-b850-4a2ae59237b6" ContentTypeId="0x0101" PreviousValue="false" LastSyncTimeStamp="2019-01-22T02:06:15.047Z"/>
</file>

<file path=customXml/item3.xml><?xml version="1.0" encoding="utf-8"?>
<ct:contentTypeSchema xmlns:ct="http://schemas.microsoft.com/office/2006/metadata/contentType" xmlns:ma="http://schemas.microsoft.com/office/2006/metadata/properties/metaAttributes" ct:_="" ma:_="" ma:contentTypeName="Document" ma:contentTypeID="0x010100967940E70C94354F8F8561BF2727C984" ma:contentTypeVersion="12" ma:contentTypeDescription="Create a new document." ma:contentTypeScope="" ma:versionID="172783face27eba63644d83beb9bd64f">
  <xsd:schema xmlns:xsd="http://www.w3.org/2001/XMLSchema" xmlns:xs="http://www.w3.org/2001/XMLSchema" xmlns:p="http://schemas.microsoft.com/office/2006/metadata/properties" xmlns:ns2="6500fe01-343b-4fb9-a1b0-68ac19d62e01" xmlns:ns3="d305f544-be6d-4a06-9182-35e488c047b9" xmlns:ns4="39d46e2e-af2c-4283-b2c0-dbe09d693c60" targetNamespace="http://schemas.microsoft.com/office/2006/metadata/properties" ma:root="true" ma:fieldsID="740d067ae586d071120fe03c4b462dae" ns2:_="" ns3:_="" ns4:_="">
    <xsd:import namespace="6500fe01-343b-4fb9-a1b0-68ac19d62e01"/>
    <xsd:import namespace="d305f544-be6d-4a06-9182-35e488c047b9"/>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Notes" minOccurs="0"/>
                <xsd:element ref="ns3:Notes0"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6aba89f1-9dd8-48a5-8350-dbcd55a0ef57}"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ba89f1-9dd8-48a5-8350-dbcd55a0ef57}"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05f544-be6d-4a06-9182-35e488c047b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Notes" ma:index="19" nillable="true" ma:displayName="Reference" ma:format="Dropdown" ma:internalName="Notes">
      <xsd:simpleType>
        <xsd:restriction base="dms:Note"/>
      </xsd:simpleType>
    </xsd:element>
    <xsd:element name="Notes0" ma:index="20" nillable="true" ma:displayName="Notes" ma:format="Dropdown" ma:internalName="Notes0">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WEV44C3EEZP4-1056255319-2026</_dlc_DocId>
    <_dlc_DocIdUrl xmlns="6500fe01-343b-4fb9-a1b0-68ac19d62e01">
      <Url>https://australianhrc.sharepoint.com/sites/DisabilityRights/_layouts/15/DocIdRedir.aspx?ID=WEV44C3EEZP4-1056255319-2026</Url>
      <Description>WEV44C3EEZP4-1056255319-2026</Description>
    </_dlc_DocIdUrl>
    <SharedWithUsers xmlns="39d46e2e-af2c-4283-b2c0-dbe09d693c60">
      <UserInfo>
        <DisplayName>Christopher Field</DisplayName>
        <AccountId>115</AccountId>
        <AccountType/>
      </UserInfo>
      <UserInfo>
        <DisplayName>Alexandra Dunn</DisplayName>
        <AccountId>369</AccountId>
        <AccountType/>
      </UserInfo>
      <UserInfo>
        <DisplayName>Sophia Rinaldis</DisplayName>
        <AccountId>143</AccountId>
        <AccountType/>
      </UserInfo>
      <UserInfo>
        <DisplayName>Rosalind Croucher</DisplayName>
        <AccountId>64</AccountId>
        <AccountType/>
      </UserInfo>
    </SharedWithUsers>
    <Notes xmlns="d305f544-be6d-4a06-9182-35e488c047b9" xsi:nil="true"/>
    <Notes0 xmlns="d305f544-be6d-4a06-9182-35e488c047b9"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95D2-846C-4010-968C-95D452DE77A3}">
  <ds:schemaRefs>
    <ds:schemaRef ds:uri="http://schemas.microsoft.com/sharepoint/events"/>
  </ds:schemaRefs>
</ds:datastoreItem>
</file>

<file path=customXml/itemProps2.xml><?xml version="1.0" encoding="utf-8"?>
<ds:datastoreItem xmlns:ds="http://schemas.openxmlformats.org/officeDocument/2006/customXml" ds:itemID="{A865C792-31A0-4A28-9234-0E132505C4F5}">
  <ds:schemaRefs>
    <ds:schemaRef ds:uri="Microsoft.SharePoint.Taxonomy.ContentTypeSync"/>
  </ds:schemaRefs>
</ds:datastoreItem>
</file>

<file path=customXml/itemProps3.xml><?xml version="1.0" encoding="utf-8"?>
<ds:datastoreItem xmlns:ds="http://schemas.openxmlformats.org/officeDocument/2006/customXml" ds:itemID="{5637129D-BED6-4621-803C-A243BFE0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d305f544-be6d-4a06-9182-35e488c047b9"/>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5.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39d46e2e-af2c-4283-b2c0-dbe09d693c60"/>
    <ds:schemaRef ds:uri="d305f544-be6d-4a06-9182-35e488c047b9"/>
  </ds:schemaRefs>
</ds:datastoreItem>
</file>

<file path=customXml/itemProps6.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7.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AHRC%20Report%20Template.dotx</Template>
  <TotalTime>6</TotalTime>
  <Pages>53</Pages>
  <Words>14042</Words>
  <Characters>80046</Characters>
  <Application>Microsoft Office Word</Application>
  <DocSecurity>0</DocSecurity>
  <Lines>667</Lines>
  <Paragraphs>187</Paragraphs>
  <ScaleCrop>false</ScaleCrop>
  <Company>Human Rights and Equal Opportunity Commission</Company>
  <LinksUpToDate>false</LinksUpToDate>
  <CharactersWithSpaces>93901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Christopher Field</dc:creator>
  <cp:keywords/>
  <dc:description/>
  <cp:lastModifiedBy>Christopher Field</cp:lastModifiedBy>
  <cp:revision>2</cp:revision>
  <cp:lastPrinted>2022-12-22T03:16:00Z</cp:lastPrinted>
  <dcterms:created xsi:type="dcterms:W3CDTF">2023-03-15T00:00:00Z</dcterms:created>
  <dcterms:modified xsi:type="dcterms:W3CDTF">2023-03-15T00:00:00Z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0x010100967940E70C94354F8F8561BF2727C984</vt:lpwstr>
  </property>
  <property fmtid="{D5CDD505-2E9C-101B-9397-08002B2CF9AE}" pid="3" name="TaxKeyword">
    <vt:lpwstr/>
  </property>
  <property fmtid="{D5CDD505-2E9C-101B-9397-08002B2CF9AE}" pid="4" name="_dlc_DocIdItemGuid">
    <vt:lpwstr>3cc615f4-cff7-48d8-a044-bbe4f75ec057</vt:lpwstr>
  </property>
</Properties>
</file>