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F2820" w14:textId="478EE7D5" w:rsidR="00A355F9" w:rsidRPr="00C047F5" w:rsidRDefault="00C047F5" w:rsidP="00A355F9">
      <w:pPr>
        <w:pStyle w:val="MainTitle"/>
        <w:rPr>
          <w:b/>
          <w:bCs w:val="0"/>
        </w:rPr>
      </w:pPr>
      <w:r>
        <w:rPr>
          <w:b/>
          <w:bCs w:val="0"/>
        </w:rPr>
        <w:t>Consultation Paper</w:t>
      </w:r>
    </w:p>
    <w:p w14:paraId="7C4328D1" w14:textId="636F62E6" w:rsidR="00A355F9" w:rsidRDefault="00C047F5" w:rsidP="00A355F9">
      <w:pPr>
        <w:pStyle w:val="MainTitle"/>
      </w:pPr>
      <w:r>
        <w:t>Draft Design Guidelines for Access and Inclusion in Residential Development</w:t>
      </w:r>
    </w:p>
    <w:p w14:paraId="3781C7EC" w14:textId="77777777" w:rsidR="00AC636D" w:rsidRDefault="008A7305" w:rsidP="008A7305">
      <w:pPr>
        <w:jc w:val="right"/>
      </w:pPr>
      <w:r>
        <w:rPr>
          <w:rFonts w:cs="Arial"/>
          <w:color w:val="237BBC"/>
          <w:sz w:val="28"/>
        </w:rPr>
        <w:fldChar w:fldCharType="begin"/>
      </w:r>
      <w:r>
        <w:rPr>
          <w:rFonts w:cs="Arial"/>
          <w:color w:val="237BBC"/>
          <w:sz w:val="28"/>
        </w:rPr>
        <w:instrText xml:space="preserve"> CREATEDATE  \@ "MMMM yyyy"  \* MERGEFORMAT </w:instrText>
      </w:r>
      <w:r>
        <w:rPr>
          <w:rFonts w:cs="Arial"/>
          <w:color w:val="237BBC"/>
          <w:sz w:val="28"/>
        </w:rPr>
        <w:fldChar w:fldCharType="separate"/>
      </w:r>
      <w:r w:rsidR="00C047F5">
        <w:rPr>
          <w:rFonts w:cs="Arial"/>
          <w:noProof/>
          <w:color w:val="237BBC"/>
          <w:sz w:val="28"/>
        </w:rPr>
        <w:t>April 2024</w:t>
      </w:r>
      <w:r>
        <w:rPr>
          <w:rFonts w:cs="Arial"/>
          <w:color w:val="237BBC"/>
          <w:sz w:val="28"/>
        </w:rPr>
        <w:fldChar w:fldCharType="end"/>
      </w:r>
    </w:p>
    <w:p w14:paraId="08DF7517" w14:textId="3B8AD5C6" w:rsidR="009E4BD0" w:rsidRPr="00AC636D" w:rsidRDefault="00961135" w:rsidP="00961135">
      <w:pPr>
        <w:jc w:val="right"/>
        <w:sectPr w:rsidR="009E4BD0" w:rsidRPr="00AC636D" w:rsidSect="00BA05B7">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r>
        <w:tab/>
      </w:r>
      <w:r w:rsidRPr="00E60C48">
        <w:rPr>
          <w:rFonts w:cs="Open Sans"/>
          <w:color w:val="0070C0"/>
        </w:rPr>
        <w:t xml:space="preserve"> </w:t>
      </w:r>
    </w:p>
    <w:p w14:paraId="43A54FCE" w14:textId="4DB7A626" w:rsidR="00C047F5" w:rsidRDefault="00C047F5" w:rsidP="00C60343">
      <w:pPr>
        <w:pStyle w:val="TOC1"/>
      </w:pPr>
      <w:r w:rsidRPr="003B5376">
        <w:rPr>
          <w:rFonts w:ascii="Calibri" w:hAnsi="Calibri" w:cs="Calibri"/>
          <w:lang w:val="en-US"/>
        </w:rPr>
        <w:drawing>
          <wp:inline distT="0" distB="0" distL="0" distR="0" wp14:anchorId="3C4DE437" wp14:editId="4EA8A179">
            <wp:extent cx="3911824" cy="2767054"/>
            <wp:effectExtent l="0" t="0" r="0" b="0"/>
            <wp:docPr id="1801184333" name="Picture 1801184333" descr="Austral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96920" name="Picture 2047796920" descr="Australian Human Rights Commission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11824" cy="2767054"/>
                    </a:xfrm>
                    <a:prstGeom prst="rect">
                      <a:avLst/>
                    </a:prstGeom>
                  </pic:spPr>
                </pic:pic>
              </a:graphicData>
            </a:graphic>
          </wp:inline>
        </w:drawing>
      </w:r>
      <w:r>
        <w:br w:type="textWrapping" w:clear="all"/>
      </w:r>
    </w:p>
    <w:p w14:paraId="08FAB70D" w14:textId="750F5D19" w:rsidR="00C047F5" w:rsidRDefault="00C047F5" w:rsidP="00C047F5">
      <w:r w:rsidRPr="003B5376">
        <w:rPr>
          <w:rFonts w:ascii="Calibri" w:hAnsi="Calibri" w:cs="Calibri"/>
          <w:noProof/>
          <w:lang w:val="en-US"/>
        </w:rPr>
        <w:drawing>
          <wp:inline distT="0" distB="0" distL="0" distR="0" wp14:anchorId="69738C8E" wp14:editId="10E402D3">
            <wp:extent cx="3954839" cy="1486894"/>
            <wp:effectExtent l="0" t="0" r="0" b="0"/>
            <wp:docPr id="599240739" name="Picture 599240739" descr="Winston Churchill Trust logo, with subtext that says: learn globally, inspire local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796921" name="Picture 2047796921" descr="Winston Churchill Trust logo, with subtext that says: learn globally, inspire locally. "/>
                    <pic:cNvPicPr/>
                  </pic:nvPicPr>
                  <pic:blipFill>
                    <a:blip r:embed="rId19"/>
                    <a:stretch>
                      <a:fillRect/>
                    </a:stretch>
                  </pic:blipFill>
                  <pic:spPr>
                    <a:xfrm>
                      <a:off x="0" y="0"/>
                      <a:ext cx="3975343" cy="1494603"/>
                    </a:xfrm>
                    <a:prstGeom prst="rect">
                      <a:avLst/>
                    </a:prstGeom>
                  </pic:spPr>
                </pic:pic>
              </a:graphicData>
            </a:graphic>
          </wp:inline>
        </w:drawing>
      </w:r>
    </w:p>
    <w:p w14:paraId="6CED965F" w14:textId="71AEAF2C" w:rsidR="00C047F5" w:rsidRPr="00C047F5" w:rsidRDefault="00C047F5" w:rsidP="00C047F5">
      <w:pPr>
        <w:spacing w:before="0" w:after="0"/>
      </w:pPr>
      <w:r>
        <w:br w:type="page"/>
      </w:r>
    </w:p>
    <w:p w14:paraId="168B8324" w14:textId="77777777" w:rsidR="00C32B6A" w:rsidRDefault="000B5B68" w:rsidP="008D00CD">
      <w:pPr>
        <w:pStyle w:val="TOC1"/>
        <w:tabs>
          <w:tab w:val="clear" w:pos="9060"/>
          <w:tab w:val="right" w:pos="9070"/>
        </w:tabs>
      </w:pPr>
      <w:r w:rsidRPr="008D00CD">
        <w:rPr>
          <w:sz w:val="36"/>
          <w:szCs w:val="36"/>
        </w:rPr>
        <w:t>Contents</w:t>
      </w:r>
      <w:r w:rsidRPr="000465F1">
        <w:rPr>
          <w:sz w:val="36"/>
          <w:szCs w:val="36"/>
        </w:rPr>
        <w:fldChar w:fldCharType="begin"/>
      </w:r>
      <w:r w:rsidRPr="008D00CD">
        <w:rPr>
          <w:sz w:val="36"/>
          <w:szCs w:val="36"/>
        </w:rPr>
        <w:instrText xml:space="preserve"> TOC \o "1-3" \h \z \u </w:instrText>
      </w:r>
      <w:r w:rsidRPr="000465F1">
        <w:rPr>
          <w:sz w:val="36"/>
          <w:szCs w:val="36"/>
        </w:rPr>
        <w:fldChar w:fldCharType="separate"/>
      </w:r>
    </w:p>
    <w:p w14:paraId="0132BB19" w14:textId="0CE56318" w:rsidR="00C32B6A" w:rsidRDefault="004429BC">
      <w:pPr>
        <w:pStyle w:val="TOC1"/>
        <w:rPr>
          <w:rFonts w:asciiTheme="minorHAnsi" w:eastAsiaTheme="minorEastAsia" w:hAnsiTheme="minorHAnsi" w:cstheme="minorBidi"/>
          <w:b w:val="0"/>
          <w:kern w:val="2"/>
          <w14:ligatures w14:val="standardContextual"/>
        </w:rPr>
      </w:pPr>
      <w:hyperlink w:anchor="_Toc164178012" w:history="1">
        <w:r w:rsidR="00C32B6A" w:rsidRPr="00021717">
          <w:rPr>
            <w:rStyle w:val="Hyperlink"/>
          </w:rPr>
          <w:t>Introduction</w:t>
        </w:r>
        <w:r w:rsidR="00C32B6A">
          <w:rPr>
            <w:webHidden/>
          </w:rPr>
          <w:tab/>
        </w:r>
        <w:r w:rsidR="00C32B6A">
          <w:rPr>
            <w:webHidden/>
          </w:rPr>
          <w:fldChar w:fldCharType="begin"/>
        </w:r>
        <w:r w:rsidR="00C32B6A">
          <w:rPr>
            <w:webHidden/>
          </w:rPr>
          <w:instrText xml:space="preserve"> PAGEREF _Toc164178012 \h </w:instrText>
        </w:r>
        <w:r w:rsidR="00C32B6A">
          <w:rPr>
            <w:webHidden/>
          </w:rPr>
        </w:r>
        <w:r w:rsidR="00C32B6A">
          <w:rPr>
            <w:webHidden/>
          </w:rPr>
          <w:fldChar w:fldCharType="separate"/>
        </w:r>
        <w:r w:rsidR="003F2D64">
          <w:rPr>
            <w:webHidden/>
          </w:rPr>
          <w:t>4</w:t>
        </w:r>
        <w:r w:rsidR="00C32B6A">
          <w:rPr>
            <w:webHidden/>
          </w:rPr>
          <w:fldChar w:fldCharType="end"/>
        </w:r>
      </w:hyperlink>
    </w:p>
    <w:p w14:paraId="12405858" w14:textId="6FE06160" w:rsidR="00C32B6A" w:rsidRDefault="004429BC">
      <w:pPr>
        <w:pStyle w:val="TOC1"/>
        <w:rPr>
          <w:rFonts w:asciiTheme="minorHAnsi" w:eastAsiaTheme="minorEastAsia" w:hAnsiTheme="minorHAnsi" w:cstheme="minorBidi"/>
          <w:b w:val="0"/>
          <w:kern w:val="2"/>
          <w14:ligatures w14:val="standardContextual"/>
        </w:rPr>
      </w:pPr>
      <w:hyperlink w:anchor="_Toc164178013" w:history="1">
        <w:r w:rsidR="00C32B6A" w:rsidRPr="00021717">
          <w:rPr>
            <w:rStyle w:val="Hyperlink"/>
          </w:rPr>
          <w:t>1</w:t>
        </w:r>
        <w:r w:rsidR="00C32B6A">
          <w:rPr>
            <w:rFonts w:asciiTheme="minorHAnsi" w:eastAsiaTheme="minorEastAsia" w:hAnsiTheme="minorHAnsi" w:cstheme="minorBidi"/>
            <w:b w:val="0"/>
            <w:kern w:val="2"/>
            <w14:ligatures w14:val="standardContextual"/>
          </w:rPr>
          <w:tab/>
        </w:r>
        <w:r w:rsidR="00C32B6A" w:rsidRPr="00021717">
          <w:rPr>
            <w:rStyle w:val="Hyperlink"/>
          </w:rPr>
          <w:t>Summary of the Guidelines</w:t>
        </w:r>
        <w:r w:rsidR="00C32B6A">
          <w:rPr>
            <w:webHidden/>
          </w:rPr>
          <w:tab/>
        </w:r>
        <w:r w:rsidR="00C32B6A">
          <w:rPr>
            <w:webHidden/>
          </w:rPr>
          <w:fldChar w:fldCharType="begin"/>
        </w:r>
        <w:r w:rsidR="00C32B6A">
          <w:rPr>
            <w:webHidden/>
          </w:rPr>
          <w:instrText xml:space="preserve"> PAGEREF _Toc164178013 \h </w:instrText>
        </w:r>
        <w:r w:rsidR="00C32B6A">
          <w:rPr>
            <w:webHidden/>
          </w:rPr>
        </w:r>
        <w:r w:rsidR="00C32B6A">
          <w:rPr>
            <w:webHidden/>
          </w:rPr>
          <w:fldChar w:fldCharType="separate"/>
        </w:r>
        <w:r w:rsidR="003F2D64">
          <w:rPr>
            <w:webHidden/>
          </w:rPr>
          <w:t>5</w:t>
        </w:r>
        <w:r w:rsidR="00C32B6A">
          <w:rPr>
            <w:webHidden/>
          </w:rPr>
          <w:fldChar w:fldCharType="end"/>
        </w:r>
      </w:hyperlink>
    </w:p>
    <w:p w14:paraId="4989EC87" w14:textId="60110CF2" w:rsidR="00C32B6A" w:rsidRDefault="004429BC">
      <w:pPr>
        <w:pStyle w:val="TOC1"/>
        <w:rPr>
          <w:rFonts w:asciiTheme="minorHAnsi" w:eastAsiaTheme="minorEastAsia" w:hAnsiTheme="minorHAnsi" w:cstheme="minorBidi"/>
          <w:b w:val="0"/>
          <w:kern w:val="2"/>
          <w14:ligatures w14:val="standardContextual"/>
        </w:rPr>
      </w:pPr>
      <w:hyperlink w:anchor="_Toc164178014" w:history="1">
        <w:r w:rsidR="00C32B6A" w:rsidRPr="00021717">
          <w:rPr>
            <w:rStyle w:val="Hyperlink"/>
          </w:rPr>
          <w:t>2</w:t>
        </w:r>
        <w:r w:rsidR="00C32B6A">
          <w:rPr>
            <w:rFonts w:asciiTheme="minorHAnsi" w:eastAsiaTheme="minorEastAsia" w:hAnsiTheme="minorHAnsi" w:cstheme="minorBidi"/>
            <w:b w:val="0"/>
            <w:kern w:val="2"/>
            <w14:ligatures w14:val="standardContextual"/>
          </w:rPr>
          <w:tab/>
        </w:r>
        <w:r w:rsidR="00C32B6A" w:rsidRPr="00021717">
          <w:rPr>
            <w:rStyle w:val="Hyperlink"/>
          </w:rPr>
          <w:t>Consultation Questions</w:t>
        </w:r>
        <w:r w:rsidR="00C32B6A">
          <w:rPr>
            <w:webHidden/>
          </w:rPr>
          <w:tab/>
        </w:r>
        <w:r w:rsidR="00C32B6A">
          <w:rPr>
            <w:webHidden/>
          </w:rPr>
          <w:fldChar w:fldCharType="begin"/>
        </w:r>
        <w:r w:rsidR="00C32B6A">
          <w:rPr>
            <w:webHidden/>
          </w:rPr>
          <w:instrText xml:space="preserve"> PAGEREF _Toc164178014 \h </w:instrText>
        </w:r>
        <w:r w:rsidR="00C32B6A">
          <w:rPr>
            <w:webHidden/>
          </w:rPr>
        </w:r>
        <w:r w:rsidR="00C32B6A">
          <w:rPr>
            <w:webHidden/>
          </w:rPr>
          <w:fldChar w:fldCharType="separate"/>
        </w:r>
        <w:r w:rsidR="003F2D64">
          <w:rPr>
            <w:webHidden/>
          </w:rPr>
          <w:t>5</w:t>
        </w:r>
        <w:r w:rsidR="00C32B6A">
          <w:rPr>
            <w:webHidden/>
          </w:rPr>
          <w:fldChar w:fldCharType="end"/>
        </w:r>
      </w:hyperlink>
    </w:p>
    <w:p w14:paraId="4B43E41A" w14:textId="3FB2BA16"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15" w:history="1">
        <w:r w:rsidR="00C32B6A" w:rsidRPr="00C32B6A">
          <w:rPr>
            <w:rStyle w:val="Hyperlink"/>
            <w:b w:val="0"/>
            <w:bCs/>
            <w:i w:val="0"/>
            <w:iCs/>
          </w:rPr>
          <w:t>2.1</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Housing Types</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_Toc164178015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7</w:t>
        </w:r>
        <w:r w:rsidR="00C32B6A" w:rsidRPr="00C32B6A">
          <w:rPr>
            <w:b w:val="0"/>
            <w:bCs/>
            <w:i w:val="0"/>
            <w:iCs/>
            <w:webHidden/>
          </w:rPr>
          <w:fldChar w:fldCharType="end"/>
        </w:r>
      </w:hyperlink>
    </w:p>
    <w:p w14:paraId="06928E91" w14:textId="0F233B1A"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16" w:history="1">
        <w:r w:rsidR="00C32B6A" w:rsidRPr="00C32B6A">
          <w:rPr>
            <w:rStyle w:val="Hyperlink"/>
            <w:b w:val="0"/>
            <w:bCs/>
            <w:i w:val="0"/>
            <w:iCs/>
          </w:rPr>
          <w:t>2.2</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Tenure</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_Toc164178016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8</w:t>
        </w:r>
        <w:r w:rsidR="00C32B6A" w:rsidRPr="00C32B6A">
          <w:rPr>
            <w:b w:val="0"/>
            <w:bCs/>
            <w:i w:val="0"/>
            <w:iCs/>
            <w:webHidden/>
          </w:rPr>
          <w:fldChar w:fldCharType="end"/>
        </w:r>
      </w:hyperlink>
    </w:p>
    <w:p w14:paraId="3F741157" w14:textId="519253CF"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17" w:history="1">
        <w:r w:rsidR="00C32B6A" w:rsidRPr="00C32B6A">
          <w:rPr>
            <w:rStyle w:val="Hyperlink"/>
            <w:b w:val="0"/>
            <w:bCs/>
            <w:i w:val="0"/>
            <w:iCs/>
          </w:rPr>
          <w:t>2.3</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Shared Housing</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_Toc164178017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8</w:t>
        </w:r>
        <w:r w:rsidR="00C32B6A" w:rsidRPr="00C32B6A">
          <w:rPr>
            <w:b w:val="0"/>
            <w:bCs/>
            <w:i w:val="0"/>
            <w:iCs/>
            <w:webHidden/>
          </w:rPr>
          <w:fldChar w:fldCharType="end"/>
        </w:r>
      </w:hyperlink>
    </w:p>
    <w:p w14:paraId="62CA0714" w14:textId="0030BD8E"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18" w:history="1">
        <w:r w:rsidR="00C32B6A" w:rsidRPr="00C32B6A">
          <w:rPr>
            <w:rStyle w:val="Hyperlink"/>
            <w:b w:val="0"/>
            <w:bCs/>
            <w:i w:val="0"/>
            <w:iCs/>
          </w:rPr>
          <w:t>2.4</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Walkable Neighbourhoods</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_Toc164178018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8</w:t>
        </w:r>
        <w:r w:rsidR="00C32B6A" w:rsidRPr="00C32B6A">
          <w:rPr>
            <w:b w:val="0"/>
            <w:bCs/>
            <w:i w:val="0"/>
            <w:iCs/>
            <w:webHidden/>
          </w:rPr>
          <w:fldChar w:fldCharType="end"/>
        </w:r>
      </w:hyperlink>
    </w:p>
    <w:p w14:paraId="7B7E6740" w14:textId="2631CE97"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19" w:history="1">
        <w:r w:rsidR="00C32B6A" w:rsidRPr="00C32B6A">
          <w:rPr>
            <w:rStyle w:val="Hyperlink"/>
            <w:b w:val="0"/>
            <w:bCs/>
            <w:i w:val="0"/>
            <w:iCs/>
          </w:rPr>
          <w:t>2.5</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Essential Elements</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_Toc164178019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9</w:t>
        </w:r>
        <w:r w:rsidR="00C32B6A" w:rsidRPr="00C32B6A">
          <w:rPr>
            <w:b w:val="0"/>
            <w:bCs/>
            <w:i w:val="0"/>
            <w:iCs/>
            <w:webHidden/>
          </w:rPr>
          <w:fldChar w:fldCharType="end"/>
        </w:r>
      </w:hyperlink>
    </w:p>
    <w:p w14:paraId="3B4BEC0D" w14:textId="2F015238"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20" w:history="1">
        <w:r w:rsidR="00C32B6A" w:rsidRPr="00C32B6A">
          <w:rPr>
            <w:rStyle w:val="Hyperlink"/>
            <w:b w:val="0"/>
            <w:bCs/>
            <w:i w:val="0"/>
            <w:iCs/>
          </w:rPr>
          <w:t>2.6</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Design Process</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_Toc164178020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9</w:t>
        </w:r>
        <w:r w:rsidR="00C32B6A" w:rsidRPr="00C32B6A">
          <w:rPr>
            <w:b w:val="0"/>
            <w:bCs/>
            <w:i w:val="0"/>
            <w:iCs/>
            <w:webHidden/>
          </w:rPr>
          <w:fldChar w:fldCharType="end"/>
        </w:r>
      </w:hyperlink>
    </w:p>
    <w:p w14:paraId="6AAB747B" w14:textId="240978FF"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21" w:history="1">
        <w:r w:rsidR="00C32B6A" w:rsidRPr="00C32B6A">
          <w:rPr>
            <w:rStyle w:val="Hyperlink"/>
            <w:b w:val="0"/>
            <w:bCs/>
            <w:i w:val="0"/>
            <w:iCs/>
          </w:rPr>
          <w:t>2.7</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Site – Building security</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_Toc164178021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10</w:t>
        </w:r>
        <w:r w:rsidR="00C32B6A" w:rsidRPr="00C32B6A">
          <w:rPr>
            <w:b w:val="0"/>
            <w:bCs/>
            <w:i w:val="0"/>
            <w:iCs/>
            <w:webHidden/>
          </w:rPr>
          <w:fldChar w:fldCharType="end"/>
        </w:r>
      </w:hyperlink>
    </w:p>
    <w:p w14:paraId="4EA070A5" w14:textId="5E8C8A99"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22" w:history="1">
        <w:r w:rsidR="00C32B6A" w:rsidRPr="00C32B6A">
          <w:rPr>
            <w:rStyle w:val="Hyperlink"/>
            <w:b w:val="0"/>
            <w:bCs/>
            <w:i w:val="0"/>
            <w:iCs/>
          </w:rPr>
          <w:t>2.8</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Parking space weather protection</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_Toc164178022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10</w:t>
        </w:r>
        <w:r w:rsidR="00C32B6A" w:rsidRPr="00C32B6A">
          <w:rPr>
            <w:b w:val="0"/>
            <w:bCs/>
            <w:i w:val="0"/>
            <w:iCs/>
            <w:webHidden/>
          </w:rPr>
          <w:fldChar w:fldCharType="end"/>
        </w:r>
      </w:hyperlink>
    </w:p>
    <w:p w14:paraId="7C0E3B3C" w14:textId="3F027651"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23" w:history="1">
        <w:r w:rsidR="00C32B6A" w:rsidRPr="00C32B6A">
          <w:rPr>
            <w:rStyle w:val="Hyperlink"/>
            <w:b w:val="0"/>
            <w:bCs/>
            <w:i w:val="0"/>
            <w:iCs/>
          </w:rPr>
          <w:t>2.9</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Accessible parking space count</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_Toc164178023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10</w:t>
        </w:r>
        <w:r w:rsidR="00C32B6A" w:rsidRPr="00C32B6A">
          <w:rPr>
            <w:b w:val="0"/>
            <w:bCs/>
            <w:i w:val="0"/>
            <w:iCs/>
            <w:webHidden/>
          </w:rPr>
          <w:fldChar w:fldCharType="end"/>
        </w:r>
      </w:hyperlink>
    </w:p>
    <w:p w14:paraId="49037012" w14:textId="79A67553"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24" w:history="1">
        <w:r w:rsidR="00C32B6A" w:rsidRPr="00C32B6A">
          <w:rPr>
            <w:rStyle w:val="Hyperlink"/>
            <w:b w:val="0"/>
            <w:bCs/>
            <w:i w:val="0"/>
            <w:iCs/>
          </w:rPr>
          <w:t>2.10</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Staff parking space count</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_Toc164178024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10</w:t>
        </w:r>
        <w:r w:rsidR="00C32B6A" w:rsidRPr="00C32B6A">
          <w:rPr>
            <w:b w:val="0"/>
            <w:bCs/>
            <w:i w:val="0"/>
            <w:iCs/>
            <w:webHidden/>
          </w:rPr>
          <w:fldChar w:fldCharType="end"/>
        </w:r>
      </w:hyperlink>
    </w:p>
    <w:p w14:paraId="23EF455F" w14:textId="6C308BA2"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25" w:history="1">
        <w:r w:rsidR="00C32B6A" w:rsidRPr="00C32B6A">
          <w:rPr>
            <w:rStyle w:val="Hyperlink"/>
            <w:b w:val="0"/>
            <w:bCs/>
            <w:i w:val="0"/>
            <w:iCs/>
          </w:rPr>
          <w:t>2.11</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Reduced vehicle speeds</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_Toc164178025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11</w:t>
        </w:r>
        <w:r w:rsidR="00C32B6A" w:rsidRPr="00C32B6A">
          <w:rPr>
            <w:b w:val="0"/>
            <w:bCs/>
            <w:i w:val="0"/>
            <w:iCs/>
            <w:webHidden/>
          </w:rPr>
          <w:fldChar w:fldCharType="end"/>
        </w:r>
      </w:hyperlink>
    </w:p>
    <w:p w14:paraId="2D451764" w14:textId="7A0BBBEF"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26" w:history="1">
        <w:r w:rsidR="00C32B6A" w:rsidRPr="00C32B6A">
          <w:rPr>
            <w:rStyle w:val="Hyperlink"/>
            <w:b w:val="0"/>
            <w:bCs/>
            <w:i w:val="0"/>
            <w:iCs/>
          </w:rPr>
          <w:t>2.12</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LHD Guidelines and SDA Standards for Dwellings</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_Toc164178026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11</w:t>
        </w:r>
        <w:r w:rsidR="00C32B6A" w:rsidRPr="00C32B6A">
          <w:rPr>
            <w:b w:val="0"/>
            <w:bCs/>
            <w:i w:val="0"/>
            <w:iCs/>
            <w:webHidden/>
          </w:rPr>
          <w:fldChar w:fldCharType="end"/>
        </w:r>
      </w:hyperlink>
    </w:p>
    <w:p w14:paraId="4E9F34EA" w14:textId="39939B0E"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27" w:history="1">
        <w:r w:rsidR="00C32B6A" w:rsidRPr="00C32B6A">
          <w:rPr>
            <w:rStyle w:val="Hyperlink"/>
            <w:b w:val="0"/>
            <w:bCs/>
            <w:i w:val="0"/>
            <w:iCs/>
          </w:rPr>
          <w:t>2.13</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Operations and amenities</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_Toc164178027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11</w:t>
        </w:r>
        <w:r w:rsidR="00C32B6A" w:rsidRPr="00C32B6A">
          <w:rPr>
            <w:b w:val="0"/>
            <w:bCs/>
            <w:i w:val="0"/>
            <w:iCs/>
            <w:webHidden/>
          </w:rPr>
          <w:fldChar w:fldCharType="end"/>
        </w:r>
      </w:hyperlink>
    </w:p>
    <w:p w14:paraId="4CBDC9D4" w14:textId="7A8A9684"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28" w:history="1">
        <w:r w:rsidR="00C32B6A" w:rsidRPr="00C32B6A">
          <w:rPr>
            <w:rStyle w:val="Hyperlink"/>
            <w:b w:val="0"/>
            <w:bCs/>
            <w:i w:val="0"/>
            <w:iCs/>
          </w:rPr>
          <w:t>2.14</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Affordable Housing</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_Toc164178028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11</w:t>
        </w:r>
        <w:r w:rsidR="00C32B6A" w:rsidRPr="00C32B6A">
          <w:rPr>
            <w:b w:val="0"/>
            <w:bCs/>
            <w:i w:val="0"/>
            <w:iCs/>
            <w:webHidden/>
          </w:rPr>
          <w:fldChar w:fldCharType="end"/>
        </w:r>
      </w:hyperlink>
    </w:p>
    <w:p w14:paraId="27F4952C" w14:textId="45D4774B" w:rsidR="00C32B6A" w:rsidRPr="00C32B6A" w:rsidRDefault="004429BC">
      <w:pPr>
        <w:pStyle w:val="TOC2"/>
        <w:rPr>
          <w:rFonts w:asciiTheme="minorHAnsi" w:eastAsiaTheme="minorEastAsia" w:hAnsiTheme="minorHAnsi" w:cstheme="minorBidi"/>
          <w:b w:val="0"/>
          <w:bCs/>
          <w:i w:val="0"/>
          <w:iCs/>
          <w:kern w:val="2"/>
          <w14:ligatures w14:val="standardContextual"/>
        </w:rPr>
      </w:pPr>
      <w:hyperlink w:anchor="_Toc164178029" w:history="1">
        <w:r w:rsidR="00C32B6A" w:rsidRPr="00C32B6A">
          <w:rPr>
            <w:rStyle w:val="Hyperlink"/>
            <w:b w:val="0"/>
            <w:bCs/>
            <w:i w:val="0"/>
            <w:iCs/>
          </w:rPr>
          <w:t>2.15</w:t>
        </w:r>
        <w:r w:rsidR="00C32B6A" w:rsidRPr="00C32B6A">
          <w:rPr>
            <w:rFonts w:asciiTheme="minorHAnsi" w:eastAsiaTheme="minorEastAsia" w:hAnsiTheme="minorHAnsi" w:cstheme="minorBidi"/>
            <w:b w:val="0"/>
            <w:bCs/>
            <w:i w:val="0"/>
            <w:iCs/>
            <w:kern w:val="2"/>
            <w14:ligatures w14:val="standardContextual"/>
          </w:rPr>
          <w:tab/>
        </w:r>
        <w:r w:rsidR="00C32B6A" w:rsidRPr="00C32B6A">
          <w:rPr>
            <w:rStyle w:val="Hyperlink"/>
            <w:b w:val="0"/>
            <w:bCs/>
            <w:i w:val="0"/>
            <w:iCs/>
          </w:rPr>
          <w:t>Self-Certification Tool</w:t>
        </w:r>
        <w:r w:rsidR="00C32B6A" w:rsidRPr="00C32B6A">
          <w:rPr>
            <w:b w:val="0"/>
            <w:bCs/>
            <w:i w:val="0"/>
            <w:iCs/>
            <w:webHidden/>
          </w:rPr>
          <w:tab/>
        </w:r>
        <w:r w:rsidR="00C32B6A" w:rsidRPr="00C32B6A">
          <w:rPr>
            <w:b w:val="0"/>
            <w:bCs/>
            <w:i w:val="0"/>
            <w:iCs/>
            <w:webHidden/>
          </w:rPr>
          <w:fldChar w:fldCharType="begin"/>
        </w:r>
        <w:r w:rsidR="00C32B6A" w:rsidRPr="00C32B6A">
          <w:rPr>
            <w:b w:val="0"/>
            <w:bCs/>
            <w:i w:val="0"/>
            <w:iCs/>
            <w:webHidden/>
          </w:rPr>
          <w:instrText xml:space="preserve"> PAGEREF _Toc164178029 \h </w:instrText>
        </w:r>
        <w:r w:rsidR="00C32B6A" w:rsidRPr="00C32B6A">
          <w:rPr>
            <w:b w:val="0"/>
            <w:bCs/>
            <w:i w:val="0"/>
            <w:iCs/>
            <w:webHidden/>
          </w:rPr>
        </w:r>
        <w:r w:rsidR="00C32B6A" w:rsidRPr="00C32B6A">
          <w:rPr>
            <w:b w:val="0"/>
            <w:bCs/>
            <w:i w:val="0"/>
            <w:iCs/>
            <w:webHidden/>
          </w:rPr>
          <w:fldChar w:fldCharType="separate"/>
        </w:r>
        <w:r w:rsidR="003F2D64">
          <w:rPr>
            <w:b w:val="0"/>
            <w:bCs/>
            <w:i w:val="0"/>
            <w:iCs/>
            <w:webHidden/>
          </w:rPr>
          <w:t>12</w:t>
        </w:r>
        <w:r w:rsidR="00C32B6A" w:rsidRPr="00C32B6A">
          <w:rPr>
            <w:b w:val="0"/>
            <w:bCs/>
            <w:i w:val="0"/>
            <w:iCs/>
            <w:webHidden/>
          </w:rPr>
          <w:fldChar w:fldCharType="end"/>
        </w:r>
      </w:hyperlink>
    </w:p>
    <w:p w14:paraId="6D0B7393" w14:textId="01062F3A" w:rsidR="00C32B6A" w:rsidRDefault="004429BC">
      <w:pPr>
        <w:pStyle w:val="TOC1"/>
        <w:rPr>
          <w:rStyle w:val="Hyperlink"/>
        </w:rPr>
      </w:pPr>
      <w:hyperlink w:anchor="_Toc164178030" w:history="1">
        <w:r w:rsidR="00C32B6A" w:rsidRPr="00021717">
          <w:rPr>
            <w:rStyle w:val="Hyperlink"/>
          </w:rPr>
          <w:t>3</w:t>
        </w:r>
        <w:r w:rsidR="00C32B6A">
          <w:rPr>
            <w:rFonts w:asciiTheme="minorHAnsi" w:eastAsiaTheme="minorEastAsia" w:hAnsiTheme="minorHAnsi" w:cstheme="minorBidi"/>
            <w:b w:val="0"/>
            <w:kern w:val="2"/>
            <w14:ligatures w14:val="standardContextual"/>
          </w:rPr>
          <w:tab/>
        </w:r>
        <w:r w:rsidR="00C32B6A" w:rsidRPr="00021717">
          <w:rPr>
            <w:rStyle w:val="Hyperlink"/>
          </w:rPr>
          <w:t>Making a submission</w:t>
        </w:r>
        <w:r w:rsidR="00C32B6A">
          <w:rPr>
            <w:webHidden/>
          </w:rPr>
          <w:tab/>
        </w:r>
        <w:r w:rsidR="00C32B6A">
          <w:rPr>
            <w:webHidden/>
          </w:rPr>
          <w:fldChar w:fldCharType="begin"/>
        </w:r>
        <w:r w:rsidR="00C32B6A">
          <w:rPr>
            <w:webHidden/>
          </w:rPr>
          <w:instrText xml:space="preserve"> PAGEREF _Toc164178030 \h </w:instrText>
        </w:r>
        <w:r w:rsidR="00C32B6A">
          <w:rPr>
            <w:webHidden/>
          </w:rPr>
        </w:r>
        <w:r w:rsidR="00C32B6A">
          <w:rPr>
            <w:webHidden/>
          </w:rPr>
          <w:fldChar w:fldCharType="separate"/>
        </w:r>
        <w:r w:rsidR="003F2D64">
          <w:rPr>
            <w:webHidden/>
          </w:rPr>
          <w:t>12</w:t>
        </w:r>
        <w:r w:rsidR="00C32B6A">
          <w:rPr>
            <w:webHidden/>
          </w:rPr>
          <w:fldChar w:fldCharType="end"/>
        </w:r>
      </w:hyperlink>
    </w:p>
    <w:p w14:paraId="54062ADE" w14:textId="77777777" w:rsidR="00C32B6A" w:rsidRDefault="00C32B6A">
      <w:pPr>
        <w:keepNext w:val="0"/>
        <w:keepLines w:val="0"/>
        <w:spacing w:before="0" w:after="0"/>
        <w:rPr>
          <w:rStyle w:val="Hyperlink"/>
          <w:b/>
          <w:noProof/>
        </w:rPr>
      </w:pPr>
      <w:r>
        <w:rPr>
          <w:rStyle w:val="Hyperlink"/>
        </w:rPr>
        <w:br w:type="page"/>
      </w:r>
    </w:p>
    <w:p w14:paraId="78C3022B" w14:textId="23A7952D" w:rsidR="00C047F5" w:rsidRDefault="000B5B68" w:rsidP="001074B8">
      <w:pPr>
        <w:pStyle w:val="Heading1"/>
        <w:numPr>
          <w:ilvl w:val="0"/>
          <w:numId w:val="0"/>
        </w:numPr>
      </w:pPr>
      <w:r w:rsidRPr="000465F1">
        <w:fldChar w:fldCharType="end"/>
      </w:r>
      <w:bookmarkStart w:id="0" w:name="_Toc164178012"/>
      <w:r w:rsidR="00C047F5">
        <w:t>Introduction</w:t>
      </w:r>
      <w:bookmarkEnd w:id="0"/>
    </w:p>
    <w:p w14:paraId="15840F9D" w14:textId="343CFC6D" w:rsidR="00462927" w:rsidRDefault="00462927" w:rsidP="00462927">
      <w:r>
        <w:t xml:space="preserve">The Australian Human Rights Commission (Commission) </w:t>
      </w:r>
      <w:r w:rsidR="00261D4D">
        <w:t xml:space="preserve">is </w:t>
      </w:r>
      <w:r>
        <w:t>partner</w:t>
      </w:r>
      <w:r w:rsidR="00261D4D">
        <w:t>ing</w:t>
      </w:r>
      <w:r>
        <w:t xml:space="preserve"> with Churchill Research Fellow, </w:t>
      </w:r>
      <w:hyperlink r:id="rId20" w:history="1">
        <w:r w:rsidRPr="00C9636C">
          <w:rPr>
            <w:rStyle w:val="Hyperlink"/>
          </w:rPr>
          <w:t>Kim Samuel</w:t>
        </w:r>
      </w:hyperlink>
      <w:r>
        <w:rPr>
          <w:rStyle w:val="Hyperlink"/>
        </w:rPr>
        <w:t xml:space="preserve"> (external link)</w:t>
      </w:r>
      <w:r>
        <w:t xml:space="preserve">, </w:t>
      </w:r>
      <w:r w:rsidR="00931737">
        <w:t>and the</w:t>
      </w:r>
      <w:r>
        <w:t xml:space="preserve"> Churchill Trust</w:t>
      </w:r>
      <w:r w:rsidR="00931737">
        <w:t xml:space="preserve">, </w:t>
      </w:r>
      <w:r>
        <w:t xml:space="preserve">to develop and pilot </w:t>
      </w:r>
      <w:r w:rsidRPr="00630EA8">
        <w:rPr>
          <w:b/>
          <w:bCs/>
        </w:rPr>
        <w:t>Australian Design Guidelines for Access and Inclusion in Residential Development</w:t>
      </w:r>
      <w:r w:rsidR="00611CDF">
        <w:t xml:space="preserve">. </w:t>
      </w:r>
    </w:p>
    <w:p w14:paraId="004E0535" w14:textId="4A9D4F6A" w:rsidR="002A183D" w:rsidRDefault="00462927" w:rsidP="00462927">
      <w:r>
        <w:t xml:space="preserve">This project forms phase 3 of the Commission’s </w:t>
      </w:r>
      <w:hyperlink r:id="rId21" w:history="1">
        <w:r w:rsidRPr="008563BA">
          <w:rPr>
            <w:rStyle w:val="Hyperlink"/>
          </w:rPr>
          <w:t>Accessible Housing Project</w:t>
        </w:r>
      </w:hyperlink>
      <w:r w:rsidR="0002169E">
        <w:rPr>
          <w:rStyle w:val="Hyperlink"/>
        </w:rPr>
        <w:t xml:space="preserve"> (external link)</w:t>
      </w:r>
      <w:r>
        <w:t xml:space="preserve">. It has been informed by the Commission’s scoping study on </w:t>
      </w:r>
      <w:hyperlink r:id="rId22" w:history="1">
        <w:r w:rsidR="0002169E">
          <w:rPr>
            <w:rStyle w:val="Hyperlink"/>
          </w:rPr>
          <w:t>Adaptable Housing for People with Disability In Australia (external link)</w:t>
        </w:r>
      </w:hyperlink>
      <w:r w:rsidR="0002169E">
        <w:t xml:space="preserve"> </w:t>
      </w:r>
      <w:r>
        <w:t xml:space="preserve">and Kim Samuel’s Churchill </w:t>
      </w:r>
      <w:hyperlink r:id="rId23" w:history="1">
        <w:r w:rsidR="0002169E">
          <w:rPr>
            <w:rStyle w:val="Hyperlink"/>
          </w:rPr>
          <w:t>research report (external link)</w:t>
        </w:r>
      </w:hyperlink>
      <w:r>
        <w:t xml:space="preserve"> on best-practice approaches to the delivery of inclusive and accessible housing, which recommended the development of</w:t>
      </w:r>
      <w:r w:rsidR="00AD1B49">
        <w:t xml:space="preserve"> Access and Inclusion</w:t>
      </w:r>
      <w:r>
        <w:t xml:space="preserve"> Guidelines</w:t>
      </w:r>
      <w:r w:rsidR="00AD1B49">
        <w:t xml:space="preserve"> for the Australian </w:t>
      </w:r>
      <w:r w:rsidR="00F04741">
        <w:t>r</w:t>
      </w:r>
      <w:r w:rsidR="00AD1B49">
        <w:t xml:space="preserve">esidential </w:t>
      </w:r>
      <w:r w:rsidR="00F04741">
        <w:t>d</w:t>
      </w:r>
      <w:r w:rsidR="00AD1B49">
        <w:t>evelopment context</w:t>
      </w:r>
      <w:r>
        <w:t xml:space="preserve">. </w:t>
      </w:r>
    </w:p>
    <w:p w14:paraId="7443A3D2" w14:textId="739BAFBE" w:rsidR="0056285C" w:rsidRDefault="0056285C" w:rsidP="00462927">
      <w:r w:rsidRPr="5518962A">
        <w:rPr>
          <w:rStyle w:val="eop"/>
          <w:rFonts w:cs="Open Sans"/>
        </w:rPr>
        <w:t xml:space="preserve">The Guidelines will be the first of its kind developed for </w:t>
      </w:r>
      <w:r>
        <w:t>the Australian policy and regulatory context, integrating, and building on existing</w:t>
      </w:r>
      <w:r w:rsidR="00016A1E">
        <w:t xml:space="preserve"> </w:t>
      </w:r>
      <w:r w:rsidR="0091615D">
        <w:t xml:space="preserve">minimum </w:t>
      </w:r>
      <w:r>
        <w:t>accessibility standards within the National Construction Code</w:t>
      </w:r>
      <w:r w:rsidR="00083F7C">
        <w:t xml:space="preserve"> (NCC)</w:t>
      </w:r>
      <w:r>
        <w:t xml:space="preserve">, Liveable Housing Design </w:t>
      </w:r>
      <w:r w:rsidR="002B1FC8">
        <w:t xml:space="preserve">(LHD) </w:t>
      </w:r>
      <w:r>
        <w:t>Guidelines and NDIS Specialist Disability Accommodation requirements, applying universal design principles. The Guidelines bring together all accessibility requirements and best-practice innovations into one comprehensive framework</w:t>
      </w:r>
      <w:r w:rsidR="008D6706">
        <w:t xml:space="preserve"> for creating accessible residential spaces</w:t>
      </w:r>
      <w:r>
        <w:t xml:space="preserve">. </w:t>
      </w:r>
      <w:r w:rsidR="00DD35F8">
        <w:rPr>
          <w:rStyle w:val="eop"/>
          <w:rFonts w:cs="Open Sans"/>
        </w:rPr>
        <w:t>They have been designed to be used by anyone involved in designing, delivering, and/or managing housing and housing policy in Australia.</w:t>
      </w:r>
    </w:p>
    <w:p w14:paraId="19624B5F" w14:textId="2A15515E" w:rsidR="00462927" w:rsidRDefault="00462927" w:rsidP="00462927">
      <w:pPr>
        <w:rPr>
          <w:rStyle w:val="eop"/>
          <w:rFonts w:cs="Open Sans"/>
        </w:rPr>
      </w:pPr>
      <w:r>
        <w:t>The</w:t>
      </w:r>
      <w:r w:rsidR="00B86CEC">
        <w:t xml:space="preserve"> </w:t>
      </w:r>
      <w:r w:rsidR="00BE6D95">
        <w:t>G</w:t>
      </w:r>
      <w:r>
        <w:t>uidelines</w:t>
      </w:r>
      <w:r w:rsidR="00111EC9">
        <w:t xml:space="preserve"> aim to improve housing accessibility and enhance community inclusion for people with disability. </w:t>
      </w:r>
      <w:r w:rsidR="00BE6D95">
        <w:t xml:space="preserve">They </w:t>
      </w:r>
      <w:r>
        <w:t xml:space="preserve">specifically </w:t>
      </w:r>
      <w:r w:rsidRPr="00486F78">
        <w:rPr>
          <w:rStyle w:val="eop"/>
          <w:rFonts w:cs="Open Sans"/>
        </w:rPr>
        <w:t>address the need to ensure all housing is constructed in way that not only meets minimum accessibility standards but can exceed these through thoughtful, innovative, flexible, and inclusive cross-disability approaches to universal design that benefits all people</w:t>
      </w:r>
      <w:r>
        <w:rPr>
          <w:rStyle w:val="eop"/>
          <w:rFonts w:cs="Open Sans"/>
        </w:rPr>
        <w:t xml:space="preserve">. </w:t>
      </w:r>
    </w:p>
    <w:p w14:paraId="58741E97" w14:textId="75945C09" w:rsidR="003B1615" w:rsidRPr="003B1615" w:rsidRDefault="00B81C1D" w:rsidP="003B1615">
      <w:pPr>
        <w:keepNext w:val="0"/>
        <w:keepLines w:val="0"/>
        <w:spacing w:before="0" w:after="0"/>
        <w:contextualSpacing/>
        <w:rPr>
          <w:rStyle w:val="eop"/>
          <w:rFonts w:cs="Open Sans"/>
        </w:rPr>
      </w:pPr>
      <w:r>
        <w:t xml:space="preserve">Housing based on </w:t>
      </w:r>
      <w:r w:rsidR="00664021">
        <w:t>u</w:t>
      </w:r>
      <w:r w:rsidR="004D6928" w:rsidRPr="00D62126">
        <w:t xml:space="preserve">niversal design </w:t>
      </w:r>
      <w:r w:rsidR="00F34079">
        <w:t xml:space="preserve">also </w:t>
      </w:r>
      <w:r w:rsidR="004D6928" w:rsidRPr="00D62126">
        <w:t xml:space="preserve">minimises the costs of retrofitting housing for accessibility as our population ages and allows people to remain within their community as they age. </w:t>
      </w:r>
      <w:r w:rsidR="00462927" w:rsidRPr="003E218E">
        <w:rPr>
          <w:rFonts w:cs="Open Sans"/>
        </w:rPr>
        <w:t>Design that embraces diversity maximises widespread access and usability and is a powerful source of innovation and creativity</w:t>
      </w:r>
      <w:r w:rsidR="002411AC">
        <w:rPr>
          <w:rFonts w:cs="Open Sans"/>
        </w:rPr>
        <w:t>,</w:t>
      </w:r>
      <w:r w:rsidR="00462927" w:rsidRPr="003E218E">
        <w:rPr>
          <w:rFonts w:cs="Open Sans"/>
        </w:rPr>
        <w:t xml:space="preserve"> delivering cost savings across multiple sectors including the health and justice systems</w:t>
      </w:r>
      <w:r w:rsidR="00894724">
        <w:rPr>
          <w:rFonts w:cs="Open Sans"/>
        </w:rPr>
        <w:t>.</w:t>
      </w:r>
      <w:r w:rsidR="00462927">
        <w:rPr>
          <w:rStyle w:val="eop"/>
          <w:rFonts w:cs="Open Sans"/>
        </w:rPr>
        <w:t xml:space="preserve">  </w:t>
      </w:r>
    </w:p>
    <w:p w14:paraId="69DDF697" w14:textId="16ED40DB" w:rsidR="00894724" w:rsidRPr="00A151DB" w:rsidRDefault="00EC70EB" w:rsidP="00A151DB">
      <w:pPr>
        <w:rPr>
          <w:rStyle w:val="eop"/>
          <w:rFonts w:cs="Open Sans"/>
        </w:rPr>
      </w:pPr>
      <w:r>
        <w:rPr>
          <w:rStyle w:val="eop"/>
          <w:rFonts w:cs="Open Sans"/>
        </w:rPr>
        <w:t xml:space="preserve">The Guidelines </w:t>
      </w:r>
      <w:r w:rsidR="001B6A6D">
        <w:rPr>
          <w:rStyle w:val="eop"/>
          <w:rFonts w:cs="Open Sans"/>
        </w:rPr>
        <w:t>are</w:t>
      </w:r>
      <w:r w:rsidR="0092564E">
        <w:rPr>
          <w:rStyle w:val="eop"/>
          <w:rFonts w:cs="Open Sans"/>
        </w:rPr>
        <w:t xml:space="preserve"> </w:t>
      </w:r>
      <w:r w:rsidR="001B6A6D">
        <w:rPr>
          <w:rStyle w:val="eop"/>
          <w:rFonts w:cs="Open Sans"/>
        </w:rPr>
        <w:t>proposed</w:t>
      </w:r>
      <w:r>
        <w:rPr>
          <w:rStyle w:val="eop"/>
          <w:rFonts w:cs="Open Sans"/>
        </w:rPr>
        <w:t xml:space="preserve"> </w:t>
      </w:r>
      <w:r w:rsidR="009025AC">
        <w:rPr>
          <w:rStyle w:val="eop"/>
          <w:rFonts w:cs="Open Sans"/>
        </w:rPr>
        <w:t xml:space="preserve">as a </w:t>
      </w:r>
      <w:r>
        <w:rPr>
          <w:rStyle w:val="eop"/>
          <w:rFonts w:cs="Open Sans"/>
        </w:rPr>
        <w:t>voluntary tool with the intent to demonstrate the broader soci</w:t>
      </w:r>
      <w:r w:rsidR="00773B66">
        <w:rPr>
          <w:rStyle w:val="eop"/>
          <w:rFonts w:cs="Open Sans"/>
        </w:rPr>
        <w:t>etal and economic benefit of accessible and inclusive</w:t>
      </w:r>
      <w:r w:rsidR="004D3C8D">
        <w:rPr>
          <w:rStyle w:val="eop"/>
          <w:rFonts w:cs="Open Sans"/>
        </w:rPr>
        <w:t xml:space="preserve"> universal</w:t>
      </w:r>
      <w:r w:rsidR="00773B66">
        <w:rPr>
          <w:rStyle w:val="eop"/>
          <w:rFonts w:cs="Open Sans"/>
        </w:rPr>
        <w:t xml:space="preserve"> design</w:t>
      </w:r>
      <w:r w:rsidR="00E738DC">
        <w:rPr>
          <w:rStyle w:val="eop"/>
          <w:rFonts w:cs="Open Sans"/>
        </w:rPr>
        <w:t xml:space="preserve">, embedded </w:t>
      </w:r>
      <w:r w:rsidR="0041194F">
        <w:rPr>
          <w:rStyle w:val="eop"/>
          <w:rFonts w:cs="Open Sans"/>
        </w:rPr>
        <w:t>at all stages</w:t>
      </w:r>
      <w:r w:rsidR="00C616DD">
        <w:rPr>
          <w:rStyle w:val="eop"/>
          <w:rFonts w:cs="Open Sans"/>
        </w:rPr>
        <w:t xml:space="preserve">. </w:t>
      </w:r>
      <w:r w:rsidR="002E34F6">
        <w:rPr>
          <w:rStyle w:val="eop"/>
          <w:rFonts w:cs="Open Sans"/>
        </w:rPr>
        <w:t xml:space="preserve">Consequently, the Guidelines </w:t>
      </w:r>
      <w:r w:rsidR="00BA1B6E">
        <w:rPr>
          <w:rStyle w:val="eop"/>
          <w:rFonts w:cs="Open Sans"/>
        </w:rPr>
        <w:t xml:space="preserve">can </w:t>
      </w:r>
      <w:r w:rsidR="001E4098">
        <w:rPr>
          <w:rStyle w:val="eop"/>
          <w:rFonts w:cs="Open Sans"/>
        </w:rPr>
        <w:t xml:space="preserve">contribute to reframing accessibility as an essential and beneficial element </w:t>
      </w:r>
      <w:r w:rsidR="009E4ADB">
        <w:rPr>
          <w:rStyle w:val="eop"/>
          <w:rFonts w:cs="Open Sans"/>
        </w:rPr>
        <w:t xml:space="preserve">of housing </w:t>
      </w:r>
      <w:r w:rsidR="004C5027">
        <w:rPr>
          <w:rStyle w:val="eop"/>
          <w:rFonts w:cs="Open Sans"/>
        </w:rPr>
        <w:t>design and policy and</w:t>
      </w:r>
      <w:r w:rsidR="00942A81">
        <w:rPr>
          <w:rStyle w:val="eop"/>
          <w:rFonts w:cs="Open Sans"/>
        </w:rPr>
        <w:t xml:space="preserve"> be used by </w:t>
      </w:r>
      <w:r w:rsidR="00FD7553">
        <w:rPr>
          <w:rStyle w:val="eop"/>
          <w:rFonts w:cs="Open Sans"/>
        </w:rPr>
        <w:t xml:space="preserve">policymakers as a best-practice model. </w:t>
      </w:r>
      <w:r w:rsidR="00894724">
        <w:rPr>
          <w:rStyle w:val="eop"/>
          <w:rFonts w:cs="Open Sans"/>
          <w:highlight w:val="yellow"/>
        </w:rPr>
        <w:br w:type="page"/>
      </w:r>
    </w:p>
    <w:p w14:paraId="12268FB5" w14:textId="4224AD0B" w:rsidR="00197A2C" w:rsidRDefault="000849F8" w:rsidP="00C047F5">
      <w:pPr>
        <w:pStyle w:val="AHRCHeading1"/>
      </w:pPr>
      <w:bookmarkStart w:id="1" w:name="_Toc164178013"/>
      <w:r>
        <w:t>Summary of the Guidelines</w:t>
      </w:r>
      <w:bookmarkEnd w:id="1"/>
    </w:p>
    <w:p w14:paraId="017CB4BB" w14:textId="74E11AD8" w:rsidR="0002169E" w:rsidRDefault="0002169E" w:rsidP="00894724">
      <w:pPr>
        <w:rPr>
          <w:rStyle w:val="eop"/>
          <w:rFonts w:cs="Open Sans"/>
        </w:rPr>
      </w:pPr>
      <w:r w:rsidRPr="0097680B">
        <w:rPr>
          <w:rStyle w:val="normaltextrun"/>
          <w:rFonts w:cs="Open Sans"/>
        </w:rPr>
        <w:t xml:space="preserve">The </w:t>
      </w:r>
      <w:r w:rsidR="00832594">
        <w:rPr>
          <w:rStyle w:val="normaltextrun"/>
          <w:rFonts w:cs="Open Sans"/>
        </w:rPr>
        <w:t>d</w:t>
      </w:r>
      <w:r>
        <w:rPr>
          <w:rStyle w:val="normaltextrun"/>
          <w:rFonts w:cs="Open Sans"/>
        </w:rPr>
        <w:t xml:space="preserve">raft </w:t>
      </w:r>
      <w:r w:rsidRPr="0097680B">
        <w:rPr>
          <w:rStyle w:val="normaltextrun"/>
          <w:rFonts w:cs="Open Sans"/>
        </w:rPr>
        <w:t>Guideline</w:t>
      </w:r>
      <w:r w:rsidR="008F1DF3">
        <w:rPr>
          <w:rStyle w:val="normaltextrun"/>
          <w:rFonts w:cs="Open Sans"/>
        </w:rPr>
        <w:t>s</w:t>
      </w:r>
      <w:r>
        <w:rPr>
          <w:rStyle w:val="normaltextrun"/>
          <w:rFonts w:cs="Open Sans"/>
        </w:rPr>
        <w:t xml:space="preserve"> </w:t>
      </w:r>
      <w:r w:rsidRPr="0097680B">
        <w:rPr>
          <w:rStyle w:val="normaltextrun"/>
          <w:rFonts w:cs="Open Sans"/>
        </w:rPr>
        <w:t xml:space="preserve">build on </w:t>
      </w:r>
      <w:r>
        <w:rPr>
          <w:rStyle w:val="normaltextrun"/>
          <w:rFonts w:cs="Open Sans"/>
        </w:rPr>
        <w:t>the</w:t>
      </w:r>
      <w:r w:rsidRPr="0097680B">
        <w:rPr>
          <w:rStyle w:val="normaltextrun"/>
          <w:rFonts w:cs="Open Sans"/>
        </w:rPr>
        <w:t xml:space="preserve"> innovations in the design standards </w:t>
      </w:r>
      <w:r w:rsidR="00132FDD">
        <w:rPr>
          <w:rStyle w:val="normaltextrun"/>
          <w:rFonts w:cs="Open Sans"/>
        </w:rPr>
        <w:t>developed</w:t>
      </w:r>
      <w:r w:rsidRPr="0097680B">
        <w:rPr>
          <w:rStyle w:val="normaltextrun"/>
          <w:rFonts w:cs="Open Sans"/>
        </w:rPr>
        <w:t xml:space="preserve"> by </w:t>
      </w:r>
      <w:hyperlink r:id="rId24" w:history="1">
        <w:r w:rsidRPr="009951A8">
          <w:rPr>
            <w:rStyle w:val="Hyperlink"/>
            <w:rFonts w:cs="Open Sans"/>
          </w:rPr>
          <w:t>the Kelsey</w:t>
        </w:r>
      </w:hyperlink>
      <w:r>
        <w:rPr>
          <w:rStyle w:val="Hyperlink"/>
          <w:rFonts w:cs="Open Sans"/>
        </w:rPr>
        <w:t xml:space="preserve"> (external link)</w:t>
      </w:r>
      <w:r w:rsidRPr="0097680B">
        <w:rPr>
          <w:rStyle w:val="normaltextrun"/>
          <w:rFonts w:cs="Open Sans"/>
        </w:rPr>
        <w:t xml:space="preserve"> </w:t>
      </w:r>
      <w:r>
        <w:rPr>
          <w:rStyle w:val="normaltextrun"/>
          <w:rFonts w:cs="Open Sans"/>
        </w:rPr>
        <w:t xml:space="preserve">– </w:t>
      </w:r>
      <w:r w:rsidRPr="00C95667">
        <w:rPr>
          <w:rStyle w:val="normaltextrun"/>
          <w:rFonts w:cs="Open Sans"/>
        </w:rPr>
        <w:t xml:space="preserve">a San Francisco </w:t>
      </w:r>
      <w:r w:rsidRPr="00693AC5">
        <w:t xml:space="preserve">based accessible and affordable housing delivery organisation </w:t>
      </w:r>
      <w:r>
        <w:rPr>
          <w:rStyle w:val="normaltextrun"/>
          <w:rFonts w:cs="Open Sans"/>
        </w:rPr>
        <w:t>–</w:t>
      </w:r>
      <w:r>
        <w:t xml:space="preserve"> </w:t>
      </w:r>
      <w:r w:rsidRPr="0097680B">
        <w:rPr>
          <w:rStyle w:val="normaltextrun"/>
          <w:rFonts w:cs="Open Sans"/>
        </w:rPr>
        <w:t>which take a cross-disability approach and build</w:t>
      </w:r>
      <w:r>
        <w:rPr>
          <w:rStyle w:val="normaltextrun"/>
          <w:rFonts w:cs="Open Sans"/>
        </w:rPr>
        <w:t>s</w:t>
      </w:r>
      <w:r w:rsidRPr="0097680B">
        <w:rPr>
          <w:rStyle w:val="normaltextrun"/>
          <w:rFonts w:cs="Open Sans"/>
        </w:rPr>
        <w:t xml:space="preserve"> in accessibility considerations at all phases of the design process including the operational stage.</w:t>
      </w:r>
      <w:r w:rsidRPr="0097680B">
        <w:rPr>
          <w:rStyle w:val="normaltextrun"/>
          <w:rFonts w:ascii="Arial" w:hAnsi="Arial" w:cs="Arial"/>
        </w:rPr>
        <w:t> </w:t>
      </w:r>
      <w:r>
        <w:rPr>
          <w:rStyle w:val="eop"/>
          <w:rFonts w:cs="Open Sans"/>
        </w:rPr>
        <w:t>The Kelsey</w:t>
      </w:r>
      <w:r w:rsidR="004B5EA4">
        <w:rPr>
          <w:rStyle w:val="eop"/>
          <w:rFonts w:cs="Open Sans"/>
        </w:rPr>
        <w:t xml:space="preserve"> Housing</w:t>
      </w:r>
      <w:r>
        <w:rPr>
          <w:rStyle w:val="eop"/>
          <w:rFonts w:cs="Open Sans"/>
        </w:rPr>
        <w:t xml:space="preserve"> </w:t>
      </w:r>
      <w:r w:rsidR="004B5EA4">
        <w:rPr>
          <w:rStyle w:val="eop"/>
          <w:rFonts w:cs="Open Sans"/>
        </w:rPr>
        <w:t>D</w:t>
      </w:r>
      <w:r>
        <w:rPr>
          <w:rStyle w:val="eop"/>
          <w:rFonts w:cs="Open Sans"/>
        </w:rPr>
        <w:t xml:space="preserve">esign </w:t>
      </w:r>
      <w:r w:rsidR="004B5EA4">
        <w:rPr>
          <w:rStyle w:val="eop"/>
          <w:rFonts w:cs="Open Sans"/>
        </w:rPr>
        <w:t>S</w:t>
      </w:r>
      <w:r>
        <w:rPr>
          <w:rStyle w:val="eop"/>
          <w:rFonts w:cs="Open Sans"/>
        </w:rPr>
        <w:t xml:space="preserve">tandards were identified as a best-practice model in Kim Samuels Churchill research report which explored international approaches to the delivery of accessible and inclusive housing.  </w:t>
      </w:r>
    </w:p>
    <w:p w14:paraId="706068FE" w14:textId="341B2F5D" w:rsidR="009C5B91" w:rsidRDefault="00476C8E" w:rsidP="00894724">
      <w:r w:rsidRPr="00693AC5">
        <w:t xml:space="preserve">The </w:t>
      </w:r>
      <w:r w:rsidR="00F056B7">
        <w:t>d</w:t>
      </w:r>
      <w:r w:rsidRPr="00693AC5">
        <w:t>raft Guideline</w:t>
      </w:r>
      <w:r w:rsidR="00F056B7">
        <w:t>s</w:t>
      </w:r>
      <w:r w:rsidRPr="00693AC5">
        <w:t xml:space="preserve"> break down design choices, development processes, and operation strategies into </w:t>
      </w:r>
      <w:r w:rsidR="00AC025C">
        <w:t>e</w:t>
      </w:r>
      <w:r w:rsidRPr="00693AC5">
        <w:t>lements</w:t>
      </w:r>
      <w:r>
        <w:t xml:space="preserve">, impact areas and additional benefits, assigning a point value for various levels of accessibility achieved. </w:t>
      </w:r>
    </w:p>
    <w:p w14:paraId="7E9CBCAF" w14:textId="796C5C23" w:rsidR="00083F7C" w:rsidRDefault="00213048" w:rsidP="00083F7C">
      <w:r>
        <w:t xml:space="preserve">While proposed as voluntary, the Guidelines encompass all mandatory accessibility requirements from existing codes. </w:t>
      </w:r>
      <w:r w:rsidR="00083F7C">
        <w:t xml:space="preserve">By integrating the NCC and </w:t>
      </w:r>
      <w:r w:rsidR="002B1FC8">
        <w:t>s</w:t>
      </w:r>
      <w:r w:rsidR="00083F7C">
        <w:t>ilver level LHD</w:t>
      </w:r>
      <w:r w:rsidR="002B1FC8">
        <w:t xml:space="preserve"> </w:t>
      </w:r>
      <w:r w:rsidR="00083F7C">
        <w:t xml:space="preserve">Guidelines, the draft </w:t>
      </w:r>
      <w:r w:rsidR="002B1FC8">
        <w:t>G</w:t>
      </w:r>
      <w:r w:rsidR="00083F7C">
        <w:t xml:space="preserve">uidelines strike a balance between cost-effectiveness and inclusivity in residential construction, with additional recognition for development that achieves a high level of accessibility and inclusivity. </w:t>
      </w:r>
    </w:p>
    <w:p w14:paraId="7263BB56" w14:textId="18094151" w:rsidR="0050746E" w:rsidRDefault="009C5B91" w:rsidP="00894724">
      <w:r>
        <w:t xml:space="preserve">Housing developers use the point system in the </w:t>
      </w:r>
      <w:r w:rsidR="00E613AF">
        <w:t>G</w:t>
      </w:r>
      <w:r>
        <w:t xml:space="preserve">uidelines to self-certify against each </w:t>
      </w:r>
      <w:r w:rsidRPr="009C5B91">
        <w:t>design category receiving a rating of either essential, silver, gold or platinum</w:t>
      </w:r>
      <w:r w:rsidR="001E50BC">
        <w:t xml:space="preserve">, using </w:t>
      </w:r>
      <w:r w:rsidR="001E50BC" w:rsidRPr="00C32B6A">
        <w:t xml:space="preserve">the </w:t>
      </w:r>
      <w:hyperlink r:id="rId25" w:history="1">
        <w:r w:rsidR="00895EC9" w:rsidRPr="00895EC9">
          <w:rPr>
            <w:rStyle w:val="Hyperlink"/>
          </w:rPr>
          <w:t>self-certification tool (external link)</w:t>
        </w:r>
      </w:hyperlink>
      <w:r w:rsidRPr="009C5B91">
        <w:t xml:space="preserve">. There are also opportunities to receive Exemplary Badges across various impact areas, in addition to full certification. </w:t>
      </w:r>
      <w:r w:rsidR="0050746E">
        <w:t xml:space="preserve">These are explained in detail in the draft Guidelines. </w:t>
      </w:r>
    </w:p>
    <w:p w14:paraId="601F02E9" w14:textId="497BB80A" w:rsidR="00345B3F" w:rsidRDefault="0002169E" w:rsidP="00894724">
      <w:pPr>
        <w:rPr>
          <w:rStyle w:val="normaltextrun"/>
          <w:rFonts w:cs="Open Sans"/>
        </w:rPr>
      </w:pPr>
      <w:r w:rsidRPr="0097680B">
        <w:rPr>
          <w:rStyle w:val="normaltextrun"/>
          <w:rFonts w:cs="Open Sans"/>
        </w:rPr>
        <w:t xml:space="preserve">The draft Guidelines </w:t>
      </w:r>
      <w:r>
        <w:rPr>
          <w:rStyle w:val="normaltextrun"/>
          <w:rFonts w:cs="Open Sans"/>
        </w:rPr>
        <w:t xml:space="preserve">have been </w:t>
      </w:r>
      <w:r w:rsidRPr="0097680B">
        <w:rPr>
          <w:rStyle w:val="normaltextrun"/>
          <w:rFonts w:cs="Open Sans"/>
        </w:rPr>
        <w:t>designed to respond to</w:t>
      </w:r>
      <w:r>
        <w:rPr>
          <w:rStyle w:val="normaltextrun"/>
          <w:rFonts w:cs="Open Sans"/>
        </w:rPr>
        <w:t xml:space="preserve"> Australia’s</w:t>
      </w:r>
      <w:r w:rsidRPr="0097680B">
        <w:rPr>
          <w:rStyle w:val="normaltextrun"/>
          <w:rFonts w:cs="Open Sans"/>
        </w:rPr>
        <w:t xml:space="preserve"> </w:t>
      </w:r>
      <w:r>
        <w:rPr>
          <w:rStyle w:val="normaltextrun"/>
          <w:rFonts w:cs="Open Sans"/>
        </w:rPr>
        <w:t xml:space="preserve">unique </w:t>
      </w:r>
      <w:r w:rsidRPr="0097680B">
        <w:rPr>
          <w:rStyle w:val="normaltextrun"/>
          <w:rFonts w:cs="Open Sans"/>
        </w:rPr>
        <w:t>cultural diversity, geographic constraints, and the importance of</w:t>
      </w:r>
      <w:r w:rsidRPr="0097680B">
        <w:rPr>
          <w:rStyle w:val="normaltextrun"/>
          <w:rFonts w:ascii="Arial" w:hAnsi="Arial" w:cs="Arial"/>
        </w:rPr>
        <w:t> </w:t>
      </w:r>
      <w:r w:rsidRPr="0097680B">
        <w:rPr>
          <w:rStyle w:val="normaltextrun"/>
          <w:rFonts w:cs="Open Sans"/>
        </w:rPr>
        <w:t>supporting resilience and inclusivity across a range of urban, regional, and remote communications.</w:t>
      </w:r>
      <w:r>
        <w:rPr>
          <w:rStyle w:val="normaltextrun"/>
          <w:rFonts w:cs="Open Sans"/>
        </w:rPr>
        <w:t xml:space="preserve"> They apply to a wide range of housing types and have been intentionally designed to suit both retrofitting and new builds. </w:t>
      </w:r>
    </w:p>
    <w:p w14:paraId="753B851D" w14:textId="40A196E4" w:rsidR="00C047F5" w:rsidRPr="00C32B6A" w:rsidRDefault="00C047F5" w:rsidP="00C047F5">
      <w:pPr>
        <w:pStyle w:val="AHRCHeading1"/>
      </w:pPr>
      <w:bookmarkStart w:id="2" w:name="_Toc164178014"/>
      <w:r>
        <w:t xml:space="preserve">Consultation </w:t>
      </w:r>
      <w:r w:rsidRPr="00C32B6A">
        <w:t>Questions</w:t>
      </w:r>
      <w:bookmarkEnd w:id="2"/>
    </w:p>
    <w:p w14:paraId="7BA7E95C" w14:textId="43633D88" w:rsidR="009F004B" w:rsidRDefault="00F324A4" w:rsidP="009F004B">
      <w:pPr>
        <w:rPr>
          <w:rStyle w:val="eop"/>
          <w:rFonts w:cs="Open Sans"/>
        </w:rPr>
      </w:pPr>
      <w:r w:rsidRPr="00C32B6A">
        <w:rPr>
          <w:rStyle w:val="eop"/>
          <w:rFonts w:cs="Open Sans"/>
        </w:rPr>
        <w:t>The Commission is seeking feedback from relevant stakeholders on the</w:t>
      </w:r>
      <w:r w:rsidR="006C094F" w:rsidRPr="00C32B6A">
        <w:rPr>
          <w:rStyle w:val="eop"/>
          <w:rFonts w:cs="Open Sans"/>
        </w:rPr>
        <w:t xml:space="preserve"> </w:t>
      </w:r>
      <w:r w:rsidR="00832594" w:rsidRPr="00C32B6A">
        <w:rPr>
          <w:rStyle w:val="eop"/>
          <w:rFonts w:cs="Open Sans"/>
        </w:rPr>
        <w:t>d</w:t>
      </w:r>
      <w:r w:rsidRPr="00C32B6A">
        <w:rPr>
          <w:rStyle w:val="eop"/>
          <w:rFonts w:cs="Open Sans"/>
        </w:rPr>
        <w:t>raft Guideline</w:t>
      </w:r>
      <w:r w:rsidR="00D72680">
        <w:rPr>
          <w:rStyle w:val="eop"/>
          <w:rFonts w:cs="Open Sans"/>
        </w:rPr>
        <w:t xml:space="preserve"> </w:t>
      </w:r>
      <w:r w:rsidR="005907A9">
        <w:rPr>
          <w:rStyle w:val="eop"/>
          <w:rFonts w:cs="Open Sans"/>
        </w:rPr>
        <w:t xml:space="preserve">— </w:t>
      </w:r>
      <w:r w:rsidR="00895EC9">
        <w:rPr>
          <w:rStyle w:val="eop"/>
          <w:rFonts w:cs="Open Sans"/>
        </w:rPr>
        <w:t xml:space="preserve">see </w:t>
      </w:r>
      <w:hyperlink r:id="rId26" w:history="1">
        <w:r w:rsidR="00D72680">
          <w:rPr>
            <w:rStyle w:val="Hyperlink"/>
            <w:rFonts w:cs="Open Sans"/>
          </w:rPr>
          <w:t>PDF (external link)</w:t>
        </w:r>
      </w:hyperlink>
      <w:r w:rsidR="00895EC9">
        <w:rPr>
          <w:rStyle w:val="eop"/>
          <w:rFonts w:cs="Open Sans"/>
        </w:rPr>
        <w:t xml:space="preserve"> and </w:t>
      </w:r>
      <w:hyperlink r:id="rId27" w:history="1">
        <w:r w:rsidR="00895EC9" w:rsidRPr="000A3D0A">
          <w:rPr>
            <w:rStyle w:val="Hyperlink"/>
            <w:rFonts w:cs="Open Sans"/>
          </w:rPr>
          <w:t>accessible Word</w:t>
        </w:r>
        <w:r w:rsidR="00D72680" w:rsidRPr="000A3D0A">
          <w:rPr>
            <w:rStyle w:val="Hyperlink"/>
            <w:rFonts w:cs="Open Sans"/>
          </w:rPr>
          <w:t xml:space="preserve"> (external link)</w:t>
        </w:r>
      </w:hyperlink>
      <w:r w:rsidR="00D72680">
        <w:rPr>
          <w:rStyle w:val="eop"/>
          <w:rFonts w:cs="Open Sans"/>
        </w:rPr>
        <w:t xml:space="preserve"> </w:t>
      </w:r>
      <w:r w:rsidR="005907A9">
        <w:rPr>
          <w:rStyle w:val="eop"/>
          <w:rFonts w:cs="Open Sans"/>
        </w:rPr>
        <w:t xml:space="preserve">— </w:t>
      </w:r>
      <w:r w:rsidRPr="00C32B6A">
        <w:rPr>
          <w:rStyle w:val="eop"/>
          <w:rFonts w:cs="Open Sans"/>
        </w:rPr>
        <w:t>to ensure that it is fit for purpose and considers a broad range of accessibility needs</w:t>
      </w:r>
      <w:r>
        <w:rPr>
          <w:rStyle w:val="eop"/>
          <w:rFonts w:cs="Open Sans"/>
        </w:rPr>
        <w:t>, inclusion elements, intersectionality, best practice universal design, and regulatory requirements.</w:t>
      </w:r>
      <w:r w:rsidR="009F004B" w:rsidRPr="009F004B">
        <w:t xml:space="preserve"> </w:t>
      </w:r>
      <w:r w:rsidR="009F004B" w:rsidRPr="009F004B">
        <w:rPr>
          <w:rStyle w:val="eop"/>
          <w:rFonts w:cs="Open Sans"/>
        </w:rPr>
        <w:t xml:space="preserve">We are particularly interested in stakeholder views on the following areas: </w:t>
      </w:r>
    </w:p>
    <w:p w14:paraId="319E363F" w14:textId="77777777" w:rsidR="009F004B" w:rsidRDefault="009F004B" w:rsidP="009F004B">
      <w:pPr>
        <w:pStyle w:val="ListParagraph"/>
        <w:numPr>
          <w:ilvl w:val="0"/>
          <w:numId w:val="33"/>
        </w:numPr>
        <w:rPr>
          <w:rStyle w:val="eop"/>
          <w:rFonts w:cs="Open Sans"/>
        </w:rPr>
      </w:pPr>
      <w:r w:rsidRPr="009F004B">
        <w:rPr>
          <w:rStyle w:val="eop"/>
          <w:rFonts w:cs="Open Sans"/>
        </w:rPr>
        <w:t xml:space="preserve">Technical expertise on the identified elements, including essential and minimum requirements. </w:t>
      </w:r>
    </w:p>
    <w:p w14:paraId="25C808E9" w14:textId="2266BF25" w:rsidR="009F004B" w:rsidRDefault="009F004B" w:rsidP="009F004B">
      <w:pPr>
        <w:pStyle w:val="ListParagraph"/>
        <w:numPr>
          <w:ilvl w:val="0"/>
          <w:numId w:val="33"/>
        </w:numPr>
        <w:rPr>
          <w:rStyle w:val="eop"/>
          <w:rFonts w:cs="Open Sans"/>
        </w:rPr>
      </w:pPr>
      <w:r w:rsidRPr="009F004B">
        <w:rPr>
          <w:rStyle w:val="eop"/>
          <w:rFonts w:cs="Open Sans"/>
        </w:rPr>
        <w:t xml:space="preserve">Expertise on the application and appropriateness of the </w:t>
      </w:r>
      <w:r w:rsidR="00CA5AAD">
        <w:rPr>
          <w:rStyle w:val="eop"/>
          <w:rFonts w:cs="Open Sans"/>
        </w:rPr>
        <w:t>G</w:t>
      </w:r>
      <w:r w:rsidRPr="009F004B">
        <w:rPr>
          <w:rStyle w:val="eop"/>
          <w:rFonts w:cs="Open Sans"/>
        </w:rPr>
        <w:t xml:space="preserve">uidelines within the Australian regulatory and policy context. </w:t>
      </w:r>
    </w:p>
    <w:p w14:paraId="2FCB0699" w14:textId="77777777" w:rsidR="009F004B" w:rsidRDefault="009F004B" w:rsidP="009F004B">
      <w:pPr>
        <w:pStyle w:val="ListParagraph"/>
        <w:numPr>
          <w:ilvl w:val="0"/>
          <w:numId w:val="33"/>
        </w:numPr>
        <w:rPr>
          <w:rStyle w:val="eop"/>
          <w:rFonts w:cs="Open Sans"/>
        </w:rPr>
      </w:pPr>
      <w:r w:rsidRPr="009F004B">
        <w:rPr>
          <w:rStyle w:val="eop"/>
          <w:rFonts w:cs="Open Sans"/>
        </w:rPr>
        <w:t xml:space="preserve">Useability of the Guidelines, including self-certification method. </w:t>
      </w:r>
    </w:p>
    <w:p w14:paraId="1DAF1076" w14:textId="77777777" w:rsidR="009F004B" w:rsidRDefault="009F004B" w:rsidP="009F004B">
      <w:pPr>
        <w:pStyle w:val="ListParagraph"/>
        <w:numPr>
          <w:ilvl w:val="0"/>
          <w:numId w:val="33"/>
        </w:numPr>
        <w:rPr>
          <w:rStyle w:val="eop"/>
          <w:rFonts w:cs="Open Sans"/>
        </w:rPr>
      </w:pPr>
      <w:r w:rsidRPr="009F004B">
        <w:rPr>
          <w:rStyle w:val="eop"/>
          <w:rFonts w:cs="Open Sans"/>
        </w:rPr>
        <w:t xml:space="preserve">Incorporation of accessible and universal design elements, including cross-disability approaches. </w:t>
      </w:r>
    </w:p>
    <w:p w14:paraId="74F8EB61" w14:textId="77777777" w:rsidR="009F004B" w:rsidRDefault="009F004B" w:rsidP="009F004B">
      <w:pPr>
        <w:pStyle w:val="ListParagraph"/>
        <w:numPr>
          <w:ilvl w:val="0"/>
          <w:numId w:val="33"/>
        </w:numPr>
        <w:rPr>
          <w:rStyle w:val="eop"/>
          <w:rFonts w:cs="Open Sans"/>
        </w:rPr>
      </w:pPr>
      <w:r w:rsidRPr="009F004B">
        <w:rPr>
          <w:rStyle w:val="eop"/>
          <w:rFonts w:cs="Open Sans"/>
        </w:rPr>
        <w:t xml:space="preserve">Whether the guidelines meet the housing needs and expectations of people with disability in relation to accessible design and community inclusion. </w:t>
      </w:r>
    </w:p>
    <w:p w14:paraId="368AA2CD" w14:textId="77777777" w:rsidR="00887F59" w:rsidRPr="00095A2B" w:rsidRDefault="009F004B" w:rsidP="009F004B">
      <w:r w:rsidRPr="00095A2B">
        <w:rPr>
          <w:rStyle w:val="eop"/>
          <w:rFonts w:cs="Open Sans"/>
        </w:rPr>
        <w:t>S</w:t>
      </w:r>
      <w:r w:rsidR="00F324A4" w:rsidRPr="00095A2B">
        <w:rPr>
          <w:rStyle w:val="eop"/>
          <w:rFonts w:cs="Open Sans"/>
        </w:rPr>
        <w:t xml:space="preserve">pecifically, we are seeking </w:t>
      </w:r>
      <w:r w:rsidRPr="00095A2B">
        <w:rPr>
          <w:rStyle w:val="eop"/>
          <w:rFonts w:cs="Open Sans"/>
        </w:rPr>
        <w:t xml:space="preserve">submissions </w:t>
      </w:r>
      <w:r w:rsidR="00F324A4" w:rsidRPr="00095A2B">
        <w:rPr>
          <w:rStyle w:val="eop"/>
          <w:rFonts w:cs="Open Sans"/>
        </w:rPr>
        <w:t xml:space="preserve">from individuals and organisations with </w:t>
      </w:r>
      <w:r w:rsidR="00F324A4" w:rsidRPr="00095A2B">
        <w:t>expertise in</w:t>
      </w:r>
      <w:r w:rsidR="00887F59" w:rsidRPr="00095A2B">
        <w:t>:</w:t>
      </w:r>
    </w:p>
    <w:p w14:paraId="4CDC3672" w14:textId="77777777" w:rsidR="00887F59" w:rsidRPr="00A41C07" w:rsidRDefault="00887F59" w:rsidP="00887F59">
      <w:pPr>
        <w:pStyle w:val="ListParagraph"/>
        <w:numPr>
          <w:ilvl w:val="0"/>
          <w:numId w:val="34"/>
        </w:numPr>
        <w:rPr>
          <w:rFonts w:cs="Open Sans"/>
        </w:rPr>
      </w:pPr>
      <w:r w:rsidRPr="00A41C07">
        <w:t xml:space="preserve">Housing design and development </w:t>
      </w:r>
    </w:p>
    <w:p w14:paraId="23E13136" w14:textId="182FBD47" w:rsidR="00887F59" w:rsidRPr="00A41C07" w:rsidRDefault="00515791" w:rsidP="00887F59">
      <w:pPr>
        <w:pStyle w:val="ListParagraph"/>
        <w:numPr>
          <w:ilvl w:val="0"/>
          <w:numId w:val="34"/>
        </w:numPr>
        <w:rPr>
          <w:rFonts w:cs="Open Sans"/>
        </w:rPr>
      </w:pPr>
      <w:r w:rsidRPr="00A41C07">
        <w:t>U</w:t>
      </w:r>
      <w:r w:rsidR="00F324A4" w:rsidRPr="00A41C07">
        <w:t>rban planning and design</w:t>
      </w:r>
    </w:p>
    <w:p w14:paraId="1AA94DEC" w14:textId="7E5EA535" w:rsidR="00515791" w:rsidRPr="00A41C07" w:rsidRDefault="00887F59" w:rsidP="00887F59">
      <w:pPr>
        <w:pStyle w:val="ListParagraph"/>
        <w:numPr>
          <w:ilvl w:val="0"/>
          <w:numId w:val="34"/>
        </w:numPr>
        <w:rPr>
          <w:rFonts w:cs="Open Sans"/>
        </w:rPr>
      </w:pPr>
      <w:r w:rsidRPr="00A41C07">
        <w:t>A</w:t>
      </w:r>
      <w:r w:rsidR="00F324A4" w:rsidRPr="00A41C07">
        <w:t>rchitectur</w:t>
      </w:r>
      <w:r w:rsidR="00515791" w:rsidRPr="00A41C07">
        <w:t>e</w:t>
      </w:r>
    </w:p>
    <w:p w14:paraId="7A5832E2" w14:textId="2B0CAB62" w:rsidR="00515791" w:rsidRPr="00A41C07" w:rsidRDefault="00515791" w:rsidP="00887F59">
      <w:pPr>
        <w:pStyle w:val="ListParagraph"/>
        <w:numPr>
          <w:ilvl w:val="0"/>
          <w:numId w:val="34"/>
        </w:numPr>
        <w:rPr>
          <w:rFonts w:cs="Open Sans"/>
        </w:rPr>
      </w:pPr>
      <w:r w:rsidRPr="00A41C07">
        <w:t>U</w:t>
      </w:r>
      <w:r w:rsidR="00F324A4" w:rsidRPr="00A41C07">
        <w:t xml:space="preserve">niversal design </w:t>
      </w:r>
    </w:p>
    <w:p w14:paraId="5FC35DFC" w14:textId="446122D9" w:rsidR="00515791" w:rsidRPr="00A41C07" w:rsidRDefault="00515791" w:rsidP="00887F59">
      <w:pPr>
        <w:pStyle w:val="ListParagraph"/>
        <w:numPr>
          <w:ilvl w:val="0"/>
          <w:numId w:val="34"/>
        </w:numPr>
        <w:rPr>
          <w:rFonts w:cs="Open Sans"/>
        </w:rPr>
      </w:pPr>
      <w:r w:rsidRPr="00A41C07">
        <w:t>H</w:t>
      </w:r>
      <w:r w:rsidR="00F324A4" w:rsidRPr="00A41C07">
        <w:t>ousing policy and regulation</w:t>
      </w:r>
    </w:p>
    <w:p w14:paraId="3BFDBC16" w14:textId="77777777" w:rsidR="00515791" w:rsidRPr="00A41C07" w:rsidRDefault="00F324A4" w:rsidP="00887F59">
      <w:pPr>
        <w:pStyle w:val="ListParagraph"/>
        <w:numPr>
          <w:ilvl w:val="0"/>
          <w:numId w:val="34"/>
        </w:numPr>
        <w:rPr>
          <w:rFonts w:cs="Open Sans"/>
        </w:rPr>
      </w:pPr>
      <w:r w:rsidRPr="00A41C07">
        <w:t>disability,</w:t>
      </w:r>
    </w:p>
    <w:p w14:paraId="145FABDB" w14:textId="06A0FEA5" w:rsidR="00515791" w:rsidRPr="00A41C07" w:rsidRDefault="00515791" w:rsidP="00887F59">
      <w:pPr>
        <w:pStyle w:val="ListParagraph"/>
        <w:numPr>
          <w:ilvl w:val="0"/>
          <w:numId w:val="34"/>
        </w:numPr>
        <w:rPr>
          <w:rFonts w:cs="Open Sans"/>
        </w:rPr>
      </w:pPr>
      <w:r w:rsidRPr="00A41C07">
        <w:t>Lived</w:t>
      </w:r>
      <w:r w:rsidR="00F324A4" w:rsidRPr="00A41C07">
        <w:t xml:space="preserve"> experience of disability and accessible housing issues. </w:t>
      </w:r>
      <w:r w:rsidR="00FC3F4E" w:rsidRPr="00A41C07">
        <w:t xml:space="preserve"> </w:t>
      </w:r>
    </w:p>
    <w:p w14:paraId="3C19B0D1" w14:textId="167FA3D0" w:rsidR="00F324A4" w:rsidRPr="00515791" w:rsidRDefault="00411376" w:rsidP="00515791">
      <w:pPr>
        <w:rPr>
          <w:rFonts w:cs="Open Sans"/>
        </w:rPr>
      </w:pPr>
      <w:r>
        <w:t>W</w:t>
      </w:r>
      <w:r w:rsidR="00FC3F4E">
        <w:t>e are not looking for personal accounts, experiences or stories, rather we would like to know what people view as the necessary components and elements to ensure housing is accessible for their needs, from a design and development perspective.</w:t>
      </w:r>
    </w:p>
    <w:p w14:paraId="03D12AEE" w14:textId="18DEEBFA" w:rsidR="00602DDE" w:rsidRDefault="00B44BAF" w:rsidP="00B44BAF">
      <w:r w:rsidRPr="00C047F5">
        <w:t xml:space="preserve">The questions below are intended to provide prompts for individuals or organisations to consider when reviewing the </w:t>
      </w:r>
      <w:r w:rsidR="00832594">
        <w:t>d</w:t>
      </w:r>
      <w:r w:rsidRPr="00C047F5">
        <w:t xml:space="preserve">raft Guidelines and providing feedback, comments and input. </w:t>
      </w:r>
      <w:r w:rsidRPr="00911CC6">
        <w:t>However, feedback on all aspects of the draft Guidelines is welcomed</w:t>
      </w:r>
      <w:r w:rsidR="00F902D3" w:rsidRPr="00911CC6">
        <w:t>,</w:t>
      </w:r>
      <w:r w:rsidR="00F902D3">
        <w:t xml:space="preserve"> and it is not a requirement to address every individual element </w:t>
      </w:r>
      <w:r w:rsidR="00911CC6">
        <w:t xml:space="preserve">or question in your submission. </w:t>
      </w:r>
    </w:p>
    <w:p w14:paraId="3B0F8267" w14:textId="77777777" w:rsidR="00602DDE" w:rsidRDefault="00602DDE">
      <w:pPr>
        <w:keepNext w:val="0"/>
        <w:keepLines w:val="0"/>
        <w:spacing w:before="0" w:after="0"/>
      </w:pPr>
      <w:r>
        <w:br w:type="page"/>
      </w:r>
    </w:p>
    <w:p w14:paraId="657AE2D1" w14:textId="647D8C02" w:rsidR="00500D77" w:rsidRDefault="00500D77" w:rsidP="00CF70C9">
      <w:pPr>
        <w:pStyle w:val="AHRCHeading2"/>
      </w:pPr>
      <w:bookmarkStart w:id="3" w:name="_Toc164178015"/>
      <w:r w:rsidRPr="00CF70C9">
        <w:t>Housing Types</w:t>
      </w:r>
      <w:bookmarkEnd w:id="3"/>
      <w:r w:rsidRPr="00CF70C9">
        <w:t xml:space="preserve"> </w:t>
      </w:r>
    </w:p>
    <w:p w14:paraId="0755D8B6" w14:textId="6D33FC5B" w:rsidR="00820D03" w:rsidRDefault="00806329" w:rsidP="00820D03">
      <w:r>
        <w:t xml:space="preserve">The draft Guidelines are proposed to </w:t>
      </w:r>
      <w:r w:rsidR="001F3C05">
        <w:t>apply</w:t>
      </w:r>
      <w:r>
        <w:t xml:space="preserve"> to the housing </w:t>
      </w:r>
      <w:r w:rsidRPr="002515F7">
        <w:t>types</w:t>
      </w:r>
      <w:r w:rsidR="001F3C05" w:rsidRPr="002515F7">
        <w:t xml:space="preserve"> </w:t>
      </w:r>
      <w:r w:rsidR="001F3C05" w:rsidRPr="00E07E3E">
        <w:t xml:space="preserve">detailed </w:t>
      </w:r>
      <w:r w:rsidR="00E468EA" w:rsidRPr="00E07E3E">
        <w:t xml:space="preserve">in the tables </w:t>
      </w:r>
      <w:r w:rsidR="001F3C05" w:rsidRPr="00E07E3E">
        <w:t>below.</w:t>
      </w:r>
      <w:r w:rsidR="001F3C05">
        <w:t xml:space="preserve"> </w:t>
      </w:r>
      <w:r w:rsidR="001E2F5C">
        <w:t xml:space="preserve"> </w:t>
      </w:r>
    </w:p>
    <w:p w14:paraId="40903498" w14:textId="0D33627C" w:rsidR="00820D03" w:rsidRDefault="00820D03" w:rsidP="000D07A9">
      <w:pPr>
        <w:pStyle w:val="ListParagraph"/>
        <w:numPr>
          <w:ilvl w:val="0"/>
          <w:numId w:val="20"/>
        </w:numPr>
      </w:pPr>
      <w:r>
        <w:t>Is the list of housing types below too broad or too narrow?</w:t>
      </w:r>
    </w:p>
    <w:p w14:paraId="773E8FEB" w14:textId="77777777" w:rsidR="00820D03" w:rsidRDefault="00820D03" w:rsidP="000D07A9">
      <w:pPr>
        <w:pStyle w:val="ListParagraph"/>
        <w:numPr>
          <w:ilvl w:val="0"/>
          <w:numId w:val="20"/>
        </w:numPr>
      </w:pPr>
      <w:r>
        <w:t>Are there other housing types which should be included which do not fall into any of the categories below?</w:t>
      </w:r>
    </w:p>
    <w:p w14:paraId="7D596A5D" w14:textId="40CA6984" w:rsidR="001F3C05" w:rsidRDefault="00820D03" w:rsidP="000D07A9">
      <w:pPr>
        <w:pStyle w:val="ListParagraph"/>
        <w:numPr>
          <w:ilvl w:val="0"/>
          <w:numId w:val="20"/>
        </w:numPr>
      </w:pPr>
      <w:r>
        <w:t>Are there any particular housing types that are more challenging to deliver as inclusive and accessible homes than others?</w:t>
      </w:r>
    </w:p>
    <w:p w14:paraId="177044B3" w14:textId="0CE86974" w:rsidR="00675562" w:rsidRPr="00675562" w:rsidRDefault="00C97B3A" w:rsidP="00C80DAF">
      <w:pPr>
        <w:pStyle w:val="Caption"/>
        <w:rPr>
          <w:sz w:val="24"/>
          <w:szCs w:val="24"/>
        </w:rPr>
      </w:pPr>
      <w:r w:rsidRPr="00C97B3A">
        <w:rPr>
          <w:sz w:val="24"/>
          <w:szCs w:val="24"/>
        </w:rPr>
        <w:t xml:space="preserve">Table </w:t>
      </w:r>
      <w:r w:rsidRPr="00C97B3A">
        <w:rPr>
          <w:sz w:val="24"/>
          <w:szCs w:val="24"/>
        </w:rPr>
        <w:fldChar w:fldCharType="begin"/>
      </w:r>
      <w:r w:rsidRPr="00C97B3A">
        <w:rPr>
          <w:sz w:val="24"/>
          <w:szCs w:val="24"/>
        </w:rPr>
        <w:instrText xml:space="preserve"> SEQ Table \* ARABIC </w:instrText>
      </w:r>
      <w:r w:rsidRPr="00C97B3A">
        <w:rPr>
          <w:sz w:val="24"/>
          <w:szCs w:val="24"/>
        </w:rPr>
        <w:fldChar w:fldCharType="separate"/>
      </w:r>
      <w:r w:rsidR="003F2D64">
        <w:rPr>
          <w:noProof/>
          <w:sz w:val="24"/>
          <w:szCs w:val="24"/>
        </w:rPr>
        <w:t>1</w:t>
      </w:r>
      <w:r w:rsidRPr="00C97B3A">
        <w:rPr>
          <w:sz w:val="24"/>
          <w:szCs w:val="24"/>
        </w:rPr>
        <w:fldChar w:fldCharType="end"/>
      </w:r>
      <w:r w:rsidRPr="00C97B3A">
        <w:rPr>
          <w:sz w:val="24"/>
          <w:szCs w:val="24"/>
        </w:rPr>
        <w:t>: Traditional Housing Types</w:t>
      </w:r>
    </w:p>
    <w:tbl>
      <w:tblPr>
        <w:tblStyle w:val="TableGrid"/>
        <w:tblpPr w:leftFromText="181" w:rightFromText="181" w:vertAnchor="text" w:tblpY="1"/>
        <w:tblOverlap w:val="never"/>
        <w:tblW w:w="0" w:type="auto"/>
        <w:tblLook w:val="04A0" w:firstRow="1" w:lastRow="0" w:firstColumn="1" w:lastColumn="0" w:noHBand="0" w:noVBand="1"/>
      </w:tblPr>
      <w:tblGrid>
        <w:gridCol w:w="2405"/>
        <w:gridCol w:w="4394"/>
        <w:gridCol w:w="2261"/>
      </w:tblGrid>
      <w:tr w:rsidR="00832594" w14:paraId="539EE2A1" w14:textId="77777777" w:rsidTr="000A7A60">
        <w:trPr>
          <w:tblHeader/>
        </w:trPr>
        <w:tc>
          <w:tcPr>
            <w:tcW w:w="2405" w:type="dxa"/>
            <w:shd w:val="clear" w:color="auto" w:fill="D9E2F3" w:themeFill="accent5" w:themeFillTint="33"/>
          </w:tcPr>
          <w:p w14:paraId="648F9A4B" w14:textId="33F1B326" w:rsidR="00832594" w:rsidRPr="00907C8D" w:rsidRDefault="0006735E" w:rsidP="000A7A60">
            <w:pPr>
              <w:jc w:val="center"/>
              <w:rPr>
                <w:b/>
                <w:bCs/>
                <w:sz w:val="22"/>
                <w:szCs w:val="22"/>
              </w:rPr>
            </w:pPr>
            <w:r w:rsidRPr="00907C8D">
              <w:rPr>
                <w:b/>
                <w:bCs/>
                <w:sz w:val="22"/>
                <w:szCs w:val="22"/>
              </w:rPr>
              <w:t>Housing Type</w:t>
            </w:r>
          </w:p>
        </w:tc>
        <w:tc>
          <w:tcPr>
            <w:tcW w:w="4394" w:type="dxa"/>
            <w:shd w:val="clear" w:color="auto" w:fill="D9E2F3" w:themeFill="accent5" w:themeFillTint="33"/>
          </w:tcPr>
          <w:p w14:paraId="741F2D1F" w14:textId="16BC668E" w:rsidR="00832594" w:rsidRPr="00907C8D" w:rsidRDefault="0006735E" w:rsidP="000A7A60">
            <w:pPr>
              <w:jc w:val="center"/>
              <w:rPr>
                <w:b/>
                <w:bCs/>
                <w:sz w:val="22"/>
                <w:szCs w:val="22"/>
              </w:rPr>
            </w:pPr>
            <w:r w:rsidRPr="00907C8D">
              <w:rPr>
                <w:b/>
                <w:bCs/>
                <w:sz w:val="22"/>
                <w:szCs w:val="22"/>
              </w:rPr>
              <w:t>Description</w:t>
            </w:r>
          </w:p>
        </w:tc>
        <w:tc>
          <w:tcPr>
            <w:tcW w:w="2261" w:type="dxa"/>
            <w:shd w:val="clear" w:color="auto" w:fill="D9E2F3" w:themeFill="accent5" w:themeFillTint="33"/>
          </w:tcPr>
          <w:p w14:paraId="6B130475" w14:textId="0C111FDF" w:rsidR="00832594" w:rsidRPr="00907C8D" w:rsidRDefault="0006735E" w:rsidP="000A7A60">
            <w:pPr>
              <w:jc w:val="center"/>
              <w:rPr>
                <w:b/>
                <w:bCs/>
                <w:sz w:val="22"/>
                <w:szCs w:val="22"/>
              </w:rPr>
            </w:pPr>
            <w:r w:rsidRPr="00907C8D">
              <w:rPr>
                <w:b/>
                <w:bCs/>
                <w:sz w:val="22"/>
                <w:szCs w:val="22"/>
              </w:rPr>
              <w:t>NCC Classification</w:t>
            </w:r>
          </w:p>
        </w:tc>
      </w:tr>
      <w:tr w:rsidR="00832594" w14:paraId="4694FD42" w14:textId="77777777" w:rsidTr="000A7A60">
        <w:tc>
          <w:tcPr>
            <w:tcW w:w="2405" w:type="dxa"/>
            <w:shd w:val="clear" w:color="auto" w:fill="auto"/>
          </w:tcPr>
          <w:p w14:paraId="11692A82" w14:textId="00C190F3" w:rsidR="00832594" w:rsidRPr="00E42C76" w:rsidRDefault="0006735E" w:rsidP="000A7A60">
            <w:pPr>
              <w:jc w:val="center"/>
              <w:rPr>
                <w:b/>
                <w:bCs/>
                <w:sz w:val="22"/>
                <w:szCs w:val="22"/>
              </w:rPr>
            </w:pPr>
            <w:r w:rsidRPr="00E42C76">
              <w:rPr>
                <w:b/>
                <w:bCs/>
                <w:sz w:val="22"/>
                <w:szCs w:val="22"/>
              </w:rPr>
              <w:t>Separate Houses</w:t>
            </w:r>
          </w:p>
        </w:tc>
        <w:tc>
          <w:tcPr>
            <w:tcW w:w="4394" w:type="dxa"/>
            <w:shd w:val="clear" w:color="auto" w:fill="auto"/>
          </w:tcPr>
          <w:p w14:paraId="0A9085E9" w14:textId="55F90211" w:rsidR="00832594" w:rsidRPr="00907C8D" w:rsidRDefault="0006735E" w:rsidP="000A7A60">
            <w:pPr>
              <w:ind w:left="227"/>
              <w:rPr>
                <w:sz w:val="22"/>
                <w:szCs w:val="22"/>
              </w:rPr>
            </w:pPr>
            <w:r w:rsidRPr="00907C8D">
              <w:rPr>
                <w:sz w:val="22"/>
                <w:szCs w:val="22"/>
              </w:rPr>
              <w:t xml:space="preserve">A building containing only one dwelling with no common walls (or floors) to any other dwellings </w:t>
            </w:r>
            <w:r w:rsidR="00E07E3E" w:rsidRPr="00907C8D">
              <w:rPr>
                <w:sz w:val="22"/>
                <w:szCs w:val="22"/>
              </w:rPr>
              <w:t>i.e.</w:t>
            </w:r>
            <w:r w:rsidRPr="00907C8D">
              <w:rPr>
                <w:sz w:val="22"/>
                <w:szCs w:val="22"/>
              </w:rPr>
              <w:t xml:space="preserve"> a typical stand-alone dwelling house</w:t>
            </w:r>
            <w:r w:rsidR="00E07E3E">
              <w:rPr>
                <w:sz w:val="22"/>
                <w:szCs w:val="22"/>
              </w:rPr>
              <w:t>.</w:t>
            </w:r>
          </w:p>
        </w:tc>
        <w:tc>
          <w:tcPr>
            <w:tcW w:w="2261" w:type="dxa"/>
            <w:shd w:val="clear" w:color="auto" w:fill="auto"/>
          </w:tcPr>
          <w:p w14:paraId="656DF676" w14:textId="69D70846" w:rsidR="00832594" w:rsidRPr="00907C8D" w:rsidRDefault="0006735E" w:rsidP="000A7A60">
            <w:pPr>
              <w:jc w:val="center"/>
              <w:rPr>
                <w:sz w:val="22"/>
                <w:szCs w:val="22"/>
              </w:rPr>
            </w:pPr>
            <w:r w:rsidRPr="00907C8D">
              <w:rPr>
                <w:sz w:val="22"/>
                <w:szCs w:val="22"/>
              </w:rPr>
              <w:t>Class 1A</w:t>
            </w:r>
          </w:p>
        </w:tc>
      </w:tr>
      <w:tr w:rsidR="00832594" w14:paraId="1CF4B58A" w14:textId="77777777" w:rsidTr="000A7A60">
        <w:tc>
          <w:tcPr>
            <w:tcW w:w="2405" w:type="dxa"/>
            <w:shd w:val="clear" w:color="auto" w:fill="auto"/>
          </w:tcPr>
          <w:p w14:paraId="5CC4B87F" w14:textId="7D626CE1" w:rsidR="00832594" w:rsidRPr="00E42C76" w:rsidRDefault="0006735E" w:rsidP="000A7A60">
            <w:pPr>
              <w:jc w:val="center"/>
              <w:rPr>
                <w:b/>
                <w:bCs/>
                <w:sz w:val="22"/>
                <w:szCs w:val="22"/>
              </w:rPr>
            </w:pPr>
            <w:r w:rsidRPr="00E42C76">
              <w:rPr>
                <w:b/>
                <w:bCs/>
                <w:sz w:val="22"/>
                <w:szCs w:val="22"/>
              </w:rPr>
              <w:t>Attached Houses</w:t>
            </w:r>
          </w:p>
        </w:tc>
        <w:tc>
          <w:tcPr>
            <w:tcW w:w="4394" w:type="dxa"/>
            <w:shd w:val="clear" w:color="auto" w:fill="auto"/>
          </w:tcPr>
          <w:p w14:paraId="01E6D315" w14:textId="3F813641" w:rsidR="00832594" w:rsidRPr="00907C8D" w:rsidRDefault="0073757C" w:rsidP="000A7A60">
            <w:pPr>
              <w:ind w:left="227"/>
              <w:rPr>
                <w:sz w:val="22"/>
                <w:szCs w:val="22"/>
              </w:rPr>
            </w:pPr>
            <w:r w:rsidRPr="00907C8D">
              <w:rPr>
                <w:sz w:val="22"/>
                <w:szCs w:val="22"/>
              </w:rPr>
              <w:t>Two or more dwellings with common walls.  Includes townhouses, terrace houses, semi-detached dwellings, row houses, and dual occupancies.</w:t>
            </w:r>
          </w:p>
        </w:tc>
        <w:tc>
          <w:tcPr>
            <w:tcW w:w="2261" w:type="dxa"/>
            <w:shd w:val="clear" w:color="auto" w:fill="auto"/>
          </w:tcPr>
          <w:p w14:paraId="0F3C722C" w14:textId="68E65B39" w:rsidR="00832594" w:rsidRPr="00907C8D" w:rsidRDefault="0006735E" w:rsidP="000A7A60">
            <w:pPr>
              <w:jc w:val="center"/>
              <w:rPr>
                <w:sz w:val="22"/>
                <w:szCs w:val="22"/>
              </w:rPr>
            </w:pPr>
            <w:r w:rsidRPr="00907C8D">
              <w:rPr>
                <w:sz w:val="22"/>
                <w:szCs w:val="22"/>
              </w:rPr>
              <w:t>Class 1A</w:t>
            </w:r>
          </w:p>
        </w:tc>
      </w:tr>
      <w:tr w:rsidR="00832594" w14:paraId="2E06D386" w14:textId="77777777" w:rsidTr="000A7A60">
        <w:tc>
          <w:tcPr>
            <w:tcW w:w="2405" w:type="dxa"/>
          </w:tcPr>
          <w:p w14:paraId="72E53869" w14:textId="4285E085" w:rsidR="00832594" w:rsidRPr="00E42C76" w:rsidRDefault="0006735E" w:rsidP="000A7A60">
            <w:pPr>
              <w:jc w:val="center"/>
              <w:rPr>
                <w:b/>
                <w:bCs/>
                <w:sz w:val="22"/>
                <w:szCs w:val="22"/>
              </w:rPr>
            </w:pPr>
            <w:r w:rsidRPr="00E42C76">
              <w:rPr>
                <w:b/>
                <w:bCs/>
                <w:sz w:val="22"/>
                <w:szCs w:val="22"/>
              </w:rPr>
              <w:t>Flats, units or apartments</w:t>
            </w:r>
          </w:p>
        </w:tc>
        <w:tc>
          <w:tcPr>
            <w:tcW w:w="4394" w:type="dxa"/>
          </w:tcPr>
          <w:p w14:paraId="5EB206B5" w14:textId="37EF7CC3" w:rsidR="00832594" w:rsidRPr="00907C8D" w:rsidRDefault="0073757C" w:rsidP="000A7A60">
            <w:pPr>
              <w:ind w:left="227"/>
              <w:rPr>
                <w:sz w:val="22"/>
                <w:szCs w:val="22"/>
              </w:rPr>
            </w:pPr>
            <w:r w:rsidRPr="00907C8D">
              <w:rPr>
                <w:sz w:val="22"/>
                <w:szCs w:val="22"/>
              </w:rPr>
              <w:t>Two or more dwellings where one dwelling is located above another. This may include shop to housing where dwellings are located above ground floor non-residential uses.</w:t>
            </w:r>
          </w:p>
        </w:tc>
        <w:tc>
          <w:tcPr>
            <w:tcW w:w="2261" w:type="dxa"/>
          </w:tcPr>
          <w:p w14:paraId="6EB8439D" w14:textId="6FA16552" w:rsidR="00832594" w:rsidRPr="00907C8D" w:rsidRDefault="0006735E" w:rsidP="000A7A60">
            <w:pPr>
              <w:jc w:val="center"/>
              <w:rPr>
                <w:sz w:val="22"/>
                <w:szCs w:val="22"/>
              </w:rPr>
            </w:pPr>
            <w:r w:rsidRPr="00907C8D">
              <w:rPr>
                <w:sz w:val="22"/>
                <w:szCs w:val="22"/>
              </w:rPr>
              <w:t>Class 2</w:t>
            </w:r>
          </w:p>
        </w:tc>
      </w:tr>
    </w:tbl>
    <w:p w14:paraId="0333536F" w14:textId="224276C1" w:rsidR="00907C8D" w:rsidRPr="00907C8D" w:rsidRDefault="00907C8D" w:rsidP="000A7A60">
      <w:pPr>
        <w:pStyle w:val="Caption"/>
        <w:rPr>
          <w:sz w:val="24"/>
          <w:szCs w:val="24"/>
        </w:rPr>
      </w:pPr>
      <w:r w:rsidRPr="00907C8D">
        <w:rPr>
          <w:sz w:val="24"/>
          <w:szCs w:val="24"/>
        </w:rPr>
        <w:t xml:space="preserve">Table </w:t>
      </w:r>
      <w:r w:rsidRPr="00907C8D">
        <w:rPr>
          <w:sz w:val="24"/>
          <w:szCs w:val="24"/>
        </w:rPr>
        <w:fldChar w:fldCharType="begin"/>
      </w:r>
      <w:r w:rsidRPr="00907C8D">
        <w:rPr>
          <w:sz w:val="24"/>
          <w:szCs w:val="24"/>
        </w:rPr>
        <w:instrText xml:space="preserve"> SEQ Table \* ARABIC </w:instrText>
      </w:r>
      <w:r w:rsidRPr="00907C8D">
        <w:rPr>
          <w:sz w:val="24"/>
          <w:szCs w:val="24"/>
        </w:rPr>
        <w:fldChar w:fldCharType="separate"/>
      </w:r>
      <w:r w:rsidR="003F2D64">
        <w:rPr>
          <w:noProof/>
          <w:sz w:val="24"/>
          <w:szCs w:val="24"/>
        </w:rPr>
        <w:t>2</w:t>
      </w:r>
      <w:r w:rsidRPr="00907C8D">
        <w:rPr>
          <w:sz w:val="24"/>
          <w:szCs w:val="24"/>
        </w:rPr>
        <w:fldChar w:fldCharType="end"/>
      </w:r>
      <w:r w:rsidRPr="00907C8D">
        <w:rPr>
          <w:sz w:val="24"/>
          <w:szCs w:val="24"/>
        </w:rPr>
        <w:t>: Other Housing Types</w:t>
      </w:r>
    </w:p>
    <w:tbl>
      <w:tblPr>
        <w:tblStyle w:val="TableGrid"/>
        <w:tblpPr w:leftFromText="181" w:rightFromText="181" w:vertAnchor="text" w:tblpY="1"/>
        <w:tblOverlap w:val="never"/>
        <w:tblW w:w="0" w:type="auto"/>
        <w:tblLook w:val="04A0" w:firstRow="1" w:lastRow="0" w:firstColumn="1" w:lastColumn="0" w:noHBand="0" w:noVBand="1"/>
      </w:tblPr>
      <w:tblGrid>
        <w:gridCol w:w="2405"/>
        <w:gridCol w:w="4394"/>
        <w:gridCol w:w="2261"/>
      </w:tblGrid>
      <w:tr w:rsidR="00907C8D" w14:paraId="5B351EE3" w14:textId="77777777" w:rsidTr="000A7A60">
        <w:trPr>
          <w:tblHeader/>
        </w:trPr>
        <w:tc>
          <w:tcPr>
            <w:tcW w:w="2405" w:type="dxa"/>
            <w:shd w:val="clear" w:color="auto" w:fill="E2EFD9" w:themeFill="accent6" w:themeFillTint="33"/>
          </w:tcPr>
          <w:p w14:paraId="0A7D4F96" w14:textId="77777777" w:rsidR="00907C8D" w:rsidRPr="00907C8D" w:rsidRDefault="00907C8D" w:rsidP="000A7A60">
            <w:pPr>
              <w:jc w:val="center"/>
              <w:rPr>
                <w:b/>
                <w:bCs/>
                <w:sz w:val="22"/>
                <w:szCs w:val="22"/>
              </w:rPr>
            </w:pPr>
            <w:r w:rsidRPr="00907C8D">
              <w:rPr>
                <w:b/>
                <w:bCs/>
                <w:sz w:val="22"/>
                <w:szCs w:val="22"/>
              </w:rPr>
              <w:t>Housing Type</w:t>
            </w:r>
          </w:p>
        </w:tc>
        <w:tc>
          <w:tcPr>
            <w:tcW w:w="4394" w:type="dxa"/>
            <w:shd w:val="clear" w:color="auto" w:fill="E2EFD9" w:themeFill="accent6" w:themeFillTint="33"/>
          </w:tcPr>
          <w:p w14:paraId="0462DA9A" w14:textId="77777777" w:rsidR="00907C8D" w:rsidRPr="00907C8D" w:rsidRDefault="00907C8D" w:rsidP="000A7A60">
            <w:pPr>
              <w:jc w:val="center"/>
              <w:rPr>
                <w:b/>
                <w:bCs/>
                <w:sz w:val="22"/>
                <w:szCs w:val="22"/>
              </w:rPr>
            </w:pPr>
            <w:r w:rsidRPr="00907C8D">
              <w:rPr>
                <w:b/>
                <w:bCs/>
                <w:sz w:val="22"/>
                <w:szCs w:val="22"/>
              </w:rPr>
              <w:t>Description</w:t>
            </w:r>
          </w:p>
        </w:tc>
        <w:tc>
          <w:tcPr>
            <w:tcW w:w="2261" w:type="dxa"/>
            <w:shd w:val="clear" w:color="auto" w:fill="E2EFD9" w:themeFill="accent6" w:themeFillTint="33"/>
          </w:tcPr>
          <w:p w14:paraId="5F6906C2" w14:textId="77777777" w:rsidR="00907C8D" w:rsidRPr="00907C8D" w:rsidRDefault="00907C8D" w:rsidP="000A7A60">
            <w:pPr>
              <w:jc w:val="center"/>
              <w:rPr>
                <w:b/>
                <w:bCs/>
                <w:sz w:val="22"/>
                <w:szCs w:val="22"/>
              </w:rPr>
            </w:pPr>
            <w:r w:rsidRPr="00907C8D">
              <w:rPr>
                <w:b/>
                <w:bCs/>
                <w:sz w:val="22"/>
                <w:szCs w:val="22"/>
              </w:rPr>
              <w:t>NCC Classification</w:t>
            </w:r>
          </w:p>
        </w:tc>
      </w:tr>
      <w:tr w:rsidR="00907C8D" w14:paraId="1338B357" w14:textId="77777777" w:rsidTr="000A7A60">
        <w:tc>
          <w:tcPr>
            <w:tcW w:w="2405" w:type="dxa"/>
          </w:tcPr>
          <w:p w14:paraId="1FEEBF36" w14:textId="2E4EEB85" w:rsidR="00907C8D" w:rsidRPr="00E42C76" w:rsidRDefault="00907C8D" w:rsidP="000A7A60">
            <w:pPr>
              <w:jc w:val="center"/>
              <w:rPr>
                <w:b/>
                <w:bCs/>
                <w:sz w:val="22"/>
                <w:szCs w:val="22"/>
              </w:rPr>
            </w:pPr>
            <w:r w:rsidRPr="00E42C76">
              <w:rPr>
                <w:b/>
                <w:bCs/>
                <w:sz w:val="22"/>
                <w:szCs w:val="22"/>
              </w:rPr>
              <w:t>Secondary Dwellings</w:t>
            </w:r>
          </w:p>
        </w:tc>
        <w:tc>
          <w:tcPr>
            <w:tcW w:w="4394" w:type="dxa"/>
          </w:tcPr>
          <w:p w14:paraId="252A3ECE" w14:textId="0F4DE5E3" w:rsidR="00907C8D" w:rsidRPr="00907C8D" w:rsidRDefault="00907C8D" w:rsidP="000A7A60">
            <w:pPr>
              <w:ind w:left="227"/>
              <w:rPr>
                <w:sz w:val="22"/>
                <w:szCs w:val="22"/>
              </w:rPr>
            </w:pPr>
            <w:r w:rsidRPr="00907C8D">
              <w:rPr>
                <w:sz w:val="22"/>
                <w:szCs w:val="22"/>
              </w:rPr>
              <w:t>A self-contained dwelling that is on the same lot of land as the primary dwelling including those located above garages and garage conversions.</w:t>
            </w:r>
          </w:p>
        </w:tc>
        <w:tc>
          <w:tcPr>
            <w:tcW w:w="2261" w:type="dxa"/>
          </w:tcPr>
          <w:p w14:paraId="60B8238D" w14:textId="442778E0" w:rsidR="00907C8D" w:rsidRPr="00907C8D" w:rsidRDefault="00907C8D" w:rsidP="000A7A60">
            <w:pPr>
              <w:jc w:val="center"/>
              <w:rPr>
                <w:sz w:val="22"/>
                <w:szCs w:val="22"/>
              </w:rPr>
            </w:pPr>
            <w:r w:rsidRPr="00907C8D">
              <w:rPr>
                <w:sz w:val="22"/>
                <w:szCs w:val="22"/>
              </w:rPr>
              <w:t>Class 1A</w:t>
            </w:r>
          </w:p>
        </w:tc>
      </w:tr>
      <w:tr w:rsidR="00907C8D" w14:paraId="5BF0767F" w14:textId="77777777" w:rsidTr="000A7A60">
        <w:tc>
          <w:tcPr>
            <w:tcW w:w="2405" w:type="dxa"/>
          </w:tcPr>
          <w:p w14:paraId="0144BF4A" w14:textId="17318053" w:rsidR="00907C8D" w:rsidRPr="00E42C76" w:rsidRDefault="00907C8D" w:rsidP="000A7A60">
            <w:pPr>
              <w:jc w:val="center"/>
              <w:rPr>
                <w:b/>
                <w:bCs/>
                <w:sz w:val="22"/>
                <w:szCs w:val="22"/>
              </w:rPr>
            </w:pPr>
            <w:r w:rsidRPr="00E42C76">
              <w:rPr>
                <w:b/>
                <w:bCs/>
                <w:sz w:val="22"/>
                <w:szCs w:val="22"/>
              </w:rPr>
              <w:t>Shared Housing</w:t>
            </w:r>
          </w:p>
        </w:tc>
        <w:tc>
          <w:tcPr>
            <w:tcW w:w="4394" w:type="dxa"/>
          </w:tcPr>
          <w:p w14:paraId="456B3394" w14:textId="38C83261" w:rsidR="00907C8D" w:rsidRPr="00907C8D" w:rsidRDefault="00907C8D" w:rsidP="000A7A60">
            <w:pPr>
              <w:ind w:left="227"/>
              <w:rPr>
                <w:sz w:val="22"/>
                <w:szCs w:val="22"/>
              </w:rPr>
            </w:pPr>
            <w:r w:rsidRPr="00907C8D">
              <w:rPr>
                <w:sz w:val="22"/>
                <w:szCs w:val="22"/>
              </w:rPr>
              <w:t>Housing that is specifically designed to accommodate shared living arrangements. Kitchen and/or bathroom facilities may be accommodated in individual rooms, and/or common shared facilities. Examples include boarding houses, student accommodation, hostels and group homes.</w:t>
            </w:r>
          </w:p>
        </w:tc>
        <w:tc>
          <w:tcPr>
            <w:tcW w:w="2261" w:type="dxa"/>
          </w:tcPr>
          <w:p w14:paraId="3CA6895D" w14:textId="04EF25B9" w:rsidR="00907C8D" w:rsidRPr="00907C8D" w:rsidRDefault="00907C8D" w:rsidP="000A7A60">
            <w:pPr>
              <w:jc w:val="center"/>
              <w:rPr>
                <w:sz w:val="22"/>
                <w:szCs w:val="22"/>
              </w:rPr>
            </w:pPr>
            <w:r w:rsidRPr="00907C8D">
              <w:rPr>
                <w:sz w:val="22"/>
                <w:szCs w:val="22"/>
              </w:rPr>
              <w:t>Class 1B of Class 3</w:t>
            </w:r>
          </w:p>
        </w:tc>
      </w:tr>
    </w:tbl>
    <w:p w14:paraId="5C9D2DB4" w14:textId="3A27295A" w:rsidR="00C047F5" w:rsidRDefault="00C047F5" w:rsidP="00095A2B">
      <w:pPr>
        <w:pStyle w:val="AHRCHeading2"/>
        <w:keepNext w:val="0"/>
      </w:pPr>
      <w:bookmarkStart w:id="4" w:name="_Toc164178016"/>
      <w:r w:rsidRPr="00CF70C9">
        <w:t>Tenure</w:t>
      </w:r>
      <w:bookmarkEnd w:id="4"/>
    </w:p>
    <w:p w14:paraId="6AFED389" w14:textId="5ADB48BE" w:rsidR="00BE25ED" w:rsidRDefault="00BE25ED" w:rsidP="00095A2B">
      <w:pPr>
        <w:keepNext w:val="0"/>
      </w:pPr>
      <w:r>
        <w:t xml:space="preserve">The ‘Operations and Amenities’ Design Category in the </w:t>
      </w:r>
      <w:r w:rsidR="00832594">
        <w:t>d</w:t>
      </w:r>
      <w:r>
        <w:t xml:space="preserve">raft Guidelines is generally only applicable to rental dwellings, particularly where managed on a long-term basis. </w:t>
      </w:r>
    </w:p>
    <w:p w14:paraId="25A096E0" w14:textId="77777777" w:rsidR="00BE25ED" w:rsidRDefault="00BE25ED" w:rsidP="00095A2B">
      <w:pPr>
        <w:pStyle w:val="ListParagraph"/>
        <w:keepNext w:val="0"/>
        <w:numPr>
          <w:ilvl w:val="0"/>
          <w:numId w:val="20"/>
        </w:numPr>
      </w:pPr>
      <w:r>
        <w:t>Is there an opportunity for Build-to-Rent housing to deliver more inclusive and accessible dwellings to meet community needs?</w:t>
      </w:r>
    </w:p>
    <w:p w14:paraId="0665051B" w14:textId="5FC5629E" w:rsidR="007448C6" w:rsidRPr="00820D03" w:rsidRDefault="00BE25ED" w:rsidP="00095A2B">
      <w:pPr>
        <w:pStyle w:val="ListParagraph"/>
        <w:keepNext w:val="0"/>
        <w:numPr>
          <w:ilvl w:val="0"/>
          <w:numId w:val="20"/>
        </w:numPr>
      </w:pPr>
      <w:r w:rsidRPr="00820D03">
        <w:t>What types of standards and incentives would support this?</w:t>
      </w:r>
    </w:p>
    <w:p w14:paraId="3AA9BC3B" w14:textId="523ED273" w:rsidR="00C047F5" w:rsidRDefault="00C047F5" w:rsidP="00095A2B">
      <w:pPr>
        <w:pStyle w:val="AHRCHeading2"/>
        <w:keepNext w:val="0"/>
      </w:pPr>
      <w:bookmarkStart w:id="5" w:name="_Toc164178017"/>
      <w:r w:rsidRPr="00CF70C9">
        <w:t>Shared Housing</w:t>
      </w:r>
      <w:bookmarkEnd w:id="5"/>
    </w:p>
    <w:p w14:paraId="4EA0882F" w14:textId="5C341A71" w:rsidR="00820D03" w:rsidRPr="00820D03" w:rsidRDefault="00820D03" w:rsidP="00095A2B">
      <w:pPr>
        <w:pStyle w:val="ListParagraph"/>
        <w:keepNext w:val="0"/>
        <w:numPr>
          <w:ilvl w:val="0"/>
          <w:numId w:val="20"/>
        </w:numPr>
      </w:pPr>
      <w:r w:rsidRPr="00820D03">
        <w:t>In shared housing, what types of facilities should ideally be provided in individual rooms to support self-sufficiency and privacy (</w:t>
      </w:r>
      <w:r w:rsidR="00095A2B" w:rsidRPr="00820D03">
        <w:t>e.g.</w:t>
      </w:r>
      <w:r w:rsidRPr="00820D03">
        <w:t xml:space="preserve"> ensuite)?</w:t>
      </w:r>
    </w:p>
    <w:p w14:paraId="424AA2B6" w14:textId="722F3E66" w:rsidR="00820D03" w:rsidRPr="00820D03" w:rsidRDefault="00820D03" w:rsidP="00095A2B">
      <w:pPr>
        <w:pStyle w:val="ListParagraph"/>
        <w:keepNext w:val="0"/>
        <w:numPr>
          <w:ilvl w:val="0"/>
          <w:numId w:val="20"/>
        </w:numPr>
      </w:pPr>
      <w:r w:rsidRPr="00820D03">
        <w:t>What types of facilities should be provided in communal areas to support interaction and cost-effectiveness (</w:t>
      </w:r>
      <w:r w:rsidR="00095A2B" w:rsidRPr="00820D03">
        <w:t>e.g.</w:t>
      </w:r>
      <w:r w:rsidRPr="00820D03">
        <w:t xml:space="preserve"> laundries)?</w:t>
      </w:r>
    </w:p>
    <w:p w14:paraId="10AF2980" w14:textId="5B718B80" w:rsidR="00C047F5" w:rsidRDefault="00C047F5" w:rsidP="00095A2B">
      <w:pPr>
        <w:pStyle w:val="AHRCHeading2"/>
        <w:keepNext w:val="0"/>
      </w:pPr>
      <w:bookmarkStart w:id="6" w:name="_Toc164178018"/>
      <w:r w:rsidRPr="00CF70C9">
        <w:t>Walkable Neighbourhoods</w:t>
      </w:r>
      <w:bookmarkEnd w:id="6"/>
    </w:p>
    <w:p w14:paraId="0E58C874" w14:textId="20E31CA1" w:rsidR="00164489" w:rsidRPr="00832594" w:rsidRDefault="00164489" w:rsidP="00095A2B">
      <w:pPr>
        <w:keepNext w:val="0"/>
      </w:pPr>
      <w:r w:rsidRPr="009F4687">
        <w:t>Walkable</w:t>
      </w:r>
      <w:r>
        <w:t xml:space="preserve"> </w:t>
      </w:r>
      <w:r w:rsidRPr="009F4687">
        <w:t>neighbo</w:t>
      </w:r>
      <w:r>
        <w:t>u</w:t>
      </w:r>
      <w:r w:rsidRPr="009F4687">
        <w:t>rhoods are those that are pedestrian focused, affording people the choice and opportunity to move about safely and effortlessly to services, facilities, and transport in their neighbo</w:t>
      </w:r>
      <w:r>
        <w:t>u</w:t>
      </w:r>
      <w:r w:rsidRPr="009F4687">
        <w:t>rhood without the use of a motor vehicle</w:t>
      </w:r>
      <w:r>
        <w:rPr>
          <w:rFonts w:ascii="Calibri" w:eastAsia="Times New Roman" w:hAnsi="Calibri" w:cs="Calibri"/>
          <w:color w:val="44546A" w:themeColor="text2"/>
        </w:rPr>
        <w:t>.</w:t>
      </w:r>
      <w:r>
        <w:rPr>
          <w:rStyle w:val="EndnoteReference"/>
          <w:rFonts w:eastAsia="Times New Roman" w:cs="Calibri"/>
          <w:color w:val="44546A" w:themeColor="text2"/>
        </w:rPr>
        <w:endnoteReference w:id="2"/>
      </w:r>
      <w:r>
        <w:rPr>
          <w:rFonts w:ascii="Calibri" w:eastAsia="Times New Roman" w:hAnsi="Calibri" w:cs="Calibri"/>
          <w:color w:val="44546A" w:themeColor="text2"/>
        </w:rPr>
        <w:t xml:space="preserve"> </w:t>
      </w:r>
      <w:r>
        <w:t>However, the walkable neighbourhood concept</w:t>
      </w:r>
      <w:r w:rsidRPr="00C03C5C">
        <w:t xml:space="preserve"> has the potential to entrench spatial inequality</w:t>
      </w:r>
      <w:r>
        <w:t>, particularly in relation to people with disability</w:t>
      </w:r>
      <w:r w:rsidRPr="00C03C5C">
        <w:t>. </w:t>
      </w:r>
    </w:p>
    <w:p w14:paraId="726AD521" w14:textId="06FBFEB2" w:rsidR="00164489" w:rsidRDefault="00164489" w:rsidP="00095A2B">
      <w:pPr>
        <w:keepNext w:val="0"/>
        <w:rPr>
          <w:szCs w:val="20"/>
        </w:rPr>
      </w:pPr>
      <w:r w:rsidRPr="00073862">
        <w:rPr>
          <w:szCs w:val="20"/>
        </w:rPr>
        <w:t xml:space="preserve">The draft Guidelines </w:t>
      </w:r>
      <w:r w:rsidRPr="00FC14C3">
        <w:rPr>
          <w:rFonts w:cs="Open Sans"/>
          <w:szCs w:val="20"/>
        </w:rPr>
        <w:t xml:space="preserve">include </w:t>
      </w:r>
      <w:r w:rsidR="00303D10">
        <w:rPr>
          <w:rFonts w:cs="Open Sans"/>
          <w:szCs w:val="20"/>
        </w:rPr>
        <w:t>‘</w:t>
      </w:r>
      <w:r w:rsidR="00303D10" w:rsidRPr="00A35FC8">
        <w:rPr>
          <w:rFonts w:cs="Open Sans"/>
          <w:szCs w:val="20"/>
        </w:rPr>
        <w:t>Site Selection</w:t>
      </w:r>
      <w:r w:rsidR="00303D10">
        <w:rPr>
          <w:rFonts w:cs="Open Sans"/>
          <w:szCs w:val="20"/>
        </w:rPr>
        <w:t xml:space="preserve">’ </w:t>
      </w:r>
      <w:r w:rsidRPr="00FC14C3">
        <w:rPr>
          <w:rFonts w:cs="Open Sans"/>
          <w:szCs w:val="20"/>
        </w:rPr>
        <w:t xml:space="preserve">as a fundamental element in the Design Process stage. In addition, elements which consider the development site’s access to useable pedestrian footpaths with shallow grades and wide pavements (as well as other design elements) is included in the </w:t>
      </w:r>
      <w:r w:rsidR="00303D10" w:rsidRPr="00A35FC8">
        <w:rPr>
          <w:rFonts w:cs="Open Sans"/>
          <w:szCs w:val="20"/>
        </w:rPr>
        <w:t>‘Site’</w:t>
      </w:r>
      <w:r w:rsidRPr="00FC14C3">
        <w:rPr>
          <w:rFonts w:cs="Open Sans"/>
          <w:szCs w:val="20"/>
        </w:rPr>
        <w:t xml:space="preserve"> design</w:t>
      </w:r>
      <w:r w:rsidRPr="00073862">
        <w:rPr>
          <w:szCs w:val="20"/>
        </w:rPr>
        <w:t xml:space="preserve"> category.</w:t>
      </w:r>
      <w:r>
        <w:rPr>
          <w:szCs w:val="20"/>
        </w:rPr>
        <w:t xml:space="preserve"> </w:t>
      </w:r>
    </w:p>
    <w:p w14:paraId="077F4D0D" w14:textId="77777777" w:rsidR="00164489" w:rsidRDefault="00164489" w:rsidP="00095A2B">
      <w:pPr>
        <w:keepNext w:val="0"/>
        <w:rPr>
          <w:szCs w:val="20"/>
        </w:rPr>
      </w:pPr>
      <w:r>
        <w:rPr>
          <w:szCs w:val="20"/>
        </w:rPr>
        <w:t xml:space="preserve">Whilst traditional 400m and 800m catchments have been used to consider access to services such as public transport, open space and health facilities, this has been qualified by the need to provide appropriate slopes, width and rest stops for people with disabilities along key accessible footpaths to ensure they can reach essential facilities. </w:t>
      </w:r>
    </w:p>
    <w:p w14:paraId="39BB9B27" w14:textId="77777777" w:rsidR="00164489" w:rsidRDefault="00164489" w:rsidP="00095A2B">
      <w:pPr>
        <w:pStyle w:val="ListParagraph"/>
        <w:keepNext w:val="0"/>
        <w:numPr>
          <w:ilvl w:val="0"/>
          <w:numId w:val="23"/>
        </w:numPr>
      </w:pPr>
      <w:r>
        <w:t>Are the 400m and 800m distances reasonable in the context of supporting the delivery of more inclusive and accessible housing in close proximity to services and facilities?</w:t>
      </w:r>
    </w:p>
    <w:p w14:paraId="6D3C002E" w14:textId="77777777" w:rsidR="00164489" w:rsidRDefault="00164489" w:rsidP="00095A2B">
      <w:pPr>
        <w:pStyle w:val="ListParagraph"/>
        <w:keepNext w:val="0"/>
        <w:numPr>
          <w:ilvl w:val="0"/>
          <w:numId w:val="23"/>
        </w:numPr>
      </w:pPr>
      <w:r>
        <w:t>Are there any other contextual elements that should be considered in relation to the surrounding public domain and footpaths?</w:t>
      </w:r>
    </w:p>
    <w:p w14:paraId="31DFDCD2" w14:textId="77777777" w:rsidR="00164489" w:rsidRDefault="00164489" w:rsidP="00095A2B">
      <w:pPr>
        <w:pStyle w:val="ListParagraph"/>
        <w:keepNext w:val="0"/>
        <w:numPr>
          <w:ilvl w:val="0"/>
          <w:numId w:val="23"/>
        </w:numPr>
      </w:pPr>
      <w:r>
        <w:t>Should the Guideline differentiate between accessible footpath requirements in urban vs regional areas?</w:t>
      </w:r>
    </w:p>
    <w:p w14:paraId="742744B8" w14:textId="77777777" w:rsidR="00164489" w:rsidRDefault="00164489" w:rsidP="00095A2B">
      <w:pPr>
        <w:pStyle w:val="ListParagraph"/>
        <w:keepNext w:val="0"/>
        <w:numPr>
          <w:ilvl w:val="0"/>
          <w:numId w:val="23"/>
        </w:numPr>
      </w:pPr>
      <w:r>
        <w:t>Should the provision of street tree coverage, lighting and street furniture be Essential Elements along accessible footpaths?</w:t>
      </w:r>
    </w:p>
    <w:p w14:paraId="21843E48" w14:textId="77777777" w:rsidR="00164489" w:rsidRDefault="00164489" w:rsidP="00095A2B">
      <w:pPr>
        <w:pStyle w:val="ListParagraph"/>
        <w:keepNext w:val="0"/>
        <w:numPr>
          <w:ilvl w:val="0"/>
          <w:numId w:val="23"/>
        </w:numPr>
      </w:pPr>
      <w:r>
        <w:t>What types of services and amenities would ideally be within close proximity of an inclusive and accessible residential community?</w:t>
      </w:r>
    </w:p>
    <w:p w14:paraId="07912DBB" w14:textId="0476F5E2" w:rsidR="00164489" w:rsidRPr="00164489" w:rsidRDefault="00164489" w:rsidP="00095A2B">
      <w:pPr>
        <w:pStyle w:val="ListParagraph"/>
        <w:keepNext w:val="0"/>
        <w:numPr>
          <w:ilvl w:val="0"/>
          <w:numId w:val="23"/>
        </w:numPr>
      </w:pPr>
      <w:r>
        <w:t xml:space="preserve">What types of transport options should be provided within, or close to, inclusive and accessible residential communities? </w:t>
      </w:r>
    </w:p>
    <w:p w14:paraId="0E8C056F" w14:textId="05B52AB8" w:rsidR="00C047F5" w:rsidRDefault="00C047F5" w:rsidP="00095A2B">
      <w:pPr>
        <w:pStyle w:val="AHRCHeading2"/>
        <w:keepNext w:val="0"/>
      </w:pPr>
      <w:bookmarkStart w:id="7" w:name="_Toc164178019"/>
      <w:r w:rsidRPr="00CF70C9">
        <w:t>Essential Elements</w:t>
      </w:r>
      <w:bookmarkEnd w:id="7"/>
    </w:p>
    <w:p w14:paraId="6EF71EA7" w14:textId="2E22AEF6" w:rsidR="00E3371E" w:rsidRDefault="00E3371E" w:rsidP="00095A2B">
      <w:pPr>
        <w:keepNext w:val="0"/>
        <w:rPr>
          <w:lang w:eastAsia="en-US"/>
        </w:rPr>
      </w:pPr>
      <w:r w:rsidRPr="00552153">
        <w:rPr>
          <w:lang w:eastAsia="en-US"/>
        </w:rPr>
        <w:t xml:space="preserve">The draft Guideline identifies some elements as Essential Elements which must be met </w:t>
      </w:r>
      <w:r w:rsidR="00A52D0A" w:rsidRPr="00552153">
        <w:rPr>
          <w:lang w:eastAsia="en-US"/>
        </w:rPr>
        <w:t>for</w:t>
      </w:r>
      <w:r w:rsidRPr="00552153">
        <w:rPr>
          <w:lang w:eastAsia="en-US"/>
        </w:rPr>
        <w:t xml:space="preserve"> a project to be certified under the Guideline. </w:t>
      </w:r>
    </w:p>
    <w:p w14:paraId="195FDB6A" w14:textId="77777777" w:rsidR="00E3371E" w:rsidRPr="00A75E76" w:rsidRDefault="00E3371E" w:rsidP="00095A2B">
      <w:pPr>
        <w:pStyle w:val="ListParagraph"/>
        <w:keepNext w:val="0"/>
        <w:numPr>
          <w:ilvl w:val="0"/>
          <w:numId w:val="24"/>
        </w:numPr>
      </w:pPr>
      <w:r w:rsidRPr="00A75E76">
        <w:t>Are the nomination of Essential Elements reasonable?</w:t>
      </w:r>
    </w:p>
    <w:p w14:paraId="03E10D0A" w14:textId="6202DBB2" w:rsidR="00E3371E" w:rsidRPr="00A75E76" w:rsidRDefault="00E3371E" w:rsidP="00095A2B">
      <w:pPr>
        <w:pStyle w:val="ListParagraph"/>
        <w:keepNext w:val="0"/>
        <w:numPr>
          <w:ilvl w:val="0"/>
          <w:numId w:val="24"/>
        </w:numPr>
        <w:rPr>
          <w:lang w:eastAsia="en-US"/>
        </w:rPr>
      </w:pPr>
      <w:r w:rsidRPr="00A75E76">
        <w:t>Are there other Elements which should be identified as Essential?</w:t>
      </w:r>
    </w:p>
    <w:p w14:paraId="06A04978" w14:textId="41DA584E" w:rsidR="00C047F5" w:rsidRDefault="00C047F5" w:rsidP="00095A2B">
      <w:pPr>
        <w:pStyle w:val="AHRCHeading2"/>
        <w:keepNext w:val="0"/>
      </w:pPr>
      <w:bookmarkStart w:id="8" w:name="_Toc164178020"/>
      <w:r w:rsidRPr="00CF70C9">
        <w:t>Design Process</w:t>
      </w:r>
      <w:bookmarkEnd w:id="8"/>
      <w:r w:rsidRPr="00CF70C9">
        <w:t xml:space="preserve"> </w:t>
      </w:r>
    </w:p>
    <w:p w14:paraId="63FD7FF0" w14:textId="7AC75D9C" w:rsidR="006F0018" w:rsidRDefault="006F0018" w:rsidP="00095A2B">
      <w:pPr>
        <w:keepNext w:val="0"/>
      </w:pPr>
      <w:r w:rsidRPr="00BE0942">
        <w:t>Element</w:t>
      </w:r>
      <w:r>
        <w:t xml:space="preserve">s in </w:t>
      </w:r>
      <w:r w:rsidRPr="00BE0942">
        <w:t>Design Process</w:t>
      </w:r>
      <w:r>
        <w:t xml:space="preserve"> category</w:t>
      </w:r>
      <w:r w:rsidRPr="00BE0942">
        <w:t xml:space="preserve"> includes a </w:t>
      </w:r>
      <w:r w:rsidR="00A52D0A" w:rsidRPr="00BE0942">
        <w:t>requirement</w:t>
      </w:r>
      <w:r w:rsidRPr="00BE0942">
        <w:t xml:space="preserve"> </w:t>
      </w:r>
      <w:r>
        <w:t>to i</w:t>
      </w:r>
      <w:r w:rsidRPr="00BE0942">
        <w:t xml:space="preserve">nvolve people with </w:t>
      </w:r>
      <w:r>
        <w:t>disability</w:t>
      </w:r>
      <w:r w:rsidRPr="00BE0942">
        <w:t xml:space="preserve"> and potential future users or similar populations in focus groups/sharing feedback before design </w:t>
      </w:r>
      <w:r w:rsidR="005D2274" w:rsidRPr="00BE0942">
        <w:t>begins</w:t>
      </w:r>
      <w:r w:rsidR="005D2274">
        <w:t xml:space="preserve"> and</w:t>
      </w:r>
      <w:r>
        <w:t xml:space="preserve"> ensure people with disability are represented on the design team.</w:t>
      </w:r>
    </w:p>
    <w:p w14:paraId="0F220809" w14:textId="77777777" w:rsidR="006F0018" w:rsidRDefault="006F0018" w:rsidP="00095A2B">
      <w:pPr>
        <w:pStyle w:val="ListParagraph"/>
        <w:keepNext w:val="0"/>
        <w:numPr>
          <w:ilvl w:val="0"/>
          <w:numId w:val="25"/>
        </w:numPr>
      </w:pPr>
      <w:r w:rsidRPr="006C041C">
        <w:t>Should this be an essential requirement?</w:t>
      </w:r>
    </w:p>
    <w:p w14:paraId="5F92A75A" w14:textId="6B9D204B" w:rsidR="006F0018" w:rsidRPr="006F0018" w:rsidRDefault="006F0018" w:rsidP="00095A2B">
      <w:pPr>
        <w:pStyle w:val="ListParagraph"/>
        <w:keepNext w:val="0"/>
        <w:numPr>
          <w:ilvl w:val="0"/>
          <w:numId w:val="25"/>
        </w:numPr>
      </w:pPr>
      <w:r>
        <w:t>H</w:t>
      </w:r>
      <w:r w:rsidRPr="006C041C">
        <w:t xml:space="preserve">ow can this </w:t>
      </w:r>
      <w:r>
        <w:t xml:space="preserve">best </w:t>
      </w:r>
      <w:r w:rsidRPr="006C041C">
        <w:t>be achieved in practice?</w:t>
      </w:r>
    </w:p>
    <w:p w14:paraId="290B9110" w14:textId="0D4FCE81" w:rsidR="00C047F5" w:rsidRDefault="00C047F5" w:rsidP="00095A2B">
      <w:pPr>
        <w:pStyle w:val="AHRCHeading2"/>
        <w:keepNext w:val="0"/>
      </w:pPr>
      <w:bookmarkStart w:id="9" w:name="_Toc164178021"/>
      <w:r w:rsidRPr="00CF70C9">
        <w:t>Site – Building security</w:t>
      </w:r>
      <w:bookmarkEnd w:id="9"/>
      <w:r w:rsidRPr="00CF70C9">
        <w:t xml:space="preserve"> </w:t>
      </w:r>
    </w:p>
    <w:p w14:paraId="61F27512" w14:textId="745C2411" w:rsidR="00890261" w:rsidRPr="00CF70C9" w:rsidRDefault="00890261" w:rsidP="00095A2B">
      <w:pPr>
        <w:pStyle w:val="ListParagraph"/>
        <w:keepNext w:val="0"/>
        <w:numPr>
          <w:ilvl w:val="0"/>
          <w:numId w:val="26"/>
        </w:numPr>
      </w:pPr>
      <w:r w:rsidRPr="00890261">
        <w:t>What types of technology can be used in building security to support access for residents with disability including cognitive impairments?</w:t>
      </w:r>
    </w:p>
    <w:p w14:paraId="474F856A" w14:textId="6584C5A4" w:rsidR="00C047F5" w:rsidRDefault="00C047F5" w:rsidP="00095A2B">
      <w:pPr>
        <w:pStyle w:val="AHRCHeading2"/>
        <w:keepNext w:val="0"/>
      </w:pPr>
      <w:bookmarkStart w:id="10" w:name="_Toc164178022"/>
      <w:r w:rsidRPr="00CF70C9">
        <w:t>Parking space weather protection</w:t>
      </w:r>
      <w:bookmarkEnd w:id="10"/>
    </w:p>
    <w:p w14:paraId="3DFE03A9" w14:textId="77777777" w:rsidR="00E82C58" w:rsidRDefault="00E82C58" w:rsidP="00095A2B">
      <w:pPr>
        <w:keepNext w:val="0"/>
      </w:pPr>
      <w:r>
        <w:t>Level 1 of Element 2.5.6 includes a requirement that all accessible parking spaces be provided with weather protection. This is an Essential Requirement consistent with the National Construction Code.</w:t>
      </w:r>
    </w:p>
    <w:p w14:paraId="25D505E2" w14:textId="77777777" w:rsidR="00E82C58" w:rsidRDefault="00E82C58" w:rsidP="00095A2B">
      <w:pPr>
        <w:keepNext w:val="0"/>
      </w:pPr>
      <w:r>
        <w:t>Level 2 of this Element requires weather protection to be provided between all accessible parking spaces and the main entry of a dwelling, consistent with higher levels under the Livable Housing Design (LHD) Guidelines and Specialist Disability Accommodation (SDA) Design Standards.</w:t>
      </w:r>
    </w:p>
    <w:p w14:paraId="0CA569D1" w14:textId="7347D576" w:rsidR="00890261" w:rsidRPr="00CF70C9" w:rsidRDefault="00E82C58" w:rsidP="00095A2B">
      <w:pPr>
        <w:pStyle w:val="ListParagraph"/>
        <w:keepNext w:val="0"/>
        <w:numPr>
          <w:ilvl w:val="0"/>
          <w:numId w:val="26"/>
        </w:numPr>
      </w:pPr>
      <w:r>
        <w:t>Should Level 2 be an Essential Requirement?</w:t>
      </w:r>
    </w:p>
    <w:p w14:paraId="40086434" w14:textId="35CD1C0F" w:rsidR="00C047F5" w:rsidRDefault="00C047F5" w:rsidP="00095A2B">
      <w:pPr>
        <w:pStyle w:val="AHRCHeading2"/>
        <w:keepNext w:val="0"/>
      </w:pPr>
      <w:bookmarkStart w:id="11" w:name="_Toc164178023"/>
      <w:r w:rsidRPr="00CF70C9">
        <w:t>Accessible parking space count</w:t>
      </w:r>
      <w:bookmarkEnd w:id="11"/>
    </w:p>
    <w:p w14:paraId="2B2FE2CA" w14:textId="77777777" w:rsidR="009F5F72" w:rsidRDefault="009F5F72" w:rsidP="00095A2B">
      <w:pPr>
        <w:keepNext w:val="0"/>
      </w:pPr>
      <w:r>
        <w:t>Minimum accessible car parking space numbers are proposed in Element 2.5.8 (Essential Requirement) based on current National Construction Code (NCC) requirements. However, these are considered too low, particularly for traditional housing types.</w:t>
      </w:r>
    </w:p>
    <w:p w14:paraId="73872341" w14:textId="77777777" w:rsidR="009F5F72" w:rsidRDefault="009F5F72" w:rsidP="00095A2B">
      <w:pPr>
        <w:pStyle w:val="ListParagraph"/>
        <w:keepNext w:val="0"/>
        <w:numPr>
          <w:ilvl w:val="0"/>
          <w:numId w:val="26"/>
        </w:numPr>
      </w:pPr>
      <w:r>
        <w:t>Should a higher rate be applied as an Essential Requirement?</w:t>
      </w:r>
    </w:p>
    <w:p w14:paraId="0A40CAB7" w14:textId="43A6DD5D" w:rsidR="009F5F72" w:rsidRPr="00CF70C9" w:rsidRDefault="009F5F72" w:rsidP="00095A2B">
      <w:pPr>
        <w:pStyle w:val="ListParagraph"/>
        <w:keepNext w:val="0"/>
        <w:numPr>
          <w:ilvl w:val="0"/>
          <w:numId w:val="26"/>
        </w:numPr>
      </w:pPr>
      <w:r>
        <w:t>What standard or guideline should be used to set the minimum rate?</w:t>
      </w:r>
    </w:p>
    <w:p w14:paraId="38F907FC" w14:textId="05639B47" w:rsidR="00C047F5" w:rsidRDefault="00C047F5" w:rsidP="00095A2B">
      <w:pPr>
        <w:pStyle w:val="AHRCHeading2"/>
        <w:keepNext w:val="0"/>
      </w:pPr>
      <w:bookmarkStart w:id="12" w:name="_Toc164178024"/>
      <w:r w:rsidRPr="00CF70C9">
        <w:t>Staff parking space count</w:t>
      </w:r>
      <w:bookmarkEnd w:id="12"/>
    </w:p>
    <w:p w14:paraId="25CD37A6" w14:textId="77777777" w:rsidR="008B4666" w:rsidRDefault="008B4666" w:rsidP="00095A2B">
      <w:pPr>
        <w:keepNext w:val="0"/>
      </w:pPr>
      <w:r>
        <w:t>Element 2.5.11 includes a requirement for provision of a dedicated staff parking space.</w:t>
      </w:r>
    </w:p>
    <w:p w14:paraId="14001E81" w14:textId="77777777" w:rsidR="008B4666" w:rsidRDefault="008B4666" w:rsidP="00095A2B">
      <w:pPr>
        <w:pStyle w:val="ListParagraph"/>
        <w:keepNext w:val="0"/>
        <w:numPr>
          <w:ilvl w:val="0"/>
          <w:numId w:val="27"/>
        </w:numPr>
      </w:pPr>
      <w:r>
        <w:t>Should this be an Essential Requirement for residential communities where services are provided?</w:t>
      </w:r>
    </w:p>
    <w:p w14:paraId="24C80FEC" w14:textId="02766B54" w:rsidR="008B4666" w:rsidRPr="00CF70C9" w:rsidRDefault="008B4666" w:rsidP="00095A2B">
      <w:pPr>
        <w:pStyle w:val="ListParagraph"/>
        <w:keepNext w:val="0"/>
        <w:numPr>
          <w:ilvl w:val="0"/>
          <w:numId w:val="27"/>
        </w:numPr>
      </w:pPr>
      <w:r>
        <w:t>If so, what rate should be applied for staff parking?</w:t>
      </w:r>
    </w:p>
    <w:p w14:paraId="55A91982" w14:textId="1C2259E8" w:rsidR="00C047F5" w:rsidRDefault="00C047F5" w:rsidP="00095A2B">
      <w:pPr>
        <w:pStyle w:val="AHRCHeading2"/>
        <w:keepNext w:val="0"/>
      </w:pPr>
      <w:bookmarkStart w:id="13" w:name="_Toc164178025"/>
      <w:r w:rsidRPr="00CF70C9">
        <w:t>Reduced vehicle speeds</w:t>
      </w:r>
      <w:bookmarkEnd w:id="13"/>
    </w:p>
    <w:p w14:paraId="1D430860" w14:textId="77777777" w:rsidR="0073300A" w:rsidRDefault="003C19C0" w:rsidP="00095A2B">
      <w:pPr>
        <w:keepNext w:val="0"/>
      </w:pPr>
      <w:r>
        <w:t>Element 2.8.2 incentives the provision of inclusive and accessible residential communities in neighbourhoods with low vehicle speed limits in the surrounding streets (30km/hour to 50km/hour).</w:t>
      </w:r>
    </w:p>
    <w:p w14:paraId="25481C99" w14:textId="77777777" w:rsidR="0073300A" w:rsidRDefault="003C19C0" w:rsidP="00095A2B">
      <w:pPr>
        <w:pStyle w:val="ListParagraph"/>
        <w:keepNext w:val="0"/>
        <w:numPr>
          <w:ilvl w:val="0"/>
          <w:numId w:val="28"/>
        </w:numPr>
      </w:pPr>
      <w:r>
        <w:t>Can vehicle speeds of 30km or 40km be readily applied in residential areas?</w:t>
      </w:r>
    </w:p>
    <w:p w14:paraId="1B8E0C6E" w14:textId="45388B63" w:rsidR="003C19C0" w:rsidRPr="00CF70C9" w:rsidRDefault="003C19C0" w:rsidP="00095A2B">
      <w:pPr>
        <w:pStyle w:val="ListParagraph"/>
        <w:keepNext w:val="0"/>
        <w:numPr>
          <w:ilvl w:val="0"/>
          <w:numId w:val="28"/>
        </w:numPr>
      </w:pPr>
      <w:r>
        <w:t>Are there examples of where these speed limits are being effectively applied?</w:t>
      </w:r>
    </w:p>
    <w:p w14:paraId="61FE11CB" w14:textId="59ADEDEC" w:rsidR="00C047F5" w:rsidRDefault="00C047F5" w:rsidP="00095A2B">
      <w:pPr>
        <w:pStyle w:val="AHRCHeading2"/>
        <w:keepNext w:val="0"/>
      </w:pPr>
      <w:bookmarkStart w:id="14" w:name="_Toc164178026"/>
      <w:r w:rsidRPr="00CF70C9">
        <w:t>LHD Guidelines and SDA Standards for Dwellings</w:t>
      </w:r>
      <w:bookmarkEnd w:id="14"/>
    </w:p>
    <w:p w14:paraId="136F209C" w14:textId="77777777" w:rsidR="004263E1" w:rsidRDefault="004263E1" w:rsidP="00095A2B">
      <w:pPr>
        <w:keepNext w:val="0"/>
      </w:pPr>
      <w:r>
        <w:t xml:space="preserve">The draft Guidelines generally apply the NCC standard as a minimum requirement for individual dwellings (eg. doorway widths) and sets higher requirements (which are incentivised through the point system) for greater levels of accessibility based on the LHD Guideline Silver and Gold Levels and SDA Standards. </w:t>
      </w:r>
    </w:p>
    <w:p w14:paraId="35F78D7D" w14:textId="268690D6" w:rsidR="004263E1" w:rsidRPr="00CF70C9" w:rsidRDefault="004263E1" w:rsidP="00095A2B">
      <w:pPr>
        <w:pStyle w:val="ListParagraph"/>
        <w:keepNext w:val="0"/>
        <w:numPr>
          <w:ilvl w:val="0"/>
          <w:numId w:val="29"/>
        </w:numPr>
      </w:pPr>
      <w:r>
        <w:t>Should a higher minimum be applied to some (or all) types of housing?</w:t>
      </w:r>
    </w:p>
    <w:p w14:paraId="4BA3232E" w14:textId="1C896D87" w:rsidR="00C047F5" w:rsidRDefault="00C047F5" w:rsidP="00095A2B">
      <w:pPr>
        <w:pStyle w:val="AHRCHeading2"/>
        <w:keepNext w:val="0"/>
      </w:pPr>
      <w:bookmarkStart w:id="15" w:name="_Toc164178027"/>
      <w:r w:rsidRPr="00CF70C9">
        <w:t>Operations and amenities</w:t>
      </w:r>
      <w:bookmarkEnd w:id="15"/>
      <w:r w:rsidRPr="00CF70C9">
        <w:t xml:space="preserve"> </w:t>
      </w:r>
    </w:p>
    <w:p w14:paraId="354823EA" w14:textId="77777777" w:rsidR="00D03348" w:rsidRDefault="00D03348" w:rsidP="00095A2B">
      <w:pPr>
        <w:pStyle w:val="ListParagraph"/>
        <w:keepNext w:val="0"/>
        <w:numPr>
          <w:ilvl w:val="0"/>
          <w:numId w:val="29"/>
        </w:numPr>
      </w:pPr>
      <w:r>
        <w:t xml:space="preserve">Is the use of apps or other technology to communicate with residents suitable for inclusive communities? </w:t>
      </w:r>
    </w:p>
    <w:p w14:paraId="754FAEF6" w14:textId="77777777" w:rsidR="00D03348" w:rsidRDefault="00D03348" w:rsidP="00095A2B">
      <w:pPr>
        <w:pStyle w:val="ListParagraph"/>
        <w:keepNext w:val="0"/>
        <w:numPr>
          <w:ilvl w:val="0"/>
          <w:numId w:val="29"/>
        </w:numPr>
      </w:pPr>
      <w:r>
        <w:t>Should this be the primary or secondary form of communication?</w:t>
      </w:r>
    </w:p>
    <w:p w14:paraId="0D4B41D6" w14:textId="2F155DCB" w:rsidR="007448C6" w:rsidRPr="00CF70C9" w:rsidRDefault="00D03348" w:rsidP="00095A2B">
      <w:pPr>
        <w:pStyle w:val="ListParagraph"/>
        <w:keepNext w:val="0"/>
        <w:numPr>
          <w:ilvl w:val="0"/>
          <w:numId w:val="29"/>
        </w:numPr>
      </w:pPr>
      <w:r>
        <w:t>What other forms of communication are most effective?</w:t>
      </w:r>
    </w:p>
    <w:p w14:paraId="50FEA512" w14:textId="7B77B085" w:rsidR="00D03348" w:rsidRDefault="00C047F5" w:rsidP="00095A2B">
      <w:pPr>
        <w:pStyle w:val="AHRCHeading2"/>
        <w:keepNext w:val="0"/>
      </w:pPr>
      <w:bookmarkStart w:id="16" w:name="_Toc164178028"/>
      <w:r w:rsidRPr="00CF70C9">
        <w:t>Affordable Housing</w:t>
      </w:r>
      <w:bookmarkEnd w:id="16"/>
      <w:r w:rsidRPr="00CF70C9">
        <w:t xml:space="preserve"> </w:t>
      </w:r>
    </w:p>
    <w:p w14:paraId="4BC06F4F" w14:textId="3B8C8884" w:rsidR="00F32806" w:rsidRDefault="0012547C" w:rsidP="00095A2B">
      <w:pPr>
        <w:keepNext w:val="0"/>
      </w:pPr>
      <w:r>
        <w:t>The definition used for affordable housing in the ‘Operations and Amenities’ Design Category is based on that used by the NSW Department of Communit</w:t>
      </w:r>
      <w:r w:rsidR="001150A3">
        <w:t>ies</w:t>
      </w:r>
      <w:r>
        <w:t xml:space="preserve"> and Justice as follows:</w:t>
      </w:r>
    </w:p>
    <w:p w14:paraId="7D9570C9" w14:textId="4A63FE2A" w:rsidR="0012547C" w:rsidRPr="00F32806" w:rsidRDefault="0012547C" w:rsidP="00095A2B">
      <w:pPr>
        <w:keepNext w:val="0"/>
        <w:ind w:left="720"/>
        <w:rPr>
          <w:sz w:val="22"/>
          <w:szCs w:val="22"/>
        </w:rPr>
      </w:pPr>
      <w:r w:rsidRPr="00F32806">
        <w:rPr>
          <w:sz w:val="22"/>
          <w:szCs w:val="22"/>
        </w:rPr>
        <w:t>Affordable housing is housing that is appropriate for the needs of a range of very low to moderate income households and priced so that these households are also able to meet other basic living costs such as food, clothing, transport, medical care and education. As a rule of thumb, housing is usually considered affordable if it costs less than 30% of gross household income.</w:t>
      </w:r>
      <w:r w:rsidR="00A35FC8">
        <w:rPr>
          <w:rStyle w:val="EndnoteReference"/>
          <w:szCs w:val="22"/>
        </w:rPr>
        <w:endnoteReference w:id="3"/>
      </w:r>
    </w:p>
    <w:p w14:paraId="721BE2D7" w14:textId="77777777" w:rsidR="00F32806" w:rsidRDefault="0012547C" w:rsidP="00095A2B">
      <w:pPr>
        <w:keepNext w:val="0"/>
      </w:pPr>
      <w:r>
        <w:t>The draft Guideline seeks to incentivise the provision of affordable housing in inclusive and accessible residential communities.</w:t>
      </w:r>
    </w:p>
    <w:p w14:paraId="34C03AB9" w14:textId="77777777" w:rsidR="00F32806" w:rsidRDefault="0012547C" w:rsidP="00095A2B">
      <w:pPr>
        <w:pStyle w:val="ListParagraph"/>
        <w:keepNext w:val="0"/>
        <w:numPr>
          <w:ilvl w:val="0"/>
          <w:numId w:val="30"/>
        </w:numPr>
      </w:pPr>
      <w:r>
        <w:t xml:space="preserve">Is this the right definition to use for affordable housing in this context? </w:t>
      </w:r>
    </w:p>
    <w:p w14:paraId="7415AB83" w14:textId="6E39A6C8" w:rsidR="0012547C" w:rsidRDefault="0012547C" w:rsidP="00095A2B">
      <w:pPr>
        <w:pStyle w:val="ListParagraph"/>
        <w:keepNext w:val="0"/>
        <w:numPr>
          <w:ilvl w:val="0"/>
          <w:numId w:val="30"/>
        </w:numPr>
      </w:pPr>
      <w:r>
        <w:t>Should various bands of affordability be considered to support more diversity?</w:t>
      </w:r>
    </w:p>
    <w:p w14:paraId="191EAFF2" w14:textId="372D8C03" w:rsidR="00EF1D95" w:rsidRDefault="00EF1D95" w:rsidP="00095A2B">
      <w:pPr>
        <w:pStyle w:val="AHRCHeading2"/>
        <w:keepNext w:val="0"/>
      </w:pPr>
      <w:bookmarkStart w:id="17" w:name="_Toc164178029"/>
      <w:r>
        <w:t>Self-Certification Tool</w:t>
      </w:r>
      <w:bookmarkEnd w:id="17"/>
    </w:p>
    <w:p w14:paraId="11EAAA39" w14:textId="77777777" w:rsidR="00C0714F" w:rsidRDefault="00C0714F" w:rsidP="00C0714F">
      <w:pPr>
        <w:pStyle w:val="ListParagraph"/>
        <w:keepNext w:val="0"/>
        <w:numPr>
          <w:ilvl w:val="0"/>
          <w:numId w:val="29"/>
        </w:numPr>
      </w:pPr>
      <w:r>
        <w:t>How user-friendly is the self-certification tool for project evaluation?</w:t>
      </w:r>
    </w:p>
    <w:p w14:paraId="7290F637" w14:textId="77777777" w:rsidR="00C0714F" w:rsidRDefault="00C0714F" w:rsidP="00C0714F">
      <w:pPr>
        <w:pStyle w:val="ListParagraph"/>
        <w:keepNext w:val="0"/>
        <w:numPr>
          <w:ilvl w:val="0"/>
          <w:numId w:val="29"/>
        </w:numPr>
      </w:pPr>
      <w:r>
        <w:t>Do the certification option – full or focused certification and exemplary badges -provide sufficient flexibility to embed the design guidelines in project delivery, whilst encouraging innovation?</w:t>
      </w:r>
    </w:p>
    <w:p w14:paraId="54D2886E" w14:textId="69D5F6BC" w:rsidR="00C0714F" w:rsidRPr="00CF70C9" w:rsidRDefault="00C0714F" w:rsidP="00C0714F">
      <w:pPr>
        <w:pStyle w:val="ListParagraph"/>
        <w:keepNext w:val="0"/>
        <w:numPr>
          <w:ilvl w:val="0"/>
          <w:numId w:val="29"/>
        </w:numPr>
      </w:pPr>
      <w:r>
        <w:t>Could the Operations and Amenities category be applied to non-rental dwellings?</w:t>
      </w:r>
    </w:p>
    <w:p w14:paraId="5E8A6DFE" w14:textId="25DF5089" w:rsidR="00C047F5" w:rsidRDefault="00C047F5" w:rsidP="00095A2B">
      <w:pPr>
        <w:pStyle w:val="Heading1"/>
        <w:keepNext w:val="0"/>
      </w:pPr>
      <w:bookmarkStart w:id="18" w:name="_Toc164178030"/>
      <w:r>
        <w:t>Making a submission</w:t>
      </w:r>
      <w:bookmarkEnd w:id="18"/>
    </w:p>
    <w:p w14:paraId="7BAAA6E6" w14:textId="4184368C" w:rsidR="00C047F5" w:rsidRDefault="00C047F5" w:rsidP="00095A2B">
      <w:pPr>
        <w:keepNext w:val="0"/>
        <w:autoSpaceDE w:val="0"/>
        <w:autoSpaceDN w:val="0"/>
        <w:adjustRightInd w:val="0"/>
        <w:rPr>
          <w:rFonts w:eastAsia="Times New Roman" w:cs="Open Sans"/>
          <w:b/>
          <w:bCs/>
        </w:rPr>
      </w:pPr>
      <w:r>
        <w:rPr>
          <w:rFonts w:eastAsia="Times New Roman" w:cs="Open Sans"/>
          <w:b/>
          <w:bCs/>
        </w:rPr>
        <w:t xml:space="preserve">Submissions are due by 11:59pm </w:t>
      </w:r>
      <w:r w:rsidR="003B35BC">
        <w:rPr>
          <w:rFonts w:eastAsia="Times New Roman" w:cs="Open Sans"/>
          <w:b/>
          <w:bCs/>
        </w:rPr>
        <w:t>Tuesday</w:t>
      </w:r>
      <w:r w:rsidRPr="0031493E">
        <w:rPr>
          <w:rFonts w:eastAsia="Times New Roman" w:cs="Open Sans"/>
          <w:b/>
          <w:bCs/>
        </w:rPr>
        <w:t xml:space="preserve"> </w:t>
      </w:r>
      <w:r w:rsidR="00362635" w:rsidRPr="0031493E">
        <w:rPr>
          <w:rFonts w:eastAsia="Times New Roman" w:cs="Open Sans"/>
          <w:b/>
          <w:bCs/>
        </w:rPr>
        <w:t>1</w:t>
      </w:r>
      <w:r w:rsidR="00700C16">
        <w:rPr>
          <w:rFonts w:eastAsia="Times New Roman" w:cs="Open Sans"/>
          <w:b/>
          <w:bCs/>
        </w:rPr>
        <w:t>4</w:t>
      </w:r>
      <w:r w:rsidRPr="0031493E">
        <w:rPr>
          <w:rFonts w:eastAsia="Times New Roman" w:cs="Open Sans"/>
          <w:b/>
          <w:bCs/>
        </w:rPr>
        <w:t xml:space="preserve"> May 2024,</w:t>
      </w:r>
      <w:r>
        <w:rPr>
          <w:rFonts w:eastAsia="Times New Roman" w:cs="Open Sans"/>
          <w:b/>
          <w:bCs/>
        </w:rPr>
        <w:t xml:space="preserve"> and should focus on providing feedbacking on the content of the draft guidelines. </w:t>
      </w:r>
    </w:p>
    <w:p w14:paraId="5CD1BF3D" w14:textId="706C07A7" w:rsidR="00C047F5" w:rsidRDefault="00C047F5" w:rsidP="00095A2B">
      <w:pPr>
        <w:keepNext w:val="0"/>
        <w:autoSpaceDE w:val="0"/>
        <w:autoSpaceDN w:val="0"/>
        <w:adjustRightInd w:val="0"/>
        <w:rPr>
          <w:rFonts w:eastAsia="Times New Roman" w:cs="Open Sans"/>
        </w:rPr>
      </w:pPr>
      <w:r>
        <w:rPr>
          <w:rFonts w:eastAsia="Times New Roman" w:cs="Open Sans"/>
        </w:rPr>
        <w:t>All submissions must outline the individual’s or organisations’ relevant experience or expertise at the opening of the document. Submissions will not be made public</w:t>
      </w:r>
      <w:r w:rsidR="00CF2400">
        <w:rPr>
          <w:rFonts w:eastAsia="Times New Roman" w:cs="Open Sans"/>
        </w:rPr>
        <w:t xml:space="preserve">. </w:t>
      </w:r>
    </w:p>
    <w:p w14:paraId="52A25403" w14:textId="77777777" w:rsidR="00D728C7" w:rsidRDefault="000863B7" w:rsidP="00095A2B">
      <w:pPr>
        <w:keepNext w:val="0"/>
        <w:autoSpaceDE w:val="0"/>
        <w:autoSpaceDN w:val="0"/>
        <w:adjustRightInd w:val="0"/>
        <w:rPr>
          <w:rFonts w:eastAsia="Times New Roman" w:cs="Open Sans"/>
        </w:rPr>
      </w:pPr>
      <w:r w:rsidRPr="5518962A">
        <w:rPr>
          <w:rFonts w:eastAsia="Times New Roman" w:cs="Open Sans"/>
        </w:rPr>
        <w:t xml:space="preserve">Submissions can be made in </w:t>
      </w:r>
      <w:r w:rsidR="0035601E">
        <w:rPr>
          <w:rFonts w:eastAsia="Times New Roman" w:cs="Open Sans"/>
        </w:rPr>
        <w:t xml:space="preserve">any of the following formats: </w:t>
      </w:r>
    </w:p>
    <w:p w14:paraId="1F890F17" w14:textId="77777777" w:rsidR="00D728C7" w:rsidRDefault="00D728C7" w:rsidP="00095A2B">
      <w:pPr>
        <w:pStyle w:val="ListParagraph"/>
        <w:keepNext w:val="0"/>
        <w:numPr>
          <w:ilvl w:val="0"/>
          <w:numId w:val="35"/>
        </w:numPr>
        <w:autoSpaceDE w:val="0"/>
        <w:autoSpaceDN w:val="0"/>
        <w:adjustRightInd w:val="0"/>
        <w:rPr>
          <w:rFonts w:eastAsia="Times New Roman" w:cs="Open Sans"/>
        </w:rPr>
      </w:pPr>
      <w:r>
        <w:rPr>
          <w:rFonts w:eastAsia="Times New Roman" w:cs="Open Sans"/>
        </w:rPr>
        <w:t>W</w:t>
      </w:r>
      <w:r w:rsidR="000863B7" w:rsidRPr="00D728C7">
        <w:rPr>
          <w:rFonts w:eastAsia="Times New Roman" w:cs="Open Sans"/>
        </w:rPr>
        <w:t>ritten document</w:t>
      </w:r>
    </w:p>
    <w:p w14:paraId="6F56CFBE" w14:textId="77777777" w:rsidR="00D728C7" w:rsidRDefault="000863B7" w:rsidP="00095A2B">
      <w:pPr>
        <w:pStyle w:val="ListParagraph"/>
        <w:keepNext w:val="0"/>
        <w:numPr>
          <w:ilvl w:val="0"/>
          <w:numId w:val="35"/>
        </w:numPr>
        <w:autoSpaceDE w:val="0"/>
        <w:autoSpaceDN w:val="0"/>
        <w:adjustRightInd w:val="0"/>
        <w:rPr>
          <w:rFonts w:eastAsia="Times New Roman" w:cs="Open Sans"/>
        </w:rPr>
      </w:pPr>
      <w:r w:rsidRPr="00D728C7">
        <w:rPr>
          <w:rFonts w:eastAsia="Times New Roman" w:cs="Open Sans"/>
        </w:rPr>
        <w:t>Easy Read</w:t>
      </w:r>
    </w:p>
    <w:p w14:paraId="5EDC7D78" w14:textId="62B2AB45" w:rsidR="0074355F" w:rsidRDefault="0074355F" w:rsidP="00095A2B">
      <w:pPr>
        <w:pStyle w:val="ListParagraph"/>
        <w:keepNext w:val="0"/>
        <w:numPr>
          <w:ilvl w:val="0"/>
          <w:numId w:val="35"/>
        </w:numPr>
        <w:autoSpaceDE w:val="0"/>
        <w:autoSpaceDN w:val="0"/>
        <w:adjustRightInd w:val="0"/>
        <w:rPr>
          <w:rFonts w:eastAsia="Times New Roman" w:cs="Open Sans"/>
        </w:rPr>
      </w:pPr>
      <w:r>
        <w:rPr>
          <w:rFonts w:eastAsia="Times New Roman" w:cs="Open Sans"/>
        </w:rPr>
        <w:t>Video</w:t>
      </w:r>
    </w:p>
    <w:p w14:paraId="77DC7B25" w14:textId="3CFAA339" w:rsidR="000863B7" w:rsidRPr="00D728C7" w:rsidRDefault="00D728C7" w:rsidP="00095A2B">
      <w:pPr>
        <w:pStyle w:val="ListParagraph"/>
        <w:keepNext w:val="0"/>
        <w:numPr>
          <w:ilvl w:val="0"/>
          <w:numId w:val="35"/>
        </w:numPr>
        <w:autoSpaceDE w:val="0"/>
        <w:autoSpaceDN w:val="0"/>
        <w:adjustRightInd w:val="0"/>
        <w:rPr>
          <w:rFonts w:eastAsia="Times New Roman" w:cs="Open Sans"/>
        </w:rPr>
      </w:pPr>
      <w:r>
        <w:rPr>
          <w:rFonts w:eastAsia="Times New Roman" w:cs="Open Sans"/>
        </w:rPr>
        <w:t>A</w:t>
      </w:r>
      <w:r w:rsidR="00CF2400" w:rsidRPr="00D728C7">
        <w:rPr>
          <w:rFonts w:eastAsia="Times New Roman" w:cs="Open Sans"/>
        </w:rPr>
        <w:t>udio</w:t>
      </w:r>
      <w:r w:rsidR="000863B7" w:rsidRPr="00D728C7">
        <w:rPr>
          <w:rFonts w:eastAsia="Times New Roman" w:cs="Open Sans"/>
        </w:rPr>
        <w:t xml:space="preserve"> </w:t>
      </w:r>
      <w:r w:rsidR="0074355F">
        <w:rPr>
          <w:rFonts w:eastAsia="Times New Roman" w:cs="Open Sans"/>
        </w:rPr>
        <w:t>file</w:t>
      </w:r>
      <w:r w:rsidR="000863B7" w:rsidRPr="00D728C7">
        <w:rPr>
          <w:rFonts w:eastAsia="Times New Roman" w:cs="Open Sans"/>
        </w:rPr>
        <w:t xml:space="preserve">. </w:t>
      </w:r>
    </w:p>
    <w:p w14:paraId="21B6C4DA" w14:textId="53E01406" w:rsidR="00C047F5" w:rsidRPr="00CF541F" w:rsidRDefault="00C047F5" w:rsidP="00095A2B">
      <w:pPr>
        <w:keepNext w:val="0"/>
        <w:autoSpaceDE w:val="0"/>
        <w:autoSpaceDN w:val="0"/>
        <w:adjustRightInd w:val="0"/>
        <w:rPr>
          <w:rFonts w:eastAsia="Times New Roman" w:cs="Open Sans"/>
        </w:rPr>
      </w:pPr>
      <w:r>
        <w:rPr>
          <w:rFonts w:eastAsia="Times New Roman" w:cs="Open Sans"/>
        </w:rPr>
        <w:t xml:space="preserve">Please email your submissions and any queries to </w:t>
      </w:r>
      <w:hyperlink r:id="rId28" w:history="1">
        <w:r w:rsidRPr="0013129E">
          <w:rPr>
            <w:rStyle w:val="Hyperlink"/>
            <w:rFonts w:eastAsia="Times New Roman" w:cs="Open Sans"/>
          </w:rPr>
          <w:t>disability@humanrights.gov.au</w:t>
        </w:r>
      </w:hyperlink>
      <w:r w:rsidR="00CF541F">
        <w:rPr>
          <w:rFonts w:eastAsia="Times New Roman" w:cs="Open Sans"/>
        </w:rPr>
        <w:t xml:space="preserve">. </w:t>
      </w:r>
    </w:p>
    <w:sectPr w:rsidR="00C047F5" w:rsidRPr="00CF541F" w:rsidSect="00BA05B7">
      <w:headerReference w:type="even" r:id="rId29"/>
      <w:headerReference w:type="default" r:id="rId30"/>
      <w:footerReference w:type="even" r:id="rId31"/>
      <w:footerReference w:type="default" r:id="rId32"/>
      <w:headerReference w:type="first" r:id="rId33"/>
      <w:footerReference w:type="first" r:id="rId34"/>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1A1E" w14:textId="77777777" w:rsidR="00BA05B7" w:rsidRDefault="00BA05B7" w:rsidP="00F14C6D">
      <w:r>
        <w:separator/>
      </w:r>
    </w:p>
  </w:endnote>
  <w:endnote w:type="continuationSeparator" w:id="0">
    <w:p w14:paraId="72548FA4" w14:textId="77777777" w:rsidR="00BA05B7" w:rsidRDefault="00BA05B7" w:rsidP="00F14C6D">
      <w:r>
        <w:continuationSeparator/>
      </w:r>
    </w:p>
  </w:endnote>
  <w:endnote w:type="continuationNotice" w:id="1">
    <w:p w14:paraId="6D080A82" w14:textId="77777777" w:rsidR="00BA05B7" w:rsidRDefault="00BA05B7">
      <w:pPr>
        <w:spacing w:before="0" w:after="0"/>
      </w:pPr>
    </w:p>
  </w:endnote>
  <w:endnote w:id="2">
    <w:p w14:paraId="3D12AF01" w14:textId="0BC1D3E3" w:rsidR="00164489" w:rsidRPr="00164489" w:rsidRDefault="00164489">
      <w:pPr>
        <w:pStyle w:val="EndnoteText"/>
        <w:rPr>
          <w:rFonts w:cs="Open Sans"/>
        </w:rPr>
      </w:pPr>
      <w:r w:rsidRPr="00164489">
        <w:rPr>
          <w:rStyle w:val="EndnoteReference"/>
          <w:rFonts w:cs="Open Sans"/>
        </w:rPr>
        <w:endnoteRef/>
      </w:r>
      <w:r w:rsidRPr="00164489">
        <w:rPr>
          <w:rFonts w:cs="Open Sans"/>
        </w:rPr>
        <w:t xml:space="preserve"> </w:t>
      </w:r>
      <w:r w:rsidRPr="00164489">
        <w:rPr>
          <w:rFonts w:cs="Open Sans"/>
          <w:color w:val="000000"/>
        </w:rPr>
        <w:t>Owen, N. et al, ‘Environmental Influences on Physical Activity’ (2004)</w:t>
      </w:r>
      <w:r w:rsidRPr="00164489">
        <w:rPr>
          <w:rFonts w:cs="Open Sans"/>
          <w:i/>
          <w:iCs/>
          <w:color w:val="000000"/>
        </w:rPr>
        <w:t xml:space="preserve"> Perspectives</w:t>
      </w:r>
      <w:r w:rsidRPr="00164489">
        <w:rPr>
          <w:rFonts w:cs="Open Sans"/>
          <w:color w:val="000000"/>
        </w:rPr>
        <w:t xml:space="preserve"> 6:1–46; Owen, N. et al. ‘Neighbourhood Walkability and the Walking Behaviour of Australian Adults’ (2007) </w:t>
      </w:r>
      <w:r w:rsidRPr="00164489">
        <w:rPr>
          <w:rFonts w:cs="Open Sans"/>
          <w:i/>
          <w:iCs/>
          <w:color w:val="000000"/>
        </w:rPr>
        <w:t>American Journal of Preventive Medicine</w:t>
      </w:r>
      <w:r w:rsidRPr="00164489">
        <w:rPr>
          <w:rFonts w:cs="Open Sans"/>
          <w:color w:val="000000"/>
        </w:rPr>
        <w:t xml:space="preserve"> 33 (5): 387–95; Hooper, P. et al. ‘Evaluating the Implementation and Active Living Impacts of a State Government Planning Policy Designed to Create Walkable Neighbourhoods in Perth, Western Australia.’ (2013) </w:t>
      </w:r>
      <w:r w:rsidRPr="00164489">
        <w:rPr>
          <w:rFonts w:cs="Open Sans"/>
          <w:i/>
          <w:iCs/>
          <w:color w:val="000000"/>
        </w:rPr>
        <w:t>American Journal of Health Promotion</w:t>
      </w:r>
      <w:r w:rsidRPr="00164489">
        <w:rPr>
          <w:rFonts w:cs="Open Sans"/>
          <w:color w:val="000000"/>
        </w:rPr>
        <w:t xml:space="preserve"> 28 (sp3): S5–18.</w:t>
      </w:r>
    </w:p>
  </w:endnote>
  <w:endnote w:id="3">
    <w:p w14:paraId="791A7B34" w14:textId="68883438" w:rsidR="00A35FC8" w:rsidRDefault="00A35FC8">
      <w:pPr>
        <w:pStyle w:val="EndnoteText"/>
      </w:pPr>
      <w:r w:rsidRPr="002B4306">
        <w:rPr>
          <w:rStyle w:val="EndnoteReference"/>
        </w:rPr>
        <w:endnoteRef/>
      </w:r>
      <w:r w:rsidRPr="002B4306">
        <w:t xml:space="preserve"> Department of Communities and Justice</w:t>
      </w:r>
      <w:r w:rsidR="002B4306" w:rsidRPr="002B4306">
        <w:t xml:space="preserve"> (NSW)</w:t>
      </w:r>
      <w:r w:rsidRPr="002B4306">
        <w:t xml:space="preserve">, </w:t>
      </w:r>
      <w:r w:rsidRPr="002B4306">
        <w:rPr>
          <w:i/>
          <w:iCs/>
        </w:rPr>
        <w:t xml:space="preserve">NSW Affordable Housing Ministerial Guidelines 2023/2024 </w:t>
      </w:r>
      <w:r w:rsidRPr="002B4306">
        <w:t xml:space="preserve">( </w:t>
      </w:r>
      <w:r w:rsidR="00176339" w:rsidRPr="002B4306">
        <w:t>June 2023</w:t>
      </w:r>
      <w:r w:rsidRPr="002B4306">
        <w:t>)</w:t>
      </w:r>
      <w:r w:rsidRPr="002B4306">
        <w:rPr>
          <w:i/>
          <w:iCs/>
        </w:rPr>
        <w:t xml:space="preserve"> </w:t>
      </w:r>
      <w:r w:rsidRPr="002B4306">
        <w:t>10 &lt;</w:t>
      </w:r>
      <w:r w:rsidR="00387B08" w:rsidRPr="002B4306">
        <w:t xml:space="preserve"> </w:t>
      </w:r>
      <w:hyperlink r:id="rId1" w:history="1">
        <w:r w:rsidR="00387B08" w:rsidRPr="002B4306">
          <w:rPr>
            <w:rStyle w:val="Hyperlink"/>
          </w:rPr>
          <w:t>https://www.facs.nsw.gov.au/download?file=843446</w:t>
        </w:r>
      </w:hyperlink>
      <w:r w:rsidRPr="002B4306">
        <w:t>&gt;</w:t>
      </w:r>
      <w:r w:rsidR="00387B08" w:rsidRPr="002B4306">
        <w:t>.</w:t>
      </w:r>
      <w:r w:rsidR="00387B08">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15C1" w14:textId="77777777" w:rsidR="00AC636D" w:rsidRPr="000465F1" w:rsidRDefault="00AC636D" w:rsidP="000465F1">
    <w:pPr>
      <w:pStyle w:val="Footer"/>
    </w:pPr>
    <w:r w:rsidRPr="000465F1">
      <w:t>ABN 47 996 232 602</w:t>
    </w:r>
  </w:p>
  <w:p w14:paraId="128B5499" w14:textId="77777777" w:rsidR="00AC636D" w:rsidRPr="000465F1" w:rsidRDefault="00AC636D" w:rsidP="000465F1">
    <w:pPr>
      <w:pStyle w:val="Footer"/>
    </w:pPr>
    <w:r w:rsidRPr="000465F1">
      <w:t>GPO Box 5218, Sydney NSW 2001</w:t>
    </w:r>
  </w:p>
  <w:p w14:paraId="06393000" w14:textId="77777777" w:rsidR="00AC636D" w:rsidRPr="000465F1" w:rsidRDefault="00AC636D" w:rsidP="000465F1">
    <w:pPr>
      <w:pStyle w:val="Footer"/>
    </w:pPr>
    <w:r w:rsidRPr="000465F1">
      <w:t>General enquiries 1300 369 711</w:t>
    </w:r>
  </w:p>
  <w:p w14:paraId="5AF32F3D" w14:textId="77777777" w:rsidR="00AC636D" w:rsidRPr="000465F1" w:rsidRDefault="00990B81" w:rsidP="000465F1">
    <w:pPr>
      <w:pStyle w:val="Footer"/>
    </w:pPr>
    <w:r>
      <w:t>National Info Service</w:t>
    </w:r>
    <w:r w:rsidR="00AC636D" w:rsidRPr="000465F1">
      <w:t xml:space="preserve"> 1300 656 419</w:t>
    </w:r>
  </w:p>
  <w:p w14:paraId="3E681CB0"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4901"/>
      <w:docPartObj>
        <w:docPartGallery w:val="Page Numbers (Bottom of Page)"/>
        <w:docPartUnique/>
      </w:docPartObj>
    </w:sdtPr>
    <w:sdtEndPr>
      <w:rPr>
        <w:noProof/>
      </w:rPr>
    </w:sdtEndPr>
    <w:sdtContent>
      <w:p w14:paraId="5345F269"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17DE3"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F80CC"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183178"/>
      <w:docPartObj>
        <w:docPartGallery w:val="Page Numbers (Bottom of Page)"/>
        <w:docPartUnique/>
      </w:docPartObj>
    </w:sdtPr>
    <w:sdtEndPr>
      <w:rPr>
        <w:noProof/>
      </w:rPr>
    </w:sdtEndPr>
    <w:sdtContent>
      <w:p w14:paraId="0F07873C"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BBF92"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BB9B" w14:textId="77777777" w:rsidR="00BA05B7" w:rsidRDefault="00BA05B7" w:rsidP="00F14C6D">
      <w:r>
        <w:separator/>
      </w:r>
    </w:p>
  </w:footnote>
  <w:footnote w:type="continuationSeparator" w:id="0">
    <w:p w14:paraId="53930D6E" w14:textId="77777777" w:rsidR="00BA05B7" w:rsidRDefault="00BA05B7" w:rsidP="00F14C6D">
      <w:r>
        <w:continuationSeparator/>
      </w:r>
    </w:p>
  </w:footnote>
  <w:footnote w:type="continuationNotice" w:id="1">
    <w:p w14:paraId="3504C7A4" w14:textId="77777777" w:rsidR="00BA05B7" w:rsidRDefault="00BA05B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F0BB7" w14:textId="77777777" w:rsidR="00BF6406" w:rsidRPr="000465F1" w:rsidRDefault="004429BC" w:rsidP="000465F1">
    <w:pPr>
      <w:pStyle w:val="Header"/>
    </w:pPr>
    <w:r>
      <w:pict w14:anchorId="725E6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40;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0AE13224"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A03F" w14:textId="77777777" w:rsidR="00B34946" w:rsidRPr="000465F1" w:rsidRDefault="004429BC" w:rsidP="000465F1">
    <w:r>
      <w:pict w14:anchorId="29DE3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3901725F"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4242B" w14:textId="77777777" w:rsidR="00CC2AA0" w:rsidRDefault="004429BC" w:rsidP="002012F7">
    <w:pPr>
      <w:pStyle w:val="Header"/>
    </w:pPr>
    <w:r>
      <w:pict w14:anchorId="4C342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8238;mso-position-horizontal-relative:margin;mso-position-vertical-relative:margin" o:allowincell="f">
          <v:imagedata r:id="rId1" o:title="MS word cover1"/>
          <w10:wrap anchorx="margin" anchory="margin"/>
        </v:shape>
      </w:pict>
    </w:r>
    <w:r>
      <w:pict w14:anchorId="083331C1">
        <v:shape id="WordPictureWatermark1034832" o:spid="_x0000_s1042" type="#_x0000_t75" style="position:absolute;left:0;text-align:left;margin-left:-70.9pt;margin-top:-109.05pt;width:595.1pt;height:869.4pt;z-index:-251658237;mso-position-horizontal-relative:margin;mso-position-vertical-relative:margin" o:allowincell="f">
          <v:imagedata r:id="rId2" o:title="report watermark"/>
          <w10:wrap anchorx="margin" anchory="margin"/>
        </v:shape>
      </w:pict>
    </w:r>
  </w:p>
  <w:p w14:paraId="063C3AD3" w14:textId="77777777" w:rsidR="008B3899" w:rsidRDefault="008B3899" w:rsidP="002012F7">
    <w:pPr>
      <w:pStyle w:val="Header"/>
    </w:pPr>
  </w:p>
  <w:p w14:paraId="4FA962C7"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F6CD2"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6D43" w14:textId="77777777" w:rsidR="00BF6406" w:rsidRPr="00902EC3" w:rsidRDefault="00BF6406" w:rsidP="00902EC3">
    <w:pPr>
      <w:pStyle w:val="Header"/>
    </w:pPr>
    <w:bookmarkStart w:id="19" w:name="_Hlk514672172"/>
    <w:bookmarkStart w:id="20" w:name="_Hlk514672173"/>
    <w:r w:rsidRPr="00902EC3">
      <w:t>Australian Human Rights Commission</w:t>
    </w:r>
  </w:p>
  <w:bookmarkEnd w:id="19"/>
  <w:bookmarkEnd w:id="20"/>
  <w:p w14:paraId="3C807769" w14:textId="464536E4" w:rsidR="002F5E96" w:rsidRPr="000465F1" w:rsidRDefault="008D00CD" w:rsidP="002F5E96">
    <w:pPr>
      <w:pStyle w:val="HeaderDocumentDate"/>
    </w:pPr>
    <w:r w:rsidRPr="00C047F5">
      <w:rPr>
        <w:rStyle w:val="Reporttitleinheader"/>
      </w:rPr>
      <w:t>Draft Design Guidelines for Access and Inclusion in Residential Development</w:t>
    </w:r>
    <w:r>
      <w:rPr>
        <w:rStyle w:val="Reporttitleinheader"/>
      </w:rPr>
      <w:t xml:space="preserve"> </w:t>
    </w:r>
    <w:r w:rsidR="009B1CCE">
      <w:fldChar w:fldCharType="begin"/>
    </w:r>
    <w:r w:rsidR="009B1CCE">
      <w:instrText xml:space="preserve"> CREATEDATE  \@ "MMMM yyyy"  \* MERGEFORMAT </w:instrText>
    </w:r>
    <w:r w:rsidR="009B1CCE">
      <w:fldChar w:fldCharType="separate"/>
    </w:r>
    <w:r w:rsidR="003F2D64">
      <w:rPr>
        <w:noProof/>
      </w:rPr>
      <w:t>April 2024</w:t>
    </w:r>
    <w:r w:rsidR="009B1CCE">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A119" w14:textId="77777777" w:rsidR="0063009F" w:rsidRPr="00F51ECD" w:rsidRDefault="0063009F" w:rsidP="0063009F">
    <w:pPr>
      <w:pStyle w:val="Header"/>
      <w:rPr>
        <w:sz w:val="22"/>
        <w:szCs w:val="22"/>
      </w:rPr>
    </w:pPr>
    <w:r w:rsidRPr="00F51ECD">
      <w:rPr>
        <w:sz w:val="22"/>
        <w:szCs w:val="22"/>
      </w:rPr>
      <w:t>Australian Human Rights Commission</w:t>
    </w:r>
  </w:p>
  <w:p w14:paraId="27852FEC" w14:textId="1ECBB8C2" w:rsidR="0063009F" w:rsidRPr="000465F1" w:rsidRDefault="00C047F5" w:rsidP="0063009F">
    <w:pPr>
      <w:pStyle w:val="HeaderDocumentDate"/>
    </w:pPr>
    <w:r w:rsidRPr="00C047F5">
      <w:rPr>
        <w:rStyle w:val="Reporttitleinheader"/>
      </w:rPr>
      <w:t>Draft Design Guidelines for Access and Inclusion in Residential Development</w:t>
    </w:r>
    <w:r>
      <w:rPr>
        <w:rStyle w:val="Reporttitleinheader"/>
      </w:rPr>
      <w:t xml:space="preserve"> </w:t>
    </w:r>
    <w:r w:rsidR="009B1CCE">
      <w:fldChar w:fldCharType="begin"/>
    </w:r>
    <w:r w:rsidR="009B1CCE">
      <w:instrText xml:space="preserve"> CREATEDATE  \@ "MMMM yyyy"  \* MERGEFORMAT </w:instrText>
    </w:r>
    <w:r w:rsidR="009B1CCE">
      <w:fldChar w:fldCharType="separate"/>
    </w:r>
    <w:r w:rsidR="003F2D64">
      <w:rPr>
        <w:noProof/>
      </w:rPr>
      <w:t>April 2024</w:t>
    </w:r>
    <w:r w:rsidR="009B1C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1E5254F"/>
    <w:multiLevelType w:val="hybridMultilevel"/>
    <w:tmpl w:val="9FF87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902E8"/>
    <w:multiLevelType w:val="hybridMultilevel"/>
    <w:tmpl w:val="5AC0E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98412A"/>
    <w:multiLevelType w:val="hybridMultilevel"/>
    <w:tmpl w:val="ADE80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A7022"/>
    <w:multiLevelType w:val="hybridMultilevel"/>
    <w:tmpl w:val="26981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78539B"/>
    <w:multiLevelType w:val="hybridMultilevel"/>
    <w:tmpl w:val="5526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E2B7E05"/>
    <w:multiLevelType w:val="hybridMultilevel"/>
    <w:tmpl w:val="961C4FE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0F4673"/>
    <w:multiLevelType w:val="hybridMultilevel"/>
    <w:tmpl w:val="B3F65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C77DA6"/>
    <w:multiLevelType w:val="hybridMultilevel"/>
    <w:tmpl w:val="2BB2D250"/>
    <w:lvl w:ilvl="0" w:tplc="F546463A">
      <w:start w:val="1"/>
      <w:numFmt w:val="bullet"/>
      <w:lvlText w:val=""/>
      <w:lvlJc w:val="left"/>
      <w:pPr>
        <w:ind w:left="1440" w:hanging="360"/>
      </w:pPr>
      <w:rPr>
        <w:rFonts w:ascii="Symbol" w:hAnsi="Symbol"/>
      </w:rPr>
    </w:lvl>
    <w:lvl w:ilvl="1" w:tplc="7C2AF8B4">
      <w:start w:val="1"/>
      <w:numFmt w:val="bullet"/>
      <w:lvlText w:val=""/>
      <w:lvlJc w:val="left"/>
      <w:pPr>
        <w:ind w:left="1440" w:hanging="360"/>
      </w:pPr>
      <w:rPr>
        <w:rFonts w:ascii="Symbol" w:hAnsi="Symbol"/>
      </w:rPr>
    </w:lvl>
    <w:lvl w:ilvl="2" w:tplc="949E207E">
      <w:start w:val="1"/>
      <w:numFmt w:val="bullet"/>
      <w:lvlText w:val=""/>
      <w:lvlJc w:val="left"/>
      <w:pPr>
        <w:ind w:left="1440" w:hanging="360"/>
      </w:pPr>
      <w:rPr>
        <w:rFonts w:ascii="Symbol" w:hAnsi="Symbol"/>
      </w:rPr>
    </w:lvl>
    <w:lvl w:ilvl="3" w:tplc="FA46DC30">
      <w:start w:val="1"/>
      <w:numFmt w:val="bullet"/>
      <w:lvlText w:val=""/>
      <w:lvlJc w:val="left"/>
      <w:pPr>
        <w:ind w:left="1440" w:hanging="360"/>
      </w:pPr>
      <w:rPr>
        <w:rFonts w:ascii="Symbol" w:hAnsi="Symbol"/>
      </w:rPr>
    </w:lvl>
    <w:lvl w:ilvl="4" w:tplc="CAC465DA">
      <w:start w:val="1"/>
      <w:numFmt w:val="bullet"/>
      <w:lvlText w:val=""/>
      <w:lvlJc w:val="left"/>
      <w:pPr>
        <w:ind w:left="1440" w:hanging="360"/>
      </w:pPr>
      <w:rPr>
        <w:rFonts w:ascii="Symbol" w:hAnsi="Symbol"/>
      </w:rPr>
    </w:lvl>
    <w:lvl w:ilvl="5" w:tplc="B5B8E878">
      <w:start w:val="1"/>
      <w:numFmt w:val="bullet"/>
      <w:lvlText w:val=""/>
      <w:lvlJc w:val="left"/>
      <w:pPr>
        <w:ind w:left="1440" w:hanging="360"/>
      </w:pPr>
      <w:rPr>
        <w:rFonts w:ascii="Symbol" w:hAnsi="Symbol"/>
      </w:rPr>
    </w:lvl>
    <w:lvl w:ilvl="6" w:tplc="FC00511C">
      <w:start w:val="1"/>
      <w:numFmt w:val="bullet"/>
      <w:lvlText w:val=""/>
      <w:lvlJc w:val="left"/>
      <w:pPr>
        <w:ind w:left="1440" w:hanging="360"/>
      </w:pPr>
      <w:rPr>
        <w:rFonts w:ascii="Symbol" w:hAnsi="Symbol"/>
      </w:rPr>
    </w:lvl>
    <w:lvl w:ilvl="7" w:tplc="2D267DAA">
      <w:start w:val="1"/>
      <w:numFmt w:val="bullet"/>
      <w:lvlText w:val=""/>
      <w:lvlJc w:val="left"/>
      <w:pPr>
        <w:ind w:left="1440" w:hanging="360"/>
      </w:pPr>
      <w:rPr>
        <w:rFonts w:ascii="Symbol" w:hAnsi="Symbol"/>
      </w:rPr>
    </w:lvl>
    <w:lvl w:ilvl="8" w:tplc="78CEFAB6">
      <w:start w:val="1"/>
      <w:numFmt w:val="bullet"/>
      <w:lvlText w:val=""/>
      <w:lvlJc w:val="left"/>
      <w:pPr>
        <w:ind w:left="1440" w:hanging="360"/>
      </w:pPr>
      <w:rPr>
        <w:rFonts w:ascii="Symbol" w:hAnsi="Symbol"/>
      </w:rPr>
    </w:lvl>
  </w:abstractNum>
  <w:abstractNum w:abstractNumId="23" w15:restartNumberingAfterBreak="0">
    <w:nsid w:val="3EC25BC4"/>
    <w:multiLevelType w:val="hybridMultilevel"/>
    <w:tmpl w:val="7D5CC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B333486"/>
    <w:multiLevelType w:val="hybridMultilevel"/>
    <w:tmpl w:val="7BDE6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001EEA"/>
    <w:multiLevelType w:val="hybridMultilevel"/>
    <w:tmpl w:val="41420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8097865"/>
    <w:multiLevelType w:val="hybridMultilevel"/>
    <w:tmpl w:val="12FC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AA2CD3"/>
    <w:multiLevelType w:val="hybridMultilevel"/>
    <w:tmpl w:val="CA4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6B2A3E"/>
    <w:multiLevelType w:val="multilevel"/>
    <w:tmpl w:val="8BE444DC"/>
    <w:numStyleLink w:val="AHRCReportHeadings"/>
  </w:abstractNum>
  <w:abstractNum w:abstractNumId="32" w15:restartNumberingAfterBreak="0">
    <w:nsid w:val="7F24613E"/>
    <w:multiLevelType w:val="hybridMultilevel"/>
    <w:tmpl w:val="3CA88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663D56"/>
    <w:multiLevelType w:val="hybridMultilevel"/>
    <w:tmpl w:val="A14A0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8B5A22"/>
    <w:multiLevelType w:val="hybridMultilevel"/>
    <w:tmpl w:val="14962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9793299">
    <w:abstractNumId w:val="25"/>
  </w:num>
  <w:num w:numId="2" w16cid:durableId="418599795">
    <w:abstractNumId w:val="9"/>
  </w:num>
  <w:num w:numId="3" w16cid:durableId="380518016">
    <w:abstractNumId w:val="7"/>
  </w:num>
  <w:num w:numId="4" w16cid:durableId="1536848169">
    <w:abstractNumId w:val="6"/>
  </w:num>
  <w:num w:numId="5" w16cid:durableId="700474279">
    <w:abstractNumId w:val="5"/>
  </w:num>
  <w:num w:numId="6" w16cid:durableId="1631134984">
    <w:abstractNumId w:val="4"/>
  </w:num>
  <w:num w:numId="7" w16cid:durableId="541600442">
    <w:abstractNumId w:val="8"/>
  </w:num>
  <w:num w:numId="8" w16cid:durableId="2048026639">
    <w:abstractNumId w:val="1"/>
  </w:num>
  <w:num w:numId="9" w16cid:durableId="1863863200">
    <w:abstractNumId w:val="0"/>
  </w:num>
  <w:num w:numId="10" w16cid:durableId="1625118240">
    <w:abstractNumId w:val="3"/>
  </w:num>
  <w:num w:numId="11" w16cid:durableId="1799103713">
    <w:abstractNumId w:val="2"/>
  </w:num>
  <w:num w:numId="12" w16cid:durableId="984046037">
    <w:abstractNumId w:val="28"/>
  </w:num>
  <w:num w:numId="13" w16cid:durableId="635381942">
    <w:abstractNumId w:val="24"/>
  </w:num>
  <w:num w:numId="14" w16cid:durableId="612827947">
    <w:abstractNumId w:val="19"/>
  </w:num>
  <w:num w:numId="15" w16cid:durableId="125003230">
    <w:abstractNumId w:val="17"/>
  </w:num>
  <w:num w:numId="16" w16cid:durableId="1732847326">
    <w:abstractNumId w:val="10"/>
  </w:num>
  <w:num w:numId="17" w16cid:durableId="537396614">
    <w:abstractNumId w:val="11"/>
  </w:num>
  <w:num w:numId="18" w16cid:durableId="1368337556">
    <w:abstractNumId w:val="31"/>
  </w:num>
  <w:num w:numId="19" w16cid:durableId="1014771524">
    <w:abstractNumId w:val="20"/>
  </w:num>
  <w:num w:numId="20" w16cid:durableId="204219674">
    <w:abstractNumId w:val="16"/>
  </w:num>
  <w:num w:numId="21" w16cid:durableId="93062180">
    <w:abstractNumId w:val="32"/>
  </w:num>
  <w:num w:numId="22" w16cid:durableId="195971720">
    <w:abstractNumId w:val="34"/>
  </w:num>
  <w:num w:numId="23" w16cid:durableId="2144231557">
    <w:abstractNumId w:val="15"/>
  </w:num>
  <w:num w:numId="24" w16cid:durableId="2122844573">
    <w:abstractNumId w:val="33"/>
  </w:num>
  <w:num w:numId="25" w16cid:durableId="1511144055">
    <w:abstractNumId w:val="21"/>
  </w:num>
  <w:num w:numId="26" w16cid:durableId="1834491001">
    <w:abstractNumId w:val="12"/>
  </w:num>
  <w:num w:numId="27" w16cid:durableId="1887179888">
    <w:abstractNumId w:val="26"/>
  </w:num>
  <w:num w:numId="28" w16cid:durableId="332534251">
    <w:abstractNumId w:val="13"/>
  </w:num>
  <w:num w:numId="29" w16cid:durableId="2004359212">
    <w:abstractNumId w:val="14"/>
  </w:num>
  <w:num w:numId="30" w16cid:durableId="620384156">
    <w:abstractNumId w:val="27"/>
  </w:num>
  <w:num w:numId="31" w16cid:durableId="1727483053">
    <w:abstractNumId w:val="22"/>
  </w:num>
  <w:num w:numId="32" w16cid:durableId="2108040983">
    <w:abstractNumId w:val="29"/>
  </w:num>
  <w:num w:numId="33" w16cid:durableId="1397046644">
    <w:abstractNumId w:val="23"/>
  </w:num>
  <w:num w:numId="34" w16cid:durableId="1778909197">
    <w:abstractNumId w:val="18"/>
  </w:num>
  <w:num w:numId="35" w16cid:durableId="1224296865">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5"/>
    <w:rsid w:val="000015EC"/>
    <w:rsid w:val="000037FF"/>
    <w:rsid w:val="00003EA5"/>
    <w:rsid w:val="00011BE0"/>
    <w:rsid w:val="000161C2"/>
    <w:rsid w:val="00016A1E"/>
    <w:rsid w:val="00020D4A"/>
    <w:rsid w:val="0002169E"/>
    <w:rsid w:val="000239F2"/>
    <w:rsid w:val="00024487"/>
    <w:rsid w:val="0002476A"/>
    <w:rsid w:val="00035F49"/>
    <w:rsid w:val="00036A3D"/>
    <w:rsid w:val="00036BE4"/>
    <w:rsid w:val="000430B8"/>
    <w:rsid w:val="00045712"/>
    <w:rsid w:val="00045C4B"/>
    <w:rsid w:val="000465F1"/>
    <w:rsid w:val="000534AC"/>
    <w:rsid w:val="000579B1"/>
    <w:rsid w:val="00061C6C"/>
    <w:rsid w:val="00065EEA"/>
    <w:rsid w:val="00066966"/>
    <w:rsid w:val="00066C68"/>
    <w:rsid w:val="0006735E"/>
    <w:rsid w:val="00067738"/>
    <w:rsid w:val="000708DC"/>
    <w:rsid w:val="00072EDA"/>
    <w:rsid w:val="00080CC6"/>
    <w:rsid w:val="00083F7C"/>
    <w:rsid w:val="000849F8"/>
    <w:rsid w:val="000863B7"/>
    <w:rsid w:val="00092868"/>
    <w:rsid w:val="00095A2B"/>
    <w:rsid w:val="000A1DB8"/>
    <w:rsid w:val="000A3D0A"/>
    <w:rsid w:val="000A46DA"/>
    <w:rsid w:val="000A48AC"/>
    <w:rsid w:val="000A520E"/>
    <w:rsid w:val="000A7A60"/>
    <w:rsid w:val="000B0603"/>
    <w:rsid w:val="000B0A5D"/>
    <w:rsid w:val="000B314B"/>
    <w:rsid w:val="000B5B68"/>
    <w:rsid w:val="000C3AD4"/>
    <w:rsid w:val="000C5608"/>
    <w:rsid w:val="000C5DA6"/>
    <w:rsid w:val="000D07A9"/>
    <w:rsid w:val="000E130A"/>
    <w:rsid w:val="000E5757"/>
    <w:rsid w:val="001074B8"/>
    <w:rsid w:val="00107825"/>
    <w:rsid w:val="00111EC9"/>
    <w:rsid w:val="001150A3"/>
    <w:rsid w:val="0012547C"/>
    <w:rsid w:val="00132FDD"/>
    <w:rsid w:val="00134774"/>
    <w:rsid w:val="00140274"/>
    <w:rsid w:val="00147390"/>
    <w:rsid w:val="00151263"/>
    <w:rsid w:val="0015239E"/>
    <w:rsid w:val="00157514"/>
    <w:rsid w:val="00157D3D"/>
    <w:rsid w:val="0016266F"/>
    <w:rsid w:val="00162A8D"/>
    <w:rsid w:val="00164489"/>
    <w:rsid w:val="00165E3C"/>
    <w:rsid w:val="001664F5"/>
    <w:rsid w:val="00173FB5"/>
    <w:rsid w:val="00174D9A"/>
    <w:rsid w:val="001759AE"/>
    <w:rsid w:val="00176339"/>
    <w:rsid w:val="001839D6"/>
    <w:rsid w:val="00186865"/>
    <w:rsid w:val="00186CD9"/>
    <w:rsid w:val="00195EDE"/>
    <w:rsid w:val="00197A2C"/>
    <w:rsid w:val="001B0353"/>
    <w:rsid w:val="001B6A6D"/>
    <w:rsid w:val="001C1F8B"/>
    <w:rsid w:val="001D0285"/>
    <w:rsid w:val="001D53C3"/>
    <w:rsid w:val="001E2F5C"/>
    <w:rsid w:val="001E4098"/>
    <w:rsid w:val="001E45BA"/>
    <w:rsid w:val="001E50BC"/>
    <w:rsid w:val="001E5676"/>
    <w:rsid w:val="001F2BBB"/>
    <w:rsid w:val="001F3C05"/>
    <w:rsid w:val="001F52FD"/>
    <w:rsid w:val="001F62CC"/>
    <w:rsid w:val="00200677"/>
    <w:rsid w:val="002012F7"/>
    <w:rsid w:val="002027F6"/>
    <w:rsid w:val="0020576C"/>
    <w:rsid w:val="002068EB"/>
    <w:rsid w:val="00213048"/>
    <w:rsid w:val="00214DB2"/>
    <w:rsid w:val="00216D97"/>
    <w:rsid w:val="002240E8"/>
    <w:rsid w:val="00224398"/>
    <w:rsid w:val="00231ED1"/>
    <w:rsid w:val="002329AE"/>
    <w:rsid w:val="002411AC"/>
    <w:rsid w:val="00241523"/>
    <w:rsid w:val="00242624"/>
    <w:rsid w:val="0024557E"/>
    <w:rsid w:val="002471FD"/>
    <w:rsid w:val="002515F7"/>
    <w:rsid w:val="0025176E"/>
    <w:rsid w:val="00253C6B"/>
    <w:rsid w:val="00257344"/>
    <w:rsid w:val="002611C4"/>
    <w:rsid w:val="00261D4D"/>
    <w:rsid w:val="002632EA"/>
    <w:rsid w:val="00266697"/>
    <w:rsid w:val="00275626"/>
    <w:rsid w:val="00275C6E"/>
    <w:rsid w:val="00275FA2"/>
    <w:rsid w:val="002845A6"/>
    <w:rsid w:val="0028506A"/>
    <w:rsid w:val="002850B0"/>
    <w:rsid w:val="002863D7"/>
    <w:rsid w:val="002873B4"/>
    <w:rsid w:val="00290300"/>
    <w:rsid w:val="00291557"/>
    <w:rsid w:val="00292AB5"/>
    <w:rsid w:val="002A183D"/>
    <w:rsid w:val="002A43C2"/>
    <w:rsid w:val="002A69FD"/>
    <w:rsid w:val="002B1B65"/>
    <w:rsid w:val="002B1FC8"/>
    <w:rsid w:val="002B4306"/>
    <w:rsid w:val="002B7A0A"/>
    <w:rsid w:val="002C02DB"/>
    <w:rsid w:val="002C12E8"/>
    <w:rsid w:val="002C1866"/>
    <w:rsid w:val="002C5943"/>
    <w:rsid w:val="002D3B89"/>
    <w:rsid w:val="002D692A"/>
    <w:rsid w:val="002E34F6"/>
    <w:rsid w:val="002E39D7"/>
    <w:rsid w:val="002E4056"/>
    <w:rsid w:val="002E5A1B"/>
    <w:rsid w:val="002F3AD3"/>
    <w:rsid w:val="002F4CE1"/>
    <w:rsid w:val="002F5E96"/>
    <w:rsid w:val="0030053D"/>
    <w:rsid w:val="00300F22"/>
    <w:rsid w:val="003026A0"/>
    <w:rsid w:val="00303D10"/>
    <w:rsid w:val="00304441"/>
    <w:rsid w:val="00304A37"/>
    <w:rsid w:val="0031040E"/>
    <w:rsid w:val="00310ED4"/>
    <w:rsid w:val="00312301"/>
    <w:rsid w:val="0031492A"/>
    <w:rsid w:val="0031493E"/>
    <w:rsid w:val="00316C1A"/>
    <w:rsid w:val="00321095"/>
    <w:rsid w:val="00323C73"/>
    <w:rsid w:val="00331141"/>
    <w:rsid w:val="00333204"/>
    <w:rsid w:val="003342DB"/>
    <w:rsid w:val="003423F4"/>
    <w:rsid w:val="00344758"/>
    <w:rsid w:val="00345B3F"/>
    <w:rsid w:val="00347142"/>
    <w:rsid w:val="003500DC"/>
    <w:rsid w:val="00350D1B"/>
    <w:rsid w:val="0035601E"/>
    <w:rsid w:val="003565A8"/>
    <w:rsid w:val="003566EA"/>
    <w:rsid w:val="00362635"/>
    <w:rsid w:val="0036611F"/>
    <w:rsid w:val="003724A9"/>
    <w:rsid w:val="00372C79"/>
    <w:rsid w:val="0037304C"/>
    <w:rsid w:val="00377A83"/>
    <w:rsid w:val="00381003"/>
    <w:rsid w:val="00387B08"/>
    <w:rsid w:val="0039353B"/>
    <w:rsid w:val="003A168E"/>
    <w:rsid w:val="003A1DAD"/>
    <w:rsid w:val="003A48B7"/>
    <w:rsid w:val="003B1615"/>
    <w:rsid w:val="003B35BC"/>
    <w:rsid w:val="003C19C0"/>
    <w:rsid w:val="003D12B7"/>
    <w:rsid w:val="003D39A1"/>
    <w:rsid w:val="003E52DB"/>
    <w:rsid w:val="003E5DEF"/>
    <w:rsid w:val="003E65F1"/>
    <w:rsid w:val="003E7C3B"/>
    <w:rsid w:val="003F10B1"/>
    <w:rsid w:val="003F2D64"/>
    <w:rsid w:val="003F4486"/>
    <w:rsid w:val="004036D4"/>
    <w:rsid w:val="0040497E"/>
    <w:rsid w:val="00411376"/>
    <w:rsid w:val="0041194F"/>
    <w:rsid w:val="00412C31"/>
    <w:rsid w:val="00420EEE"/>
    <w:rsid w:val="00422417"/>
    <w:rsid w:val="00424233"/>
    <w:rsid w:val="004263E1"/>
    <w:rsid w:val="00432DE7"/>
    <w:rsid w:val="00434945"/>
    <w:rsid w:val="004429BC"/>
    <w:rsid w:val="00445CB5"/>
    <w:rsid w:val="004475E6"/>
    <w:rsid w:val="00460EE0"/>
    <w:rsid w:val="00462927"/>
    <w:rsid w:val="00467F2E"/>
    <w:rsid w:val="004712FB"/>
    <w:rsid w:val="00471BB7"/>
    <w:rsid w:val="00472EFF"/>
    <w:rsid w:val="00474063"/>
    <w:rsid w:val="0047423C"/>
    <w:rsid w:val="00476793"/>
    <w:rsid w:val="00476C8E"/>
    <w:rsid w:val="00481B2A"/>
    <w:rsid w:val="00482091"/>
    <w:rsid w:val="00494AAE"/>
    <w:rsid w:val="00495FE0"/>
    <w:rsid w:val="004A187B"/>
    <w:rsid w:val="004A24A5"/>
    <w:rsid w:val="004A2D3C"/>
    <w:rsid w:val="004A3750"/>
    <w:rsid w:val="004A6716"/>
    <w:rsid w:val="004B5EA4"/>
    <w:rsid w:val="004C5027"/>
    <w:rsid w:val="004C7412"/>
    <w:rsid w:val="004D04BF"/>
    <w:rsid w:val="004D3C8D"/>
    <w:rsid w:val="004D6928"/>
    <w:rsid w:val="004D7E9C"/>
    <w:rsid w:val="004E03C5"/>
    <w:rsid w:val="004E0DFF"/>
    <w:rsid w:val="004E1C18"/>
    <w:rsid w:val="004F1C7C"/>
    <w:rsid w:val="00500D77"/>
    <w:rsid w:val="005064B4"/>
    <w:rsid w:val="0050746E"/>
    <w:rsid w:val="00510390"/>
    <w:rsid w:val="0051225F"/>
    <w:rsid w:val="005123F0"/>
    <w:rsid w:val="00513540"/>
    <w:rsid w:val="00513941"/>
    <w:rsid w:val="00515791"/>
    <w:rsid w:val="005178E5"/>
    <w:rsid w:val="00522B32"/>
    <w:rsid w:val="00523C75"/>
    <w:rsid w:val="0053051D"/>
    <w:rsid w:val="00533903"/>
    <w:rsid w:val="00533CB7"/>
    <w:rsid w:val="0053666F"/>
    <w:rsid w:val="00561019"/>
    <w:rsid w:val="00561758"/>
    <w:rsid w:val="0056285C"/>
    <w:rsid w:val="00564208"/>
    <w:rsid w:val="00571CEB"/>
    <w:rsid w:val="00571E06"/>
    <w:rsid w:val="00574E96"/>
    <w:rsid w:val="00576979"/>
    <w:rsid w:val="00580AD6"/>
    <w:rsid w:val="00582E57"/>
    <w:rsid w:val="005907A9"/>
    <w:rsid w:val="00591951"/>
    <w:rsid w:val="00592D1C"/>
    <w:rsid w:val="0059335B"/>
    <w:rsid w:val="005A0964"/>
    <w:rsid w:val="005A2F77"/>
    <w:rsid w:val="005B1C33"/>
    <w:rsid w:val="005B36F6"/>
    <w:rsid w:val="005C2ECF"/>
    <w:rsid w:val="005C5D41"/>
    <w:rsid w:val="005C7982"/>
    <w:rsid w:val="005D1F34"/>
    <w:rsid w:val="005D2274"/>
    <w:rsid w:val="005D383D"/>
    <w:rsid w:val="005D4ED1"/>
    <w:rsid w:val="005D7BE6"/>
    <w:rsid w:val="005E08F5"/>
    <w:rsid w:val="005F05E2"/>
    <w:rsid w:val="00602DDE"/>
    <w:rsid w:val="00604ACA"/>
    <w:rsid w:val="00611CDF"/>
    <w:rsid w:val="00616F88"/>
    <w:rsid w:val="00622508"/>
    <w:rsid w:val="006258EA"/>
    <w:rsid w:val="00626C68"/>
    <w:rsid w:val="0063009F"/>
    <w:rsid w:val="00635268"/>
    <w:rsid w:val="006356C5"/>
    <w:rsid w:val="00644B30"/>
    <w:rsid w:val="00650E26"/>
    <w:rsid w:val="00654793"/>
    <w:rsid w:val="00655BF2"/>
    <w:rsid w:val="00657BA6"/>
    <w:rsid w:val="00664021"/>
    <w:rsid w:val="00664316"/>
    <w:rsid w:val="00670EA5"/>
    <w:rsid w:val="00675562"/>
    <w:rsid w:val="00691E8A"/>
    <w:rsid w:val="00696AB3"/>
    <w:rsid w:val="006A040B"/>
    <w:rsid w:val="006A510E"/>
    <w:rsid w:val="006A6BB3"/>
    <w:rsid w:val="006B09AA"/>
    <w:rsid w:val="006B3DE1"/>
    <w:rsid w:val="006C0642"/>
    <w:rsid w:val="006C094F"/>
    <w:rsid w:val="006D0407"/>
    <w:rsid w:val="006D30C3"/>
    <w:rsid w:val="006D5EE5"/>
    <w:rsid w:val="006E02B4"/>
    <w:rsid w:val="006E3EE4"/>
    <w:rsid w:val="006E616B"/>
    <w:rsid w:val="006E6D3B"/>
    <w:rsid w:val="006F0018"/>
    <w:rsid w:val="006F3A43"/>
    <w:rsid w:val="00700C16"/>
    <w:rsid w:val="007070FF"/>
    <w:rsid w:val="0071407D"/>
    <w:rsid w:val="00714FF5"/>
    <w:rsid w:val="00716E36"/>
    <w:rsid w:val="00720170"/>
    <w:rsid w:val="007237D5"/>
    <w:rsid w:val="007267BA"/>
    <w:rsid w:val="00730BD2"/>
    <w:rsid w:val="0073300A"/>
    <w:rsid w:val="0073757C"/>
    <w:rsid w:val="0074355F"/>
    <w:rsid w:val="007448C6"/>
    <w:rsid w:val="007540BF"/>
    <w:rsid w:val="0075445D"/>
    <w:rsid w:val="007637A8"/>
    <w:rsid w:val="007637E7"/>
    <w:rsid w:val="007640D6"/>
    <w:rsid w:val="00765B58"/>
    <w:rsid w:val="00765C35"/>
    <w:rsid w:val="00770DCB"/>
    <w:rsid w:val="00771DF5"/>
    <w:rsid w:val="00773B66"/>
    <w:rsid w:val="00775485"/>
    <w:rsid w:val="00783532"/>
    <w:rsid w:val="007846B5"/>
    <w:rsid w:val="007A22AF"/>
    <w:rsid w:val="007A4A3C"/>
    <w:rsid w:val="007A58E7"/>
    <w:rsid w:val="007B06EA"/>
    <w:rsid w:val="007B17AB"/>
    <w:rsid w:val="007B444D"/>
    <w:rsid w:val="007C5CF6"/>
    <w:rsid w:val="007D2F00"/>
    <w:rsid w:val="007E5B88"/>
    <w:rsid w:val="007F0C5D"/>
    <w:rsid w:val="007F0D0B"/>
    <w:rsid w:val="008000D7"/>
    <w:rsid w:val="008007A8"/>
    <w:rsid w:val="008042D9"/>
    <w:rsid w:val="00806329"/>
    <w:rsid w:val="00814FC0"/>
    <w:rsid w:val="00817C73"/>
    <w:rsid w:val="00820D03"/>
    <w:rsid w:val="00823005"/>
    <w:rsid w:val="00826B0B"/>
    <w:rsid w:val="00832594"/>
    <w:rsid w:val="008449B9"/>
    <w:rsid w:val="00847191"/>
    <w:rsid w:val="00850811"/>
    <w:rsid w:val="008514E1"/>
    <w:rsid w:val="00856751"/>
    <w:rsid w:val="0086030B"/>
    <w:rsid w:val="0086254F"/>
    <w:rsid w:val="008724DE"/>
    <w:rsid w:val="008758D9"/>
    <w:rsid w:val="00882B0A"/>
    <w:rsid w:val="00887F59"/>
    <w:rsid w:val="00890261"/>
    <w:rsid w:val="00894724"/>
    <w:rsid w:val="00895EC9"/>
    <w:rsid w:val="008A1269"/>
    <w:rsid w:val="008A3D57"/>
    <w:rsid w:val="008A7305"/>
    <w:rsid w:val="008A7EFF"/>
    <w:rsid w:val="008B23BC"/>
    <w:rsid w:val="008B3899"/>
    <w:rsid w:val="008B4666"/>
    <w:rsid w:val="008B64C2"/>
    <w:rsid w:val="008C1C04"/>
    <w:rsid w:val="008D00CD"/>
    <w:rsid w:val="008D2557"/>
    <w:rsid w:val="008D40A3"/>
    <w:rsid w:val="008D6706"/>
    <w:rsid w:val="008E328C"/>
    <w:rsid w:val="008E3D60"/>
    <w:rsid w:val="008E3F4C"/>
    <w:rsid w:val="008E78F0"/>
    <w:rsid w:val="008F062E"/>
    <w:rsid w:val="008F1DF3"/>
    <w:rsid w:val="0090165F"/>
    <w:rsid w:val="00901B82"/>
    <w:rsid w:val="009025AC"/>
    <w:rsid w:val="00902EC3"/>
    <w:rsid w:val="0090779C"/>
    <w:rsid w:val="009079CD"/>
    <w:rsid w:val="00907C8D"/>
    <w:rsid w:val="00911CC6"/>
    <w:rsid w:val="00912B09"/>
    <w:rsid w:val="00915D47"/>
    <w:rsid w:val="0091615D"/>
    <w:rsid w:val="0091791D"/>
    <w:rsid w:val="009219CC"/>
    <w:rsid w:val="0092564E"/>
    <w:rsid w:val="00931737"/>
    <w:rsid w:val="009341B3"/>
    <w:rsid w:val="00934E5F"/>
    <w:rsid w:val="00942A81"/>
    <w:rsid w:val="009432CF"/>
    <w:rsid w:val="009537EF"/>
    <w:rsid w:val="00961135"/>
    <w:rsid w:val="00965D86"/>
    <w:rsid w:val="00966781"/>
    <w:rsid w:val="00966C2F"/>
    <w:rsid w:val="0096742A"/>
    <w:rsid w:val="0097512B"/>
    <w:rsid w:val="00980AD7"/>
    <w:rsid w:val="00982404"/>
    <w:rsid w:val="00990B81"/>
    <w:rsid w:val="00992B8F"/>
    <w:rsid w:val="0099313E"/>
    <w:rsid w:val="009A116A"/>
    <w:rsid w:val="009A1259"/>
    <w:rsid w:val="009A781F"/>
    <w:rsid w:val="009B01DD"/>
    <w:rsid w:val="009B1CCE"/>
    <w:rsid w:val="009B213B"/>
    <w:rsid w:val="009C5B91"/>
    <w:rsid w:val="009D2D3E"/>
    <w:rsid w:val="009D4F31"/>
    <w:rsid w:val="009D634E"/>
    <w:rsid w:val="009D67F6"/>
    <w:rsid w:val="009D7EE7"/>
    <w:rsid w:val="009E08D1"/>
    <w:rsid w:val="009E0FE1"/>
    <w:rsid w:val="009E4ADB"/>
    <w:rsid w:val="009E4BD0"/>
    <w:rsid w:val="009F004B"/>
    <w:rsid w:val="009F00BC"/>
    <w:rsid w:val="009F2764"/>
    <w:rsid w:val="009F5F72"/>
    <w:rsid w:val="00A0406E"/>
    <w:rsid w:val="00A10406"/>
    <w:rsid w:val="00A11307"/>
    <w:rsid w:val="00A113FA"/>
    <w:rsid w:val="00A13AF3"/>
    <w:rsid w:val="00A151DB"/>
    <w:rsid w:val="00A21198"/>
    <w:rsid w:val="00A21388"/>
    <w:rsid w:val="00A2739F"/>
    <w:rsid w:val="00A27791"/>
    <w:rsid w:val="00A27ABE"/>
    <w:rsid w:val="00A33C0E"/>
    <w:rsid w:val="00A355F9"/>
    <w:rsid w:val="00A35FC8"/>
    <w:rsid w:val="00A372B3"/>
    <w:rsid w:val="00A41355"/>
    <w:rsid w:val="00A41C07"/>
    <w:rsid w:val="00A437B6"/>
    <w:rsid w:val="00A43B92"/>
    <w:rsid w:val="00A47BCC"/>
    <w:rsid w:val="00A51C1D"/>
    <w:rsid w:val="00A52D0A"/>
    <w:rsid w:val="00A54251"/>
    <w:rsid w:val="00A6179E"/>
    <w:rsid w:val="00A64316"/>
    <w:rsid w:val="00A701CD"/>
    <w:rsid w:val="00A71152"/>
    <w:rsid w:val="00A75607"/>
    <w:rsid w:val="00A75E76"/>
    <w:rsid w:val="00A804D9"/>
    <w:rsid w:val="00A8573B"/>
    <w:rsid w:val="00A90FBA"/>
    <w:rsid w:val="00A92915"/>
    <w:rsid w:val="00A92D96"/>
    <w:rsid w:val="00A92F92"/>
    <w:rsid w:val="00A96892"/>
    <w:rsid w:val="00AA2051"/>
    <w:rsid w:val="00AA70C4"/>
    <w:rsid w:val="00AB7C8F"/>
    <w:rsid w:val="00AC025C"/>
    <w:rsid w:val="00AC2192"/>
    <w:rsid w:val="00AC636D"/>
    <w:rsid w:val="00AD1B49"/>
    <w:rsid w:val="00B00F61"/>
    <w:rsid w:val="00B04077"/>
    <w:rsid w:val="00B05173"/>
    <w:rsid w:val="00B237FB"/>
    <w:rsid w:val="00B24B1D"/>
    <w:rsid w:val="00B26C33"/>
    <w:rsid w:val="00B277E0"/>
    <w:rsid w:val="00B3285F"/>
    <w:rsid w:val="00B34068"/>
    <w:rsid w:val="00B34946"/>
    <w:rsid w:val="00B3760C"/>
    <w:rsid w:val="00B44BAF"/>
    <w:rsid w:val="00B519FD"/>
    <w:rsid w:val="00B520BC"/>
    <w:rsid w:val="00B5287A"/>
    <w:rsid w:val="00B539CC"/>
    <w:rsid w:val="00B577F1"/>
    <w:rsid w:val="00B63D24"/>
    <w:rsid w:val="00B81C1D"/>
    <w:rsid w:val="00B822C5"/>
    <w:rsid w:val="00B82C35"/>
    <w:rsid w:val="00B86CEC"/>
    <w:rsid w:val="00B924E6"/>
    <w:rsid w:val="00B93F2A"/>
    <w:rsid w:val="00BA05B7"/>
    <w:rsid w:val="00BA1B6E"/>
    <w:rsid w:val="00BA23E3"/>
    <w:rsid w:val="00BA262D"/>
    <w:rsid w:val="00BA5698"/>
    <w:rsid w:val="00BA77BF"/>
    <w:rsid w:val="00BB2EDE"/>
    <w:rsid w:val="00BB3169"/>
    <w:rsid w:val="00BB3A8E"/>
    <w:rsid w:val="00BC79EB"/>
    <w:rsid w:val="00BD7FCF"/>
    <w:rsid w:val="00BE25ED"/>
    <w:rsid w:val="00BE41C9"/>
    <w:rsid w:val="00BE5C37"/>
    <w:rsid w:val="00BE6D95"/>
    <w:rsid w:val="00BF1AB8"/>
    <w:rsid w:val="00BF6406"/>
    <w:rsid w:val="00C047F5"/>
    <w:rsid w:val="00C064DC"/>
    <w:rsid w:val="00C0714F"/>
    <w:rsid w:val="00C104CF"/>
    <w:rsid w:val="00C132CA"/>
    <w:rsid w:val="00C149BD"/>
    <w:rsid w:val="00C25BDA"/>
    <w:rsid w:val="00C32B6A"/>
    <w:rsid w:val="00C33104"/>
    <w:rsid w:val="00C332D4"/>
    <w:rsid w:val="00C37A0B"/>
    <w:rsid w:val="00C44AE3"/>
    <w:rsid w:val="00C471D1"/>
    <w:rsid w:val="00C51011"/>
    <w:rsid w:val="00C560AC"/>
    <w:rsid w:val="00C5781C"/>
    <w:rsid w:val="00C60036"/>
    <w:rsid w:val="00C60343"/>
    <w:rsid w:val="00C616DD"/>
    <w:rsid w:val="00C7387B"/>
    <w:rsid w:val="00C80830"/>
    <w:rsid w:val="00C80DAF"/>
    <w:rsid w:val="00C854D4"/>
    <w:rsid w:val="00C90556"/>
    <w:rsid w:val="00C97B3A"/>
    <w:rsid w:val="00CA0D78"/>
    <w:rsid w:val="00CA4855"/>
    <w:rsid w:val="00CA5AAD"/>
    <w:rsid w:val="00CA5D90"/>
    <w:rsid w:val="00CA7240"/>
    <w:rsid w:val="00CB24FE"/>
    <w:rsid w:val="00CC00E8"/>
    <w:rsid w:val="00CC04DF"/>
    <w:rsid w:val="00CC2AA0"/>
    <w:rsid w:val="00CC35DE"/>
    <w:rsid w:val="00CD4C88"/>
    <w:rsid w:val="00CD58FD"/>
    <w:rsid w:val="00CE4078"/>
    <w:rsid w:val="00CE72F3"/>
    <w:rsid w:val="00CF1AA7"/>
    <w:rsid w:val="00CF2400"/>
    <w:rsid w:val="00CF52CF"/>
    <w:rsid w:val="00CF541F"/>
    <w:rsid w:val="00CF66B5"/>
    <w:rsid w:val="00CF70C9"/>
    <w:rsid w:val="00D03307"/>
    <w:rsid w:val="00D03348"/>
    <w:rsid w:val="00D11066"/>
    <w:rsid w:val="00D14F7E"/>
    <w:rsid w:val="00D16774"/>
    <w:rsid w:val="00D23F1C"/>
    <w:rsid w:val="00D31894"/>
    <w:rsid w:val="00D343FA"/>
    <w:rsid w:val="00D418FF"/>
    <w:rsid w:val="00D506A7"/>
    <w:rsid w:val="00D65367"/>
    <w:rsid w:val="00D65C76"/>
    <w:rsid w:val="00D72680"/>
    <w:rsid w:val="00D728C7"/>
    <w:rsid w:val="00D734C7"/>
    <w:rsid w:val="00D7542B"/>
    <w:rsid w:val="00D75620"/>
    <w:rsid w:val="00D75C72"/>
    <w:rsid w:val="00D76B77"/>
    <w:rsid w:val="00D8351F"/>
    <w:rsid w:val="00DA1D32"/>
    <w:rsid w:val="00DA2F73"/>
    <w:rsid w:val="00DA458E"/>
    <w:rsid w:val="00DA7A55"/>
    <w:rsid w:val="00DB2284"/>
    <w:rsid w:val="00DC307B"/>
    <w:rsid w:val="00DC343B"/>
    <w:rsid w:val="00DC462F"/>
    <w:rsid w:val="00DC499A"/>
    <w:rsid w:val="00DD35F8"/>
    <w:rsid w:val="00DD53D5"/>
    <w:rsid w:val="00DD604A"/>
    <w:rsid w:val="00DD6A21"/>
    <w:rsid w:val="00DE18A7"/>
    <w:rsid w:val="00DE2EFB"/>
    <w:rsid w:val="00DE60CA"/>
    <w:rsid w:val="00DE6468"/>
    <w:rsid w:val="00DF01B6"/>
    <w:rsid w:val="00DF28F1"/>
    <w:rsid w:val="00DF4678"/>
    <w:rsid w:val="00E00C98"/>
    <w:rsid w:val="00E02517"/>
    <w:rsid w:val="00E0583E"/>
    <w:rsid w:val="00E07E3E"/>
    <w:rsid w:val="00E1290D"/>
    <w:rsid w:val="00E14833"/>
    <w:rsid w:val="00E1675F"/>
    <w:rsid w:val="00E16DDD"/>
    <w:rsid w:val="00E23C79"/>
    <w:rsid w:val="00E23DB3"/>
    <w:rsid w:val="00E24FA3"/>
    <w:rsid w:val="00E26B28"/>
    <w:rsid w:val="00E275FC"/>
    <w:rsid w:val="00E31465"/>
    <w:rsid w:val="00E328CD"/>
    <w:rsid w:val="00E3371E"/>
    <w:rsid w:val="00E3489E"/>
    <w:rsid w:val="00E3546C"/>
    <w:rsid w:val="00E362F0"/>
    <w:rsid w:val="00E36B95"/>
    <w:rsid w:val="00E4003F"/>
    <w:rsid w:val="00E42C76"/>
    <w:rsid w:val="00E44115"/>
    <w:rsid w:val="00E458F6"/>
    <w:rsid w:val="00E45954"/>
    <w:rsid w:val="00E46704"/>
    <w:rsid w:val="00E468EA"/>
    <w:rsid w:val="00E53546"/>
    <w:rsid w:val="00E55F24"/>
    <w:rsid w:val="00E60C48"/>
    <w:rsid w:val="00E613AF"/>
    <w:rsid w:val="00E631DC"/>
    <w:rsid w:val="00E738DC"/>
    <w:rsid w:val="00E74601"/>
    <w:rsid w:val="00E76B22"/>
    <w:rsid w:val="00E82C58"/>
    <w:rsid w:val="00E95022"/>
    <w:rsid w:val="00EA2135"/>
    <w:rsid w:val="00EA44D9"/>
    <w:rsid w:val="00EB1EE2"/>
    <w:rsid w:val="00EB61CF"/>
    <w:rsid w:val="00EB6A76"/>
    <w:rsid w:val="00EC1125"/>
    <w:rsid w:val="00EC4A18"/>
    <w:rsid w:val="00EC70EB"/>
    <w:rsid w:val="00ED6EDE"/>
    <w:rsid w:val="00ED7EB9"/>
    <w:rsid w:val="00EE6ED3"/>
    <w:rsid w:val="00EF155E"/>
    <w:rsid w:val="00EF1D95"/>
    <w:rsid w:val="00F04741"/>
    <w:rsid w:val="00F056B7"/>
    <w:rsid w:val="00F0799D"/>
    <w:rsid w:val="00F107A0"/>
    <w:rsid w:val="00F127A8"/>
    <w:rsid w:val="00F14C6D"/>
    <w:rsid w:val="00F220A5"/>
    <w:rsid w:val="00F22E4B"/>
    <w:rsid w:val="00F324A4"/>
    <w:rsid w:val="00F32806"/>
    <w:rsid w:val="00F34079"/>
    <w:rsid w:val="00F34362"/>
    <w:rsid w:val="00F34BC9"/>
    <w:rsid w:val="00F44DDE"/>
    <w:rsid w:val="00F50C06"/>
    <w:rsid w:val="00F513AE"/>
    <w:rsid w:val="00F51ECD"/>
    <w:rsid w:val="00F60182"/>
    <w:rsid w:val="00F81458"/>
    <w:rsid w:val="00F8302E"/>
    <w:rsid w:val="00F86DAB"/>
    <w:rsid w:val="00F872DB"/>
    <w:rsid w:val="00F902D3"/>
    <w:rsid w:val="00F90A5F"/>
    <w:rsid w:val="00F93469"/>
    <w:rsid w:val="00FA22A8"/>
    <w:rsid w:val="00FA4916"/>
    <w:rsid w:val="00FA7E5C"/>
    <w:rsid w:val="00FB11A7"/>
    <w:rsid w:val="00FB193D"/>
    <w:rsid w:val="00FB3422"/>
    <w:rsid w:val="00FC14C3"/>
    <w:rsid w:val="00FC3F4E"/>
    <w:rsid w:val="00FC7AA2"/>
    <w:rsid w:val="00FD01B5"/>
    <w:rsid w:val="00FD3AA5"/>
    <w:rsid w:val="00FD5BF0"/>
    <w:rsid w:val="00FD6475"/>
    <w:rsid w:val="00FD7553"/>
    <w:rsid w:val="2573041A"/>
    <w:rsid w:val="539BEE36"/>
    <w:rsid w:val="5EE440C7"/>
    <w:rsid w:val="7A608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10BC1"/>
  <w15:chartTrackingRefBased/>
  <w15:docId w15:val="{80F614B2-1C87-44A7-A8DC-534E01AD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annotation text" w:uiPriority="99"/>
    <w:lsdException w:name="header" w:locked="0" w:qFormat="1"/>
    <w:lsdException w:name="footer" w:locked="0" w:uiPriority="99"/>
    <w:lsdException w:name="caption" w:semiHidden="1" w:unhideWhenUsed="1" w:qFormat="1"/>
    <w:lsdException w:name="footnote reference" w:uiPriority="99"/>
    <w:lsdException w:name="annotation reference" w:uiPriority="99"/>
    <w:lsdException w:name="endnote reference" w:locked="0" w:uiPriority="99" w:qFormat="1"/>
    <w:lsdException w:name="endnote text" w:locked="0" w:uiPriority="99"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B44BAF"/>
    <w:pPr>
      <w:keepNext/>
      <w:keepLines/>
      <w:spacing w:before="240" w:after="240"/>
    </w:pPr>
    <w:rPr>
      <w:rFonts w:ascii="Open Sans" w:eastAsia="MS Mincho" w:hAnsi="Open Sans"/>
      <w:sz w:val="24"/>
      <w:szCs w:val="24"/>
    </w:rPr>
  </w:style>
  <w:style w:type="paragraph" w:styleId="Heading1">
    <w:name w:val="heading 1"/>
    <w:basedOn w:val="Normal"/>
    <w:next w:val="Normal"/>
    <w:link w:val="Heading1Char"/>
    <w:rsid w:val="005C2ECF"/>
    <w:pPr>
      <w:numPr>
        <w:numId w:val="1"/>
      </w:numPr>
      <w:spacing w:before="360"/>
      <w:outlineLvl w:val="0"/>
    </w:pPr>
    <w:rPr>
      <w:b/>
      <w:bCs/>
      <w:sz w:val="36"/>
      <w:szCs w:val="28"/>
    </w:rPr>
  </w:style>
  <w:style w:type="paragraph" w:styleId="Heading2">
    <w:name w:val="heading 2"/>
    <w:basedOn w:val="Heading1"/>
    <w:next w:val="Normal"/>
    <w:link w:val="Heading2Char"/>
    <w:rsid w:val="00BA23E3"/>
    <w:pPr>
      <w:numPr>
        <w:ilvl w:val="1"/>
      </w:numPr>
      <w:outlineLvl w:val="1"/>
    </w:pPr>
    <w:rPr>
      <w:bCs w:val="0"/>
      <w:sz w:val="32"/>
      <w:szCs w:val="26"/>
    </w:rPr>
  </w:style>
  <w:style w:type="paragraph" w:styleId="Heading3">
    <w:name w:val="heading 3"/>
    <w:basedOn w:val="Heading2"/>
    <w:next w:val="Normal"/>
    <w:link w:val="Heading3Char"/>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numPr>
        <w:ilvl w:val="4"/>
        <w:numId w:val="1"/>
      </w:numPr>
      <w:spacing w:before="200"/>
      <w:outlineLvl w:val="4"/>
    </w:pPr>
  </w:style>
  <w:style w:type="paragraph" w:styleId="Heading6">
    <w:name w:val="heading 6"/>
    <w:basedOn w:val="Normal"/>
    <w:next w:val="Normal"/>
    <w:link w:val="Heading6Char"/>
    <w:locked/>
    <w:rsid w:val="005C2ECF"/>
    <w:pPr>
      <w:numPr>
        <w:ilvl w:val="5"/>
        <w:numId w:val="1"/>
      </w:numPr>
      <w:spacing w:before="200"/>
      <w:outlineLvl w:val="5"/>
    </w:pPr>
    <w:rPr>
      <w:i/>
      <w:iCs/>
    </w:rPr>
  </w:style>
  <w:style w:type="paragraph" w:styleId="Heading7">
    <w:name w:val="heading 7"/>
    <w:basedOn w:val="Normal"/>
    <w:next w:val="Normal"/>
    <w:link w:val="Heading7Char"/>
    <w:locked/>
    <w:rsid w:val="005C2ECF"/>
    <w:pPr>
      <w:numPr>
        <w:ilvl w:val="6"/>
        <w:numId w:val="1"/>
      </w:numPr>
      <w:spacing w:before="200"/>
      <w:outlineLvl w:val="6"/>
    </w:pPr>
    <w:rPr>
      <w:i/>
      <w:iCs/>
    </w:rPr>
  </w:style>
  <w:style w:type="paragraph" w:styleId="Heading8">
    <w:name w:val="heading 8"/>
    <w:basedOn w:val="Normal"/>
    <w:next w:val="Normal"/>
    <w:link w:val="Heading8Char"/>
    <w:locked/>
    <w:rsid w:val="005C2ECF"/>
    <w:pPr>
      <w:numPr>
        <w:ilvl w:val="7"/>
        <w:numId w:val="1"/>
      </w:numPr>
      <w:spacing w:before="200"/>
      <w:outlineLvl w:val="7"/>
    </w:pPr>
    <w:rPr>
      <w:sz w:val="20"/>
      <w:szCs w:val="20"/>
    </w:rPr>
  </w:style>
  <w:style w:type="paragraph" w:styleId="Heading9">
    <w:name w:val="heading 9"/>
    <w:basedOn w:val="Normal"/>
    <w:next w:val="Normal"/>
    <w:link w:val="Heading9Char"/>
    <w:locked/>
    <w:rsid w:val="005C2ECF"/>
    <w:pPr>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character" w:styleId="Mention">
    <w:name w:val="Mention"/>
    <w:basedOn w:val="DefaultParagraphFont"/>
    <w:uiPriority w:val="99"/>
    <w:unhideWhenUsed/>
    <w:rsid w:val="00F93469"/>
    <w:rPr>
      <w:color w:val="2B579A"/>
      <w:shd w:val="clear" w:color="auto" w:fill="E1DFDD"/>
    </w:rPr>
  </w:style>
  <w:style w:type="character" w:customStyle="1" w:styleId="cf01">
    <w:name w:val="cf01"/>
    <w:basedOn w:val="DefaultParagraphFont"/>
    <w:rsid w:val="00275FA2"/>
    <w:rPr>
      <w:rFonts w:ascii="Segoe UI" w:hAnsi="Segoe UI" w:cs="Segoe UI" w:hint="default"/>
      <w:sz w:val="18"/>
      <w:szCs w:val="18"/>
    </w:rPr>
  </w:style>
  <w:style w:type="character" w:customStyle="1" w:styleId="cf11">
    <w:name w:val="cf11"/>
    <w:basedOn w:val="DefaultParagraphFont"/>
    <w:rsid w:val="00275FA2"/>
    <w:rPr>
      <w:rFonts w:ascii="Segoe UI" w:hAnsi="Segoe UI" w:cs="Segoe UI" w:hint="default"/>
      <w:i/>
      <w:iCs/>
      <w:sz w:val="18"/>
      <w:szCs w:val="18"/>
    </w:rPr>
  </w:style>
  <w:style w:type="character" w:customStyle="1" w:styleId="eop">
    <w:name w:val="eop"/>
    <w:basedOn w:val="DefaultParagraphFont"/>
    <w:rsid w:val="00462927"/>
  </w:style>
  <w:style w:type="paragraph" w:customStyle="1" w:styleId="paragraph">
    <w:name w:val="paragraph"/>
    <w:basedOn w:val="Normal"/>
    <w:rsid w:val="0002169E"/>
    <w:pPr>
      <w:keepNext w:val="0"/>
      <w:keepLines w:val="0"/>
      <w:spacing w:before="100" w:beforeAutospacing="1" w:after="100" w:afterAutospacing="1"/>
    </w:pPr>
    <w:rPr>
      <w:rFonts w:ascii="Times New Roman" w:eastAsia="Times New Roman" w:hAnsi="Times New Roman"/>
      <w14:ligatures w14:val="standardContextual"/>
    </w:rPr>
  </w:style>
  <w:style w:type="character" w:customStyle="1" w:styleId="normaltextrun">
    <w:name w:val="normaltextrun"/>
    <w:basedOn w:val="DefaultParagraphFont"/>
    <w:rsid w:val="0002169E"/>
  </w:style>
  <w:style w:type="paragraph" w:customStyle="1" w:styleId="TableCaption">
    <w:name w:val="Table Caption"/>
    <w:basedOn w:val="Caption"/>
    <w:uiPriority w:val="8"/>
    <w:qFormat/>
    <w:rsid w:val="006F3A43"/>
    <w:pPr>
      <w:keepLines w:val="0"/>
      <w:tabs>
        <w:tab w:val="left" w:pos="1134"/>
      </w:tabs>
      <w:spacing w:after="120"/>
      <w:ind w:left="1134" w:hanging="1134"/>
    </w:pPr>
    <w:rPr>
      <w:rFonts w:asciiTheme="minorHAnsi" w:eastAsiaTheme="minorHAnsi" w:hAnsiTheme="minorHAnsi" w:cstheme="minorBidi"/>
      <w:bCs w:val="0"/>
      <w:color w:val="ED7D31" w:themeColor="accent2"/>
      <w:sz w:val="22"/>
      <w:szCs w:val="22"/>
      <w:lang w:eastAsia="en-US"/>
    </w:rPr>
  </w:style>
  <w:style w:type="character" w:styleId="FootnoteReference">
    <w:name w:val="footnote reference"/>
    <w:basedOn w:val="DefaultParagraphFont"/>
    <w:uiPriority w:val="99"/>
    <w:locked/>
    <w:rsid w:val="00164489"/>
    <w:rPr>
      <w:vertAlign w:val="superscript"/>
    </w:rPr>
  </w:style>
  <w:style w:type="paragraph" w:styleId="Revision">
    <w:name w:val="Revision"/>
    <w:hidden/>
    <w:uiPriority w:val="99"/>
    <w:semiHidden/>
    <w:rsid w:val="00BA77BF"/>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hyperlink" Target="https://humanrights.gov.au/sites/default/files/2024-04/Consultation%20Draft_Design%20Guidelines%20For%20Access%20and%20Inclusion%20in%20Residential%20Development.pdf" TargetMode="External"/><Relationship Id="rId3" Type="http://schemas.openxmlformats.org/officeDocument/2006/relationships/customXml" Target="../customXml/item3.xml"/><Relationship Id="rId21" Type="http://schemas.openxmlformats.org/officeDocument/2006/relationships/hyperlink" Target="https://humanrights.gov.au/our-work/disability-rights/projects/accessible-housing-project" TargetMode="Externa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humanrights.gov.au/sites/default/files/2024-04/Draft%20Design%20Guideline%20Self%20Certification%20Tool.xlsx"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hurchilltrust.com.au/nsw/fellow/kim-samuel-nsw-2019/"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thekelsey.org/design/"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hurchilltrust.com.au/project/to-explore-innovative-options-for-disability-housing-that-focus-on-user-choice-and-self-determination/" TargetMode="External"/><Relationship Id="rId28" Type="http://schemas.openxmlformats.org/officeDocument/2006/relationships/hyperlink" Target="mailto:disability@humanrights.gov.au"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humanrights.gov.au/our-work/disability-rights/publications/adaptable-housing-people-disability-australia-scoping-study" TargetMode="External"/><Relationship Id="rId27" Type="http://schemas.openxmlformats.org/officeDocument/2006/relationships/hyperlink" Target="https://humanrights.gov.au/sites/default/files/2024-04/Accessible_Draft%20Design%20Guidelines%20for%20Access%20and%20Inclusion%20in%20Residential%20Development_0.docx" TargetMode="External"/><Relationship Id="rId30" Type="http://schemas.openxmlformats.org/officeDocument/2006/relationships/header" Target="header5.xm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facs.nsw.gov.au/download?file=8434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AHRCTemplateHub/Commission/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WEV44C3EEZP4-1614215984-926</_dlc_DocId>
    <_dlc_DocIdUrl xmlns="6500fe01-343b-4fb9-a1b0-68ac19d62e01">
      <Url>https://australianhrc.sharepoint.com/sites/DisabilityRights/_layouts/15/DocIdRedir.aspx?ID=WEV44C3EEZP4-1614215984-926</Url>
      <Description>WEV44C3EEZP4-1614215984-926</Description>
    </_dlc_DocIdUrl>
    <lcf76f155ced4ddcb4097134ff3c332f xmlns="1a44abca-485f-462f-8771-77c1981609ee">
      <Terms xmlns="http://schemas.microsoft.com/office/infopath/2007/PartnerControls"/>
    </lcf76f155ced4ddcb4097134ff3c332f>
    <Notes xmlns="1a44abca-485f-462f-8771-77c1981609ee" xsi:nil="true"/>
    <SharedWithUsers xmlns="39d46e2e-af2c-4283-b2c0-dbe09d693c60">
      <UserInfo>
        <DisplayName>Bill Lawford</DisplayName>
        <AccountId>3277</AccountId>
        <AccountType/>
      </UserInfo>
      <UserInfo>
        <DisplayName>Sophia Rinaldis</DisplayName>
        <AccountId>143</AccountId>
        <AccountType/>
      </UserInfo>
      <UserInfo>
        <DisplayName>Alexandra Dunn</DisplayName>
        <AccountId>369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75c5ac6-a0cc-43ed-b850-4a2ae59237b6" ContentTypeId="0x0101" PreviousValue="false" LastSyncTimeStamp="2019-01-22T02:06:15.047Z"/>
</file>

<file path=customXml/item6.xml><?xml version="1.0" encoding="utf-8"?>
<ct:contentTypeSchema xmlns:ct="http://schemas.microsoft.com/office/2006/metadata/contentType" xmlns:ma="http://schemas.microsoft.com/office/2006/metadata/properties/metaAttributes" ct:_="" ma:_="" ma:contentTypeName="Document" ma:contentTypeID="0x01010092FDDFAB61A200468D1646637FFDCFCD" ma:contentTypeVersion="13" ma:contentTypeDescription="Create a new document." ma:contentTypeScope="" ma:versionID="a0a20ed44bad2dc8ee21570f7d404811">
  <xsd:schema xmlns:xsd="http://www.w3.org/2001/XMLSchema" xmlns:xs="http://www.w3.org/2001/XMLSchema" xmlns:p="http://schemas.microsoft.com/office/2006/metadata/properties" xmlns:ns2="6500fe01-343b-4fb9-a1b0-68ac19d62e01" xmlns:ns3="1a44abca-485f-462f-8771-77c1981609ee" xmlns:ns4="39d46e2e-af2c-4283-b2c0-dbe09d693c60" targetNamespace="http://schemas.microsoft.com/office/2006/metadata/properties" ma:root="true" ma:fieldsID="d6efe42a276cb31e9ebdd4b6f7f71b25" ns2:_="" ns3:_="" ns4:_="">
    <xsd:import namespace="6500fe01-343b-4fb9-a1b0-68ac19d62e01"/>
    <xsd:import namespace="1a44abca-485f-462f-8771-77c1981609ee"/>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Not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aba89f1-9dd8-48a5-8350-dbcd55a0ef57}"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ba89f1-9dd8-48a5-8350-dbcd55a0ef57}"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44abca-485f-462f-8771-77c1981609ee"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Notes" ma:index="19" nillable="true" ma:displayName="Notes" ma:format="Dropdown" ma:internalName="Notes">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1a44abca-485f-462f-8771-77c1981609ee"/>
    <ds:schemaRef ds:uri="39d46e2e-af2c-4283-b2c0-dbe09d693c60"/>
  </ds:schemaRefs>
</ds:datastoreItem>
</file>

<file path=customXml/itemProps2.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3.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4.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5.xml><?xml version="1.0" encoding="utf-8"?>
<ds:datastoreItem xmlns:ds="http://schemas.openxmlformats.org/officeDocument/2006/customXml" ds:itemID="{BA00025E-E5D5-43C4-AA8A-A9DB64004BFC}">
  <ds:schemaRefs>
    <ds:schemaRef ds:uri="Microsoft.SharePoint.Taxonomy.ContentTypeSync"/>
  </ds:schemaRefs>
</ds:datastoreItem>
</file>

<file path=customXml/itemProps6.xml><?xml version="1.0" encoding="utf-8"?>
<ds:datastoreItem xmlns:ds="http://schemas.openxmlformats.org/officeDocument/2006/customXml" ds:itemID="{DC1D2991-F543-4320-9B20-215A491BD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1a44abca-485f-462f-8771-77c1981609ee"/>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3B95D2-846C-4010-968C-95D452DE77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AHRC%20Report%20Template</Template>
  <TotalTime>0</TotalTime>
  <Pages>1</Pages>
  <Words>2307</Words>
  <Characters>16059</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Human Rights and Equal Opportunity Commission</Company>
  <LinksUpToDate>false</LinksUpToDate>
  <CharactersWithSpaces>18330</CharactersWithSpaces>
  <SharedDoc>false</SharedDoc>
  <HLinks>
    <vt:vector size="198" baseType="variant">
      <vt:variant>
        <vt:i4>2097234</vt:i4>
      </vt:variant>
      <vt:variant>
        <vt:i4>141</vt:i4>
      </vt:variant>
      <vt:variant>
        <vt:i4>0</vt:i4>
      </vt:variant>
      <vt:variant>
        <vt:i4>5</vt:i4>
      </vt:variant>
      <vt:variant>
        <vt:lpwstr>mailto:disability@humanrights.gov.au</vt:lpwstr>
      </vt:variant>
      <vt:variant>
        <vt:lpwstr/>
      </vt:variant>
      <vt:variant>
        <vt:i4>3473513</vt:i4>
      </vt:variant>
      <vt:variant>
        <vt:i4>138</vt:i4>
      </vt:variant>
      <vt:variant>
        <vt:i4>0</vt:i4>
      </vt:variant>
      <vt:variant>
        <vt:i4>5</vt:i4>
      </vt:variant>
      <vt:variant>
        <vt:lpwstr/>
      </vt:variant>
      <vt:variant>
        <vt:lpwstr>_2_Site</vt:lpwstr>
      </vt:variant>
      <vt:variant>
        <vt:i4>4325431</vt:i4>
      </vt:variant>
      <vt:variant>
        <vt:i4>135</vt:i4>
      </vt:variant>
      <vt:variant>
        <vt:i4>0</vt:i4>
      </vt:variant>
      <vt:variant>
        <vt:i4>5</vt:i4>
      </vt:variant>
      <vt:variant>
        <vt:lpwstr/>
      </vt:variant>
      <vt:variant>
        <vt:lpwstr>_1.0_Site_Selection</vt:lpwstr>
      </vt:variant>
      <vt:variant>
        <vt:i4>655430</vt:i4>
      </vt:variant>
      <vt:variant>
        <vt:i4>126</vt:i4>
      </vt:variant>
      <vt:variant>
        <vt:i4>0</vt:i4>
      </vt:variant>
      <vt:variant>
        <vt:i4>5</vt:i4>
      </vt:variant>
      <vt:variant>
        <vt:lpwstr>https://thekelsey.org/design/</vt:lpwstr>
      </vt:variant>
      <vt:variant>
        <vt:lpwstr/>
      </vt:variant>
      <vt:variant>
        <vt:i4>5963793</vt:i4>
      </vt:variant>
      <vt:variant>
        <vt:i4>123</vt:i4>
      </vt:variant>
      <vt:variant>
        <vt:i4>0</vt:i4>
      </vt:variant>
      <vt:variant>
        <vt:i4>5</vt:i4>
      </vt:variant>
      <vt:variant>
        <vt:lpwstr>https://www.churchilltrust.com.au/project/to-explore-innovative-options-for-disability-housing-that-focus-on-user-choice-and-self-determination/</vt:lpwstr>
      </vt:variant>
      <vt:variant>
        <vt:lpwstr/>
      </vt:variant>
      <vt:variant>
        <vt:i4>2818149</vt:i4>
      </vt:variant>
      <vt:variant>
        <vt:i4>120</vt:i4>
      </vt:variant>
      <vt:variant>
        <vt:i4>0</vt:i4>
      </vt:variant>
      <vt:variant>
        <vt:i4>5</vt:i4>
      </vt:variant>
      <vt:variant>
        <vt:lpwstr>https://humanrights.gov.au/our-work/disability-rights/publications/adaptable-housing-people-disability-australia-scoping-study</vt:lpwstr>
      </vt:variant>
      <vt:variant>
        <vt:lpwstr/>
      </vt:variant>
      <vt:variant>
        <vt:i4>196690</vt:i4>
      </vt:variant>
      <vt:variant>
        <vt:i4>117</vt:i4>
      </vt:variant>
      <vt:variant>
        <vt:i4>0</vt:i4>
      </vt:variant>
      <vt:variant>
        <vt:i4>5</vt:i4>
      </vt:variant>
      <vt:variant>
        <vt:lpwstr>https://humanrights.gov.au/our-work/disability-rights/projects/accessible-housing-project</vt:lpwstr>
      </vt:variant>
      <vt:variant>
        <vt:lpwstr/>
      </vt:variant>
      <vt:variant>
        <vt:i4>4587614</vt:i4>
      </vt:variant>
      <vt:variant>
        <vt:i4>114</vt:i4>
      </vt:variant>
      <vt:variant>
        <vt:i4>0</vt:i4>
      </vt:variant>
      <vt:variant>
        <vt:i4>5</vt:i4>
      </vt:variant>
      <vt:variant>
        <vt:lpwstr>https://www.churchilltrust.com.au/nsw/fellow/kim-samuel-nsw-2019/</vt:lpwstr>
      </vt:variant>
      <vt:variant>
        <vt:lpwstr/>
      </vt:variant>
      <vt:variant>
        <vt:i4>1245232</vt:i4>
      </vt:variant>
      <vt:variant>
        <vt:i4>107</vt:i4>
      </vt:variant>
      <vt:variant>
        <vt:i4>0</vt:i4>
      </vt:variant>
      <vt:variant>
        <vt:i4>5</vt:i4>
      </vt:variant>
      <vt:variant>
        <vt:lpwstr/>
      </vt:variant>
      <vt:variant>
        <vt:lpwstr>_Toc163561462</vt:lpwstr>
      </vt:variant>
      <vt:variant>
        <vt:i4>1245232</vt:i4>
      </vt:variant>
      <vt:variant>
        <vt:i4>101</vt:i4>
      </vt:variant>
      <vt:variant>
        <vt:i4>0</vt:i4>
      </vt:variant>
      <vt:variant>
        <vt:i4>5</vt:i4>
      </vt:variant>
      <vt:variant>
        <vt:lpwstr/>
      </vt:variant>
      <vt:variant>
        <vt:lpwstr>_Toc163561461</vt:lpwstr>
      </vt:variant>
      <vt:variant>
        <vt:i4>1245232</vt:i4>
      </vt:variant>
      <vt:variant>
        <vt:i4>95</vt:i4>
      </vt:variant>
      <vt:variant>
        <vt:i4>0</vt:i4>
      </vt:variant>
      <vt:variant>
        <vt:i4>5</vt:i4>
      </vt:variant>
      <vt:variant>
        <vt:lpwstr/>
      </vt:variant>
      <vt:variant>
        <vt:lpwstr>_Toc163561460</vt:lpwstr>
      </vt:variant>
      <vt:variant>
        <vt:i4>1048624</vt:i4>
      </vt:variant>
      <vt:variant>
        <vt:i4>89</vt:i4>
      </vt:variant>
      <vt:variant>
        <vt:i4>0</vt:i4>
      </vt:variant>
      <vt:variant>
        <vt:i4>5</vt:i4>
      </vt:variant>
      <vt:variant>
        <vt:lpwstr/>
      </vt:variant>
      <vt:variant>
        <vt:lpwstr>_Toc163561459</vt:lpwstr>
      </vt:variant>
      <vt:variant>
        <vt:i4>1048624</vt:i4>
      </vt:variant>
      <vt:variant>
        <vt:i4>83</vt:i4>
      </vt:variant>
      <vt:variant>
        <vt:i4>0</vt:i4>
      </vt:variant>
      <vt:variant>
        <vt:i4>5</vt:i4>
      </vt:variant>
      <vt:variant>
        <vt:lpwstr/>
      </vt:variant>
      <vt:variant>
        <vt:lpwstr>_Toc163561458</vt:lpwstr>
      </vt:variant>
      <vt:variant>
        <vt:i4>1048624</vt:i4>
      </vt:variant>
      <vt:variant>
        <vt:i4>77</vt:i4>
      </vt:variant>
      <vt:variant>
        <vt:i4>0</vt:i4>
      </vt:variant>
      <vt:variant>
        <vt:i4>5</vt:i4>
      </vt:variant>
      <vt:variant>
        <vt:lpwstr/>
      </vt:variant>
      <vt:variant>
        <vt:lpwstr>_Toc163561457</vt:lpwstr>
      </vt:variant>
      <vt:variant>
        <vt:i4>1048624</vt:i4>
      </vt:variant>
      <vt:variant>
        <vt:i4>71</vt:i4>
      </vt:variant>
      <vt:variant>
        <vt:i4>0</vt:i4>
      </vt:variant>
      <vt:variant>
        <vt:i4>5</vt:i4>
      </vt:variant>
      <vt:variant>
        <vt:lpwstr/>
      </vt:variant>
      <vt:variant>
        <vt:lpwstr>_Toc163561456</vt:lpwstr>
      </vt:variant>
      <vt:variant>
        <vt:i4>1048624</vt:i4>
      </vt:variant>
      <vt:variant>
        <vt:i4>65</vt:i4>
      </vt:variant>
      <vt:variant>
        <vt:i4>0</vt:i4>
      </vt:variant>
      <vt:variant>
        <vt:i4>5</vt:i4>
      </vt:variant>
      <vt:variant>
        <vt:lpwstr/>
      </vt:variant>
      <vt:variant>
        <vt:lpwstr>_Toc163561455</vt:lpwstr>
      </vt:variant>
      <vt:variant>
        <vt:i4>1048624</vt:i4>
      </vt:variant>
      <vt:variant>
        <vt:i4>59</vt:i4>
      </vt:variant>
      <vt:variant>
        <vt:i4>0</vt:i4>
      </vt:variant>
      <vt:variant>
        <vt:i4>5</vt:i4>
      </vt:variant>
      <vt:variant>
        <vt:lpwstr/>
      </vt:variant>
      <vt:variant>
        <vt:lpwstr>_Toc163561454</vt:lpwstr>
      </vt:variant>
      <vt:variant>
        <vt:i4>1048624</vt:i4>
      </vt:variant>
      <vt:variant>
        <vt:i4>53</vt:i4>
      </vt:variant>
      <vt:variant>
        <vt:i4>0</vt:i4>
      </vt:variant>
      <vt:variant>
        <vt:i4>5</vt:i4>
      </vt:variant>
      <vt:variant>
        <vt:lpwstr/>
      </vt:variant>
      <vt:variant>
        <vt:lpwstr>_Toc163561453</vt:lpwstr>
      </vt:variant>
      <vt:variant>
        <vt:i4>1048624</vt:i4>
      </vt:variant>
      <vt:variant>
        <vt:i4>47</vt:i4>
      </vt:variant>
      <vt:variant>
        <vt:i4>0</vt:i4>
      </vt:variant>
      <vt:variant>
        <vt:i4>5</vt:i4>
      </vt:variant>
      <vt:variant>
        <vt:lpwstr/>
      </vt:variant>
      <vt:variant>
        <vt:lpwstr>_Toc163561452</vt:lpwstr>
      </vt:variant>
      <vt:variant>
        <vt:i4>1048624</vt:i4>
      </vt:variant>
      <vt:variant>
        <vt:i4>41</vt:i4>
      </vt:variant>
      <vt:variant>
        <vt:i4>0</vt:i4>
      </vt:variant>
      <vt:variant>
        <vt:i4>5</vt:i4>
      </vt:variant>
      <vt:variant>
        <vt:lpwstr/>
      </vt:variant>
      <vt:variant>
        <vt:lpwstr>_Toc163561451</vt:lpwstr>
      </vt:variant>
      <vt:variant>
        <vt:i4>1048624</vt:i4>
      </vt:variant>
      <vt:variant>
        <vt:i4>35</vt:i4>
      </vt:variant>
      <vt:variant>
        <vt:i4>0</vt:i4>
      </vt:variant>
      <vt:variant>
        <vt:i4>5</vt:i4>
      </vt:variant>
      <vt:variant>
        <vt:lpwstr/>
      </vt:variant>
      <vt:variant>
        <vt:lpwstr>_Toc163561450</vt:lpwstr>
      </vt:variant>
      <vt:variant>
        <vt:i4>1114160</vt:i4>
      </vt:variant>
      <vt:variant>
        <vt:i4>29</vt:i4>
      </vt:variant>
      <vt:variant>
        <vt:i4>0</vt:i4>
      </vt:variant>
      <vt:variant>
        <vt:i4>5</vt:i4>
      </vt:variant>
      <vt:variant>
        <vt:lpwstr/>
      </vt:variant>
      <vt:variant>
        <vt:lpwstr>_Toc163561449</vt:lpwstr>
      </vt:variant>
      <vt:variant>
        <vt:i4>1114160</vt:i4>
      </vt:variant>
      <vt:variant>
        <vt:i4>23</vt:i4>
      </vt:variant>
      <vt:variant>
        <vt:i4>0</vt:i4>
      </vt:variant>
      <vt:variant>
        <vt:i4>5</vt:i4>
      </vt:variant>
      <vt:variant>
        <vt:lpwstr/>
      </vt:variant>
      <vt:variant>
        <vt:lpwstr>_Toc163561448</vt:lpwstr>
      </vt:variant>
      <vt:variant>
        <vt:i4>1114160</vt:i4>
      </vt:variant>
      <vt:variant>
        <vt:i4>17</vt:i4>
      </vt:variant>
      <vt:variant>
        <vt:i4>0</vt:i4>
      </vt:variant>
      <vt:variant>
        <vt:i4>5</vt:i4>
      </vt:variant>
      <vt:variant>
        <vt:lpwstr/>
      </vt:variant>
      <vt:variant>
        <vt:lpwstr>_Toc163561447</vt:lpwstr>
      </vt:variant>
      <vt:variant>
        <vt:i4>1114160</vt:i4>
      </vt:variant>
      <vt:variant>
        <vt:i4>11</vt:i4>
      </vt:variant>
      <vt:variant>
        <vt:i4>0</vt:i4>
      </vt:variant>
      <vt:variant>
        <vt:i4>5</vt:i4>
      </vt:variant>
      <vt:variant>
        <vt:lpwstr/>
      </vt:variant>
      <vt:variant>
        <vt:lpwstr>_Toc163561446</vt:lpwstr>
      </vt:variant>
      <vt:variant>
        <vt:i4>1114160</vt:i4>
      </vt:variant>
      <vt:variant>
        <vt:i4>5</vt:i4>
      </vt:variant>
      <vt:variant>
        <vt:i4>0</vt:i4>
      </vt:variant>
      <vt:variant>
        <vt:i4>5</vt:i4>
      </vt:variant>
      <vt:variant>
        <vt:lpwstr/>
      </vt:variant>
      <vt:variant>
        <vt:lpwstr>_Toc163561445</vt:lpwstr>
      </vt:variant>
      <vt:variant>
        <vt:i4>786485</vt:i4>
      </vt:variant>
      <vt:variant>
        <vt:i4>18</vt:i4>
      </vt:variant>
      <vt:variant>
        <vt:i4>0</vt:i4>
      </vt:variant>
      <vt:variant>
        <vt:i4>5</vt:i4>
      </vt:variant>
      <vt:variant>
        <vt:lpwstr>mailto:TGD.Submissions@humanrights.gov.au</vt:lpwstr>
      </vt:variant>
      <vt:variant>
        <vt:lpwstr/>
      </vt:variant>
      <vt:variant>
        <vt:i4>5242991</vt:i4>
      </vt:variant>
      <vt:variant>
        <vt:i4>15</vt:i4>
      </vt:variant>
      <vt:variant>
        <vt:i4>0</vt:i4>
      </vt:variant>
      <vt:variant>
        <vt:i4>5</vt:i4>
      </vt:variant>
      <vt:variant>
        <vt:lpwstr>mailto:sophia.rinaldis@humanrights.gov.au</vt:lpwstr>
      </vt:variant>
      <vt:variant>
        <vt:lpwstr/>
      </vt:variant>
      <vt:variant>
        <vt:i4>5242991</vt:i4>
      </vt:variant>
      <vt:variant>
        <vt:i4>12</vt:i4>
      </vt:variant>
      <vt:variant>
        <vt:i4>0</vt:i4>
      </vt:variant>
      <vt:variant>
        <vt:i4>5</vt:i4>
      </vt:variant>
      <vt:variant>
        <vt:lpwstr>mailto:sophia.rinaldis@humanrights.gov.au</vt:lpwstr>
      </vt:variant>
      <vt:variant>
        <vt:lpwstr/>
      </vt:variant>
      <vt:variant>
        <vt:i4>5242991</vt:i4>
      </vt:variant>
      <vt:variant>
        <vt:i4>9</vt:i4>
      </vt:variant>
      <vt:variant>
        <vt:i4>0</vt:i4>
      </vt:variant>
      <vt:variant>
        <vt:i4>5</vt:i4>
      </vt:variant>
      <vt:variant>
        <vt:lpwstr>mailto:sophia.rinaldis@humanrights.gov.au</vt:lpwstr>
      </vt:variant>
      <vt:variant>
        <vt:lpwstr/>
      </vt:variant>
      <vt:variant>
        <vt:i4>5242991</vt:i4>
      </vt:variant>
      <vt:variant>
        <vt:i4>6</vt:i4>
      </vt:variant>
      <vt:variant>
        <vt:i4>0</vt:i4>
      </vt:variant>
      <vt:variant>
        <vt:i4>5</vt:i4>
      </vt:variant>
      <vt:variant>
        <vt:lpwstr>mailto:sophia.rinaldis@humanrights.gov.au</vt:lpwstr>
      </vt:variant>
      <vt:variant>
        <vt:lpwstr/>
      </vt:variant>
      <vt:variant>
        <vt:i4>5242991</vt:i4>
      </vt:variant>
      <vt:variant>
        <vt:i4>3</vt:i4>
      </vt:variant>
      <vt:variant>
        <vt:i4>0</vt:i4>
      </vt:variant>
      <vt:variant>
        <vt:i4>5</vt:i4>
      </vt:variant>
      <vt:variant>
        <vt:lpwstr>mailto:sophia.rinaldis@humanrights.gov.au</vt:lpwstr>
      </vt:variant>
      <vt:variant>
        <vt:lpwstr/>
      </vt:variant>
      <vt:variant>
        <vt:i4>5242991</vt:i4>
      </vt:variant>
      <vt:variant>
        <vt:i4>0</vt:i4>
      </vt:variant>
      <vt:variant>
        <vt:i4>0</vt:i4>
      </vt:variant>
      <vt:variant>
        <vt:i4>5</vt:i4>
      </vt:variant>
      <vt:variant>
        <vt:lpwstr>mailto:sophia.rinaldis@humanrights.gov.au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Dunn</dc:creator>
  <cp:keywords/>
  <dc:description/>
  <cp:lastModifiedBy>Bill Lawford</cp:lastModifiedBy>
  <cp:revision>2</cp:revision>
  <cp:lastPrinted>2024-04-18T01:02:00Z</cp:lastPrinted>
  <dcterms:created xsi:type="dcterms:W3CDTF">2024-04-18T05:45:00Z</dcterms:created>
  <dcterms:modified xsi:type="dcterms:W3CDTF">2024-04-18T05:45:00Z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0x01010092FDDFAB61A200468D1646637FFDCFCD</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6c3eff33-ba04-4b86-8399-fc77d0827a1d</vt:lpwstr>
  </property>
</Properties>
</file>