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A743" w14:textId="77777777" w:rsidR="00C95590" w:rsidRPr="004702E7" w:rsidRDefault="008369B6" w:rsidP="00C95590">
      <w:pPr>
        <w:pStyle w:val="Title"/>
        <w:rPr>
          <w:color w:val="1F497D" w:themeColor="text2"/>
          <w:sz w:val="36"/>
          <w:szCs w:val="36"/>
        </w:rPr>
      </w:pPr>
      <w:r w:rsidRPr="004702E7">
        <w:rPr>
          <w:color w:val="1F497D" w:themeColor="text2"/>
          <w:sz w:val="36"/>
          <w:szCs w:val="36"/>
        </w:rPr>
        <w:t xml:space="preserve">Factsheet: </w:t>
      </w:r>
      <w:r w:rsidR="00C95590" w:rsidRPr="004702E7">
        <w:rPr>
          <w:color w:val="1F497D" w:themeColor="text2"/>
          <w:sz w:val="36"/>
          <w:szCs w:val="36"/>
        </w:rPr>
        <w:t>Business and human rights</w:t>
      </w:r>
    </w:p>
    <w:p w14:paraId="5F0B6A3D" w14:textId="77777777" w:rsidR="00C95590" w:rsidRPr="004702E7" w:rsidRDefault="00C95590" w:rsidP="00C95590">
      <w:pPr>
        <w:rPr>
          <w:b/>
          <w:color w:val="1F497D" w:themeColor="text2"/>
          <w:sz w:val="28"/>
        </w:rPr>
      </w:pPr>
      <w:r w:rsidRPr="004702E7">
        <w:rPr>
          <w:b/>
          <w:color w:val="1F497D" w:themeColor="text2"/>
          <w:sz w:val="28"/>
        </w:rPr>
        <w:t>Background Information</w:t>
      </w:r>
    </w:p>
    <w:p w14:paraId="53F78924" w14:textId="096F12AC" w:rsidR="00C95590" w:rsidRDefault="00F36763" w:rsidP="00C95590">
      <w:pPr>
        <w:rPr>
          <w:rFonts w:eastAsia="Calibri"/>
          <w:lang w:val="en-NZ" w:eastAsia="en-US"/>
        </w:rPr>
      </w:pPr>
      <w:r>
        <w:rPr>
          <w:lang w:val="en-NZ"/>
        </w:rPr>
        <w:t xml:space="preserve"> </w:t>
      </w:r>
      <w:r w:rsidR="00A033C4">
        <w:rPr>
          <w:lang w:val="en"/>
        </w:rPr>
        <w:t xml:space="preserve">A company’s operations can have </w:t>
      </w:r>
      <w:r w:rsidR="003C4453">
        <w:rPr>
          <w:lang w:val="en"/>
        </w:rPr>
        <w:t xml:space="preserve">negative and positive </w:t>
      </w:r>
      <w:r w:rsidR="00A033C4">
        <w:rPr>
          <w:lang w:val="en"/>
        </w:rPr>
        <w:t>impact</w:t>
      </w:r>
      <w:r w:rsidR="003C4453">
        <w:rPr>
          <w:lang w:val="en"/>
        </w:rPr>
        <w:t>s</w:t>
      </w:r>
      <w:r w:rsidR="00A033C4">
        <w:rPr>
          <w:lang w:val="en"/>
        </w:rPr>
        <w:t xml:space="preserve"> on many people, including employees, customers, suppliers and their employees, and communities</w:t>
      </w:r>
      <w:r w:rsidR="00C95590">
        <w:rPr>
          <w:lang w:val="en-NZ"/>
        </w:rPr>
        <w:t xml:space="preserve">. </w:t>
      </w:r>
      <w:r>
        <w:rPr>
          <w:lang w:val="en-NZ"/>
        </w:rPr>
        <w:t xml:space="preserve">To address </w:t>
      </w:r>
      <w:r w:rsidR="003C4453">
        <w:rPr>
          <w:lang w:val="en-NZ"/>
        </w:rPr>
        <w:t xml:space="preserve">these </w:t>
      </w:r>
      <w:r>
        <w:rPr>
          <w:lang w:val="en-NZ"/>
        </w:rPr>
        <w:t>impacts a growing number of</w:t>
      </w:r>
      <w:r w:rsidR="00C95590">
        <w:rPr>
          <w:lang w:val="en-NZ"/>
        </w:rPr>
        <w:t xml:space="preserve"> </w:t>
      </w:r>
      <w:r w:rsidR="00C95590" w:rsidRPr="003C0B54">
        <w:rPr>
          <w:lang w:val="en-NZ"/>
        </w:rPr>
        <w:t>Australian</w:t>
      </w:r>
      <w:r w:rsidR="00C95590">
        <w:rPr>
          <w:lang w:val="en-NZ"/>
        </w:rPr>
        <w:t xml:space="preserve"> </w:t>
      </w:r>
      <w:r w:rsidR="00C95590" w:rsidRPr="003C0B54">
        <w:rPr>
          <w:lang w:val="en-NZ"/>
        </w:rPr>
        <w:t>companies</w:t>
      </w:r>
      <w:r w:rsidR="00C95590">
        <w:rPr>
          <w:lang w:val="en-NZ"/>
        </w:rPr>
        <w:t xml:space="preserve"> voluntarily </w:t>
      </w:r>
      <w:r w:rsidR="00C95590" w:rsidRPr="003C0B54">
        <w:rPr>
          <w:lang w:val="en-NZ"/>
        </w:rPr>
        <w:t>incorporate human rights into their practices</w:t>
      </w:r>
      <w:r w:rsidR="00430314">
        <w:rPr>
          <w:lang w:val="en-NZ"/>
        </w:rPr>
        <w:t xml:space="preserve"> and policies</w:t>
      </w:r>
      <w:r w:rsidR="00C95590" w:rsidRPr="003C0B54">
        <w:rPr>
          <w:lang w:val="en-NZ"/>
        </w:rPr>
        <w:t>.</w:t>
      </w:r>
      <w:r w:rsidR="00C95590">
        <w:rPr>
          <w:lang w:val="en-NZ"/>
        </w:rPr>
        <w:t xml:space="preserve"> </w:t>
      </w:r>
      <w:r w:rsidR="00C95590">
        <w:t>Businesses have made commitments to promote diversity and equality</w:t>
      </w:r>
      <w:r w:rsidR="002E13B4">
        <w:t>. Examples include</w:t>
      </w:r>
      <w:r w:rsidR="003C4453">
        <w:t xml:space="preserve"> </w:t>
      </w:r>
      <w:r w:rsidR="00C95590" w:rsidRPr="00664CDD">
        <w:rPr>
          <w:lang w:val="en-NZ"/>
        </w:rPr>
        <w:t>Reconciliation Action Plans (to promote Indigenous equality)</w:t>
      </w:r>
      <w:r w:rsidR="00C95590">
        <w:rPr>
          <w:lang w:val="en-NZ"/>
        </w:rPr>
        <w:t xml:space="preserve">, </w:t>
      </w:r>
      <w:r w:rsidR="00C95590" w:rsidRPr="00664CDD">
        <w:rPr>
          <w:lang w:val="en-NZ"/>
        </w:rPr>
        <w:t>Disability Action Plans</w:t>
      </w:r>
      <w:r w:rsidR="003C4453">
        <w:rPr>
          <w:lang w:val="en-NZ"/>
        </w:rPr>
        <w:t>,</w:t>
      </w:r>
      <w:r w:rsidR="00C95590" w:rsidRPr="00664CDD">
        <w:rPr>
          <w:lang w:val="en-NZ"/>
        </w:rPr>
        <w:t xml:space="preserve"> and</w:t>
      </w:r>
      <w:r w:rsidR="00C95590">
        <w:rPr>
          <w:lang w:val="en-NZ"/>
        </w:rPr>
        <w:t xml:space="preserve"> specific measures </w:t>
      </w:r>
      <w:r w:rsidR="00C95590" w:rsidRPr="00664CDD">
        <w:rPr>
          <w:lang w:val="en-NZ"/>
        </w:rPr>
        <w:t>to promote gender equality</w:t>
      </w:r>
      <w:r w:rsidR="00471E40">
        <w:rPr>
          <w:lang w:val="en-NZ"/>
        </w:rPr>
        <w:t xml:space="preserve">, </w:t>
      </w:r>
      <w:r w:rsidR="00471E40" w:rsidRPr="00664CDD">
        <w:rPr>
          <w:lang w:val="en-NZ"/>
        </w:rPr>
        <w:t>diversity</w:t>
      </w:r>
      <w:r w:rsidR="00C95590" w:rsidRPr="00664CDD">
        <w:rPr>
          <w:lang w:val="en-NZ"/>
        </w:rPr>
        <w:t xml:space="preserve"> on the basis of race</w:t>
      </w:r>
      <w:r w:rsidR="00C95590">
        <w:rPr>
          <w:lang w:val="en-NZ"/>
        </w:rPr>
        <w:t xml:space="preserve"> as well as</w:t>
      </w:r>
      <w:r w:rsidR="00C95590" w:rsidRPr="00664CDD">
        <w:rPr>
          <w:lang w:val="en-NZ"/>
        </w:rPr>
        <w:t xml:space="preserve"> </w:t>
      </w:r>
      <w:r w:rsidR="00C95590">
        <w:rPr>
          <w:lang w:val="en-NZ"/>
        </w:rPr>
        <w:t>s</w:t>
      </w:r>
      <w:r w:rsidR="00C95590" w:rsidRPr="00664CDD">
        <w:rPr>
          <w:lang w:val="en-NZ"/>
        </w:rPr>
        <w:t xml:space="preserve">exual </w:t>
      </w:r>
      <w:r w:rsidR="00C95590">
        <w:rPr>
          <w:lang w:val="en-NZ"/>
        </w:rPr>
        <w:t>o</w:t>
      </w:r>
      <w:r w:rsidR="00C95590" w:rsidRPr="00664CDD">
        <w:rPr>
          <w:lang w:val="en-NZ"/>
        </w:rPr>
        <w:t xml:space="preserve">rientation, </w:t>
      </w:r>
      <w:r w:rsidR="00C95590">
        <w:rPr>
          <w:lang w:val="en-NZ"/>
        </w:rPr>
        <w:t>g</w:t>
      </w:r>
      <w:r w:rsidR="00C95590" w:rsidRPr="00664CDD">
        <w:rPr>
          <w:lang w:val="en-NZ"/>
        </w:rPr>
        <w:t xml:space="preserve">ender </w:t>
      </w:r>
      <w:r w:rsidR="00C95590">
        <w:rPr>
          <w:lang w:val="en-NZ"/>
        </w:rPr>
        <w:t>i</w:t>
      </w:r>
      <w:r w:rsidR="00C95590" w:rsidRPr="00664CDD">
        <w:rPr>
          <w:lang w:val="en-NZ"/>
        </w:rPr>
        <w:t xml:space="preserve">dentity and </w:t>
      </w:r>
      <w:r w:rsidR="00C95590">
        <w:rPr>
          <w:lang w:val="en-NZ"/>
        </w:rPr>
        <w:t>i</w:t>
      </w:r>
      <w:r w:rsidR="00C95590" w:rsidRPr="00664CDD">
        <w:rPr>
          <w:lang w:val="en-NZ"/>
        </w:rPr>
        <w:t>ntersex</w:t>
      </w:r>
      <w:r w:rsidR="00C95590">
        <w:rPr>
          <w:lang w:val="en-NZ"/>
        </w:rPr>
        <w:t xml:space="preserve"> status</w:t>
      </w:r>
      <w:r w:rsidR="00C95590" w:rsidRPr="00664CDD">
        <w:rPr>
          <w:lang w:val="en-NZ"/>
        </w:rPr>
        <w:t>.</w:t>
      </w:r>
      <w:bookmarkStart w:id="0" w:name="_GoBack"/>
      <w:bookmarkEnd w:id="0"/>
    </w:p>
    <w:p w14:paraId="5A5501E5" w14:textId="0E1790A3" w:rsidR="00114197" w:rsidRDefault="00A033C4" w:rsidP="00C95590">
      <w:pPr>
        <w:rPr>
          <w:lang w:val="en-NZ"/>
        </w:rPr>
      </w:pPr>
      <w:r>
        <w:rPr>
          <w:rFonts w:eastAsia="Calibri"/>
          <w:lang w:val="en-NZ" w:eastAsia="en-US"/>
        </w:rPr>
        <w:t xml:space="preserve">A number of </w:t>
      </w:r>
      <w:r w:rsidR="00C95590">
        <w:rPr>
          <w:rFonts w:eastAsia="Calibri"/>
          <w:lang w:val="en-NZ" w:eastAsia="en-US"/>
        </w:rPr>
        <w:t xml:space="preserve">Australian businesses are signatories to the UN Global Compact and form part of the Global Compact Network Australia (GCNA). GCNA members include </w:t>
      </w:r>
      <w:r w:rsidR="00C95590" w:rsidRPr="00002DF4">
        <w:rPr>
          <w:rFonts w:eastAsia="Calibri"/>
          <w:lang w:val="en-NZ" w:eastAsia="en-US"/>
        </w:rPr>
        <w:t>business stakeholders ranging from multinationals and top 200 companies down to smaller enterprises.</w:t>
      </w:r>
      <w:r w:rsidR="00C95590">
        <w:rPr>
          <w:rFonts w:eastAsia="Calibri"/>
          <w:lang w:val="en-NZ" w:eastAsia="en-US"/>
        </w:rPr>
        <w:t xml:space="preserve"> The GCNA support human rights by abiding by the </w:t>
      </w:r>
      <w:r w:rsidR="003138F8">
        <w:rPr>
          <w:rFonts w:eastAsia="Calibri"/>
          <w:lang w:val="en-NZ" w:eastAsia="en-US"/>
        </w:rPr>
        <w:t xml:space="preserve">UN </w:t>
      </w:r>
      <w:r w:rsidR="00C95590" w:rsidRPr="00AF0ACF">
        <w:rPr>
          <w:rFonts w:eastAsia="Calibri"/>
          <w:lang w:val="en-NZ" w:eastAsia="en-US"/>
        </w:rPr>
        <w:t>Guiding Principles on Business and Human Rights</w:t>
      </w:r>
      <w:r w:rsidR="00C95590" w:rsidRPr="00664CDD">
        <w:rPr>
          <w:lang w:val="en-NZ"/>
        </w:rPr>
        <w:t xml:space="preserve">. </w:t>
      </w:r>
      <w:r w:rsidR="00C95590" w:rsidRPr="003C0B54">
        <w:rPr>
          <w:lang w:val="en-NZ"/>
        </w:rPr>
        <w:t xml:space="preserve">The GCNA has </w:t>
      </w:r>
      <w:r w:rsidR="00C95590">
        <w:rPr>
          <w:lang w:val="en-NZ"/>
        </w:rPr>
        <w:t xml:space="preserve">also </w:t>
      </w:r>
      <w:r w:rsidR="00C95590" w:rsidRPr="003C0B54">
        <w:rPr>
          <w:lang w:val="en-NZ"/>
        </w:rPr>
        <w:t xml:space="preserve">established an Indigenous Engagement Working Group </w:t>
      </w:r>
      <w:r w:rsidR="00C95590">
        <w:rPr>
          <w:lang w:val="en-NZ"/>
        </w:rPr>
        <w:t xml:space="preserve">which </w:t>
      </w:r>
      <w:r w:rsidR="00C95590" w:rsidRPr="003C0B54">
        <w:rPr>
          <w:lang w:val="en-NZ"/>
        </w:rPr>
        <w:t>promotes the</w:t>
      </w:r>
      <w:r w:rsidR="00C95590">
        <w:rPr>
          <w:lang w:val="en-NZ"/>
        </w:rPr>
        <w:t xml:space="preserve"> </w:t>
      </w:r>
      <w:r w:rsidR="00C95590" w:rsidRPr="003C0B54">
        <w:rPr>
          <w:lang w:val="en-NZ"/>
        </w:rPr>
        <w:t>importance of positiv</w:t>
      </w:r>
      <w:r w:rsidR="00C95590">
        <w:rPr>
          <w:lang w:val="en-NZ"/>
        </w:rPr>
        <w:t>e Indigenous engagement and</w:t>
      </w:r>
      <w:r w:rsidR="00C95590" w:rsidRPr="003C0B54">
        <w:rPr>
          <w:lang w:val="en-NZ"/>
        </w:rPr>
        <w:t xml:space="preserve"> provides</w:t>
      </w:r>
      <w:r w:rsidR="00C95590">
        <w:rPr>
          <w:lang w:val="en-NZ"/>
        </w:rPr>
        <w:t xml:space="preserve"> </w:t>
      </w:r>
      <w:r w:rsidR="00C95590" w:rsidRPr="003C0B54">
        <w:rPr>
          <w:lang w:val="en-NZ"/>
        </w:rPr>
        <w:t>a platform to share</w:t>
      </w:r>
      <w:r w:rsidR="00C95590">
        <w:rPr>
          <w:lang w:val="en-NZ"/>
        </w:rPr>
        <w:t xml:space="preserve"> </w:t>
      </w:r>
      <w:r w:rsidR="00C95590" w:rsidRPr="003C0B54">
        <w:rPr>
          <w:lang w:val="en-NZ"/>
        </w:rPr>
        <w:t>leading practices and collectively advance Indigenous rights in Australia.</w:t>
      </w:r>
      <w:r w:rsidR="005B7F7D">
        <w:rPr>
          <w:rStyle w:val="EndnoteReference"/>
          <w:lang w:val="en-NZ"/>
        </w:rPr>
        <w:endnoteReference w:id="1"/>
      </w:r>
      <w:r w:rsidR="00C95590">
        <w:rPr>
          <w:lang w:val="en-NZ"/>
        </w:rPr>
        <w:t xml:space="preserve"> </w:t>
      </w:r>
    </w:p>
    <w:p w14:paraId="0A36838A" w14:textId="77777777" w:rsidR="00C95590" w:rsidRPr="004702E7" w:rsidRDefault="00C95590" w:rsidP="00C95590">
      <w:pPr>
        <w:rPr>
          <w:b/>
          <w:color w:val="1F497D" w:themeColor="text2"/>
          <w:sz w:val="28"/>
        </w:rPr>
      </w:pPr>
      <w:r w:rsidRPr="004702E7">
        <w:rPr>
          <w:b/>
          <w:color w:val="1F497D" w:themeColor="text2"/>
          <w:sz w:val="28"/>
        </w:rPr>
        <w:t xml:space="preserve">Key Issue – </w:t>
      </w:r>
      <w:r w:rsidR="00114197" w:rsidRPr="004702E7">
        <w:rPr>
          <w:b/>
          <w:color w:val="1F497D" w:themeColor="text2"/>
          <w:sz w:val="28"/>
        </w:rPr>
        <w:t>Lack of a n</w:t>
      </w:r>
      <w:r w:rsidRPr="004702E7">
        <w:rPr>
          <w:b/>
          <w:color w:val="1F497D" w:themeColor="text2"/>
          <w:sz w:val="28"/>
        </w:rPr>
        <w:t>ational action plan</w:t>
      </w:r>
    </w:p>
    <w:p w14:paraId="6860F456" w14:textId="58A20AA7" w:rsidR="00C95590" w:rsidRDefault="00C95590" w:rsidP="00C95590">
      <w:r>
        <w:t>A key challenge identified in the 2014</w:t>
      </w:r>
      <w:r w:rsidRPr="00A703A1">
        <w:t xml:space="preserve"> </w:t>
      </w:r>
      <w:r>
        <w:t>Australian</w:t>
      </w:r>
      <w:r w:rsidRPr="00A703A1">
        <w:t xml:space="preserve"> Dialog</w:t>
      </w:r>
      <w:r>
        <w:t>ue on Business and Human Rights was the lack of</w:t>
      </w:r>
      <w:r w:rsidRPr="00A703A1">
        <w:t xml:space="preserve"> policy coherence across business, civil society and government.</w:t>
      </w:r>
      <w:r w:rsidR="00114197">
        <w:rPr>
          <w:rStyle w:val="EndnoteReference"/>
        </w:rPr>
        <w:endnoteReference w:id="2"/>
      </w:r>
      <w:r>
        <w:t xml:space="preserve"> A National Action Plan</w:t>
      </w:r>
      <w:r w:rsidR="0034192A">
        <w:t xml:space="preserve"> would enable</w:t>
      </w:r>
      <w:r>
        <w:t xml:space="preserve"> a concerted approach to address the human rights issues facing businesses</w:t>
      </w:r>
      <w:r w:rsidR="00430314">
        <w:t xml:space="preserve"> and </w:t>
      </w:r>
      <w:r w:rsidR="003138F8">
        <w:t>promote greater implementation of the UN Guiding Principles on Business and Human Rights.</w:t>
      </w:r>
    </w:p>
    <w:p w14:paraId="6A8A71B7" w14:textId="77777777" w:rsidR="00C95590" w:rsidRPr="004702E7" w:rsidRDefault="00C95590" w:rsidP="00C95590">
      <w:pPr>
        <w:rPr>
          <w:b/>
          <w:color w:val="1F497D" w:themeColor="text2"/>
          <w:sz w:val="28"/>
        </w:rPr>
      </w:pPr>
      <w:r w:rsidRPr="004702E7">
        <w:rPr>
          <w:b/>
          <w:color w:val="1F497D" w:themeColor="text2"/>
          <w:sz w:val="28"/>
        </w:rPr>
        <w:t xml:space="preserve">Recommendation </w:t>
      </w:r>
    </w:p>
    <w:p w14:paraId="5C395797" w14:textId="47ACCB5B" w:rsidR="00C95590" w:rsidRPr="005C6E31" w:rsidRDefault="00C95590" w:rsidP="00C95590">
      <w:pPr>
        <w:rPr>
          <w:b/>
          <w:i/>
          <w:lang w:val="en-NZ"/>
        </w:rPr>
      </w:pPr>
      <w:r w:rsidRPr="005C6E31">
        <w:rPr>
          <w:b/>
          <w:i/>
          <w:lang w:val="en-NZ"/>
        </w:rPr>
        <w:t xml:space="preserve">Government formulate a National Action Plan on Business and Human Rights, in consultation with </w:t>
      </w:r>
      <w:r w:rsidR="00540506">
        <w:rPr>
          <w:b/>
          <w:i/>
          <w:lang w:val="en-NZ"/>
        </w:rPr>
        <w:t>key stakeholders.</w:t>
      </w:r>
    </w:p>
    <w:p w14:paraId="1EE21B17" w14:textId="77777777" w:rsidR="00C95590" w:rsidRPr="004702E7" w:rsidRDefault="00C95590" w:rsidP="00C95590">
      <w:pPr>
        <w:rPr>
          <w:b/>
          <w:color w:val="1F497D" w:themeColor="text2"/>
          <w:sz w:val="28"/>
        </w:rPr>
      </w:pPr>
      <w:r w:rsidRPr="004702E7">
        <w:rPr>
          <w:b/>
          <w:color w:val="1F497D" w:themeColor="text2"/>
          <w:sz w:val="28"/>
        </w:rPr>
        <w:t xml:space="preserve">Key Issue – </w:t>
      </w:r>
      <w:r w:rsidR="00114197" w:rsidRPr="004702E7">
        <w:rPr>
          <w:b/>
          <w:color w:val="1F497D" w:themeColor="text2"/>
          <w:sz w:val="28"/>
        </w:rPr>
        <w:t>Complexity in discrimination law</w:t>
      </w:r>
    </w:p>
    <w:p w14:paraId="63361606" w14:textId="5F5BAAB0" w:rsidR="00C95590" w:rsidRDefault="00C95590" w:rsidP="00C95590">
      <w:r>
        <w:t>S</w:t>
      </w:r>
      <w:r w:rsidRPr="00730162">
        <w:t xml:space="preserve">ignificant technical and operational differences </w:t>
      </w:r>
      <w:r>
        <w:t xml:space="preserve">exist </w:t>
      </w:r>
      <w:r w:rsidRPr="00730162">
        <w:t xml:space="preserve">between laws </w:t>
      </w:r>
      <w:r>
        <w:t xml:space="preserve">around age, race, </w:t>
      </w:r>
      <w:proofErr w:type="gramStart"/>
      <w:r>
        <w:t>sex</w:t>
      </w:r>
      <w:proofErr w:type="gramEnd"/>
      <w:r>
        <w:t xml:space="preserve"> and disability discriminatio</w:t>
      </w:r>
      <w:r w:rsidRPr="00730162">
        <w:t xml:space="preserve">n. </w:t>
      </w:r>
      <w:r>
        <w:t xml:space="preserve">These inconsistencies make it difficult for businesses, </w:t>
      </w:r>
      <w:r w:rsidRPr="002233F0">
        <w:t>particularly small business</w:t>
      </w:r>
      <w:r>
        <w:t>es</w:t>
      </w:r>
      <w:r w:rsidRPr="002233F0">
        <w:t xml:space="preserve">, </w:t>
      </w:r>
      <w:r>
        <w:t>to understand their obligations under</w:t>
      </w:r>
      <w:r w:rsidR="0034192A">
        <w:t xml:space="preserve"> the</w:t>
      </w:r>
      <w:r>
        <w:t xml:space="preserve"> law. The majority of complaints made to the Commission involve businesses in their role as an employer or service provider. There </w:t>
      </w:r>
      <w:r w:rsidR="003C4453">
        <w:t xml:space="preserve">is </w:t>
      </w:r>
      <w:r>
        <w:t>a need f</w:t>
      </w:r>
      <w:r w:rsidRPr="002233F0">
        <w:t>o</w:t>
      </w:r>
      <w:r>
        <w:t>r Government to</w:t>
      </w:r>
      <w:r w:rsidRPr="002233F0">
        <w:t xml:space="preserve"> support business to understand these l</w:t>
      </w:r>
      <w:r>
        <w:t>aws and prevent discrimination.</w:t>
      </w:r>
      <w:r w:rsidR="008369B6">
        <w:rPr>
          <w:rStyle w:val="EndnoteReference"/>
        </w:rPr>
        <w:endnoteReference w:id="3"/>
      </w:r>
      <w:r>
        <w:t xml:space="preserve"> </w:t>
      </w:r>
    </w:p>
    <w:p w14:paraId="21AFAD66" w14:textId="77777777" w:rsidR="004A78F5" w:rsidRDefault="004A78F5" w:rsidP="00C95590">
      <w:pPr>
        <w:rPr>
          <w:b/>
          <w:sz w:val="28"/>
        </w:rPr>
      </w:pPr>
    </w:p>
    <w:p w14:paraId="6B9BE09E" w14:textId="77777777" w:rsidR="004A78F5" w:rsidRDefault="004A78F5" w:rsidP="00C95590">
      <w:pPr>
        <w:rPr>
          <w:b/>
          <w:sz w:val="28"/>
        </w:rPr>
      </w:pPr>
    </w:p>
    <w:p w14:paraId="38B746AD" w14:textId="77777777" w:rsidR="00C95590" w:rsidRPr="004702E7" w:rsidRDefault="00C95590" w:rsidP="00C95590">
      <w:pPr>
        <w:rPr>
          <w:b/>
          <w:color w:val="1F497D" w:themeColor="text2"/>
          <w:sz w:val="28"/>
        </w:rPr>
      </w:pPr>
      <w:r w:rsidRPr="004702E7">
        <w:rPr>
          <w:b/>
          <w:color w:val="1F497D" w:themeColor="text2"/>
          <w:sz w:val="28"/>
        </w:rPr>
        <w:t xml:space="preserve">Recommendation </w:t>
      </w:r>
    </w:p>
    <w:p w14:paraId="6A1F3595" w14:textId="77777777" w:rsidR="00C95590" w:rsidRDefault="00C95590" w:rsidP="00C95590">
      <w:r w:rsidRPr="002233F0">
        <w:rPr>
          <w:b/>
          <w:i/>
          <w:lang w:val="en-NZ"/>
        </w:rPr>
        <w:t>Government consider options to reduce complexity and improve consistency of discrimination protections across Australia, to clarify businesses’ obligations and support best practice.</w:t>
      </w:r>
    </w:p>
    <w:p w14:paraId="4A57940F" w14:textId="77777777" w:rsidR="00732CE4" w:rsidRPr="00C95590" w:rsidRDefault="00732CE4" w:rsidP="00C95590"/>
    <w:sectPr w:rsidR="00732CE4" w:rsidRPr="00C95590" w:rsidSect="00C76D13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 w:code="9"/>
      <w:pgMar w:top="851" w:right="1418" w:bottom="1531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78E36" w14:textId="77777777" w:rsidR="00732CE4" w:rsidRDefault="00732CE4" w:rsidP="00F14C6D">
      <w:r>
        <w:separator/>
      </w:r>
    </w:p>
  </w:endnote>
  <w:endnote w:type="continuationSeparator" w:id="0">
    <w:p w14:paraId="56FF27F7" w14:textId="77777777" w:rsidR="00732CE4" w:rsidRDefault="00732CE4" w:rsidP="00F14C6D">
      <w:r>
        <w:continuationSeparator/>
      </w:r>
    </w:p>
  </w:endnote>
  <w:endnote w:id="1">
    <w:p w14:paraId="6727375F" w14:textId="77777777" w:rsidR="005B7F7D" w:rsidRDefault="005B7F7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14197">
        <w:t xml:space="preserve">GCNA, </w:t>
      </w:r>
      <w:r w:rsidR="00114197" w:rsidRPr="00114197">
        <w:rPr>
          <w:i/>
        </w:rPr>
        <w:t>Global Compact Network Australia</w:t>
      </w:r>
      <w:r w:rsidR="00114197">
        <w:t xml:space="preserve">. At </w:t>
      </w:r>
      <w:hyperlink r:id="rId1" w:history="1">
        <w:r w:rsidR="00114197" w:rsidRPr="001D6E39">
          <w:rPr>
            <w:rStyle w:val="Hyperlink"/>
          </w:rPr>
          <w:t>http://www.unglobalcompact.org.au/about-us/global-compact-network-australia/</w:t>
        </w:r>
      </w:hyperlink>
      <w:r w:rsidR="00114197">
        <w:t xml:space="preserve"> (viewed 22 June 2015)</w:t>
      </w:r>
    </w:p>
  </w:endnote>
  <w:endnote w:id="2">
    <w:p w14:paraId="66841791" w14:textId="77777777" w:rsidR="00114197" w:rsidRDefault="00114197" w:rsidP="0011419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C6CF4">
        <w:t xml:space="preserve">GCNA &amp; Australian Human Rights Commission, </w:t>
      </w:r>
      <w:r w:rsidR="004C6CF4" w:rsidRPr="004C6CF4">
        <w:rPr>
          <w:i/>
        </w:rPr>
        <w:t>Australian Dialogue on Business and human Rights – Summary and Outcomes Document</w:t>
      </w:r>
      <w:r w:rsidR="004C6CF4">
        <w:t xml:space="preserve">, p 9. At </w:t>
      </w:r>
      <w:hyperlink r:id="rId2" w:history="1">
        <w:r w:rsidR="004C6CF4" w:rsidRPr="001D6E39">
          <w:rPr>
            <w:rStyle w:val="Hyperlink"/>
          </w:rPr>
          <w:t>https://www.humanrights.gov.au/sites/default/files/2014DialogueSummary.pdf</w:t>
        </w:r>
      </w:hyperlink>
      <w:r w:rsidR="004C6CF4">
        <w:t xml:space="preserve"> (viewed 22 June 2015)</w:t>
      </w:r>
    </w:p>
  </w:endnote>
  <w:endnote w:id="3">
    <w:p w14:paraId="748910A1" w14:textId="77777777" w:rsidR="008369B6" w:rsidRDefault="008369B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D6685">
        <w:t xml:space="preserve">Australian Human Rights Commission, </w:t>
      </w:r>
      <w:r w:rsidR="004D6685" w:rsidRPr="004D6685">
        <w:rPr>
          <w:i/>
        </w:rPr>
        <w:t>Annual Report 2013-14</w:t>
      </w:r>
      <w:r w:rsidR="004D6685">
        <w:t xml:space="preserve">, p 132. At </w:t>
      </w:r>
      <w:hyperlink r:id="rId3" w:history="1">
        <w:r w:rsidR="004D6685" w:rsidRPr="001D6E39">
          <w:rPr>
            <w:rStyle w:val="Hyperlink"/>
          </w:rPr>
          <w:t>https://www.humanrights.gov.au/our-work/commission-general/publications/annual-report-2013-14</w:t>
        </w:r>
      </w:hyperlink>
      <w:r w:rsidR="004D6685">
        <w:t xml:space="preserve"> (viewed 22 June 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C4AB2" w14:textId="77777777" w:rsidR="008D6140" w:rsidRPr="0090165F" w:rsidRDefault="008D6140" w:rsidP="00162A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C1ED1" w14:textId="77777777" w:rsidR="00732CE4" w:rsidRDefault="00732CE4" w:rsidP="00F14C6D">
      <w:r>
        <w:separator/>
      </w:r>
    </w:p>
  </w:footnote>
  <w:footnote w:type="continuationSeparator" w:id="0">
    <w:p w14:paraId="3C7DEAFF" w14:textId="77777777" w:rsidR="00732CE4" w:rsidRDefault="00732CE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E237" w14:textId="77777777" w:rsidR="008D6140" w:rsidRDefault="008D61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Layout w:type="fixed"/>
      <w:tblLook w:val="00A0" w:firstRow="1" w:lastRow="0" w:firstColumn="1" w:lastColumn="0" w:noHBand="0" w:noVBand="0"/>
    </w:tblPr>
    <w:tblGrid>
      <w:gridCol w:w="3936"/>
      <w:gridCol w:w="1876"/>
      <w:gridCol w:w="3114"/>
    </w:tblGrid>
    <w:tr w:rsidR="00444413" w:rsidRPr="008D1634" w14:paraId="1CF24A49" w14:textId="77777777" w:rsidTr="00444413">
      <w:trPr>
        <w:trHeight w:val="1603"/>
      </w:trPr>
      <w:tc>
        <w:tcPr>
          <w:tcW w:w="3936" w:type="dxa"/>
        </w:tcPr>
        <w:p w14:paraId="7EE8F397" w14:textId="77777777" w:rsidR="00444413" w:rsidRPr="008D1634" w:rsidRDefault="00444413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anchor distT="0" distB="0" distL="114300" distR="114300" simplePos="0" relativeHeight="251658240" behindDoc="0" locked="0" layoutInCell="1" allowOverlap="1" wp14:anchorId="20F03C63" wp14:editId="27AA2BF4">
                <wp:simplePos x="0" y="0"/>
                <wp:positionH relativeFrom="column">
                  <wp:posOffset>-68580</wp:posOffset>
                </wp:positionH>
                <wp:positionV relativeFrom="page">
                  <wp:posOffset>577850</wp:posOffset>
                </wp:positionV>
                <wp:extent cx="2362200" cy="809625"/>
                <wp:effectExtent l="0" t="0" r="0" b="9525"/>
                <wp:wrapSquare wrapText="bothSides"/>
                <wp:docPr id="1" name="Picture 1" descr="AHRC-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RC-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76" w:type="dxa"/>
          <w:vAlign w:val="center"/>
        </w:tcPr>
        <w:p w14:paraId="49D5F58B" w14:textId="77777777" w:rsidR="00444413" w:rsidRPr="008D1634" w:rsidRDefault="00444413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3114" w:type="dxa"/>
        </w:tcPr>
        <w:p w14:paraId="4C77E85F" w14:textId="77777777" w:rsidR="00F753AA" w:rsidRDefault="0063246D" w:rsidP="0063246D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br/>
          </w:r>
        </w:p>
        <w:p w14:paraId="3039C1EB" w14:textId="2F1A59B5" w:rsidR="00444413" w:rsidRPr="003F717E" w:rsidRDefault="00444413" w:rsidP="0063246D">
          <w:pPr>
            <w:pStyle w:val="Header"/>
            <w:jc w:val="right"/>
            <w:rPr>
              <w:sz w:val="20"/>
            </w:rPr>
          </w:pPr>
          <w:r w:rsidRPr="00732CE4">
            <w:rPr>
              <w:sz w:val="20"/>
            </w:rPr>
            <w:t>Universal Periodic Review</w:t>
          </w:r>
          <w:r>
            <w:rPr>
              <w:b/>
              <w:sz w:val="20"/>
            </w:rPr>
            <w:t xml:space="preserve"> </w:t>
          </w:r>
        </w:p>
        <w:p w14:paraId="32D127D8" w14:textId="77777777" w:rsidR="00444413" w:rsidRPr="008D1634" w:rsidRDefault="00444413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14:paraId="16188A92" w14:textId="77777777" w:rsidR="008D6140" w:rsidRPr="00444413" w:rsidRDefault="008D614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2E89"/>
    <w:multiLevelType w:val="hybridMultilevel"/>
    <w:tmpl w:val="DEC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5"/>
  </w:num>
  <w:num w:numId="23">
    <w:abstractNumId w:val="26"/>
  </w:num>
  <w:num w:numId="24">
    <w:abstractNumId w:val="27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D"/>
    <w:rsid w:val="00000871"/>
    <w:rsid w:val="00041650"/>
    <w:rsid w:val="000579B1"/>
    <w:rsid w:val="000B0A5D"/>
    <w:rsid w:val="000B53EE"/>
    <w:rsid w:val="000E38FA"/>
    <w:rsid w:val="00114197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2E13B4"/>
    <w:rsid w:val="00310ED4"/>
    <w:rsid w:val="003138F8"/>
    <w:rsid w:val="0031492A"/>
    <w:rsid w:val="00316C1A"/>
    <w:rsid w:val="00331013"/>
    <w:rsid w:val="003341CA"/>
    <w:rsid w:val="0034192A"/>
    <w:rsid w:val="003731B3"/>
    <w:rsid w:val="003A212E"/>
    <w:rsid w:val="003C3D19"/>
    <w:rsid w:val="003C4453"/>
    <w:rsid w:val="00430314"/>
    <w:rsid w:val="00436828"/>
    <w:rsid w:val="00444413"/>
    <w:rsid w:val="0044690C"/>
    <w:rsid w:val="004510B9"/>
    <w:rsid w:val="004702E7"/>
    <w:rsid w:val="00471E40"/>
    <w:rsid w:val="00474063"/>
    <w:rsid w:val="004A78F5"/>
    <w:rsid w:val="004B3F64"/>
    <w:rsid w:val="004C6CF4"/>
    <w:rsid w:val="004D6685"/>
    <w:rsid w:val="004D6BC5"/>
    <w:rsid w:val="005024B5"/>
    <w:rsid w:val="00513540"/>
    <w:rsid w:val="00540506"/>
    <w:rsid w:val="0057396F"/>
    <w:rsid w:val="005747B5"/>
    <w:rsid w:val="005B50D7"/>
    <w:rsid w:val="005B7F7D"/>
    <w:rsid w:val="005D1F34"/>
    <w:rsid w:val="005F36BE"/>
    <w:rsid w:val="005F4789"/>
    <w:rsid w:val="005F7015"/>
    <w:rsid w:val="0061324D"/>
    <w:rsid w:val="0063246D"/>
    <w:rsid w:val="006A6BB3"/>
    <w:rsid w:val="006B2544"/>
    <w:rsid w:val="006C6741"/>
    <w:rsid w:val="006D5EE5"/>
    <w:rsid w:val="00732CE4"/>
    <w:rsid w:val="00740E26"/>
    <w:rsid w:val="007606CC"/>
    <w:rsid w:val="00770DCB"/>
    <w:rsid w:val="00775485"/>
    <w:rsid w:val="008369B6"/>
    <w:rsid w:val="008724DE"/>
    <w:rsid w:val="008B3662"/>
    <w:rsid w:val="008B4C13"/>
    <w:rsid w:val="008D6140"/>
    <w:rsid w:val="008E3D60"/>
    <w:rsid w:val="008E675D"/>
    <w:rsid w:val="0090165F"/>
    <w:rsid w:val="00944ABD"/>
    <w:rsid w:val="00966C2F"/>
    <w:rsid w:val="009C678D"/>
    <w:rsid w:val="00A033C4"/>
    <w:rsid w:val="00A0406E"/>
    <w:rsid w:val="00A32F15"/>
    <w:rsid w:val="00A41355"/>
    <w:rsid w:val="00A43B92"/>
    <w:rsid w:val="00A6179E"/>
    <w:rsid w:val="00A9225B"/>
    <w:rsid w:val="00AB209B"/>
    <w:rsid w:val="00B0666A"/>
    <w:rsid w:val="00B10447"/>
    <w:rsid w:val="00B15F40"/>
    <w:rsid w:val="00B277E0"/>
    <w:rsid w:val="00B53A65"/>
    <w:rsid w:val="00BA262D"/>
    <w:rsid w:val="00BD400C"/>
    <w:rsid w:val="00BF1C1B"/>
    <w:rsid w:val="00C00DC8"/>
    <w:rsid w:val="00C25BDA"/>
    <w:rsid w:val="00C71D32"/>
    <w:rsid w:val="00C76D13"/>
    <w:rsid w:val="00C87F1C"/>
    <w:rsid w:val="00C95590"/>
    <w:rsid w:val="00CA0D78"/>
    <w:rsid w:val="00CA57AE"/>
    <w:rsid w:val="00D1390E"/>
    <w:rsid w:val="00D41C6C"/>
    <w:rsid w:val="00D41D47"/>
    <w:rsid w:val="00D51239"/>
    <w:rsid w:val="00D65207"/>
    <w:rsid w:val="00D65C76"/>
    <w:rsid w:val="00D65C9F"/>
    <w:rsid w:val="00DA2F73"/>
    <w:rsid w:val="00DC462F"/>
    <w:rsid w:val="00DE047A"/>
    <w:rsid w:val="00DF3E39"/>
    <w:rsid w:val="00E14A38"/>
    <w:rsid w:val="00E24FA3"/>
    <w:rsid w:val="00E36B41"/>
    <w:rsid w:val="00E45954"/>
    <w:rsid w:val="00EE50BC"/>
    <w:rsid w:val="00F14C6D"/>
    <w:rsid w:val="00F36763"/>
    <w:rsid w:val="00F56BDB"/>
    <w:rsid w:val="00F753AA"/>
    <w:rsid w:val="00FA6159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38782CD"/>
  <w15:docId w15:val="{D13DB83A-6B87-4D19-AEEC-4A2062F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9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ListParagraph">
    <w:name w:val="List Paragraph"/>
    <w:basedOn w:val="Normal"/>
    <w:uiPriority w:val="34"/>
    <w:qFormat/>
    <w:rsid w:val="00732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341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4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9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4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92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3419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manrights.gov.au/our-work/commission-general/publications/annual-report-2013-14" TargetMode="External"/><Relationship Id="rId2" Type="http://schemas.openxmlformats.org/officeDocument/2006/relationships/hyperlink" Target="https://www.humanrights.gov.au/sites/default/files/2014DialogueSummary.pdf" TargetMode="External"/><Relationship Id="rId1" Type="http://schemas.openxmlformats.org/officeDocument/2006/relationships/hyperlink" Target="http://www.unglobalcompact.org.au/about-us/global-compact-network-australi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71</TotalTime>
  <Pages>2</Pages>
  <Words>357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Akhil Abraham</dc:creator>
  <cp:lastModifiedBy>Helen Potts</cp:lastModifiedBy>
  <cp:revision>19</cp:revision>
  <cp:lastPrinted>2015-06-26T00:19:00Z</cp:lastPrinted>
  <dcterms:created xsi:type="dcterms:W3CDTF">2015-06-16T02:27:00Z</dcterms:created>
  <dcterms:modified xsi:type="dcterms:W3CDTF">2015-06-26T01:02:00Z</dcterms:modified>
</cp:coreProperties>
</file>