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4EA" w:rsidRPr="009A68B3" w:rsidRDefault="00D43024" w:rsidP="000364EA">
      <w:pPr>
        <w:pStyle w:val="Title"/>
        <w:rPr>
          <w:sz w:val="36"/>
          <w:szCs w:val="36"/>
        </w:rPr>
      </w:pPr>
      <w:r w:rsidRPr="009A68B3">
        <w:rPr>
          <w:color w:val="365F91" w:themeColor="accent1" w:themeShade="BF"/>
          <w:sz w:val="36"/>
          <w:szCs w:val="36"/>
        </w:rPr>
        <w:t xml:space="preserve">Factsheet: </w:t>
      </w:r>
      <w:r w:rsidR="000364EA" w:rsidRPr="009A68B3">
        <w:rPr>
          <w:color w:val="365F91" w:themeColor="accent1" w:themeShade="BF"/>
          <w:sz w:val="36"/>
          <w:szCs w:val="36"/>
        </w:rPr>
        <w:t>Equality of women</w:t>
      </w:r>
    </w:p>
    <w:p w:rsidR="000364EA" w:rsidRPr="009A68B3" w:rsidRDefault="000364EA" w:rsidP="000364EA">
      <w:pPr>
        <w:rPr>
          <w:b/>
          <w:color w:val="365F91" w:themeColor="accent1" w:themeShade="BF"/>
          <w:sz w:val="28"/>
        </w:rPr>
      </w:pPr>
      <w:r w:rsidRPr="009A68B3">
        <w:rPr>
          <w:b/>
          <w:color w:val="365F91" w:themeColor="accent1" w:themeShade="BF"/>
          <w:sz w:val="28"/>
        </w:rPr>
        <w:t>Background Information</w:t>
      </w:r>
    </w:p>
    <w:p w:rsidR="004D46DC" w:rsidRDefault="007D4194" w:rsidP="000364EA">
      <w:pPr>
        <w:rPr>
          <w:lang w:val="en-NZ"/>
        </w:rPr>
      </w:pPr>
      <w:r>
        <w:rPr>
          <w:lang w:val="en-NZ"/>
        </w:rPr>
        <w:t xml:space="preserve">Australia has legislation that </w:t>
      </w:r>
      <w:r w:rsidRPr="007D4194">
        <w:rPr>
          <w:lang w:val="en-NZ"/>
        </w:rPr>
        <w:t xml:space="preserve">protects </w:t>
      </w:r>
      <w:r w:rsidR="00A27C25">
        <w:rPr>
          <w:lang w:val="en-NZ"/>
        </w:rPr>
        <w:t>women</w:t>
      </w:r>
      <w:r w:rsidRPr="007D4194">
        <w:rPr>
          <w:lang w:val="en-NZ"/>
        </w:rPr>
        <w:t xml:space="preserve"> from unfair treatment on the basis of </w:t>
      </w:r>
      <w:r w:rsidR="00D73CDE">
        <w:rPr>
          <w:lang w:val="en-NZ"/>
        </w:rPr>
        <w:t xml:space="preserve">their </w:t>
      </w:r>
      <w:r w:rsidRPr="007D4194">
        <w:rPr>
          <w:lang w:val="en-NZ"/>
        </w:rPr>
        <w:t>sex, marital or relationship status, pregnancy</w:t>
      </w:r>
      <w:r w:rsidR="000237C0">
        <w:rPr>
          <w:lang w:val="en-NZ"/>
        </w:rPr>
        <w:t>, family responsibilities</w:t>
      </w:r>
      <w:r w:rsidRPr="007D4194">
        <w:rPr>
          <w:lang w:val="en-NZ"/>
        </w:rPr>
        <w:t xml:space="preserve"> and breastfeeding. It also </w:t>
      </w:r>
      <w:r w:rsidR="000237C0">
        <w:rPr>
          <w:lang w:val="en-NZ"/>
        </w:rPr>
        <w:t xml:space="preserve">makes </w:t>
      </w:r>
      <w:r w:rsidRPr="007D4194">
        <w:rPr>
          <w:lang w:val="en-NZ"/>
        </w:rPr>
        <w:t>sexual harassment against the law.</w:t>
      </w:r>
      <w:r w:rsidR="004D46DC">
        <w:rPr>
          <w:lang w:val="en-NZ"/>
        </w:rPr>
        <w:t xml:space="preserve"> </w:t>
      </w:r>
      <w:r w:rsidR="00094355">
        <w:rPr>
          <w:lang w:val="en-NZ"/>
        </w:rPr>
        <w:t>Despite the legal framework, significant issues still exist around workplace equality</w:t>
      </w:r>
      <w:r w:rsidR="00036FC7">
        <w:rPr>
          <w:lang w:val="en-NZ"/>
        </w:rPr>
        <w:t xml:space="preserve">, </w:t>
      </w:r>
      <w:r w:rsidR="00A27C25">
        <w:rPr>
          <w:lang w:val="en-NZ"/>
        </w:rPr>
        <w:t xml:space="preserve">family and caring responsibilities, and </w:t>
      </w:r>
      <w:r w:rsidR="00036FC7">
        <w:rPr>
          <w:lang w:val="en-NZ"/>
        </w:rPr>
        <w:t>violence</w:t>
      </w:r>
      <w:r w:rsidR="00094355">
        <w:rPr>
          <w:lang w:val="en-NZ"/>
        </w:rPr>
        <w:t xml:space="preserve">. </w:t>
      </w:r>
    </w:p>
    <w:p w:rsidR="000364EA" w:rsidRPr="009A68B3" w:rsidRDefault="000364EA" w:rsidP="000364EA">
      <w:pPr>
        <w:rPr>
          <w:b/>
          <w:color w:val="365F91" w:themeColor="accent1" w:themeShade="BF"/>
          <w:sz w:val="28"/>
        </w:rPr>
      </w:pPr>
      <w:r w:rsidRPr="009A68B3">
        <w:rPr>
          <w:b/>
          <w:color w:val="365F91" w:themeColor="accent1" w:themeShade="BF"/>
          <w:sz w:val="28"/>
        </w:rPr>
        <w:t xml:space="preserve">Key Issue – Women </w:t>
      </w:r>
      <w:r w:rsidR="002D2462" w:rsidRPr="009A68B3">
        <w:rPr>
          <w:b/>
          <w:color w:val="365F91" w:themeColor="accent1" w:themeShade="BF"/>
          <w:sz w:val="28"/>
        </w:rPr>
        <w:t>and work</w:t>
      </w:r>
    </w:p>
    <w:p w:rsidR="0076047F" w:rsidRDefault="009A68B3" w:rsidP="000364EA">
      <w:pPr>
        <w:rPr>
          <w:rFonts w:cs="Arial"/>
          <w:color w:val="000000"/>
          <w:lang w:val="en"/>
        </w:rPr>
      </w:pPr>
      <w:r>
        <w:rPr>
          <w:lang w:val="en-NZ"/>
        </w:rPr>
        <w:t xml:space="preserve">Positive actions regarding women in the workplace include the </w:t>
      </w:r>
      <w:r w:rsidR="00187C9D">
        <w:rPr>
          <w:lang w:val="en-NZ"/>
        </w:rPr>
        <w:t>increase in the number of women on boards</w:t>
      </w:r>
      <w:r>
        <w:rPr>
          <w:lang w:val="en-NZ"/>
        </w:rPr>
        <w:t>,</w:t>
      </w:r>
      <w:r w:rsidR="00187C9D">
        <w:rPr>
          <w:rStyle w:val="EndnoteReference"/>
          <w:lang w:val="en-NZ"/>
        </w:rPr>
        <w:endnoteReference w:id="1"/>
      </w:r>
      <w:r>
        <w:rPr>
          <w:lang w:val="en-NZ"/>
        </w:rPr>
        <w:t xml:space="preserve"> and the enactment of the </w:t>
      </w:r>
      <w:r w:rsidR="00E62CDA">
        <w:rPr>
          <w:i/>
          <w:lang w:val="en-NZ"/>
        </w:rPr>
        <w:t xml:space="preserve">Workplace Gender Equality Act </w:t>
      </w:r>
      <w:r w:rsidR="007650F4">
        <w:rPr>
          <w:i/>
          <w:lang w:val="en-NZ"/>
        </w:rPr>
        <w:t>2012</w:t>
      </w:r>
      <w:r w:rsidR="00E62CDA">
        <w:rPr>
          <w:i/>
          <w:lang w:val="en-NZ"/>
        </w:rPr>
        <w:t xml:space="preserve"> </w:t>
      </w:r>
      <w:r w:rsidR="00E62CDA">
        <w:rPr>
          <w:lang w:val="en-NZ"/>
        </w:rPr>
        <w:t>(Cth)</w:t>
      </w:r>
      <w:r>
        <w:rPr>
          <w:lang w:val="en-NZ"/>
        </w:rPr>
        <w:t>. The Act</w:t>
      </w:r>
      <w:r w:rsidR="004967F0">
        <w:rPr>
          <w:lang w:val="en-NZ"/>
        </w:rPr>
        <w:t xml:space="preserve"> </w:t>
      </w:r>
      <w:r w:rsidR="00E62CDA">
        <w:rPr>
          <w:lang w:val="en-NZ"/>
        </w:rPr>
        <w:t>requires the provision of benchmark data using a reporting framework. The most recent benchmark data identified the under-representation of women in management positions with women comprising only 26.1% of management positions and 17.3% of Ch</w:t>
      </w:r>
      <w:r w:rsidR="0076047F">
        <w:rPr>
          <w:lang w:val="en-NZ"/>
        </w:rPr>
        <w:t xml:space="preserve">ief Executive Officer </w:t>
      </w:r>
      <w:proofErr w:type="gramStart"/>
      <w:r w:rsidR="0076047F">
        <w:rPr>
          <w:lang w:val="en-NZ"/>
        </w:rPr>
        <w:t>positions</w:t>
      </w:r>
      <w:proofErr w:type="gramEnd"/>
      <w:r w:rsidR="0076047F">
        <w:rPr>
          <w:lang w:val="en-NZ"/>
        </w:rPr>
        <w:t>.</w:t>
      </w:r>
      <w:r w:rsidR="00E62CDA">
        <w:rPr>
          <w:rStyle w:val="EndnoteReference"/>
          <w:lang w:val="en-NZ"/>
        </w:rPr>
        <w:endnoteReference w:id="2"/>
      </w:r>
      <w:r w:rsidR="00E62CDA">
        <w:rPr>
          <w:lang w:val="en-NZ"/>
        </w:rPr>
        <w:t xml:space="preserve">  </w:t>
      </w:r>
      <w:r w:rsidR="000364EA" w:rsidRPr="00E62CDA">
        <w:rPr>
          <w:lang w:val="en-NZ"/>
        </w:rPr>
        <w:t>As</w:t>
      </w:r>
      <w:r w:rsidR="000364EA">
        <w:rPr>
          <w:lang w:val="en-NZ"/>
        </w:rPr>
        <w:t xml:space="preserve"> of November 2014, t</w:t>
      </w:r>
      <w:r w:rsidR="000364EA" w:rsidRPr="00F32B1B">
        <w:rPr>
          <w:lang w:val="en-NZ"/>
        </w:rPr>
        <w:t xml:space="preserve">he </w:t>
      </w:r>
      <w:r w:rsidR="000364EA">
        <w:rPr>
          <w:lang w:val="en-NZ"/>
        </w:rPr>
        <w:t xml:space="preserve">national </w:t>
      </w:r>
      <w:r w:rsidR="000364EA" w:rsidRPr="00F32B1B">
        <w:rPr>
          <w:lang w:val="en-NZ"/>
        </w:rPr>
        <w:t>gender pay gap ha</w:t>
      </w:r>
      <w:r>
        <w:rPr>
          <w:lang w:val="en-NZ"/>
        </w:rPr>
        <w:t>d</w:t>
      </w:r>
      <w:r w:rsidR="000364EA" w:rsidRPr="00F32B1B">
        <w:rPr>
          <w:lang w:val="en-NZ"/>
        </w:rPr>
        <w:t xml:space="preserve"> widened</w:t>
      </w:r>
      <w:r w:rsidR="000364EA">
        <w:rPr>
          <w:lang w:val="en-NZ"/>
        </w:rPr>
        <w:t xml:space="preserve"> to </w:t>
      </w:r>
      <w:r w:rsidR="000364EA" w:rsidRPr="00840E6D">
        <w:rPr>
          <w:rFonts w:cs="Arial"/>
          <w:color w:val="000000"/>
          <w:lang w:val="en"/>
        </w:rPr>
        <w:t>18.8%</w:t>
      </w:r>
      <w:r w:rsidR="000364EA">
        <w:rPr>
          <w:rFonts w:cs="Arial"/>
          <w:color w:val="000000"/>
          <w:lang w:val="en"/>
        </w:rPr>
        <w:t xml:space="preserve"> with men on average earning $298 more than women per week.</w:t>
      </w:r>
      <w:r w:rsidR="007650F4">
        <w:rPr>
          <w:rStyle w:val="EndnoteReference"/>
          <w:rFonts w:cs="Arial"/>
          <w:color w:val="000000"/>
          <w:lang w:val="en"/>
        </w:rPr>
        <w:endnoteReference w:id="3"/>
      </w:r>
      <w:r w:rsidR="000364EA">
        <w:rPr>
          <w:rFonts w:cs="Arial"/>
          <w:color w:val="000000"/>
          <w:lang w:val="en"/>
        </w:rPr>
        <w:t xml:space="preserve"> </w:t>
      </w:r>
    </w:p>
    <w:p w:rsidR="002D2462" w:rsidRDefault="000364EA" w:rsidP="002D2462">
      <w:r>
        <w:rPr>
          <w:rFonts w:cs="Arial"/>
          <w:color w:val="000000"/>
          <w:lang w:val="en"/>
        </w:rPr>
        <w:t xml:space="preserve">Women </w:t>
      </w:r>
      <w:r w:rsidRPr="00F32B1B">
        <w:rPr>
          <w:lang w:val="en-NZ"/>
        </w:rPr>
        <w:t>in Australia continue to do the majority of unpaid caring and domestic work</w:t>
      </w:r>
      <w:r w:rsidR="004967F0">
        <w:rPr>
          <w:lang w:val="en-NZ"/>
        </w:rPr>
        <w:t>,</w:t>
      </w:r>
      <w:r w:rsidR="004967F0">
        <w:rPr>
          <w:rStyle w:val="EndnoteReference"/>
          <w:lang w:val="en-NZ"/>
        </w:rPr>
        <w:endnoteReference w:id="4"/>
      </w:r>
      <w:r w:rsidRPr="00F32B1B">
        <w:rPr>
          <w:lang w:val="en-NZ"/>
        </w:rPr>
        <w:t xml:space="preserve"> and </w:t>
      </w:r>
      <w:r>
        <w:rPr>
          <w:lang w:val="en-NZ"/>
        </w:rPr>
        <w:t xml:space="preserve">are more likely to </w:t>
      </w:r>
      <w:r w:rsidRPr="00F32B1B">
        <w:rPr>
          <w:lang w:val="en-NZ"/>
        </w:rPr>
        <w:t>experience discrimination in the workplace, including on the basis of pregnancy, parental leave and return to work.</w:t>
      </w:r>
      <w:r w:rsidR="00153236">
        <w:rPr>
          <w:lang w:val="en-NZ"/>
        </w:rPr>
        <w:t xml:space="preserve"> </w:t>
      </w:r>
      <w:r w:rsidR="002D2462">
        <w:t xml:space="preserve">The Commission has previously noted the need for outstanding recommendations from the 2008 Senate Inquiry into the effectiveness of the </w:t>
      </w:r>
      <w:r w:rsidR="002D2462">
        <w:rPr>
          <w:i/>
        </w:rPr>
        <w:t xml:space="preserve">Sex Discrimination Act 1984 </w:t>
      </w:r>
      <w:r w:rsidR="002D2462">
        <w:t>(Cth)</w:t>
      </w:r>
      <w:r w:rsidR="002D2462" w:rsidRPr="002233F0">
        <w:t>.</w:t>
      </w:r>
      <w:r w:rsidR="002D2462">
        <w:rPr>
          <w:rStyle w:val="EndnoteReference"/>
        </w:rPr>
        <w:endnoteReference w:id="5"/>
      </w:r>
      <w:r w:rsidR="002D2462">
        <w:t xml:space="preserve"> Implementation of the outstanding recommendations would</w:t>
      </w:r>
      <w:r w:rsidR="004967F0">
        <w:t xml:space="preserve"> assist in addressing pregnancy and </w:t>
      </w:r>
      <w:r w:rsidR="002D2462">
        <w:t>return to work discrimination.</w:t>
      </w:r>
    </w:p>
    <w:p w:rsidR="00A27C25" w:rsidRDefault="00A27C25" w:rsidP="002D2462">
      <w:r>
        <w:t>Each of these factors contribute to a significant gap in women’s retirement savings.</w:t>
      </w:r>
    </w:p>
    <w:p w:rsidR="000364EA" w:rsidRPr="005B50F7" w:rsidRDefault="000364EA" w:rsidP="000364EA">
      <w:pPr>
        <w:rPr>
          <w:b/>
          <w:sz w:val="28"/>
        </w:rPr>
      </w:pPr>
      <w:r w:rsidRPr="009A68B3">
        <w:rPr>
          <w:b/>
          <w:color w:val="365F91" w:themeColor="accent1" w:themeShade="BF"/>
          <w:sz w:val="28"/>
        </w:rPr>
        <w:t>Recommendation</w:t>
      </w:r>
      <w:r w:rsidRPr="005B50F7">
        <w:rPr>
          <w:b/>
          <w:sz w:val="28"/>
        </w:rPr>
        <w:t xml:space="preserve"> </w:t>
      </w:r>
    </w:p>
    <w:p w:rsidR="000364EA" w:rsidRPr="0044714C" w:rsidRDefault="000364EA" w:rsidP="000364EA">
      <w:pPr>
        <w:rPr>
          <w:b/>
          <w:i/>
          <w:lang w:val="en-NZ"/>
        </w:rPr>
      </w:pPr>
      <w:r w:rsidRPr="0044714C">
        <w:rPr>
          <w:b/>
          <w:i/>
          <w:lang w:val="en-NZ"/>
        </w:rPr>
        <w:t>Government implement measures to close the gender pay gap, strengthen the representation of women in leadership and managerial roles, value and recognise unpaid caring work, and address the gap in retirement savings to assure women economic security in later life.</w:t>
      </w:r>
    </w:p>
    <w:p w:rsidR="000364EA" w:rsidRPr="005B50F7" w:rsidRDefault="000364EA" w:rsidP="000364EA">
      <w:pPr>
        <w:rPr>
          <w:b/>
          <w:sz w:val="28"/>
        </w:rPr>
      </w:pPr>
      <w:r w:rsidRPr="009A68B3">
        <w:rPr>
          <w:b/>
          <w:color w:val="365F91" w:themeColor="accent1" w:themeShade="BF"/>
          <w:sz w:val="28"/>
        </w:rPr>
        <w:t>Recommendation</w:t>
      </w:r>
      <w:r w:rsidRPr="005B50F7">
        <w:rPr>
          <w:b/>
          <w:sz w:val="28"/>
        </w:rPr>
        <w:t xml:space="preserve"> </w:t>
      </w:r>
    </w:p>
    <w:p w:rsidR="000364EA" w:rsidRPr="0044714C" w:rsidRDefault="000364EA" w:rsidP="000364EA">
      <w:pPr>
        <w:rPr>
          <w:i/>
        </w:rPr>
      </w:pPr>
      <w:r w:rsidRPr="0044714C">
        <w:rPr>
          <w:b/>
          <w:i/>
          <w:lang w:val="en-NZ"/>
        </w:rPr>
        <w:t xml:space="preserve">Government </w:t>
      </w:r>
      <w:r w:rsidRPr="0044714C">
        <w:rPr>
          <w:b/>
          <w:i/>
        </w:rPr>
        <w:t>amend the Sex Discrimination Act 1984 (Cth) to improve its effectiveness.</w:t>
      </w:r>
    </w:p>
    <w:p w:rsidR="00947C5B" w:rsidRDefault="00947C5B" w:rsidP="000364EA">
      <w:pPr>
        <w:rPr>
          <w:b/>
          <w:sz w:val="28"/>
        </w:rPr>
      </w:pPr>
    </w:p>
    <w:p w:rsidR="00947C5B" w:rsidRDefault="00947C5B" w:rsidP="000364EA">
      <w:pPr>
        <w:rPr>
          <w:b/>
          <w:sz w:val="28"/>
        </w:rPr>
      </w:pPr>
    </w:p>
    <w:p w:rsidR="000364EA" w:rsidRPr="009A68B3" w:rsidRDefault="000364EA" w:rsidP="000364EA">
      <w:pPr>
        <w:rPr>
          <w:b/>
          <w:color w:val="365F91" w:themeColor="accent1" w:themeShade="BF"/>
          <w:sz w:val="28"/>
        </w:rPr>
      </w:pPr>
      <w:r w:rsidRPr="009A68B3">
        <w:rPr>
          <w:b/>
          <w:color w:val="365F91" w:themeColor="accent1" w:themeShade="BF"/>
          <w:sz w:val="28"/>
        </w:rPr>
        <w:t xml:space="preserve">Key Issue – </w:t>
      </w:r>
      <w:r w:rsidR="002D2462" w:rsidRPr="009A68B3">
        <w:rPr>
          <w:b/>
          <w:color w:val="365F91" w:themeColor="accent1" w:themeShade="BF"/>
          <w:sz w:val="28"/>
        </w:rPr>
        <w:t>Violence against women</w:t>
      </w:r>
    </w:p>
    <w:p w:rsidR="00947C5B" w:rsidRDefault="00947C5B" w:rsidP="002D2462">
      <w:pPr>
        <w:rPr>
          <w:rFonts w:eastAsia="MS Mincho" w:cs="Arial"/>
          <w:lang w:val="en-US" w:eastAsia="en-US"/>
        </w:rPr>
      </w:pPr>
      <w:r>
        <w:rPr>
          <w:lang w:val="en-NZ"/>
        </w:rPr>
        <w:t xml:space="preserve">Violence against women remains a critical and endemic issue in Australia. Statistics suggest that </w:t>
      </w:r>
      <w:r w:rsidR="002D2462" w:rsidRPr="004967F0">
        <w:rPr>
          <w:lang w:val="en-NZ"/>
        </w:rPr>
        <w:t>41% of women aged 18 and over having experience violence in their lifetime.</w:t>
      </w:r>
      <w:r w:rsidR="002D2462">
        <w:rPr>
          <w:lang w:val="en-NZ"/>
        </w:rPr>
        <w:t xml:space="preserve"> </w:t>
      </w:r>
      <w:r>
        <w:rPr>
          <w:lang w:val="en-NZ"/>
        </w:rPr>
        <w:t>Positive</w:t>
      </w:r>
      <w:r w:rsidRPr="00947C5B">
        <w:rPr>
          <w:rFonts w:eastAsia="MS Mincho" w:cs="Arial"/>
          <w:lang w:val="en-US" w:eastAsia="en-US"/>
        </w:rPr>
        <w:t xml:space="preserve"> steps</w:t>
      </w:r>
      <w:r>
        <w:rPr>
          <w:rFonts w:eastAsia="MS Mincho" w:cs="Arial"/>
          <w:lang w:val="en-US" w:eastAsia="en-US"/>
        </w:rPr>
        <w:t xml:space="preserve"> have been taken by the Australian Government</w:t>
      </w:r>
      <w:r w:rsidRPr="00947C5B">
        <w:rPr>
          <w:rFonts w:eastAsia="MS Mincho" w:cs="Arial"/>
          <w:lang w:val="en-US" w:eastAsia="en-US"/>
        </w:rPr>
        <w:t xml:space="preserve"> to reduce violence against women in the last five years. In particular, through the National Plan</w:t>
      </w:r>
      <w:r w:rsidRPr="00947C5B">
        <w:rPr>
          <w:rFonts w:eastAsia="MS Mincho"/>
        </w:rPr>
        <w:t xml:space="preserve"> </w:t>
      </w:r>
      <w:r w:rsidRPr="00947C5B">
        <w:rPr>
          <w:rFonts w:eastAsia="MS Mincho" w:cs="Arial"/>
          <w:lang w:val="en-US" w:eastAsia="en-US"/>
        </w:rPr>
        <w:t>to Reduce Violence against Women and their Children 2010–22 delivered throu</w:t>
      </w:r>
      <w:r>
        <w:rPr>
          <w:rFonts w:eastAsia="MS Mincho" w:cs="Arial"/>
          <w:lang w:val="en-US" w:eastAsia="en-US"/>
        </w:rPr>
        <w:t>gh four three-year Action Plans.</w:t>
      </w:r>
      <w:r w:rsidRPr="00947C5B">
        <w:rPr>
          <w:rFonts w:eastAsia="MS Mincho" w:cs="Arial"/>
          <w:vertAlign w:val="superscript"/>
          <w:lang w:val="en-US" w:eastAsia="en-US"/>
        </w:rPr>
        <w:endnoteReference w:id="6"/>
      </w:r>
      <w:r>
        <w:rPr>
          <w:rFonts w:eastAsia="MS Mincho" w:cs="Arial"/>
          <w:lang w:val="en-US" w:eastAsia="en-US"/>
        </w:rPr>
        <w:t xml:space="preserve"> The </w:t>
      </w:r>
      <w:r w:rsidRPr="00947C5B">
        <w:rPr>
          <w:rFonts w:eastAsia="MS Mincho" w:cs="Arial"/>
          <w:lang w:val="en-US" w:eastAsia="en-US"/>
        </w:rPr>
        <w:t>National Foundation to Prevent Violence against Women and th</w:t>
      </w:r>
      <w:r>
        <w:rPr>
          <w:rFonts w:eastAsia="MS Mincho" w:cs="Arial"/>
          <w:lang w:val="en-US" w:eastAsia="en-US"/>
        </w:rPr>
        <w:t>eir Children (</w:t>
      </w:r>
      <w:proofErr w:type="spellStart"/>
      <w:r>
        <w:rPr>
          <w:rFonts w:eastAsia="MS Mincho" w:cs="Arial"/>
          <w:lang w:val="en-US" w:eastAsia="en-US"/>
        </w:rPr>
        <w:t>Ourwatch</w:t>
      </w:r>
      <w:proofErr w:type="spellEnd"/>
      <w:r>
        <w:rPr>
          <w:rFonts w:eastAsia="MS Mincho" w:cs="Arial"/>
          <w:lang w:val="en-US" w:eastAsia="en-US"/>
        </w:rPr>
        <w:t xml:space="preserve">) and </w:t>
      </w:r>
      <w:r w:rsidRPr="00947C5B">
        <w:rPr>
          <w:rFonts w:eastAsia="MS Mincho" w:cs="Arial"/>
          <w:lang w:val="en-US" w:eastAsia="en-US"/>
        </w:rPr>
        <w:t>Australia’s National Research Organisation for Women’s Safety</w:t>
      </w:r>
      <w:r>
        <w:rPr>
          <w:rFonts w:eastAsia="MS Mincho" w:cs="Arial"/>
          <w:lang w:val="en-US" w:eastAsia="en-US"/>
        </w:rPr>
        <w:t xml:space="preserve"> have also been established</w:t>
      </w:r>
      <w:r w:rsidRPr="00947C5B">
        <w:rPr>
          <w:rFonts w:eastAsia="MS Mincho" w:cs="Arial"/>
          <w:lang w:val="en-US" w:eastAsia="en-US"/>
        </w:rPr>
        <w:t>.</w:t>
      </w:r>
    </w:p>
    <w:p w:rsidR="00116161" w:rsidRDefault="00116161" w:rsidP="002D2462">
      <w:pPr>
        <w:rPr>
          <w:lang w:val="en-NZ"/>
        </w:rPr>
      </w:pPr>
      <w:r w:rsidRPr="00116161">
        <w:rPr>
          <w:lang w:val="en-NZ"/>
        </w:rPr>
        <w:t>Legislation has been passed which seeks to respond more effectively to domestic violence and child abuses in the family law system.</w:t>
      </w:r>
      <w:r w:rsidRPr="00116161">
        <w:rPr>
          <w:rStyle w:val="EndnoteReference"/>
          <w:lang w:val="en-NZ"/>
        </w:rPr>
        <w:endnoteReference w:id="7"/>
      </w:r>
      <w:r>
        <w:rPr>
          <w:lang w:val="en-NZ"/>
        </w:rPr>
        <w:t xml:space="preserve"> Legislation was also passed around flexible working arrangements for those experiencing or supporting someone who is enduring violence in the family or household.</w:t>
      </w:r>
      <w:r>
        <w:rPr>
          <w:rStyle w:val="EndnoteReference"/>
          <w:lang w:val="en-NZ"/>
        </w:rPr>
        <w:endnoteReference w:id="8"/>
      </w:r>
    </w:p>
    <w:p w:rsidR="004967F0" w:rsidRDefault="004967F0" w:rsidP="004967F0">
      <w:pPr>
        <w:rPr>
          <w:lang w:val="en-NZ"/>
        </w:rPr>
      </w:pPr>
      <w:r w:rsidRPr="002E04D1">
        <w:rPr>
          <w:lang w:val="en"/>
        </w:rPr>
        <w:t>D</w:t>
      </w:r>
      <w:r w:rsidR="00116161">
        <w:rPr>
          <w:lang w:val="en"/>
        </w:rPr>
        <w:t xml:space="preserve">espite these positive events, </w:t>
      </w:r>
      <w:r w:rsidR="00A27C25">
        <w:rPr>
          <w:rFonts w:eastAsia="Calibri"/>
          <w:lang w:val="en-NZ" w:eastAsia="en-US"/>
        </w:rPr>
        <w:t>the prevalence of domestic violence, sexual assault, sexual harassment and community attitudes about violence against women have not substantially improved</w:t>
      </w:r>
      <w:r w:rsidR="00A27C25" w:rsidRPr="00B81343">
        <w:rPr>
          <w:rFonts w:eastAsia="Calibri"/>
          <w:lang w:val="en-NZ" w:eastAsia="en-US"/>
        </w:rPr>
        <w:t>.</w:t>
      </w:r>
      <w:r w:rsidR="00A27C25">
        <w:rPr>
          <w:rFonts w:eastAsia="Calibri"/>
          <w:lang w:val="en-NZ" w:eastAsia="en-US"/>
        </w:rPr>
        <w:t xml:space="preserve"> Under-resourcing of crisis </w:t>
      </w:r>
      <w:r w:rsidR="00A27C25" w:rsidRPr="009F22C8">
        <w:rPr>
          <w:rFonts w:eastAsia="Calibri"/>
          <w:lang w:val="en-NZ" w:eastAsia="en-US"/>
        </w:rPr>
        <w:t>and support</w:t>
      </w:r>
      <w:r w:rsidR="00A27C25">
        <w:rPr>
          <w:rFonts w:eastAsia="Calibri"/>
          <w:lang w:val="en-NZ" w:eastAsia="en-US"/>
        </w:rPr>
        <w:t xml:space="preserve"> services continues with inadequate</w:t>
      </w:r>
      <w:r w:rsidR="00A27C25" w:rsidRPr="009F22C8">
        <w:rPr>
          <w:rFonts w:eastAsia="Calibri"/>
          <w:lang w:val="en-NZ" w:eastAsia="en-US"/>
        </w:rPr>
        <w:t xml:space="preserve"> </w:t>
      </w:r>
      <w:r w:rsidR="00A27C25">
        <w:rPr>
          <w:rFonts w:eastAsia="Calibri"/>
          <w:lang w:val="en-NZ" w:eastAsia="en-US"/>
        </w:rPr>
        <w:t xml:space="preserve">levels of support available for </w:t>
      </w:r>
      <w:r w:rsidR="00A27C25" w:rsidRPr="009F22C8">
        <w:rPr>
          <w:rFonts w:eastAsia="Calibri"/>
          <w:lang w:val="en-NZ" w:eastAsia="en-US"/>
        </w:rPr>
        <w:t>women in r</w:t>
      </w:r>
      <w:r w:rsidR="00A27C25">
        <w:rPr>
          <w:rFonts w:eastAsia="Calibri"/>
          <w:lang w:val="en-NZ" w:eastAsia="en-US"/>
        </w:rPr>
        <w:t xml:space="preserve">ural and remote areas, women from </w:t>
      </w:r>
      <w:r w:rsidR="00A27C25" w:rsidRPr="009F22C8">
        <w:rPr>
          <w:rFonts w:eastAsia="Calibri"/>
          <w:lang w:val="en-NZ" w:eastAsia="en-US"/>
        </w:rPr>
        <w:t>culturally and linguistically diverse backgrou</w:t>
      </w:r>
      <w:r w:rsidR="00A27C25">
        <w:rPr>
          <w:rFonts w:eastAsia="Calibri"/>
          <w:lang w:val="en-NZ" w:eastAsia="en-US"/>
        </w:rPr>
        <w:t>nds, Aboriginal and Torres S</w:t>
      </w:r>
      <w:r w:rsidR="00A27C25" w:rsidRPr="009F22C8">
        <w:rPr>
          <w:rFonts w:eastAsia="Calibri"/>
          <w:lang w:val="en-NZ" w:eastAsia="en-US"/>
        </w:rPr>
        <w:t xml:space="preserve">trait Islander women, women with disabilities, </w:t>
      </w:r>
      <w:r w:rsidR="00A27C25">
        <w:rPr>
          <w:rFonts w:eastAsia="Calibri"/>
          <w:lang w:val="en-NZ" w:eastAsia="en-US"/>
        </w:rPr>
        <w:t xml:space="preserve">and </w:t>
      </w:r>
      <w:r w:rsidR="00A27C25" w:rsidRPr="009F22C8">
        <w:rPr>
          <w:rFonts w:eastAsia="Calibri"/>
          <w:lang w:val="en-NZ" w:eastAsia="en-US"/>
        </w:rPr>
        <w:t>lesbian, trans and intersex women</w:t>
      </w:r>
      <w:r w:rsidR="00A27C25">
        <w:rPr>
          <w:rFonts w:eastAsia="Calibri"/>
          <w:lang w:val="en-NZ" w:eastAsia="en-US"/>
        </w:rPr>
        <w:t>.</w:t>
      </w:r>
    </w:p>
    <w:p w:rsidR="004967F0" w:rsidRDefault="00A27C25" w:rsidP="004967F0">
      <w:r>
        <w:t>I</w:t>
      </w:r>
      <w:r w:rsidR="004967F0">
        <w:t xml:space="preserve">n response to violence against women occurring within the Australian Defence Force (ADF), a review and subsequent audit was conducted into the treatment of women in the ADF. The </w:t>
      </w:r>
      <w:r w:rsidR="004967F0" w:rsidRPr="00F32B1B">
        <w:t xml:space="preserve">Australian Defence Force </w:t>
      </w:r>
      <w:r w:rsidR="004967F0">
        <w:t xml:space="preserve">has now committed </w:t>
      </w:r>
      <w:r w:rsidR="004967F0" w:rsidRPr="00F32B1B">
        <w:t>to cultural reform, including efforts towards ensuring organisational diversity and inclusivity, particularly for women.</w:t>
      </w:r>
      <w:r w:rsidR="004967F0">
        <w:rPr>
          <w:rStyle w:val="EndnoteReference"/>
        </w:rPr>
        <w:endnoteReference w:id="9"/>
      </w:r>
    </w:p>
    <w:p w:rsidR="00963A43" w:rsidRPr="00963A43" w:rsidRDefault="00963A43" w:rsidP="004967F0">
      <w:pPr>
        <w:rPr>
          <w:lang w:val="en-NZ"/>
        </w:rPr>
      </w:pPr>
      <w:r>
        <w:rPr>
          <w:lang w:val="en-NZ"/>
        </w:rPr>
        <w:t>On 24 September 2015 t</w:t>
      </w:r>
      <w:r>
        <w:rPr>
          <w:lang w:val="en-NZ"/>
        </w:rPr>
        <w:t>he Australian Government announced a $100 million package to respond to family and domestic violence by enhancing women’s safety. This includes funding for legal assistance, improved frontline support and services and providing education resources to help change community attitudes. Funding has also been targeted towards Indigenous women and communities.</w:t>
      </w:r>
      <w:r>
        <w:rPr>
          <w:rStyle w:val="EndnoteReference"/>
          <w:lang w:val="en-NZ"/>
        </w:rPr>
        <w:endnoteReference w:id="10"/>
      </w:r>
      <w:r>
        <w:rPr>
          <w:lang w:val="en-NZ"/>
        </w:rPr>
        <w:t xml:space="preserve"> </w:t>
      </w:r>
    </w:p>
    <w:p w:rsidR="000364EA" w:rsidRPr="005B50F7" w:rsidRDefault="000364EA" w:rsidP="000364EA">
      <w:pPr>
        <w:rPr>
          <w:b/>
          <w:sz w:val="28"/>
        </w:rPr>
      </w:pPr>
      <w:r w:rsidRPr="009A68B3">
        <w:rPr>
          <w:b/>
          <w:color w:val="365F91" w:themeColor="accent1" w:themeShade="BF"/>
          <w:sz w:val="28"/>
        </w:rPr>
        <w:t>Recommendation</w:t>
      </w:r>
      <w:r w:rsidRPr="005B50F7">
        <w:rPr>
          <w:b/>
          <w:sz w:val="28"/>
        </w:rPr>
        <w:t xml:space="preserve"> </w:t>
      </w:r>
    </w:p>
    <w:p w:rsidR="000364EA" w:rsidRDefault="00A27C25" w:rsidP="000364EA">
      <w:pPr>
        <w:rPr>
          <w:b/>
          <w:lang w:val="en-NZ"/>
        </w:rPr>
      </w:pPr>
      <w:r>
        <w:rPr>
          <w:b/>
          <w:lang w:val="en-NZ"/>
        </w:rPr>
        <w:t>That i</w:t>
      </w:r>
      <w:r w:rsidR="000364EA" w:rsidRPr="00F32B1B">
        <w:rPr>
          <w:b/>
          <w:lang w:val="en-NZ"/>
        </w:rPr>
        <w:t xml:space="preserve">mplementation of the National Plan to Reduce Violence </w:t>
      </w:r>
      <w:proofErr w:type="gramStart"/>
      <w:r w:rsidR="000364EA" w:rsidRPr="00F32B1B">
        <w:rPr>
          <w:b/>
          <w:lang w:val="en-NZ"/>
        </w:rPr>
        <w:t>Against</w:t>
      </w:r>
      <w:proofErr w:type="gramEnd"/>
      <w:r w:rsidR="000364EA" w:rsidRPr="00F32B1B">
        <w:rPr>
          <w:b/>
          <w:lang w:val="en-NZ"/>
        </w:rPr>
        <w:t xml:space="preserve"> Women and their Children reflect the diversity of women, and include adequate, sustained funding for programs and services and independent monitoring and evaluation.</w:t>
      </w:r>
    </w:p>
    <w:p w:rsidR="00A27C25" w:rsidRDefault="00A27C25" w:rsidP="000364EA">
      <w:bookmarkStart w:id="0" w:name="_GoBack"/>
      <w:bookmarkEnd w:id="0"/>
    </w:p>
    <w:p w:rsidR="00A27C25" w:rsidRDefault="00A27C25" w:rsidP="000364EA"/>
    <w:p w:rsidR="00A27C25" w:rsidRPr="000364EA" w:rsidRDefault="00A27C25" w:rsidP="000364EA"/>
    <w:sectPr w:rsidR="00A27C25" w:rsidRPr="000364EA" w:rsidSect="00C76D13">
      <w:headerReference w:type="default" r:id="rId8"/>
      <w:footerReference w:type="default" r:id="rId9"/>
      <w:headerReference w:type="first" r:id="rId10"/>
      <w:footerReference w:type="first" r:id="rId11"/>
      <w:endnotePr>
        <w:numFmt w:val="decimal"/>
      </w:endnotePr>
      <w:pgSz w:w="11906" w:h="16838" w:code="9"/>
      <w:pgMar w:top="851" w:right="1418" w:bottom="1531" w:left="1418" w:header="170"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CE4" w:rsidRDefault="00732CE4" w:rsidP="00F14C6D">
      <w:r>
        <w:separator/>
      </w:r>
    </w:p>
  </w:endnote>
  <w:endnote w:type="continuationSeparator" w:id="0">
    <w:p w:rsidR="00732CE4" w:rsidRDefault="00732CE4" w:rsidP="00F14C6D">
      <w:r>
        <w:continuationSeparator/>
      </w:r>
    </w:p>
  </w:endnote>
  <w:endnote w:id="1">
    <w:p w:rsidR="00187C9D" w:rsidRDefault="00187C9D">
      <w:pPr>
        <w:pStyle w:val="EndnoteText"/>
      </w:pPr>
      <w:r>
        <w:rPr>
          <w:rStyle w:val="EndnoteReference"/>
        </w:rPr>
        <w:endnoteRef/>
      </w:r>
      <w:r>
        <w:t xml:space="preserve"> </w:t>
      </w:r>
      <w:r w:rsidRPr="00840E6D">
        <w:rPr>
          <w:rFonts w:cs="Arial"/>
        </w:rPr>
        <w:t xml:space="preserve">Women on Boards, </w:t>
      </w:r>
      <w:r w:rsidRPr="00840E6D">
        <w:rPr>
          <w:rFonts w:cs="Arial"/>
          <w:i/>
        </w:rPr>
        <w:t>ASX200 in 2013</w:t>
      </w:r>
      <w:r w:rsidRPr="00840E6D">
        <w:rPr>
          <w:rFonts w:cs="Arial"/>
        </w:rPr>
        <w:t xml:space="preserve">. At </w:t>
      </w:r>
      <w:hyperlink r:id="rId1" w:history="1">
        <w:r w:rsidRPr="00840E6D">
          <w:rPr>
            <w:rStyle w:val="Hyperlink"/>
            <w:rFonts w:cs="Arial"/>
          </w:rPr>
          <w:t>http://www.womenonboards.org.au/pubs/bdi/2013/asx.htm</w:t>
        </w:r>
      </w:hyperlink>
      <w:r w:rsidRPr="00840E6D">
        <w:rPr>
          <w:rFonts w:cs="Arial"/>
        </w:rPr>
        <w:t xml:space="preserve"> (</w:t>
      </w:r>
      <w:proofErr w:type="gramStart"/>
      <w:r w:rsidRPr="00840E6D">
        <w:rPr>
          <w:rFonts w:cs="Arial"/>
        </w:rPr>
        <w:t xml:space="preserve">viewed </w:t>
      </w:r>
      <w:r w:rsidR="004967F0">
        <w:rPr>
          <w:rFonts w:cs="Arial"/>
        </w:rPr>
        <w:t xml:space="preserve"> 30</w:t>
      </w:r>
      <w:proofErr w:type="gramEnd"/>
      <w:r w:rsidR="004967F0">
        <w:rPr>
          <w:rFonts w:cs="Arial"/>
        </w:rPr>
        <w:t xml:space="preserve"> June </w:t>
      </w:r>
      <w:r w:rsidRPr="00840E6D">
        <w:rPr>
          <w:rFonts w:cs="Arial"/>
        </w:rPr>
        <w:t>2015).</w:t>
      </w:r>
    </w:p>
  </w:endnote>
  <w:endnote w:id="2">
    <w:p w:rsidR="00E62CDA" w:rsidRDefault="00E62CDA">
      <w:pPr>
        <w:pStyle w:val="EndnoteText"/>
      </w:pPr>
      <w:r>
        <w:rPr>
          <w:rStyle w:val="EndnoteReference"/>
        </w:rPr>
        <w:endnoteRef/>
      </w:r>
      <w:r>
        <w:t xml:space="preserve"> </w:t>
      </w:r>
      <w:r w:rsidRPr="00E62CDA">
        <w:rPr>
          <w:rFonts w:eastAsia="MS Mincho"/>
        </w:rPr>
        <w:t xml:space="preserve">Workplace Gender Equality Agency, </w:t>
      </w:r>
      <w:r w:rsidRPr="00E62CDA">
        <w:rPr>
          <w:rFonts w:eastAsia="MS Mincho"/>
          <w:i/>
        </w:rPr>
        <w:t>Australia’s gender equality scorecard</w:t>
      </w:r>
      <w:r w:rsidRPr="00E62CDA">
        <w:rPr>
          <w:rFonts w:eastAsia="MS Mincho"/>
        </w:rPr>
        <w:t xml:space="preserve"> (November 2014), p 3. At </w:t>
      </w:r>
      <w:hyperlink r:id="rId2" w:history="1">
        <w:r w:rsidRPr="00E62CDA">
          <w:rPr>
            <w:rFonts w:eastAsia="MS Mincho"/>
            <w:color w:val="0000FF"/>
            <w:u w:val="single"/>
          </w:rPr>
          <w:t>https://www.wgea.gov.au/sites/default/files/2013-14_summary_report_website.pdf</w:t>
        </w:r>
      </w:hyperlink>
      <w:r w:rsidRPr="00E62CDA">
        <w:rPr>
          <w:rFonts w:eastAsia="MS Mincho"/>
        </w:rPr>
        <w:t xml:space="preserve"> (viewed </w:t>
      </w:r>
      <w:r w:rsidR="0076047F">
        <w:rPr>
          <w:rFonts w:eastAsia="MS Mincho"/>
        </w:rPr>
        <w:t>30 June 2015</w:t>
      </w:r>
      <w:r w:rsidRPr="00E62CDA">
        <w:rPr>
          <w:rFonts w:eastAsia="MS Mincho"/>
        </w:rPr>
        <w:t>).</w:t>
      </w:r>
    </w:p>
  </w:endnote>
  <w:endnote w:id="3">
    <w:p w:rsidR="007650F4" w:rsidRDefault="007650F4">
      <w:pPr>
        <w:pStyle w:val="EndnoteText"/>
      </w:pPr>
      <w:r>
        <w:rPr>
          <w:rStyle w:val="EndnoteReference"/>
        </w:rPr>
        <w:endnoteRef/>
      </w:r>
      <w:r>
        <w:t xml:space="preserve"> </w:t>
      </w:r>
      <w:r w:rsidRPr="007650F4">
        <w:t>Workplace Gender Equality Agency</w:t>
      </w:r>
      <w:r w:rsidR="00187C9D">
        <w:t>, ‘</w:t>
      </w:r>
      <w:r w:rsidRPr="007650F4">
        <w:t>National gender pay gap at record high of 18.8%</w:t>
      </w:r>
      <w:r w:rsidR="00187C9D">
        <w:t>’, (Media Release, 26 February 2015)</w:t>
      </w:r>
      <w:r>
        <w:t xml:space="preserve">. At </w:t>
      </w:r>
      <w:hyperlink r:id="rId3" w:history="1">
        <w:r w:rsidRPr="00726314">
          <w:rPr>
            <w:rStyle w:val="Hyperlink"/>
          </w:rPr>
          <w:t>https://www.wgea.gov.au/news-and-media/national-gender-pay-gap-record-high-188</w:t>
        </w:r>
      </w:hyperlink>
      <w:r>
        <w:t xml:space="preserve"> (viewed 30 June 2015).</w:t>
      </w:r>
    </w:p>
  </w:endnote>
  <w:endnote w:id="4">
    <w:p w:rsidR="004967F0" w:rsidRDefault="004967F0">
      <w:pPr>
        <w:pStyle w:val="EndnoteText"/>
      </w:pPr>
      <w:r>
        <w:rPr>
          <w:rStyle w:val="EndnoteReference"/>
        </w:rPr>
        <w:endnoteRef/>
      </w:r>
      <w:r>
        <w:t xml:space="preserve"> </w:t>
      </w:r>
      <w:r w:rsidRPr="00840E6D">
        <w:rPr>
          <w:rFonts w:cs="Arial"/>
        </w:rPr>
        <w:t xml:space="preserve">Australian Bureau of Statistics, </w:t>
      </w:r>
      <w:r w:rsidRPr="00840E6D">
        <w:rPr>
          <w:rFonts w:cs="Arial"/>
          <w:i/>
          <w:iCs/>
        </w:rPr>
        <w:t>Caring in the Community, Australia</w:t>
      </w:r>
      <w:r w:rsidRPr="00840E6D">
        <w:rPr>
          <w:rFonts w:cs="Arial"/>
        </w:rPr>
        <w:t xml:space="preserve">, Catalogue no. 4436.0 (2012). At </w:t>
      </w:r>
      <w:hyperlink r:id="rId4" w:anchor="Chapter2" w:history="1">
        <w:r w:rsidRPr="00840E6D">
          <w:rPr>
            <w:rStyle w:val="Hyperlink"/>
            <w:rFonts w:cs="Arial"/>
          </w:rPr>
          <w:t>http://www.abs.gov.au/AUSSTATS/abs@.nsf/Latestproducts/4436.0Main%20Features22012?opendocument&amp;tabname=Summary&amp;prodno=4436.0&amp;issue=2012&amp;num=&amp;view=#Chapter2</w:t>
        </w:r>
      </w:hyperlink>
      <w:r w:rsidRPr="00840E6D">
        <w:rPr>
          <w:rFonts w:cs="Arial"/>
        </w:rPr>
        <w:t xml:space="preserve"> (viewed</w:t>
      </w:r>
      <w:r>
        <w:rPr>
          <w:rFonts w:cs="Arial"/>
        </w:rPr>
        <w:t xml:space="preserve"> 30 June</w:t>
      </w:r>
      <w:r w:rsidRPr="00840E6D">
        <w:rPr>
          <w:rFonts w:cs="Arial"/>
        </w:rPr>
        <w:t xml:space="preserve"> 2015); Australian Human Rights Commission, </w:t>
      </w:r>
      <w:r w:rsidRPr="00840E6D">
        <w:rPr>
          <w:rFonts w:cs="Arial"/>
          <w:i/>
          <w:iCs/>
          <w:lang w:val="en"/>
        </w:rPr>
        <w:t>Investing in care: Recognising and valuing those who car</w:t>
      </w:r>
      <w:r w:rsidRPr="00840E6D">
        <w:rPr>
          <w:rFonts w:cs="Arial"/>
          <w:lang w:val="en"/>
        </w:rPr>
        <w:t xml:space="preserve">e. </w:t>
      </w:r>
      <w:r w:rsidRPr="00840E6D">
        <w:rPr>
          <w:rFonts w:cs="Arial"/>
          <w:i/>
          <w:lang w:val="en"/>
        </w:rPr>
        <w:t xml:space="preserve">Volume 1: Research Report </w:t>
      </w:r>
      <w:r w:rsidRPr="00840E6D">
        <w:rPr>
          <w:rFonts w:cs="Arial"/>
          <w:lang w:val="en"/>
        </w:rPr>
        <w:t xml:space="preserve">(2013). At </w:t>
      </w:r>
      <w:hyperlink r:id="rId5" w:history="1">
        <w:r w:rsidRPr="00840E6D">
          <w:rPr>
            <w:rStyle w:val="Hyperlink"/>
            <w:rFonts w:cs="Arial"/>
            <w:lang w:val="en"/>
          </w:rPr>
          <w:t>https://www.humanrights.gov.au/our-work/sex-discrimination/publications/investing-care-recognising-and-valuing-those-who-care</w:t>
        </w:r>
      </w:hyperlink>
      <w:r w:rsidRPr="00840E6D">
        <w:rPr>
          <w:rFonts w:cs="Arial"/>
          <w:lang w:val="en"/>
        </w:rPr>
        <w:t xml:space="preserve"> (viewed </w:t>
      </w:r>
      <w:r>
        <w:rPr>
          <w:rFonts w:cs="Arial"/>
          <w:lang w:val="en"/>
        </w:rPr>
        <w:t xml:space="preserve">30 June </w:t>
      </w:r>
      <w:r w:rsidRPr="00840E6D">
        <w:rPr>
          <w:rFonts w:cs="Arial"/>
          <w:lang w:val="en"/>
        </w:rPr>
        <w:t>2015)</w:t>
      </w:r>
      <w:r w:rsidRPr="00840E6D">
        <w:rPr>
          <w:rFonts w:cs="Arial"/>
        </w:rPr>
        <w:t>.</w:t>
      </w:r>
    </w:p>
  </w:endnote>
  <w:endnote w:id="5">
    <w:p w:rsidR="002D2462" w:rsidRPr="00D618C6" w:rsidRDefault="002D2462" w:rsidP="002D2462">
      <w:pPr>
        <w:pStyle w:val="EndnoteText"/>
        <w:rPr>
          <w:caps/>
        </w:rPr>
      </w:pPr>
      <w:r>
        <w:rPr>
          <w:rStyle w:val="EndnoteReference"/>
        </w:rPr>
        <w:endnoteRef/>
      </w:r>
      <w:r>
        <w:t xml:space="preserve"> Australian Human Rights Commission, </w:t>
      </w:r>
      <w:r w:rsidRPr="00D618C6">
        <w:rPr>
          <w:i/>
        </w:rPr>
        <w:t>Supporting Working Parents: Pregnancy and Return to Work National Review – Report</w:t>
      </w:r>
      <w:r>
        <w:t xml:space="preserve"> (2014), p 118. At </w:t>
      </w:r>
      <w:hyperlink r:id="rId6" w:history="1">
        <w:r w:rsidRPr="005F0BEF">
          <w:rPr>
            <w:rStyle w:val="Hyperlink"/>
          </w:rPr>
          <w:t>https://www.humanrights.gov.au/our-work/sex-discrimination/publications/supporting-working-parents-pregnancy-and-return-work</w:t>
        </w:r>
      </w:hyperlink>
      <w:r>
        <w:t xml:space="preserve"> (viewed 30 June 2015).</w:t>
      </w:r>
    </w:p>
  </w:endnote>
  <w:endnote w:id="6">
    <w:p w:rsidR="00947C5B" w:rsidRPr="008F21EB" w:rsidRDefault="00947C5B" w:rsidP="00947C5B">
      <w:pPr>
        <w:pStyle w:val="EndnoteText"/>
      </w:pPr>
      <w:r w:rsidRPr="008F21EB">
        <w:rPr>
          <w:rStyle w:val="EndnoteReference"/>
        </w:rPr>
        <w:endnoteRef/>
      </w:r>
      <w:r w:rsidRPr="008F21EB">
        <w:t xml:space="preserve"> For example, </w:t>
      </w:r>
      <w:r w:rsidRPr="008F21EB">
        <w:rPr>
          <w:rFonts w:cs="Arial"/>
          <w:lang w:val="en-US" w:eastAsia="en-US"/>
        </w:rPr>
        <w:t xml:space="preserve">the </w:t>
      </w:r>
      <w:r w:rsidRPr="008F21EB">
        <w:rPr>
          <w:rFonts w:cs="Arial"/>
          <w:i/>
          <w:lang w:val="en-US" w:eastAsia="en-US"/>
        </w:rPr>
        <w:t>Action Plan to Address Violence against Women and Children 2012-2015</w:t>
      </w:r>
      <w:r w:rsidRPr="008F21EB">
        <w:rPr>
          <w:rFonts w:cs="Arial"/>
          <w:lang w:val="en-US" w:eastAsia="en-US"/>
        </w:rPr>
        <w:t xml:space="preserve"> by the Victorian Government. </w:t>
      </w:r>
      <w:r w:rsidRPr="008F21EB">
        <w:rPr>
          <w:rFonts w:cs="Arial"/>
        </w:rPr>
        <w:t xml:space="preserve">Victorian Government, </w:t>
      </w:r>
      <w:r w:rsidRPr="008F21EB">
        <w:rPr>
          <w:rFonts w:cs="Arial"/>
          <w:i/>
        </w:rPr>
        <w:t>Victoria’s Action Plan to Address Violence against Women and Children 2012-2015</w:t>
      </w:r>
      <w:r w:rsidRPr="008F21EB">
        <w:rPr>
          <w:rFonts w:cs="Arial"/>
        </w:rPr>
        <w:t xml:space="preserve"> (2012).</w:t>
      </w:r>
      <w:r w:rsidRPr="008F21EB">
        <w:rPr>
          <w:rFonts w:cs="Arial"/>
          <w:i/>
        </w:rPr>
        <w:t xml:space="preserve"> </w:t>
      </w:r>
      <w:r w:rsidRPr="008F21EB">
        <w:rPr>
          <w:rFonts w:cs="Arial"/>
        </w:rPr>
        <w:t xml:space="preserve">At </w:t>
      </w:r>
      <w:hyperlink r:id="rId7" w:history="1">
        <w:r w:rsidRPr="008F21EB">
          <w:rPr>
            <w:rStyle w:val="Hyperlink"/>
            <w:rFonts w:cs="Arial"/>
          </w:rPr>
          <w:t>http://www.dhs.vic.gov.au/about-the-department/plans,-programs-and-projects/plans-and-strategies/women/action-plan-to-address-violence-against-women-and-children</w:t>
        </w:r>
      </w:hyperlink>
      <w:r w:rsidRPr="008F21EB">
        <w:rPr>
          <w:rFonts w:cs="Arial"/>
        </w:rPr>
        <w:t xml:space="preserve"> (viewed 10 October 2014).</w:t>
      </w:r>
    </w:p>
  </w:endnote>
  <w:endnote w:id="7">
    <w:p w:rsidR="00116161" w:rsidRDefault="00116161" w:rsidP="00116161">
      <w:pPr>
        <w:pStyle w:val="EndnoteText"/>
      </w:pPr>
      <w:r>
        <w:rPr>
          <w:rStyle w:val="EndnoteReference"/>
        </w:rPr>
        <w:endnoteRef/>
      </w:r>
      <w:r>
        <w:t xml:space="preserve"> </w:t>
      </w:r>
      <w:r w:rsidRPr="00925603">
        <w:rPr>
          <w:rFonts w:eastAsia="MS Mincho" w:cs="Arial"/>
          <w:i/>
        </w:rPr>
        <w:t>Family Law Legislation Amendment (Family Violence and Other Measures) Act 2011</w:t>
      </w:r>
      <w:r>
        <w:rPr>
          <w:rFonts w:eastAsia="MS Mincho" w:cs="Arial"/>
        </w:rPr>
        <w:t xml:space="preserve"> (Cth).</w:t>
      </w:r>
    </w:p>
  </w:endnote>
  <w:endnote w:id="8">
    <w:p w:rsidR="00116161" w:rsidRDefault="00116161" w:rsidP="00116161">
      <w:pPr>
        <w:pStyle w:val="EndnoteText"/>
      </w:pPr>
      <w:r>
        <w:rPr>
          <w:rStyle w:val="EndnoteReference"/>
        </w:rPr>
        <w:endnoteRef/>
      </w:r>
      <w:r>
        <w:rPr>
          <w:rFonts w:eastAsia="MS Mincho" w:cs="Arial"/>
        </w:rPr>
        <w:t xml:space="preserve"> </w:t>
      </w:r>
      <w:r w:rsidRPr="0030212C">
        <w:rPr>
          <w:rFonts w:eastAsia="MS Mincho" w:cs="Arial"/>
          <w:i/>
          <w:lang w:val="en"/>
        </w:rPr>
        <w:t>Fair Work Amendment Act 2013</w:t>
      </w:r>
      <w:r w:rsidRPr="00925603">
        <w:rPr>
          <w:rFonts w:eastAsia="MS Mincho" w:cs="Arial"/>
          <w:lang w:val="en"/>
        </w:rPr>
        <w:t xml:space="preserve"> </w:t>
      </w:r>
      <w:r>
        <w:rPr>
          <w:rFonts w:eastAsia="MS Mincho" w:cs="Arial"/>
          <w:lang w:val="en"/>
        </w:rPr>
        <w:t>(Cth).</w:t>
      </w:r>
    </w:p>
  </w:endnote>
  <w:endnote w:id="9">
    <w:p w:rsidR="004967F0" w:rsidRDefault="004967F0" w:rsidP="004967F0">
      <w:pPr>
        <w:pStyle w:val="EndnoteText"/>
      </w:pPr>
      <w:r>
        <w:rPr>
          <w:rStyle w:val="EndnoteReference"/>
        </w:rPr>
        <w:endnoteRef/>
      </w:r>
      <w:r>
        <w:t xml:space="preserve"> Australian Human Rights Commission, </w:t>
      </w:r>
      <w:r w:rsidRPr="00DD6B47">
        <w:t>Review into the Treatment of Women i</w:t>
      </w:r>
      <w:r>
        <w:t xml:space="preserve">n the Australian Defence Force </w:t>
      </w:r>
      <w:r w:rsidRPr="00DD6B47">
        <w:t>Audit Report 2014</w:t>
      </w:r>
      <w:r>
        <w:t xml:space="preserve">. At </w:t>
      </w:r>
      <w:hyperlink r:id="rId8" w:history="1">
        <w:r w:rsidRPr="005F0BEF">
          <w:rPr>
            <w:rStyle w:val="Hyperlink"/>
          </w:rPr>
          <w:t>https://defencereview.humanrights.gov.au/reports</w:t>
        </w:r>
      </w:hyperlink>
      <w:r>
        <w:t xml:space="preserve"> (viewed 22 June 2015).</w:t>
      </w:r>
    </w:p>
  </w:endnote>
  <w:endnote w:id="10">
    <w:p w:rsidR="00963A43" w:rsidRDefault="00963A43" w:rsidP="00963A43">
      <w:pPr>
        <w:pStyle w:val="EndnoteText"/>
      </w:pPr>
      <w:r>
        <w:rPr>
          <w:rStyle w:val="EndnoteReference"/>
        </w:rPr>
        <w:endnoteRef/>
      </w:r>
      <w:r>
        <w:t xml:space="preserve"> Prime Minister of Australia, </w:t>
      </w:r>
      <w:r w:rsidRPr="00A957E8">
        <w:rPr>
          <w:i/>
        </w:rPr>
        <w:t>Media Release – Women’s Safety Package to Stop the Violence</w:t>
      </w:r>
      <w:r>
        <w:t xml:space="preserve"> (24 September 2015). At </w:t>
      </w:r>
      <w:hyperlink r:id="rId9" w:history="1">
        <w:r w:rsidRPr="00E67DEC">
          <w:rPr>
            <w:rStyle w:val="Hyperlink"/>
          </w:rPr>
          <w:t>http://www.pm.gov.au/media/2015-09-24/womens-safety-package-stop-violence</w:t>
        </w:r>
      </w:hyperlink>
      <w:r>
        <w:t xml:space="preserve"> (viewed 24 September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002468"/>
      <w:docPartObj>
        <w:docPartGallery w:val="Page Numbers (Bottom of Page)"/>
        <w:docPartUnique/>
      </w:docPartObj>
    </w:sdtPr>
    <w:sdtEndPr>
      <w:rPr>
        <w:noProof/>
      </w:rPr>
    </w:sdtEndPr>
    <w:sdtContent>
      <w:p w:rsidR="009A68B3" w:rsidRDefault="009A68B3">
        <w:pPr>
          <w:pStyle w:val="Footer"/>
          <w:jc w:val="right"/>
        </w:pPr>
        <w:r>
          <w:fldChar w:fldCharType="begin"/>
        </w:r>
        <w:r>
          <w:instrText xml:space="preserve"> PAGE   \* MERGEFORMAT </w:instrText>
        </w:r>
        <w:r>
          <w:fldChar w:fldCharType="separate"/>
        </w:r>
        <w:r w:rsidR="008774A3">
          <w:rPr>
            <w:noProof/>
          </w:rPr>
          <w:t>2</w:t>
        </w:r>
        <w:r>
          <w:rPr>
            <w:noProof/>
          </w:rPr>
          <w:fldChar w:fldCharType="end"/>
        </w:r>
      </w:p>
    </w:sdtContent>
  </w:sdt>
  <w:p w:rsidR="008D6140" w:rsidRPr="0090165F" w:rsidRDefault="008D6140"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415636"/>
      <w:docPartObj>
        <w:docPartGallery w:val="Page Numbers (Bottom of Page)"/>
        <w:docPartUnique/>
      </w:docPartObj>
    </w:sdtPr>
    <w:sdtEndPr>
      <w:rPr>
        <w:noProof/>
      </w:rPr>
    </w:sdtEndPr>
    <w:sdtContent>
      <w:p w:rsidR="009A68B3" w:rsidRDefault="009A68B3">
        <w:pPr>
          <w:pStyle w:val="Footer"/>
          <w:jc w:val="right"/>
        </w:pPr>
        <w:r>
          <w:fldChar w:fldCharType="begin"/>
        </w:r>
        <w:r>
          <w:instrText xml:space="preserve"> PAGE   \* MERGEFORMAT </w:instrText>
        </w:r>
        <w:r>
          <w:fldChar w:fldCharType="separate"/>
        </w:r>
        <w:r w:rsidR="008774A3">
          <w:rPr>
            <w:noProof/>
          </w:rPr>
          <w:t>1</w:t>
        </w:r>
        <w:r>
          <w:rPr>
            <w:noProof/>
          </w:rPr>
          <w:fldChar w:fldCharType="end"/>
        </w:r>
      </w:p>
    </w:sdtContent>
  </w:sdt>
  <w:p w:rsidR="009A68B3" w:rsidRDefault="009A6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CE4" w:rsidRDefault="00732CE4" w:rsidP="00F14C6D">
      <w:r>
        <w:separator/>
      </w:r>
    </w:p>
  </w:footnote>
  <w:footnote w:type="continuationSeparator" w:id="0">
    <w:p w:rsidR="00732CE4" w:rsidRDefault="00732CE4"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140" w:rsidRDefault="008D6140"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26" w:type="dxa"/>
      <w:tblLayout w:type="fixed"/>
      <w:tblLook w:val="00A0" w:firstRow="1" w:lastRow="0" w:firstColumn="1" w:lastColumn="0" w:noHBand="0" w:noVBand="0"/>
    </w:tblPr>
    <w:tblGrid>
      <w:gridCol w:w="3936"/>
      <w:gridCol w:w="1876"/>
      <w:gridCol w:w="3114"/>
    </w:tblGrid>
    <w:tr w:rsidR="00DC3D5A" w:rsidRPr="008D1634" w:rsidTr="00DC3D5A">
      <w:trPr>
        <w:trHeight w:val="1603"/>
      </w:trPr>
      <w:tc>
        <w:tcPr>
          <w:tcW w:w="3936" w:type="dxa"/>
        </w:tcPr>
        <w:p w:rsidR="00DC3D5A" w:rsidRPr="008D1634" w:rsidRDefault="00DC3D5A" w:rsidP="00331013">
          <w:pPr>
            <w:pStyle w:val="Header"/>
            <w:tabs>
              <w:tab w:val="left" w:pos="4686"/>
              <w:tab w:val="left" w:pos="7088"/>
              <w:tab w:val="left" w:pos="7242"/>
            </w:tabs>
            <w:jc w:val="center"/>
            <w:rPr>
              <w:rFonts w:cs="ArialMT"/>
              <w:b/>
              <w:color w:val="000000"/>
              <w:spacing w:val="-20"/>
              <w:sz w:val="32"/>
              <w:lang w:val="en-US" w:eastAsia="en-US" w:bidi="en-US"/>
            </w:rPr>
          </w:pPr>
          <w:r>
            <w:rPr>
              <w:rFonts w:cs="ArialMT"/>
              <w:b/>
              <w:noProof/>
              <w:color w:val="000000"/>
              <w:spacing w:val="-20"/>
              <w:sz w:val="32"/>
            </w:rPr>
            <w:drawing>
              <wp:anchor distT="0" distB="0" distL="114300" distR="114300" simplePos="0" relativeHeight="251658240" behindDoc="0" locked="0" layoutInCell="1" allowOverlap="1">
                <wp:simplePos x="0" y="0"/>
                <wp:positionH relativeFrom="column">
                  <wp:posOffset>68580</wp:posOffset>
                </wp:positionH>
                <wp:positionV relativeFrom="page">
                  <wp:posOffset>654050</wp:posOffset>
                </wp:positionV>
                <wp:extent cx="2362200" cy="809625"/>
                <wp:effectExtent l="0" t="0" r="0" b="9525"/>
                <wp:wrapSquare wrapText="bothSides"/>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anchor>
            </w:drawing>
          </w:r>
        </w:p>
      </w:tc>
      <w:tc>
        <w:tcPr>
          <w:tcW w:w="1876" w:type="dxa"/>
          <w:vAlign w:val="center"/>
        </w:tcPr>
        <w:p w:rsidR="00DC3D5A" w:rsidRPr="008D1634" w:rsidRDefault="00DC3D5A" w:rsidP="00331013">
          <w:pPr>
            <w:spacing w:before="0" w:after="0" w:line="210" w:lineRule="exact"/>
            <w:rPr>
              <w:rFonts w:cs="ArialMT"/>
              <w:i/>
              <w:color w:val="808080"/>
              <w:sz w:val="17"/>
              <w:lang w:val="en-US" w:eastAsia="en-US" w:bidi="en-US"/>
            </w:rPr>
          </w:pPr>
        </w:p>
      </w:tc>
      <w:tc>
        <w:tcPr>
          <w:tcW w:w="3114" w:type="dxa"/>
        </w:tcPr>
        <w:p w:rsidR="007C7CC9" w:rsidRDefault="00DC3D5A" w:rsidP="00E72C15">
          <w:pPr>
            <w:pStyle w:val="Header"/>
            <w:jc w:val="right"/>
            <w:rPr>
              <w:sz w:val="20"/>
            </w:rPr>
          </w:pPr>
          <w:r>
            <w:rPr>
              <w:sz w:val="20"/>
            </w:rPr>
            <w:br/>
          </w:r>
        </w:p>
        <w:p w:rsidR="00DC3D5A" w:rsidRPr="003F717E" w:rsidRDefault="00DC3D5A" w:rsidP="00E72C15">
          <w:pPr>
            <w:pStyle w:val="Header"/>
            <w:jc w:val="right"/>
            <w:rPr>
              <w:sz w:val="20"/>
            </w:rPr>
          </w:pPr>
          <w:r w:rsidRPr="00732CE4">
            <w:rPr>
              <w:sz w:val="20"/>
            </w:rPr>
            <w:t>Universal Periodic Review</w:t>
          </w:r>
          <w:r w:rsidRPr="003F717E">
            <w:rPr>
              <w:b/>
              <w:sz w:val="20"/>
            </w:rPr>
            <w:t xml:space="preserve"> </w:t>
          </w:r>
          <w:r>
            <w:rPr>
              <w:b/>
              <w:sz w:val="20"/>
            </w:rPr>
            <w:t xml:space="preserve"> </w:t>
          </w:r>
        </w:p>
        <w:p w:rsidR="00DC3D5A" w:rsidRPr="008D1634" w:rsidRDefault="00DC3D5A" w:rsidP="00C87F1C">
          <w:pPr>
            <w:pStyle w:val="HeaderFooter"/>
            <w:spacing w:before="0" w:after="0"/>
            <w:jc w:val="both"/>
            <w:rPr>
              <w:b/>
              <w:color w:val="000000"/>
              <w:spacing w:val="-20"/>
              <w:sz w:val="40"/>
              <w:lang w:val="en-US" w:eastAsia="en-US" w:bidi="en-US"/>
            </w:rPr>
          </w:pPr>
        </w:p>
      </w:tc>
    </w:tr>
  </w:tbl>
  <w:p w:rsidR="008D6140" w:rsidRPr="00DC3D5A" w:rsidRDefault="008D6140">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6C009348"/>
    <w:lvl w:ilvl="0">
      <w:numFmt w:val="decimal"/>
      <w:pStyle w:val="Dash"/>
      <w:lvlText w:val="*"/>
      <w:lvlJc w:val="left"/>
    </w:lvl>
  </w:abstractNum>
  <w:abstractNum w:abstractNumId="12" w15:restartNumberingAfterBreak="0">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572E89"/>
    <w:multiLevelType w:val="hybridMultilevel"/>
    <w:tmpl w:val="DEC0F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0"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9"/>
  </w:num>
  <w:num w:numId="3">
    <w:abstractNumId w:val="22"/>
  </w:num>
  <w:num w:numId="4">
    <w:abstractNumId w:val="1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0"/>
  </w:num>
  <w:num w:numId="18">
    <w:abstractNumId w:val="18"/>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5"/>
  </w:num>
  <w:num w:numId="23">
    <w:abstractNumId w:val="26"/>
  </w:num>
  <w:num w:numId="24">
    <w:abstractNumId w:val="27"/>
  </w:num>
  <w:num w:numId="25">
    <w:abstractNumId w:val="1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BD"/>
    <w:rsid w:val="00000871"/>
    <w:rsid w:val="000022F9"/>
    <w:rsid w:val="00003ACB"/>
    <w:rsid w:val="00015342"/>
    <w:rsid w:val="000237C0"/>
    <w:rsid w:val="000322F2"/>
    <w:rsid w:val="000364EA"/>
    <w:rsid w:val="00036FC7"/>
    <w:rsid w:val="00041650"/>
    <w:rsid w:val="000579B1"/>
    <w:rsid w:val="00094355"/>
    <w:rsid w:val="000A4C09"/>
    <w:rsid w:val="000B0A5D"/>
    <w:rsid w:val="000B53EE"/>
    <w:rsid w:val="000E38FA"/>
    <w:rsid w:val="00105337"/>
    <w:rsid w:val="00116161"/>
    <w:rsid w:val="00123209"/>
    <w:rsid w:val="001373D3"/>
    <w:rsid w:val="0014641B"/>
    <w:rsid w:val="00153236"/>
    <w:rsid w:val="00162A8D"/>
    <w:rsid w:val="001662B6"/>
    <w:rsid w:val="00176220"/>
    <w:rsid w:val="00181378"/>
    <w:rsid w:val="00187C9D"/>
    <w:rsid w:val="001A4AE7"/>
    <w:rsid w:val="001A70B0"/>
    <w:rsid w:val="001B0353"/>
    <w:rsid w:val="001B25B3"/>
    <w:rsid w:val="001E195B"/>
    <w:rsid w:val="001F2BBB"/>
    <w:rsid w:val="00201EFE"/>
    <w:rsid w:val="00214DBF"/>
    <w:rsid w:val="00215015"/>
    <w:rsid w:val="0024557E"/>
    <w:rsid w:val="0025392E"/>
    <w:rsid w:val="00271B61"/>
    <w:rsid w:val="002932DC"/>
    <w:rsid w:val="002B3332"/>
    <w:rsid w:val="002C576D"/>
    <w:rsid w:val="002D0C4F"/>
    <w:rsid w:val="002D2462"/>
    <w:rsid w:val="002D54E2"/>
    <w:rsid w:val="00310ED4"/>
    <w:rsid w:val="0031492A"/>
    <w:rsid w:val="00316C1A"/>
    <w:rsid w:val="00331013"/>
    <w:rsid w:val="003341CA"/>
    <w:rsid w:val="003476C1"/>
    <w:rsid w:val="003731B3"/>
    <w:rsid w:val="003A3364"/>
    <w:rsid w:val="003B2099"/>
    <w:rsid w:val="003C3D19"/>
    <w:rsid w:val="003F54AC"/>
    <w:rsid w:val="00436828"/>
    <w:rsid w:val="0044690C"/>
    <w:rsid w:val="004510B9"/>
    <w:rsid w:val="00474063"/>
    <w:rsid w:val="004821C0"/>
    <w:rsid w:val="004967F0"/>
    <w:rsid w:val="004B3F64"/>
    <w:rsid w:val="004B486E"/>
    <w:rsid w:val="004D46DC"/>
    <w:rsid w:val="004D6BC5"/>
    <w:rsid w:val="00501C01"/>
    <w:rsid w:val="005024B5"/>
    <w:rsid w:val="00513540"/>
    <w:rsid w:val="00517D0E"/>
    <w:rsid w:val="005528E7"/>
    <w:rsid w:val="0057396F"/>
    <w:rsid w:val="005747B5"/>
    <w:rsid w:val="005A185E"/>
    <w:rsid w:val="005B50D7"/>
    <w:rsid w:val="005D1F34"/>
    <w:rsid w:val="005F36BE"/>
    <w:rsid w:val="005F4789"/>
    <w:rsid w:val="005F7015"/>
    <w:rsid w:val="0061324D"/>
    <w:rsid w:val="00633958"/>
    <w:rsid w:val="00663D95"/>
    <w:rsid w:val="00676C40"/>
    <w:rsid w:val="0068312C"/>
    <w:rsid w:val="00691D3D"/>
    <w:rsid w:val="006A6BB3"/>
    <w:rsid w:val="006B2544"/>
    <w:rsid w:val="006C6741"/>
    <w:rsid w:val="006D5EE5"/>
    <w:rsid w:val="006F3FE5"/>
    <w:rsid w:val="006F62F4"/>
    <w:rsid w:val="00732CE4"/>
    <w:rsid w:val="00740E26"/>
    <w:rsid w:val="0076047F"/>
    <w:rsid w:val="007606CC"/>
    <w:rsid w:val="007650F4"/>
    <w:rsid w:val="00770DCB"/>
    <w:rsid w:val="00775485"/>
    <w:rsid w:val="007C7CC9"/>
    <w:rsid w:val="007D0F32"/>
    <w:rsid w:val="007D4194"/>
    <w:rsid w:val="008724DE"/>
    <w:rsid w:val="008774A3"/>
    <w:rsid w:val="00880B0D"/>
    <w:rsid w:val="008B3662"/>
    <w:rsid w:val="008B4C13"/>
    <w:rsid w:val="008D6140"/>
    <w:rsid w:val="008E3D60"/>
    <w:rsid w:val="008E675D"/>
    <w:rsid w:val="0090165F"/>
    <w:rsid w:val="00905A8A"/>
    <w:rsid w:val="00942139"/>
    <w:rsid w:val="00944ABD"/>
    <w:rsid w:val="00947C5B"/>
    <w:rsid w:val="00963A43"/>
    <w:rsid w:val="00966C2F"/>
    <w:rsid w:val="009A68B3"/>
    <w:rsid w:val="009C678D"/>
    <w:rsid w:val="00A007EC"/>
    <w:rsid w:val="00A0406E"/>
    <w:rsid w:val="00A27C25"/>
    <w:rsid w:val="00A32F15"/>
    <w:rsid w:val="00A41355"/>
    <w:rsid w:val="00A43B92"/>
    <w:rsid w:val="00A6179E"/>
    <w:rsid w:val="00A9225B"/>
    <w:rsid w:val="00A957E8"/>
    <w:rsid w:val="00AA6DA6"/>
    <w:rsid w:val="00AB209B"/>
    <w:rsid w:val="00B0666A"/>
    <w:rsid w:val="00B10447"/>
    <w:rsid w:val="00B15F40"/>
    <w:rsid w:val="00B277E0"/>
    <w:rsid w:val="00B53A65"/>
    <w:rsid w:val="00B76BF2"/>
    <w:rsid w:val="00BA262D"/>
    <w:rsid w:val="00BA663D"/>
    <w:rsid w:val="00BC3980"/>
    <w:rsid w:val="00BD400C"/>
    <w:rsid w:val="00BF1C1B"/>
    <w:rsid w:val="00C00DC8"/>
    <w:rsid w:val="00C25BDA"/>
    <w:rsid w:val="00C71D32"/>
    <w:rsid w:val="00C76D13"/>
    <w:rsid w:val="00C85254"/>
    <w:rsid w:val="00C877B8"/>
    <w:rsid w:val="00C87F1C"/>
    <w:rsid w:val="00CA0D78"/>
    <w:rsid w:val="00CA0D7D"/>
    <w:rsid w:val="00D1390E"/>
    <w:rsid w:val="00D41C6C"/>
    <w:rsid w:val="00D41D47"/>
    <w:rsid w:val="00D43024"/>
    <w:rsid w:val="00D618C6"/>
    <w:rsid w:val="00D65207"/>
    <w:rsid w:val="00D65C76"/>
    <w:rsid w:val="00D65C9F"/>
    <w:rsid w:val="00D73CDE"/>
    <w:rsid w:val="00D83D25"/>
    <w:rsid w:val="00DA007E"/>
    <w:rsid w:val="00DA2F73"/>
    <w:rsid w:val="00DC3D5A"/>
    <w:rsid w:val="00DC462F"/>
    <w:rsid w:val="00DD6B47"/>
    <w:rsid w:val="00DE047A"/>
    <w:rsid w:val="00DF3E39"/>
    <w:rsid w:val="00E14A38"/>
    <w:rsid w:val="00E24FA3"/>
    <w:rsid w:val="00E36B41"/>
    <w:rsid w:val="00E45954"/>
    <w:rsid w:val="00E62CDA"/>
    <w:rsid w:val="00E72C15"/>
    <w:rsid w:val="00EE50BC"/>
    <w:rsid w:val="00F14C6D"/>
    <w:rsid w:val="00F32D2C"/>
    <w:rsid w:val="00FA6159"/>
    <w:rsid w:val="00FB625D"/>
    <w:rsid w:val="00FC1F3E"/>
    <w:rsid w:val="00FD326B"/>
    <w:rsid w:val="00FD3908"/>
    <w:rsid w:val="00FE7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D13DB83A-6B87-4D19-AEEC-4A2062FD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4EA"/>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locked/>
    <w:rsid w:val="0061324D"/>
    <w:rPr>
      <w:rFonts w:ascii="Arial" w:hAnsi="Arial"/>
      <w:lang w:bidi="ar-SA"/>
    </w:rPr>
  </w:style>
  <w:style w:type="paragraph" w:styleId="ListParagraph">
    <w:name w:val="List Paragraph"/>
    <w:basedOn w:val="Normal"/>
    <w:uiPriority w:val="34"/>
    <w:qFormat/>
    <w:rsid w:val="00732CE4"/>
    <w:pPr>
      <w:ind w:left="720"/>
      <w:contextualSpacing/>
    </w:pPr>
  </w:style>
  <w:style w:type="paragraph" w:customStyle="1" w:styleId="Default">
    <w:name w:val="Default"/>
    <w:rsid w:val="003A336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locked/>
    <w:rsid w:val="000022F9"/>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022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598714028">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defencereview.humanrights.gov.au/reports" TargetMode="External"/><Relationship Id="rId3" Type="http://schemas.openxmlformats.org/officeDocument/2006/relationships/hyperlink" Target="https://www.wgea.gov.au/news-and-media/national-gender-pay-gap-record-high-188" TargetMode="External"/><Relationship Id="rId7" Type="http://schemas.openxmlformats.org/officeDocument/2006/relationships/hyperlink" Target="http://www.dhs.vic.gov.au/about-the-department/plans,-programs-and-projects/plans-and-strategies/women/action-plan-to-address-violence-against-women-and-children" TargetMode="External"/><Relationship Id="rId2" Type="http://schemas.openxmlformats.org/officeDocument/2006/relationships/hyperlink" Target="https://www.wgea.gov.au/sites/default/files/2013-14_summary_report_website.pdf" TargetMode="External"/><Relationship Id="rId1" Type="http://schemas.openxmlformats.org/officeDocument/2006/relationships/hyperlink" Target="http://www.womenonboards.org.au/pubs/bdi/2013/asx.htm" TargetMode="External"/><Relationship Id="rId6" Type="http://schemas.openxmlformats.org/officeDocument/2006/relationships/hyperlink" Target="https://www.humanrights.gov.au/our-work/sex-discrimination/publications/supporting-working-parents-pregnancy-and-return-work" TargetMode="External"/><Relationship Id="rId5" Type="http://schemas.openxmlformats.org/officeDocument/2006/relationships/hyperlink" Target="https://www.humanrights.gov.au/our-work/sex-discrimination/publications/investing-care-recognising-and-valuing-those-who-care" TargetMode="External"/><Relationship Id="rId4" Type="http://schemas.openxmlformats.org/officeDocument/2006/relationships/hyperlink" Target="http://www.abs.gov.au/AUSSTATS/abs@.nsf/Latestproducts/4436.0Main%20Features22012?opendocument&amp;tabname=Summary&amp;prodno=4436.0&amp;issue=2012&amp;num=&amp;view=" TargetMode="External"/><Relationship Id="rId9" Type="http://schemas.openxmlformats.org/officeDocument/2006/relationships/hyperlink" Target="http://www.pm.gov.au/media/2015-09-24/womens-safety-package-stop-viole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FB3AB-63D6-4715-A370-CBFE7E60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Electronic Letterhead.dot</Template>
  <TotalTime>23</TotalTime>
  <Pages>3</Pages>
  <Words>638</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Akhil Abraham</dc:creator>
  <cp:lastModifiedBy>Akhil Abraham</cp:lastModifiedBy>
  <cp:revision>8</cp:revision>
  <cp:lastPrinted>2015-09-24T01:41:00Z</cp:lastPrinted>
  <dcterms:created xsi:type="dcterms:W3CDTF">2015-06-30T04:48:00Z</dcterms:created>
  <dcterms:modified xsi:type="dcterms:W3CDTF">2015-09-24T01:44:00Z</dcterms:modified>
</cp:coreProperties>
</file>