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90" w:rsidRDefault="00452290" w:rsidP="00452290">
      <w:pPr>
        <w:rPr>
          <w:b/>
        </w:rPr>
      </w:pPr>
    </w:p>
    <w:p w:rsidR="00BF1056" w:rsidRDefault="00BF1056" w:rsidP="004C7DA4">
      <w:pPr>
        <w:contextualSpacing/>
        <w:jc w:val="center"/>
        <w:rPr>
          <w:b/>
          <w:color w:val="1F497D" w:themeColor="text2"/>
          <w:sz w:val="36"/>
          <w:szCs w:val="36"/>
        </w:rPr>
      </w:pPr>
    </w:p>
    <w:p w:rsidR="004C7DA4" w:rsidRPr="00BF1056" w:rsidRDefault="004912B5" w:rsidP="004C7DA4">
      <w:pPr>
        <w:contextualSpacing/>
        <w:jc w:val="center"/>
        <w:rPr>
          <w:b/>
          <w:color w:val="1F497D" w:themeColor="text2"/>
          <w:sz w:val="36"/>
          <w:szCs w:val="36"/>
        </w:rPr>
      </w:pPr>
      <w:r w:rsidRPr="00BF1056">
        <w:rPr>
          <w:b/>
          <w:color w:val="1F497D" w:themeColor="text2"/>
          <w:sz w:val="36"/>
          <w:szCs w:val="36"/>
        </w:rPr>
        <w:t xml:space="preserve">Factsheet: </w:t>
      </w:r>
      <w:r w:rsidR="00F6262D" w:rsidRPr="00BF1056">
        <w:rPr>
          <w:b/>
          <w:color w:val="1F497D" w:themeColor="text2"/>
          <w:sz w:val="36"/>
          <w:szCs w:val="36"/>
        </w:rPr>
        <w:t>People with disabilities</w:t>
      </w:r>
    </w:p>
    <w:p w:rsidR="004C7DA4" w:rsidRDefault="004C7DA4" w:rsidP="004C7DA4">
      <w:pPr>
        <w:contextualSpacing/>
        <w:jc w:val="center"/>
        <w:rPr>
          <w:b/>
          <w:sz w:val="28"/>
          <w:szCs w:val="28"/>
        </w:rPr>
      </w:pPr>
    </w:p>
    <w:p w:rsidR="00F6262D" w:rsidRPr="00BF1056" w:rsidRDefault="00F6262D" w:rsidP="00F6262D">
      <w:pPr>
        <w:rPr>
          <w:b/>
          <w:color w:val="1F497D" w:themeColor="text2"/>
          <w:sz w:val="28"/>
          <w:szCs w:val="28"/>
        </w:rPr>
      </w:pPr>
      <w:r w:rsidRPr="00BF1056">
        <w:rPr>
          <w:b/>
          <w:color w:val="1F497D" w:themeColor="text2"/>
          <w:sz w:val="28"/>
          <w:szCs w:val="28"/>
        </w:rPr>
        <w:t>Background Information</w:t>
      </w:r>
    </w:p>
    <w:p w:rsidR="004C4C1B" w:rsidRDefault="00AC5A2D" w:rsidP="00AF7C38">
      <w:pPr>
        <w:tabs>
          <w:tab w:val="left" w:pos="2475"/>
        </w:tabs>
        <w:autoSpaceDE w:val="0"/>
        <w:autoSpaceDN w:val="0"/>
        <w:adjustRightInd w:val="0"/>
        <w:spacing w:before="0" w:after="0"/>
        <w:contextualSpacing/>
        <w:rPr>
          <w:lang w:val="en"/>
        </w:rPr>
      </w:pPr>
      <w:r>
        <w:rPr>
          <w:rFonts w:cs="Arial"/>
        </w:rPr>
        <w:t xml:space="preserve">Since Australia’s first cycle review, progress has been made to protect and promote the human rights of people with disabilities. The Council of Australian Governments adopted the </w:t>
      </w:r>
      <w:r w:rsidR="00C40E8A" w:rsidRPr="00C40E8A">
        <w:rPr>
          <w:lang w:val="en"/>
        </w:rPr>
        <w:t>National Disability Strategy in February 2011</w:t>
      </w:r>
      <w:r>
        <w:rPr>
          <w:lang w:val="en"/>
        </w:rPr>
        <w:t xml:space="preserve">; the </w:t>
      </w:r>
      <w:r w:rsidR="00C40E8A" w:rsidRPr="00C40E8A">
        <w:rPr>
          <w:lang w:val="en"/>
        </w:rPr>
        <w:t xml:space="preserve">Disability (Access to Premises – buildings) Standards 2010 </w:t>
      </w:r>
      <w:r>
        <w:rPr>
          <w:lang w:val="en"/>
        </w:rPr>
        <w:t xml:space="preserve">commenced </w:t>
      </w:r>
      <w:r w:rsidR="00C40E8A" w:rsidRPr="00C40E8A">
        <w:rPr>
          <w:lang w:val="en"/>
        </w:rPr>
        <w:t xml:space="preserve">in May 2011; </w:t>
      </w:r>
      <w:r w:rsidR="004C4C1B">
        <w:rPr>
          <w:lang w:val="en"/>
        </w:rPr>
        <w:t xml:space="preserve">and </w:t>
      </w:r>
      <w:r w:rsidR="00C40E8A" w:rsidRPr="00C40E8A">
        <w:rPr>
          <w:lang w:val="en"/>
        </w:rPr>
        <w:t xml:space="preserve">the </w:t>
      </w:r>
      <w:r>
        <w:rPr>
          <w:lang w:val="en"/>
        </w:rPr>
        <w:t>world leading National Disability Insurance Scheme has commenced implementation</w:t>
      </w:r>
      <w:r w:rsidR="004C4C1B">
        <w:rPr>
          <w:lang w:val="en"/>
        </w:rPr>
        <w:t>.</w:t>
      </w:r>
    </w:p>
    <w:p w:rsidR="00F6262D" w:rsidRPr="00BF1056" w:rsidRDefault="00F6262D" w:rsidP="00F6262D">
      <w:pPr>
        <w:rPr>
          <w:b/>
          <w:color w:val="1F497D" w:themeColor="text2"/>
          <w:sz w:val="28"/>
          <w:szCs w:val="28"/>
        </w:rPr>
      </w:pPr>
      <w:r w:rsidRPr="00BF1056">
        <w:rPr>
          <w:b/>
          <w:color w:val="1F497D" w:themeColor="text2"/>
          <w:sz w:val="28"/>
          <w:szCs w:val="28"/>
        </w:rPr>
        <w:t>Key Issue</w:t>
      </w:r>
      <w:r w:rsidR="00777361" w:rsidRPr="00BF1056">
        <w:rPr>
          <w:b/>
          <w:color w:val="1F497D" w:themeColor="text2"/>
          <w:sz w:val="28"/>
          <w:szCs w:val="28"/>
        </w:rPr>
        <w:t xml:space="preserve"> – National Disability Insurance Scheme roll-out</w:t>
      </w:r>
    </w:p>
    <w:p w:rsidR="00F6262D" w:rsidRPr="001150A8" w:rsidRDefault="00D71D1A" w:rsidP="00F6262D">
      <w:pPr>
        <w:rPr>
          <w:rFonts w:eastAsia="Calibri"/>
          <w:lang w:val="en-NZ" w:eastAsia="en-US"/>
        </w:rPr>
      </w:pPr>
      <w:r w:rsidRPr="00B90CE8">
        <w:rPr>
          <w:rFonts w:eastAsia="Calibri"/>
          <w:lang w:val="en-NZ" w:eastAsia="en-US"/>
        </w:rPr>
        <w:t xml:space="preserve">The </w:t>
      </w:r>
      <w:r w:rsidRPr="00ED5DB4">
        <w:rPr>
          <w:rFonts w:eastAsia="Calibri"/>
          <w:lang w:val="en-NZ" w:eastAsia="en-US"/>
        </w:rPr>
        <w:t>Commission welcome</w:t>
      </w:r>
      <w:r w:rsidR="00AC5A2D">
        <w:rPr>
          <w:rFonts w:eastAsia="Calibri"/>
          <w:lang w:val="en-NZ" w:eastAsia="en-US"/>
        </w:rPr>
        <w:t xml:space="preserve">s the continued support and roll out of the </w:t>
      </w:r>
      <w:r w:rsidRPr="00ED5DB4">
        <w:rPr>
          <w:rFonts w:eastAsia="Calibri"/>
          <w:lang w:val="en-NZ" w:eastAsia="en-US"/>
        </w:rPr>
        <w:t>world leading National Disability Insurance Scheme</w:t>
      </w:r>
      <w:r w:rsidR="00911E16">
        <w:rPr>
          <w:rFonts w:eastAsia="Calibri"/>
          <w:lang w:val="en-NZ" w:eastAsia="en-US"/>
        </w:rPr>
        <w:t>.</w:t>
      </w:r>
      <w:r w:rsidR="001150A8">
        <w:rPr>
          <w:rFonts w:eastAsia="Calibri"/>
          <w:lang w:val="en-NZ" w:eastAsia="en-US"/>
        </w:rPr>
        <w:t xml:space="preserve"> </w:t>
      </w:r>
      <w:r w:rsidR="00911E16">
        <w:rPr>
          <w:rFonts w:eastAsia="Calibri"/>
          <w:lang w:val="en-NZ" w:eastAsia="en-US"/>
        </w:rPr>
        <w:t>The Scheme</w:t>
      </w:r>
      <w:r>
        <w:rPr>
          <w:rFonts w:eastAsia="Calibri"/>
          <w:lang w:val="en-NZ" w:eastAsia="en-US"/>
        </w:rPr>
        <w:t xml:space="preserve"> </w:t>
      </w:r>
      <w:r w:rsidRPr="00ED5DB4">
        <w:rPr>
          <w:rFonts w:eastAsia="Calibri"/>
          <w:lang w:val="en-NZ" w:eastAsia="en-US"/>
        </w:rPr>
        <w:t xml:space="preserve">provides </w:t>
      </w:r>
      <w:proofErr w:type="spellStart"/>
      <w:r w:rsidRPr="00ED5DB4">
        <w:rPr>
          <w:rFonts w:eastAsia="Calibri"/>
          <w:lang w:val="en" w:eastAsia="en-US"/>
        </w:rPr>
        <w:t>individualised</w:t>
      </w:r>
      <w:proofErr w:type="spellEnd"/>
      <w:r w:rsidRPr="00ED5DB4">
        <w:rPr>
          <w:rFonts w:eastAsia="Calibri"/>
          <w:lang w:val="en" w:eastAsia="en-US"/>
        </w:rPr>
        <w:t xml:space="preserve"> support</w:t>
      </w:r>
      <w:r>
        <w:rPr>
          <w:rFonts w:eastAsia="Calibri"/>
          <w:lang w:val="en" w:eastAsia="en-US"/>
        </w:rPr>
        <w:t xml:space="preserve"> packages</w:t>
      </w:r>
      <w:r w:rsidRPr="00ED5DB4">
        <w:rPr>
          <w:rFonts w:eastAsia="Calibri"/>
          <w:lang w:val="en" w:eastAsia="en-US"/>
        </w:rPr>
        <w:t xml:space="preserve"> to people with disability</w:t>
      </w:r>
      <w:r w:rsidR="00911E16">
        <w:rPr>
          <w:rFonts w:eastAsia="Calibri"/>
          <w:lang w:val="en" w:eastAsia="en-US"/>
        </w:rPr>
        <w:t xml:space="preserve"> and </w:t>
      </w:r>
      <w:r w:rsidR="00C67CE2" w:rsidRPr="00C67CE2">
        <w:rPr>
          <w:rFonts w:eastAsia="Calibri"/>
          <w:lang w:eastAsia="en-US"/>
        </w:rPr>
        <w:t xml:space="preserve">commenced in July 2013. </w:t>
      </w:r>
      <w:r w:rsidR="00911E16">
        <w:rPr>
          <w:rFonts w:eastAsia="Calibri"/>
          <w:lang w:eastAsia="en-US"/>
        </w:rPr>
        <w:t>There are currently seven trial sites across the country with full roll-out across the country</w:t>
      </w:r>
      <w:r w:rsidR="00911E16" w:rsidRPr="00911E16">
        <w:rPr>
          <w:rFonts w:eastAsia="Calibri"/>
          <w:lang w:eastAsia="en-US"/>
        </w:rPr>
        <w:t xml:space="preserve"> by June 2019.</w:t>
      </w:r>
      <w:r w:rsidR="00911E16">
        <w:rPr>
          <w:rStyle w:val="EndnoteReference"/>
          <w:rFonts w:eastAsia="Calibri"/>
          <w:lang w:eastAsia="en-US"/>
        </w:rPr>
        <w:endnoteReference w:id="1"/>
      </w:r>
      <w:r w:rsidR="00C67CE2">
        <w:rPr>
          <w:rFonts w:eastAsia="Calibri"/>
          <w:lang w:eastAsia="en-US"/>
        </w:rPr>
        <w:t xml:space="preserve"> </w:t>
      </w:r>
    </w:p>
    <w:p w:rsidR="00F6262D" w:rsidRPr="00BF1056" w:rsidRDefault="00F6262D" w:rsidP="00F6262D">
      <w:pPr>
        <w:rPr>
          <w:b/>
          <w:color w:val="1F497D" w:themeColor="text2"/>
          <w:sz w:val="28"/>
          <w:szCs w:val="28"/>
        </w:rPr>
      </w:pPr>
      <w:r w:rsidRPr="00BF1056">
        <w:rPr>
          <w:b/>
          <w:color w:val="1F497D" w:themeColor="text2"/>
          <w:sz w:val="28"/>
          <w:szCs w:val="28"/>
        </w:rPr>
        <w:t>Recommendation</w:t>
      </w:r>
    </w:p>
    <w:p w:rsidR="00F6262D" w:rsidRPr="00AC5A2D" w:rsidRDefault="00D71D1A" w:rsidP="00F6262D">
      <w:pPr>
        <w:rPr>
          <w:b/>
          <w:i/>
        </w:rPr>
      </w:pPr>
      <w:r w:rsidRPr="00AC5A2D">
        <w:rPr>
          <w:b/>
          <w:i/>
        </w:rPr>
        <w:t xml:space="preserve">The Commission recommends that </w:t>
      </w:r>
      <w:r w:rsidR="00AC5A2D" w:rsidRPr="00AC5A2D">
        <w:rPr>
          <w:b/>
          <w:i/>
        </w:rPr>
        <w:t xml:space="preserve">the </w:t>
      </w:r>
      <w:r w:rsidRPr="00AC5A2D">
        <w:rPr>
          <w:b/>
          <w:i/>
        </w:rPr>
        <w:t>Government fully fund</w:t>
      </w:r>
      <w:r w:rsidR="001150A8">
        <w:rPr>
          <w:b/>
          <w:i/>
        </w:rPr>
        <w:t xml:space="preserve"> </w:t>
      </w:r>
      <w:r w:rsidRPr="00AC5A2D">
        <w:rPr>
          <w:b/>
          <w:i/>
        </w:rPr>
        <w:t>the National Disability Insurance Scheme.</w:t>
      </w:r>
    </w:p>
    <w:p w:rsidR="00F6262D" w:rsidRPr="00BF1056" w:rsidRDefault="00F6262D" w:rsidP="00F6262D">
      <w:pPr>
        <w:rPr>
          <w:b/>
          <w:color w:val="1F497D" w:themeColor="text2"/>
          <w:sz w:val="28"/>
          <w:szCs w:val="28"/>
        </w:rPr>
      </w:pPr>
      <w:r w:rsidRPr="00BF1056">
        <w:rPr>
          <w:b/>
          <w:color w:val="1F497D" w:themeColor="text2"/>
          <w:sz w:val="28"/>
          <w:szCs w:val="28"/>
        </w:rPr>
        <w:t>Key Issue</w:t>
      </w:r>
      <w:r w:rsidR="00777361" w:rsidRPr="00BF1056">
        <w:rPr>
          <w:b/>
          <w:color w:val="1F497D" w:themeColor="text2"/>
          <w:sz w:val="28"/>
          <w:szCs w:val="28"/>
        </w:rPr>
        <w:t xml:space="preserve"> – People with disabilities and employment</w:t>
      </w:r>
    </w:p>
    <w:p w:rsidR="00911E16" w:rsidRDefault="00911E16" w:rsidP="00F6262D">
      <w:pPr>
        <w:rPr>
          <w:lang w:val="en-NZ"/>
        </w:rPr>
      </w:pPr>
      <w:r>
        <w:rPr>
          <w:lang w:val="en"/>
        </w:rPr>
        <w:t xml:space="preserve">Employment rates of people with disabilities </w:t>
      </w:r>
      <w:r w:rsidRPr="00911E16">
        <w:rPr>
          <w:lang w:val="en"/>
        </w:rPr>
        <w:t xml:space="preserve">are comparable with 1992 levels when the </w:t>
      </w:r>
      <w:r w:rsidRPr="00911E16">
        <w:rPr>
          <w:i/>
          <w:lang w:val="en"/>
        </w:rPr>
        <w:t xml:space="preserve">Disability Discrimination Act 1992 </w:t>
      </w:r>
      <w:r w:rsidRPr="00911E16">
        <w:rPr>
          <w:lang w:val="en"/>
        </w:rPr>
        <w:t>(Cth) came into effect.</w:t>
      </w:r>
      <w:r w:rsidR="00D71D1A" w:rsidRPr="00D71D1A">
        <w:rPr>
          <w:vertAlign w:val="superscript"/>
          <w:lang w:val="en-NZ"/>
        </w:rPr>
        <w:endnoteReference w:id="2"/>
      </w:r>
      <w:r w:rsidR="00D71D1A" w:rsidRPr="00D71D1A">
        <w:rPr>
          <w:lang w:val="en-NZ"/>
        </w:rPr>
        <w:t xml:space="preserve"> </w:t>
      </w:r>
      <w:r w:rsidRPr="00911E16">
        <w:rPr>
          <w:rFonts w:eastAsia="MS Mincho"/>
        </w:rPr>
        <w:t>Overall employment rates for people with disability remain low, with labour force participation at around 53 per cent, compared to 83 per cent for people without disability.</w:t>
      </w:r>
      <w:r w:rsidRPr="00911E16">
        <w:rPr>
          <w:rFonts w:eastAsia="MS Mincho"/>
          <w:vertAlign w:val="superscript"/>
        </w:rPr>
        <w:endnoteReference w:id="3"/>
      </w:r>
      <w:r w:rsidRPr="00911E16">
        <w:rPr>
          <w:rFonts w:eastAsia="MS Mincho"/>
        </w:rPr>
        <w:t xml:space="preserve"> The rate of unemployment for people with disabilities also increased in 2012 from 7.8 per cent in</w:t>
      </w:r>
      <w:r w:rsidR="00122F90">
        <w:rPr>
          <w:rFonts w:eastAsia="MS Mincho"/>
        </w:rPr>
        <w:t xml:space="preserve"> </w:t>
      </w:r>
      <w:r w:rsidRPr="00911E16">
        <w:rPr>
          <w:rFonts w:eastAsia="MS Mincho"/>
        </w:rPr>
        <w:t>2009 to 9.4 per cent in 2012.</w:t>
      </w:r>
      <w:r w:rsidRPr="00911E16">
        <w:rPr>
          <w:rFonts w:eastAsia="MS Mincho"/>
          <w:vertAlign w:val="superscript"/>
        </w:rPr>
        <w:endnoteReference w:id="4"/>
      </w:r>
      <w:r w:rsidRPr="00911E16">
        <w:rPr>
          <w:rFonts w:eastAsia="MS Mincho"/>
        </w:rPr>
        <w:t xml:space="preserve"> There has been a consistent decline in employment levels of people with disability in the Australian Public Service over the last 20 years from 5.8 per cent in 1992, to 3.7 per cent in 2001, to 3.1 per cent in 2014.</w:t>
      </w:r>
      <w:r w:rsidRPr="00911E16">
        <w:rPr>
          <w:rFonts w:eastAsia="MS Mincho"/>
          <w:vertAlign w:val="superscript"/>
        </w:rPr>
        <w:endnoteReference w:id="5"/>
      </w:r>
    </w:p>
    <w:p w:rsidR="00911E16" w:rsidRDefault="00911E16" w:rsidP="00F6262D">
      <w:pPr>
        <w:rPr>
          <w:lang w:val="en-NZ"/>
        </w:rPr>
      </w:pPr>
      <w:r w:rsidRPr="00911E16">
        <w:t>The Commission welcomed the announcement by the Australian Government of a national inquiry into barriers facing older wo</w:t>
      </w:r>
      <w:r w:rsidR="001150A8">
        <w:t>rkers and people with disabilit</w:t>
      </w:r>
      <w:r w:rsidRPr="00911E16">
        <w:t>y in employment. At the request of the Attorney-General, the Australian Human Rights Commission is undertaking the National Inquiry into Employment Discrimination against Older Australians and Australians with Disability.</w:t>
      </w:r>
      <w:r w:rsidRPr="00911E16">
        <w:rPr>
          <w:sz w:val="20"/>
          <w:vertAlign w:val="superscript"/>
        </w:rPr>
        <w:endnoteReference w:id="6"/>
      </w:r>
      <w:r w:rsidRPr="00911E16">
        <w:t xml:space="preserve"> </w:t>
      </w:r>
      <w:r>
        <w:rPr>
          <w:lang w:val="en-NZ"/>
        </w:rPr>
        <w:t xml:space="preserve"> </w:t>
      </w:r>
    </w:p>
    <w:p w:rsidR="00F6262D" w:rsidRPr="00BF1056" w:rsidRDefault="00F6262D" w:rsidP="00F6262D">
      <w:pPr>
        <w:rPr>
          <w:b/>
          <w:color w:val="1F497D" w:themeColor="text2"/>
          <w:sz w:val="28"/>
          <w:szCs w:val="28"/>
        </w:rPr>
      </w:pPr>
      <w:r w:rsidRPr="00BF1056">
        <w:rPr>
          <w:b/>
          <w:color w:val="1F497D" w:themeColor="text2"/>
          <w:sz w:val="28"/>
          <w:szCs w:val="28"/>
        </w:rPr>
        <w:t>Recommendation</w:t>
      </w:r>
    </w:p>
    <w:p w:rsidR="00936417" w:rsidRDefault="00D71D1A" w:rsidP="00F6262D">
      <w:pPr>
        <w:rPr>
          <w:rFonts w:eastAsia="Calibri"/>
          <w:b/>
          <w:bCs/>
          <w:i/>
          <w:lang w:val="en-NZ" w:eastAsia="en-US"/>
        </w:rPr>
        <w:sectPr w:rsidR="00936417" w:rsidSect="00CE7182">
          <w:headerReference w:type="default" r:id="rId8"/>
          <w:endnotePr>
            <w:numFmt w:val="decimal"/>
          </w:endnotePr>
          <w:pgSz w:w="11906" w:h="16838" w:code="9"/>
          <w:pgMar w:top="1134" w:right="1418" w:bottom="1134" w:left="1418" w:header="709" w:footer="709" w:gutter="0"/>
          <w:cols w:space="708"/>
          <w:docGrid w:linePitch="360"/>
        </w:sectPr>
      </w:pPr>
      <w:r w:rsidRPr="006C6DC4">
        <w:rPr>
          <w:rFonts w:eastAsia="Calibri"/>
          <w:b/>
          <w:bCs/>
          <w:i/>
          <w:lang w:val="en-NZ" w:eastAsia="en-US"/>
        </w:rPr>
        <w:t>The Commission recommends that Government support an inclusive employment culture through resourcing transition to work programs, educational support and reasonable accommodation, and a targeted increase in public service employment.</w:t>
      </w:r>
    </w:p>
    <w:p w:rsidR="006C6DC4" w:rsidRPr="00BF1056" w:rsidRDefault="006C6DC4" w:rsidP="00F6262D">
      <w:pPr>
        <w:rPr>
          <w:rFonts w:eastAsia="Calibri"/>
          <w:b/>
          <w:bCs/>
          <w:color w:val="1F497D" w:themeColor="text2"/>
          <w:sz w:val="28"/>
          <w:szCs w:val="28"/>
          <w:lang w:val="en-NZ" w:eastAsia="en-US"/>
        </w:rPr>
      </w:pPr>
      <w:r w:rsidRPr="00BF1056">
        <w:rPr>
          <w:rFonts w:eastAsia="Calibri"/>
          <w:b/>
          <w:bCs/>
          <w:color w:val="1F497D" w:themeColor="text2"/>
          <w:sz w:val="28"/>
          <w:szCs w:val="28"/>
          <w:lang w:val="en-NZ" w:eastAsia="en-US"/>
        </w:rPr>
        <w:lastRenderedPageBreak/>
        <w:t>Key Issue – Violence against people with disabilities</w:t>
      </w:r>
    </w:p>
    <w:p w:rsidR="009C0EBF" w:rsidRDefault="006C6DC4" w:rsidP="007077FB">
      <w:pPr>
        <w:rPr>
          <w:rFonts w:eastAsia="Calibri"/>
          <w:bCs/>
          <w:lang w:val="en-NZ" w:eastAsia="en-US"/>
        </w:rPr>
      </w:pPr>
      <w:r>
        <w:rPr>
          <w:rFonts w:eastAsia="Calibri"/>
          <w:bCs/>
          <w:lang w:val="en-NZ" w:eastAsia="en-US"/>
        </w:rPr>
        <w:t xml:space="preserve">Violence against people with disabilities in Australia continues, including reports of sterilisation of people with disabilities, including children, without their consent. </w:t>
      </w:r>
      <w:r w:rsidR="007077FB">
        <w:rPr>
          <w:rFonts w:eastAsia="Calibri"/>
          <w:bCs/>
          <w:lang w:val="en-NZ" w:eastAsia="en-US"/>
        </w:rPr>
        <w:t xml:space="preserve">The Australian Government is encouraged to take note of and implement the recommendations in the Concluding Obligations on Australia by the UN Committee </w:t>
      </w:r>
      <w:proofErr w:type="gramStart"/>
      <w:r w:rsidR="007077FB">
        <w:rPr>
          <w:rFonts w:eastAsia="Calibri"/>
          <w:bCs/>
          <w:lang w:val="en-NZ" w:eastAsia="en-US"/>
        </w:rPr>
        <w:t>Against</w:t>
      </w:r>
      <w:proofErr w:type="gramEnd"/>
      <w:r w:rsidR="007077FB">
        <w:rPr>
          <w:rFonts w:eastAsia="Calibri"/>
          <w:bCs/>
          <w:lang w:val="en-NZ" w:eastAsia="en-US"/>
        </w:rPr>
        <w:t xml:space="preserve"> Torture on this issue.</w:t>
      </w:r>
      <w:r w:rsidR="00C0105D">
        <w:rPr>
          <w:rStyle w:val="EndnoteReference"/>
          <w:rFonts w:eastAsia="Calibri"/>
          <w:bCs/>
          <w:lang w:val="en-NZ" w:eastAsia="en-US"/>
        </w:rPr>
        <w:endnoteReference w:id="7"/>
      </w:r>
    </w:p>
    <w:p w:rsidR="006C6DC4" w:rsidRPr="00BF1056" w:rsidRDefault="006C6DC4" w:rsidP="00F6262D">
      <w:pPr>
        <w:rPr>
          <w:color w:val="1F497D" w:themeColor="text2"/>
          <w:sz w:val="28"/>
          <w:szCs w:val="28"/>
        </w:rPr>
      </w:pPr>
      <w:r w:rsidRPr="00BF1056">
        <w:rPr>
          <w:b/>
          <w:color w:val="1F497D" w:themeColor="text2"/>
          <w:sz w:val="28"/>
          <w:szCs w:val="28"/>
        </w:rPr>
        <w:t>Recommendation</w:t>
      </w:r>
    </w:p>
    <w:p w:rsidR="006C6DC4" w:rsidRDefault="006C6DC4" w:rsidP="00F6262D">
      <w:pPr>
        <w:rPr>
          <w:b/>
        </w:rPr>
      </w:pPr>
      <w:r>
        <w:rPr>
          <w:b/>
          <w:i/>
        </w:rPr>
        <w:t>The Commission recommends that Government adopt a national approach to address violence against people with disabilities and introduce legal protections to ensure no sterilisation of people with disabilities without their consent.</w:t>
      </w:r>
      <w:r>
        <w:rPr>
          <w:b/>
        </w:rPr>
        <w:t xml:space="preserve"> </w:t>
      </w:r>
    </w:p>
    <w:p w:rsidR="00C67CE2" w:rsidRPr="00BF1056" w:rsidRDefault="00C67CE2" w:rsidP="00F6262D">
      <w:pPr>
        <w:rPr>
          <w:b/>
          <w:color w:val="1F497D" w:themeColor="text2"/>
          <w:sz w:val="28"/>
          <w:szCs w:val="28"/>
        </w:rPr>
      </w:pPr>
      <w:r w:rsidRPr="00BF1056">
        <w:rPr>
          <w:b/>
          <w:color w:val="1F497D" w:themeColor="text2"/>
          <w:sz w:val="28"/>
          <w:szCs w:val="28"/>
        </w:rPr>
        <w:t>Key Issue – Access to justice</w:t>
      </w:r>
    </w:p>
    <w:p w:rsidR="00C0105D" w:rsidRDefault="007077FB" w:rsidP="007077FB">
      <w:pPr>
        <w:rPr>
          <w:rFonts w:cs="Arial"/>
          <w:iCs/>
        </w:rPr>
      </w:pPr>
      <w:r>
        <w:rPr>
          <w:rFonts w:cs="Arial"/>
          <w:iCs/>
        </w:rPr>
        <w:t>Access to justice for people with disabilities continues to present significant challenges.</w:t>
      </w:r>
      <w:r w:rsidR="00C0105D">
        <w:rPr>
          <w:rFonts w:cs="Arial"/>
          <w:iCs/>
        </w:rPr>
        <w:t xml:space="preserve"> </w:t>
      </w:r>
    </w:p>
    <w:p w:rsidR="007077FB" w:rsidRDefault="007077FB" w:rsidP="007077FB">
      <w:pPr>
        <w:rPr>
          <w:rFonts w:cs="Arial"/>
          <w:iCs/>
        </w:rPr>
      </w:pPr>
      <w:r w:rsidRPr="00840E6D">
        <w:rPr>
          <w:rFonts w:cs="Arial"/>
          <w:iCs/>
        </w:rPr>
        <w:t xml:space="preserve">The Commission’s report, </w:t>
      </w:r>
      <w:r w:rsidRPr="00840E6D">
        <w:rPr>
          <w:rFonts w:cs="Arial"/>
          <w:i/>
          <w:iCs/>
        </w:rPr>
        <w:t xml:space="preserve">Equal </w:t>
      </w:r>
      <w:proofErr w:type="gramStart"/>
      <w:r w:rsidRPr="00840E6D">
        <w:rPr>
          <w:rFonts w:cs="Arial"/>
          <w:i/>
          <w:iCs/>
        </w:rPr>
        <w:t>Before</w:t>
      </w:r>
      <w:proofErr w:type="gramEnd"/>
      <w:r>
        <w:rPr>
          <w:rFonts w:cs="Arial"/>
          <w:i/>
          <w:iCs/>
        </w:rPr>
        <w:t xml:space="preserve"> t</w:t>
      </w:r>
      <w:r w:rsidRPr="00840E6D">
        <w:rPr>
          <w:rFonts w:cs="Arial"/>
          <w:i/>
          <w:iCs/>
        </w:rPr>
        <w:t>he Law,</w:t>
      </w:r>
      <w:r w:rsidRPr="00F53230">
        <w:rPr>
          <w:bCs/>
          <w:vertAlign w:val="superscript"/>
        </w:rPr>
        <w:endnoteReference w:id="8"/>
      </w:r>
      <w:r>
        <w:rPr>
          <w:bCs/>
          <w:vertAlign w:val="superscript"/>
        </w:rPr>
        <w:t xml:space="preserve"> </w:t>
      </w:r>
      <w:r w:rsidRPr="00840E6D">
        <w:rPr>
          <w:rFonts w:cs="Arial"/>
          <w:iCs/>
        </w:rPr>
        <w:t>concluded that people with disabilities have higher rates of interaction with the criminal justice system than other Australians</w:t>
      </w:r>
      <w:r>
        <w:rPr>
          <w:rFonts w:cs="Arial"/>
          <w:iCs/>
        </w:rPr>
        <w:t xml:space="preserve">. The Report cited </w:t>
      </w:r>
      <w:r w:rsidRPr="00840E6D">
        <w:rPr>
          <w:rFonts w:cs="Arial"/>
          <w:iCs/>
        </w:rPr>
        <w:t>2012 statistics</w:t>
      </w:r>
      <w:r>
        <w:rPr>
          <w:rFonts w:cs="Arial"/>
          <w:iCs/>
        </w:rPr>
        <w:t xml:space="preserve">, which </w:t>
      </w:r>
      <w:r w:rsidRPr="00840E6D">
        <w:rPr>
          <w:rFonts w:cs="Arial"/>
          <w:iCs/>
        </w:rPr>
        <w:t xml:space="preserve">indicate </w:t>
      </w:r>
      <w:r>
        <w:rPr>
          <w:rFonts w:cs="Arial"/>
          <w:iCs/>
        </w:rPr>
        <w:t xml:space="preserve">that </w:t>
      </w:r>
      <w:r w:rsidRPr="00840E6D">
        <w:rPr>
          <w:rFonts w:cs="Arial"/>
          <w:iCs/>
        </w:rPr>
        <w:t>38% of prison entrants reported they have ever been told by a doctor, psychiatrist, psychologist or nurse that they have a mental health disorder and 46% of prison discharges reported that they have ever been told they have a health condition – mental health, including drug and alcohol</w:t>
      </w:r>
      <w:r>
        <w:rPr>
          <w:rFonts w:cs="Arial"/>
          <w:iCs/>
        </w:rPr>
        <w:t xml:space="preserve"> </w:t>
      </w:r>
      <w:r w:rsidRPr="00840E6D">
        <w:rPr>
          <w:rFonts w:cs="Arial"/>
          <w:iCs/>
        </w:rPr>
        <w:t>abuse.</w:t>
      </w:r>
      <w:r>
        <w:rPr>
          <w:rFonts w:cs="Arial"/>
          <w:iCs/>
        </w:rPr>
        <w:t xml:space="preserve"> The report found that necessary supports and adjustments for people with disabilities were frequently not provided in the criminal justice system.</w:t>
      </w:r>
    </w:p>
    <w:p w:rsidR="007077FB" w:rsidRPr="00F25168" w:rsidRDefault="007077FB" w:rsidP="007077FB">
      <w:pPr>
        <w:rPr>
          <w:rFonts w:cs="Arial"/>
          <w:iCs/>
        </w:rPr>
      </w:pPr>
      <w:r>
        <w:rPr>
          <w:rFonts w:cs="Arial"/>
          <w:iCs/>
        </w:rPr>
        <w:t xml:space="preserve">The indefinite detention of people with a cognitive impairment is also of concern. </w:t>
      </w:r>
      <w:r w:rsidRPr="00840E6D">
        <w:rPr>
          <w:rFonts w:cs="Arial"/>
        </w:rPr>
        <w:t xml:space="preserve">In 2014 the Commission inquired into complaints </w:t>
      </w:r>
      <w:r>
        <w:rPr>
          <w:rFonts w:cs="Arial"/>
        </w:rPr>
        <w:t xml:space="preserve">by </w:t>
      </w:r>
      <w:r w:rsidRPr="00840E6D">
        <w:rPr>
          <w:rFonts w:cs="Arial"/>
        </w:rPr>
        <w:t>four Aboriginal men with intellectual and cognitive disabilities who had been incarcerated for a number of years despite being found unfit to stand trial or not guilty by reason of insanity.</w:t>
      </w:r>
      <w:r>
        <w:rPr>
          <w:rFonts w:cs="Arial"/>
          <w:iCs/>
        </w:rPr>
        <w:t xml:space="preserve"> </w:t>
      </w:r>
      <w:r>
        <w:rPr>
          <w:rStyle w:val="EndnoteReference"/>
          <w:rFonts w:cs="Arial"/>
          <w:iCs/>
        </w:rPr>
        <w:endnoteReference w:id="9"/>
      </w:r>
      <w:r>
        <w:rPr>
          <w:rFonts w:cs="Arial"/>
          <w:iCs/>
        </w:rPr>
        <w:t xml:space="preserve"> </w:t>
      </w:r>
      <w:r w:rsidRPr="00840E6D">
        <w:rPr>
          <w:rFonts w:cs="Arial"/>
        </w:rPr>
        <w:t>The Aboriginal Disability Justice Campaign advocates for progress in relation to the indefinite incarceration of Aboriginal people with intellectual and cognitive disabilities.</w:t>
      </w:r>
      <w:r>
        <w:rPr>
          <w:rStyle w:val="EndnoteReference"/>
          <w:rFonts w:cs="Arial"/>
        </w:rPr>
        <w:endnoteReference w:id="10"/>
      </w:r>
    </w:p>
    <w:p w:rsidR="007077FB" w:rsidRPr="00BF1056" w:rsidRDefault="007077FB" w:rsidP="007077FB">
      <w:pPr>
        <w:rPr>
          <w:b/>
          <w:color w:val="1F497D" w:themeColor="text2"/>
          <w:sz w:val="28"/>
          <w:szCs w:val="28"/>
        </w:rPr>
      </w:pPr>
      <w:r w:rsidRPr="00BF1056">
        <w:rPr>
          <w:b/>
          <w:color w:val="1F497D" w:themeColor="text2"/>
          <w:sz w:val="28"/>
          <w:szCs w:val="28"/>
        </w:rPr>
        <w:t>Recommendation</w:t>
      </w:r>
    </w:p>
    <w:p w:rsidR="00C67CE2" w:rsidRDefault="007077FB" w:rsidP="007660C7">
      <w:pPr>
        <w:rPr>
          <w:b/>
          <w:i/>
        </w:rPr>
      </w:pPr>
      <w:r w:rsidRPr="005A406C">
        <w:rPr>
          <w:b/>
          <w:i/>
        </w:rPr>
        <w:t>The Commission recommends that Government adopt measures to improve access to justice for people with disabilities, develop alternative care arrangements where people are found unfit to plead for reasons including cognitive impairment or acquired brain injury.</w:t>
      </w:r>
    </w:p>
    <w:p w:rsidR="00BF1056" w:rsidRDefault="00BF1056" w:rsidP="007660C7">
      <w:pPr>
        <w:rPr>
          <w:b/>
          <w:i/>
        </w:rPr>
      </w:pPr>
    </w:p>
    <w:p w:rsidR="00BF1056" w:rsidRDefault="00BF1056" w:rsidP="007660C7">
      <w:pPr>
        <w:rPr>
          <w:b/>
          <w:i/>
        </w:rPr>
      </w:pPr>
    </w:p>
    <w:p w:rsidR="00BF1056" w:rsidRDefault="00BF1056" w:rsidP="007660C7">
      <w:pPr>
        <w:rPr>
          <w:b/>
          <w:i/>
        </w:rPr>
      </w:pPr>
      <w:bookmarkStart w:id="0" w:name="_GoBack"/>
      <w:bookmarkEnd w:id="0"/>
    </w:p>
    <w:p w:rsidR="00BF1056" w:rsidRPr="00C40E8A" w:rsidRDefault="00BF1056" w:rsidP="007660C7">
      <w:pPr>
        <w:rPr>
          <w:rFonts w:cs="Arial"/>
          <w:sz w:val="18"/>
          <w:szCs w:val="18"/>
        </w:rPr>
      </w:pPr>
    </w:p>
    <w:sectPr w:rsidR="00BF1056" w:rsidRPr="00C40E8A" w:rsidSect="00CE7182">
      <w:headerReference w:type="default" r:id="rId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F38" w:rsidRDefault="00DD5F38" w:rsidP="00F14C6D">
      <w:r>
        <w:separator/>
      </w:r>
    </w:p>
  </w:endnote>
  <w:endnote w:type="continuationSeparator" w:id="0">
    <w:p w:rsidR="00DD5F38" w:rsidRDefault="00DD5F38" w:rsidP="00F14C6D">
      <w:r>
        <w:continuationSeparator/>
      </w:r>
    </w:p>
  </w:endnote>
  <w:endnote w:id="1">
    <w:p w:rsidR="00911E16" w:rsidRPr="00911E16" w:rsidRDefault="00911E16">
      <w:pPr>
        <w:pStyle w:val="EndnoteText"/>
      </w:pPr>
      <w:r>
        <w:rPr>
          <w:rStyle w:val="EndnoteReference"/>
        </w:rPr>
        <w:endnoteRef/>
      </w:r>
      <w:r>
        <w:t xml:space="preserve"> National Disability Insurance Scheme, </w:t>
      </w:r>
      <w:r>
        <w:rPr>
          <w:i/>
        </w:rPr>
        <w:t>What is the NDIS</w:t>
      </w:r>
      <w:proofErr w:type="gramStart"/>
      <w:r>
        <w:rPr>
          <w:i/>
        </w:rPr>
        <w:t>?</w:t>
      </w:r>
      <w:r>
        <w:t>.</w:t>
      </w:r>
      <w:proofErr w:type="gramEnd"/>
      <w:r>
        <w:t xml:space="preserve"> At </w:t>
      </w:r>
      <w:hyperlink r:id="rId1" w:history="1">
        <w:r w:rsidRPr="00601AD6">
          <w:rPr>
            <w:rStyle w:val="Hyperlink"/>
          </w:rPr>
          <w:t>http://www.ndis.gov.au/what-is-the-ndis</w:t>
        </w:r>
      </w:hyperlink>
      <w:r>
        <w:t xml:space="preserve"> (viewed 20 June 2015).</w:t>
      </w:r>
    </w:p>
  </w:endnote>
  <w:endnote w:id="2">
    <w:p w:rsidR="00D71D1A" w:rsidRPr="00840E6D" w:rsidRDefault="00D71D1A" w:rsidP="00D71D1A">
      <w:pPr>
        <w:pStyle w:val="EndnoteText"/>
        <w:rPr>
          <w:rFonts w:cs="Arial"/>
        </w:rPr>
      </w:pPr>
      <w:r w:rsidRPr="00E147A8">
        <w:rPr>
          <w:rStyle w:val="EndnoteReference"/>
          <w:rFonts w:cs="Arial"/>
        </w:rPr>
        <w:endnoteRef/>
      </w:r>
      <w:r w:rsidRPr="00E147A8">
        <w:rPr>
          <w:rFonts w:cs="Arial"/>
        </w:rPr>
        <w:t xml:space="preserve"> Australian Bureau of Statistics, </w:t>
      </w:r>
      <w:r w:rsidRPr="00E147A8">
        <w:rPr>
          <w:rFonts w:cs="Arial"/>
          <w:i/>
          <w:iCs/>
        </w:rPr>
        <w:t>Disability, Ageing and Carers, Australia: Summary of Findings</w:t>
      </w:r>
      <w:r w:rsidRPr="00840E6D">
        <w:rPr>
          <w:rFonts w:cs="Arial"/>
          <w:i/>
          <w:iCs/>
        </w:rPr>
        <w:t>, 2012</w:t>
      </w:r>
      <w:r w:rsidRPr="00840E6D">
        <w:rPr>
          <w:rFonts w:cs="Arial"/>
        </w:rPr>
        <w:t xml:space="preserve">, 4430.0 (2012). At </w:t>
      </w:r>
      <w:hyperlink r:id="rId2" w:history="1">
        <w:r w:rsidRPr="00840E6D">
          <w:rPr>
            <w:rStyle w:val="Hyperlink"/>
            <w:rFonts w:cs="Arial"/>
          </w:rPr>
          <w:t>http://www.abs.gov.au/ausstats/abs@.nsf/Lookup/E82EBA276AB693E5CA257C21000E5013?opendocument</w:t>
        </w:r>
      </w:hyperlink>
      <w:r w:rsidRPr="00840E6D">
        <w:rPr>
          <w:rFonts w:cs="Arial"/>
        </w:rPr>
        <w:t xml:space="preserve"> (viewed 21 March 2015).</w:t>
      </w:r>
    </w:p>
  </w:endnote>
  <w:endnote w:id="3">
    <w:p w:rsidR="00911E16" w:rsidRPr="008F21EB" w:rsidRDefault="00911E16" w:rsidP="00911E16">
      <w:pPr>
        <w:pStyle w:val="EndnoteText"/>
        <w:contextualSpacing/>
      </w:pPr>
      <w:r w:rsidRPr="008F21EB">
        <w:rPr>
          <w:rStyle w:val="EndnoteReference"/>
          <w:rFonts w:cs="Arial"/>
        </w:rPr>
        <w:endnoteRef/>
      </w:r>
      <w:r w:rsidRPr="008F21EB">
        <w:rPr>
          <w:rFonts w:cs="Arial"/>
        </w:rPr>
        <w:t xml:space="preserve"> Australian Bureau of Statistics (ABS), </w:t>
      </w:r>
      <w:r w:rsidRPr="008F21EB">
        <w:rPr>
          <w:rFonts w:cs="Arial"/>
          <w:bCs/>
          <w:i/>
        </w:rPr>
        <w:t>Disability, Ageing and Carers, Australia: Summary of Findings, 2012</w:t>
      </w:r>
      <w:r w:rsidRPr="008F21EB">
        <w:rPr>
          <w:rFonts w:cs="Arial"/>
        </w:rPr>
        <w:t xml:space="preserve">, 4430.0 (2012). At </w:t>
      </w:r>
      <w:hyperlink r:id="rId3" w:history="1">
        <w:r w:rsidRPr="008F21EB">
          <w:rPr>
            <w:rStyle w:val="Hyperlink"/>
          </w:rPr>
          <w:t>http://www.abs.gov.au/ausstats/abs@.nsf/Lookup/E82EBA276AB693E5CA257C21000E5013?opendocument</w:t>
        </w:r>
      </w:hyperlink>
      <w:r w:rsidRPr="008F21EB">
        <w:t xml:space="preserve"> (viewed 26 November 2014).</w:t>
      </w:r>
    </w:p>
  </w:endnote>
  <w:endnote w:id="4">
    <w:p w:rsidR="00911E16" w:rsidRPr="008F21EB" w:rsidRDefault="00911E16" w:rsidP="00911E16">
      <w:pPr>
        <w:pStyle w:val="EndnoteText"/>
      </w:pPr>
      <w:r w:rsidRPr="008F21EB">
        <w:rPr>
          <w:rStyle w:val="EndnoteReference"/>
        </w:rPr>
        <w:endnoteRef/>
      </w:r>
      <w:r w:rsidRPr="008F21EB">
        <w:t xml:space="preserve"> </w:t>
      </w:r>
      <w:r w:rsidRPr="008F21EB">
        <w:rPr>
          <w:rFonts w:cs="Arial"/>
        </w:rPr>
        <w:t xml:space="preserve">Australian Bureau of Statistics (ABS), </w:t>
      </w:r>
      <w:r w:rsidRPr="008F21EB">
        <w:rPr>
          <w:rFonts w:cs="Arial"/>
          <w:bCs/>
          <w:i/>
        </w:rPr>
        <w:t>Disability, Ageing and Carers, Australia: Summary of Findings, 2012</w:t>
      </w:r>
      <w:r w:rsidRPr="008F21EB">
        <w:rPr>
          <w:rFonts w:cs="Arial"/>
        </w:rPr>
        <w:t xml:space="preserve">, 4430.0 (2012). At </w:t>
      </w:r>
      <w:hyperlink r:id="rId4" w:history="1">
        <w:r w:rsidRPr="008F21EB">
          <w:rPr>
            <w:rStyle w:val="Hyperlink"/>
          </w:rPr>
          <w:t>http://www.abs.gov.au/ausstats/abs@.nsf/Lookup/E82EBA276AB693E5CA257C21000E5013?opendocument</w:t>
        </w:r>
      </w:hyperlink>
      <w:r w:rsidRPr="008F21EB">
        <w:t xml:space="preserve"> (viewed 26 November 2014).</w:t>
      </w:r>
    </w:p>
  </w:endnote>
  <w:endnote w:id="5">
    <w:p w:rsidR="00911E16" w:rsidRPr="008F21EB" w:rsidRDefault="00911E16" w:rsidP="00911E16">
      <w:pPr>
        <w:pStyle w:val="EndnoteText"/>
        <w:contextualSpacing/>
      </w:pPr>
      <w:r w:rsidRPr="008F21EB">
        <w:rPr>
          <w:rStyle w:val="EndnoteReference"/>
          <w:rFonts w:cs="Arial"/>
        </w:rPr>
        <w:endnoteRef/>
      </w:r>
      <w:r w:rsidRPr="008F21EB">
        <w:rPr>
          <w:rFonts w:cs="Arial"/>
        </w:rPr>
        <w:t xml:space="preserve"> Australian Public Service Commission, </w:t>
      </w:r>
      <w:r w:rsidRPr="008F21EB">
        <w:rPr>
          <w:rFonts w:cs="Arial"/>
          <w:i/>
        </w:rPr>
        <w:t>Workplace Diversity Report 2000–01</w:t>
      </w:r>
      <w:r w:rsidRPr="008F21EB">
        <w:rPr>
          <w:rFonts w:cs="Arial"/>
        </w:rPr>
        <w:t xml:space="preserve"> (2001) p 73. At </w:t>
      </w:r>
      <w:hyperlink r:id="rId5" w:history="1">
        <w:r w:rsidRPr="008F21EB">
          <w:rPr>
            <w:rStyle w:val="Hyperlink"/>
            <w:rFonts w:cs="Arial"/>
          </w:rPr>
          <w:t>http://www.apsc.gov.au/publications-and-media/print-only</w:t>
        </w:r>
      </w:hyperlink>
      <w:r w:rsidRPr="008F21EB">
        <w:rPr>
          <w:rFonts w:cs="Arial"/>
        </w:rPr>
        <w:t xml:space="preserve"> (viewed 23 October 2013); Australian Public Service Commission, </w:t>
      </w:r>
      <w:r w:rsidRPr="008F21EB">
        <w:rPr>
          <w:rFonts w:cs="Arial"/>
          <w:i/>
        </w:rPr>
        <w:t>State of the Service Report, State of the Services Series 2013–14</w:t>
      </w:r>
      <w:r w:rsidRPr="008F21EB">
        <w:rPr>
          <w:rFonts w:cs="Arial"/>
        </w:rPr>
        <w:t xml:space="preserve"> (2014) p 209. At </w:t>
      </w:r>
      <w:hyperlink r:id="rId6" w:history="1">
        <w:r w:rsidRPr="008F21EB">
          <w:rPr>
            <w:rStyle w:val="Hyperlink"/>
            <w:rFonts w:cs="Arial"/>
          </w:rPr>
          <w:t>http://www.apsc.gov.au/publications-and-media/current-publications/state-of-the-service/state-of-the-service-2013-14</w:t>
        </w:r>
      </w:hyperlink>
      <w:r w:rsidRPr="008F21EB">
        <w:t xml:space="preserve"> </w:t>
      </w:r>
      <w:r w:rsidRPr="008F21EB">
        <w:rPr>
          <w:rFonts w:cs="Arial"/>
        </w:rPr>
        <w:t>(viewed 4 December 2014).</w:t>
      </w:r>
    </w:p>
  </w:endnote>
  <w:endnote w:id="6">
    <w:p w:rsidR="00911E16" w:rsidRPr="0056103D" w:rsidRDefault="00911E16" w:rsidP="00911E16">
      <w:pPr>
        <w:pStyle w:val="EndnoteText"/>
      </w:pPr>
      <w:r>
        <w:rPr>
          <w:rStyle w:val="EndnoteReference"/>
        </w:rPr>
        <w:endnoteRef/>
      </w:r>
      <w:r>
        <w:t xml:space="preserve"> Australian Human Rights Commission, </w:t>
      </w:r>
      <w:r w:rsidRPr="0056103D">
        <w:rPr>
          <w:i/>
        </w:rPr>
        <w:t xml:space="preserve">Willing to Work: National Inquiry into Employment Discrimination </w:t>
      </w:r>
      <w:proofErr w:type="gramStart"/>
      <w:r w:rsidRPr="0056103D">
        <w:rPr>
          <w:i/>
        </w:rPr>
        <w:t>Against</w:t>
      </w:r>
      <w:proofErr w:type="gramEnd"/>
      <w:r w:rsidRPr="0056103D">
        <w:rPr>
          <w:i/>
        </w:rPr>
        <w:t xml:space="preserve"> Older Australians and Australians with Disability</w:t>
      </w:r>
      <w:r>
        <w:t xml:space="preserve">. At </w:t>
      </w:r>
      <w:hyperlink r:id="rId7" w:anchor="about" w:history="1">
        <w:r w:rsidRPr="00601AD6">
          <w:rPr>
            <w:rStyle w:val="Hyperlink"/>
          </w:rPr>
          <w:t>https://www.humanrights.gov.au/our-work/disability-rights/projects/willing-work-national-inquiry-employment-discrimination-against#about</w:t>
        </w:r>
      </w:hyperlink>
      <w:r>
        <w:t xml:space="preserve"> (viewed 20 June 2016).</w:t>
      </w:r>
    </w:p>
  </w:endnote>
  <w:endnote w:id="7">
    <w:p w:rsidR="00C0105D" w:rsidRPr="00C0105D" w:rsidRDefault="00C0105D" w:rsidP="00C0105D">
      <w:pPr>
        <w:pStyle w:val="EndnoteText"/>
        <w:rPr>
          <w:rFonts w:eastAsia="MS Mincho"/>
          <w:i/>
        </w:rPr>
      </w:pPr>
      <w:r>
        <w:rPr>
          <w:rStyle w:val="EndnoteReference"/>
        </w:rPr>
        <w:endnoteRef/>
      </w:r>
      <w:r>
        <w:t xml:space="preserve"> </w:t>
      </w:r>
      <w:r w:rsidRPr="00C0105D">
        <w:rPr>
          <w:rFonts w:eastAsia="MS Mincho"/>
        </w:rPr>
        <w:t xml:space="preserve">United Nations Committee Against Torture, </w:t>
      </w:r>
      <w:r w:rsidRPr="00C0105D">
        <w:rPr>
          <w:rFonts w:eastAsia="MS Mincho"/>
          <w:i/>
        </w:rPr>
        <w:t>Concluding observations on the fourth and fifth periodic</w:t>
      </w:r>
    </w:p>
    <w:p w:rsidR="00C0105D" w:rsidRDefault="00C0105D" w:rsidP="00C0105D">
      <w:pPr>
        <w:pStyle w:val="EndnoteText"/>
      </w:pPr>
      <w:proofErr w:type="gramStart"/>
      <w:r w:rsidRPr="00C0105D">
        <w:rPr>
          <w:rFonts w:eastAsia="MS Mincho"/>
          <w:i/>
        </w:rPr>
        <w:t>reports</w:t>
      </w:r>
      <w:proofErr w:type="gramEnd"/>
      <w:r w:rsidRPr="00C0105D">
        <w:rPr>
          <w:rFonts w:eastAsia="MS Mincho"/>
          <w:i/>
        </w:rPr>
        <w:t xml:space="preserve"> of Australia – Advanced Unedited Version</w:t>
      </w:r>
      <w:r w:rsidRPr="00C0105D">
        <w:rPr>
          <w:rFonts w:eastAsia="MS Mincho"/>
        </w:rPr>
        <w:t xml:space="preserve">. At </w:t>
      </w:r>
      <w:hyperlink r:id="rId8" w:history="1">
        <w:r w:rsidRPr="00C0105D">
          <w:rPr>
            <w:rFonts w:eastAsia="MS Mincho"/>
            <w:color w:val="0000FF"/>
            <w:u w:val="single"/>
          </w:rPr>
          <w:t>http://tbinternet.ohchr.org/Treaties/CAT/Shared%20Documents/AUS/CAT_C_AUS_CO_4-5_18888_E.pdf</w:t>
        </w:r>
      </w:hyperlink>
      <w:r w:rsidRPr="00C0105D">
        <w:rPr>
          <w:rFonts w:eastAsia="MS Mincho"/>
        </w:rPr>
        <w:t xml:space="preserve"> (viewed 5 December 2014).</w:t>
      </w:r>
    </w:p>
  </w:endnote>
  <w:endnote w:id="8">
    <w:p w:rsidR="007077FB" w:rsidRDefault="007077FB" w:rsidP="007077FB">
      <w:pPr>
        <w:pStyle w:val="EndnoteText"/>
      </w:pPr>
      <w:r w:rsidRPr="00840E6D">
        <w:rPr>
          <w:rStyle w:val="EndnoteReference"/>
          <w:rFonts w:cs="Arial"/>
        </w:rPr>
        <w:endnoteRef/>
      </w:r>
      <w:r w:rsidRPr="00840E6D">
        <w:rPr>
          <w:rFonts w:cs="Arial"/>
        </w:rPr>
        <w:t xml:space="preserve"> </w:t>
      </w:r>
      <w:r w:rsidRPr="00840E6D">
        <w:rPr>
          <w:rFonts w:cs="Arial"/>
          <w:iCs/>
        </w:rPr>
        <w:t>Australian Human Rights Commission</w:t>
      </w:r>
      <w:r w:rsidRPr="00840E6D">
        <w:rPr>
          <w:rFonts w:cs="Arial"/>
          <w:i/>
          <w:iCs/>
        </w:rPr>
        <w:t xml:space="preserve">, Equal </w:t>
      </w:r>
      <w:proofErr w:type="gramStart"/>
      <w:r w:rsidRPr="00840E6D">
        <w:rPr>
          <w:rFonts w:cs="Arial"/>
          <w:i/>
          <w:iCs/>
        </w:rPr>
        <w:t>Before</w:t>
      </w:r>
      <w:proofErr w:type="gramEnd"/>
      <w:r w:rsidRPr="00840E6D">
        <w:rPr>
          <w:rFonts w:cs="Arial"/>
          <w:i/>
          <w:iCs/>
        </w:rPr>
        <w:t xml:space="preserve"> the Law: Towards disability justice strategies</w:t>
      </w:r>
      <w:r w:rsidRPr="00840E6D">
        <w:rPr>
          <w:rFonts w:cs="Arial"/>
          <w:iCs/>
        </w:rPr>
        <w:t xml:space="preserve"> (2014) p 12. At </w:t>
      </w:r>
      <w:hyperlink r:id="rId9" w:history="1">
        <w:r w:rsidRPr="00840E6D">
          <w:rPr>
            <w:rStyle w:val="Hyperlink"/>
            <w:rFonts w:cs="Arial"/>
          </w:rPr>
          <w:t>https://www.humanrights.gov.au/our-work/disability-rights/publications/equal-law</w:t>
        </w:r>
      </w:hyperlink>
      <w:r w:rsidRPr="00840E6D">
        <w:rPr>
          <w:rFonts w:cs="Arial"/>
        </w:rPr>
        <w:t xml:space="preserve"> </w:t>
      </w:r>
      <w:r w:rsidRPr="00840E6D">
        <w:rPr>
          <w:rFonts w:cs="Arial"/>
          <w:iCs/>
        </w:rPr>
        <w:t>(</w:t>
      </w:r>
      <w:r w:rsidRPr="00840E6D">
        <w:rPr>
          <w:rFonts w:cs="Arial"/>
        </w:rPr>
        <w:t xml:space="preserve">viewed </w:t>
      </w:r>
      <w:r>
        <w:rPr>
          <w:rFonts w:cs="Arial"/>
        </w:rPr>
        <w:t>22 June 2015</w:t>
      </w:r>
      <w:r w:rsidRPr="00840E6D">
        <w:rPr>
          <w:rFonts w:cs="Arial"/>
          <w:iCs/>
        </w:rPr>
        <w:t xml:space="preserve">). </w:t>
      </w:r>
      <w:r>
        <w:rPr>
          <w:rFonts w:cs="Arial"/>
          <w:iCs/>
        </w:rPr>
        <w:t xml:space="preserve">            </w:t>
      </w:r>
    </w:p>
  </w:endnote>
  <w:endnote w:id="9">
    <w:p w:rsidR="007077FB" w:rsidRDefault="007077FB" w:rsidP="007077FB">
      <w:pPr>
        <w:pStyle w:val="EndnoteText"/>
      </w:pPr>
      <w:r>
        <w:rPr>
          <w:rStyle w:val="EndnoteReference"/>
        </w:rPr>
        <w:endnoteRef/>
      </w:r>
      <w:r>
        <w:t xml:space="preserve"> </w:t>
      </w:r>
      <w:r w:rsidRPr="00840E6D">
        <w:rPr>
          <w:rFonts w:cs="Arial"/>
          <w:i/>
        </w:rPr>
        <w:t>KA, KB, KC and KD v Commonwealth of Australia</w:t>
      </w:r>
      <w:r w:rsidRPr="00840E6D">
        <w:rPr>
          <w:rFonts w:cs="Arial"/>
        </w:rPr>
        <w:t xml:space="preserve"> [2014] </w:t>
      </w:r>
      <w:proofErr w:type="spellStart"/>
      <w:r w:rsidRPr="00840E6D">
        <w:rPr>
          <w:rFonts w:cs="Arial"/>
        </w:rPr>
        <w:t>AusHRC</w:t>
      </w:r>
      <w:proofErr w:type="spellEnd"/>
      <w:r w:rsidRPr="00840E6D">
        <w:rPr>
          <w:rFonts w:cs="Arial"/>
        </w:rPr>
        <w:t xml:space="preserve"> 80. At </w:t>
      </w:r>
      <w:hyperlink r:id="rId10" w:history="1">
        <w:r w:rsidRPr="00840E6D">
          <w:rPr>
            <w:rStyle w:val="Hyperlink"/>
            <w:rFonts w:cs="Arial"/>
          </w:rPr>
          <w:t>https://www.humanrights.gov.au/our-work/legal/publications/ka-kb-kc-and-kd-v-commonwealth-australia</w:t>
        </w:r>
      </w:hyperlink>
      <w:r w:rsidRPr="00840E6D">
        <w:rPr>
          <w:rFonts w:cs="Arial"/>
        </w:rPr>
        <w:t xml:space="preserve"> (viewed </w:t>
      </w:r>
      <w:r>
        <w:rPr>
          <w:rFonts w:cs="Arial"/>
        </w:rPr>
        <w:t>22 June 2015</w:t>
      </w:r>
      <w:r w:rsidRPr="00840E6D">
        <w:rPr>
          <w:rFonts w:cs="Arial"/>
        </w:rPr>
        <w:t>).</w:t>
      </w:r>
    </w:p>
  </w:endnote>
  <w:endnote w:id="10">
    <w:p w:rsidR="007077FB" w:rsidRDefault="007077FB" w:rsidP="007077FB">
      <w:pPr>
        <w:pStyle w:val="EndnoteText"/>
      </w:pPr>
      <w:r>
        <w:rPr>
          <w:rStyle w:val="EndnoteReference"/>
        </w:rPr>
        <w:endnoteRef/>
      </w:r>
      <w:r>
        <w:t xml:space="preserve"> </w:t>
      </w:r>
      <w:r w:rsidRPr="00840E6D">
        <w:rPr>
          <w:rFonts w:cs="Arial"/>
        </w:rPr>
        <w:t xml:space="preserve">People with Disability Australia, </w:t>
      </w:r>
      <w:r w:rsidRPr="00840E6D">
        <w:rPr>
          <w:rFonts w:cs="Arial"/>
          <w:i/>
        </w:rPr>
        <w:t>Aboriginal Disability Justice Campaign</w:t>
      </w:r>
      <w:r w:rsidRPr="00840E6D">
        <w:rPr>
          <w:rFonts w:cs="Arial"/>
        </w:rPr>
        <w:t xml:space="preserve"> (2015). At </w:t>
      </w:r>
      <w:hyperlink r:id="rId11" w:history="1">
        <w:r w:rsidRPr="00840E6D">
          <w:rPr>
            <w:rStyle w:val="Hyperlink"/>
            <w:rFonts w:cs="Arial"/>
          </w:rPr>
          <w:t>http://www.pwd.org.au/adjc/about-us-adjc.html</w:t>
        </w:r>
      </w:hyperlink>
      <w:r w:rsidRPr="00840E6D">
        <w:rPr>
          <w:rFonts w:cs="Arial"/>
        </w:rPr>
        <w:t xml:space="preserve"> (viewed </w:t>
      </w:r>
      <w:r>
        <w:rPr>
          <w:rFonts w:cs="Arial"/>
        </w:rPr>
        <w:t>22 June 2015</w:t>
      </w:r>
      <w:r w:rsidRPr="00840E6D">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F38" w:rsidRDefault="00DD5F38" w:rsidP="00F14C6D">
      <w:r>
        <w:separator/>
      </w:r>
    </w:p>
  </w:footnote>
  <w:footnote w:type="continuationSeparator" w:id="0">
    <w:p w:rsidR="00DD5F38" w:rsidRDefault="00DD5F3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90" w:rsidRPr="00122F90" w:rsidRDefault="00122F90" w:rsidP="00122F90">
    <w:pPr>
      <w:pStyle w:val="Header"/>
      <w:tabs>
        <w:tab w:val="left" w:pos="825"/>
        <w:tab w:val="right" w:pos="9070"/>
      </w:tabs>
      <w:rPr>
        <w:sz w:val="20"/>
        <w:szCs w:val="20"/>
      </w:rPr>
    </w:pPr>
    <w:r>
      <w:rPr>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page">
            <wp:posOffset>457200</wp:posOffset>
          </wp:positionV>
          <wp:extent cx="2365375" cy="8108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10895"/>
                  </a:xfrm>
                  <a:prstGeom prst="rect">
                    <a:avLst/>
                  </a:prstGeom>
                  <a:noFill/>
                </pic:spPr>
              </pic:pic>
            </a:graphicData>
          </a:graphic>
        </wp:anchor>
      </w:drawing>
    </w:r>
    <w:r>
      <w:rPr>
        <w:sz w:val="20"/>
        <w:szCs w:val="20"/>
      </w:rPr>
      <w:tab/>
    </w:r>
    <w:r>
      <w:rPr>
        <w:sz w:val="20"/>
        <w:szCs w:val="20"/>
      </w:rPr>
      <w:tab/>
    </w:r>
    <w:r>
      <w:rPr>
        <w:sz w:val="20"/>
        <w:szCs w:val="20"/>
      </w:rPr>
      <w:tab/>
      <w:t xml:space="preserve"> </w:t>
    </w:r>
    <w:r w:rsidRPr="00122F90">
      <w:rPr>
        <w:sz w:val="20"/>
        <w:szCs w:val="20"/>
      </w:rPr>
      <w:t>Universal Periodic Review</w:t>
    </w:r>
  </w:p>
  <w:p w:rsidR="00B603DC" w:rsidRDefault="00B60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17" w:rsidRPr="00122F90" w:rsidRDefault="00936417" w:rsidP="00122F90">
    <w:pPr>
      <w:pStyle w:val="Header"/>
      <w:tabs>
        <w:tab w:val="left" w:pos="825"/>
        <w:tab w:val="right" w:pos="9070"/>
      </w:tabs>
      <w:rPr>
        <w:sz w:val="20"/>
        <w:szCs w:val="20"/>
      </w:rPr>
    </w:pPr>
    <w:r>
      <w:rPr>
        <w:sz w:val="20"/>
        <w:szCs w:val="20"/>
      </w:rPr>
      <w:tab/>
    </w:r>
    <w:r>
      <w:rPr>
        <w:sz w:val="20"/>
        <w:szCs w:val="20"/>
      </w:rPr>
      <w:tab/>
    </w:r>
    <w:r>
      <w:rPr>
        <w:sz w:val="20"/>
        <w:szCs w:val="20"/>
      </w:rPr>
      <w:tab/>
      <w:t xml:space="preserve"> </w:t>
    </w:r>
  </w:p>
  <w:p w:rsidR="00936417" w:rsidRDefault="00936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DA3922"/>
    <w:multiLevelType w:val="hybridMultilevel"/>
    <w:tmpl w:val="F568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ACB431F"/>
    <w:multiLevelType w:val="hybridMultilevel"/>
    <w:tmpl w:val="1DC8D73C"/>
    <w:lvl w:ilvl="0" w:tplc="1696DFE0">
      <w:start w:val="1"/>
      <w:numFmt w:val="decimal"/>
      <w:lvlText w:val="%1."/>
      <w:lvlJc w:val="left"/>
      <w:pPr>
        <w:ind w:left="360" w:hanging="360"/>
      </w:pPr>
      <w:rPr>
        <w:rFonts w:ascii="Arial" w:hAnsi="Arial" w:cs="Arial"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9"/>
  </w:num>
  <w:num w:numId="13">
    <w:abstractNumId w:val="14"/>
  </w:num>
  <w:num w:numId="14">
    <w:abstractNumId w:val="22"/>
  </w:num>
  <w:num w:numId="15">
    <w:abstractNumId w:val="15"/>
  </w:num>
  <w:num w:numId="16">
    <w:abstractNumId w:val="10"/>
  </w:num>
  <w:num w:numId="17">
    <w:abstractNumId w:val="2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2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2D"/>
    <w:rsid w:val="0001254B"/>
    <w:rsid w:val="00013272"/>
    <w:rsid w:val="00021134"/>
    <w:rsid w:val="000540A0"/>
    <w:rsid w:val="000579B1"/>
    <w:rsid w:val="00074750"/>
    <w:rsid w:val="00074CD6"/>
    <w:rsid w:val="000B0A5D"/>
    <w:rsid w:val="001011C8"/>
    <w:rsid w:val="001150A8"/>
    <w:rsid w:val="00122F90"/>
    <w:rsid w:val="00132462"/>
    <w:rsid w:val="00140077"/>
    <w:rsid w:val="001523D8"/>
    <w:rsid w:val="00153F01"/>
    <w:rsid w:val="001566D4"/>
    <w:rsid w:val="00162A8D"/>
    <w:rsid w:val="00184098"/>
    <w:rsid w:val="001867A2"/>
    <w:rsid w:val="001A5D46"/>
    <w:rsid w:val="001B0353"/>
    <w:rsid w:val="001C139C"/>
    <w:rsid w:val="001C451B"/>
    <w:rsid w:val="001D2050"/>
    <w:rsid w:val="001F2BBB"/>
    <w:rsid w:val="00203F56"/>
    <w:rsid w:val="0020759E"/>
    <w:rsid w:val="00231ED1"/>
    <w:rsid w:val="0023303F"/>
    <w:rsid w:val="0024300C"/>
    <w:rsid w:val="0024557E"/>
    <w:rsid w:val="002702D9"/>
    <w:rsid w:val="003040CA"/>
    <w:rsid w:val="00310ED4"/>
    <w:rsid w:val="00311299"/>
    <w:rsid w:val="0031492A"/>
    <w:rsid w:val="00316504"/>
    <w:rsid w:val="00316C1A"/>
    <w:rsid w:val="00321AF0"/>
    <w:rsid w:val="00377C8F"/>
    <w:rsid w:val="003931C7"/>
    <w:rsid w:val="003955AE"/>
    <w:rsid w:val="00395B25"/>
    <w:rsid w:val="003A533F"/>
    <w:rsid w:val="003B18A7"/>
    <w:rsid w:val="003F0CEE"/>
    <w:rsid w:val="004215B3"/>
    <w:rsid w:val="00444303"/>
    <w:rsid w:val="00452290"/>
    <w:rsid w:val="004561BE"/>
    <w:rsid w:val="00462D4C"/>
    <w:rsid w:val="00473DB9"/>
    <w:rsid w:val="00474063"/>
    <w:rsid w:val="00476EEA"/>
    <w:rsid w:val="004912B5"/>
    <w:rsid w:val="00494D4B"/>
    <w:rsid w:val="004A722D"/>
    <w:rsid w:val="004C4C1B"/>
    <w:rsid w:val="004C7DA4"/>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C6DC4"/>
    <w:rsid w:val="006D5EE5"/>
    <w:rsid w:val="006E06ED"/>
    <w:rsid w:val="006E06F5"/>
    <w:rsid w:val="007039FC"/>
    <w:rsid w:val="00706FAB"/>
    <w:rsid w:val="00707793"/>
    <w:rsid w:val="007077FB"/>
    <w:rsid w:val="007169BB"/>
    <w:rsid w:val="00725D5E"/>
    <w:rsid w:val="007548CA"/>
    <w:rsid w:val="007660C7"/>
    <w:rsid w:val="00770DCB"/>
    <w:rsid w:val="00775485"/>
    <w:rsid w:val="00777361"/>
    <w:rsid w:val="007841E1"/>
    <w:rsid w:val="007D40BD"/>
    <w:rsid w:val="007E1866"/>
    <w:rsid w:val="007E6434"/>
    <w:rsid w:val="00810ABF"/>
    <w:rsid w:val="008125EE"/>
    <w:rsid w:val="0083209A"/>
    <w:rsid w:val="008724DE"/>
    <w:rsid w:val="008A2AF7"/>
    <w:rsid w:val="008A3D57"/>
    <w:rsid w:val="008E3D60"/>
    <w:rsid w:val="0090165F"/>
    <w:rsid w:val="00911E16"/>
    <w:rsid w:val="00921CB7"/>
    <w:rsid w:val="00923C4F"/>
    <w:rsid w:val="00936417"/>
    <w:rsid w:val="009472C4"/>
    <w:rsid w:val="00950E88"/>
    <w:rsid w:val="00966C2F"/>
    <w:rsid w:val="009802F3"/>
    <w:rsid w:val="009A5753"/>
    <w:rsid w:val="009C0EBF"/>
    <w:rsid w:val="009C5FB8"/>
    <w:rsid w:val="009E7FC4"/>
    <w:rsid w:val="009F51D9"/>
    <w:rsid w:val="009F7AAC"/>
    <w:rsid w:val="00A02F56"/>
    <w:rsid w:val="00A0406E"/>
    <w:rsid w:val="00A41355"/>
    <w:rsid w:val="00A43B92"/>
    <w:rsid w:val="00A44720"/>
    <w:rsid w:val="00A6179E"/>
    <w:rsid w:val="00A66F67"/>
    <w:rsid w:val="00AC27AB"/>
    <w:rsid w:val="00AC5A2D"/>
    <w:rsid w:val="00AC6A34"/>
    <w:rsid w:val="00AE76EB"/>
    <w:rsid w:val="00AF7C38"/>
    <w:rsid w:val="00B22697"/>
    <w:rsid w:val="00B277E0"/>
    <w:rsid w:val="00B52E2D"/>
    <w:rsid w:val="00B603DC"/>
    <w:rsid w:val="00B76653"/>
    <w:rsid w:val="00BA262D"/>
    <w:rsid w:val="00BC79EB"/>
    <w:rsid w:val="00BF1056"/>
    <w:rsid w:val="00C0105D"/>
    <w:rsid w:val="00C076F2"/>
    <w:rsid w:val="00C247EB"/>
    <w:rsid w:val="00C25BDA"/>
    <w:rsid w:val="00C40E8A"/>
    <w:rsid w:val="00C53971"/>
    <w:rsid w:val="00C54FB1"/>
    <w:rsid w:val="00C67CE2"/>
    <w:rsid w:val="00C80F9F"/>
    <w:rsid w:val="00CA0D78"/>
    <w:rsid w:val="00CB27A8"/>
    <w:rsid w:val="00CC4960"/>
    <w:rsid w:val="00CE7182"/>
    <w:rsid w:val="00D33FCC"/>
    <w:rsid w:val="00D36D90"/>
    <w:rsid w:val="00D65C76"/>
    <w:rsid w:val="00D71D1A"/>
    <w:rsid w:val="00DA2F73"/>
    <w:rsid w:val="00DA42E8"/>
    <w:rsid w:val="00DA527B"/>
    <w:rsid w:val="00DC193F"/>
    <w:rsid w:val="00DC3C4F"/>
    <w:rsid w:val="00DC462F"/>
    <w:rsid w:val="00DD5F38"/>
    <w:rsid w:val="00E147A8"/>
    <w:rsid w:val="00E24FA3"/>
    <w:rsid w:val="00E328CD"/>
    <w:rsid w:val="00E37DB1"/>
    <w:rsid w:val="00E45954"/>
    <w:rsid w:val="00E75D90"/>
    <w:rsid w:val="00E835AF"/>
    <w:rsid w:val="00E97EF8"/>
    <w:rsid w:val="00EE44D7"/>
    <w:rsid w:val="00F14C6D"/>
    <w:rsid w:val="00F3100E"/>
    <w:rsid w:val="00F6262D"/>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467FE97-A437-4EF5-9B97-0091315F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locked/>
    <w:rsid w:val="00452290"/>
    <w:pPr>
      <w:spacing w:before="0" w:after="0"/>
    </w:pPr>
    <w:rPr>
      <w:rFonts w:ascii="Tahoma" w:hAnsi="Tahoma" w:cs="Tahoma"/>
      <w:sz w:val="16"/>
      <w:szCs w:val="16"/>
    </w:rPr>
  </w:style>
  <w:style w:type="character" w:customStyle="1" w:styleId="BalloonTextChar">
    <w:name w:val="Balloon Text Char"/>
    <w:basedOn w:val="DefaultParagraphFont"/>
    <w:link w:val="BalloonText"/>
    <w:rsid w:val="00452290"/>
    <w:rPr>
      <w:rFonts w:ascii="Tahoma" w:hAnsi="Tahoma" w:cs="Tahoma"/>
      <w:sz w:val="16"/>
      <w:szCs w:val="16"/>
    </w:rPr>
  </w:style>
  <w:style w:type="paragraph" w:styleId="ListParagraph">
    <w:name w:val="List Paragraph"/>
    <w:basedOn w:val="Normal"/>
    <w:uiPriority w:val="34"/>
    <w:qFormat/>
    <w:rsid w:val="004C4C1B"/>
    <w:pPr>
      <w:ind w:left="720"/>
      <w:contextualSpacing/>
    </w:pPr>
  </w:style>
  <w:style w:type="paragraph" w:styleId="Revision">
    <w:name w:val="Revision"/>
    <w:hidden/>
    <w:uiPriority w:val="99"/>
    <w:semiHidden/>
    <w:rsid w:val="00153F0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tbinternet.ohchr.org/Treaties/CAT/Shared%20Documents/AUS/CAT_C_AUS_CO_4-5_18888_E.pdf" TargetMode="External"/><Relationship Id="rId3" Type="http://schemas.openxmlformats.org/officeDocument/2006/relationships/hyperlink" Target="http://www.abs.gov.au/ausstats/abs@.nsf/Lookup/E82EBA276AB693E5CA257C21000E5013?opendocument" TargetMode="External"/><Relationship Id="rId7" Type="http://schemas.openxmlformats.org/officeDocument/2006/relationships/hyperlink" Target="https://www.humanrights.gov.au/our-work/disability-rights/projects/willing-work-national-inquiry-employment-discrimination-against" TargetMode="External"/><Relationship Id="rId2" Type="http://schemas.openxmlformats.org/officeDocument/2006/relationships/hyperlink" Target="http://www.abs.gov.au/ausstats/abs@.nsf/Lookup/E82EBA276AB693E5CA257C21000E5013?opendocument" TargetMode="External"/><Relationship Id="rId1" Type="http://schemas.openxmlformats.org/officeDocument/2006/relationships/hyperlink" Target="http://www.ndis.gov.au/what-is-the-ndis" TargetMode="External"/><Relationship Id="rId6" Type="http://schemas.openxmlformats.org/officeDocument/2006/relationships/hyperlink" Target="http://www.apsc.gov.au/publications-and-media/current-publications/state-of-the-service/state-of-the-service-2013-14" TargetMode="External"/><Relationship Id="rId11" Type="http://schemas.openxmlformats.org/officeDocument/2006/relationships/hyperlink" Target="http://www.pwd.org.au/adjc/about-us-adjc.html" TargetMode="External"/><Relationship Id="rId5" Type="http://schemas.openxmlformats.org/officeDocument/2006/relationships/hyperlink" Target="http://www.apsc.gov.au/publications-and-media/print-only" TargetMode="External"/><Relationship Id="rId10" Type="http://schemas.openxmlformats.org/officeDocument/2006/relationships/hyperlink" Target="https://www.humanrights.gov.au/our-work/legal/publications/ka-kb-kc-and-kd-v-commonwealth-australia" TargetMode="External"/><Relationship Id="rId4" Type="http://schemas.openxmlformats.org/officeDocument/2006/relationships/hyperlink" Target="http://www.abs.gov.au/ausstats/abs@.nsf/Lookup/E82EBA276AB693E5CA257C21000E5013?opendocument" TargetMode="External"/><Relationship Id="rId9" Type="http://schemas.openxmlformats.org/officeDocument/2006/relationships/hyperlink" Target="https://www.humanrights.gov.au/our-work/disability-rights/publications/equal-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DF46-8FBC-42CF-8B86-B8F8C275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651</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Potts</dc:creator>
  <cp:lastModifiedBy>Helen Potts</cp:lastModifiedBy>
  <cp:revision>13</cp:revision>
  <dcterms:created xsi:type="dcterms:W3CDTF">2015-06-21T22:09:00Z</dcterms:created>
  <dcterms:modified xsi:type="dcterms:W3CDTF">2015-06-26T03:21:00Z</dcterms:modified>
</cp:coreProperties>
</file>