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0165F" w14:textId="77777777" w:rsidR="00CA1AAC" w:rsidRPr="00C12F8D" w:rsidRDefault="00CA1AAC" w:rsidP="0026647D">
      <w:pPr>
        <w:pStyle w:val="Subtitle"/>
        <w:spacing w:before="320" w:after="120"/>
        <w:rPr>
          <w:rFonts w:ascii="Open Sans" w:hAnsi="Open Sans" w:cs="Open Sans"/>
          <w:bCs/>
          <w:color w:val="2E74B5" w:themeColor="accent1" w:themeShade="BF"/>
          <w:kern w:val="32"/>
          <w:sz w:val="56"/>
          <w:szCs w:val="32"/>
          <w:lang w:val="en"/>
        </w:rPr>
      </w:pPr>
      <w:bookmarkStart w:id="0" w:name="_Toc515873204"/>
      <w:bookmarkStart w:id="1" w:name="_Toc535580379"/>
      <w:bookmarkStart w:id="2" w:name="_Toc535763997"/>
      <w:bookmarkStart w:id="3" w:name="_Toc535841504"/>
      <w:bookmarkStart w:id="4" w:name="_Toc535857775"/>
      <w:bookmarkStart w:id="5" w:name="_Toc535938104"/>
      <w:bookmarkStart w:id="6" w:name="_Toc536105828"/>
    </w:p>
    <w:p w14:paraId="0385665C" w14:textId="5EBC8891" w:rsidR="0026647D" w:rsidRPr="00C12F8D" w:rsidRDefault="00D85E9A" w:rsidP="0026647D">
      <w:pPr>
        <w:pStyle w:val="Subtitle"/>
        <w:spacing w:before="320" w:after="120"/>
        <w:rPr>
          <w:rFonts w:ascii="Open Sans" w:hAnsi="Open Sans" w:cs="Open Sans"/>
          <w:color w:val="2E74B5" w:themeColor="accent1" w:themeShade="BF"/>
        </w:rPr>
      </w:pPr>
      <w:bookmarkStart w:id="7" w:name="_Toc536111917"/>
      <w:bookmarkStart w:id="8" w:name="_Toc536114449"/>
      <w:bookmarkStart w:id="9" w:name="_Toc536629184"/>
      <w:bookmarkStart w:id="10" w:name="_Toc536780706"/>
      <w:bookmarkStart w:id="11" w:name="_Toc536780818"/>
      <w:bookmarkStart w:id="12" w:name="_Toc536796575"/>
      <w:r w:rsidRPr="00C12F8D">
        <w:rPr>
          <w:rFonts w:ascii="Open Sans" w:hAnsi="Open Sans" w:cs="Open Sans"/>
          <w:bCs/>
          <w:color w:val="2E74B5" w:themeColor="accent1" w:themeShade="BF"/>
          <w:kern w:val="32"/>
          <w:sz w:val="56"/>
          <w:szCs w:val="32"/>
          <w:lang w:val="en"/>
        </w:rPr>
        <w:t>ParentsNext, including its trial and subsequent broader rollout</w:t>
      </w:r>
      <w:r w:rsidRPr="00C12F8D">
        <w:rPr>
          <w:rFonts w:ascii="Open Sans" w:hAnsi="Open Sans" w:cs="Open Sans"/>
          <w:bCs/>
          <w:color w:val="2E74B5" w:themeColor="accent1" w:themeShade="BF"/>
          <w:kern w:val="32"/>
          <w:sz w:val="56"/>
          <w:szCs w:val="32"/>
        </w:rPr>
        <w:t xml:space="preserve"> </w:t>
      </w:r>
      <w:r w:rsidR="00FB63A9" w:rsidRPr="00C12F8D">
        <w:rPr>
          <w:rFonts w:ascii="Open Sans" w:hAnsi="Open Sans" w:cs="Open Sans"/>
          <w:bCs/>
          <w:color w:val="2E74B5" w:themeColor="accent1" w:themeShade="BF"/>
          <w:kern w:val="32"/>
          <w:sz w:val="56"/>
          <w:szCs w:val="32"/>
        </w:rPr>
        <w:br/>
      </w:r>
      <w:r w:rsidR="00817C73" w:rsidRPr="00C12F8D">
        <w:rPr>
          <w:rFonts w:ascii="Open Sans" w:hAnsi="Open Sans" w:cs="Open Sans"/>
          <w:color w:val="2E74B5" w:themeColor="accent1" w:themeShade="BF"/>
        </w:rPr>
        <w:t>Australian Human Rights Commission</w:t>
      </w:r>
      <w:bookmarkStart w:id="13" w:name="_Toc515873205"/>
      <w:bookmarkStart w:id="14" w:name="_Toc535580380"/>
      <w:bookmarkEnd w:id="0"/>
      <w:bookmarkEnd w:id="1"/>
      <w:bookmarkEnd w:id="2"/>
      <w:bookmarkEnd w:id="3"/>
      <w:bookmarkEnd w:id="4"/>
      <w:bookmarkEnd w:id="5"/>
      <w:bookmarkEnd w:id="6"/>
      <w:bookmarkEnd w:id="7"/>
      <w:bookmarkEnd w:id="8"/>
      <w:bookmarkEnd w:id="9"/>
      <w:bookmarkEnd w:id="10"/>
      <w:bookmarkEnd w:id="11"/>
      <w:bookmarkEnd w:id="12"/>
    </w:p>
    <w:p w14:paraId="1AB70487" w14:textId="696930E3" w:rsidR="00817C73" w:rsidRPr="00C12F8D" w:rsidRDefault="00817C73" w:rsidP="0026647D">
      <w:pPr>
        <w:pStyle w:val="Subtitle"/>
        <w:spacing w:before="120"/>
        <w:rPr>
          <w:rFonts w:ascii="Open Sans" w:hAnsi="Open Sans" w:cs="Open Sans"/>
          <w:color w:val="2E74B5" w:themeColor="accent1" w:themeShade="BF"/>
        </w:rPr>
      </w:pPr>
      <w:bookmarkStart w:id="15" w:name="_Toc535763998"/>
      <w:bookmarkStart w:id="16" w:name="_Toc535841505"/>
      <w:bookmarkStart w:id="17" w:name="_Toc535857776"/>
      <w:bookmarkStart w:id="18" w:name="_Toc535938105"/>
      <w:bookmarkStart w:id="19" w:name="_Toc536105829"/>
      <w:bookmarkStart w:id="20" w:name="_Toc536111918"/>
      <w:bookmarkStart w:id="21" w:name="_Toc536114450"/>
      <w:bookmarkStart w:id="22" w:name="_Toc536629185"/>
      <w:bookmarkStart w:id="23" w:name="_Toc536780707"/>
      <w:bookmarkStart w:id="24" w:name="_Toc536780819"/>
      <w:bookmarkStart w:id="25" w:name="_Toc536796576"/>
      <w:r w:rsidRPr="00C12F8D">
        <w:rPr>
          <w:rFonts w:ascii="Open Sans" w:hAnsi="Open Sans" w:cs="Open Sans"/>
          <w:color w:val="2E74B5" w:themeColor="accent1" w:themeShade="BF"/>
        </w:rPr>
        <w:t xml:space="preserve">Submission to the </w:t>
      </w:r>
      <w:bookmarkEnd w:id="13"/>
      <w:r w:rsidR="00D85E9A" w:rsidRPr="00C12F8D">
        <w:rPr>
          <w:rFonts w:ascii="Open Sans" w:hAnsi="Open Sans" w:cs="Open Sans"/>
          <w:color w:val="2E74B5" w:themeColor="accent1" w:themeShade="BF"/>
        </w:rPr>
        <w:t xml:space="preserve">Senate </w:t>
      </w:r>
      <w:r w:rsidR="00D85E9A" w:rsidRPr="00C12F8D">
        <w:rPr>
          <w:rFonts w:ascii="Open Sans" w:hAnsi="Open Sans" w:cs="Open Sans"/>
          <w:color w:val="2E74B5" w:themeColor="accent1" w:themeShade="BF"/>
          <w:lang w:val="en"/>
        </w:rPr>
        <w:t>Community Affairs References Committee</w:t>
      </w:r>
      <w:bookmarkEnd w:id="14"/>
      <w:bookmarkEnd w:id="15"/>
      <w:bookmarkEnd w:id="16"/>
      <w:bookmarkEnd w:id="17"/>
      <w:bookmarkEnd w:id="18"/>
      <w:bookmarkEnd w:id="19"/>
      <w:bookmarkEnd w:id="20"/>
      <w:bookmarkEnd w:id="21"/>
      <w:bookmarkEnd w:id="22"/>
      <w:bookmarkEnd w:id="23"/>
      <w:bookmarkEnd w:id="24"/>
      <w:bookmarkEnd w:id="25"/>
    </w:p>
    <w:p w14:paraId="7A356B6F" w14:textId="77777777" w:rsidR="00F220A5" w:rsidRPr="00C12F8D" w:rsidRDefault="006B7F5C" w:rsidP="00F220A5">
      <w:pPr>
        <w:pStyle w:val="Date"/>
        <w:rPr>
          <w:rFonts w:ascii="Open Sans" w:hAnsi="Open Sans" w:cs="Open Sans"/>
          <w:color w:val="2E74B5" w:themeColor="accent1" w:themeShade="BF"/>
        </w:rPr>
      </w:pPr>
      <w:r w:rsidRPr="00C12F8D">
        <w:rPr>
          <w:rFonts w:ascii="Open Sans" w:hAnsi="Open Sans" w:cs="Open Sans"/>
          <w:color w:val="2E74B5" w:themeColor="accent1" w:themeShade="BF"/>
        </w:rPr>
        <w:t>1 February 2019</w:t>
      </w:r>
    </w:p>
    <w:p w14:paraId="6E676A99" w14:textId="77777777" w:rsidR="00AC636D" w:rsidRPr="00C12F8D" w:rsidRDefault="00AC636D" w:rsidP="00AC636D">
      <w:pPr>
        <w:rPr>
          <w:rFonts w:ascii="Open Sans" w:hAnsi="Open Sans" w:cs="Open Sans"/>
        </w:rPr>
      </w:pPr>
    </w:p>
    <w:p w14:paraId="1071515E" w14:textId="77777777" w:rsidR="009E4BD0" w:rsidRPr="00C12F8D" w:rsidRDefault="009E4BD0" w:rsidP="00AC636D">
      <w:pPr>
        <w:rPr>
          <w:rFonts w:ascii="Open Sans" w:hAnsi="Open Sans" w:cs="Open Sans"/>
        </w:rPr>
        <w:sectPr w:rsidR="009E4BD0" w:rsidRPr="00C12F8D" w:rsidSect="00AC636D">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p>
    <w:p w14:paraId="6141EF2D" w14:textId="77777777" w:rsidR="00CE4B96" w:rsidRPr="00C85B20" w:rsidRDefault="000B5B68" w:rsidP="004838F7">
      <w:pPr>
        <w:pStyle w:val="TOC1"/>
        <w:rPr>
          <w:rFonts w:ascii="Open Sans" w:hAnsi="Open Sans" w:cs="Open Sans"/>
        </w:rPr>
      </w:pPr>
      <w:bookmarkStart w:id="26" w:name="_Toc209316062"/>
      <w:bookmarkEnd w:id="26"/>
      <w:r w:rsidRPr="00C85B20">
        <w:rPr>
          <w:rFonts w:ascii="Open Sans" w:hAnsi="Open Sans" w:cs="Open Sans"/>
        </w:rPr>
        <w:lastRenderedPageBreak/>
        <w:t>Contents</w:t>
      </w:r>
    </w:p>
    <w:p w14:paraId="15121902" w14:textId="42E1C6E0" w:rsidR="00C85B20" w:rsidRPr="00C85B20" w:rsidRDefault="000B5B68" w:rsidP="00C85B20">
      <w:pPr>
        <w:pStyle w:val="TOC2"/>
        <w:rPr>
          <w:rFonts w:ascii="Open Sans" w:eastAsiaTheme="minorEastAsia" w:hAnsi="Open Sans" w:cs="Open Sans"/>
          <w:b w:val="0"/>
          <w:i w:val="0"/>
          <w:sz w:val="22"/>
          <w:szCs w:val="22"/>
          <w:lang w:eastAsia="en-AU"/>
        </w:rPr>
      </w:pPr>
      <w:r w:rsidRPr="00C85B20">
        <w:rPr>
          <w:rFonts w:ascii="Open Sans" w:hAnsi="Open Sans" w:cs="Open Sans"/>
        </w:rPr>
        <w:fldChar w:fldCharType="begin"/>
      </w:r>
      <w:r w:rsidRPr="00C85B20">
        <w:rPr>
          <w:rFonts w:ascii="Open Sans" w:hAnsi="Open Sans" w:cs="Open Sans"/>
        </w:rPr>
        <w:instrText xml:space="preserve"> TOC \o "1-3" \h \z \u </w:instrText>
      </w:r>
      <w:r w:rsidRPr="00C85B20">
        <w:rPr>
          <w:rFonts w:ascii="Open Sans" w:hAnsi="Open Sans" w:cs="Open Sans"/>
        </w:rPr>
        <w:fldChar w:fldCharType="separate"/>
      </w:r>
    </w:p>
    <w:p w14:paraId="7256302C" w14:textId="657ED9C8" w:rsidR="00C85B20" w:rsidRPr="00C85B20" w:rsidRDefault="00C85B20">
      <w:pPr>
        <w:pStyle w:val="TOC1"/>
        <w:rPr>
          <w:rFonts w:ascii="Open Sans" w:eastAsiaTheme="minorEastAsia" w:hAnsi="Open Sans" w:cs="Open Sans"/>
          <w:b w:val="0"/>
          <w:sz w:val="22"/>
          <w:szCs w:val="22"/>
          <w:lang w:eastAsia="en-AU"/>
        </w:rPr>
      </w:pPr>
      <w:hyperlink w:anchor="_Toc536796577" w:history="1">
        <w:r w:rsidRPr="00C85B20">
          <w:rPr>
            <w:rStyle w:val="Hyperlink"/>
            <w:rFonts w:cs="Open Sans"/>
          </w:rPr>
          <w:t>1</w:t>
        </w:r>
        <w:r w:rsidRPr="00C85B20">
          <w:rPr>
            <w:rFonts w:ascii="Open Sans" w:eastAsiaTheme="minorEastAsia" w:hAnsi="Open Sans" w:cs="Open Sans"/>
            <w:b w:val="0"/>
            <w:sz w:val="22"/>
            <w:szCs w:val="22"/>
            <w:lang w:eastAsia="en-AU"/>
          </w:rPr>
          <w:tab/>
        </w:r>
        <w:r w:rsidRPr="00C85B20">
          <w:rPr>
            <w:rStyle w:val="Hyperlink"/>
            <w:rFonts w:cs="Open Sans"/>
          </w:rPr>
          <w:t>Introduction</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_Toc536796577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3</w:t>
        </w:r>
        <w:r w:rsidRPr="00C85B20">
          <w:rPr>
            <w:rFonts w:ascii="Open Sans" w:hAnsi="Open Sans" w:cs="Open Sans"/>
            <w:webHidden/>
          </w:rPr>
          <w:fldChar w:fldCharType="end"/>
        </w:r>
      </w:hyperlink>
    </w:p>
    <w:p w14:paraId="6F830F01" w14:textId="2C0C9988" w:rsidR="00C85B20" w:rsidRPr="00C85B20" w:rsidRDefault="00C85B20">
      <w:pPr>
        <w:pStyle w:val="TOC1"/>
        <w:rPr>
          <w:rFonts w:ascii="Open Sans" w:eastAsiaTheme="minorEastAsia" w:hAnsi="Open Sans" w:cs="Open Sans"/>
          <w:b w:val="0"/>
          <w:sz w:val="22"/>
          <w:szCs w:val="22"/>
          <w:lang w:eastAsia="en-AU"/>
        </w:rPr>
      </w:pPr>
      <w:hyperlink w:anchor="_Toc536796578" w:history="1">
        <w:r w:rsidRPr="00C85B20">
          <w:rPr>
            <w:rStyle w:val="Hyperlink"/>
            <w:rFonts w:cs="Open Sans"/>
          </w:rPr>
          <w:t>2</w:t>
        </w:r>
        <w:r w:rsidRPr="00C85B20">
          <w:rPr>
            <w:rFonts w:ascii="Open Sans" w:eastAsiaTheme="minorEastAsia" w:hAnsi="Open Sans" w:cs="Open Sans"/>
            <w:b w:val="0"/>
            <w:sz w:val="22"/>
            <w:szCs w:val="22"/>
            <w:lang w:eastAsia="en-AU"/>
          </w:rPr>
          <w:tab/>
        </w:r>
        <w:r w:rsidRPr="00C85B20">
          <w:rPr>
            <w:rStyle w:val="Hyperlink"/>
            <w:rFonts w:cs="Open Sans"/>
          </w:rPr>
          <w:t>Recommendations</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_Toc536796578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4</w:t>
        </w:r>
        <w:r w:rsidRPr="00C85B20">
          <w:rPr>
            <w:rFonts w:ascii="Open Sans" w:hAnsi="Open Sans" w:cs="Open Sans"/>
            <w:webHidden/>
          </w:rPr>
          <w:fldChar w:fldCharType="end"/>
        </w:r>
      </w:hyperlink>
    </w:p>
    <w:p w14:paraId="11E37F7E" w14:textId="66845DD7" w:rsidR="00C85B20" w:rsidRPr="00C85B20" w:rsidRDefault="00C85B20">
      <w:pPr>
        <w:pStyle w:val="TOC1"/>
        <w:rPr>
          <w:rFonts w:ascii="Open Sans" w:eastAsiaTheme="minorEastAsia" w:hAnsi="Open Sans" w:cs="Open Sans"/>
          <w:b w:val="0"/>
          <w:sz w:val="22"/>
          <w:szCs w:val="22"/>
          <w:lang w:eastAsia="en-AU"/>
        </w:rPr>
      </w:pPr>
      <w:hyperlink w:anchor="_Toc536796579" w:history="1">
        <w:r w:rsidRPr="00C85B20">
          <w:rPr>
            <w:rStyle w:val="Hyperlink"/>
            <w:rFonts w:cs="Open Sans"/>
          </w:rPr>
          <w:t>3</w:t>
        </w:r>
        <w:r w:rsidRPr="00C85B20">
          <w:rPr>
            <w:rFonts w:ascii="Open Sans" w:eastAsiaTheme="minorEastAsia" w:hAnsi="Open Sans" w:cs="Open Sans"/>
            <w:b w:val="0"/>
            <w:sz w:val="22"/>
            <w:szCs w:val="22"/>
            <w:lang w:eastAsia="en-AU"/>
          </w:rPr>
          <w:tab/>
        </w:r>
        <w:r w:rsidRPr="00C85B20">
          <w:rPr>
            <w:rStyle w:val="Hyperlink"/>
            <w:rFonts w:cs="Open Sans"/>
          </w:rPr>
          <w:t>Background</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_Toc536796579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6</w:t>
        </w:r>
        <w:r w:rsidRPr="00C85B20">
          <w:rPr>
            <w:rFonts w:ascii="Open Sans" w:hAnsi="Open Sans" w:cs="Open Sans"/>
            <w:webHidden/>
          </w:rPr>
          <w:fldChar w:fldCharType="end"/>
        </w:r>
      </w:hyperlink>
    </w:p>
    <w:p w14:paraId="5F9ECE6D" w14:textId="262361F0" w:rsidR="00C85B20" w:rsidRPr="00C85B20" w:rsidRDefault="00C85B20">
      <w:pPr>
        <w:pStyle w:val="TOC2"/>
        <w:rPr>
          <w:rFonts w:ascii="Open Sans" w:eastAsiaTheme="minorEastAsia" w:hAnsi="Open Sans" w:cs="Open Sans"/>
          <w:b w:val="0"/>
          <w:i w:val="0"/>
          <w:sz w:val="22"/>
          <w:szCs w:val="22"/>
          <w:lang w:eastAsia="en-AU"/>
        </w:rPr>
      </w:pPr>
      <w:hyperlink w:anchor="_Toc536796580" w:history="1">
        <w:r w:rsidRPr="00C85B20">
          <w:rPr>
            <w:rStyle w:val="Hyperlink"/>
            <w:rFonts w:cs="Open Sans"/>
          </w:rPr>
          <w:t>3.1</w:t>
        </w:r>
        <w:r w:rsidRPr="00C85B20">
          <w:rPr>
            <w:rFonts w:ascii="Open Sans" w:eastAsiaTheme="minorEastAsia" w:hAnsi="Open Sans" w:cs="Open Sans"/>
            <w:b w:val="0"/>
            <w:i w:val="0"/>
            <w:sz w:val="22"/>
            <w:szCs w:val="22"/>
            <w:lang w:eastAsia="en-AU"/>
          </w:rPr>
          <w:tab/>
        </w:r>
        <w:r w:rsidRPr="00C85B20">
          <w:rPr>
            <w:rStyle w:val="Hyperlink"/>
            <w:rFonts w:cs="Open Sans"/>
          </w:rPr>
          <w:t>Parenting Payment</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_Toc536796580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6</w:t>
        </w:r>
        <w:r w:rsidRPr="00C85B20">
          <w:rPr>
            <w:rFonts w:ascii="Open Sans" w:hAnsi="Open Sans" w:cs="Open Sans"/>
            <w:webHidden/>
          </w:rPr>
          <w:fldChar w:fldCharType="end"/>
        </w:r>
      </w:hyperlink>
    </w:p>
    <w:p w14:paraId="6A621AA4" w14:textId="1F976E1C" w:rsidR="00C85B20" w:rsidRPr="00C85B20" w:rsidRDefault="00C85B20">
      <w:pPr>
        <w:pStyle w:val="TOC2"/>
        <w:rPr>
          <w:rFonts w:ascii="Open Sans" w:eastAsiaTheme="minorEastAsia" w:hAnsi="Open Sans" w:cs="Open Sans"/>
          <w:b w:val="0"/>
          <w:i w:val="0"/>
          <w:sz w:val="22"/>
          <w:szCs w:val="22"/>
          <w:lang w:eastAsia="en-AU"/>
        </w:rPr>
      </w:pPr>
      <w:hyperlink w:anchor="_Toc536796581" w:history="1">
        <w:r w:rsidRPr="00C85B20">
          <w:rPr>
            <w:rStyle w:val="Hyperlink"/>
            <w:rFonts w:cs="Open Sans"/>
          </w:rPr>
          <w:t>3.2</w:t>
        </w:r>
        <w:r w:rsidRPr="00C85B20">
          <w:rPr>
            <w:rFonts w:ascii="Open Sans" w:eastAsiaTheme="minorEastAsia" w:hAnsi="Open Sans" w:cs="Open Sans"/>
            <w:b w:val="0"/>
            <w:i w:val="0"/>
            <w:sz w:val="22"/>
            <w:szCs w:val="22"/>
            <w:lang w:eastAsia="en-AU"/>
          </w:rPr>
          <w:tab/>
        </w:r>
        <w:r w:rsidRPr="00C85B20">
          <w:rPr>
            <w:rStyle w:val="Hyperlink"/>
            <w:rFonts w:cs="Open Sans"/>
          </w:rPr>
          <w:t>Expansion of ParentsNext program</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_Toc536796581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7</w:t>
        </w:r>
        <w:r w:rsidRPr="00C85B20">
          <w:rPr>
            <w:rFonts w:ascii="Open Sans" w:hAnsi="Open Sans" w:cs="Open Sans"/>
            <w:webHidden/>
          </w:rPr>
          <w:fldChar w:fldCharType="end"/>
        </w:r>
      </w:hyperlink>
    </w:p>
    <w:p w14:paraId="50A4E6C2" w14:textId="628019F5" w:rsidR="00C85B20" w:rsidRPr="00C85B20" w:rsidRDefault="00C85B20">
      <w:pPr>
        <w:pStyle w:val="TOC2"/>
        <w:rPr>
          <w:rFonts w:ascii="Open Sans" w:eastAsiaTheme="minorEastAsia" w:hAnsi="Open Sans" w:cs="Open Sans"/>
          <w:b w:val="0"/>
          <w:i w:val="0"/>
          <w:sz w:val="22"/>
          <w:szCs w:val="22"/>
          <w:lang w:eastAsia="en-AU"/>
        </w:rPr>
      </w:pPr>
      <w:hyperlink w:anchor="_Toc536796582" w:history="1">
        <w:r w:rsidRPr="00C85B20">
          <w:rPr>
            <w:rStyle w:val="Hyperlink"/>
            <w:rFonts w:cs="Open Sans"/>
          </w:rPr>
          <w:t>3.3</w:t>
        </w:r>
        <w:r w:rsidRPr="00C85B20">
          <w:rPr>
            <w:rFonts w:ascii="Open Sans" w:eastAsiaTheme="minorEastAsia" w:hAnsi="Open Sans" w:cs="Open Sans"/>
            <w:b w:val="0"/>
            <w:i w:val="0"/>
            <w:sz w:val="22"/>
            <w:szCs w:val="22"/>
            <w:lang w:eastAsia="en-AU"/>
          </w:rPr>
          <w:tab/>
        </w:r>
        <w:r w:rsidRPr="00C85B20">
          <w:rPr>
            <w:rStyle w:val="Hyperlink"/>
            <w:rFonts w:cs="Open Sans"/>
          </w:rPr>
          <w:t>Targeted Compliance Framework</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_Toc536796582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9</w:t>
        </w:r>
        <w:r w:rsidRPr="00C85B20">
          <w:rPr>
            <w:rFonts w:ascii="Open Sans" w:hAnsi="Open Sans" w:cs="Open Sans"/>
            <w:webHidden/>
          </w:rPr>
          <w:fldChar w:fldCharType="end"/>
        </w:r>
      </w:hyperlink>
    </w:p>
    <w:p w14:paraId="613590DE" w14:textId="489E7D6C" w:rsidR="00C85B20" w:rsidRPr="00C85B20" w:rsidRDefault="00C85B20">
      <w:pPr>
        <w:pStyle w:val="TOC1"/>
        <w:rPr>
          <w:rFonts w:ascii="Open Sans" w:eastAsiaTheme="minorEastAsia" w:hAnsi="Open Sans" w:cs="Open Sans"/>
          <w:b w:val="0"/>
          <w:sz w:val="22"/>
          <w:szCs w:val="22"/>
          <w:lang w:eastAsia="en-AU"/>
        </w:rPr>
      </w:pPr>
      <w:hyperlink w:anchor="_Toc536796583" w:history="1">
        <w:r w:rsidRPr="00C85B20">
          <w:rPr>
            <w:rStyle w:val="Hyperlink"/>
            <w:rFonts w:cs="Open Sans"/>
          </w:rPr>
          <w:t>4</w:t>
        </w:r>
        <w:r w:rsidRPr="00C85B20">
          <w:rPr>
            <w:rFonts w:ascii="Open Sans" w:eastAsiaTheme="minorEastAsia" w:hAnsi="Open Sans" w:cs="Open Sans"/>
            <w:b w:val="0"/>
            <w:sz w:val="22"/>
            <w:szCs w:val="22"/>
            <w:lang w:eastAsia="en-AU"/>
          </w:rPr>
          <w:tab/>
        </w:r>
        <w:r w:rsidRPr="00C85B20">
          <w:rPr>
            <w:rStyle w:val="Hyperlink"/>
            <w:rFonts w:cs="Open Sans"/>
          </w:rPr>
          <w:t>The right to social security and related rights</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_Toc536796583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12</w:t>
        </w:r>
        <w:r w:rsidRPr="00C85B20">
          <w:rPr>
            <w:rFonts w:ascii="Open Sans" w:hAnsi="Open Sans" w:cs="Open Sans"/>
            <w:webHidden/>
          </w:rPr>
          <w:fldChar w:fldCharType="end"/>
        </w:r>
      </w:hyperlink>
    </w:p>
    <w:p w14:paraId="5F03802B" w14:textId="219D5D25" w:rsidR="00C85B20" w:rsidRPr="00C85B20" w:rsidRDefault="00C85B20">
      <w:pPr>
        <w:pStyle w:val="TOC1"/>
        <w:rPr>
          <w:rFonts w:ascii="Open Sans" w:eastAsiaTheme="minorEastAsia" w:hAnsi="Open Sans" w:cs="Open Sans"/>
          <w:b w:val="0"/>
          <w:sz w:val="22"/>
          <w:szCs w:val="22"/>
          <w:lang w:eastAsia="en-AU"/>
        </w:rPr>
      </w:pPr>
      <w:hyperlink w:anchor="_Toc536796584" w:history="1">
        <w:r w:rsidRPr="00C85B20">
          <w:rPr>
            <w:rStyle w:val="Hyperlink"/>
            <w:rFonts w:cs="Open Sans"/>
          </w:rPr>
          <w:t>5</w:t>
        </w:r>
        <w:r w:rsidRPr="00C85B20">
          <w:rPr>
            <w:rFonts w:ascii="Open Sans" w:eastAsiaTheme="minorEastAsia" w:hAnsi="Open Sans" w:cs="Open Sans"/>
            <w:b w:val="0"/>
            <w:sz w:val="22"/>
            <w:szCs w:val="22"/>
            <w:lang w:eastAsia="en-AU"/>
          </w:rPr>
          <w:tab/>
        </w:r>
        <w:r w:rsidRPr="00C85B20">
          <w:rPr>
            <w:rStyle w:val="Hyperlink"/>
            <w:rFonts w:cs="Open Sans"/>
          </w:rPr>
          <w:t>Key human rights concerns</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_Toc536796584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15</w:t>
        </w:r>
        <w:r w:rsidRPr="00C85B20">
          <w:rPr>
            <w:rFonts w:ascii="Open Sans" w:hAnsi="Open Sans" w:cs="Open Sans"/>
            <w:webHidden/>
          </w:rPr>
          <w:fldChar w:fldCharType="end"/>
        </w:r>
      </w:hyperlink>
    </w:p>
    <w:p w14:paraId="2458E490" w14:textId="6ADE37DC" w:rsidR="00C85B20" w:rsidRPr="00C85B20" w:rsidRDefault="00C85B20">
      <w:pPr>
        <w:pStyle w:val="TOC2"/>
        <w:rPr>
          <w:rFonts w:ascii="Open Sans" w:eastAsiaTheme="minorEastAsia" w:hAnsi="Open Sans" w:cs="Open Sans"/>
          <w:b w:val="0"/>
          <w:i w:val="0"/>
          <w:sz w:val="22"/>
          <w:szCs w:val="22"/>
          <w:lang w:eastAsia="en-AU"/>
        </w:rPr>
      </w:pPr>
      <w:hyperlink w:anchor="_Toc536796585" w:history="1">
        <w:r w:rsidRPr="00C85B20">
          <w:rPr>
            <w:rStyle w:val="Hyperlink"/>
            <w:rFonts w:cs="Open Sans"/>
          </w:rPr>
          <w:t>5.1</w:t>
        </w:r>
        <w:r w:rsidRPr="00C85B20">
          <w:rPr>
            <w:rFonts w:ascii="Open Sans" w:eastAsiaTheme="minorEastAsia" w:hAnsi="Open Sans" w:cs="Open Sans"/>
            <w:b w:val="0"/>
            <w:i w:val="0"/>
            <w:sz w:val="22"/>
            <w:szCs w:val="22"/>
            <w:lang w:eastAsia="en-AU"/>
          </w:rPr>
          <w:tab/>
        </w:r>
        <w:r w:rsidRPr="00C85B20">
          <w:rPr>
            <w:rStyle w:val="Hyperlink"/>
            <w:rFonts w:cs="Open Sans"/>
          </w:rPr>
          <w:t>Punitive compliance model</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_Toc536796585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15</w:t>
        </w:r>
        <w:r w:rsidRPr="00C85B20">
          <w:rPr>
            <w:rFonts w:ascii="Open Sans" w:hAnsi="Open Sans" w:cs="Open Sans"/>
            <w:webHidden/>
          </w:rPr>
          <w:fldChar w:fldCharType="end"/>
        </w:r>
      </w:hyperlink>
    </w:p>
    <w:p w14:paraId="01453438" w14:textId="1ACC2FD0" w:rsidR="00C85B20" w:rsidRPr="00C85B20" w:rsidRDefault="00C85B20">
      <w:pPr>
        <w:pStyle w:val="TOC3"/>
        <w:rPr>
          <w:rFonts w:ascii="Open Sans" w:eastAsiaTheme="minorEastAsia" w:hAnsi="Open Sans" w:cs="Open Sans"/>
          <w:i w:val="0"/>
          <w:sz w:val="22"/>
          <w:szCs w:val="22"/>
          <w:lang w:eastAsia="en-AU"/>
        </w:rPr>
      </w:pPr>
      <w:hyperlink w:anchor="_Toc536796586" w:history="1">
        <w:r w:rsidRPr="00C85B20">
          <w:rPr>
            <w:rStyle w:val="Hyperlink"/>
            <w:rFonts w:cs="Open Sans"/>
          </w:rPr>
          <w:t>(a)</w:t>
        </w:r>
        <w:r w:rsidRPr="00C85B20">
          <w:rPr>
            <w:rFonts w:ascii="Open Sans" w:eastAsiaTheme="minorEastAsia" w:hAnsi="Open Sans" w:cs="Open Sans"/>
            <w:i w:val="0"/>
            <w:sz w:val="22"/>
            <w:szCs w:val="22"/>
            <w:lang w:eastAsia="en-AU"/>
          </w:rPr>
          <w:tab/>
        </w:r>
        <w:r w:rsidRPr="00C85B20">
          <w:rPr>
            <w:rStyle w:val="Hyperlink"/>
            <w:rFonts w:cs="Open Sans"/>
          </w:rPr>
          <w:t>Breach of minimum essential level of social security and retrogressive measure</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_Toc536796586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18</w:t>
        </w:r>
        <w:r w:rsidRPr="00C85B20">
          <w:rPr>
            <w:rFonts w:ascii="Open Sans" w:hAnsi="Open Sans" w:cs="Open Sans"/>
            <w:webHidden/>
          </w:rPr>
          <w:fldChar w:fldCharType="end"/>
        </w:r>
      </w:hyperlink>
    </w:p>
    <w:p w14:paraId="56F0FBE5" w14:textId="37596E3A" w:rsidR="00C85B20" w:rsidRPr="00C85B20" w:rsidRDefault="00C85B20">
      <w:pPr>
        <w:pStyle w:val="TOC3"/>
        <w:rPr>
          <w:rFonts w:ascii="Open Sans" w:eastAsiaTheme="minorEastAsia" w:hAnsi="Open Sans" w:cs="Open Sans"/>
          <w:i w:val="0"/>
          <w:sz w:val="22"/>
          <w:szCs w:val="22"/>
          <w:lang w:eastAsia="en-AU"/>
        </w:rPr>
      </w:pPr>
      <w:hyperlink w:anchor="_Toc536796587" w:history="1">
        <w:r w:rsidRPr="00C85B20">
          <w:rPr>
            <w:rStyle w:val="Hyperlink"/>
            <w:rFonts w:cs="Open Sans"/>
          </w:rPr>
          <w:t>(b)</w:t>
        </w:r>
        <w:r w:rsidRPr="00C85B20">
          <w:rPr>
            <w:rFonts w:ascii="Open Sans" w:eastAsiaTheme="minorEastAsia" w:hAnsi="Open Sans" w:cs="Open Sans"/>
            <w:i w:val="0"/>
            <w:sz w:val="22"/>
            <w:szCs w:val="22"/>
            <w:lang w:eastAsia="en-AU"/>
          </w:rPr>
          <w:tab/>
        </w:r>
        <w:r w:rsidRPr="00C85B20">
          <w:rPr>
            <w:rStyle w:val="Hyperlink"/>
            <w:rFonts w:cs="Open Sans"/>
          </w:rPr>
          <w:t>Severe detrimental effects on parents and children</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_Toc536796587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21</w:t>
        </w:r>
        <w:r w:rsidRPr="00C85B20">
          <w:rPr>
            <w:rFonts w:ascii="Open Sans" w:hAnsi="Open Sans" w:cs="Open Sans"/>
            <w:webHidden/>
          </w:rPr>
          <w:fldChar w:fldCharType="end"/>
        </w:r>
      </w:hyperlink>
    </w:p>
    <w:p w14:paraId="75FC58D4" w14:textId="0D1877F5" w:rsidR="00C85B20" w:rsidRPr="00C85B20" w:rsidRDefault="00C85B20">
      <w:pPr>
        <w:pStyle w:val="TOC3"/>
        <w:rPr>
          <w:rFonts w:ascii="Open Sans" w:eastAsiaTheme="minorEastAsia" w:hAnsi="Open Sans" w:cs="Open Sans"/>
          <w:i w:val="0"/>
          <w:sz w:val="22"/>
          <w:szCs w:val="22"/>
          <w:lang w:eastAsia="en-AU"/>
        </w:rPr>
      </w:pPr>
      <w:hyperlink w:anchor="_Toc536796588" w:history="1">
        <w:r w:rsidRPr="00C85B20">
          <w:rPr>
            <w:rStyle w:val="Hyperlink"/>
            <w:rFonts w:cs="Open Sans"/>
          </w:rPr>
          <w:t>(c)</w:t>
        </w:r>
        <w:r w:rsidRPr="00C85B20">
          <w:rPr>
            <w:rFonts w:ascii="Open Sans" w:eastAsiaTheme="minorEastAsia" w:hAnsi="Open Sans" w:cs="Open Sans"/>
            <w:i w:val="0"/>
            <w:sz w:val="22"/>
            <w:szCs w:val="22"/>
            <w:lang w:eastAsia="en-AU"/>
          </w:rPr>
          <w:tab/>
        </w:r>
        <w:r w:rsidRPr="00C85B20">
          <w:rPr>
            <w:rStyle w:val="Hyperlink"/>
            <w:rFonts w:cs="Open Sans"/>
          </w:rPr>
          <w:t>Problematic evidence</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_Toc536796588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22</w:t>
        </w:r>
        <w:r w:rsidRPr="00C85B20">
          <w:rPr>
            <w:rFonts w:ascii="Open Sans" w:hAnsi="Open Sans" w:cs="Open Sans"/>
            <w:webHidden/>
          </w:rPr>
          <w:fldChar w:fldCharType="end"/>
        </w:r>
      </w:hyperlink>
    </w:p>
    <w:p w14:paraId="6CE8C41C" w14:textId="3EAC074F" w:rsidR="00C85B20" w:rsidRPr="00C85B20" w:rsidRDefault="00C85B20">
      <w:pPr>
        <w:pStyle w:val="TOC3"/>
        <w:rPr>
          <w:rFonts w:ascii="Open Sans" w:eastAsiaTheme="minorEastAsia" w:hAnsi="Open Sans" w:cs="Open Sans"/>
          <w:i w:val="0"/>
          <w:sz w:val="22"/>
          <w:szCs w:val="22"/>
          <w:lang w:eastAsia="en-AU"/>
        </w:rPr>
      </w:pPr>
      <w:hyperlink w:anchor="_Toc536796589" w:history="1">
        <w:r w:rsidRPr="00C85B20">
          <w:rPr>
            <w:rStyle w:val="Hyperlink"/>
            <w:rFonts w:cs="Open Sans"/>
          </w:rPr>
          <w:t>(d)</w:t>
        </w:r>
        <w:r w:rsidRPr="00C85B20">
          <w:rPr>
            <w:rFonts w:ascii="Open Sans" w:eastAsiaTheme="minorEastAsia" w:hAnsi="Open Sans" w:cs="Open Sans"/>
            <w:i w:val="0"/>
            <w:sz w:val="22"/>
            <w:szCs w:val="22"/>
            <w:lang w:eastAsia="en-AU"/>
          </w:rPr>
          <w:tab/>
        </w:r>
        <w:r w:rsidRPr="00C85B20">
          <w:rPr>
            <w:rStyle w:val="Hyperlink"/>
            <w:rFonts w:cs="Open Sans"/>
          </w:rPr>
          <w:t>Reasonableness, necessity and proportionality not established</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_Toc536796589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27</w:t>
        </w:r>
        <w:r w:rsidRPr="00C85B20">
          <w:rPr>
            <w:rFonts w:ascii="Open Sans" w:hAnsi="Open Sans" w:cs="Open Sans"/>
            <w:webHidden/>
          </w:rPr>
          <w:fldChar w:fldCharType="end"/>
        </w:r>
      </w:hyperlink>
    </w:p>
    <w:p w14:paraId="38B85331" w14:textId="5DC2EDFF" w:rsidR="00C85B20" w:rsidRPr="00C85B20" w:rsidRDefault="00C85B20">
      <w:pPr>
        <w:pStyle w:val="TOC3"/>
        <w:rPr>
          <w:rFonts w:ascii="Open Sans" w:eastAsiaTheme="minorEastAsia" w:hAnsi="Open Sans" w:cs="Open Sans"/>
          <w:i w:val="0"/>
          <w:sz w:val="22"/>
          <w:szCs w:val="22"/>
          <w:lang w:eastAsia="en-AU"/>
        </w:rPr>
      </w:pPr>
      <w:hyperlink w:anchor="_Toc536796590" w:history="1">
        <w:r w:rsidRPr="00C85B20">
          <w:rPr>
            <w:rStyle w:val="Hyperlink"/>
            <w:rFonts w:cs="Open Sans"/>
          </w:rPr>
          <w:t>(e)</w:t>
        </w:r>
        <w:r w:rsidRPr="00C85B20">
          <w:rPr>
            <w:rFonts w:ascii="Open Sans" w:eastAsiaTheme="minorEastAsia" w:hAnsi="Open Sans" w:cs="Open Sans"/>
            <w:i w:val="0"/>
            <w:sz w:val="22"/>
            <w:szCs w:val="22"/>
            <w:lang w:eastAsia="en-AU"/>
          </w:rPr>
          <w:tab/>
        </w:r>
        <w:r w:rsidRPr="00C85B20">
          <w:rPr>
            <w:rStyle w:val="Hyperlink"/>
            <w:rFonts w:cs="Open Sans"/>
          </w:rPr>
          <w:t>Program safeguards inadequate</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_Toc536796590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28</w:t>
        </w:r>
        <w:r w:rsidRPr="00C85B20">
          <w:rPr>
            <w:rFonts w:ascii="Open Sans" w:hAnsi="Open Sans" w:cs="Open Sans"/>
            <w:webHidden/>
          </w:rPr>
          <w:fldChar w:fldCharType="end"/>
        </w:r>
      </w:hyperlink>
    </w:p>
    <w:p w14:paraId="125C63BB" w14:textId="08A85286" w:rsidR="00C85B20" w:rsidRPr="00C85B20" w:rsidRDefault="00C85B20">
      <w:pPr>
        <w:pStyle w:val="TOC2"/>
        <w:rPr>
          <w:rFonts w:ascii="Open Sans" w:eastAsiaTheme="minorEastAsia" w:hAnsi="Open Sans" w:cs="Open Sans"/>
          <w:b w:val="0"/>
          <w:i w:val="0"/>
          <w:sz w:val="22"/>
          <w:szCs w:val="22"/>
          <w:lang w:eastAsia="en-AU"/>
        </w:rPr>
      </w:pPr>
      <w:hyperlink w:anchor="_Toc536796591" w:history="1">
        <w:r w:rsidRPr="00C85B20">
          <w:rPr>
            <w:rStyle w:val="Hyperlink"/>
            <w:rFonts w:cs="Open Sans"/>
          </w:rPr>
          <w:t>5.2</w:t>
        </w:r>
        <w:r w:rsidRPr="00C85B20">
          <w:rPr>
            <w:rFonts w:ascii="Open Sans" w:eastAsiaTheme="minorEastAsia" w:hAnsi="Open Sans" w:cs="Open Sans"/>
            <w:b w:val="0"/>
            <w:i w:val="0"/>
            <w:sz w:val="22"/>
            <w:szCs w:val="22"/>
            <w:lang w:eastAsia="en-AU"/>
          </w:rPr>
          <w:tab/>
        </w:r>
        <w:r w:rsidRPr="00C85B20">
          <w:rPr>
            <w:rStyle w:val="Hyperlink"/>
            <w:rFonts w:cs="Open Sans"/>
          </w:rPr>
          <w:t>Discriminatory impacts on women and Indigenous Australians</w:t>
        </w:r>
        <w:r w:rsidRPr="00C85B20">
          <w:rPr>
            <w:rFonts w:ascii="Open Sans" w:hAnsi="Open Sans" w:cs="Open Sans"/>
            <w:webHidden/>
          </w:rPr>
          <w:tab/>
        </w:r>
        <w:r w:rsidRPr="00C85B20">
          <w:rPr>
            <w:rFonts w:ascii="Open Sans" w:hAnsi="Open Sans" w:cs="Open Sans"/>
            <w:webHidden/>
          </w:rPr>
          <w:fldChar w:fldCharType="begin"/>
        </w:r>
        <w:r w:rsidRPr="00C85B20">
          <w:rPr>
            <w:rFonts w:ascii="Open Sans" w:hAnsi="Open Sans" w:cs="Open Sans"/>
            <w:webHidden/>
          </w:rPr>
          <w:instrText xml:space="preserve"> PAGEREF _Toc536796591 \h </w:instrText>
        </w:r>
        <w:r w:rsidRPr="00C85B20">
          <w:rPr>
            <w:rFonts w:ascii="Open Sans" w:hAnsi="Open Sans" w:cs="Open Sans"/>
            <w:webHidden/>
          </w:rPr>
        </w:r>
        <w:r w:rsidRPr="00C85B20">
          <w:rPr>
            <w:rFonts w:ascii="Open Sans" w:hAnsi="Open Sans" w:cs="Open Sans"/>
            <w:webHidden/>
          </w:rPr>
          <w:fldChar w:fldCharType="separate"/>
        </w:r>
        <w:r w:rsidRPr="00C85B20">
          <w:rPr>
            <w:rFonts w:ascii="Open Sans" w:hAnsi="Open Sans" w:cs="Open Sans"/>
            <w:webHidden/>
          </w:rPr>
          <w:t>30</w:t>
        </w:r>
        <w:r w:rsidRPr="00C85B20">
          <w:rPr>
            <w:rFonts w:ascii="Open Sans" w:hAnsi="Open Sans" w:cs="Open Sans"/>
            <w:webHidden/>
          </w:rPr>
          <w:fldChar w:fldCharType="end"/>
        </w:r>
      </w:hyperlink>
    </w:p>
    <w:p w14:paraId="6155688F" w14:textId="13E53C75" w:rsidR="00BB5153" w:rsidRPr="00C12F8D" w:rsidRDefault="000B5B68" w:rsidP="00BB5153">
      <w:pPr>
        <w:pStyle w:val="Heading1"/>
        <w:numPr>
          <w:ilvl w:val="0"/>
          <w:numId w:val="0"/>
        </w:numPr>
        <w:ind w:left="851" w:hanging="851"/>
        <w:rPr>
          <w:rFonts w:ascii="Open Sans" w:hAnsi="Open Sans" w:cs="Open Sans"/>
        </w:rPr>
      </w:pPr>
      <w:r w:rsidRPr="00C85B20">
        <w:rPr>
          <w:rFonts w:ascii="Open Sans" w:hAnsi="Open Sans" w:cs="Open Sans"/>
        </w:rPr>
        <w:fldChar w:fldCharType="end"/>
      </w:r>
      <w:bookmarkStart w:id="27" w:name="_Toc207761830"/>
      <w:bookmarkStart w:id="28" w:name="_Toc209578266"/>
      <w:bookmarkStart w:id="29" w:name="_Toc209941766"/>
    </w:p>
    <w:p w14:paraId="1FB4A1E9" w14:textId="77777777" w:rsidR="00BB5153" w:rsidRPr="00C12F8D" w:rsidRDefault="00BB5153">
      <w:pPr>
        <w:rPr>
          <w:rFonts w:ascii="Open Sans" w:hAnsi="Open Sans" w:cs="Open Sans"/>
          <w:b/>
          <w:bCs/>
          <w:sz w:val="36"/>
          <w:szCs w:val="28"/>
        </w:rPr>
      </w:pPr>
      <w:r w:rsidRPr="00C12F8D">
        <w:rPr>
          <w:rFonts w:ascii="Open Sans" w:hAnsi="Open Sans" w:cs="Open Sans"/>
        </w:rPr>
        <w:br w:type="page"/>
      </w:r>
    </w:p>
    <w:p w14:paraId="3301D64D" w14:textId="24991483" w:rsidR="00510390" w:rsidRPr="00C12F8D" w:rsidRDefault="009F2764" w:rsidP="00A27ABE">
      <w:pPr>
        <w:pStyle w:val="Heading1"/>
        <w:rPr>
          <w:rFonts w:ascii="Open Sans" w:hAnsi="Open Sans" w:cs="Open Sans"/>
        </w:rPr>
      </w:pPr>
      <w:bookmarkStart w:id="30" w:name="_Toc536796577"/>
      <w:r w:rsidRPr="00C12F8D">
        <w:rPr>
          <w:rFonts w:ascii="Open Sans" w:hAnsi="Open Sans" w:cs="Open Sans"/>
        </w:rPr>
        <w:lastRenderedPageBreak/>
        <w:t>Introduction</w:t>
      </w:r>
      <w:bookmarkEnd w:id="27"/>
      <w:bookmarkEnd w:id="28"/>
      <w:bookmarkEnd w:id="29"/>
      <w:bookmarkEnd w:id="30"/>
    </w:p>
    <w:p w14:paraId="68870B7B" w14:textId="02453A1C" w:rsidR="00460110" w:rsidRPr="00C12F8D" w:rsidRDefault="00FD14C8" w:rsidP="00D358EA">
      <w:pPr>
        <w:pStyle w:val="ListNumber"/>
        <w:tabs>
          <w:tab w:val="clear" w:pos="360"/>
        </w:tabs>
        <w:ind w:left="1094" w:hanging="737"/>
        <w:rPr>
          <w:rFonts w:ascii="Open Sans" w:hAnsi="Open Sans" w:cs="Open Sans"/>
        </w:rPr>
      </w:pPr>
      <w:r w:rsidRPr="00C12F8D">
        <w:rPr>
          <w:rFonts w:ascii="Open Sans" w:hAnsi="Open Sans" w:cs="Open Sans"/>
        </w:rPr>
        <w:t>The Australian Human Rights Commission (the Commission)</w:t>
      </w:r>
      <w:r w:rsidR="00460110" w:rsidRPr="00C12F8D">
        <w:rPr>
          <w:rStyle w:val="EndnoteReference"/>
          <w:rFonts w:cs="Open Sans"/>
        </w:rPr>
        <w:endnoteReference w:id="1"/>
      </w:r>
      <w:r w:rsidR="00460110" w:rsidRPr="00C12F8D">
        <w:rPr>
          <w:rFonts w:ascii="Open Sans" w:hAnsi="Open Sans" w:cs="Open Sans"/>
        </w:rPr>
        <w:t xml:space="preserve"> welcomes the opportunity to make a submission to the Senate </w:t>
      </w:r>
      <w:r w:rsidR="00460110" w:rsidRPr="00C12F8D">
        <w:rPr>
          <w:rFonts w:ascii="Open Sans" w:hAnsi="Open Sans" w:cs="Open Sans"/>
          <w:lang w:val="en"/>
        </w:rPr>
        <w:t>Community Affairs References Committee in response to the ParentsNext inquiry</w:t>
      </w:r>
      <w:r w:rsidR="00460110" w:rsidRPr="00C12F8D">
        <w:rPr>
          <w:rFonts w:ascii="Open Sans" w:hAnsi="Open Sans" w:cs="Open Sans"/>
        </w:rPr>
        <w:t>.</w:t>
      </w:r>
    </w:p>
    <w:p w14:paraId="1FD060C7" w14:textId="7AAC5B94" w:rsidR="00460110" w:rsidRPr="00C12F8D" w:rsidRDefault="00460110" w:rsidP="002643D5">
      <w:pPr>
        <w:pStyle w:val="ListNumber"/>
        <w:tabs>
          <w:tab w:val="clear" w:pos="360"/>
        </w:tabs>
        <w:ind w:left="1094" w:hanging="737"/>
        <w:rPr>
          <w:rFonts w:ascii="Open Sans" w:hAnsi="Open Sans" w:cs="Open Sans"/>
        </w:rPr>
      </w:pPr>
      <w:r w:rsidRPr="00C12F8D">
        <w:rPr>
          <w:rFonts w:ascii="Open Sans" w:hAnsi="Open Sans" w:cs="Open Sans"/>
          <w:lang w:val="en"/>
        </w:rPr>
        <w:t>ParentsNext is a compulsory ‘pre-employment’ program applied to targeted recipients of the Parenting Payment. It can result in the suspension, reduction or permanent cancellation of a person’s Parenting Payment for non-compliance.</w:t>
      </w:r>
    </w:p>
    <w:p w14:paraId="181D65C5" w14:textId="665141EC" w:rsidR="00460110" w:rsidRPr="00C12F8D" w:rsidRDefault="00460110" w:rsidP="006B7F5C">
      <w:pPr>
        <w:pStyle w:val="ListNumber"/>
        <w:tabs>
          <w:tab w:val="clear" w:pos="360"/>
        </w:tabs>
        <w:ind w:left="1094" w:hanging="737"/>
        <w:rPr>
          <w:rFonts w:ascii="Open Sans" w:hAnsi="Open Sans" w:cs="Open Sans"/>
        </w:rPr>
      </w:pPr>
      <w:r w:rsidRPr="00C12F8D">
        <w:rPr>
          <w:rFonts w:ascii="Open Sans" w:hAnsi="Open Sans" w:cs="Open Sans"/>
        </w:rPr>
        <w:t>This submission primarily responds to the third Term of Reference of the inquiry, regarding the appropriateness of the Targeted Compliance Framework (TCF) which can result in</w:t>
      </w:r>
      <w:bookmarkStart w:id="31" w:name="_GoBack"/>
      <w:bookmarkEnd w:id="31"/>
      <w:r w:rsidRPr="00C12F8D">
        <w:rPr>
          <w:rFonts w:ascii="Open Sans" w:hAnsi="Open Sans" w:cs="Open Sans"/>
        </w:rPr>
        <w:t xml:space="preserve"> such punitive compliance action.</w:t>
      </w:r>
      <w:r w:rsidRPr="00C12F8D">
        <w:rPr>
          <w:rStyle w:val="EndnoteReference"/>
          <w:rFonts w:cs="Open Sans"/>
        </w:rPr>
        <w:endnoteReference w:id="2"/>
      </w:r>
      <w:r w:rsidRPr="00C12F8D">
        <w:rPr>
          <w:rFonts w:ascii="Open Sans" w:hAnsi="Open Sans" w:cs="Open Sans"/>
        </w:rPr>
        <w:t xml:space="preserve"> </w:t>
      </w:r>
    </w:p>
    <w:p w14:paraId="6F776F34" w14:textId="04DCDC96" w:rsidR="00460110" w:rsidRPr="00C12F8D" w:rsidRDefault="00460110" w:rsidP="006B7F5C">
      <w:pPr>
        <w:pStyle w:val="ListNumber"/>
        <w:tabs>
          <w:tab w:val="clear" w:pos="360"/>
        </w:tabs>
        <w:ind w:left="1094" w:hanging="737"/>
        <w:rPr>
          <w:rFonts w:ascii="Open Sans" w:hAnsi="Open Sans" w:cs="Open Sans"/>
        </w:rPr>
      </w:pPr>
      <w:r w:rsidRPr="00C12F8D">
        <w:rPr>
          <w:rFonts w:ascii="Open Sans" w:hAnsi="Open Sans" w:cs="Open Sans"/>
        </w:rPr>
        <w:t>It also considers the aims, safeguards and impacts of ParentsNext from a human rights perspective,</w:t>
      </w:r>
      <w:r w:rsidRPr="00C12F8D">
        <w:rPr>
          <w:rStyle w:val="EndnoteReference"/>
          <w:rFonts w:cs="Open Sans"/>
        </w:rPr>
        <w:endnoteReference w:id="3"/>
      </w:r>
      <w:r w:rsidRPr="00C12F8D">
        <w:rPr>
          <w:rFonts w:ascii="Open Sans" w:hAnsi="Open Sans" w:cs="Open Sans"/>
        </w:rPr>
        <w:t xml:space="preserve"> in particular</w:t>
      </w:r>
      <w:r w:rsidR="00C12F8D">
        <w:rPr>
          <w:rFonts w:ascii="Open Sans" w:hAnsi="Open Sans" w:cs="Open Sans"/>
        </w:rPr>
        <w:t xml:space="preserve"> considering</w:t>
      </w:r>
      <w:r w:rsidRPr="00C12F8D">
        <w:rPr>
          <w:rFonts w:ascii="Open Sans" w:hAnsi="Open Sans" w:cs="Open Sans"/>
        </w:rPr>
        <w:t xml:space="preserve"> the rights of women, children and Indigenous Australians. </w:t>
      </w:r>
    </w:p>
    <w:p w14:paraId="511D34E3" w14:textId="6A691DE2" w:rsidR="00460110" w:rsidRPr="00C12F8D" w:rsidRDefault="00460110" w:rsidP="005A359A">
      <w:pPr>
        <w:pStyle w:val="ListNumber"/>
        <w:tabs>
          <w:tab w:val="clear" w:pos="360"/>
        </w:tabs>
        <w:ind w:left="1094" w:hanging="737"/>
        <w:rPr>
          <w:rFonts w:ascii="Open Sans" w:hAnsi="Open Sans" w:cs="Open Sans"/>
        </w:rPr>
      </w:pPr>
      <w:r w:rsidRPr="00C12F8D">
        <w:rPr>
          <w:rFonts w:ascii="Open Sans" w:hAnsi="Open Sans" w:cs="Open Sans"/>
        </w:rPr>
        <w:t xml:space="preserve">These groups are disproportionately affected by </w:t>
      </w:r>
      <w:r w:rsidR="00C12F8D">
        <w:rPr>
          <w:rFonts w:ascii="Open Sans" w:hAnsi="Open Sans" w:cs="Open Sans"/>
        </w:rPr>
        <w:t>ParentsNext</w:t>
      </w:r>
      <w:r w:rsidRPr="00C12F8D">
        <w:rPr>
          <w:rFonts w:ascii="Open Sans" w:hAnsi="Open Sans" w:cs="Open Sans"/>
        </w:rPr>
        <w:t>, with women comprising approximately 96% of the 68,000 participants, and Aboriginal and Torres Strait Islander people comprising approximately 19% or 14,000 participants.</w:t>
      </w:r>
      <w:r w:rsidRPr="00C12F8D">
        <w:rPr>
          <w:rStyle w:val="EndnoteReference"/>
          <w:rFonts w:cs="Open Sans"/>
        </w:rPr>
        <w:endnoteReference w:id="4"/>
      </w:r>
      <w:r w:rsidRPr="00C12F8D">
        <w:rPr>
          <w:rFonts w:ascii="Open Sans" w:hAnsi="Open Sans" w:cs="Open Sans"/>
        </w:rPr>
        <w:t xml:space="preserve"> </w:t>
      </w:r>
    </w:p>
    <w:p w14:paraId="2C16C969" w14:textId="28E63FEB" w:rsidR="00460110" w:rsidRPr="00C12F8D" w:rsidRDefault="00460110" w:rsidP="0026647D">
      <w:pPr>
        <w:pStyle w:val="ListNumber"/>
        <w:tabs>
          <w:tab w:val="clear" w:pos="360"/>
        </w:tabs>
        <w:ind w:left="1094" w:hanging="737"/>
        <w:rPr>
          <w:rFonts w:ascii="Open Sans" w:hAnsi="Open Sans" w:cs="Open Sans"/>
        </w:rPr>
      </w:pPr>
      <w:r w:rsidRPr="00C12F8D">
        <w:rPr>
          <w:rFonts w:ascii="Open Sans" w:hAnsi="Open Sans" w:cs="Open Sans"/>
        </w:rPr>
        <w:t xml:space="preserve">The Commission acknowledges the intended </w:t>
      </w:r>
      <w:r w:rsidR="001066AA" w:rsidRPr="00C12F8D">
        <w:rPr>
          <w:rFonts w:ascii="Open Sans" w:hAnsi="Open Sans" w:cs="Open Sans"/>
        </w:rPr>
        <w:t xml:space="preserve">and important </w:t>
      </w:r>
      <w:r w:rsidRPr="00C12F8D">
        <w:rPr>
          <w:rFonts w:ascii="Open Sans" w:hAnsi="Open Sans" w:cs="Open Sans"/>
        </w:rPr>
        <w:t>objectives of ParentsNext, being to reduce welfare dependency and long-term unemployment, decrease intergenerational joblessness, increase female participation in the labour force and meet Closing the Gap targets.</w:t>
      </w:r>
      <w:r w:rsidRPr="00C12F8D">
        <w:rPr>
          <w:rStyle w:val="EndnoteReference"/>
          <w:rFonts w:cs="Open Sans"/>
        </w:rPr>
        <w:endnoteReference w:id="5"/>
      </w:r>
      <w:r w:rsidRPr="00C12F8D">
        <w:rPr>
          <w:rFonts w:ascii="Open Sans" w:hAnsi="Open Sans" w:cs="Open Sans"/>
        </w:rPr>
        <w:t xml:space="preserve"> </w:t>
      </w:r>
    </w:p>
    <w:p w14:paraId="18FBCDC9" w14:textId="0434D1CD" w:rsidR="00460110" w:rsidRPr="00C12F8D" w:rsidRDefault="003C133C" w:rsidP="005B27D3">
      <w:pPr>
        <w:pStyle w:val="ListNumber"/>
        <w:tabs>
          <w:tab w:val="clear" w:pos="360"/>
        </w:tabs>
        <w:ind w:left="1094" w:hanging="737"/>
        <w:rPr>
          <w:rFonts w:ascii="Open Sans" w:hAnsi="Open Sans" w:cs="Open Sans"/>
        </w:rPr>
      </w:pPr>
      <w:r w:rsidRPr="00C12F8D">
        <w:rPr>
          <w:rFonts w:ascii="Open Sans" w:hAnsi="Open Sans" w:cs="Open Sans"/>
        </w:rPr>
        <w:t>However, t</w:t>
      </w:r>
      <w:r w:rsidR="00460110" w:rsidRPr="00C12F8D">
        <w:rPr>
          <w:rFonts w:ascii="Open Sans" w:hAnsi="Open Sans" w:cs="Open Sans"/>
        </w:rPr>
        <w:t>he Commission considers that certain aspects of ParentsNext are manifestly inconsistent with Australia’s human rights obligations. These concerns relate principally to the right to social security, the right to equality and non-discrimination and children’s rights.</w:t>
      </w:r>
    </w:p>
    <w:p w14:paraId="5CDA8A82" w14:textId="3CB35F22" w:rsidR="00460110" w:rsidRPr="00C12F8D" w:rsidRDefault="003C133C" w:rsidP="004745DF">
      <w:pPr>
        <w:pStyle w:val="ListNumber"/>
        <w:tabs>
          <w:tab w:val="clear" w:pos="360"/>
        </w:tabs>
        <w:ind w:left="1094" w:hanging="737"/>
        <w:rPr>
          <w:rFonts w:ascii="Open Sans" w:hAnsi="Open Sans" w:cs="Open Sans"/>
        </w:rPr>
      </w:pPr>
      <w:r w:rsidRPr="00C12F8D">
        <w:rPr>
          <w:rFonts w:ascii="Open Sans" w:hAnsi="Open Sans" w:cs="Open Sans"/>
        </w:rPr>
        <w:t>In particular, t</w:t>
      </w:r>
      <w:r w:rsidR="00460110" w:rsidRPr="00C12F8D">
        <w:rPr>
          <w:rFonts w:ascii="Open Sans" w:hAnsi="Open Sans" w:cs="Open Sans"/>
        </w:rPr>
        <w:t xml:space="preserve">he Commission considers that the compulsory and punitive nature of </w:t>
      </w:r>
      <w:r w:rsidR="00C12F8D">
        <w:rPr>
          <w:rFonts w:ascii="Open Sans" w:hAnsi="Open Sans" w:cs="Open Sans"/>
        </w:rPr>
        <w:t>the program</w:t>
      </w:r>
      <w:r w:rsidR="00460110" w:rsidRPr="00C12F8D">
        <w:rPr>
          <w:rFonts w:ascii="Open Sans" w:hAnsi="Open Sans" w:cs="Open Sans"/>
        </w:rPr>
        <w:t xml:space="preserve"> </w:t>
      </w:r>
      <w:r w:rsidR="000E4C93" w:rsidRPr="00C12F8D">
        <w:rPr>
          <w:rFonts w:ascii="Open Sans" w:hAnsi="Open Sans" w:cs="Open Sans"/>
        </w:rPr>
        <w:t xml:space="preserve">breaches </w:t>
      </w:r>
      <w:r w:rsidR="00460110" w:rsidRPr="00C12F8D">
        <w:rPr>
          <w:rFonts w:ascii="Open Sans" w:hAnsi="Open Sans" w:cs="Open Sans"/>
        </w:rPr>
        <w:t xml:space="preserve">the right to social security. </w:t>
      </w:r>
      <w:r w:rsidRPr="00C12F8D">
        <w:rPr>
          <w:rFonts w:ascii="Open Sans" w:hAnsi="Open Sans" w:cs="Open Sans"/>
        </w:rPr>
        <w:t>T</w:t>
      </w:r>
      <w:r w:rsidR="00460110" w:rsidRPr="00C12F8D">
        <w:rPr>
          <w:rFonts w:ascii="Open Sans" w:hAnsi="Open Sans" w:cs="Open Sans"/>
        </w:rPr>
        <w:t>he compliance framework permits social security to be reduced below the minimum essential level for parents caring for young children. This retrogressive measure affects some of the most vulnerable families in Australia, with severe detrimental impacts on their financial security and human rights. It also risks entrenching and exacerbating poverty and inequality among program participants.</w:t>
      </w:r>
    </w:p>
    <w:p w14:paraId="1705F8FA" w14:textId="6F4BBC46" w:rsidR="00460110" w:rsidRPr="00C12F8D" w:rsidRDefault="00460110" w:rsidP="004745DF">
      <w:pPr>
        <w:pStyle w:val="ListNumber"/>
        <w:tabs>
          <w:tab w:val="clear" w:pos="360"/>
        </w:tabs>
        <w:ind w:left="1094" w:hanging="737"/>
        <w:rPr>
          <w:rFonts w:ascii="Open Sans" w:hAnsi="Open Sans" w:cs="Open Sans"/>
        </w:rPr>
      </w:pPr>
      <w:r w:rsidRPr="00C12F8D">
        <w:rPr>
          <w:rFonts w:ascii="Open Sans" w:hAnsi="Open Sans" w:cs="Open Sans"/>
        </w:rPr>
        <w:t xml:space="preserve">The evaluation </w:t>
      </w:r>
      <w:r w:rsidR="00C12F8D">
        <w:rPr>
          <w:rFonts w:ascii="Open Sans" w:hAnsi="Open Sans" w:cs="Open Sans"/>
        </w:rPr>
        <w:t>in support of the program</w:t>
      </w:r>
      <w:r w:rsidRPr="00C12F8D">
        <w:rPr>
          <w:rFonts w:ascii="Open Sans" w:hAnsi="Open Sans" w:cs="Open Sans"/>
        </w:rPr>
        <w:t xml:space="preserve"> relies on problematic evidence. It is </w:t>
      </w:r>
      <w:r w:rsidR="001066AA" w:rsidRPr="00C12F8D">
        <w:rPr>
          <w:rFonts w:ascii="Open Sans" w:hAnsi="Open Sans" w:cs="Open Sans"/>
        </w:rPr>
        <w:t xml:space="preserve">inconclusive as to whether </w:t>
      </w:r>
      <w:r w:rsidR="00C12F8D">
        <w:rPr>
          <w:rFonts w:ascii="Open Sans" w:hAnsi="Open Sans" w:cs="Open Sans"/>
        </w:rPr>
        <w:t>ParentsNext</w:t>
      </w:r>
      <w:r w:rsidRPr="00C12F8D">
        <w:rPr>
          <w:rFonts w:ascii="Open Sans" w:hAnsi="Open Sans" w:cs="Open Sans"/>
        </w:rPr>
        <w:t xml:space="preserve"> is</w:t>
      </w:r>
      <w:r w:rsidR="00C12F8D">
        <w:rPr>
          <w:rFonts w:ascii="Open Sans" w:hAnsi="Open Sans" w:cs="Open Sans"/>
        </w:rPr>
        <w:t xml:space="preserve"> actually</w:t>
      </w:r>
      <w:r w:rsidRPr="00C12F8D">
        <w:rPr>
          <w:rFonts w:ascii="Open Sans" w:hAnsi="Open Sans" w:cs="Open Sans"/>
        </w:rPr>
        <w:t xml:space="preserve"> </w:t>
      </w:r>
      <w:r w:rsidRPr="00C12F8D">
        <w:rPr>
          <w:rFonts w:ascii="Open Sans" w:hAnsi="Open Sans" w:cs="Open Sans"/>
        </w:rPr>
        <w:lastRenderedPageBreak/>
        <w:t xml:space="preserve">achieving its objectives, or </w:t>
      </w:r>
      <w:r w:rsidR="001066AA" w:rsidRPr="00C12F8D">
        <w:rPr>
          <w:rFonts w:ascii="Open Sans" w:hAnsi="Open Sans" w:cs="Open Sans"/>
        </w:rPr>
        <w:t>whether</w:t>
      </w:r>
      <w:r w:rsidR="003C133C" w:rsidRPr="00C12F8D">
        <w:rPr>
          <w:rFonts w:ascii="Open Sans" w:hAnsi="Open Sans" w:cs="Open Sans"/>
        </w:rPr>
        <w:t xml:space="preserve"> it has had</w:t>
      </w:r>
      <w:r w:rsidRPr="00C12F8D">
        <w:rPr>
          <w:rFonts w:ascii="Open Sans" w:hAnsi="Open Sans" w:cs="Open Sans"/>
        </w:rPr>
        <w:t xml:space="preserve"> positive </w:t>
      </w:r>
      <w:r w:rsidR="00C12F8D" w:rsidRPr="00C12F8D">
        <w:rPr>
          <w:rFonts w:ascii="Open Sans" w:hAnsi="Open Sans" w:cs="Open Sans"/>
        </w:rPr>
        <w:t>effects that</w:t>
      </w:r>
      <w:r w:rsidR="003C133C" w:rsidRPr="00C12F8D">
        <w:rPr>
          <w:rFonts w:ascii="Open Sans" w:hAnsi="Open Sans" w:cs="Open Sans"/>
        </w:rPr>
        <w:t xml:space="preserve"> outweigh</w:t>
      </w:r>
      <w:r w:rsidRPr="00C12F8D">
        <w:rPr>
          <w:rFonts w:ascii="Open Sans" w:hAnsi="Open Sans" w:cs="Open Sans"/>
        </w:rPr>
        <w:t xml:space="preserve"> placing the social security payments of parents at risk. </w:t>
      </w:r>
    </w:p>
    <w:p w14:paraId="273FF769" w14:textId="47AB46C8" w:rsidR="00460110" w:rsidRPr="00C12F8D" w:rsidRDefault="003C133C" w:rsidP="002E38C5">
      <w:pPr>
        <w:pStyle w:val="ListNumber"/>
        <w:tabs>
          <w:tab w:val="clear" w:pos="360"/>
        </w:tabs>
        <w:ind w:left="1094" w:hanging="737"/>
        <w:rPr>
          <w:rFonts w:ascii="Open Sans" w:hAnsi="Open Sans" w:cs="Open Sans"/>
        </w:rPr>
      </w:pPr>
      <w:r w:rsidRPr="00C12F8D">
        <w:rPr>
          <w:rFonts w:ascii="Open Sans" w:hAnsi="Open Sans" w:cs="Open Sans"/>
        </w:rPr>
        <w:t>Further, a</w:t>
      </w:r>
      <w:r w:rsidR="00460110" w:rsidRPr="00C12F8D">
        <w:rPr>
          <w:rFonts w:ascii="Open Sans" w:hAnsi="Open Sans" w:cs="Open Sans"/>
        </w:rPr>
        <w:t xml:space="preserve">lternative approaches are readily available that are less restrictive of the right to social security, </w:t>
      </w:r>
      <w:r w:rsidR="001066AA" w:rsidRPr="00C12F8D">
        <w:rPr>
          <w:rFonts w:ascii="Open Sans" w:hAnsi="Open Sans" w:cs="Open Sans"/>
        </w:rPr>
        <w:t>such as</w:t>
      </w:r>
      <w:r w:rsidR="00460110" w:rsidRPr="00C12F8D">
        <w:rPr>
          <w:rFonts w:ascii="Open Sans" w:hAnsi="Open Sans" w:cs="Open Sans"/>
        </w:rPr>
        <w:t xml:space="preserve"> incentive based models.</w:t>
      </w:r>
    </w:p>
    <w:p w14:paraId="6BF3FC5F" w14:textId="5B36621E" w:rsidR="00460110" w:rsidRPr="00C12F8D" w:rsidRDefault="00460110" w:rsidP="004B7F6A">
      <w:pPr>
        <w:pStyle w:val="ListNumber"/>
        <w:tabs>
          <w:tab w:val="clear" w:pos="360"/>
        </w:tabs>
        <w:ind w:left="1094" w:hanging="737"/>
        <w:rPr>
          <w:rFonts w:ascii="Open Sans" w:hAnsi="Open Sans" w:cs="Open Sans"/>
        </w:rPr>
      </w:pPr>
      <w:r w:rsidRPr="00C12F8D">
        <w:rPr>
          <w:rFonts w:ascii="Open Sans" w:hAnsi="Open Sans" w:cs="Open Sans"/>
        </w:rPr>
        <w:t>The disproportionate impact of ParentsNext on women and Indigenous Australians also raises serious concerns about the right to equality and non-discrimination.</w:t>
      </w:r>
      <w:r w:rsidRPr="00C12F8D">
        <w:rPr>
          <w:rStyle w:val="EndnoteReference"/>
          <w:rFonts w:cs="Open Sans"/>
        </w:rPr>
        <w:endnoteReference w:id="6"/>
      </w:r>
      <w:r w:rsidRPr="00C12F8D">
        <w:rPr>
          <w:rFonts w:ascii="Open Sans" w:hAnsi="Open Sans" w:cs="Open Sans"/>
        </w:rPr>
        <w:t xml:space="preserve"> </w:t>
      </w:r>
    </w:p>
    <w:p w14:paraId="4124779B" w14:textId="0A7150F9" w:rsidR="00460110" w:rsidRPr="00C12F8D" w:rsidRDefault="00460110" w:rsidP="004C2735">
      <w:pPr>
        <w:pStyle w:val="ListNumber"/>
        <w:tabs>
          <w:tab w:val="clear" w:pos="360"/>
        </w:tabs>
        <w:ind w:left="1094" w:hanging="737"/>
        <w:rPr>
          <w:rFonts w:ascii="Open Sans" w:hAnsi="Open Sans" w:cs="Open Sans"/>
        </w:rPr>
      </w:pPr>
      <w:r w:rsidRPr="00C12F8D">
        <w:rPr>
          <w:rFonts w:ascii="Open Sans" w:hAnsi="Open Sans" w:cs="Open Sans"/>
        </w:rPr>
        <w:t xml:space="preserve">The Commission </w:t>
      </w:r>
      <w:r w:rsidR="001066AA" w:rsidRPr="00C12F8D">
        <w:rPr>
          <w:rFonts w:ascii="Open Sans" w:hAnsi="Open Sans" w:cs="Open Sans"/>
        </w:rPr>
        <w:t>reiterates</w:t>
      </w:r>
      <w:r w:rsidRPr="00C12F8D">
        <w:rPr>
          <w:rFonts w:ascii="Open Sans" w:hAnsi="Open Sans" w:cs="Open Sans"/>
        </w:rPr>
        <w:t xml:space="preserve"> its previous submissions expressing concern about the compatibility of the TCF with human rights, including with respect to the Community Development Program.</w:t>
      </w:r>
      <w:r w:rsidRPr="00C12F8D">
        <w:rPr>
          <w:rStyle w:val="EndnoteReference"/>
          <w:rFonts w:cs="Open Sans"/>
        </w:rPr>
        <w:endnoteReference w:id="7"/>
      </w:r>
    </w:p>
    <w:p w14:paraId="73BE537A" w14:textId="77777777" w:rsidR="00460110" w:rsidRPr="00C12F8D" w:rsidRDefault="00460110" w:rsidP="009E08D1">
      <w:pPr>
        <w:pStyle w:val="Heading1"/>
        <w:rPr>
          <w:rFonts w:ascii="Open Sans" w:hAnsi="Open Sans" w:cs="Open Sans"/>
        </w:rPr>
      </w:pPr>
      <w:bookmarkStart w:id="32" w:name="_Toc536796578"/>
      <w:r w:rsidRPr="00C12F8D">
        <w:rPr>
          <w:rFonts w:ascii="Open Sans" w:hAnsi="Open Sans" w:cs="Open Sans"/>
        </w:rPr>
        <w:t>Recommendations</w:t>
      </w:r>
      <w:bookmarkEnd w:id="32"/>
    </w:p>
    <w:p w14:paraId="027CC5A2" w14:textId="2353CCEC" w:rsidR="00460110" w:rsidRPr="00C12F8D" w:rsidRDefault="00460110" w:rsidP="005C64E8">
      <w:pPr>
        <w:pStyle w:val="ListNumber"/>
        <w:tabs>
          <w:tab w:val="clear" w:pos="360"/>
        </w:tabs>
        <w:ind w:left="1094" w:hanging="737"/>
        <w:rPr>
          <w:rFonts w:ascii="Open Sans" w:hAnsi="Open Sans" w:cs="Open Sans"/>
        </w:rPr>
      </w:pPr>
      <w:r w:rsidRPr="00C12F8D">
        <w:rPr>
          <w:rFonts w:ascii="Open Sans" w:hAnsi="Open Sans" w:cs="Open Sans"/>
        </w:rPr>
        <w:t>The Commission recommends that:</w:t>
      </w:r>
    </w:p>
    <w:p w14:paraId="2DF1AE99" w14:textId="505F0E9C" w:rsidR="00460110" w:rsidRPr="00C12F8D" w:rsidRDefault="00460110" w:rsidP="00D5057A">
      <w:pPr>
        <w:pStyle w:val="ListNumber"/>
        <w:numPr>
          <w:ilvl w:val="0"/>
          <w:numId w:val="0"/>
        </w:numPr>
        <w:ind w:left="1094"/>
        <w:rPr>
          <w:rFonts w:ascii="Open Sans" w:hAnsi="Open Sans" w:cs="Open Sans"/>
        </w:rPr>
      </w:pPr>
      <w:r w:rsidRPr="00C12F8D">
        <w:rPr>
          <w:rFonts w:ascii="Open Sans" w:hAnsi="Open Sans" w:cs="Open Sans"/>
          <w:b/>
        </w:rPr>
        <w:t>Recommendation 1:</w:t>
      </w:r>
      <w:r w:rsidRPr="00C12F8D">
        <w:rPr>
          <w:rFonts w:ascii="Open Sans" w:hAnsi="Open Sans" w:cs="Open Sans"/>
        </w:rPr>
        <w:t xml:space="preserve"> The Targeted Compliance Framework be removed from ParentsNext, so that participants cannot be subject to suspension, reduction or cancellation of their Parenting Payment for non-compliance with program requirements. </w:t>
      </w:r>
    </w:p>
    <w:p w14:paraId="2A943486" w14:textId="01338200" w:rsidR="00460110" w:rsidRPr="00C12F8D" w:rsidRDefault="00460110" w:rsidP="00D5057A">
      <w:pPr>
        <w:pStyle w:val="ListNumber"/>
        <w:numPr>
          <w:ilvl w:val="0"/>
          <w:numId w:val="0"/>
        </w:numPr>
        <w:ind w:left="1094"/>
        <w:rPr>
          <w:rFonts w:ascii="Open Sans" w:hAnsi="Open Sans" w:cs="Open Sans"/>
        </w:rPr>
      </w:pPr>
      <w:r w:rsidRPr="00C12F8D">
        <w:rPr>
          <w:rFonts w:ascii="Open Sans" w:hAnsi="Open Sans" w:cs="Open Sans"/>
          <w:b/>
        </w:rPr>
        <w:t>Recommendation 2:</w:t>
      </w:r>
      <w:r w:rsidRPr="00C12F8D">
        <w:rPr>
          <w:rFonts w:ascii="Open Sans" w:hAnsi="Open Sans" w:cs="Open Sans"/>
        </w:rPr>
        <w:t xml:space="preserve"> Participation in ParentsNext be on a voluntary, opt-in basis</w:t>
      </w:r>
      <w:r w:rsidR="005A229E" w:rsidRPr="00C12F8D">
        <w:rPr>
          <w:rFonts w:ascii="Open Sans" w:hAnsi="Open Sans" w:cs="Open Sans"/>
        </w:rPr>
        <w:t xml:space="preserve">, rather than </w:t>
      </w:r>
      <w:r w:rsidR="00D308EC">
        <w:rPr>
          <w:rFonts w:ascii="Open Sans" w:hAnsi="Open Sans" w:cs="Open Sans"/>
        </w:rPr>
        <w:t xml:space="preserve">a </w:t>
      </w:r>
      <w:r w:rsidR="005A229E" w:rsidRPr="00C12F8D">
        <w:rPr>
          <w:rFonts w:ascii="Open Sans" w:hAnsi="Open Sans" w:cs="Open Sans"/>
        </w:rPr>
        <w:t>mandatory</w:t>
      </w:r>
      <w:r w:rsidR="00D308EC">
        <w:rPr>
          <w:rFonts w:ascii="Open Sans" w:hAnsi="Open Sans" w:cs="Open Sans"/>
        </w:rPr>
        <w:t xml:space="preserve"> basis</w:t>
      </w:r>
      <w:r w:rsidRPr="00C12F8D">
        <w:rPr>
          <w:rFonts w:ascii="Open Sans" w:hAnsi="Open Sans" w:cs="Open Sans"/>
        </w:rPr>
        <w:t>.</w:t>
      </w:r>
    </w:p>
    <w:p w14:paraId="68CC0CEF" w14:textId="75C7FDC7" w:rsidR="00460110" w:rsidRPr="00C12F8D" w:rsidRDefault="00460110" w:rsidP="00CE1F1F">
      <w:pPr>
        <w:pStyle w:val="ListNumber"/>
        <w:numPr>
          <w:ilvl w:val="0"/>
          <w:numId w:val="0"/>
        </w:numPr>
        <w:ind w:left="1094"/>
        <w:rPr>
          <w:rFonts w:ascii="Open Sans" w:hAnsi="Open Sans" w:cs="Open Sans"/>
        </w:rPr>
      </w:pPr>
      <w:r w:rsidRPr="00C12F8D">
        <w:rPr>
          <w:rFonts w:ascii="Open Sans" w:hAnsi="Open Sans" w:cs="Open Sans"/>
          <w:b/>
        </w:rPr>
        <w:t>Recommendation 3:</w:t>
      </w:r>
      <w:r w:rsidRPr="00C12F8D">
        <w:rPr>
          <w:rFonts w:ascii="Open Sans" w:hAnsi="Open Sans" w:cs="Open Sans"/>
        </w:rPr>
        <w:t xml:space="preserve"> The scope of ParentsNext be expanded to allow access by any disadvantaged parent facing barriers to employment who wishes to participate, rather than targeted on the basis of sex or race.</w:t>
      </w:r>
    </w:p>
    <w:p w14:paraId="4A4FFF29" w14:textId="4483FAF0" w:rsidR="00460110" w:rsidRPr="00C12F8D" w:rsidRDefault="00460110" w:rsidP="00CE1F1F">
      <w:pPr>
        <w:pStyle w:val="ListNumber"/>
        <w:numPr>
          <w:ilvl w:val="0"/>
          <w:numId w:val="0"/>
        </w:numPr>
        <w:ind w:left="1094"/>
        <w:rPr>
          <w:rFonts w:ascii="Open Sans" w:hAnsi="Open Sans" w:cs="Open Sans"/>
        </w:rPr>
      </w:pPr>
      <w:r w:rsidRPr="00C12F8D">
        <w:rPr>
          <w:rFonts w:ascii="Open Sans" w:hAnsi="Open Sans" w:cs="Open Sans"/>
          <w:b/>
          <w:lang w:val="en-US"/>
        </w:rPr>
        <w:t>Recommendation 4:</w:t>
      </w:r>
      <w:r w:rsidRPr="00C12F8D">
        <w:rPr>
          <w:rFonts w:ascii="Open Sans" w:hAnsi="Open Sans" w:cs="Open Sans"/>
          <w:lang w:val="en-US"/>
        </w:rPr>
        <w:t xml:space="preserve"> If Recommendation 1 is not accepted, the program safeguards be revised to better prevent inappropriate and unfair compliance action, including through: </w:t>
      </w:r>
    </w:p>
    <w:p w14:paraId="743837B5" w14:textId="77777777" w:rsidR="003D0599" w:rsidRPr="00C12F8D" w:rsidRDefault="00460110" w:rsidP="009D7903">
      <w:pPr>
        <w:pStyle w:val="ListNumber"/>
        <w:numPr>
          <w:ilvl w:val="0"/>
          <w:numId w:val="21"/>
        </w:numPr>
        <w:rPr>
          <w:rFonts w:ascii="Open Sans" w:hAnsi="Open Sans" w:cs="Open Sans"/>
          <w:lang w:val="en-US"/>
        </w:rPr>
      </w:pPr>
      <w:r w:rsidRPr="00C12F8D">
        <w:rPr>
          <w:rFonts w:ascii="Open Sans" w:hAnsi="Open Sans" w:cs="Open Sans"/>
          <w:lang w:val="en-US"/>
        </w:rPr>
        <w:t>removing the automatic suspension of payments for non-compliance, prior to any review of whe</w:t>
      </w:r>
      <w:r w:rsidR="003D0599" w:rsidRPr="00C12F8D">
        <w:rPr>
          <w:rFonts w:ascii="Open Sans" w:hAnsi="Open Sans" w:cs="Open Sans"/>
          <w:lang w:val="en-US"/>
        </w:rPr>
        <w:t>ther suspension is appropriate</w:t>
      </w:r>
    </w:p>
    <w:p w14:paraId="4510762A" w14:textId="75F1F429" w:rsidR="00460110" w:rsidRPr="00C12F8D" w:rsidRDefault="00460110" w:rsidP="009D7903">
      <w:pPr>
        <w:pStyle w:val="ListNumber"/>
        <w:numPr>
          <w:ilvl w:val="0"/>
          <w:numId w:val="21"/>
        </w:numPr>
        <w:rPr>
          <w:rFonts w:ascii="Open Sans" w:hAnsi="Open Sans" w:cs="Open Sans"/>
          <w:lang w:val="en-US"/>
        </w:rPr>
      </w:pPr>
      <w:r w:rsidRPr="00C12F8D">
        <w:rPr>
          <w:rFonts w:ascii="Open Sans" w:hAnsi="Open Sans" w:cs="Open Sans"/>
          <w:lang w:val="en-US"/>
        </w:rPr>
        <w:t xml:space="preserve">providing notice in advance </w:t>
      </w:r>
      <w:r w:rsidR="003D0599" w:rsidRPr="00C12F8D">
        <w:rPr>
          <w:rFonts w:ascii="Open Sans" w:hAnsi="Open Sans" w:cs="Open Sans"/>
          <w:lang w:val="en-US"/>
        </w:rPr>
        <w:t xml:space="preserve">to a participant </w:t>
      </w:r>
      <w:r w:rsidRPr="00C12F8D">
        <w:rPr>
          <w:rFonts w:ascii="Open Sans" w:hAnsi="Open Sans" w:cs="Open Sans"/>
          <w:lang w:val="en-US"/>
        </w:rPr>
        <w:t xml:space="preserve">of </w:t>
      </w:r>
      <w:r w:rsidR="003D0599" w:rsidRPr="00C12F8D">
        <w:rPr>
          <w:rFonts w:ascii="Open Sans" w:hAnsi="Open Sans" w:cs="Open Sans"/>
          <w:lang w:val="en-US"/>
        </w:rPr>
        <w:t xml:space="preserve">a </w:t>
      </w:r>
      <w:r w:rsidRPr="00C12F8D">
        <w:rPr>
          <w:rFonts w:ascii="Open Sans" w:hAnsi="Open Sans" w:cs="Open Sans"/>
          <w:lang w:val="en-US"/>
        </w:rPr>
        <w:t>possible suspension</w:t>
      </w:r>
      <w:r w:rsidR="003D0599" w:rsidRPr="00C12F8D">
        <w:rPr>
          <w:rFonts w:ascii="Open Sans" w:hAnsi="Open Sans" w:cs="Open Sans"/>
          <w:lang w:val="en-US"/>
        </w:rPr>
        <w:t>,</w:t>
      </w:r>
      <w:r w:rsidRPr="00C12F8D">
        <w:rPr>
          <w:rFonts w:ascii="Open Sans" w:hAnsi="Open Sans" w:cs="Open Sans"/>
          <w:lang w:val="en-US"/>
        </w:rPr>
        <w:t xml:space="preserve"> with an opportunity to respond</w:t>
      </w:r>
      <w:r w:rsidR="003D0599" w:rsidRPr="00C12F8D">
        <w:rPr>
          <w:rFonts w:ascii="Open Sans" w:hAnsi="Open Sans" w:cs="Open Sans"/>
          <w:lang w:val="en-US"/>
        </w:rPr>
        <w:t xml:space="preserve"> and comply</w:t>
      </w:r>
    </w:p>
    <w:p w14:paraId="275A50CB" w14:textId="562637DA" w:rsidR="00460110" w:rsidRPr="00C12F8D" w:rsidRDefault="00460110" w:rsidP="009D7903">
      <w:pPr>
        <w:pStyle w:val="ListNumber"/>
        <w:numPr>
          <w:ilvl w:val="0"/>
          <w:numId w:val="21"/>
        </w:numPr>
        <w:rPr>
          <w:rFonts w:ascii="Open Sans" w:hAnsi="Open Sans" w:cs="Open Sans"/>
          <w:lang w:val="en-US"/>
        </w:rPr>
      </w:pPr>
      <w:r w:rsidRPr="00C12F8D">
        <w:rPr>
          <w:rFonts w:ascii="Open Sans" w:hAnsi="Open Sans" w:cs="Open Sans"/>
          <w:lang w:val="en-US"/>
        </w:rPr>
        <w:t>removing the ability for payments to be suspended as a result of assessments made by commercial providers, or alternatively enhancing oversight by the Department of Human Services of the suspension of payments and the imposition of demerit points by providers, including a formal system for review</w:t>
      </w:r>
      <w:r w:rsidR="003D0599" w:rsidRPr="00C12F8D">
        <w:rPr>
          <w:rFonts w:ascii="Open Sans" w:hAnsi="Open Sans" w:cs="Open Sans"/>
          <w:lang w:val="en-US"/>
        </w:rPr>
        <w:t xml:space="preserve"> of demerits</w:t>
      </w:r>
    </w:p>
    <w:p w14:paraId="6A8DC9B6" w14:textId="69004882" w:rsidR="00460110" w:rsidRPr="00C12F8D" w:rsidRDefault="00460110" w:rsidP="00221364">
      <w:pPr>
        <w:pStyle w:val="ListNumber"/>
        <w:numPr>
          <w:ilvl w:val="0"/>
          <w:numId w:val="21"/>
        </w:numPr>
        <w:rPr>
          <w:rFonts w:ascii="Open Sans" w:hAnsi="Open Sans" w:cs="Open Sans"/>
          <w:lang w:val="en-US"/>
        </w:rPr>
      </w:pPr>
      <w:r w:rsidRPr="00C12F8D">
        <w:rPr>
          <w:rFonts w:ascii="Open Sans" w:hAnsi="Open Sans" w:cs="Open Sans"/>
          <w:lang w:val="en-US"/>
        </w:rPr>
        <w:lastRenderedPageBreak/>
        <w:t>requiring</w:t>
      </w:r>
      <w:r w:rsidR="00D308EC">
        <w:rPr>
          <w:rFonts w:ascii="Open Sans" w:hAnsi="Open Sans" w:cs="Open Sans"/>
          <w:lang w:val="en-US"/>
        </w:rPr>
        <w:t xml:space="preserve"> that</w:t>
      </w:r>
      <w:r w:rsidRPr="00C12F8D">
        <w:rPr>
          <w:rFonts w:ascii="Open Sans" w:hAnsi="Open Sans" w:cs="Open Sans"/>
          <w:lang w:val="en-US"/>
        </w:rPr>
        <w:t xml:space="preserve"> a participant capability review be carried out prior to the application of any penalty</w:t>
      </w:r>
    </w:p>
    <w:p w14:paraId="3C6F8D28" w14:textId="49253125" w:rsidR="00460110" w:rsidRPr="00C12F8D" w:rsidRDefault="00460110" w:rsidP="00221364">
      <w:pPr>
        <w:pStyle w:val="ListNumber"/>
        <w:numPr>
          <w:ilvl w:val="0"/>
          <w:numId w:val="21"/>
        </w:numPr>
        <w:rPr>
          <w:rFonts w:ascii="Open Sans" w:hAnsi="Open Sans" w:cs="Open Sans"/>
          <w:lang w:val="en-US"/>
        </w:rPr>
      </w:pPr>
      <w:r w:rsidRPr="00C12F8D">
        <w:rPr>
          <w:rFonts w:ascii="Open Sans" w:hAnsi="Open Sans" w:cs="Open Sans"/>
          <w:lang w:val="en-US"/>
        </w:rPr>
        <w:t xml:space="preserve">ensuring </w:t>
      </w:r>
      <w:r w:rsidRPr="00C12F8D">
        <w:rPr>
          <w:rFonts w:ascii="Open Sans" w:eastAsia="MS Mincho" w:hAnsi="Open Sans" w:cs="Open Sans"/>
          <w:lang w:val="en-US"/>
        </w:rPr>
        <w:t xml:space="preserve">that </w:t>
      </w:r>
      <w:r w:rsidRPr="00C12F8D">
        <w:rPr>
          <w:rFonts w:ascii="Open Sans" w:hAnsi="Open Sans" w:cs="Open Sans"/>
          <w:lang w:val="en-US"/>
        </w:rPr>
        <w:t>providers and decision makers have the appropriate qualifications and train</w:t>
      </w:r>
      <w:r w:rsidR="003D0599" w:rsidRPr="00C12F8D">
        <w:rPr>
          <w:rFonts w:ascii="Open Sans" w:hAnsi="Open Sans" w:cs="Open Sans"/>
          <w:lang w:val="en-US"/>
        </w:rPr>
        <w:t>ing to carry out their role,</w:t>
      </w:r>
      <w:r w:rsidRPr="00C12F8D">
        <w:rPr>
          <w:rFonts w:ascii="Open Sans" w:hAnsi="Open Sans" w:cs="Open Sans"/>
          <w:lang w:val="en-US"/>
        </w:rPr>
        <w:t xml:space="preserve"> in particular to perform capability interviews and assessments, including expertise in </w:t>
      </w:r>
      <w:r w:rsidR="00B1655A" w:rsidRPr="00C12F8D">
        <w:rPr>
          <w:rFonts w:ascii="Open Sans" w:hAnsi="Open Sans" w:cs="Open Sans"/>
          <w:lang w:val="en-US"/>
        </w:rPr>
        <w:t xml:space="preserve">family violence, common health issues faced by participants and </w:t>
      </w:r>
      <w:r w:rsidRPr="00C12F8D">
        <w:rPr>
          <w:rFonts w:ascii="Open Sans" w:hAnsi="Open Sans" w:cs="Open Sans"/>
          <w:lang w:val="en-US"/>
        </w:rPr>
        <w:t>cultural competency</w:t>
      </w:r>
      <w:r w:rsidR="005A229E" w:rsidRPr="00C12F8D">
        <w:rPr>
          <w:rFonts w:ascii="Open Sans" w:hAnsi="Open Sans" w:cs="Open Sans"/>
          <w:lang w:val="en-US"/>
        </w:rPr>
        <w:t xml:space="preserve"> to ensure a culturally safe and secure environment for Indigenous participants </w:t>
      </w:r>
    </w:p>
    <w:p w14:paraId="1E87151E" w14:textId="0087EBDD" w:rsidR="00460110" w:rsidRPr="00C12F8D" w:rsidRDefault="00460110" w:rsidP="00221364">
      <w:pPr>
        <w:pStyle w:val="ListNumber"/>
        <w:numPr>
          <w:ilvl w:val="0"/>
          <w:numId w:val="21"/>
        </w:numPr>
        <w:rPr>
          <w:rFonts w:ascii="Open Sans" w:hAnsi="Open Sans" w:cs="Open Sans"/>
          <w:lang w:val="en-US"/>
        </w:rPr>
      </w:pPr>
      <w:r w:rsidRPr="00C12F8D">
        <w:rPr>
          <w:rFonts w:ascii="Open Sans" w:hAnsi="Open Sans" w:cs="Open Sans"/>
          <w:lang w:val="en-US"/>
        </w:rPr>
        <w:t>ensuring that providers are appropriately independent, for example through financial</w:t>
      </w:r>
      <w:r w:rsidRPr="00C12F8D">
        <w:rPr>
          <w:rFonts w:ascii="Open Sans" w:eastAsia="MS Mincho" w:hAnsi="Open Sans" w:cs="Open Sans"/>
          <w:lang w:val="en-US" w:eastAsia="en-AU"/>
        </w:rPr>
        <w:t xml:space="preserve"> incentives </w:t>
      </w:r>
      <w:r w:rsidRPr="00C12F8D">
        <w:rPr>
          <w:rFonts w:ascii="Open Sans" w:hAnsi="Open Sans" w:cs="Open Sans"/>
          <w:lang w:val="en-US"/>
        </w:rPr>
        <w:t xml:space="preserve">being provided directly </w:t>
      </w:r>
      <w:r w:rsidRPr="00C12F8D">
        <w:rPr>
          <w:rFonts w:ascii="Open Sans" w:eastAsia="MS Mincho" w:hAnsi="Open Sans" w:cs="Open Sans"/>
          <w:lang w:val="en-US" w:eastAsia="en-AU"/>
        </w:rPr>
        <w:t>to participants</w:t>
      </w:r>
      <w:r w:rsidRPr="00C12F8D">
        <w:rPr>
          <w:rFonts w:ascii="Open Sans" w:hAnsi="Open Sans" w:cs="Open Sans"/>
          <w:lang w:val="en-US"/>
        </w:rPr>
        <w:t xml:space="preserve"> rather than to </w:t>
      </w:r>
      <w:r w:rsidRPr="00C12F8D">
        <w:rPr>
          <w:rFonts w:ascii="Open Sans" w:eastAsia="MS Mincho" w:hAnsi="Open Sans" w:cs="Open Sans"/>
          <w:lang w:val="en-US" w:eastAsia="en-AU"/>
        </w:rPr>
        <w:t>providers</w:t>
      </w:r>
      <w:r w:rsidRPr="00C12F8D">
        <w:rPr>
          <w:rFonts w:ascii="Open Sans" w:hAnsi="Open Sans" w:cs="Open Sans"/>
          <w:lang w:val="en-US"/>
        </w:rPr>
        <w:t>.</w:t>
      </w:r>
    </w:p>
    <w:p w14:paraId="75FAFB57" w14:textId="383C259E" w:rsidR="00460110" w:rsidRPr="00C12F8D" w:rsidRDefault="00460110" w:rsidP="000E0258">
      <w:pPr>
        <w:pStyle w:val="ListNumber"/>
        <w:numPr>
          <w:ilvl w:val="0"/>
          <w:numId w:val="0"/>
        </w:numPr>
        <w:ind w:left="1080"/>
        <w:rPr>
          <w:rFonts w:ascii="Open Sans" w:hAnsi="Open Sans" w:cs="Open Sans"/>
          <w:lang w:val="en-US"/>
        </w:rPr>
      </w:pPr>
      <w:r w:rsidRPr="00C12F8D">
        <w:rPr>
          <w:rFonts w:ascii="Open Sans" w:hAnsi="Open Sans" w:cs="Open Sans"/>
          <w:b/>
          <w:lang w:val="en-US"/>
        </w:rPr>
        <w:t>Recommendation 5</w:t>
      </w:r>
      <w:r w:rsidRPr="00C12F8D">
        <w:rPr>
          <w:rFonts w:ascii="Open Sans" w:hAnsi="Open Sans" w:cs="Open Sans"/>
          <w:lang w:val="en-US"/>
        </w:rPr>
        <w:t xml:space="preserve">: The Government </w:t>
      </w:r>
      <w:r w:rsidR="005A229E" w:rsidRPr="00C12F8D">
        <w:rPr>
          <w:rFonts w:ascii="Open Sans" w:hAnsi="Open Sans" w:cs="Open Sans"/>
          <w:lang w:val="en-US"/>
        </w:rPr>
        <w:t>ensure</w:t>
      </w:r>
      <w:r w:rsidRPr="00C12F8D">
        <w:rPr>
          <w:rFonts w:ascii="Open Sans" w:hAnsi="Open Sans" w:cs="Open Sans"/>
          <w:lang w:val="en-US"/>
        </w:rPr>
        <w:t xml:space="preserve"> </w:t>
      </w:r>
      <w:r w:rsidR="005A229E" w:rsidRPr="00C12F8D">
        <w:rPr>
          <w:rFonts w:ascii="Open Sans" w:hAnsi="Open Sans" w:cs="Open Sans"/>
          <w:lang w:val="en-US"/>
        </w:rPr>
        <w:t>appropriate</w:t>
      </w:r>
      <w:r w:rsidRPr="00C12F8D">
        <w:rPr>
          <w:rFonts w:ascii="Open Sans" w:hAnsi="Open Sans" w:cs="Open Sans"/>
          <w:lang w:val="en-US"/>
        </w:rPr>
        <w:t xml:space="preserve"> </w:t>
      </w:r>
      <w:r w:rsidR="00B77A40" w:rsidRPr="00C12F8D">
        <w:rPr>
          <w:rFonts w:ascii="Open Sans" w:hAnsi="Open Sans" w:cs="Open Sans"/>
          <w:lang w:val="en-US"/>
        </w:rPr>
        <w:t>engagement with</w:t>
      </w:r>
      <w:r w:rsidR="00B20DB4" w:rsidRPr="00C12F8D">
        <w:rPr>
          <w:rFonts w:ascii="Open Sans" w:hAnsi="Open Sans" w:cs="Open Sans"/>
          <w:lang w:val="en-US"/>
        </w:rPr>
        <w:t xml:space="preserve"> and </w:t>
      </w:r>
      <w:r w:rsidR="00B1655A" w:rsidRPr="00C12F8D">
        <w:rPr>
          <w:rFonts w:ascii="Open Sans" w:hAnsi="Open Sans" w:cs="Open Sans"/>
          <w:lang w:val="en-US"/>
        </w:rPr>
        <w:t xml:space="preserve">the </w:t>
      </w:r>
      <w:r w:rsidR="00B20DB4" w:rsidRPr="00C12F8D">
        <w:rPr>
          <w:rFonts w:ascii="Open Sans" w:hAnsi="Open Sans" w:cs="Open Sans"/>
          <w:lang w:val="en-US"/>
        </w:rPr>
        <w:t>inclusion of</w:t>
      </w:r>
      <w:r w:rsidR="00B77A40" w:rsidRPr="00C12F8D">
        <w:rPr>
          <w:rFonts w:ascii="Open Sans" w:hAnsi="Open Sans" w:cs="Open Sans"/>
          <w:lang w:val="en-US"/>
        </w:rPr>
        <w:t xml:space="preserve"> </w:t>
      </w:r>
      <w:r w:rsidRPr="00C12F8D">
        <w:rPr>
          <w:rFonts w:ascii="Open Sans" w:hAnsi="Open Sans" w:cs="Open Sans"/>
          <w:lang w:val="en-US"/>
        </w:rPr>
        <w:t xml:space="preserve">Indigenous communities and Aboriginal Community Controlled Organisations in the </w:t>
      </w:r>
      <w:r w:rsidR="0023550E" w:rsidRPr="00C12F8D">
        <w:rPr>
          <w:rFonts w:ascii="Open Sans" w:hAnsi="Open Sans" w:cs="Open Sans"/>
          <w:lang w:val="en-US"/>
        </w:rPr>
        <w:t xml:space="preserve">design, </w:t>
      </w:r>
      <w:r w:rsidRPr="00C12F8D">
        <w:rPr>
          <w:rFonts w:ascii="Open Sans" w:hAnsi="Open Sans" w:cs="Open Sans"/>
          <w:lang w:val="en-US"/>
        </w:rPr>
        <w:t xml:space="preserve">oversight and operation of ParentsNext, </w:t>
      </w:r>
      <w:r w:rsidR="0023550E" w:rsidRPr="00C12F8D">
        <w:rPr>
          <w:rFonts w:ascii="Open Sans" w:hAnsi="Open Sans" w:cs="Open Sans"/>
          <w:lang w:val="en-US"/>
        </w:rPr>
        <w:t xml:space="preserve">to allow for </w:t>
      </w:r>
      <w:r w:rsidR="0023550E" w:rsidRPr="00C12F8D">
        <w:rPr>
          <w:rFonts w:ascii="Open Sans" w:hAnsi="Open Sans" w:cs="Open Sans"/>
        </w:rPr>
        <w:t>self-</w:t>
      </w:r>
      <w:r w:rsidR="0023550E" w:rsidRPr="00C12F8D">
        <w:rPr>
          <w:rFonts w:ascii="Open Sans" w:hAnsi="Open Sans" w:cs="Open Sans"/>
          <w:lang w:val="en-US"/>
        </w:rPr>
        <w:t>determination</w:t>
      </w:r>
      <w:r w:rsidR="0023550E" w:rsidRPr="00C12F8D">
        <w:rPr>
          <w:rFonts w:ascii="Open Sans" w:hAnsi="Open Sans" w:cs="Open Sans"/>
        </w:rPr>
        <w:t xml:space="preserve"> and participation in </w:t>
      </w:r>
      <w:r w:rsidR="00B77A40" w:rsidRPr="00C12F8D">
        <w:rPr>
          <w:rFonts w:ascii="Open Sans" w:hAnsi="Open Sans" w:cs="Open Sans"/>
        </w:rPr>
        <w:t>decision</w:t>
      </w:r>
      <w:r w:rsidR="00E852DB">
        <w:rPr>
          <w:rFonts w:ascii="Open Sans" w:hAnsi="Open Sans" w:cs="Open Sans"/>
        </w:rPr>
        <w:t xml:space="preserve"> </w:t>
      </w:r>
      <w:r w:rsidR="00B77A40" w:rsidRPr="00C12F8D">
        <w:rPr>
          <w:rFonts w:ascii="Open Sans" w:hAnsi="Open Sans" w:cs="Open Sans"/>
        </w:rPr>
        <w:t>making</w:t>
      </w:r>
      <w:r w:rsidRPr="00C12F8D">
        <w:rPr>
          <w:rFonts w:ascii="Open Sans" w:hAnsi="Open Sans" w:cs="Open Sans"/>
          <w:lang w:val="en-US"/>
        </w:rPr>
        <w:t>.</w:t>
      </w:r>
    </w:p>
    <w:p w14:paraId="3537ADD1" w14:textId="0D6C8360" w:rsidR="00460110" w:rsidRPr="00C12F8D" w:rsidRDefault="00460110" w:rsidP="00A36CCA">
      <w:pPr>
        <w:pStyle w:val="ListNumber"/>
        <w:numPr>
          <w:ilvl w:val="0"/>
          <w:numId w:val="0"/>
        </w:numPr>
        <w:ind w:left="1080"/>
        <w:rPr>
          <w:rFonts w:ascii="Open Sans" w:hAnsi="Open Sans" w:cs="Open Sans"/>
        </w:rPr>
      </w:pPr>
      <w:r w:rsidRPr="00C12F8D">
        <w:rPr>
          <w:rFonts w:ascii="Open Sans" w:hAnsi="Open Sans" w:cs="Open Sans"/>
          <w:b/>
        </w:rPr>
        <w:t>Recommendation 6:</w:t>
      </w:r>
      <w:r w:rsidRPr="00C12F8D">
        <w:rPr>
          <w:rFonts w:ascii="Open Sans" w:hAnsi="Open Sans" w:cs="Open Sans"/>
        </w:rPr>
        <w:t xml:space="preserve"> Evaluation data from the ParentsNext trial be publicly released to enhance scrutiny and reform, including </w:t>
      </w:r>
      <w:r w:rsidRPr="00C12F8D">
        <w:rPr>
          <w:rFonts w:ascii="Open Sans" w:hAnsi="Open Sans" w:cs="Open Sans"/>
          <w:lang w:val="en-US"/>
        </w:rPr>
        <w:t>information on sample size, parti</w:t>
      </w:r>
      <w:r w:rsidR="003D0599" w:rsidRPr="00C12F8D">
        <w:rPr>
          <w:rFonts w:ascii="Open Sans" w:hAnsi="Open Sans" w:cs="Open Sans"/>
          <w:lang w:val="en-US"/>
        </w:rPr>
        <w:t>cipant selection methodology,</w:t>
      </w:r>
      <w:r w:rsidRPr="00C12F8D">
        <w:rPr>
          <w:rFonts w:ascii="Open Sans" w:hAnsi="Open Sans" w:cs="Open Sans"/>
          <w:lang w:val="en-US"/>
        </w:rPr>
        <w:t xml:space="preserve"> </w:t>
      </w:r>
      <w:r w:rsidR="003C133C" w:rsidRPr="00C12F8D">
        <w:rPr>
          <w:rFonts w:ascii="Open Sans" w:hAnsi="Open Sans" w:cs="Open Sans"/>
          <w:lang w:val="en-US"/>
        </w:rPr>
        <w:t xml:space="preserve">the </w:t>
      </w:r>
      <w:r w:rsidRPr="00C12F8D">
        <w:rPr>
          <w:rFonts w:ascii="Open Sans" w:hAnsi="Open Sans" w:cs="Open Sans"/>
          <w:lang w:val="en-US"/>
        </w:rPr>
        <w:t>de-individualised raw aggregated data corresponding to each survey question</w:t>
      </w:r>
      <w:r w:rsidR="003D0599" w:rsidRPr="00C12F8D">
        <w:rPr>
          <w:rFonts w:ascii="Open Sans" w:hAnsi="Open Sans" w:cs="Open Sans"/>
        </w:rPr>
        <w:t xml:space="preserve"> and the </w:t>
      </w:r>
      <w:r w:rsidR="003D0599" w:rsidRPr="00C12F8D">
        <w:rPr>
          <w:rFonts w:ascii="Open Sans" w:hAnsi="Open Sans" w:cs="Open Sans"/>
          <w:lang w:val="en-US"/>
        </w:rPr>
        <w:t>survey instrument/s.</w:t>
      </w:r>
    </w:p>
    <w:p w14:paraId="0FAAD672" w14:textId="0A2216D8" w:rsidR="00460110" w:rsidRPr="00C12F8D" w:rsidRDefault="00460110" w:rsidP="001513C2">
      <w:pPr>
        <w:pStyle w:val="ListNumber"/>
        <w:numPr>
          <w:ilvl w:val="0"/>
          <w:numId w:val="0"/>
        </w:numPr>
        <w:ind w:left="1080"/>
        <w:rPr>
          <w:rFonts w:ascii="Open Sans" w:hAnsi="Open Sans" w:cs="Open Sans"/>
          <w:lang w:val="en-US"/>
        </w:rPr>
      </w:pPr>
      <w:r w:rsidRPr="00C12F8D">
        <w:rPr>
          <w:rFonts w:ascii="Open Sans" w:hAnsi="Open Sans" w:cs="Open Sans"/>
          <w:b/>
        </w:rPr>
        <w:t>Recommendation 7:</w:t>
      </w:r>
      <w:r w:rsidRPr="00C12F8D">
        <w:rPr>
          <w:rFonts w:ascii="Open Sans" w:hAnsi="Open Sans" w:cs="Open Sans"/>
        </w:rPr>
        <w:t xml:space="preserve"> A more methodologically rigorous evaluation of the expanded ParentsNext program be conducted by an independent research body, rather than the Government. This should include clear </w:t>
      </w:r>
      <w:r w:rsidRPr="00C12F8D">
        <w:rPr>
          <w:rFonts w:ascii="Open Sans" w:eastAsia="MS Mincho" w:hAnsi="Open Sans" w:cs="Open Sans"/>
        </w:rPr>
        <w:t xml:space="preserve">identification of </w:t>
      </w:r>
      <w:r w:rsidRPr="00C12F8D">
        <w:rPr>
          <w:rFonts w:ascii="Open Sans" w:hAnsi="Open Sans" w:cs="Open Sans"/>
        </w:rPr>
        <w:t xml:space="preserve">the </w:t>
      </w:r>
      <w:r w:rsidRPr="00C12F8D">
        <w:rPr>
          <w:rFonts w:ascii="Open Sans" w:eastAsia="MS Mincho" w:hAnsi="Open Sans" w:cs="Open Sans"/>
        </w:rPr>
        <w:t>academic research and</w:t>
      </w:r>
      <w:r w:rsidRPr="00C12F8D">
        <w:rPr>
          <w:rFonts w:ascii="Open Sans" w:hAnsi="Open Sans" w:cs="Open Sans"/>
        </w:rPr>
        <w:t xml:space="preserve"> statistical</w:t>
      </w:r>
      <w:r w:rsidRPr="00C12F8D">
        <w:rPr>
          <w:rFonts w:ascii="Open Sans" w:eastAsia="MS Mincho" w:hAnsi="Open Sans" w:cs="Open Sans"/>
        </w:rPr>
        <w:t xml:space="preserve"> evidence relie</w:t>
      </w:r>
      <w:r w:rsidRPr="00C12F8D">
        <w:rPr>
          <w:rFonts w:ascii="Open Sans" w:hAnsi="Open Sans" w:cs="Open Sans"/>
        </w:rPr>
        <w:t>d</w:t>
      </w:r>
      <w:r w:rsidR="00D308EC">
        <w:rPr>
          <w:rFonts w:ascii="Open Sans" w:eastAsia="MS Mincho" w:hAnsi="Open Sans" w:cs="Open Sans"/>
        </w:rPr>
        <w:t xml:space="preserve"> </w:t>
      </w:r>
      <w:r w:rsidRPr="00C12F8D">
        <w:rPr>
          <w:rFonts w:ascii="Open Sans" w:eastAsia="MS Mincho" w:hAnsi="Open Sans" w:cs="Open Sans"/>
        </w:rPr>
        <w:t xml:space="preserve">on </w:t>
      </w:r>
      <w:r w:rsidRPr="00C12F8D">
        <w:rPr>
          <w:rFonts w:ascii="Open Sans" w:hAnsi="Open Sans" w:cs="Open Sans"/>
        </w:rPr>
        <w:t>to assess whether punitive compliance achieves</w:t>
      </w:r>
      <w:r w:rsidRPr="00C12F8D">
        <w:rPr>
          <w:rFonts w:ascii="Open Sans" w:eastAsia="MS Mincho" w:hAnsi="Open Sans" w:cs="Open Sans"/>
        </w:rPr>
        <w:t xml:space="preserve"> the desire</w:t>
      </w:r>
      <w:r w:rsidRPr="00C12F8D">
        <w:rPr>
          <w:rFonts w:ascii="Open Sans" w:hAnsi="Open Sans" w:cs="Open Sans"/>
        </w:rPr>
        <w:t xml:space="preserve">d </w:t>
      </w:r>
      <w:r w:rsidR="0001008E" w:rsidRPr="00C12F8D">
        <w:rPr>
          <w:rFonts w:ascii="Open Sans" w:hAnsi="Open Sans" w:cs="Open Sans"/>
        </w:rPr>
        <w:t>objectives</w:t>
      </w:r>
      <w:r w:rsidRPr="00C12F8D">
        <w:rPr>
          <w:rFonts w:ascii="Open Sans" w:hAnsi="Open Sans" w:cs="Open Sans"/>
        </w:rPr>
        <w:t xml:space="preserve"> of the program in a reasonable, necessary and proportionate manner.</w:t>
      </w:r>
    </w:p>
    <w:p w14:paraId="60E94197" w14:textId="269DDB98" w:rsidR="00460110" w:rsidRPr="00C12F8D" w:rsidRDefault="00460110" w:rsidP="00A71EAB">
      <w:pPr>
        <w:pStyle w:val="ListNumber"/>
        <w:numPr>
          <w:ilvl w:val="0"/>
          <w:numId w:val="0"/>
        </w:numPr>
        <w:ind w:left="1080"/>
        <w:rPr>
          <w:rFonts w:ascii="Open Sans" w:hAnsi="Open Sans" w:cs="Open Sans"/>
        </w:rPr>
      </w:pPr>
      <w:r w:rsidRPr="00C12F8D">
        <w:rPr>
          <w:rFonts w:ascii="Open Sans" w:hAnsi="Open Sans" w:cs="Open Sans"/>
          <w:b/>
        </w:rPr>
        <w:t>Recommendation 8:</w:t>
      </w:r>
      <w:r w:rsidRPr="00C12F8D">
        <w:rPr>
          <w:rFonts w:ascii="Open Sans" w:hAnsi="Open Sans" w:cs="Open Sans"/>
        </w:rPr>
        <w:t xml:space="preserve"> The Government provide inf</w:t>
      </w:r>
      <w:r w:rsidR="00D308EC">
        <w:rPr>
          <w:rFonts w:ascii="Open Sans" w:hAnsi="Open Sans" w:cs="Open Sans"/>
        </w:rPr>
        <w:t>ormation about its plan</w:t>
      </w:r>
      <w:r w:rsidRPr="00C12F8D">
        <w:rPr>
          <w:rFonts w:ascii="Open Sans" w:hAnsi="Open Sans" w:cs="Open Sans"/>
        </w:rPr>
        <w:t xml:space="preserve"> to holistically address the structural barriers to decent work facing the participants of ParentsNext, including the resources it has committed to keeping families above the poverty line, ensuring access to education, affordable childcare and healthcare, </w:t>
      </w:r>
      <w:r w:rsidR="00411F2C" w:rsidRPr="00C12F8D">
        <w:rPr>
          <w:rFonts w:ascii="Open Sans" w:hAnsi="Open Sans" w:cs="Open Sans"/>
        </w:rPr>
        <w:t xml:space="preserve">recognising the value of unpaid care, </w:t>
      </w:r>
      <w:r w:rsidRPr="00C12F8D">
        <w:rPr>
          <w:rFonts w:ascii="Open Sans" w:hAnsi="Open Sans" w:cs="Open Sans"/>
        </w:rPr>
        <w:t>and meaningful consultation with affected groups including Indigenous Australians.</w:t>
      </w:r>
    </w:p>
    <w:p w14:paraId="669A2AD4" w14:textId="77777777" w:rsidR="00460110" w:rsidRPr="00C12F8D" w:rsidRDefault="00460110" w:rsidP="009E08D1">
      <w:pPr>
        <w:pStyle w:val="Heading1"/>
        <w:rPr>
          <w:rFonts w:ascii="Open Sans" w:hAnsi="Open Sans" w:cs="Open Sans"/>
        </w:rPr>
      </w:pPr>
      <w:bookmarkStart w:id="33" w:name="_Toc536796579"/>
      <w:r w:rsidRPr="00C12F8D">
        <w:rPr>
          <w:rFonts w:ascii="Open Sans" w:hAnsi="Open Sans" w:cs="Open Sans"/>
        </w:rPr>
        <w:lastRenderedPageBreak/>
        <w:t>Background</w:t>
      </w:r>
      <w:bookmarkEnd w:id="33"/>
    </w:p>
    <w:p w14:paraId="18015BE8" w14:textId="3C5DA3B1" w:rsidR="00460110" w:rsidRPr="00C12F8D" w:rsidRDefault="00460110" w:rsidP="0037322A">
      <w:pPr>
        <w:pStyle w:val="Heading2"/>
        <w:rPr>
          <w:rFonts w:ascii="Open Sans" w:hAnsi="Open Sans" w:cs="Open Sans"/>
        </w:rPr>
      </w:pPr>
      <w:bookmarkStart w:id="34" w:name="_Toc536796580"/>
      <w:r w:rsidRPr="00C12F8D">
        <w:rPr>
          <w:rFonts w:ascii="Open Sans" w:hAnsi="Open Sans" w:cs="Open Sans"/>
        </w:rPr>
        <w:t>Parenting Payment</w:t>
      </w:r>
      <w:bookmarkEnd w:id="34"/>
    </w:p>
    <w:p w14:paraId="4369E8B9" w14:textId="08406E7A" w:rsidR="00460110" w:rsidRPr="00C12F8D" w:rsidRDefault="00460110" w:rsidP="00C21AB0">
      <w:pPr>
        <w:pStyle w:val="ListNumber"/>
        <w:tabs>
          <w:tab w:val="clear" w:pos="360"/>
        </w:tabs>
        <w:ind w:left="1094" w:hanging="737"/>
        <w:rPr>
          <w:rFonts w:ascii="Open Sans" w:hAnsi="Open Sans" w:cs="Open Sans"/>
        </w:rPr>
      </w:pPr>
      <w:r w:rsidRPr="00C12F8D">
        <w:rPr>
          <w:rFonts w:ascii="Open Sans" w:hAnsi="Open Sans" w:cs="Open Sans"/>
        </w:rPr>
        <w:t>The Parenting Payment is the main form of income support available to a parent or primary carer of a young child.</w:t>
      </w:r>
      <w:r w:rsidR="0001008E" w:rsidRPr="00C12F8D">
        <w:rPr>
          <w:rFonts w:ascii="Open Sans" w:hAnsi="Open Sans" w:cs="Open Sans"/>
        </w:rPr>
        <w:t xml:space="preserve"> The amount of Parenting Payment received depends on the parent’s income.</w:t>
      </w:r>
    </w:p>
    <w:p w14:paraId="5111D5A7" w14:textId="7C477EE7" w:rsidR="00460110" w:rsidRPr="00C12F8D" w:rsidRDefault="00460110" w:rsidP="000F45F9">
      <w:pPr>
        <w:pStyle w:val="ListNumber"/>
        <w:tabs>
          <w:tab w:val="clear" w:pos="360"/>
        </w:tabs>
        <w:ind w:left="1094" w:hanging="737"/>
        <w:rPr>
          <w:rFonts w:ascii="Open Sans" w:hAnsi="Open Sans" w:cs="Open Sans"/>
        </w:rPr>
      </w:pPr>
      <w:r w:rsidRPr="00C12F8D">
        <w:rPr>
          <w:rFonts w:ascii="Open Sans" w:hAnsi="Open Sans" w:cs="Open Sans"/>
        </w:rPr>
        <w:t>Single parents have to meet specified eligibility criteria to receive the Parenting Payment, including earn</w:t>
      </w:r>
      <w:r w:rsidR="0001008E" w:rsidRPr="00C12F8D">
        <w:rPr>
          <w:rFonts w:ascii="Open Sans" w:hAnsi="Open Sans" w:cs="Open Sans"/>
        </w:rPr>
        <w:t>ing</w:t>
      </w:r>
      <w:r w:rsidRPr="00C12F8D">
        <w:rPr>
          <w:rFonts w:ascii="Open Sans" w:hAnsi="Open Sans" w:cs="Open Sans"/>
        </w:rPr>
        <w:t xml:space="preserve"> under approximately $55,000 gross income per annum and hav</w:t>
      </w:r>
      <w:r w:rsidR="0001008E" w:rsidRPr="00C12F8D">
        <w:rPr>
          <w:rFonts w:ascii="Open Sans" w:hAnsi="Open Sans" w:cs="Open Sans"/>
        </w:rPr>
        <w:t>ing</w:t>
      </w:r>
      <w:r w:rsidRPr="00C12F8D">
        <w:rPr>
          <w:rFonts w:ascii="Open Sans" w:hAnsi="Open Sans" w:cs="Open Sans"/>
        </w:rPr>
        <w:t xml:space="preserve"> a child </w:t>
      </w:r>
      <w:r w:rsidR="00D308EC">
        <w:rPr>
          <w:rFonts w:ascii="Open Sans" w:hAnsi="Open Sans" w:cs="Open Sans"/>
        </w:rPr>
        <w:t xml:space="preserve">who is </w:t>
      </w:r>
      <w:r w:rsidRPr="00C12F8D">
        <w:rPr>
          <w:rFonts w:ascii="Open Sans" w:hAnsi="Open Sans" w:cs="Open Sans"/>
        </w:rPr>
        <w:t>under eight</w:t>
      </w:r>
      <w:r w:rsidR="000E4C93" w:rsidRPr="00C12F8D">
        <w:rPr>
          <w:rFonts w:ascii="Open Sans" w:hAnsi="Open Sans" w:cs="Open Sans"/>
        </w:rPr>
        <w:t xml:space="preserve"> years old</w:t>
      </w:r>
      <w:r w:rsidRPr="00C12F8D">
        <w:rPr>
          <w:rFonts w:ascii="Open Sans" w:hAnsi="Open Sans" w:cs="Open Sans"/>
        </w:rPr>
        <w:t>.</w:t>
      </w:r>
      <w:r w:rsidRPr="00C12F8D">
        <w:rPr>
          <w:rStyle w:val="EndnoteReference"/>
          <w:rFonts w:cs="Open Sans"/>
        </w:rPr>
        <w:endnoteReference w:id="8"/>
      </w:r>
      <w:r w:rsidRPr="00C12F8D">
        <w:rPr>
          <w:rFonts w:ascii="Open Sans" w:hAnsi="Open Sans" w:cs="Open Sans"/>
        </w:rPr>
        <w:t xml:space="preserve"> The </w:t>
      </w:r>
      <w:r w:rsidRPr="00C12F8D">
        <w:rPr>
          <w:rFonts w:ascii="Open Sans" w:hAnsi="Open Sans" w:cs="Open Sans"/>
          <w:i/>
        </w:rPr>
        <w:t>maximum</w:t>
      </w:r>
      <w:r w:rsidRPr="00C12F8D">
        <w:rPr>
          <w:rFonts w:ascii="Open Sans" w:hAnsi="Open Sans" w:cs="Open Sans"/>
        </w:rPr>
        <w:t xml:space="preserve"> fortnightly amount of Parenting Payment for a single person is $768.50. A single parent with one child will only receive the maximum payment if their gross income is approximately $5,000 or less per annum.</w:t>
      </w:r>
      <w:r w:rsidRPr="00C12F8D">
        <w:rPr>
          <w:rStyle w:val="EndnoteReference"/>
          <w:rFonts w:cs="Open Sans"/>
        </w:rPr>
        <w:endnoteReference w:id="9"/>
      </w:r>
      <w:r w:rsidR="00D308EC">
        <w:rPr>
          <w:rFonts w:ascii="Open Sans" w:hAnsi="Open Sans" w:cs="Open Sans"/>
        </w:rPr>
        <w:t xml:space="preserve"> </w:t>
      </w:r>
      <w:r w:rsidR="00D308EC" w:rsidRPr="00C12F8D">
        <w:rPr>
          <w:rFonts w:ascii="Open Sans" w:hAnsi="Open Sans" w:cs="Open Sans"/>
        </w:rPr>
        <w:t>Approximately 71.5% of Parenting Payment recipients are single parents.</w:t>
      </w:r>
      <w:r w:rsidR="00D308EC" w:rsidRPr="00C12F8D">
        <w:rPr>
          <w:rStyle w:val="EndnoteReference"/>
          <w:rFonts w:cs="Open Sans"/>
        </w:rPr>
        <w:endnoteReference w:id="10"/>
      </w:r>
    </w:p>
    <w:p w14:paraId="343E3658" w14:textId="12BD574D" w:rsidR="00460110" w:rsidRPr="00C12F8D" w:rsidRDefault="00460110" w:rsidP="006B4681">
      <w:pPr>
        <w:pStyle w:val="ListNumber"/>
        <w:tabs>
          <w:tab w:val="clear" w:pos="360"/>
        </w:tabs>
        <w:ind w:left="1094" w:hanging="737"/>
        <w:rPr>
          <w:rFonts w:ascii="Open Sans" w:hAnsi="Open Sans" w:cs="Open Sans"/>
        </w:rPr>
      </w:pPr>
      <w:r w:rsidRPr="00C12F8D">
        <w:rPr>
          <w:rFonts w:ascii="Open Sans" w:hAnsi="Open Sans" w:cs="Open Sans"/>
        </w:rPr>
        <w:t xml:space="preserve">The Parenting Payment is also available for partnered parents who meet the combined low income criteria, where </w:t>
      </w:r>
      <w:r w:rsidR="00D308EC">
        <w:rPr>
          <w:rFonts w:ascii="Open Sans" w:hAnsi="Open Sans" w:cs="Open Sans"/>
        </w:rPr>
        <w:t>a</w:t>
      </w:r>
      <w:r w:rsidRPr="00C12F8D">
        <w:rPr>
          <w:rFonts w:ascii="Open Sans" w:hAnsi="Open Sans" w:cs="Open Sans"/>
        </w:rPr>
        <w:t xml:space="preserve"> child is under six</w:t>
      </w:r>
      <w:r w:rsidR="00973615" w:rsidRPr="00C12F8D">
        <w:rPr>
          <w:rFonts w:ascii="Open Sans" w:hAnsi="Open Sans" w:cs="Open Sans"/>
        </w:rPr>
        <w:t xml:space="preserve"> years old</w:t>
      </w:r>
      <w:r w:rsidRPr="00C12F8D">
        <w:rPr>
          <w:rFonts w:ascii="Open Sans" w:hAnsi="Open Sans" w:cs="Open Sans"/>
        </w:rPr>
        <w:t xml:space="preserve">. Only one partner out of a couple is entitled to the Parenting Payment. The </w:t>
      </w:r>
      <w:r w:rsidRPr="00C12F8D">
        <w:rPr>
          <w:rFonts w:ascii="Open Sans" w:hAnsi="Open Sans" w:cs="Open Sans"/>
          <w:i/>
        </w:rPr>
        <w:t xml:space="preserve">maximum </w:t>
      </w:r>
      <w:r w:rsidRPr="00C12F8D">
        <w:rPr>
          <w:rFonts w:ascii="Open Sans" w:hAnsi="Open Sans" w:cs="Open Sans"/>
        </w:rPr>
        <w:t>fortnightly amount for a partnered person is $496.70.</w:t>
      </w:r>
      <w:r w:rsidRPr="00C12F8D">
        <w:rPr>
          <w:rStyle w:val="EndnoteReference"/>
          <w:rFonts w:cs="Open Sans"/>
        </w:rPr>
        <w:endnoteReference w:id="11"/>
      </w:r>
    </w:p>
    <w:p w14:paraId="1925BDDA" w14:textId="0FC468A2" w:rsidR="00460110" w:rsidRPr="00C12F8D" w:rsidRDefault="00460110" w:rsidP="0001008E">
      <w:pPr>
        <w:pStyle w:val="ListNumber"/>
        <w:tabs>
          <w:tab w:val="clear" w:pos="360"/>
        </w:tabs>
        <w:ind w:left="1094" w:hanging="737"/>
        <w:rPr>
          <w:rFonts w:ascii="Open Sans" w:hAnsi="Open Sans" w:cs="Open Sans"/>
        </w:rPr>
      </w:pPr>
      <w:r w:rsidRPr="00C12F8D">
        <w:rPr>
          <w:rFonts w:ascii="Open Sans" w:hAnsi="Open Sans" w:cs="Open Sans"/>
        </w:rPr>
        <w:t xml:space="preserve">ParentsNext is a </w:t>
      </w:r>
      <w:r w:rsidR="0001008E" w:rsidRPr="00C12F8D">
        <w:rPr>
          <w:rFonts w:ascii="Open Sans" w:hAnsi="Open Sans" w:cs="Open Sans"/>
        </w:rPr>
        <w:t>‘pre-employment’</w:t>
      </w:r>
      <w:r w:rsidRPr="00C12F8D">
        <w:rPr>
          <w:rFonts w:ascii="Open Sans" w:hAnsi="Open Sans" w:cs="Open Sans"/>
        </w:rPr>
        <w:t xml:space="preserve"> support program that is compulsory for targeted recipients of the Parenting Payment. </w:t>
      </w:r>
      <w:r w:rsidR="0001008E" w:rsidRPr="00C12F8D">
        <w:rPr>
          <w:rFonts w:ascii="Open Sans" w:hAnsi="Open Sans" w:cs="Open Sans"/>
        </w:rPr>
        <w:t>It</w:t>
      </w:r>
      <w:r w:rsidRPr="00C12F8D">
        <w:rPr>
          <w:rFonts w:ascii="Open Sans" w:hAnsi="Open Sans" w:cs="Open Sans"/>
        </w:rPr>
        <w:t xml:space="preserve"> </w:t>
      </w:r>
      <w:r w:rsidRPr="00C12F8D">
        <w:rPr>
          <w:rFonts w:ascii="Open Sans" w:hAnsi="Open Sans" w:cs="Open Sans"/>
          <w:i/>
          <w:iCs/>
        </w:rPr>
        <w:t xml:space="preserve">requires </w:t>
      </w:r>
      <w:r w:rsidRPr="00C12F8D">
        <w:rPr>
          <w:rFonts w:ascii="Open Sans" w:hAnsi="Open Sans" w:cs="Open Sans"/>
        </w:rPr>
        <w:t xml:space="preserve">certain recipients of the Parenting Payment to enter into and comply with a participation plan containing parenting, pre-employment and employment goals, to meet with a ParentsNext provider regularly, to report fortnightly on their income and </w:t>
      </w:r>
      <w:r w:rsidR="00D308EC">
        <w:rPr>
          <w:rFonts w:ascii="Open Sans" w:hAnsi="Open Sans" w:cs="Open Sans"/>
        </w:rPr>
        <w:t xml:space="preserve">plan </w:t>
      </w:r>
      <w:r w:rsidRPr="00C12F8D">
        <w:rPr>
          <w:rFonts w:ascii="Open Sans" w:hAnsi="Open Sans" w:cs="Open Sans"/>
        </w:rPr>
        <w:t>progress, and to undertake compulsory activities in their plan.</w:t>
      </w:r>
      <w:r w:rsidRPr="00C12F8D">
        <w:rPr>
          <w:rStyle w:val="EndnoteReference"/>
          <w:rFonts w:cs="Open Sans"/>
        </w:rPr>
        <w:endnoteReference w:id="12"/>
      </w:r>
      <w:r w:rsidRPr="00C12F8D">
        <w:rPr>
          <w:rFonts w:ascii="Open Sans" w:hAnsi="Open Sans" w:cs="Open Sans"/>
        </w:rPr>
        <w:t xml:space="preserve"> </w:t>
      </w:r>
    </w:p>
    <w:p w14:paraId="3FDA3271" w14:textId="1E2DB583" w:rsidR="00460110" w:rsidRPr="00C12F8D" w:rsidRDefault="00460110" w:rsidP="00290716">
      <w:pPr>
        <w:pStyle w:val="ListNumber"/>
        <w:tabs>
          <w:tab w:val="clear" w:pos="360"/>
        </w:tabs>
        <w:ind w:left="1094" w:hanging="737"/>
        <w:rPr>
          <w:rFonts w:ascii="Open Sans" w:hAnsi="Open Sans" w:cs="Open Sans"/>
        </w:rPr>
      </w:pPr>
      <w:r w:rsidRPr="00C12F8D">
        <w:rPr>
          <w:rFonts w:ascii="Open Sans" w:hAnsi="Open Sans" w:cs="Open Sans"/>
        </w:rPr>
        <w:t xml:space="preserve">Such activities can include parenting courses, parents groups, financial management courses, medical appointments, part-time work, English programs, training or educational activities (e.g. school or TAFE) or engagement with government programs such as Jobactive. </w:t>
      </w:r>
    </w:p>
    <w:p w14:paraId="57F1214C" w14:textId="4FCB7D0C" w:rsidR="00460110" w:rsidRPr="00C12F8D" w:rsidRDefault="00460110" w:rsidP="00290716">
      <w:pPr>
        <w:pStyle w:val="ListNumber"/>
        <w:tabs>
          <w:tab w:val="clear" w:pos="360"/>
        </w:tabs>
        <w:ind w:left="1094" w:hanging="737"/>
        <w:rPr>
          <w:rFonts w:ascii="Open Sans" w:hAnsi="Open Sans" w:cs="Open Sans"/>
        </w:rPr>
      </w:pPr>
      <w:r w:rsidRPr="00C12F8D">
        <w:rPr>
          <w:rFonts w:ascii="Open Sans" w:hAnsi="Open Sans" w:cs="Open Sans"/>
        </w:rPr>
        <w:t>A failure to comply with compulsory requirements can result in the suspension, reduction or cancellation of Parenting Payment benefits.</w:t>
      </w:r>
    </w:p>
    <w:p w14:paraId="1B9BB3DD" w14:textId="4175B66F" w:rsidR="0001008E" w:rsidRPr="00C12F8D" w:rsidRDefault="0001008E" w:rsidP="00290716">
      <w:pPr>
        <w:pStyle w:val="ListNumber"/>
        <w:tabs>
          <w:tab w:val="clear" w:pos="360"/>
        </w:tabs>
        <w:ind w:left="1094" w:hanging="737"/>
        <w:rPr>
          <w:rFonts w:ascii="Open Sans" w:hAnsi="Open Sans" w:cs="Open Sans"/>
        </w:rPr>
      </w:pPr>
      <w:r w:rsidRPr="00C12F8D">
        <w:rPr>
          <w:rFonts w:ascii="Open Sans" w:hAnsi="Open Sans" w:cs="Open Sans"/>
        </w:rPr>
        <w:t>The vast majority of the 327,000 parents in receipt of the Parenting Payment are not subject to ParentsNext.</w:t>
      </w:r>
      <w:r w:rsidRPr="00C12F8D">
        <w:rPr>
          <w:rStyle w:val="EndnoteReference"/>
          <w:rFonts w:cs="Open Sans"/>
        </w:rPr>
        <w:endnoteReference w:id="13"/>
      </w:r>
      <w:r w:rsidRPr="00C12F8D">
        <w:rPr>
          <w:rFonts w:ascii="Open Sans" w:hAnsi="Open Sans" w:cs="Open Sans"/>
        </w:rPr>
        <w:t xml:space="preserve"> Therefore, they receive their entitlements without having to meet the requirements of the program.</w:t>
      </w:r>
    </w:p>
    <w:p w14:paraId="6BBBA92C" w14:textId="68EB970B" w:rsidR="00460110" w:rsidRPr="00C12F8D" w:rsidRDefault="00460110" w:rsidP="0037322A">
      <w:pPr>
        <w:pStyle w:val="Heading2"/>
        <w:rPr>
          <w:rFonts w:ascii="Open Sans" w:hAnsi="Open Sans" w:cs="Open Sans"/>
        </w:rPr>
      </w:pPr>
      <w:bookmarkStart w:id="35" w:name="_Toc536796581"/>
      <w:r w:rsidRPr="00C12F8D">
        <w:rPr>
          <w:rFonts w:ascii="Open Sans" w:hAnsi="Open Sans" w:cs="Open Sans"/>
        </w:rPr>
        <w:lastRenderedPageBreak/>
        <w:t>Expansion of ParentsNext program</w:t>
      </w:r>
      <w:bookmarkEnd w:id="35"/>
    </w:p>
    <w:p w14:paraId="589736ED" w14:textId="17151AD8" w:rsidR="00460110" w:rsidRPr="00C12F8D" w:rsidRDefault="00460110" w:rsidP="00290716">
      <w:pPr>
        <w:pStyle w:val="ListNumber"/>
        <w:tabs>
          <w:tab w:val="clear" w:pos="360"/>
        </w:tabs>
        <w:ind w:left="1094" w:hanging="737"/>
        <w:rPr>
          <w:rFonts w:ascii="Open Sans" w:hAnsi="Open Sans" w:cs="Open Sans"/>
        </w:rPr>
      </w:pPr>
      <w:r w:rsidRPr="00C12F8D">
        <w:rPr>
          <w:rFonts w:ascii="Open Sans" w:hAnsi="Open Sans" w:cs="Open Sans"/>
        </w:rPr>
        <w:t xml:space="preserve">The group of people who are required to participate in the ParentsNext program is set out in the </w:t>
      </w:r>
      <w:r w:rsidRPr="00C12F8D">
        <w:rPr>
          <w:rFonts w:ascii="Open Sans" w:hAnsi="Open Sans" w:cs="Open Sans"/>
          <w:i/>
        </w:rPr>
        <w:t>Social Security (Parenting payment participation requirements</w:t>
      </w:r>
      <w:r w:rsidR="00242BC6" w:rsidRPr="00C12F8D">
        <w:rPr>
          <w:rFonts w:ascii="Open Sans" w:hAnsi="Open Sans" w:cs="Open Sans"/>
          <w:i/>
        </w:rPr>
        <w:t>—</w:t>
      </w:r>
      <w:r w:rsidRPr="00C12F8D">
        <w:rPr>
          <w:rFonts w:ascii="Open Sans" w:hAnsi="Open Sans" w:cs="Open Sans"/>
          <w:i/>
        </w:rPr>
        <w:t xml:space="preserve">classes of persons) (No. 1) Instrument 2018 </w:t>
      </w:r>
      <w:r w:rsidRPr="00C12F8D">
        <w:rPr>
          <w:rFonts w:ascii="Open Sans" w:hAnsi="Open Sans" w:cs="Open Sans"/>
        </w:rPr>
        <w:t>(Cth) (the Instrument). The Instrument commenced on 1 July 2018.</w:t>
      </w:r>
    </w:p>
    <w:p w14:paraId="3C230587" w14:textId="0327C06D" w:rsidR="00460110" w:rsidRDefault="00F31717" w:rsidP="00480F10">
      <w:pPr>
        <w:pStyle w:val="ListNumber"/>
        <w:tabs>
          <w:tab w:val="clear" w:pos="360"/>
        </w:tabs>
        <w:ind w:left="1094" w:hanging="737"/>
        <w:rPr>
          <w:rFonts w:ascii="Open Sans" w:hAnsi="Open Sans" w:cs="Open Sans"/>
        </w:rPr>
      </w:pPr>
      <w:r w:rsidRPr="00C12F8D">
        <w:rPr>
          <w:rFonts w:ascii="Open Sans" w:hAnsi="Open Sans" w:cs="Open Sans"/>
        </w:rPr>
        <w:t>The Instrument</w:t>
      </w:r>
      <w:r w:rsidR="00460110" w:rsidRPr="00C12F8D">
        <w:rPr>
          <w:rFonts w:ascii="Open Sans" w:hAnsi="Open Sans" w:cs="Open Sans"/>
        </w:rPr>
        <w:t xml:space="preserve"> expand</w:t>
      </w:r>
      <w:r>
        <w:rPr>
          <w:rFonts w:ascii="Open Sans" w:hAnsi="Open Sans" w:cs="Open Sans"/>
        </w:rPr>
        <w:t>ed</w:t>
      </w:r>
      <w:r w:rsidR="00460110" w:rsidRPr="00C12F8D">
        <w:rPr>
          <w:rFonts w:ascii="Open Sans" w:hAnsi="Open Sans" w:cs="Open Sans"/>
        </w:rPr>
        <w:t xml:space="preserve"> ParentsNext from the trial phase commenced in 2016, where it applied to ten local government areas and around 22,000 parents.</w:t>
      </w:r>
      <w:r w:rsidR="00460110" w:rsidRPr="00C12F8D">
        <w:rPr>
          <w:rStyle w:val="EndnoteReference"/>
          <w:rFonts w:cs="Open Sans"/>
        </w:rPr>
        <w:endnoteReference w:id="14"/>
      </w:r>
      <w:r w:rsidR="00460110" w:rsidRPr="00C12F8D">
        <w:rPr>
          <w:rFonts w:ascii="Open Sans" w:hAnsi="Open Sans" w:cs="Open Sans"/>
        </w:rPr>
        <w:t xml:space="preserve"> The expanded program is expected to apply to around 68,000 parents annually from 1 July 2018. </w:t>
      </w:r>
    </w:p>
    <w:p w14:paraId="16DF6211" w14:textId="3D4268C0" w:rsidR="00F31717" w:rsidRPr="00C12F8D" w:rsidRDefault="00F31717" w:rsidP="00F31717">
      <w:pPr>
        <w:pStyle w:val="ListNumber"/>
        <w:tabs>
          <w:tab w:val="clear" w:pos="360"/>
        </w:tabs>
        <w:ind w:left="1094" w:hanging="737"/>
        <w:rPr>
          <w:rFonts w:ascii="Open Sans" w:hAnsi="Open Sans" w:cs="Open Sans"/>
        </w:rPr>
      </w:pPr>
      <w:r w:rsidRPr="00C12F8D">
        <w:rPr>
          <w:rFonts w:ascii="Open Sans" w:hAnsi="Open Sans" w:cs="Open Sans"/>
        </w:rPr>
        <w:t xml:space="preserve">The Instrument applies </w:t>
      </w:r>
      <w:r>
        <w:rPr>
          <w:rFonts w:ascii="Open Sans" w:hAnsi="Open Sans" w:cs="Open Sans"/>
        </w:rPr>
        <w:t>the program</w:t>
      </w:r>
      <w:r w:rsidRPr="00C12F8D">
        <w:rPr>
          <w:rFonts w:ascii="Open Sans" w:hAnsi="Open Sans" w:cs="Open Sans"/>
        </w:rPr>
        <w:t xml:space="preserve"> to a designated class of persons, by reference to criteria that include geographic area, work status, receipt of benefits and age of children. </w:t>
      </w:r>
    </w:p>
    <w:p w14:paraId="1B04E638" w14:textId="1EBB8427" w:rsidR="00460110" w:rsidRPr="00C12F8D" w:rsidRDefault="00460110" w:rsidP="009077BF">
      <w:pPr>
        <w:pStyle w:val="ListNumber"/>
        <w:tabs>
          <w:tab w:val="clear" w:pos="360"/>
        </w:tabs>
        <w:ind w:left="1094" w:hanging="737"/>
        <w:rPr>
          <w:rFonts w:ascii="Open Sans" w:hAnsi="Open Sans" w:cs="Open Sans"/>
        </w:rPr>
      </w:pPr>
      <w:r w:rsidRPr="00C12F8D">
        <w:rPr>
          <w:rFonts w:ascii="Open Sans" w:hAnsi="Open Sans" w:cs="Open Sans"/>
        </w:rPr>
        <w:t xml:space="preserve">A person who meets all of the following criteria </w:t>
      </w:r>
      <w:r w:rsidR="0001008E" w:rsidRPr="00C12F8D">
        <w:rPr>
          <w:rFonts w:ascii="Open Sans" w:hAnsi="Open Sans" w:cs="Open Sans"/>
        </w:rPr>
        <w:t>is required to</w:t>
      </w:r>
      <w:r w:rsidRPr="00C12F8D">
        <w:rPr>
          <w:rFonts w:ascii="Open Sans" w:hAnsi="Open Sans" w:cs="Open Sans"/>
        </w:rPr>
        <w:t xml:space="preserve"> take part in the ParentsNext program. The person:</w:t>
      </w:r>
    </w:p>
    <w:p w14:paraId="2600B675" w14:textId="0829483A"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has been in receipt of the Parenting Payment for more than six months in a row</w:t>
      </w:r>
    </w:p>
    <w:p w14:paraId="04645E41" w14:textId="10C64189"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has not earned any income in the past six months</w:t>
      </w:r>
    </w:p>
    <w:p w14:paraId="19809C7D" w14:textId="42BE7040"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has a youngest child aged at least six months and under six years of age</w:t>
      </w:r>
    </w:p>
    <w:p w14:paraId="760015B6" w14:textId="77777777"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lives in a ‘Targeted Stream’ or ‘Intensive Stream’ location and meets high risk/high priority criteria</w:t>
      </w:r>
    </w:p>
    <w:p w14:paraId="7C4DF10F" w14:textId="3A574A5F"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is not taking part in Disability Employment Services, Australian Disability Enterprises or Jobactive stream C servicing</w:t>
      </w:r>
    </w:p>
    <w:p w14:paraId="5525B5B9" w14:textId="1D936E7E"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does not live in a remote area serviced by the Community Development Program.</w:t>
      </w:r>
      <w:r w:rsidRPr="00C12F8D">
        <w:rPr>
          <w:rStyle w:val="EndnoteReference"/>
          <w:rFonts w:cs="Open Sans"/>
        </w:rPr>
        <w:endnoteReference w:id="15"/>
      </w:r>
    </w:p>
    <w:p w14:paraId="22B95BFE" w14:textId="06C484D1" w:rsidR="00460110" w:rsidRPr="00C12F8D" w:rsidRDefault="00460110" w:rsidP="00552919">
      <w:pPr>
        <w:pStyle w:val="ListNumber"/>
        <w:tabs>
          <w:tab w:val="clear" w:pos="360"/>
        </w:tabs>
        <w:ind w:left="1094" w:hanging="737"/>
        <w:rPr>
          <w:rFonts w:ascii="Open Sans" w:hAnsi="Open Sans" w:cs="Open Sans"/>
        </w:rPr>
      </w:pPr>
      <w:r w:rsidRPr="00C12F8D">
        <w:rPr>
          <w:rFonts w:ascii="Open Sans" w:hAnsi="Open Sans" w:cs="Open Sans"/>
        </w:rPr>
        <w:t>The Instrument designates 67 ‘listed local government areas’.</w:t>
      </w:r>
      <w:r w:rsidR="0001008E" w:rsidRPr="00C12F8D">
        <w:rPr>
          <w:rStyle w:val="EndnoteReference"/>
          <w:rFonts w:cs="Open Sans"/>
        </w:rPr>
        <w:endnoteReference w:id="16"/>
      </w:r>
      <w:r w:rsidRPr="00C12F8D">
        <w:rPr>
          <w:rFonts w:ascii="Open Sans" w:hAnsi="Open Sans" w:cs="Open Sans"/>
        </w:rPr>
        <w:t xml:space="preserve"> This includes the ten local government areas that were part of the initial trial and 57 additional local government areas. </w:t>
      </w:r>
      <w:r w:rsidR="0001008E" w:rsidRPr="00C12F8D">
        <w:rPr>
          <w:rFonts w:ascii="Open Sans" w:hAnsi="Open Sans" w:cs="Open Sans"/>
        </w:rPr>
        <w:t>It</w:t>
      </w:r>
      <w:r w:rsidRPr="00C12F8D">
        <w:rPr>
          <w:rFonts w:ascii="Open Sans" w:hAnsi="Open Sans" w:cs="Open Sans"/>
        </w:rPr>
        <w:t xml:space="preserve"> provides that ‘Intensive Stream’ participants must reside in a Jobactive employment region </w:t>
      </w:r>
      <w:r w:rsidRPr="00C12F8D">
        <w:rPr>
          <w:rFonts w:ascii="Open Sans" w:hAnsi="Open Sans" w:cs="Open Sans"/>
          <w:i/>
        </w:rPr>
        <w:t xml:space="preserve">and </w:t>
      </w:r>
      <w:r w:rsidRPr="00C12F8D">
        <w:rPr>
          <w:rFonts w:ascii="Open Sans" w:hAnsi="Open Sans" w:cs="Open Sans"/>
        </w:rPr>
        <w:t>in</w:t>
      </w:r>
      <w:r w:rsidR="0001008E" w:rsidRPr="00C12F8D">
        <w:rPr>
          <w:rFonts w:ascii="Open Sans" w:hAnsi="Open Sans" w:cs="Open Sans"/>
        </w:rPr>
        <w:t xml:space="preserve"> a listed local government area.</w:t>
      </w:r>
      <w:r w:rsidRPr="00C12F8D">
        <w:rPr>
          <w:rFonts w:ascii="Open Sans" w:hAnsi="Open Sans" w:cs="Open Sans"/>
        </w:rPr>
        <w:t xml:space="preserve"> ‘Targeted Stream’ participants must reside in a Jobactive region</w:t>
      </w:r>
      <w:r w:rsidR="0001008E" w:rsidRPr="00C12F8D">
        <w:rPr>
          <w:rFonts w:ascii="Open Sans" w:hAnsi="Open Sans" w:cs="Open Sans"/>
        </w:rPr>
        <w:t>,</w:t>
      </w:r>
      <w:r w:rsidRPr="00C12F8D">
        <w:rPr>
          <w:rFonts w:ascii="Open Sans" w:hAnsi="Open Sans" w:cs="Open Sans"/>
        </w:rPr>
        <w:t xml:space="preserve"> but not in a listed local government area. That is, the Targeted Stream will apply to Jobactive regions throughout Australia</w:t>
      </w:r>
      <w:r w:rsidR="0001008E" w:rsidRPr="00C12F8D">
        <w:rPr>
          <w:rFonts w:ascii="Open Sans" w:hAnsi="Open Sans" w:cs="Open Sans"/>
        </w:rPr>
        <w:t>,</w:t>
      </w:r>
      <w:r w:rsidRPr="00C12F8D">
        <w:rPr>
          <w:rFonts w:ascii="Open Sans" w:hAnsi="Open Sans" w:cs="Open Sans"/>
        </w:rPr>
        <w:t xml:space="preserve"> other than in the listed local government areas where the Intensive Stream applies.</w:t>
      </w:r>
    </w:p>
    <w:p w14:paraId="43274833" w14:textId="7D087028" w:rsidR="00460110" w:rsidRPr="00C12F8D" w:rsidRDefault="00460110" w:rsidP="00585FF7">
      <w:pPr>
        <w:pStyle w:val="ListNumber"/>
        <w:tabs>
          <w:tab w:val="clear" w:pos="360"/>
        </w:tabs>
        <w:ind w:left="1094" w:hanging="737"/>
        <w:rPr>
          <w:rFonts w:ascii="Open Sans" w:hAnsi="Open Sans" w:cs="Open Sans"/>
        </w:rPr>
      </w:pPr>
      <w:r w:rsidRPr="00C12F8D">
        <w:rPr>
          <w:rFonts w:ascii="Open Sans" w:hAnsi="Open Sans" w:cs="Open Sans"/>
        </w:rPr>
        <w:t xml:space="preserve">For those living in a ‘Targeted Stream’ location, the high risk/high priority criteria are established by </w:t>
      </w:r>
      <w:r w:rsidRPr="00C12F8D">
        <w:rPr>
          <w:rFonts w:ascii="Open Sans" w:hAnsi="Open Sans" w:cs="Open Sans"/>
          <w:i/>
        </w:rPr>
        <w:t xml:space="preserve">one </w:t>
      </w:r>
      <w:r w:rsidRPr="00C12F8D">
        <w:rPr>
          <w:rFonts w:ascii="Open Sans" w:hAnsi="Open Sans" w:cs="Open Sans"/>
        </w:rPr>
        <w:t>of the following. The person:</w:t>
      </w:r>
    </w:p>
    <w:p w14:paraId="55099954" w14:textId="14543513"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 xml:space="preserve">is an ‘early school leaver’ </w:t>
      </w:r>
    </w:p>
    <w:p w14:paraId="6C4C0C52" w14:textId="6F84B160"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lastRenderedPageBreak/>
        <w:t>is part of a jobless family, and has a youngest child at least five years of age</w:t>
      </w:r>
    </w:p>
    <w:p w14:paraId="3C8199B4" w14:textId="5E2E5B75"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has been assessed as highly disadvantaged by their Job Seeker Classification Instrument, and has a youngest child who is at least three years of age.</w:t>
      </w:r>
      <w:r w:rsidRPr="00C12F8D">
        <w:rPr>
          <w:rStyle w:val="EndnoteReference"/>
          <w:rFonts w:cs="Open Sans"/>
        </w:rPr>
        <w:endnoteReference w:id="17"/>
      </w:r>
    </w:p>
    <w:p w14:paraId="055ABB01" w14:textId="3CBA866F" w:rsidR="00460110" w:rsidRPr="00C12F8D" w:rsidRDefault="00460110" w:rsidP="0062306E">
      <w:pPr>
        <w:pStyle w:val="ListNumber"/>
        <w:tabs>
          <w:tab w:val="clear" w:pos="360"/>
        </w:tabs>
        <w:ind w:left="1094" w:hanging="737"/>
        <w:rPr>
          <w:rFonts w:ascii="Open Sans" w:hAnsi="Open Sans" w:cs="Open Sans"/>
        </w:rPr>
      </w:pPr>
      <w:r w:rsidRPr="00C12F8D">
        <w:rPr>
          <w:rFonts w:ascii="Open Sans" w:hAnsi="Open Sans" w:cs="Open Sans"/>
        </w:rPr>
        <w:t xml:space="preserve">For those living in an ‘Intensive Stream’ location, the high risk/high priority criteria are broader and established by </w:t>
      </w:r>
      <w:r w:rsidRPr="00C12F8D">
        <w:rPr>
          <w:rFonts w:ascii="Open Sans" w:hAnsi="Open Sans" w:cs="Open Sans"/>
          <w:i/>
        </w:rPr>
        <w:t>one</w:t>
      </w:r>
      <w:r w:rsidRPr="00C12F8D">
        <w:rPr>
          <w:rFonts w:ascii="Open Sans" w:hAnsi="Open Sans" w:cs="Open Sans"/>
        </w:rPr>
        <w:t xml:space="preserve"> of the following. The person:</w:t>
      </w:r>
    </w:p>
    <w:p w14:paraId="04C4D9DA" w14:textId="252DE0BE" w:rsidR="00460110" w:rsidRPr="00C12F8D" w:rsidRDefault="00460110" w:rsidP="0062306E">
      <w:pPr>
        <w:pStyle w:val="ListNumber"/>
        <w:numPr>
          <w:ilvl w:val="0"/>
          <w:numId w:val="16"/>
        </w:numPr>
        <w:rPr>
          <w:rFonts w:ascii="Open Sans" w:hAnsi="Open Sans" w:cs="Open Sans"/>
        </w:rPr>
      </w:pPr>
      <w:r w:rsidRPr="00C12F8D">
        <w:rPr>
          <w:rFonts w:ascii="Open Sans" w:hAnsi="Open Sans" w:cs="Open Sans"/>
        </w:rPr>
        <w:t>is an early school leaver</w:t>
      </w:r>
    </w:p>
    <w:p w14:paraId="0EE6346C" w14:textId="1D5092B6" w:rsidR="00460110" w:rsidRPr="00C12F8D" w:rsidRDefault="00460110" w:rsidP="0062306E">
      <w:pPr>
        <w:pStyle w:val="ListNumber"/>
        <w:numPr>
          <w:ilvl w:val="0"/>
          <w:numId w:val="16"/>
        </w:numPr>
        <w:rPr>
          <w:rFonts w:ascii="Open Sans" w:hAnsi="Open Sans" w:cs="Open Sans"/>
        </w:rPr>
      </w:pPr>
      <w:r w:rsidRPr="00C12F8D">
        <w:rPr>
          <w:rFonts w:ascii="Open Sans" w:hAnsi="Open Sans" w:cs="Open Sans"/>
        </w:rPr>
        <w:t>has a youngest child aged at least five years</w:t>
      </w:r>
      <w:r w:rsidR="00B40F8E" w:rsidRPr="00C12F8D">
        <w:rPr>
          <w:rFonts w:ascii="Open Sans" w:hAnsi="Open Sans" w:cs="Open Sans"/>
        </w:rPr>
        <w:t xml:space="preserve"> of age</w:t>
      </w:r>
    </w:p>
    <w:p w14:paraId="3075DDDD" w14:textId="77777777" w:rsidR="00460110" w:rsidRPr="00C12F8D" w:rsidRDefault="00460110" w:rsidP="0062306E">
      <w:pPr>
        <w:pStyle w:val="ListNumber"/>
        <w:numPr>
          <w:ilvl w:val="0"/>
          <w:numId w:val="16"/>
        </w:numPr>
        <w:rPr>
          <w:rFonts w:ascii="Open Sans" w:hAnsi="Open Sans" w:cs="Open Sans"/>
        </w:rPr>
      </w:pPr>
      <w:r w:rsidRPr="00C12F8D">
        <w:rPr>
          <w:rFonts w:ascii="Open Sans" w:hAnsi="Open Sans" w:cs="Open Sans"/>
        </w:rPr>
        <w:t>has been assessed as highly disadvantaged by their Job Seeker Classification Instrument.</w:t>
      </w:r>
      <w:r w:rsidRPr="00C12F8D">
        <w:rPr>
          <w:rStyle w:val="EndnoteReference"/>
          <w:rFonts w:cs="Open Sans"/>
        </w:rPr>
        <w:endnoteReference w:id="18"/>
      </w:r>
    </w:p>
    <w:p w14:paraId="3895711B" w14:textId="505AD878" w:rsidR="00460110" w:rsidRPr="00C12F8D" w:rsidRDefault="00460110" w:rsidP="00427FF6">
      <w:pPr>
        <w:pStyle w:val="ListNumber"/>
        <w:tabs>
          <w:tab w:val="clear" w:pos="360"/>
        </w:tabs>
        <w:ind w:left="1094" w:hanging="737"/>
        <w:rPr>
          <w:rFonts w:ascii="Open Sans" w:hAnsi="Open Sans" w:cs="Open Sans"/>
        </w:rPr>
      </w:pPr>
      <w:r w:rsidRPr="00C12F8D">
        <w:rPr>
          <w:rFonts w:ascii="Open Sans" w:hAnsi="Open Sans" w:cs="Open Sans"/>
        </w:rPr>
        <w:t xml:space="preserve">The application of ParentsNext to disadvantaged parents, and in particular to Indigenous women, is a recognised and intended program impact. For example, the expanded </w:t>
      </w:r>
      <w:r w:rsidR="0001008E" w:rsidRPr="00C12F8D">
        <w:rPr>
          <w:rFonts w:ascii="Open Sans" w:hAnsi="Open Sans" w:cs="Open Sans"/>
        </w:rPr>
        <w:t>program</w:t>
      </w:r>
      <w:r w:rsidRPr="00C12F8D">
        <w:rPr>
          <w:rFonts w:ascii="Open Sans" w:hAnsi="Open Sans" w:cs="Open Sans"/>
        </w:rPr>
        <w:t xml:space="preserve"> has been described by the Government as being delivered:</w:t>
      </w:r>
    </w:p>
    <w:p w14:paraId="5820F232" w14:textId="65A392A0"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nationally, to the most disadvantaged parents in all 51 Employment Regions covered by Jobactive providers (the Targeted Stream)</w:t>
      </w:r>
    </w:p>
    <w:p w14:paraId="02F85CC2" w14:textId="1B46AE11" w:rsidR="00460110" w:rsidRPr="00C12F8D" w:rsidRDefault="00460110" w:rsidP="00221364">
      <w:pPr>
        <w:pStyle w:val="ListNumber"/>
        <w:numPr>
          <w:ilvl w:val="0"/>
          <w:numId w:val="16"/>
        </w:numPr>
        <w:rPr>
          <w:rFonts w:ascii="Open Sans" w:hAnsi="Open Sans" w:cs="Open Sans"/>
        </w:rPr>
      </w:pPr>
      <w:r w:rsidRPr="00C12F8D">
        <w:rPr>
          <w:rFonts w:ascii="Open Sans" w:hAnsi="Open Sans" w:cs="Open Sans"/>
        </w:rPr>
        <w:t>as a more intensive service in 30 locations, which are highly disadvantaged or have a high proportion of Parenting Payment recipients who are Indigenous (the Intensive Stream).</w:t>
      </w:r>
      <w:r w:rsidRPr="00C12F8D">
        <w:rPr>
          <w:rStyle w:val="EndnoteReference"/>
          <w:rFonts w:cs="Open Sans"/>
        </w:rPr>
        <w:endnoteReference w:id="19"/>
      </w:r>
    </w:p>
    <w:p w14:paraId="7F6BC7A0" w14:textId="530679DC" w:rsidR="00460110" w:rsidRPr="00C12F8D" w:rsidRDefault="00460110" w:rsidP="00A10664">
      <w:pPr>
        <w:pStyle w:val="ListNumber"/>
        <w:tabs>
          <w:tab w:val="clear" w:pos="360"/>
        </w:tabs>
        <w:ind w:left="1094" w:hanging="737"/>
        <w:rPr>
          <w:rFonts w:ascii="Open Sans" w:hAnsi="Open Sans" w:cs="Open Sans"/>
        </w:rPr>
      </w:pPr>
      <w:r w:rsidRPr="00C12F8D">
        <w:rPr>
          <w:rFonts w:ascii="Open Sans" w:hAnsi="Open Sans" w:cs="Open Sans"/>
        </w:rPr>
        <w:t>The Intensive Stream has ‘a stronger focus on supporting parents, including Indigenous Parents, into work’.</w:t>
      </w:r>
      <w:r w:rsidRPr="00C12F8D">
        <w:rPr>
          <w:rStyle w:val="EndnoteReference"/>
          <w:rFonts w:cs="Open Sans"/>
        </w:rPr>
        <w:endnoteReference w:id="20"/>
      </w:r>
      <w:r w:rsidRPr="00C12F8D">
        <w:rPr>
          <w:rFonts w:ascii="Open Sans" w:hAnsi="Open Sans" w:cs="Open Sans"/>
        </w:rPr>
        <w:t xml:space="preserve"> This is said to be achieved by the provision of addit</w:t>
      </w:r>
      <w:r w:rsidR="0007420F" w:rsidRPr="00C12F8D">
        <w:rPr>
          <w:rFonts w:ascii="Open Sans" w:hAnsi="Open Sans" w:cs="Open Sans"/>
        </w:rPr>
        <w:t>ional funds to Intensive Stream</w:t>
      </w:r>
      <w:r w:rsidRPr="00C12F8D">
        <w:rPr>
          <w:rFonts w:ascii="Open Sans" w:hAnsi="Open Sans" w:cs="Open Sans"/>
        </w:rPr>
        <w:t xml:space="preserve"> providers ‘so they can assist parents to access and participate in services that will help them prepare for employment’.</w:t>
      </w:r>
      <w:r w:rsidRPr="00C12F8D">
        <w:rPr>
          <w:rStyle w:val="EndnoteReference"/>
          <w:rFonts w:cs="Open Sans"/>
        </w:rPr>
        <w:endnoteReference w:id="21"/>
      </w:r>
      <w:r w:rsidRPr="00C12F8D">
        <w:rPr>
          <w:rFonts w:ascii="Open Sans" w:hAnsi="Open Sans" w:cs="Open Sans"/>
        </w:rPr>
        <w:t xml:space="preserve"> </w:t>
      </w:r>
    </w:p>
    <w:p w14:paraId="2E7BFF03" w14:textId="15FB1261" w:rsidR="00460110" w:rsidRPr="00C12F8D" w:rsidRDefault="00460110" w:rsidP="00EC7A5D">
      <w:pPr>
        <w:pStyle w:val="ListNumber"/>
        <w:tabs>
          <w:tab w:val="clear" w:pos="360"/>
        </w:tabs>
        <w:ind w:left="1094" w:hanging="737"/>
        <w:rPr>
          <w:rFonts w:ascii="Open Sans" w:hAnsi="Open Sans" w:cs="Open Sans"/>
        </w:rPr>
      </w:pPr>
      <w:r w:rsidRPr="00C12F8D">
        <w:rPr>
          <w:rFonts w:ascii="Open Sans" w:hAnsi="Open Sans" w:cs="Open Sans"/>
        </w:rPr>
        <w:t>Such funds include $1200 credit for each parent commencing in the program to reimburse spending on relevant goods or services, and $300 ‘outcome payments’ for each educational attainment or sustainable employment outcome achieved by a participant.</w:t>
      </w:r>
      <w:r w:rsidRPr="00C12F8D">
        <w:rPr>
          <w:rStyle w:val="EndnoteReference"/>
          <w:rFonts w:cs="Open Sans"/>
        </w:rPr>
        <w:endnoteReference w:id="22"/>
      </w:r>
      <w:r w:rsidRPr="00C12F8D">
        <w:rPr>
          <w:rFonts w:ascii="Open Sans" w:hAnsi="Open Sans" w:cs="Open Sans"/>
        </w:rPr>
        <w:t xml:space="preserve"> </w:t>
      </w:r>
    </w:p>
    <w:p w14:paraId="64D63D00" w14:textId="2DB9832D" w:rsidR="00460110" w:rsidRPr="00C12F8D" w:rsidRDefault="00460110" w:rsidP="00EC7A5D">
      <w:pPr>
        <w:pStyle w:val="ListNumber"/>
        <w:tabs>
          <w:tab w:val="clear" w:pos="360"/>
        </w:tabs>
        <w:ind w:left="1094" w:hanging="737"/>
        <w:rPr>
          <w:rFonts w:ascii="Open Sans" w:hAnsi="Open Sans" w:cs="Open Sans"/>
        </w:rPr>
      </w:pPr>
      <w:r w:rsidRPr="00C12F8D">
        <w:rPr>
          <w:rFonts w:ascii="Open Sans" w:hAnsi="Open Sans" w:cs="Open Sans"/>
        </w:rPr>
        <w:t>Providers can apply these funds to expenditure on goods and services for participants in categories such as vocational or non-vocational training (e.g. food safety training or financial counselling), job-related mentoring, professional services (e.g. drug counselling) and work related expenses (e.g. police checks).</w:t>
      </w:r>
      <w:r w:rsidRPr="00C12F8D">
        <w:rPr>
          <w:rStyle w:val="EndnoteReference"/>
          <w:rFonts w:cs="Open Sans"/>
        </w:rPr>
        <w:endnoteReference w:id="23"/>
      </w:r>
    </w:p>
    <w:p w14:paraId="09EF0BAF" w14:textId="63A3356C" w:rsidR="00460110" w:rsidRPr="00C12F8D" w:rsidRDefault="00460110" w:rsidP="00EC7A5D">
      <w:pPr>
        <w:pStyle w:val="ListNumber"/>
        <w:tabs>
          <w:tab w:val="clear" w:pos="360"/>
        </w:tabs>
        <w:ind w:left="1094" w:hanging="737"/>
        <w:rPr>
          <w:rFonts w:ascii="Open Sans" w:hAnsi="Open Sans" w:cs="Open Sans"/>
        </w:rPr>
      </w:pPr>
      <w:r w:rsidRPr="00C12F8D">
        <w:rPr>
          <w:rFonts w:ascii="Open Sans" w:hAnsi="Open Sans" w:cs="Open Sans"/>
        </w:rPr>
        <w:lastRenderedPageBreak/>
        <w:t>Notably, these additional funds go to providers rather than individual parents. They can be spent by a provider ‘flexibly’ on Intensive Stream participants, rather than directly on a particular parent.</w:t>
      </w:r>
      <w:r w:rsidRPr="00C12F8D">
        <w:rPr>
          <w:rStyle w:val="EndnoteReference"/>
          <w:rFonts w:cs="Open Sans"/>
        </w:rPr>
        <w:endnoteReference w:id="24"/>
      </w:r>
    </w:p>
    <w:p w14:paraId="329FF485" w14:textId="68EA7AEA" w:rsidR="00460110" w:rsidRPr="00C12F8D" w:rsidRDefault="00460110" w:rsidP="00EC7A5D">
      <w:pPr>
        <w:pStyle w:val="ListNumber"/>
        <w:tabs>
          <w:tab w:val="clear" w:pos="360"/>
        </w:tabs>
        <w:ind w:left="1094" w:hanging="737"/>
        <w:rPr>
          <w:rFonts w:ascii="Open Sans" w:hAnsi="Open Sans" w:cs="Open Sans"/>
        </w:rPr>
      </w:pPr>
      <w:r w:rsidRPr="00C12F8D">
        <w:rPr>
          <w:rFonts w:ascii="Open Sans" w:hAnsi="Open Sans" w:cs="Open Sans"/>
        </w:rPr>
        <w:t>The Commission understands that, generally, the incidental costs of participating in compulsory activities, including the costs of transport and childcare, are not covered by ParentsNext. Further, it understands that some educational requirements may need to be self-funded in part or full.</w:t>
      </w:r>
    </w:p>
    <w:p w14:paraId="067A49F7" w14:textId="5EBD27A0" w:rsidR="00460110" w:rsidRPr="00C12F8D" w:rsidRDefault="00460110" w:rsidP="0007420F">
      <w:pPr>
        <w:pStyle w:val="ListNumber"/>
        <w:tabs>
          <w:tab w:val="clear" w:pos="360"/>
        </w:tabs>
        <w:ind w:left="1094" w:hanging="737"/>
        <w:rPr>
          <w:rFonts w:ascii="Open Sans" w:hAnsi="Open Sans" w:cs="Open Sans"/>
        </w:rPr>
      </w:pPr>
      <w:r w:rsidRPr="00C12F8D">
        <w:rPr>
          <w:rFonts w:ascii="Open Sans" w:hAnsi="Open Sans" w:cs="Open Sans"/>
        </w:rPr>
        <w:t>The application of ParentsNext to young parents</w:t>
      </w:r>
      <w:r w:rsidR="0007420F" w:rsidRPr="00C12F8D">
        <w:rPr>
          <w:rFonts w:ascii="Open Sans" w:hAnsi="Open Sans" w:cs="Open Sans"/>
        </w:rPr>
        <w:t xml:space="preserve"> who are ‘early school leavers’</w:t>
      </w:r>
      <w:r w:rsidRPr="00C12F8D">
        <w:rPr>
          <w:rFonts w:ascii="Open Sans" w:hAnsi="Open Sans" w:cs="Open Sans"/>
        </w:rPr>
        <w:t xml:space="preserve">, as one category of eligible participants, is also deliberate. Pursuant to the definition in s 23 of the </w:t>
      </w:r>
      <w:r w:rsidRPr="00C12F8D">
        <w:rPr>
          <w:rFonts w:ascii="Open Sans" w:hAnsi="Open Sans" w:cs="Open Sans"/>
          <w:i/>
        </w:rPr>
        <w:t>Social Security Act 1991</w:t>
      </w:r>
      <w:r w:rsidRPr="00C12F8D">
        <w:rPr>
          <w:rFonts w:ascii="Open Sans" w:hAnsi="Open Sans" w:cs="Open Sans"/>
        </w:rPr>
        <w:t xml:space="preserve"> (Cth), an ‘early school leaver’ is a person aged under 22 years who has not completed the final year of secondary school (or an equivalent level of education) and is not undertaking full time study.</w:t>
      </w:r>
    </w:p>
    <w:p w14:paraId="53B3A85B" w14:textId="45D41820" w:rsidR="00460110" w:rsidRPr="00C12F8D" w:rsidRDefault="00460110" w:rsidP="008829E5">
      <w:pPr>
        <w:pStyle w:val="Heading2"/>
        <w:rPr>
          <w:rFonts w:ascii="Open Sans" w:hAnsi="Open Sans" w:cs="Open Sans"/>
        </w:rPr>
      </w:pPr>
      <w:bookmarkStart w:id="36" w:name="_Toc536796582"/>
      <w:r w:rsidRPr="00C12F8D">
        <w:rPr>
          <w:rFonts w:ascii="Open Sans" w:hAnsi="Open Sans" w:cs="Open Sans"/>
        </w:rPr>
        <w:t>Targeted Compliance Framework</w:t>
      </w:r>
      <w:bookmarkEnd w:id="36"/>
    </w:p>
    <w:p w14:paraId="28DD1C56" w14:textId="77777777" w:rsidR="005131FD" w:rsidRPr="00C12F8D" w:rsidRDefault="00460110" w:rsidP="005131FD">
      <w:pPr>
        <w:pStyle w:val="ListNumber"/>
        <w:tabs>
          <w:tab w:val="clear" w:pos="360"/>
        </w:tabs>
        <w:ind w:left="1094" w:hanging="737"/>
        <w:rPr>
          <w:rFonts w:ascii="Open Sans" w:hAnsi="Open Sans" w:cs="Open Sans"/>
        </w:rPr>
      </w:pPr>
      <w:r w:rsidRPr="00C12F8D">
        <w:rPr>
          <w:rFonts w:ascii="Open Sans" w:hAnsi="Open Sans" w:cs="Open Sans"/>
        </w:rPr>
        <w:t xml:space="preserve">The TCF applies to compulsory ParentsNext participants pursuant to the Instrument, the </w:t>
      </w:r>
      <w:r w:rsidRPr="00C12F8D">
        <w:rPr>
          <w:rFonts w:ascii="Open Sans" w:hAnsi="Open Sans" w:cs="Open Sans"/>
          <w:i/>
        </w:rPr>
        <w:t>Social Security Act 1991</w:t>
      </w:r>
      <w:r w:rsidRPr="00C12F8D">
        <w:rPr>
          <w:rFonts w:ascii="Open Sans" w:hAnsi="Open Sans" w:cs="Open Sans"/>
        </w:rPr>
        <w:t xml:space="preserve"> (Cth) and the</w:t>
      </w:r>
      <w:r w:rsidRPr="00C12F8D">
        <w:rPr>
          <w:rFonts w:ascii="Open Sans" w:hAnsi="Open Sans" w:cs="Open Sans"/>
          <w:i/>
        </w:rPr>
        <w:t xml:space="preserve"> Social Security (Administration) Act 1999</w:t>
      </w:r>
      <w:r w:rsidR="005131FD" w:rsidRPr="00C12F8D">
        <w:rPr>
          <w:rFonts w:ascii="Open Sans" w:hAnsi="Open Sans" w:cs="Open Sans"/>
        </w:rPr>
        <w:t xml:space="preserve"> (Cth).</w:t>
      </w:r>
      <w:r w:rsidRPr="00C12F8D">
        <w:rPr>
          <w:rStyle w:val="EndnoteReference"/>
          <w:rFonts w:cs="Open Sans"/>
        </w:rPr>
        <w:endnoteReference w:id="25"/>
      </w:r>
      <w:r w:rsidR="005131FD" w:rsidRPr="00C12F8D">
        <w:rPr>
          <w:rFonts w:ascii="Open Sans" w:hAnsi="Open Sans" w:cs="Open Sans"/>
        </w:rPr>
        <w:t xml:space="preserve"> </w:t>
      </w:r>
    </w:p>
    <w:p w14:paraId="3D7451C8" w14:textId="18658599" w:rsidR="00460110" w:rsidRPr="00C12F8D" w:rsidRDefault="005131FD" w:rsidP="005131FD">
      <w:pPr>
        <w:pStyle w:val="ListNumber"/>
        <w:tabs>
          <w:tab w:val="clear" w:pos="360"/>
        </w:tabs>
        <w:ind w:left="1094" w:hanging="737"/>
        <w:rPr>
          <w:rFonts w:ascii="Open Sans" w:hAnsi="Open Sans" w:cs="Open Sans"/>
        </w:rPr>
      </w:pPr>
      <w:r w:rsidRPr="00C12F8D">
        <w:rPr>
          <w:rFonts w:ascii="Open Sans" w:hAnsi="Open Sans" w:cs="Open Sans"/>
        </w:rPr>
        <w:t>The Department of Jobs and Small Business, the Department of Human Services, and ParentsNext providers enforce the application of the TCF to ParentsNext participants.</w:t>
      </w:r>
      <w:r w:rsidR="00460110" w:rsidRPr="00C12F8D">
        <w:rPr>
          <w:rFonts w:ascii="Open Sans" w:hAnsi="Open Sans" w:cs="Open Sans"/>
        </w:rPr>
        <w:t xml:space="preserve"> </w:t>
      </w:r>
      <w:r w:rsidRPr="00C12F8D">
        <w:rPr>
          <w:rFonts w:ascii="Open Sans" w:hAnsi="Open Sans" w:cs="Open Sans"/>
        </w:rPr>
        <w:t>Typically, ParentsNext providers are private, non-government entities.</w:t>
      </w:r>
    </w:p>
    <w:p w14:paraId="0671A6DD" w14:textId="10C38EBC" w:rsidR="00460110" w:rsidRPr="00C12F8D" w:rsidRDefault="005131FD" w:rsidP="005131FD">
      <w:pPr>
        <w:pStyle w:val="ListNumber"/>
        <w:tabs>
          <w:tab w:val="clear" w:pos="360"/>
        </w:tabs>
        <w:ind w:left="1094" w:hanging="737"/>
        <w:rPr>
          <w:rFonts w:ascii="Open Sans" w:hAnsi="Open Sans" w:cs="Open Sans"/>
        </w:rPr>
      </w:pPr>
      <w:r w:rsidRPr="00C12F8D">
        <w:rPr>
          <w:rFonts w:ascii="Open Sans" w:hAnsi="Open Sans" w:cs="Open Sans"/>
        </w:rPr>
        <w:t>The Parenting Payment will be suspended if a participant parent misses one</w:t>
      </w:r>
      <w:r w:rsidR="00460110" w:rsidRPr="00C12F8D">
        <w:rPr>
          <w:rFonts w:ascii="Open Sans" w:hAnsi="Open Sans" w:cs="Open Sans"/>
        </w:rPr>
        <w:t xml:space="preserve"> requirement conta</w:t>
      </w:r>
      <w:r w:rsidRPr="00C12F8D">
        <w:rPr>
          <w:rFonts w:ascii="Open Sans" w:hAnsi="Open Sans" w:cs="Open Sans"/>
        </w:rPr>
        <w:t>ined in their plan.</w:t>
      </w:r>
      <w:r w:rsidRPr="00C12F8D">
        <w:rPr>
          <w:rStyle w:val="EndnoteReference"/>
          <w:rFonts w:cs="Open Sans"/>
        </w:rPr>
        <w:endnoteReference w:id="26"/>
      </w:r>
      <w:r w:rsidRPr="00C12F8D">
        <w:rPr>
          <w:rFonts w:ascii="Open Sans" w:hAnsi="Open Sans" w:cs="Open Sans"/>
        </w:rPr>
        <w:t xml:space="preserve"> A failure to comply could include not </w:t>
      </w:r>
      <w:r w:rsidR="00460110" w:rsidRPr="00C12F8D">
        <w:rPr>
          <w:rFonts w:ascii="Open Sans" w:hAnsi="Open Sans" w:cs="Open Sans"/>
        </w:rPr>
        <w:t>attending an appointment, activity or interview.</w:t>
      </w:r>
      <w:r w:rsidRPr="00C12F8D">
        <w:rPr>
          <w:rFonts w:ascii="Open Sans" w:hAnsi="Open Sans" w:cs="Open Sans"/>
        </w:rPr>
        <w:t xml:space="preserve"> The suspension of payment is immediate and automatic.</w:t>
      </w:r>
      <w:r w:rsidR="00460110" w:rsidRPr="00C12F8D">
        <w:rPr>
          <w:rFonts w:ascii="Open Sans" w:hAnsi="Open Sans" w:cs="Open Sans"/>
        </w:rPr>
        <w:t xml:space="preserve"> </w:t>
      </w:r>
      <w:r w:rsidRPr="00C12F8D">
        <w:rPr>
          <w:rFonts w:ascii="Open Sans" w:hAnsi="Open Sans" w:cs="Open Sans"/>
        </w:rPr>
        <w:t>A</w:t>
      </w:r>
      <w:r w:rsidR="00460110" w:rsidRPr="00C12F8D">
        <w:rPr>
          <w:rFonts w:ascii="Open Sans" w:hAnsi="Open Sans" w:cs="Open Sans"/>
        </w:rPr>
        <w:t xml:space="preserve"> parent must speak with their ParentsNext provider</w:t>
      </w:r>
      <w:r w:rsidRPr="00C12F8D">
        <w:rPr>
          <w:rFonts w:ascii="Open Sans" w:hAnsi="Open Sans" w:cs="Open Sans"/>
        </w:rPr>
        <w:t>,</w:t>
      </w:r>
      <w:r w:rsidR="00460110" w:rsidRPr="00C12F8D">
        <w:rPr>
          <w:rFonts w:ascii="Open Sans" w:hAnsi="Open Sans" w:cs="Open Sans"/>
        </w:rPr>
        <w:t xml:space="preserve"> and meet the missed requirement</w:t>
      </w:r>
      <w:r w:rsidRPr="00C12F8D">
        <w:rPr>
          <w:rFonts w:ascii="Open Sans" w:hAnsi="Open Sans" w:cs="Open Sans"/>
        </w:rPr>
        <w:t>,</w:t>
      </w:r>
      <w:r w:rsidR="00460110" w:rsidRPr="00C12F8D">
        <w:rPr>
          <w:rFonts w:ascii="Open Sans" w:hAnsi="Open Sans" w:cs="Open Sans"/>
        </w:rPr>
        <w:t xml:space="preserve"> before their Parenting Payment will recommence.</w:t>
      </w:r>
    </w:p>
    <w:p w14:paraId="631D66C4" w14:textId="2F2BF3A1" w:rsidR="00460110" w:rsidRPr="00C12F8D" w:rsidRDefault="00460110" w:rsidP="00461791">
      <w:pPr>
        <w:pStyle w:val="ListNumber"/>
        <w:tabs>
          <w:tab w:val="clear" w:pos="360"/>
        </w:tabs>
        <w:ind w:left="1094" w:hanging="737"/>
        <w:rPr>
          <w:rFonts w:ascii="Open Sans" w:hAnsi="Open Sans" w:cs="Open Sans"/>
        </w:rPr>
      </w:pPr>
      <w:r w:rsidRPr="00C12F8D">
        <w:rPr>
          <w:rFonts w:ascii="Open Sans" w:hAnsi="Open Sans" w:cs="Open Sans"/>
        </w:rPr>
        <w:t xml:space="preserve">The reduction or cancellation of a payment works on a graduated basis through a system of demerit points. </w:t>
      </w:r>
    </w:p>
    <w:p w14:paraId="04C583E1" w14:textId="77777777" w:rsidR="008C6817" w:rsidRPr="00C12F8D" w:rsidRDefault="00460110" w:rsidP="00B8175A">
      <w:pPr>
        <w:pStyle w:val="ListNumber"/>
        <w:tabs>
          <w:tab w:val="clear" w:pos="360"/>
        </w:tabs>
        <w:ind w:left="1094" w:hanging="737"/>
        <w:rPr>
          <w:rFonts w:ascii="Open Sans" w:hAnsi="Open Sans" w:cs="Open Sans"/>
        </w:rPr>
      </w:pPr>
      <w:r w:rsidRPr="00C12F8D">
        <w:rPr>
          <w:rFonts w:ascii="Open Sans" w:hAnsi="Open Sans" w:cs="Open Sans"/>
        </w:rPr>
        <w:t>Each parent starts in the ‘green zone’ with no demerits. The provider will issue a parent with a demerit point if the parent fails to meet a requirement in their plan and the provider is not satisfied that the parent has a ‘valid reason’ for missing the requirement.</w:t>
      </w:r>
      <w:r w:rsidRPr="00C12F8D">
        <w:rPr>
          <w:rStyle w:val="EndnoteReference"/>
          <w:rFonts w:cs="Open Sans"/>
        </w:rPr>
        <w:endnoteReference w:id="27"/>
      </w:r>
      <w:r w:rsidRPr="00C12F8D">
        <w:rPr>
          <w:rFonts w:ascii="Open Sans" w:hAnsi="Open Sans" w:cs="Open Sans"/>
        </w:rPr>
        <w:t xml:space="preserve"> </w:t>
      </w:r>
    </w:p>
    <w:p w14:paraId="1BD64F4C" w14:textId="43E35F22" w:rsidR="00460110" w:rsidRPr="00C12F8D" w:rsidRDefault="00460110" w:rsidP="00B8175A">
      <w:pPr>
        <w:pStyle w:val="ListNumber"/>
        <w:tabs>
          <w:tab w:val="clear" w:pos="360"/>
        </w:tabs>
        <w:ind w:left="1094" w:hanging="737"/>
        <w:rPr>
          <w:rFonts w:ascii="Open Sans" w:hAnsi="Open Sans" w:cs="Open Sans"/>
        </w:rPr>
      </w:pPr>
      <w:r w:rsidRPr="00C12F8D">
        <w:rPr>
          <w:rFonts w:ascii="Open Sans" w:hAnsi="Open Sans" w:cs="Open Sans"/>
        </w:rPr>
        <w:t>When one demerit point is received, the parent enters the ‘warning zone’. Each demerit point lasts six months.</w:t>
      </w:r>
    </w:p>
    <w:p w14:paraId="3EAFF11E" w14:textId="29127F6D" w:rsidR="00460110" w:rsidRPr="00C12F8D" w:rsidRDefault="00460110" w:rsidP="007D4DC4">
      <w:pPr>
        <w:pStyle w:val="ListNumber"/>
        <w:tabs>
          <w:tab w:val="clear" w:pos="360"/>
        </w:tabs>
        <w:ind w:left="1094" w:hanging="737"/>
        <w:rPr>
          <w:rFonts w:ascii="Open Sans" w:hAnsi="Open Sans" w:cs="Open Sans"/>
        </w:rPr>
      </w:pPr>
      <w:r w:rsidRPr="00C12F8D">
        <w:rPr>
          <w:rFonts w:ascii="Open Sans" w:hAnsi="Open Sans" w:cs="Open Sans"/>
        </w:rPr>
        <w:t xml:space="preserve">If three demerit points are received in a six month period, the parent must attend a ‘capability interview’ with their ParentsNext provider. </w:t>
      </w:r>
    </w:p>
    <w:p w14:paraId="5901492D" w14:textId="77777777" w:rsidR="008C6817" w:rsidRPr="00C12F8D" w:rsidRDefault="00460110" w:rsidP="00B8175A">
      <w:pPr>
        <w:pStyle w:val="ListNumber"/>
        <w:tabs>
          <w:tab w:val="clear" w:pos="360"/>
        </w:tabs>
        <w:ind w:left="1094" w:hanging="737"/>
        <w:rPr>
          <w:rFonts w:ascii="Open Sans" w:hAnsi="Open Sans" w:cs="Open Sans"/>
        </w:rPr>
      </w:pPr>
      <w:r w:rsidRPr="00C12F8D">
        <w:rPr>
          <w:rFonts w:ascii="Open Sans" w:hAnsi="Open Sans" w:cs="Open Sans"/>
        </w:rPr>
        <w:lastRenderedPageBreak/>
        <w:t xml:space="preserve">If a parent receives five demerits points within a six month period, they will be referred for a ‘capability assessment’ conducted by the Department of Human Services. </w:t>
      </w:r>
    </w:p>
    <w:p w14:paraId="069609A6" w14:textId="7C440859" w:rsidR="00460110" w:rsidRPr="00C12F8D" w:rsidRDefault="00460110" w:rsidP="00B8175A">
      <w:pPr>
        <w:pStyle w:val="ListNumber"/>
        <w:tabs>
          <w:tab w:val="clear" w:pos="360"/>
        </w:tabs>
        <w:ind w:left="1094" w:hanging="737"/>
        <w:rPr>
          <w:rFonts w:ascii="Open Sans" w:hAnsi="Open Sans" w:cs="Open Sans"/>
        </w:rPr>
      </w:pPr>
      <w:r w:rsidRPr="00C12F8D">
        <w:rPr>
          <w:rFonts w:ascii="Open Sans" w:hAnsi="Open Sans" w:cs="Open Sans"/>
        </w:rPr>
        <w:t>If the parent does not persuade the Department of Human Services</w:t>
      </w:r>
      <w:r w:rsidRPr="00C12F8D" w:rsidDel="003551AF">
        <w:rPr>
          <w:rFonts w:ascii="Open Sans" w:hAnsi="Open Sans" w:cs="Open Sans"/>
        </w:rPr>
        <w:t xml:space="preserve"> </w:t>
      </w:r>
      <w:r w:rsidRPr="00C12F8D">
        <w:rPr>
          <w:rFonts w:ascii="Open Sans" w:hAnsi="Open Sans" w:cs="Open Sans"/>
        </w:rPr>
        <w:t xml:space="preserve">that the requirements imposed are inappropriate, the parent may be moved into the ‘penalty zone’ and risk receiving a financial penalty or having their Parenting Payment cancelled altogether. </w:t>
      </w:r>
    </w:p>
    <w:p w14:paraId="44FCE0F3" w14:textId="3DBD0ED6" w:rsidR="00460110" w:rsidRPr="00C12F8D" w:rsidRDefault="00460110" w:rsidP="007D4DC4">
      <w:pPr>
        <w:pStyle w:val="ListNumber"/>
        <w:tabs>
          <w:tab w:val="clear" w:pos="360"/>
        </w:tabs>
        <w:ind w:left="1094" w:hanging="737"/>
        <w:rPr>
          <w:rFonts w:ascii="Open Sans" w:hAnsi="Open Sans" w:cs="Open Sans"/>
        </w:rPr>
      </w:pPr>
      <w:r w:rsidRPr="00C12F8D">
        <w:rPr>
          <w:rFonts w:ascii="Open Sans" w:hAnsi="Open Sans" w:cs="Open Sans"/>
        </w:rPr>
        <w:t xml:space="preserve">At such capability reviews, the parent will have the opportunity to discuss the reasons that they have not met their participation plan requirements, identify issues and review their plan to ensure that they can meet its requirements. </w:t>
      </w:r>
    </w:p>
    <w:p w14:paraId="344E943C" w14:textId="02805FA2" w:rsidR="00460110" w:rsidRPr="00C12F8D" w:rsidRDefault="00460110" w:rsidP="009B123F">
      <w:pPr>
        <w:pStyle w:val="ListNumber"/>
        <w:tabs>
          <w:tab w:val="clear" w:pos="360"/>
        </w:tabs>
        <w:ind w:left="1094" w:hanging="737"/>
        <w:rPr>
          <w:rFonts w:ascii="Open Sans" w:hAnsi="Open Sans" w:cs="Open Sans"/>
          <w:lang w:val="en"/>
        </w:rPr>
      </w:pPr>
      <w:r w:rsidRPr="00C12F8D">
        <w:rPr>
          <w:rFonts w:ascii="Open Sans" w:hAnsi="Open Sans" w:cs="Open Sans"/>
        </w:rPr>
        <w:t xml:space="preserve">In the penalty zone, rather than receiving demerits, parents receive financial penalties for not meeting their participation plan requirements without a reasonable excuse. The financial penalties are tiered and deducted from the Parenting Payment as follows: </w:t>
      </w:r>
    </w:p>
    <w:p w14:paraId="45997FFD" w14:textId="77777777" w:rsidR="00460110" w:rsidRPr="00C12F8D" w:rsidRDefault="00460110" w:rsidP="00221364">
      <w:pPr>
        <w:pStyle w:val="ListNumber"/>
        <w:numPr>
          <w:ilvl w:val="0"/>
          <w:numId w:val="18"/>
        </w:numPr>
        <w:rPr>
          <w:rFonts w:ascii="Open Sans" w:hAnsi="Open Sans" w:cs="Open Sans"/>
          <w:lang w:val="en"/>
        </w:rPr>
      </w:pPr>
      <w:r w:rsidRPr="00C12F8D">
        <w:rPr>
          <w:rFonts w:ascii="Open Sans" w:hAnsi="Open Sans" w:cs="Open Sans"/>
          <w:lang w:val="en"/>
        </w:rPr>
        <w:t xml:space="preserve">first penalty: loss of half of a fortnightly </w:t>
      </w:r>
      <w:r w:rsidRPr="00C12F8D">
        <w:rPr>
          <w:rFonts w:ascii="Open Sans" w:hAnsi="Open Sans" w:cs="Open Sans"/>
        </w:rPr>
        <w:t>Parenting Payment</w:t>
      </w:r>
      <w:r w:rsidRPr="00C12F8D">
        <w:rPr>
          <w:rFonts w:ascii="Open Sans" w:hAnsi="Open Sans" w:cs="Open Sans"/>
          <w:lang w:val="en"/>
        </w:rPr>
        <w:t xml:space="preserve"> </w:t>
      </w:r>
    </w:p>
    <w:p w14:paraId="2CCFDD9C" w14:textId="77777777" w:rsidR="00460110" w:rsidRPr="00C12F8D" w:rsidRDefault="00460110" w:rsidP="00221364">
      <w:pPr>
        <w:pStyle w:val="ListNumber"/>
        <w:numPr>
          <w:ilvl w:val="0"/>
          <w:numId w:val="18"/>
        </w:numPr>
        <w:rPr>
          <w:rFonts w:ascii="Open Sans" w:hAnsi="Open Sans" w:cs="Open Sans"/>
          <w:lang w:val="en"/>
        </w:rPr>
      </w:pPr>
      <w:r w:rsidRPr="00C12F8D">
        <w:rPr>
          <w:rFonts w:ascii="Open Sans" w:hAnsi="Open Sans" w:cs="Open Sans"/>
          <w:lang w:val="en"/>
        </w:rPr>
        <w:t xml:space="preserve">second penalty: loss of all of a fortnightly </w:t>
      </w:r>
      <w:r w:rsidRPr="00C12F8D">
        <w:rPr>
          <w:rFonts w:ascii="Open Sans" w:hAnsi="Open Sans" w:cs="Open Sans"/>
        </w:rPr>
        <w:t>Parenting Payment</w:t>
      </w:r>
    </w:p>
    <w:p w14:paraId="3D757533" w14:textId="77777777" w:rsidR="00460110" w:rsidRPr="00C12F8D" w:rsidRDefault="00460110" w:rsidP="00221364">
      <w:pPr>
        <w:pStyle w:val="ListNumber"/>
        <w:numPr>
          <w:ilvl w:val="0"/>
          <w:numId w:val="18"/>
        </w:numPr>
        <w:rPr>
          <w:rFonts w:ascii="Open Sans" w:hAnsi="Open Sans" w:cs="Open Sans"/>
          <w:lang w:val="en"/>
        </w:rPr>
      </w:pPr>
      <w:r w:rsidRPr="00C12F8D">
        <w:rPr>
          <w:rFonts w:ascii="Open Sans" w:hAnsi="Open Sans" w:cs="Open Sans"/>
          <w:lang w:val="en"/>
        </w:rPr>
        <w:t xml:space="preserve">third penalty: cancellation of the </w:t>
      </w:r>
      <w:r w:rsidRPr="00C12F8D">
        <w:rPr>
          <w:rFonts w:ascii="Open Sans" w:hAnsi="Open Sans" w:cs="Open Sans"/>
        </w:rPr>
        <w:t>Parenting Payment.</w:t>
      </w:r>
    </w:p>
    <w:p w14:paraId="5E1E02F6" w14:textId="5CB823A7" w:rsidR="00460110" w:rsidRPr="00C12F8D" w:rsidRDefault="00460110" w:rsidP="00453ED8">
      <w:pPr>
        <w:pStyle w:val="ListNumber"/>
        <w:tabs>
          <w:tab w:val="clear" w:pos="360"/>
        </w:tabs>
        <w:ind w:left="1094" w:hanging="737"/>
        <w:rPr>
          <w:rFonts w:ascii="Open Sans" w:hAnsi="Open Sans" w:cs="Open Sans"/>
          <w:lang w:val="en"/>
        </w:rPr>
      </w:pPr>
      <w:r w:rsidRPr="00C12F8D">
        <w:rPr>
          <w:rFonts w:ascii="Open Sans" w:hAnsi="Open Sans" w:cs="Open Sans"/>
          <w:lang w:val="en"/>
        </w:rPr>
        <w:t xml:space="preserve">If a parent complies with a participation plan for three months, they will return to the green zone with no demerits. </w:t>
      </w:r>
    </w:p>
    <w:p w14:paraId="39D08EC5" w14:textId="0AF244BA" w:rsidR="005131FD" w:rsidRPr="00D705F6" w:rsidRDefault="005131FD" w:rsidP="00D705F6">
      <w:pPr>
        <w:pStyle w:val="ListNumber"/>
        <w:tabs>
          <w:tab w:val="clear" w:pos="360"/>
        </w:tabs>
        <w:ind w:left="1094" w:hanging="737"/>
        <w:rPr>
          <w:rFonts w:ascii="Open Sans" w:hAnsi="Open Sans" w:cs="Open Sans"/>
        </w:rPr>
      </w:pPr>
      <w:r w:rsidRPr="00C12F8D">
        <w:rPr>
          <w:rFonts w:ascii="Open Sans" w:hAnsi="Open Sans" w:cs="Open Sans"/>
        </w:rPr>
        <w:t>Compliance is monitor</w:t>
      </w:r>
      <w:r w:rsidR="00972CA4">
        <w:rPr>
          <w:rFonts w:ascii="Open Sans" w:hAnsi="Open Sans" w:cs="Open Sans"/>
        </w:rPr>
        <w:t>ed</w:t>
      </w:r>
      <w:r w:rsidRPr="00C12F8D">
        <w:rPr>
          <w:rFonts w:ascii="Open Sans" w:hAnsi="Open Sans" w:cs="Open Sans"/>
        </w:rPr>
        <w:t xml:space="preserve"> through reporting. Where a participant is deemed able to self-report their attendance at an activity, reporting occurs through the Jobactive mobile phone App or the Jobactive website. </w:t>
      </w:r>
      <w:r w:rsidRPr="00D705F6">
        <w:rPr>
          <w:rFonts w:ascii="Open Sans" w:hAnsi="Open Sans" w:cs="Open Sans"/>
        </w:rPr>
        <w:t>Where a participant is not able to self-report, a provider can report on their behalf, in accordance with Departmental guidelines.</w:t>
      </w:r>
      <w:r w:rsidRPr="00C12F8D">
        <w:rPr>
          <w:rStyle w:val="EndnoteReference"/>
          <w:rFonts w:cs="Open Sans"/>
        </w:rPr>
        <w:endnoteReference w:id="28"/>
      </w:r>
      <w:r w:rsidRPr="00D705F6">
        <w:rPr>
          <w:rFonts w:ascii="Open Sans" w:hAnsi="Open Sans" w:cs="Open Sans"/>
        </w:rPr>
        <w:t xml:space="preserve"> For example, providers are instructed that attendance at a provider appointment should be recorded when a person has arrived on time at the correct location, behaved appropriately and participated for the duration of the appointment.</w:t>
      </w:r>
      <w:r w:rsidRPr="00C12F8D">
        <w:rPr>
          <w:rStyle w:val="EndnoteReference"/>
          <w:rFonts w:cs="Open Sans"/>
        </w:rPr>
        <w:endnoteReference w:id="29"/>
      </w:r>
    </w:p>
    <w:p w14:paraId="04C28730" w14:textId="77777777" w:rsidR="008C6817" w:rsidRPr="00C12F8D" w:rsidRDefault="00460110" w:rsidP="004F084A">
      <w:pPr>
        <w:pStyle w:val="ListNumber"/>
        <w:tabs>
          <w:tab w:val="clear" w:pos="360"/>
        </w:tabs>
        <w:ind w:left="1094" w:hanging="737"/>
        <w:rPr>
          <w:rFonts w:ascii="Open Sans" w:hAnsi="Open Sans" w:cs="Open Sans"/>
        </w:rPr>
      </w:pPr>
      <w:r w:rsidRPr="00C12F8D">
        <w:rPr>
          <w:rFonts w:ascii="Open Sans" w:hAnsi="Open Sans" w:cs="Open Sans"/>
        </w:rPr>
        <w:t xml:space="preserve">ParentsNext providers are </w:t>
      </w:r>
      <w:r w:rsidR="005131FD" w:rsidRPr="00C12F8D">
        <w:rPr>
          <w:rFonts w:ascii="Open Sans" w:hAnsi="Open Sans" w:cs="Open Sans"/>
        </w:rPr>
        <w:t xml:space="preserve">also </w:t>
      </w:r>
      <w:r w:rsidRPr="00C12F8D">
        <w:rPr>
          <w:rFonts w:ascii="Open Sans" w:hAnsi="Open Sans" w:cs="Open Sans"/>
        </w:rPr>
        <w:t>responsible for identifying failures to comply with plan requirements</w:t>
      </w:r>
      <w:r w:rsidR="008C6817" w:rsidRPr="00C12F8D">
        <w:rPr>
          <w:rFonts w:ascii="Open Sans" w:hAnsi="Open Sans" w:cs="Open Sans"/>
        </w:rPr>
        <w:t>,</w:t>
      </w:r>
      <w:r w:rsidRPr="00C12F8D">
        <w:rPr>
          <w:rFonts w:ascii="Open Sans" w:hAnsi="Open Sans" w:cs="Open Sans"/>
        </w:rPr>
        <w:t xml:space="preserve"> which has the effect of suspending the payment that parents receive. ParentsNext providers are also responsible for the decision to impose demerit points. </w:t>
      </w:r>
    </w:p>
    <w:p w14:paraId="4064849D" w14:textId="38967B2B" w:rsidR="00460110" w:rsidRPr="00C12F8D" w:rsidRDefault="00460110" w:rsidP="004F084A">
      <w:pPr>
        <w:pStyle w:val="ListNumber"/>
        <w:tabs>
          <w:tab w:val="clear" w:pos="360"/>
        </w:tabs>
        <w:ind w:left="1094" w:hanging="737"/>
        <w:rPr>
          <w:rFonts w:ascii="Open Sans" w:hAnsi="Open Sans" w:cs="Open Sans"/>
        </w:rPr>
      </w:pPr>
      <w:r w:rsidRPr="00C12F8D">
        <w:rPr>
          <w:rFonts w:ascii="Open Sans" w:hAnsi="Open Sans" w:cs="Open Sans"/>
        </w:rPr>
        <w:t>The information provided by Department of Human Services about the demerit system states: ‘[i]f you disagree with a demerit you need to talk to your provider about it. We can’t change or remove demerits’.</w:t>
      </w:r>
      <w:r w:rsidRPr="00C12F8D">
        <w:rPr>
          <w:rStyle w:val="EndnoteReference"/>
          <w:rFonts w:cs="Open Sans"/>
        </w:rPr>
        <w:endnoteReference w:id="30"/>
      </w:r>
      <w:r w:rsidRPr="00C12F8D">
        <w:rPr>
          <w:rFonts w:ascii="Open Sans" w:hAnsi="Open Sans" w:cs="Open Sans"/>
        </w:rPr>
        <w:t xml:space="preserve"> </w:t>
      </w:r>
      <w:r w:rsidR="008C6817" w:rsidRPr="00C12F8D">
        <w:rPr>
          <w:rFonts w:ascii="Open Sans" w:hAnsi="Open Sans" w:cs="Open Sans"/>
        </w:rPr>
        <w:t xml:space="preserve">A complaint can be lodged with </w:t>
      </w:r>
      <w:r w:rsidRPr="00C12F8D">
        <w:rPr>
          <w:rFonts w:ascii="Open Sans" w:hAnsi="Open Sans" w:cs="Open Sans"/>
        </w:rPr>
        <w:t>the Department of Jobs and Small Business ab</w:t>
      </w:r>
      <w:r w:rsidR="008C6817" w:rsidRPr="00C12F8D">
        <w:rPr>
          <w:rFonts w:ascii="Open Sans" w:hAnsi="Open Sans" w:cs="Open Sans"/>
        </w:rPr>
        <w:t xml:space="preserve">out a demerit, but </w:t>
      </w:r>
      <w:r w:rsidRPr="00C12F8D">
        <w:rPr>
          <w:rFonts w:ascii="Open Sans" w:hAnsi="Open Sans" w:cs="Open Sans"/>
        </w:rPr>
        <w:t xml:space="preserve">the Department will only refer the complaint </w:t>
      </w:r>
      <w:r w:rsidR="008C6817" w:rsidRPr="00C12F8D">
        <w:rPr>
          <w:rFonts w:ascii="Open Sans" w:hAnsi="Open Sans" w:cs="Open Sans"/>
        </w:rPr>
        <w:t>back to the provider to action (</w:t>
      </w:r>
      <w:r w:rsidRPr="00C12F8D">
        <w:rPr>
          <w:rFonts w:ascii="Open Sans" w:hAnsi="Open Sans" w:cs="Open Sans"/>
        </w:rPr>
        <w:t>which may include</w:t>
      </w:r>
      <w:r w:rsidR="008C6817" w:rsidRPr="00C12F8D">
        <w:rPr>
          <w:rFonts w:ascii="Open Sans" w:hAnsi="Open Sans" w:cs="Open Sans"/>
        </w:rPr>
        <w:t xml:space="preserve"> the </w:t>
      </w:r>
      <w:r w:rsidR="008C6817" w:rsidRPr="00C12F8D">
        <w:rPr>
          <w:rFonts w:ascii="Open Sans" w:hAnsi="Open Sans" w:cs="Open Sans"/>
        </w:rPr>
        <w:lastRenderedPageBreak/>
        <w:t>provider</w:t>
      </w:r>
      <w:r w:rsidRPr="00C12F8D">
        <w:rPr>
          <w:rFonts w:ascii="Open Sans" w:hAnsi="Open Sans" w:cs="Open Sans"/>
        </w:rPr>
        <w:t xml:space="preserve"> reviewing their reason for the decision or decision-making processes</w:t>
      </w:r>
      <w:r w:rsidR="008C6817" w:rsidRPr="00C12F8D">
        <w:rPr>
          <w:rFonts w:ascii="Open Sans" w:hAnsi="Open Sans" w:cs="Open Sans"/>
        </w:rPr>
        <w:t>)</w:t>
      </w:r>
      <w:r w:rsidRPr="00C12F8D">
        <w:rPr>
          <w:rFonts w:ascii="Open Sans" w:hAnsi="Open Sans" w:cs="Open Sans"/>
        </w:rPr>
        <w:t>.</w:t>
      </w:r>
      <w:r w:rsidRPr="00C12F8D">
        <w:rPr>
          <w:rStyle w:val="EndnoteReference"/>
          <w:rFonts w:cs="Open Sans"/>
        </w:rPr>
        <w:endnoteReference w:id="31"/>
      </w:r>
    </w:p>
    <w:p w14:paraId="40EE9C33" w14:textId="26B4CAB0" w:rsidR="00460110" w:rsidRPr="00C12F8D" w:rsidRDefault="00460110" w:rsidP="00CA4930">
      <w:pPr>
        <w:pStyle w:val="ListNumber"/>
        <w:tabs>
          <w:tab w:val="clear" w:pos="360"/>
        </w:tabs>
        <w:ind w:left="1094" w:hanging="737"/>
        <w:rPr>
          <w:rFonts w:ascii="Open Sans" w:eastAsia="MS Mincho" w:hAnsi="Open Sans" w:cs="Open Sans"/>
          <w:lang w:eastAsia="en-AU"/>
        </w:rPr>
      </w:pPr>
      <w:r w:rsidRPr="00C12F8D">
        <w:rPr>
          <w:rFonts w:ascii="Open Sans" w:hAnsi="Open Sans" w:cs="Open Sans"/>
          <w:lang w:val="en-US"/>
        </w:rPr>
        <w:t>A financial penalty or cancellation of a payment can only be implemented by the</w:t>
      </w:r>
      <w:r w:rsidRPr="00C12F8D">
        <w:rPr>
          <w:rFonts w:ascii="Open Sans" w:hAnsi="Open Sans" w:cs="Open Sans"/>
        </w:rPr>
        <w:t xml:space="preserve"> Department of Human Services</w:t>
      </w:r>
      <w:r w:rsidRPr="00C12F8D">
        <w:rPr>
          <w:rFonts w:ascii="Open Sans" w:hAnsi="Open Sans" w:cs="Open Sans"/>
          <w:lang w:val="en-US"/>
        </w:rPr>
        <w:t xml:space="preserve">, rather than a provider. Before </w:t>
      </w:r>
      <w:r w:rsidRPr="00C12F8D">
        <w:rPr>
          <w:rFonts w:ascii="Open Sans" w:hAnsi="Open Sans" w:cs="Open Sans"/>
        </w:rPr>
        <w:t>imposing</w:t>
      </w:r>
      <w:r w:rsidRPr="00C12F8D">
        <w:rPr>
          <w:rFonts w:ascii="Open Sans" w:eastAsia="MS Mincho" w:hAnsi="Open Sans" w:cs="Open Sans"/>
          <w:lang w:eastAsia="en-AU"/>
        </w:rPr>
        <w:t xml:space="preserve"> any penalty for </w:t>
      </w:r>
      <w:r w:rsidRPr="00C12F8D">
        <w:rPr>
          <w:rFonts w:ascii="Open Sans" w:hAnsi="Open Sans" w:cs="Open Sans"/>
        </w:rPr>
        <w:t xml:space="preserve">a failure to meet participation </w:t>
      </w:r>
      <w:r w:rsidRPr="00C12F8D">
        <w:rPr>
          <w:rFonts w:ascii="Open Sans" w:eastAsia="MS Mincho" w:hAnsi="Open Sans" w:cs="Open Sans"/>
          <w:lang w:eastAsia="en-AU"/>
        </w:rPr>
        <w:t xml:space="preserve">requirements, the </w:t>
      </w:r>
      <w:r w:rsidR="008C6817" w:rsidRPr="00C12F8D">
        <w:rPr>
          <w:rFonts w:ascii="Open Sans" w:eastAsia="MS Mincho" w:hAnsi="Open Sans" w:cs="Open Sans"/>
          <w:lang w:eastAsia="en-AU"/>
        </w:rPr>
        <w:t xml:space="preserve">Departmental </w:t>
      </w:r>
      <w:r w:rsidRPr="00C12F8D">
        <w:rPr>
          <w:rFonts w:ascii="Open Sans" w:eastAsia="MS Mincho" w:hAnsi="Open Sans" w:cs="Open Sans"/>
          <w:lang w:eastAsia="en-AU"/>
        </w:rPr>
        <w:t>decision</w:t>
      </w:r>
      <w:r w:rsidRPr="00C12F8D">
        <w:rPr>
          <w:rFonts w:ascii="Open Sans" w:hAnsi="Open Sans" w:cs="Open Sans"/>
        </w:rPr>
        <w:t xml:space="preserve"> </w:t>
      </w:r>
      <w:r w:rsidRPr="00C12F8D">
        <w:rPr>
          <w:rFonts w:ascii="Open Sans" w:eastAsia="MS Mincho" w:hAnsi="Open Sans" w:cs="Open Sans"/>
          <w:lang w:eastAsia="en-AU"/>
        </w:rPr>
        <w:t xml:space="preserve">maker must establish whether they are satisfied that the job seeker has a </w:t>
      </w:r>
      <w:r w:rsidRPr="00C12F8D">
        <w:rPr>
          <w:rFonts w:ascii="Open Sans" w:hAnsi="Open Sans" w:cs="Open Sans"/>
        </w:rPr>
        <w:t>‘</w:t>
      </w:r>
      <w:r w:rsidRPr="00C12F8D">
        <w:rPr>
          <w:rFonts w:ascii="Open Sans" w:eastAsia="MS Mincho" w:hAnsi="Open Sans" w:cs="Open Sans"/>
          <w:lang w:eastAsia="en-AU"/>
        </w:rPr>
        <w:t>reasonable excuse</w:t>
      </w:r>
      <w:r w:rsidRPr="00C12F8D">
        <w:rPr>
          <w:rFonts w:ascii="Open Sans" w:hAnsi="Open Sans" w:cs="Open Sans"/>
        </w:rPr>
        <w:t>’</w:t>
      </w:r>
      <w:r w:rsidRPr="00C12F8D">
        <w:rPr>
          <w:rFonts w:ascii="Open Sans" w:eastAsia="MS Mincho" w:hAnsi="Open Sans" w:cs="Open Sans"/>
          <w:lang w:eastAsia="en-AU"/>
        </w:rPr>
        <w:t xml:space="preserve"> for failing to meet their requirements.</w:t>
      </w:r>
      <w:r w:rsidRPr="00C12F8D">
        <w:rPr>
          <w:rFonts w:ascii="Open Sans" w:hAnsi="Open Sans" w:cs="Open Sans"/>
        </w:rPr>
        <w:t xml:space="preserve"> </w:t>
      </w:r>
    </w:p>
    <w:p w14:paraId="0B56FE83" w14:textId="3BD62A70" w:rsidR="00460110" w:rsidRPr="00C12F8D" w:rsidRDefault="00460110" w:rsidP="0009274B">
      <w:pPr>
        <w:pStyle w:val="ListNumber"/>
        <w:tabs>
          <w:tab w:val="clear" w:pos="360"/>
        </w:tabs>
        <w:ind w:left="1094" w:hanging="737"/>
        <w:rPr>
          <w:rFonts w:ascii="Open Sans" w:hAnsi="Open Sans" w:cs="Open Sans"/>
          <w:lang w:val="en"/>
        </w:rPr>
      </w:pPr>
      <w:r w:rsidRPr="00C12F8D">
        <w:rPr>
          <w:rFonts w:ascii="Open Sans" w:hAnsi="Open Sans" w:cs="Open Sans"/>
          <w:lang w:val="en-US"/>
        </w:rPr>
        <w:t xml:space="preserve">The </w:t>
      </w:r>
      <w:r w:rsidRPr="00C12F8D">
        <w:rPr>
          <w:rFonts w:ascii="Open Sans" w:eastAsia="MS Mincho" w:hAnsi="Open Sans" w:cs="Open Sans"/>
          <w:i/>
          <w:lang w:val="en-US"/>
        </w:rPr>
        <w:t>Social Security (Administration) (Reasonable Excuse—Participation Payments) Determination 2018</w:t>
      </w:r>
      <w:r w:rsidRPr="00C12F8D">
        <w:rPr>
          <w:rFonts w:ascii="Open Sans" w:eastAsia="MS Mincho" w:hAnsi="Open Sans" w:cs="Open Sans"/>
          <w:lang w:val="en-US"/>
        </w:rPr>
        <w:t> </w:t>
      </w:r>
      <w:r w:rsidRPr="00C12F8D">
        <w:rPr>
          <w:rFonts w:ascii="Open Sans" w:hAnsi="Open Sans" w:cs="Open Sans"/>
          <w:lang w:val="en-US"/>
        </w:rPr>
        <w:t xml:space="preserve">(Cth) (the Determination) sets out factors that must be considered, and factors that must not be considered, when determining whether a </w:t>
      </w:r>
      <w:r w:rsidR="008C6817" w:rsidRPr="00C12F8D">
        <w:rPr>
          <w:rFonts w:ascii="Open Sans" w:hAnsi="Open Sans" w:cs="Open Sans"/>
          <w:lang w:val="en-US"/>
        </w:rPr>
        <w:t>‘</w:t>
      </w:r>
      <w:r w:rsidRPr="00C12F8D">
        <w:rPr>
          <w:rFonts w:ascii="Open Sans" w:hAnsi="Open Sans" w:cs="Open Sans"/>
          <w:lang w:val="en-US"/>
        </w:rPr>
        <w:t>reasonable excuse</w:t>
      </w:r>
      <w:r w:rsidR="008C6817" w:rsidRPr="00C12F8D">
        <w:rPr>
          <w:rFonts w:ascii="Open Sans" w:hAnsi="Open Sans" w:cs="Open Sans"/>
          <w:lang w:val="en-US"/>
        </w:rPr>
        <w:t>’</w:t>
      </w:r>
      <w:r w:rsidRPr="00C12F8D">
        <w:rPr>
          <w:rFonts w:ascii="Open Sans" w:hAnsi="Open Sans" w:cs="Open Sans"/>
          <w:lang w:val="en-US"/>
        </w:rPr>
        <w:t xml:space="preserve"> is made out.</w:t>
      </w:r>
    </w:p>
    <w:p w14:paraId="4E5EC1C9" w14:textId="2C0D21E1" w:rsidR="00460110" w:rsidRPr="00C12F8D" w:rsidRDefault="00460110" w:rsidP="008461D6">
      <w:pPr>
        <w:pStyle w:val="ListNumber"/>
        <w:tabs>
          <w:tab w:val="clear" w:pos="360"/>
        </w:tabs>
        <w:ind w:left="1094" w:hanging="737"/>
        <w:rPr>
          <w:rFonts w:ascii="Open Sans" w:hAnsi="Open Sans" w:cs="Open Sans"/>
        </w:rPr>
      </w:pPr>
      <w:r w:rsidRPr="00C12F8D">
        <w:rPr>
          <w:rFonts w:ascii="Open Sans" w:hAnsi="Open Sans" w:cs="Open Sans"/>
          <w:lang w:val="en"/>
        </w:rPr>
        <w:t xml:space="preserve">Under </w:t>
      </w:r>
      <w:r w:rsidR="00DA53E3" w:rsidRPr="00C12F8D">
        <w:rPr>
          <w:rFonts w:ascii="Open Sans" w:hAnsi="Open Sans" w:cs="Open Sans"/>
          <w:lang w:val="en"/>
        </w:rPr>
        <w:t>subparagraph</w:t>
      </w:r>
      <w:r w:rsidRPr="00C12F8D">
        <w:rPr>
          <w:rFonts w:ascii="Open Sans" w:hAnsi="Open Sans" w:cs="Open Sans"/>
          <w:lang w:val="en"/>
        </w:rPr>
        <w:t xml:space="preserve"> 5(2) of the Determination, mandatory considerations include: that </w:t>
      </w:r>
      <w:r w:rsidRPr="00C12F8D">
        <w:rPr>
          <w:rFonts w:ascii="Open Sans" w:hAnsi="Open Sans" w:cs="Open Sans"/>
        </w:rPr>
        <w:t>the person did not have access to safe, secure and adequate housing; the literacy and language skills of the person; an illness, injury, impairment or disability; a psychiatric or psychological impairment or mental illness; drug or alcohol dependency; unforeseen family or caring resp</w:t>
      </w:r>
      <w:r w:rsidR="008C6817" w:rsidRPr="00C12F8D">
        <w:rPr>
          <w:rFonts w:ascii="Open Sans" w:hAnsi="Open Sans" w:cs="Open Sans"/>
        </w:rPr>
        <w:t>onsibilities; criminal violence</w:t>
      </w:r>
      <w:r w:rsidRPr="00C12F8D">
        <w:rPr>
          <w:rFonts w:ascii="Open Sans" w:hAnsi="Open Sans" w:cs="Open Sans"/>
        </w:rPr>
        <w:t>; and undertaking paid work or a job interview at the time of the failure.</w:t>
      </w:r>
      <w:r w:rsidRPr="00C12F8D">
        <w:rPr>
          <w:rStyle w:val="EndnoteReference"/>
          <w:rFonts w:cs="Open Sans"/>
        </w:rPr>
        <w:endnoteReference w:id="32"/>
      </w:r>
    </w:p>
    <w:p w14:paraId="7A380324" w14:textId="753F4769" w:rsidR="00460110" w:rsidRPr="00C12F8D" w:rsidRDefault="00DA53E3" w:rsidP="00A32E6B">
      <w:pPr>
        <w:pStyle w:val="ListNumber"/>
        <w:tabs>
          <w:tab w:val="clear" w:pos="360"/>
        </w:tabs>
        <w:ind w:left="1094" w:hanging="737"/>
        <w:rPr>
          <w:rFonts w:ascii="Open Sans" w:hAnsi="Open Sans" w:cs="Open Sans"/>
        </w:rPr>
      </w:pPr>
      <w:r w:rsidRPr="00C12F8D">
        <w:rPr>
          <w:rFonts w:ascii="Open Sans" w:hAnsi="Open Sans" w:cs="Open Sans"/>
        </w:rPr>
        <w:t>Under paragraph</w:t>
      </w:r>
      <w:r w:rsidR="00460110" w:rsidRPr="00C12F8D">
        <w:rPr>
          <w:rFonts w:ascii="Open Sans" w:hAnsi="Open Sans" w:cs="Open Sans"/>
        </w:rPr>
        <w:t xml:space="preserve"> 6 of the Determination, a decision maker must not t</w:t>
      </w:r>
      <w:r w:rsidR="008C6817" w:rsidRPr="00C12F8D">
        <w:rPr>
          <w:rFonts w:ascii="Open Sans" w:hAnsi="Open Sans" w:cs="Open Sans"/>
        </w:rPr>
        <w:t>ake into account certain matter</w:t>
      </w:r>
      <w:r w:rsidR="003C133C" w:rsidRPr="00C12F8D">
        <w:rPr>
          <w:rFonts w:ascii="Open Sans" w:hAnsi="Open Sans" w:cs="Open Sans"/>
        </w:rPr>
        <w:t>s</w:t>
      </w:r>
      <w:r w:rsidR="008C6817" w:rsidRPr="00C12F8D">
        <w:rPr>
          <w:rFonts w:ascii="Open Sans" w:hAnsi="Open Sans" w:cs="Open Sans"/>
        </w:rPr>
        <w:t>. This includes</w:t>
      </w:r>
      <w:r w:rsidR="00460110" w:rsidRPr="00C12F8D">
        <w:rPr>
          <w:rFonts w:ascii="Open Sans" w:hAnsi="Open Sans" w:cs="Open Sans"/>
        </w:rPr>
        <w:t xml:space="preserve"> any factor that did not directly prevent the person from meeting their requirement</w:t>
      </w:r>
      <w:r w:rsidR="008C6817" w:rsidRPr="00C12F8D">
        <w:rPr>
          <w:rFonts w:ascii="Open Sans" w:hAnsi="Open Sans" w:cs="Open Sans"/>
        </w:rPr>
        <w:t xml:space="preserve">s at the time of their failure. It also includes </w:t>
      </w:r>
      <w:r w:rsidR="00460110" w:rsidRPr="00C12F8D">
        <w:rPr>
          <w:rFonts w:ascii="Open Sans" w:hAnsi="Open Sans" w:cs="Open Sans"/>
        </w:rPr>
        <w:t xml:space="preserve">drug or alcohol dependency, if the person has previously used drug or alcohol dependency as a </w:t>
      </w:r>
      <w:r w:rsidR="008C6817" w:rsidRPr="00C12F8D">
        <w:rPr>
          <w:rFonts w:ascii="Open Sans" w:hAnsi="Open Sans" w:cs="Open Sans"/>
        </w:rPr>
        <w:t>‘</w:t>
      </w:r>
      <w:r w:rsidR="00460110" w:rsidRPr="00C12F8D">
        <w:rPr>
          <w:rFonts w:ascii="Open Sans" w:hAnsi="Open Sans" w:cs="Open Sans"/>
        </w:rPr>
        <w:t>reasonable excuse</w:t>
      </w:r>
      <w:r w:rsidR="008C6817" w:rsidRPr="00C12F8D">
        <w:rPr>
          <w:rFonts w:ascii="Open Sans" w:hAnsi="Open Sans" w:cs="Open Sans"/>
        </w:rPr>
        <w:t>’</w:t>
      </w:r>
      <w:r w:rsidR="00460110" w:rsidRPr="00C12F8D">
        <w:rPr>
          <w:rFonts w:ascii="Open Sans" w:hAnsi="Open Sans" w:cs="Open Sans"/>
        </w:rPr>
        <w:t xml:space="preserve"> and refused or failed to participate in available treatment.</w:t>
      </w:r>
    </w:p>
    <w:p w14:paraId="4CBA51BC" w14:textId="574AD0D7" w:rsidR="00460110" w:rsidRPr="00C12F8D" w:rsidRDefault="00460110" w:rsidP="00CA4930">
      <w:pPr>
        <w:pStyle w:val="ListNumber"/>
        <w:tabs>
          <w:tab w:val="clear" w:pos="360"/>
        </w:tabs>
        <w:ind w:left="1094" w:hanging="737"/>
        <w:rPr>
          <w:rFonts w:ascii="Open Sans" w:hAnsi="Open Sans" w:cs="Open Sans"/>
        </w:rPr>
      </w:pPr>
      <w:r w:rsidRPr="00C12F8D">
        <w:rPr>
          <w:rFonts w:ascii="Open Sans" w:hAnsi="Open Sans" w:cs="Open Sans"/>
        </w:rPr>
        <w:t xml:space="preserve">The </w:t>
      </w:r>
      <w:r w:rsidRPr="00C12F8D">
        <w:rPr>
          <w:rFonts w:ascii="Open Sans" w:hAnsi="Open Sans" w:cs="Open Sans"/>
          <w:i/>
        </w:rPr>
        <w:t>Social Security Act 1991</w:t>
      </w:r>
      <w:r w:rsidRPr="00C12F8D">
        <w:rPr>
          <w:rFonts w:ascii="Open Sans" w:hAnsi="Open Sans" w:cs="Open Sans"/>
        </w:rPr>
        <w:t xml:space="preserve"> (Cth) also provides for longer term exemptions, which suspend the need for participants to meet requirements for the duration of the exemption. Exemptions may be provided for circumstances that include domestic violence, pre-natal and post-natal relief, temporary incapacity and other special circumstances.</w:t>
      </w:r>
      <w:r w:rsidRPr="00C12F8D">
        <w:rPr>
          <w:rStyle w:val="EndnoteReference"/>
          <w:rFonts w:cs="Open Sans"/>
        </w:rPr>
        <w:endnoteReference w:id="33"/>
      </w:r>
      <w:r w:rsidRPr="00C12F8D">
        <w:rPr>
          <w:rFonts w:ascii="Open Sans" w:hAnsi="Open Sans" w:cs="Open Sans"/>
        </w:rPr>
        <w:t xml:space="preserve"> </w:t>
      </w:r>
    </w:p>
    <w:p w14:paraId="22DE7E3A" w14:textId="3B796051" w:rsidR="00460110" w:rsidRPr="00C12F8D" w:rsidRDefault="00460110" w:rsidP="00CA4930">
      <w:pPr>
        <w:pStyle w:val="ListNumber"/>
        <w:tabs>
          <w:tab w:val="clear" w:pos="360"/>
        </w:tabs>
        <w:ind w:left="1094" w:hanging="737"/>
        <w:rPr>
          <w:rFonts w:ascii="Open Sans" w:hAnsi="Open Sans" w:cs="Open Sans"/>
        </w:rPr>
      </w:pPr>
      <w:r w:rsidRPr="00C12F8D">
        <w:rPr>
          <w:rFonts w:ascii="Open Sans" w:hAnsi="Open Sans" w:cs="Open Sans"/>
        </w:rPr>
        <w:t>ParentsNext providers have the power to grant a parent an exemption from their participation requirements, relying on Departmental guidance.</w:t>
      </w:r>
      <w:r w:rsidRPr="00C12F8D">
        <w:rPr>
          <w:rStyle w:val="EndnoteReference"/>
          <w:rFonts w:cs="Open Sans"/>
        </w:rPr>
        <w:endnoteReference w:id="34"/>
      </w:r>
    </w:p>
    <w:p w14:paraId="7EC80CC8" w14:textId="38E561A7" w:rsidR="00460110" w:rsidRPr="00C12F8D" w:rsidRDefault="00460110" w:rsidP="0009274B">
      <w:pPr>
        <w:pStyle w:val="ListNumber"/>
        <w:tabs>
          <w:tab w:val="clear" w:pos="360"/>
        </w:tabs>
        <w:ind w:left="1094" w:hanging="737"/>
        <w:rPr>
          <w:rFonts w:ascii="Open Sans" w:hAnsi="Open Sans" w:cs="Open Sans"/>
          <w:lang w:val="en"/>
        </w:rPr>
      </w:pPr>
      <w:r w:rsidRPr="00C12F8D">
        <w:rPr>
          <w:rFonts w:ascii="Open Sans" w:hAnsi="Open Sans" w:cs="Open Sans"/>
          <w:lang w:val="en"/>
        </w:rPr>
        <w:t xml:space="preserve">A person can apply to the </w:t>
      </w:r>
      <w:r w:rsidRPr="00C12F8D">
        <w:rPr>
          <w:rFonts w:ascii="Open Sans" w:hAnsi="Open Sans" w:cs="Open Sans"/>
        </w:rPr>
        <w:t>Department of Human Services</w:t>
      </w:r>
      <w:r w:rsidRPr="00C12F8D">
        <w:rPr>
          <w:rFonts w:ascii="Open Sans" w:hAnsi="Open Sans" w:cs="Open Sans"/>
          <w:lang w:val="en"/>
        </w:rPr>
        <w:t xml:space="preserve"> for review of a decision to suspend, reduce or cancel the Parenting Payment. The person will not receive a payment until the review is complete. </w:t>
      </w:r>
      <w:r w:rsidRPr="00C12F8D">
        <w:rPr>
          <w:rFonts w:ascii="Open Sans" w:hAnsi="Open Sans" w:cs="Open Sans"/>
        </w:rPr>
        <w:t>A final review is available through the Administrative Appeals Tribunal.</w:t>
      </w:r>
      <w:r w:rsidRPr="00C12F8D">
        <w:rPr>
          <w:rStyle w:val="EndnoteReference"/>
          <w:rFonts w:cs="Open Sans"/>
        </w:rPr>
        <w:endnoteReference w:id="35"/>
      </w:r>
    </w:p>
    <w:p w14:paraId="1D0DB22C" w14:textId="57805B5C" w:rsidR="00460110" w:rsidRPr="00C12F8D" w:rsidRDefault="00460110" w:rsidP="007B6E11">
      <w:pPr>
        <w:pStyle w:val="ListNumber"/>
        <w:tabs>
          <w:tab w:val="clear" w:pos="360"/>
        </w:tabs>
        <w:ind w:left="1094" w:hanging="737"/>
        <w:rPr>
          <w:rFonts w:ascii="Open Sans" w:hAnsi="Open Sans" w:cs="Open Sans"/>
          <w:lang w:val="en"/>
        </w:rPr>
      </w:pPr>
      <w:r w:rsidRPr="00C12F8D">
        <w:rPr>
          <w:rFonts w:ascii="Open Sans" w:hAnsi="Open Sans" w:cs="Open Sans"/>
          <w:lang w:val="en"/>
        </w:rPr>
        <w:lastRenderedPageBreak/>
        <w:t xml:space="preserve">If a recipient’s </w:t>
      </w:r>
      <w:r w:rsidRPr="00C12F8D">
        <w:rPr>
          <w:rFonts w:ascii="Open Sans" w:hAnsi="Open Sans" w:cs="Open Sans"/>
        </w:rPr>
        <w:t xml:space="preserve">Parenting Payment is cancelled, they will have to submit a new application to re-establish their eligibility. They would face a </w:t>
      </w:r>
      <w:r w:rsidR="008C6817" w:rsidRPr="00C12F8D">
        <w:rPr>
          <w:rFonts w:ascii="Open Sans" w:hAnsi="Open Sans" w:cs="Open Sans"/>
        </w:rPr>
        <w:t xml:space="preserve">waiting </w:t>
      </w:r>
      <w:r w:rsidRPr="00C12F8D">
        <w:rPr>
          <w:rFonts w:ascii="Open Sans" w:hAnsi="Open Sans" w:cs="Open Sans"/>
        </w:rPr>
        <w:t>period of at least one month before receipt of payment.</w:t>
      </w:r>
    </w:p>
    <w:p w14:paraId="19242C66" w14:textId="5FB1CC9F" w:rsidR="00460110" w:rsidRPr="00C12F8D" w:rsidRDefault="00460110" w:rsidP="00B93527">
      <w:pPr>
        <w:pStyle w:val="Heading1"/>
        <w:rPr>
          <w:rFonts w:ascii="Open Sans" w:hAnsi="Open Sans" w:cs="Open Sans"/>
        </w:rPr>
      </w:pPr>
      <w:bookmarkStart w:id="37" w:name="_Toc536796583"/>
      <w:r w:rsidRPr="00C12F8D">
        <w:rPr>
          <w:rFonts w:ascii="Open Sans" w:hAnsi="Open Sans" w:cs="Open Sans"/>
        </w:rPr>
        <w:t>The right to social security</w:t>
      </w:r>
      <w:r w:rsidR="00253115" w:rsidRPr="00C12F8D">
        <w:rPr>
          <w:rFonts w:ascii="Open Sans" w:hAnsi="Open Sans" w:cs="Open Sans"/>
        </w:rPr>
        <w:t xml:space="preserve"> and related rights</w:t>
      </w:r>
      <w:bookmarkEnd w:id="37"/>
    </w:p>
    <w:p w14:paraId="1BC7F2B0" w14:textId="77777777" w:rsidR="00460110" w:rsidRPr="00C12F8D" w:rsidRDefault="00460110" w:rsidP="00D30365">
      <w:pPr>
        <w:pStyle w:val="ListNumber"/>
        <w:tabs>
          <w:tab w:val="clear" w:pos="360"/>
        </w:tabs>
        <w:ind w:left="1094" w:hanging="737"/>
        <w:rPr>
          <w:rFonts w:ascii="Open Sans" w:hAnsi="Open Sans" w:cs="Open Sans"/>
        </w:rPr>
      </w:pPr>
      <w:r w:rsidRPr="00C12F8D">
        <w:rPr>
          <w:rFonts w:ascii="Open Sans" w:hAnsi="Open Sans" w:cs="Open Sans"/>
        </w:rPr>
        <w:t>The right to social security is recognised in several international legal conventions to which Australia is a party.</w:t>
      </w:r>
    </w:p>
    <w:p w14:paraId="60B6152A" w14:textId="1401D074" w:rsidR="00460110" w:rsidRPr="00C12F8D" w:rsidRDefault="00460110" w:rsidP="00D30365">
      <w:pPr>
        <w:pStyle w:val="ListNumber"/>
        <w:tabs>
          <w:tab w:val="clear" w:pos="360"/>
        </w:tabs>
        <w:ind w:left="1094" w:hanging="737"/>
        <w:rPr>
          <w:rFonts w:ascii="Open Sans" w:hAnsi="Open Sans" w:cs="Open Sans"/>
        </w:rPr>
      </w:pPr>
      <w:r w:rsidRPr="00C12F8D">
        <w:rPr>
          <w:rFonts w:ascii="Open Sans" w:hAnsi="Open Sans" w:cs="Open Sans"/>
        </w:rPr>
        <w:t xml:space="preserve">Article 9 of the </w:t>
      </w:r>
      <w:r w:rsidRPr="00C12F8D">
        <w:rPr>
          <w:rFonts w:ascii="Open Sans" w:hAnsi="Open Sans" w:cs="Open Sans"/>
          <w:i/>
        </w:rPr>
        <w:t>International Covenant on Economic, Social and Cultural Rights</w:t>
      </w:r>
      <w:r w:rsidRPr="00C12F8D">
        <w:rPr>
          <w:rFonts w:ascii="Open Sans" w:hAnsi="Open Sans" w:cs="Open Sans"/>
        </w:rPr>
        <w:t xml:space="preserve"> (ICESCR) provides: </w:t>
      </w:r>
    </w:p>
    <w:p w14:paraId="4456D42F" w14:textId="075FBA0D" w:rsidR="00460110" w:rsidRPr="00C12F8D" w:rsidRDefault="00460110" w:rsidP="004D465C">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States Parties to the present Covenant recognize the right of everyone to social security, including social insurance.</w:t>
      </w:r>
      <w:r w:rsidRPr="00C12F8D">
        <w:rPr>
          <w:rStyle w:val="EndnoteReference"/>
          <w:rFonts w:cs="Open Sans"/>
          <w:sz w:val="22"/>
          <w:szCs w:val="22"/>
        </w:rPr>
        <w:endnoteReference w:id="36"/>
      </w:r>
    </w:p>
    <w:p w14:paraId="0B65D298" w14:textId="3BFC3DA3" w:rsidR="00460110" w:rsidRPr="00C12F8D" w:rsidRDefault="00460110" w:rsidP="00A41821">
      <w:pPr>
        <w:pStyle w:val="ListNumber"/>
        <w:tabs>
          <w:tab w:val="clear" w:pos="360"/>
        </w:tabs>
        <w:ind w:left="1094" w:hanging="737"/>
        <w:rPr>
          <w:rFonts w:ascii="Open Sans" w:hAnsi="Open Sans" w:cs="Open Sans"/>
        </w:rPr>
      </w:pPr>
      <w:r w:rsidRPr="00C12F8D">
        <w:rPr>
          <w:rFonts w:ascii="Open Sans" w:hAnsi="Open Sans" w:cs="Open Sans"/>
        </w:rPr>
        <w:t xml:space="preserve">The right to social security encompasses the right </w:t>
      </w:r>
      <w:r w:rsidR="00F31717">
        <w:rPr>
          <w:rFonts w:ascii="Open Sans" w:hAnsi="Open Sans" w:cs="Open Sans"/>
        </w:rPr>
        <w:t>to access and maintain benefits</w:t>
      </w:r>
      <w:r w:rsidRPr="00C12F8D">
        <w:rPr>
          <w:rFonts w:ascii="Open Sans" w:hAnsi="Open Sans" w:cs="Open Sans"/>
        </w:rPr>
        <w:t xml:space="preserve"> </w:t>
      </w:r>
      <w:r w:rsidR="00FB4C11" w:rsidRPr="00C12F8D">
        <w:rPr>
          <w:rFonts w:ascii="Open Sans" w:hAnsi="Open Sans" w:cs="Open Sans"/>
        </w:rPr>
        <w:t xml:space="preserve">in order </w:t>
      </w:r>
      <w:r w:rsidRPr="00C12F8D">
        <w:rPr>
          <w:rFonts w:ascii="Open Sans" w:hAnsi="Open Sans" w:cs="Open Sans"/>
        </w:rPr>
        <w:t>to secure protection from social risks and contingencies.</w:t>
      </w:r>
      <w:r w:rsidRPr="00C12F8D">
        <w:rPr>
          <w:rStyle w:val="EndnoteReference"/>
          <w:rFonts w:cs="Open Sans"/>
        </w:rPr>
        <w:endnoteReference w:id="37"/>
      </w:r>
      <w:r w:rsidRPr="00C12F8D">
        <w:rPr>
          <w:rFonts w:ascii="Open Sans" w:hAnsi="Open Sans" w:cs="Open Sans"/>
        </w:rPr>
        <w:t xml:space="preserve"> It includes the right not to be subject to arbitrary and unreasonable restrictions of existing social security coverage.</w:t>
      </w:r>
      <w:r w:rsidRPr="00C12F8D">
        <w:rPr>
          <w:rStyle w:val="EndnoteReference"/>
          <w:rFonts w:cs="Open Sans"/>
        </w:rPr>
        <w:endnoteReference w:id="38"/>
      </w:r>
      <w:r w:rsidRPr="00C12F8D">
        <w:rPr>
          <w:rFonts w:ascii="Open Sans" w:hAnsi="Open Sans" w:cs="Open Sans"/>
        </w:rPr>
        <w:t xml:space="preserve"> </w:t>
      </w:r>
    </w:p>
    <w:p w14:paraId="55488835" w14:textId="22A7FF9E" w:rsidR="00460110" w:rsidRPr="00C12F8D" w:rsidRDefault="00460110" w:rsidP="00577108">
      <w:pPr>
        <w:pStyle w:val="ListNumber"/>
        <w:tabs>
          <w:tab w:val="clear" w:pos="360"/>
        </w:tabs>
        <w:ind w:left="1094" w:hanging="737"/>
        <w:rPr>
          <w:rFonts w:ascii="Open Sans" w:hAnsi="Open Sans" w:cs="Open Sans"/>
        </w:rPr>
      </w:pPr>
      <w:r w:rsidRPr="00C12F8D">
        <w:rPr>
          <w:rFonts w:ascii="Open Sans" w:hAnsi="Open Sans" w:cs="Open Sans"/>
        </w:rPr>
        <w:t>In accordance with article</w:t>
      </w:r>
      <w:r w:rsidR="00B1655A" w:rsidRPr="00C12F8D">
        <w:rPr>
          <w:rFonts w:ascii="Open Sans" w:hAnsi="Open Sans" w:cs="Open Sans"/>
        </w:rPr>
        <w:t>s</w:t>
      </w:r>
      <w:r w:rsidRPr="00C12F8D">
        <w:rPr>
          <w:rFonts w:ascii="Open Sans" w:hAnsi="Open Sans" w:cs="Open Sans"/>
        </w:rPr>
        <w:t xml:space="preserve"> 2(1) and (2) of ICESCR, </w:t>
      </w:r>
      <w:r w:rsidR="00F31717">
        <w:rPr>
          <w:rFonts w:ascii="Open Sans" w:hAnsi="Open Sans" w:cs="Open Sans"/>
        </w:rPr>
        <w:t>States</w:t>
      </w:r>
      <w:r w:rsidRPr="00C12F8D">
        <w:rPr>
          <w:rFonts w:ascii="Open Sans" w:hAnsi="Open Sans" w:cs="Open Sans"/>
        </w:rPr>
        <w:t xml:space="preserve"> must take steps, to the maximum of their available resources, to achieve progressively the full realisation of the right to social security without any discrimination.</w:t>
      </w:r>
      <w:r w:rsidRPr="00C12F8D">
        <w:rPr>
          <w:rStyle w:val="EndnoteReference"/>
          <w:rFonts w:cs="Open Sans"/>
        </w:rPr>
        <w:endnoteReference w:id="39"/>
      </w:r>
      <w:r w:rsidRPr="00C12F8D">
        <w:rPr>
          <w:rFonts w:ascii="Open Sans" w:hAnsi="Open Sans" w:cs="Open Sans"/>
        </w:rPr>
        <w:t xml:space="preserve"> </w:t>
      </w:r>
    </w:p>
    <w:p w14:paraId="26170F81" w14:textId="36B329F7" w:rsidR="00460110" w:rsidRPr="00C12F8D" w:rsidRDefault="00460110" w:rsidP="008D5561">
      <w:pPr>
        <w:pStyle w:val="ListNumber"/>
        <w:tabs>
          <w:tab w:val="clear" w:pos="360"/>
        </w:tabs>
        <w:ind w:left="1094" w:hanging="737"/>
        <w:rPr>
          <w:rFonts w:ascii="Open Sans" w:hAnsi="Open Sans" w:cs="Open Sans"/>
        </w:rPr>
      </w:pPr>
      <w:r w:rsidRPr="00C12F8D">
        <w:rPr>
          <w:rFonts w:ascii="Open Sans" w:hAnsi="Open Sans" w:cs="Open Sans"/>
        </w:rPr>
        <w:t xml:space="preserve">The rights of women and Indigenous peoples to social security is particularly recognised and protected by article 5(e)(iv) of the </w:t>
      </w:r>
      <w:r w:rsidRPr="00C12F8D">
        <w:rPr>
          <w:rFonts w:ascii="Open Sans" w:hAnsi="Open Sans" w:cs="Open Sans"/>
          <w:i/>
        </w:rPr>
        <w:t>International Convention on the Elimination of All Forms of Racial Discrimination</w:t>
      </w:r>
      <w:r w:rsidRPr="00C12F8D">
        <w:rPr>
          <w:rFonts w:ascii="Open Sans" w:hAnsi="Open Sans" w:cs="Open Sans"/>
        </w:rPr>
        <w:t xml:space="preserve"> (CERD), articles 11(1)(e) and 14(2)(c) of </w:t>
      </w:r>
      <w:r w:rsidRPr="00C12F8D">
        <w:rPr>
          <w:rFonts w:ascii="Open Sans" w:hAnsi="Open Sans" w:cs="Open Sans"/>
          <w:i/>
        </w:rPr>
        <w:t>the Convention on the Elimination of All Forms of Discrimination against Women</w:t>
      </w:r>
      <w:r w:rsidRPr="00C12F8D">
        <w:rPr>
          <w:rFonts w:ascii="Open Sans" w:hAnsi="Open Sans" w:cs="Open Sans"/>
        </w:rPr>
        <w:t xml:space="preserve"> (CEDAW) and article 21(1) of the </w:t>
      </w:r>
      <w:r w:rsidRPr="00C12F8D">
        <w:rPr>
          <w:rFonts w:ascii="Open Sans" w:hAnsi="Open Sans" w:cs="Open Sans"/>
          <w:i/>
        </w:rPr>
        <w:t>United Nations Declaration on the Rights of Indigenous Peoples</w:t>
      </w:r>
      <w:r w:rsidRPr="00C12F8D">
        <w:rPr>
          <w:rFonts w:ascii="Open Sans" w:hAnsi="Open Sans" w:cs="Open Sans"/>
        </w:rPr>
        <w:t xml:space="preserve"> (UNDRIP).</w:t>
      </w:r>
      <w:r w:rsidRPr="00C12F8D">
        <w:rPr>
          <w:rStyle w:val="EndnoteReference"/>
          <w:rFonts w:cs="Open Sans"/>
        </w:rPr>
        <w:endnoteReference w:id="40"/>
      </w:r>
      <w:r w:rsidRPr="00C12F8D">
        <w:rPr>
          <w:rFonts w:ascii="Open Sans" w:hAnsi="Open Sans" w:cs="Open Sans"/>
        </w:rPr>
        <w:t xml:space="preserve"> </w:t>
      </w:r>
    </w:p>
    <w:p w14:paraId="0442D890" w14:textId="18DA189E" w:rsidR="00460110" w:rsidRPr="00C12F8D" w:rsidRDefault="00460110" w:rsidP="008D5561">
      <w:pPr>
        <w:pStyle w:val="ListNumber"/>
        <w:tabs>
          <w:tab w:val="clear" w:pos="360"/>
        </w:tabs>
        <w:ind w:left="1094" w:hanging="737"/>
        <w:rPr>
          <w:rFonts w:ascii="Open Sans" w:hAnsi="Open Sans" w:cs="Open Sans"/>
        </w:rPr>
      </w:pPr>
      <w:r w:rsidRPr="00C12F8D">
        <w:rPr>
          <w:rFonts w:ascii="Open Sans" w:hAnsi="Open Sans" w:cs="Open Sans"/>
        </w:rPr>
        <w:t xml:space="preserve">With respect to </w:t>
      </w:r>
      <w:r w:rsidR="00BE114F" w:rsidRPr="00C12F8D">
        <w:rPr>
          <w:rFonts w:ascii="Open Sans" w:hAnsi="Open Sans" w:cs="Open Sans"/>
        </w:rPr>
        <w:t>a</w:t>
      </w:r>
      <w:r w:rsidRPr="00C12F8D">
        <w:rPr>
          <w:rFonts w:ascii="Open Sans" w:hAnsi="Open Sans" w:cs="Open Sans"/>
        </w:rPr>
        <w:t xml:space="preserve"> child</w:t>
      </w:r>
      <w:r w:rsidR="00BE114F" w:rsidRPr="00C12F8D">
        <w:rPr>
          <w:rFonts w:ascii="Open Sans" w:hAnsi="Open Sans" w:cs="Open Sans"/>
        </w:rPr>
        <w:t>’s right to social security</w:t>
      </w:r>
      <w:r w:rsidRPr="00C12F8D">
        <w:rPr>
          <w:rFonts w:ascii="Open Sans" w:hAnsi="Open Sans" w:cs="Open Sans"/>
        </w:rPr>
        <w:t xml:space="preserve">, article 26 of the </w:t>
      </w:r>
      <w:r w:rsidRPr="00C12F8D">
        <w:rPr>
          <w:rFonts w:ascii="Open Sans" w:hAnsi="Open Sans" w:cs="Open Sans"/>
          <w:i/>
        </w:rPr>
        <w:t>Convention on the Rights of the Child</w:t>
      </w:r>
      <w:r w:rsidRPr="00C12F8D">
        <w:rPr>
          <w:rFonts w:ascii="Open Sans" w:hAnsi="Open Sans" w:cs="Open Sans"/>
        </w:rPr>
        <w:t xml:space="preserve"> (CRC) provides:</w:t>
      </w:r>
    </w:p>
    <w:p w14:paraId="67FF3411" w14:textId="3CB2F6E5" w:rsidR="00460110" w:rsidRPr="00C12F8D" w:rsidRDefault="00460110" w:rsidP="00200E4D">
      <w:pPr>
        <w:pStyle w:val="ListNumber"/>
        <w:numPr>
          <w:ilvl w:val="0"/>
          <w:numId w:val="23"/>
        </w:numPr>
        <w:rPr>
          <w:rFonts w:ascii="Open Sans" w:hAnsi="Open Sans" w:cs="Open Sans"/>
          <w:sz w:val="22"/>
          <w:szCs w:val="22"/>
        </w:rPr>
      </w:pPr>
      <w:r w:rsidRPr="00C12F8D">
        <w:rPr>
          <w:rFonts w:ascii="Open Sans" w:hAnsi="Open Sans" w:cs="Open Sans"/>
          <w:sz w:val="22"/>
          <w:szCs w:val="22"/>
        </w:rPr>
        <w:t>States Parties shall recognize for every child the right to benefit from social security, including social insurance, and shall take the necessary measures to achieve the full realization of this right in accordance with their national law.</w:t>
      </w:r>
    </w:p>
    <w:p w14:paraId="0E6D2A87" w14:textId="5CE22B97" w:rsidR="00460110" w:rsidRPr="00C12F8D" w:rsidRDefault="00460110" w:rsidP="00200E4D">
      <w:pPr>
        <w:pStyle w:val="ListNumber"/>
        <w:numPr>
          <w:ilvl w:val="0"/>
          <w:numId w:val="23"/>
        </w:numPr>
        <w:rPr>
          <w:rFonts w:ascii="Open Sans" w:hAnsi="Open Sans" w:cs="Open Sans"/>
        </w:rPr>
      </w:pPr>
      <w:r w:rsidRPr="00C12F8D">
        <w:rPr>
          <w:rFonts w:ascii="Open Sans" w:hAnsi="Open Sans" w:cs="Open Sans"/>
          <w:sz w:val="22"/>
          <w:szCs w:val="22"/>
        </w:rPr>
        <w:t>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w:t>
      </w:r>
      <w:r w:rsidRPr="00C12F8D">
        <w:rPr>
          <w:rStyle w:val="EndnoteReference"/>
          <w:rFonts w:cs="Open Sans"/>
          <w:sz w:val="22"/>
          <w:szCs w:val="22"/>
        </w:rPr>
        <w:endnoteReference w:id="41"/>
      </w:r>
    </w:p>
    <w:p w14:paraId="7A5A9D27" w14:textId="6E4A135D" w:rsidR="00BE114F" w:rsidRPr="00C12F8D" w:rsidRDefault="00BE114F" w:rsidP="00EC3045">
      <w:pPr>
        <w:pStyle w:val="ListNumber"/>
        <w:tabs>
          <w:tab w:val="clear" w:pos="360"/>
        </w:tabs>
        <w:ind w:left="1094" w:hanging="737"/>
        <w:rPr>
          <w:rFonts w:ascii="Open Sans" w:hAnsi="Open Sans" w:cs="Open Sans"/>
        </w:rPr>
      </w:pPr>
      <w:r w:rsidRPr="00C12F8D">
        <w:rPr>
          <w:rFonts w:ascii="Open Sans" w:hAnsi="Open Sans" w:cs="Open Sans"/>
        </w:rPr>
        <w:t>Under the CRC and other human rights treaties, parents and their children also have the right to</w:t>
      </w:r>
      <w:r w:rsidR="006A7C9A" w:rsidRPr="00C12F8D">
        <w:rPr>
          <w:rFonts w:ascii="Open Sans" w:hAnsi="Open Sans" w:cs="Open Sans"/>
        </w:rPr>
        <w:t>:</w:t>
      </w:r>
      <w:r w:rsidRPr="00C12F8D">
        <w:rPr>
          <w:rFonts w:ascii="Open Sans" w:hAnsi="Open Sans" w:cs="Open Sans"/>
        </w:rPr>
        <w:t xml:space="preserve"> an accessible education, enjoyment of </w:t>
      </w:r>
      <w:r w:rsidRPr="00C12F8D">
        <w:rPr>
          <w:rFonts w:ascii="Open Sans" w:hAnsi="Open Sans" w:cs="Open Sans"/>
        </w:rPr>
        <w:lastRenderedPageBreak/>
        <w:t>the highest attainable standard of health</w:t>
      </w:r>
      <w:r w:rsidR="009E2681" w:rsidRPr="00C12F8D">
        <w:rPr>
          <w:rFonts w:ascii="Open Sans" w:hAnsi="Open Sans" w:cs="Open Sans"/>
        </w:rPr>
        <w:t>, an</w:t>
      </w:r>
      <w:r w:rsidRPr="00C12F8D">
        <w:rPr>
          <w:rFonts w:ascii="Open Sans" w:hAnsi="Open Sans" w:cs="Open Sans"/>
        </w:rPr>
        <w:t xml:space="preserve"> adequate standard of living, </w:t>
      </w:r>
      <w:r w:rsidR="006A7C9A" w:rsidRPr="00C12F8D">
        <w:rPr>
          <w:rFonts w:ascii="Open Sans" w:hAnsi="Open Sans" w:cs="Open Sans"/>
        </w:rPr>
        <w:t>protection of the best interests of the child,</w:t>
      </w:r>
      <w:r w:rsidRPr="00C12F8D">
        <w:rPr>
          <w:rFonts w:ascii="Open Sans" w:hAnsi="Open Sans" w:cs="Open Sans"/>
        </w:rPr>
        <w:t xml:space="preserve"> and the protection of families</w:t>
      </w:r>
      <w:r w:rsidR="006A7C9A" w:rsidRPr="00C12F8D">
        <w:rPr>
          <w:rFonts w:ascii="Open Sans" w:hAnsi="Open Sans" w:cs="Open Sans"/>
        </w:rPr>
        <w:t>—</w:t>
      </w:r>
      <w:r w:rsidR="0048642E" w:rsidRPr="00C12F8D">
        <w:rPr>
          <w:rFonts w:ascii="Open Sans" w:hAnsi="Open Sans" w:cs="Open Sans"/>
        </w:rPr>
        <w:t xml:space="preserve">particularly when they are responsible for the </w:t>
      </w:r>
      <w:r w:rsidR="009E2681" w:rsidRPr="00C12F8D">
        <w:rPr>
          <w:rFonts w:ascii="Open Sans" w:hAnsi="Open Sans" w:cs="Open Sans"/>
        </w:rPr>
        <w:t>care and education of dependent children.</w:t>
      </w:r>
      <w:r w:rsidR="00AA6A81" w:rsidRPr="00C12F8D">
        <w:rPr>
          <w:rStyle w:val="EndnoteReference"/>
          <w:rFonts w:cs="Open Sans"/>
        </w:rPr>
        <w:endnoteReference w:id="42"/>
      </w:r>
    </w:p>
    <w:p w14:paraId="2C52E3E0" w14:textId="6C48B821" w:rsidR="00AA6A81" w:rsidRPr="00C12F8D" w:rsidRDefault="00AA6A81" w:rsidP="00AF2B78">
      <w:pPr>
        <w:pStyle w:val="ListNumber"/>
        <w:tabs>
          <w:tab w:val="clear" w:pos="360"/>
        </w:tabs>
        <w:ind w:left="1094" w:hanging="737"/>
        <w:rPr>
          <w:rFonts w:ascii="Open Sans" w:hAnsi="Open Sans" w:cs="Open Sans"/>
        </w:rPr>
      </w:pPr>
      <w:r w:rsidRPr="00C12F8D">
        <w:rPr>
          <w:rFonts w:ascii="Open Sans" w:hAnsi="Open Sans" w:cs="Open Sans"/>
        </w:rPr>
        <w:t>The United Nations Commit</w:t>
      </w:r>
      <w:r w:rsidR="0016572A" w:rsidRPr="00C12F8D">
        <w:rPr>
          <w:rFonts w:ascii="Open Sans" w:hAnsi="Open Sans" w:cs="Open Sans"/>
        </w:rPr>
        <w:t xml:space="preserve">tee on the Rights of the Child </w:t>
      </w:r>
      <w:r w:rsidRPr="00C12F8D">
        <w:rPr>
          <w:rFonts w:ascii="Open Sans" w:hAnsi="Open Sans" w:cs="Open Sans"/>
        </w:rPr>
        <w:t xml:space="preserve">has </w:t>
      </w:r>
      <w:r w:rsidR="006A7C9A" w:rsidRPr="00C12F8D">
        <w:rPr>
          <w:rFonts w:ascii="Open Sans" w:hAnsi="Open Sans" w:cs="Open Sans"/>
        </w:rPr>
        <w:t xml:space="preserve">also </w:t>
      </w:r>
      <w:r w:rsidRPr="00C12F8D">
        <w:rPr>
          <w:rFonts w:ascii="Open Sans" w:hAnsi="Open Sans" w:cs="Open Sans"/>
        </w:rPr>
        <w:t>emphasised the</w:t>
      </w:r>
      <w:r w:rsidR="00E86273" w:rsidRPr="00C12F8D">
        <w:rPr>
          <w:rFonts w:ascii="Open Sans" w:hAnsi="Open Sans" w:cs="Open Sans"/>
        </w:rPr>
        <w:t xml:space="preserve"> particular</w:t>
      </w:r>
      <w:r w:rsidR="00633BF9" w:rsidRPr="00C12F8D">
        <w:rPr>
          <w:rFonts w:ascii="Open Sans" w:hAnsi="Open Sans" w:cs="Open Sans"/>
        </w:rPr>
        <w:t xml:space="preserve"> social protection</w:t>
      </w:r>
      <w:r w:rsidRPr="00C12F8D">
        <w:rPr>
          <w:rFonts w:ascii="Open Sans" w:hAnsi="Open Sans" w:cs="Open Sans"/>
        </w:rPr>
        <w:t xml:space="preserve"> need</w:t>
      </w:r>
      <w:r w:rsidR="006A7C9A" w:rsidRPr="00C12F8D">
        <w:rPr>
          <w:rFonts w:ascii="Open Sans" w:hAnsi="Open Sans" w:cs="Open Sans"/>
        </w:rPr>
        <w:t>s</w:t>
      </w:r>
      <w:r w:rsidRPr="00C12F8D">
        <w:rPr>
          <w:rFonts w:ascii="Open Sans" w:hAnsi="Open Sans" w:cs="Open Sans"/>
        </w:rPr>
        <w:t xml:space="preserve"> </w:t>
      </w:r>
      <w:r w:rsidR="006A7C9A" w:rsidRPr="00C12F8D">
        <w:rPr>
          <w:rFonts w:ascii="Open Sans" w:hAnsi="Open Sans" w:cs="Open Sans"/>
        </w:rPr>
        <w:t>of</w:t>
      </w:r>
      <w:r w:rsidRPr="00C12F8D">
        <w:rPr>
          <w:rFonts w:ascii="Open Sans" w:hAnsi="Open Sans" w:cs="Open Sans"/>
        </w:rPr>
        <w:t xml:space="preserve"> young parents and their children:</w:t>
      </w:r>
    </w:p>
    <w:p w14:paraId="5FF008EA" w14:textId="77777777" w:rsidR="0016572A" w:rsidRPr="00C12F8D" w:rsidRDefault="00AA6A81" w:rsidP="00AF2B78">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Articles 24 and 27 of the Convention require that adolescent parents and caregivers be provided with basic knowledge of child health, nutrition and breastfeeding, and appropriate support to assist them in fulfilling their responsibilities towards the children they are responsible for and, when needed, material assistance with regard to nutrition, clothing and housing. Adolescent caregivers need extra support in order to enjoy their rights to education, play and participation.</w:t>
      </w:r>
    </w:p>
    <w:p w14:paraId="65F63D3C" w14:textId="4C88053B" w:rsidR="00AA6A81" w:rsidRPr="00C12F8D" w:rsidRDefault="00AA6A81" w:rsidP="00AF2B78">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In particular, States should introduce social protection interventions at key stages of the life cycle and respond to the specific requirem</w:t>
      </w:r>
      <w:r w:rsidR="0016572A" w:rsidRPr="00C12F8D">
        <w:rPr>
          <w:rFonts w:ascii="Open Sans" w:hAnsi="Open Sans" w:cs="Open Sans"/>
          <w:sz w:val="22"/>
          <w:szCs w:val="22"/>
        </w:rPr>
        <w:t>ents of adolescent caregivers.</w:t>
      </w:r>
      <w:r w:rsidR="0016572A" w:rsidRPr="00C12F8D">
        <w:rPr>
          <w:rStyle w:val="EndnoteReference"/>
          <w:rFonts w:cs="Open Sans"/>
          <w:szCs w:val="22"/>
        </w:rPr>
        <w:endnoteReference w:id="43"/>
      </w:r>
    </w:p>
    <w:p w14:paraId="4FF50A3E" w14:textId="72FBF114" w:rsidR="00AA6A81" w:rsidRPr="00C12F8D" w:rsidRDefault="00460110" w:rsidP="00AF2B78">
      <w:pPr>
        <w:pStyle w:val="ListNumber"/>
        <w:tabs>
          <w:tab w:val="clear" w:pos="360"/>
        </w:tabs>
        <w:ind w:left="1094" w:hanging="737"/>
        <w:rPr>
          <w:rFonts w:ascii="Open Sans" w:hAnsi="Open Sans" w:cs="Open Sans"/>
        </w:rPr>
      </w:pPr>
      <w:r w:rsidRPr="00C12F8D">
        <w:rPr>
          <w:rFonts w:ascii="Open Sans" w:hAnsi="Open Sans" w:cs="Open Sans"/>
        </w:rPr>
        <w:t>The Parenting Payment helps fulfil the right to social security under each of these international instruments</w:t>
      </w:r>
      <w:r w:rsidR="00AA6A81" w:rsidRPr="00C12F8D">
        <w:rPr>
          <w:rFonts w:ascii="Open Sans" w:hAnsi="Open Sans" w:cs="Open Sans"/>
        </w:rPr>
        <w:t xml:space="preserve">, </w:t>
      </w:r>
      <w:r w:rsidR="00F72218" w:rsidRPr="00C12F8D">
        <w:rPr>
          <w:rFonts w:ascii="Open Sans" w:hAnsi="Open Sans" w:cs="Open Sans"/>
        </w:rPr>
        <w:t>and</w:t>
      </w:r>
      <w:r w:rsidR="00AA6A81" w:rsidRPr="00C12F8D">
        <w:rPr>
          <w:rFonts w:ascii="Open Sans" w:hAnsi="Open Sans" w:cs="Open Sans"/>
        </w:rPr>
        <w:t xml:space="preserve"> </w:t>
      </w:r>
      <w:r w:rsidR="00F72218" w:rsidRPr="00C12F8D">
        <w:rPr>
          <w:rFonts w:ascii="Open Sans" w:hAnsi="Open Sans" w:cs="Open Sans"/>
        </w:rPr>
        <w:t>supports</w:t>
      </w:r>
      <w:r w:rsidR="00AA6A81" w:rsidRPr="00C12F8D">
        <w:rPr>
          <w:rFonts w:ascii="Open Sans" w:hAnsi="Open Sans" w:cs="Open Sans"/>
        </w:rPr>
        <w:t xml:space="preserve"> the realisa</w:t>
      </w:r>
      <w:r w:rsidR="00F72218" w:rsidRPr="00C12F8D">
        <w:rPr>
          <w:rFonts w:ascii="Open Sans" w:hAnsi="Open Sans" w:cs="Open Sans"/>
        </w:rPr>
        <w:t xml:space="preserve">tion of </w:t>
      </w:r>
      <w:r w:rsidR="008F2D09" w:rsidRPr="00C12F8D">
        <w:rPr>
          <w:rFonts w:ascii="Open Sans" w:hAnsi="Open Sans" w:cs="Open Sans"/>
        </w:rPr>
        <w:t xml:space="preserve">many </w:t>
      </w:r>
      <w:r w:rsidR="00F72218" w:rsidRPr="00C12F8D">
        <w:rPr>
          <w:rFonts w:ascii="Open Sans" w:hAnsi="Open Sans" w:cs="Open Sans"/>
        </w:rPr>
        <w:t>other human rights</w:t>
      </w:r>
      <w:r w:rsidR="00AA6A81" w:rsidRPr="00C12F8D">
        <w:rPr>
          <w:rFonts w:ascii="Open Sans" w:hAnsi="Open Sans" w:cs="Open Sans"/>
        </w:rPr>
        <w:t>.</w:t>
      </w:r>
      <w:r w:rsidR="00AA6A81" w:rsidRPr="00C12F8D">
        <w:rPr>
          <w:rStyle w:val="EndnoteReference"/>
          <w:rFonts w:cs="Open Sans"/>
        </w:rPr>
        <w:endnoteReference w:id="44"/>
      </w:r>
      <w:r w:rsidR="00AA6A81" w:rsidRPr="00C12F8D">
        <w:rPr>
          <w:rFonts w:ascii="Open Sans" w:hAnsi="Open Sans" w:cs="Open Sans"/>
        </w:rPr>
        <w:t xml:space="preserve"> </w:t>
      </w:r>
    </w:p>
    <w:p w14:paraId="403FDDBB" w14:textId="5B5BCA0E" w:rsidR="00FB4C11" w:rsidRPr="00C12F8D" w:rsidRDefault="00FB4C11" w:rsidP="00FB4C11">
      <w:pPr>
        <w:pStyle w:val="ListNumber"/>
        <w:tabs>
          <w:tab w:val="clear" w:pos="360"/>
        </w:tabs>
        <w:ind w:left="1094" w:hanging="737"/>
        <w:rPr>
          <w:rFonts w:ascii="Open Sans" w:hAnsi="Open Sans" w:cs="Open Sans"/>
        </w:rPr>
      </w:pPr>
      <w:r w:rsidRPr="00C12F8D">
        <w:rPr>
          <w:rFonts w:ascii="Open Sans" w:hAnsi="Open Sans" w:cs="Open Sans"/>
        </w:rPr>
        <w:t xml:space="preserve">Through its redistributive character, social security </w:t>
      </w:r>
      <w:r w:rsidR="00F87665" w:rsidRPr="00C12F8D">
        <w:rPr>
          <w:rFonts w:ascii="Open Sans" w:hAnsi="Open Sans" w:cs="Open Sans"/>
        </w:rPr>
        <w:t xml:space="preserve">also </w:t>
      </w:r>
      <w:r w:rsidRPr="00C12F8D">
        <w:rPr>
          <w:rFonts w:ascii="Open Sans" w:hAnsi="Open Sans" w:cs="Open Sans"/>
        </w:rPr>
        <w:t>plays a vital role in poverty reduction and alleviation, preventing social exclusion and promoting social inclusion.</w:t>
      </w:r>
      <w:r w:rsidRPr="00C12F8D">
        <w:rPr>
          <w:rStyle w:val="EndnoteReference"/>
          <w:rFonts w:cs="Open Sans"/>
          <w:sz w:val="22"/>
          <w:szCs w:val="22"/>
        </w:rPr>
        <w:endnoteReference w:id="45"/>
      </w:r>
      <w:r w:rsidRPr="00C12F8D">
        <w:rPr>
          <w:rFonts w:ascii="Open Sans" w:hAnsi="Open Sans" w:cs="Open Sans"/>
        </w:rPr>
        <w:t xml:space="preserve"> More broadly, it </w:t>
      </w:r>
      <w:r w:rsidR="00320F5D" w:rsidRPr="00C12F8D">
        <w:rPr>
          <w:rFonts w:ascii="Open Sans" w:hAnsi="Open Sans" w:cs="Open Sans"/>
        </w:rPr>
        <w:t>reduce</w:t>
      </w:r>
      <w:r w:rsidR="00320F5D">
        <w:rPr>
          <w:rFonts w:ascii="Open Sans" w:hAnsi="Open Sans" w:cs="Open Sans"/>
        </w:rPr>
        <w:t>s</w:t>
      </w:r>
      <w:r w:rsidR="00320F5D" w:rsidRPr="00C12F8D">
        <w:rPr>
          <w:rFonts w:ascii="Open Sans" w:hAnsi="Open Sans" w:cs="Open Sans"/>
        </w:rPr>
        <w:t xml:space="preserve"> inequality </w:t>
      </w:r>
      <w:r w:rsidR="00320F5D">
        <w:rPr>
          <w:rFonts w:ascii="Open Sans" w:hAnsi="Open Sans" w:cs="Open Sans"/>
        </w:rPr>
        <w:t xml:space="preserve">and </w:t>
      </w:r>
      <w:r w:rsidRPr="00C12F8D">
        <w:rPr>
          <w:rFonts w:ascii="Open Sans" w:hAnsi="Open Sans" w:cs="Open Sans"/>
        </w:rPr>
        <w:t>p</w:t>
      </w:r>
      <w:r w:rsidR="00320F5D">
        <w:rPr>
          <w:rFonts w:ascii="Open Sans" w:hAnsi="Open Sans" w:cs="Open Sans"/>
        </w:rPr>
        <w:t>romotes human dignity, fairness and</w:t>
      </w:r>
      <w:r w:rsidRPr="00C12F8D">
        <w:rPr>
          <w:rFonts w:ascii="Open Sans" w:hAnsi="Open Sans" w:cs="Open Sans"/>
        </w:rPr>
        <w:t xml:space="preserve"> social justice.</w:t>
      </w:r>
      <w:r w:rsidRPr="00C12F8D">
        <w:rPr>
          <w:rStyle w:val="EndnoteReference"/>
          <w:rFonts w:cs="Open Sans"/>
        </w:rPr>
        <w:endnoteReference w:id="46"/>
      </w:r>
    </w:p>
    <w:p w14:paraId="693321FF" w14:textId="49DCEA16" w:rsidR="00460110" w:rsidRPr="00C12F8D" w:rsidRDefault="00460110" w:rsidP="00D30365">
      <w:pPr>
        <w:pStyle w:val="ListNumber"/>
        <w:tabs>
          <w:tab w:val="clear" w:pos="360"/>
        </w:tabs>
        <w:ind w:left="1094" w:hanging="737"/>
        <w:rPr>
          <w:rFonts w:ascii="Open Sans" w:hAnsi="Open Sans" w:cs="Open Sans"/>
        </w:rPr>
      </w:pPr>
      <w:r w:rsidRPr="00C12F8D">
        <w:rPr>
          <w:rFonts w:ascii="Open Sans" w:hAnsi="Open Sans" w:cs="Open Sans"/>
        </w:rPr>
        <w:t>The UN Committee on Economic, Social and Cultural Rights (the Committee) has expanded on the nature and content of t</w:t>
      </w:r>
      <w:r w:rsidR="00FB3B42" w:rsidRPr="00C12F8D">
        <w:rPr>
          <w:rFonts w:ascii="Open Sans" w:hAnsi="Open Sans" w:cs="Open Sans"/>
        </w:rPr>
        <w:t>he obligations in article 9 of</w:t>
      </w:r>
      <w:r w:rsidRPr="00C12F8D">
        <w:rPr>
          <w:rFonts w:ascii="Open Sans" w:hAnsi="Open Sans" w:cs="Open Sans"/>
        </w:rPr>
        <w:t xml:space="preserve"> ICESCR in General Comment No 19.</w:t>
      </w:r>
      <w:r w:rsidRPr="00C12F8D">
        <w:rPr>
          <w:rStyle w:val="EndnoteReference"/>
          <w:rFonts w:cs="Open Sans"/>
        </w:rPr>
        <w:endnoteReference w:id="47"/>
      </w:r>
      <w:r w:rsidRPr="00C12F8D">
        <w:rPr>
          <w:rFonts w:ascii="Open Sans" w:hAnsi="Open Sans" w:cs="Open Sans"/>
        </w:rPr>
        <w:t xml:space="preserve"> </w:t>
      </w:r>
    </w:p>
    <w:p w14:paraId="351DBB8F" w14:textId="48C25034" w:rsidR="00E96678" w:rsidRPr="00C12F8D" w:rsidRDefault="00E96678" w:rsidP="00E96678">
      <w:pPr>
        <w:pStyle w:val="ListNumber"/>
        <w:tabs>
          <w:tab w:val="clear" w:pos="360"/>
        </w:tabs>
        <w:ind w:left="1094" w:hanging="737"/>
        <w:rPr>
          <w:rFonts w:ascii="Open Sans" w:hAnsi="Open Sans" w:cs="Open Sans"/>
        </w:rPr>
      </w:pPr>
      <w:r w:rsidRPr="00C12F8D">
        <w:rPr>
          <w:rFonts w:ascii="Open Sans" w:hAnsi="Open Sans" w:cs="Open Sans"/>
        </w:rPr>
        <w:t>The Committee has stated that social security benefits cannot be defined narrowly, and must guarantee the equal enjoyment by all of minimum and adequate protection.</w:t>
      </w:r>
      <w:r w:rsidRPr="00C12F8D">
        <w:rPr>
          <w:rStyle w:val="EndnoteReference"/>
          <w:rFonts w:cs="Open Sans"/>
        </w:rPr>
        <w:endnoteReference w:id="48"/>
      </w:r>
    </w:p>
    <w:p w14:paraId="69AC3423" w14:textId="4C40811B" w:rsidR="00460110" w:rsidRPr="00C12F8D" w:rsidRDefault="00460110" w:rsidP="00D30365">
      <w:pPr>
        <w:pStyle w:val="ListNumber"/>
        <w:tabs>
          <w:tab w:val="clear" w:pos="360"/>
        </w:tabs>
        <w:ind w:left="1094" w:hanging="737"/>
        <w:rPr>
          <w:rFonts w:ascii="Open Sans" w:hAnsi="Open Sans" w:cs="Open Sans"/>
        </w:rPr>
      </w:pPr>
      <w:r w:rsidRPr="00C12F8D">
        <w:rPr>
          <w:rFonts w:ascii="Open Sans" w:hAnsi="Open Sans" w:cs="Open Sans"/>
        </w:rPr>
        <w:t>States must protect, respect and fulfil the right to social security.</w:t>
      </w:r>
      <w:r w:rsidRPr="00C12F8D">
        <w:rPr>
          <w:rStyle w:val="EndnoteReference"/>
          <w:rFonts w:cs="Open Sans"/>
        </w:rPr>
        <w:endnoteReference w:id="49"/>
      </w:r>
      <w:r w:rsidRPr="00C12F8D">
        <w:rPr>
          <w:rFonts w:ascii="Open Sans" w:hAnsi="Open Sans" w:cs="Open Sans"/>
        </w:rPr>
        <w:t xml:space="preserve"> The obligation to </w:t>
      </w:r>
      <w:r w:rsidRPr="00C12F8D">
        <w:rPr>
          <w:rFonts w:ascii="Open Sans" w:hAnsi="Open Sans" w:cs="Open Sans"/>
          <w:i/>
        </w:rPr>
        <w:t>respect</w:t>
      </w:r>
      <w:r w:rsidRPr="00C12F8D">
        <w:rPr>
          <w:rFonts w:ascii="Open Sans" w:hAnsi="Open Sans" w:cs="Open Sans"/>
        </w:rPr>
        <w:t xml:space="preserve"> requires that states refrain from interfering, directly or indirectly, with the enjoyment of the right to social security. The obligation to </w:t>
      </w:r>
      <w:r w:rsidRPr="00C12F8D">
        <w:rPr>
          <w:rFonts w:ascii="Open Sans" w:hAnsi="Open Sans" w:cs="Open Sans"/>
          <w:i/>
        </w:rPr>
        <w:t xml:space="preserve">protect </w:t>
      </w:r>
      <w:r w:rsidRPr="00C12F8D">
        <w:rPr>
          <w:rFonts w:ascii="Open Sans" w:hAnsi="Open Sans" w:cs="Open Sans"/>
        </w:rPr>
        <w:t xml:space="preserve">requires states to prevent third parties from so interfering. The obligation to </w:t>
      </w:r>
      <w:r w:rsidRPr="00C12F8D">
        <w:rPr>
          <w:rFonts w:ascii="Open Sans" w:hAnsi="Open Sans" w:cs="Open Sans"/>
          <w:i/>
        </w:rPr>
        <w:t>fulfil</w:t>
      </w:r>
      <w:r w:rsidRPr="00C12F8D">
        <w:rPr>
          <w:rFonts w:ascii="Open Sans" w:hAnsi="Open Sans" w:cs="Open Sans"/>
        </w:rPr>
        <w:t xml:space="preserve"> requires the adoption of necessary measures, including a social security scheme, directed towards the full realisation of the right.</w:t>
      </w:r>
    </w:p>
    <w:p w14:paraId="39C3B0B0" w14:textId="77777777" w:rsidR="008E05D1" w:rsidRPr="00C12F8D" w:rsidRDefault="008E05D1" w:rsidP="008E05D1">
      <w:pPr>
        <w:pStyle w:val="ListNumber"/>
        <w:tabs>
          <w:tab w:val="clear" w:pos="360"/>
        </w:tabs>
        <w:ind w:left="1094" w:hanging="737"/>
        <w:rPr>
          <w:rFonts w:ascii="Open Sans" w:hAnsi="Open Sans" w:cs="Open Sans"/>
        </w:rPr>
      </w:pPr>
      <w:r w:rsidRPr="00C12F8D">
        <w:rPr>
          <w:rFonts w:ascii="Open Sans" w:hAnsi="Open Sans" w:cs="Open Sans"/>
        </w:rPr>
        <w:t>P</w:t>
      </w:r>
      <w:r w:rsidRPr="00C12F8D">
        <w:rPr>
          <w:rFonts w:ascii="Open Sans" w:hAnsi="Open Sans" w:cs="Open Sans"/>
          <w:lang w:val="en-US"/>
        </w:rPr>
        <w:t>ublic authorities are required to ‘take responsibility for the effective administration</w:t>
      </w:r>
      <w:r w:rsidRPr="00C12F8D">
        <w:rPr>
          <w:rFonts w:ascii="Open Sans" w:hAnsi="Open Sans" w:cs="Open Sans"/>
        </w:rPr>
        <w:t xml:space="preserve"> </w:t>
      </w:r>
      <w:r w:rsidRPr="00C12F8D">
        <w:rPr>
          <w:rFonts w:ascii="Open Sans" w:hAnsi="Open Sans" w:cs="Open Sans"/>
          <w:lang w:val="en-US"/>
        </w:rPr>
        <w:t>or supervision of the [social security] system’, in order to ensure consistency and certainty in</w:t>
      </w:r>
      <w:r w:rsidRPr="00C12F8D">
        <w:rPr>
          <w:rFonts w:ascii="Open Sans" w:hAnsi="Open Sans" w:cs="Open Sans"/>
        </w:rPr>
        <w:t xml:space="preserve"> </w:t>
      </w:r>
      <w:r w:rsidRPr="00C12F8D">
        <w:rPr>
          <w:rFonts w:ascii="Open Sans" w:hAnsi="Open Sans" w:cs="Open Sans"/>
          <w:lang w:val="en-US"/>
        </w:rPr>
        <w:t>service delivery.</w:t>
      </w:r>
      <w:r w:rsidRPr="00C12F8D">
        <w:rPr>
          <w:rStyle w:val="EndnoteReference"/>
          <w:rFonts w:cs="Open Sans"/>
          <w:lang w:val="en-US"/>
        </w:rPr>
        <w:endnoteReference w:id="50"/>
      </w:r>
    </w:p>
    <w:p w14:paraId="0E591043" w14:textId="302DFC29" w:rsidR="00460110" w:rsidRPr="00C12F8D" w:rsidRDefault="00FB4C11" w:rsidP="00D30365">
      <w:pPr>
        <w:pStyle w:val="ListNumber"/>
        <w:tabs>
          <w:tab w:val="clear" w:pos="360"/>
        </w:tabs>
        <w:ind w:left="1094" w:hanging="737"/>
        <w:rPr>
          <w:rFonts w:ascii="Open Sans" w:hAnsi="Open Sans" w:cs="Open Sans"/>
        </w:rPr>
      </w:pPr>
      <w:r w:rsidRPr="00C12F8D">
        <w:rPr>
          <w:rFonts w:ascii="Open Sans" w:hAnsi="Open Sans" w:cs="Open Sans"/>
        </w:rPr>
        <w:lastRenderedPageBreak/>
        <w:t>W</w:t>
      </w:r>
      <w:r w:rsidR="00460110" w:rsidRPr="00C12F8D">
        <w:rPr>
          <w:rFonts w:ascii="Open Sans" w:hAnsi="Open Sans" w:cs="Open Sans"/>
        </w:rPr>
        <w:t xml:space="preserve">hile the </w:t>
      </w:r>
      <w:r w:rsidR="003C133C" w:rsidRPr="00C12F8D">
        <w:rPr>
          <w:rFonts w:ascii="Open Sans" w:hAnsi="Open Sans" w:cs="Open Sans"/>
        </w:rPr>
        <w:t>right to social security requires</w:t>
      </w:r>
      <w:r w:rsidR="00460110" w:rsidRPr="00C12F8D">
        <w:rPr>
          <w:rFonts w:ascii="Open Sans" w:hAnsi="Open Sans" w:cs="Open Sans"/>
        </w:rPr>
        <w:t xml:space="preserve"> progressive realisation, ICESCR also imposes </w:t>
      </w:r>
      <w:r w:rsidR="003C133C" w:rsidRPr="00C12F8D">
        <w:rPr>
          <w:rFonts w:ascii="Open Sans" w:hAnsi="Open Sans" w:cs="Open Sans"/>
        </w:rPr>
        <w:t>some</w:t>
      </w:r>
      <w:r w:rsidR="00460110" w:rsidRPr="00C12F8D">
        <w:rPr>
          <w:rFonts w:ascii="Open Sans" w:hAnsi="Open Sans" w:cs="Open Sans"/>
        </w:rPr>
        <w:t xml:space="preserve"> obligations of</w:t>
      </w:r>
      <w:r w:rsidR="00460110" w:rsidRPr="00C12F8D">
        <w:rPr>
          <w:rFonts w:ascii="Open Sans" w:hAnsi="Open Sans" w:cs="Open Sans"/>
          <w:i/>
        </w:rPr>
        <w:t xml:space="preserve"> immediate</w:t>
      </w:r>
      <w:r w:rsidR="00460110" w:rsidRPr="00C12F8D">
        <w:rPr>
          <w:rFonts w:ascii="Open Sans" w:hAnsi="Open Sans" w:cs="Open Sans"/>
        </w:rPr>
        <w:t xml:space="preserve"> effect. These include that the right to social security will: </w:t>
      </w:r>
    </w:p>
    <w:p w14:paraId="09D1A340" w14:textId="77777777" w:rsidR="00460110" w:rsidRPr="00C12F8D" w:rsidRDefault="00460110" w:rsidP="00221364">
      <w:pPr>
        <w:pStyle w:val="ListNumber"/>
        <w:numPr>
          <w:ilvl w:val="0"/>
          <w:numId w:val="20"/>
        </w:numPr>
        <w:rPr>
          <w:rFonts w:ascii="Open Sans" w:hAnsi="Open Sans" w:cs="Open Sans"/>
        </w:rPr>
      </w:pPr>
      <w:r w:rsidRPr="00C12F8D">
        <w:rPr>
          <w:rFonts w:ascii="Open Sans" w:hAnsi="Open Sans" w:cs="Open Sans"/>
        </w:rPr>
        <w:t>be exercised without discrimination of any kind (article 2(2))</w:t>
      </w:r>
    </w:p>
    <w:p w14:paraId="4A70779C" w14:textId="77777777" w:rsidR="00460110" w:rsidRPr="00C12F8D" w:rsidRDefault="00460110" w:rsidP="00221364">
      <w:pPr>
        <w:pStyle w:val="ListNumber"/>
        <w:numPr>
          <w:ilvl w:val="0"/>
          <w:numId w:val="20"/>
        </w:numPr>
        <w:rPr>
          <w:rFonts w:ascii="Open Sans" w:hAnsi="Open Sans" w:cs="Open Sans"/>
        </w:rPr>
      </w:pPr>
      <w:r w:rsidRPr="00C12F8D">
        <w:rPr>
          <w:rFonts w:ascii="Open Sans" w:hAnsi="Open Sans" w:cs="Open Sans"/>
        </w:rPr>
        <w:t>ensure the equal rights of men and women (article 3)</w:t>
      </w:r>
    </w:p>
    <w:p w14:paraId="57A97FB3" w14:textId="77777777" w:rsidR="00460110" w:rsidRPr="00C12F8D" w:rsidRDefault="00460110" w:rsidP="00221364">
      <w:pPr>
        <w:pStyle w:val="ListNumber"/>
        <w:numPr>
          <w:ilvl w:val="0"/>
          <w:numId w:val="20"/>
        </w:numPr>
        <w:rPr>
          <w:rFonts w:ascii="Open Sans" w:hAnsi="Open Sans" w:cs="Open Sans"/>
        </w:rPr>
      </w:pPr>
      <w:r w:rsidRPr="00C12F8D">
        <w:rPr>
          <w:rFonts w:ascii="Open Sans" w:hAnsi="Open Sans" w:cs="Open Sans"/>
        </w:rPr>
        <w:t>be fulfilled through taking deliberate, concrete and targeted steps towards the full realisation of the right (article 2(1)).</w:t>
      </w:r>
      <w:r w:rsidRPr="00C12F8D">
        <w:rPr>
          <w:rStyle w:val="EndnoteReference"/>
          <w:rFonts w:cs="Open Sans"/>
        </w:rPr>
        <w:endnoteReference w:id="51"/>
      </w:r>
    </w:p>
    <w:p w14:paraId="1C94E2AD" w14:textId="6E517C57" w:rsidR="00460110" w:rsidRPr="00C12F8D" w:rsidRDefault="00460110" w:rsidP="00D30365">
      <w:pPr>
        <w:pStyle w:val="ListNumber"/>
        <w:tabs>
          <w:tab w:val="clear" w:pos="360"/>
        </w:tabs>
        <w:ind w:left="1094" w:hanging="737"/>
        <w:rPr>
          <w:rFonts w:ascii="Open Sans" w:hAnsi="Open Sans" w:cs="Open Sans"/>
        </w:rPr>
      </w:pPr>
      <w:r w:rsidRPr="00C12F8D">
        <w:rPr>
          <w:rFonts w:ascii="Open Sans" w:hAnsi="Open Sans" w:cs="Open Sans"/>
        </w:rPr>
        <w:t>Under article 4 of ICESCR, the right to social security can only be subject to limitations that are</w:t>
      </w:r>
      <w:r w:rsidR="00674DCB" w:rsidRPr="00C12F8D">
        <w:rPr>
          <w:rFonts w:ascii="Open Sans" w:hAnsi="Open Sans" w:cs="Open Sans"/>
        </w:rPr>
        <w:t xml:space="preserve"> both</w:t>
      </w:r>
      <w:r w:rsidRPr="00C12F8D">
        <w:rPr>
          <w:rFonts w:ascii="Open Sans" w:hAnsi="Open Sans" w:cs="Open Sans"/>
        </w:rPr>
        <w:t>:</w:t>
      </w:r>
    </w:p>
    <w:p w14:paraId="16C8C8DD" w14:textId="77777777" w:rsidR="00460110" w:rsidRPr="00C12F8D" w:rsidRDefault="00460110" w:rsidP="00221364">
      <w:pPr>
        <w:pStyle w:val="ListNumber"/>
        <w:numPr>
          <w:ilvl w:val="0"/>
          <w:numId w:val="20"/>
        </w:numPr>
        <w:rPr>
          <w:rFonts w:ascii="Open Sans" w:hAnsi="Open Sans" w:cs="Open Sans"/>
        </w:rPr>
      </w:pPr>
      <w:r w:rsidRPr="00C12F8D">
        <w:rPr>
          <w:rFonts w:ascii="Open Sans" w:hAnsi="Open Sans" w:cs="Open Sans"/>
        </w:rPr>
        <w:t>determined by law, only in so far as this may be compatible with the nature of these rights</w:t>
      </w:r>
    </w:p>
    <w:p w14:paraId="2FCE7ABC" w14:textId="77777777" w:rsidR="00460110" w:rsidRPr="00C12F8D" w:rsidRDefault="00460110" w:rsidP="00221364">
      <w:pPr>
        <w:pStyle w:val="ListNumber"/>
        <w:numPr>
          <w:ilvl w:val="0"/>
          <w:numId w:val="20"/>
        </w:numPr>
        <w:rPr>
          <w:rFonts w:ascii="Open Sans" w:hAnsi="Open Sans" w:cs="Open Sans"/>
        </w:rPr>
      </w:pPr>
      <w:r w:rsidRPr="00C12F8D">
        <w:rPr>
          <w:rFonts w:ascii="Open Sans" w:hAnsi="Open Sans" w:cs="Open Sans"/>
        </w:rPr>
        <w:t>solely for the purpose of promoting the general welfare in a democratic society.</w:t>
      </w:r>
      <w:r w:rsidRPr="00C12F8D">
        <w:rPr>
          <w:rStyle w:val="EndnoteReference"/>
          <w:rFonts w:cs="Open Sans"/>
        </w:rPr>
        <w:endnoteReference w:id="52"/>
      </w:r>
    </w:p>
    <w:p w14:paraId="1F475DD5" w14:textId="1C7AAF0A" w:rsidR="00460110" w:rsidRPr="00C12F8D" w:rsidRDefault="00460110" w:rsidP="00DF1DEC">
      <w:pPr>
        <w:pStyle w:val="ListNumber"/>
        <w:tabs>
          <w:tab w:val="clear" w:pos="360"/>
        </w:tabs>
        <w:ind w:left="1094" w:hanging="737"/>
        <w:rPr>
          <w:rFonts w:ascii="Open Sans" w:hAnsi="Open Sans" w:cs="Open Sans"/>
        </w:rPr>
      </w:pPr>
      <w:r w:rsidRPr="00C12F8D">
        <w:rPr>
          <w:rFonts w:ascii="Open Sans" w:hAnsi="Open Sans" w:cs="Open Sans"/>
        </w:rPr>
        <w:t xml:space="preserve">As acknowledged in the Explanatory Statement to the Instrument, </w:t>
      </w:r>
      <w:r w:rsidR="009C1E5D">
        <w:rPr>
          <w:rFonts w:ascii="Open Sans" w:hAnsi="Open Sans" w:cs="Open Sans"/>
        </w:rPr>
        <w:t>any</w:t>
      </w:r>
      <w:r w:rsidRPr="00C12F8D">
        <w:rPr>
          <w:rFonts w:ascii="Open Sans" w:hAnsi="Open Sans" w:cs="Open Sans"/>
        </w:rPr>
        <w:t xml:space="preserve"> limitations </w:t>
      </w:r>
      <w:r w:rsidR="009C1E5D">
        <w:rPr>
          <w:rFonts w:ascii="Open Sans" w:hAnsi="Open Sans" w:cs="Open Sans"/>
        </w:rPr>
        <w:t>on the right to social security must be proportionate</w:t>
      </w:r>
      <w:r w:rsidRPr="00C12F8D">
        <w:rPr>
          <w:rFonts w:ascii="Open Sans" w:hAnsi="Open Sans" w:cs="Open Sans"/>
        </w:rPr>
        <w:t>, the least restrictive alternative, of limited duration and subject to review.</w:t>
      </w:r>
      <w:r w:rsidRPr="00C12F8D">
        <w:rPr>
          <w:rStyle w:val="EndnoteReference"/>
          <w:rFonts w:cs="Open Sans"/>
        </w:rPr>
        <w:endnoteReference w:id="53"/>
      </w:r>
    </w:p>
    <w:p w14:paraId="0FE77E90" w14:textId="1F109F72" w:rsidR="00460110" w:rsidRPr="00C12F8D" w:rsidRDefault="00460110" w:rsidP="00E02F9B">
      <w:pPr>
        <w:pStyle w:val="ListNumber"/>
        <w:tabs>
          <w:tab w:val="clear" w:pos="360"/>
        </w:tabs>
        <w:ind w:left="1094" w:hanging="737"/>
        <w:rPr>
          <w:rFonts w:ascii="Open Sans" w:hAnsi="Open Sans" w:cs="Open Sans"/>
        </w:rPr>
      </w:pPr>
      <w:r w:rsidRPr="00C12F8D">
        <w:rPr>
          <w:rFonts w:ascii="Open Sans" w:hAnsi="Open Sans" w:cs="Open Sans"/>
        </w:rPr>
        <w:t xml:space="preserve">There is a strong presumption that </w:t>
      </w:r>
      <w:r w:rsidRPr="00C12F8D">
        <w:rPr>
          <w:rFonts w:ascii="Open Sans" w:hAnsi="Open Sans" w:cs="Open Sans"/>
          <w:i/>
        </w:rPr>
        <w:t>retrogressive</w:t>
      </w:r>
      <w:r w:rsidRPr="00C12F8D">
        <w:rPr>
          <w:rFonts w:ascii="Open Sans" w:hAnsi="Open Sans" w:cs="Open Sans"/>
        </w:rPr>
        <w:t xml:space="preserve"> measures taken </w:t>
      </w:r>
      <w:r w:rsidR="00674DCB" w:rsidRPr="00C12F8D">
        <w:rPr>
          <w:rFonts w:ascii="Open Sans" w:hAnsi="Open Sans" w:cs="Open Sans"/>
        </w:rPr>
        <w:t>against the</w:t>
      </w:r>
      <w:r w:rsidRPr="00C12F8D">
        <w:rPr>
          <w:rFonts w:ascii="Open Sans" w:hAnsi="Open Sans" w:cs="Open Sans"/>
        </w:rPr>
        <w:t xml:space="preserve"> right to social security are prohibited under ICESCR.</w:t>
      </w:r>
      <w:r w:rsidRPr="00C12F8D">
        <w:rPr>
          <w:rStyle w:val="EndnoteReference"/>
          <w:rFonts w:cs="Open Sans"/>
        </w:rPr>
        <w:endnoteReference w:id="54"/>
      </w:r>
      <w:r w:rsidRPr="00C12F8D">
        <w:rPr>
          <w:rFonts w:ascii="Open Sans" w:hAnsi="Open Sans" w:cs="Open Sans"/>
        </w:rPr>
        <w:t xml:space="preserve"> If deliberately retrogressive measures are taken, the Committee has stated</w:t>
      </w:r>
      <w:r w:rsidR="00E02F9B" w:rsidRPr="00C12F8D">
        <w:rPr>
          <w:rFonts w:ascii="Open Sans" w:hAnsi="Open Sans" w:cs="Open Sans"/>
        </w:rPr>
        <w:t xml:space="preserve"> that</w:t>
      </w:r>
      <w:r w:rsidRPr="00C12F8D">
        <w:rPr>
          <w:rFonts w:ascii="Open Sans" w:hAnsi="Open Sans" w:cs="Open Sans"/>
        </w:rPr>
        <w:t>:</w:t>
      </w:r>
    </w:p>
    <w:p w14:paraId="3EEF070C" w14:textId="77777777" w:rsidR="00460110" w:rsidRPr="00C12F8D" w:rsidRDefault="00460110" w:rsidP="003A60D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State party has the burden of proving that they have been introduced after the most careful consideration of all alternatives and that they are duly justified by reference to the totality of the rights provided for in the Covenant, in the context of the full use of the maximum available resources of the State party. The Committee will look carefully at whether: (a) there was reasonable justification for the action; (b) alternatives were comprehensively examined; (c) there was genuine participation of affected groups in examining the proposed measures and alternatives; (d) the measures were directly or indirectly discriminatory; (e) the measures will have a sustained impact on the realization of the right to social security, an unreasonable impact on acquired social security rights or whether an individual or group is deprived of access to the minimum essential level of social security; and (f) whether there was an independent review of the measures at the national level.</w:t>
      </w:r>
      <w:r w:rsidRPr="00C12F8D">
        <w:rPr>
          <w:rStyle w:val="EndnoteReference"/>
          <w:rFonts w:cs="Open Sans"/>
          <w:sz w:val="22"/>
          <w:szCs w:val="22"/>
        </w:rPr>
        <w:endnoteReference w:id="55"/>
      </w:r>
    </w:p>
    <w:p w14:paraId="72EE1BB1" w14:textId="77777777" w:rsidR="00460110" w:rsidRPr="00C12F8D" w:rsidRDefault="00460110" w:rsidP="003A60DE">
      <w:pPr>
        <w:pStyle w:val="ListNumber"/>
        <w:tabs>
          <w:tab w:val="clear" w:pos="360"/>
        </w:tabs>
        <w:ind w:left="1094" w:hanging="737"/>
        <w:rPr>
          <w:rFonts w:ascii="Open Sans" w:hAnsi="Open Sans" w:cs="Open Sans"/>
        </w:rPr>
      </w:pPr>
      <w:r w:rsidRPr="00C12F8D">
        <w:rPr>
          <w:rFonts w:ascii="Open Sans" w:hAnsi="Open Sans" w:cs="Open Sans"/>
        </w:rPr>
        <w:t>With respect to social security for families and children, the Committee has stated:</w:t>
      </w:r>
    </w:p>
    <w:p w14:paraId="33A94851" w14:textId="77777777" w:rsidR="00460110" w:rsidRPr="00C12F8D" w:rsidRDefault="00460110" w:rsidP="003A60D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 xml:space="preserve">Benefits for families are crucial for realizing the rights of children and adult dependents to protection under articles 9 and 10 of the Covenant. In providing the benefits, the State party should take into account the resources and circumstances of the child and persons having </w:t>
      </w:r>
      <w:r w:rsidRPr="00C12F8D">
        <w:rPr>
          <w:rFonts w:ascii="Open Sans" w:hAnsi="Open Sans" w:cs="Open Sans"/>
          <w:sz w:val="22"/>
          <w:szCs w:val="22"/>
        </w:rPr>
        <w:lastRenderedPageBreak/>
        <w:t>responsibility for the maintenance of the child or adult dependent, as well as any other consideration relevant to an application for benefits made by or on behalf of the child or adult dependent. Family and child benefits, including cash benefits and social services, should be provided to families, without discrimination on prohibited grounds, and would ordinarily cover food, clothing, housing, water and sanitation, or other rights as appropriate.</w:t>
      </w:r>
      <w:r w:rsidRPr="00C12F8D">
        <w:rPr>
          <w:rStyle w:val="EndnoteReference"/>
          <w:rFonts w:cs="Open Sans"/>
          <w:sz w:val="22"/>
          <w:szCs w:val="22"/>
        </w:rPr>
        <w:endnoteReference w:id="56"/>
      </w:r>
    </w:p>
    <w:p w14:paraId="00481E60" w14:textId="77777777" w:rsidR="00460110" w:rsidRPr="00C12F8D" w:rsidRDefault="00460110" w:rsidP="003A60DE">
      <w:pPr>
        <w:pStyle w:val="ListNumber"/>
        <w:tabs>
          <w:tab w:val="clear" w:pos="360"/>
        </w:tabs>
        <w:ind w:left="1094" w:hanging="737"/>
        <w:rPr>
          <w:rFonts w:ascii="Open Sans" w:hAnsi="Open Sans" w:cs="Open Sans"/>
        </w:rPr>
      </w:pPr>
      <w:r w:rsidRPr="00C12F8D">
        <w:rPr>
          <w:rFonts w:ascii="Open Sans" w:hAnsi="Open Sans" w:cs="Open Sans"/>
        </w:rPr>
        <w:t>With respect to the rights of Indigenous peoples and minorities to social security, the Committee has stated:</w:t>
      </w:r>
    </w:p>
    <w:p w14:paraId="69C1FF45" w14:textId="7F9F5EAB" w:rsidR="00460110" w:rsidRPr="00C12F8D" w:rsidRDefault="00460110" w:rsidP="003A60D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Particular care should be taken to ensure that Indigenous peoples and ethnic and linguistic minorities are not excluded from access to social security through direct or indirect discrimination, particularly through the imposition of unreasonable eligibility conditions or lack of adequate access to information.</w:t>
      </w:r>
      <w:r w:rsidRPr="00C12F8D">
        <w:rPr>
          <w:rStyle w:val="EndnoteReference"/>
          <w:rFonts w:cs="Open Sans"/>
          <w:sz w:val="22"/>
          <w:szCs w:val="22"/>
        </w:rPr>
        <w:endnoteReference w:id="57"/>
      </w:r>
    </w:p>
    <w:p w14:paraId="526AF553" w14:textId="77777777" w:rsidR="00460110" w:rsidRPr="00C12F8D" w:rsidRDefault="00460110" w:rsidP="00572897">
      <w:pPr>
        <w:pStyle w:val="Heading1"/>
        <w:rPr>
          <w:rFonts w:ascii="Open Sans" w:hAnsi="Open Sans" w:cs="Open Sans"/>
        </w:rPr>
      </w:pPr>
      <w:bookmarkStart w:id="38" w:name="_Toc536796584"/>
      <w:r w:rsidRPr="00C12F8D">
        <w:rPr>
          <w:rFonts w:ascii="Open Sans" w:hAnsi="Open Sans" w:cs="Open Sans"/>
        </w:rPr>
        <w:t>Key human rights concerns</w:t>
      </w:r>
      <w:bookmarkEnd w:id="38"/>
    </w:p>
    <w:p w14:paraId="6C5251A8" w14:textId="77777777" w:rsidR="00460110" w:rsidRPr="00C12F8D" w:rsidRDefault="00460110" w:rsidP="00572897">
      <w:pPr>
        <w:pStyle w:val="Heading2"/>
        <w:rPr>
          <w:rFonts w:ascii="Open Sans" w:hAnsi="Open Sans" w:cs="Open Sans"/>
        </w:rPr>
      </w:pPr>
      <w:bookmarkStart w:id="39" w:name="_Toc536796585"/>
      <w:r w:rsidRPr="00C12F8D">
        <w:rPr>
          <w:rFonts w:ascii="Open Sans" w:hAnsi="Open Sans" w:cs="Open Sans"/>
        </w:rPr>
        <w:t>Punitive compliance model</w:t>
      </w:r>
      <w:bookmarkEnd w:id="39"/>
      <w:r w:rsidRPr="00C12F8D">
        <w:rPr>
          <w:rFonts w:ascii="Open Sans" w:hAnsi="Open Sans" w:cs="Open Sans"/>
        </w:rPr>
        <w:t xml:space="preserve"> </w:t>
      </w:r>
    </w:p>
    <w:p w14:paraId="2D139870" w14:textId="4FF59AD5" w:rsidR="00460110" w:rsidRPr="00C12F8D" w:rsidRDefault="00460110" w:rsidP="00DF1DEC">
      <w:pPr>
        <w:pStyle w:val="ListNumber"/>
        <w:tabs>
          <w:tab w:val="clear" w:pos="360"/>
        </w:tabs>
        <w:ind w:left="1094" w:hanging="737"/>
        <w:rPr>
          <w:rFonts w:ascii="Open Sans" w:hAnsi="Open Sans" w:cs="Open Sans"/>
        </w:rPr>
      </w:pPr>
      <w:r w:rsidRPr="00C12F8D">
        <w:rPr>
          <w:rFonts w:ascii="Open Sans" w:hAnsi="Open Sans" w:cs="Open Sans"/>
        </w:rPr>
        <w:t>The Statement of Compatibility with Human Rights for the Instrument recognises that ParentsNext may limit the rights to social security and an</w:t>
      </w:r>
      <w:r w:rsidR="00AB2DB2" w:rsidRPr="00C12F8D">
        <w:rPr>
          <w:rFonts w:ascii="Open Sans" w:hAnsi="Open Sans" w:cs="Open Sans"/>
        </w:rPr>
        <w:t xml:space="preserve"> adequate standard of living</w:t>
      </w:r>
      <w:r w:rsidRPr="00C12F8D">
        <w:rPr>
          <w:rFonts w:ascii="Open Sans" w:hAnsi="Open Sans" w:cs="Open Sans"/>
        </w:rPr>
        <w:t>.</w:t>
      </w:r>
      <w:r w:rsidRPr="00C12F8D">
        <w:rPr>
          <w:rStyle w:val="EndnoteReference"/>
          <w:rFonts w:cs="Open Sans"/>
        </w:rPr>
        <w:endnoteReference w:id="58"/>
      </w:r>
      <w:r w:rsidRPr="00C12F8D">
        <w:rPr>
          <w:rFonts w:ascii="Open Sans" w:hAnsi="Open Sans" w:cs="Open Sans"/>
        </w:rPr>
        <w:t xml:space="preserve"> </w:t>
      </w:r>
    </w:p>
    <w:p w14:paraId="63CBC4A5" w14:textId="66CAE373" w:rsidR="00460110" w:rsidRPr="00C12F8D" w:rsidRDefault="00460110" w:rsidP="00136632">
      <w:pPr>
        <w:pStyle w:val="ListNumber"/>
        <w:tabs>
          <w:tab w:val="clear" w:pos="360"/>
        </w:tabs>
        <w:ind w:left="1094" w:hanging="737"/>
        <w:rPr>
          <w:rFonts w:ascii="Open Sans" w:hAnsi="Open Sans" w:cs="Open Sans"/>
        </w:rPr>
      </w:pPr>
      <w:r w:rsidRPr="00C12F8D">
        <w:rPr>
          <w:rFonts w:ascii="Open Sans" w:hAnsi="Open Sans" w:cs="Open Sans"/>
        </w:rPr>
        <w:t>It seeks to justify any limitation on the basis that the program pursues a ‘legitimate objective’, that there is a ‘rational connection between the limitation and the objective’ and that the limitation is ‘reasonable, necessary and proportionate’ to achieving this objective. This is an appropriate framework within which to examine limitations to human rights. However, it is necessary to closely examine these claims.</w:t>
      </w:r>
    </w:p>
    <w:p w14:paraId="1B43E47B" w14:textId="4A9FDDB7" w:rsidR="00460110" w:rsidRPr="00C12F8D" w:rsidRDefault="00460110" w:rsidP="00136632">
      <w:pPr>
        <w:pStyle w:val="ListNumber"/>
        <w:tabs>
          <w:tab w:val="clear" w:pos="360"/>
        </w:tabs>
        <w:ind w:left="1094" w:hanging="737"/>
        <w:rPr>
          <w:rFonts w:ascii="Open Sans" w:hAnsi="Open Sans" w:cs="Open Sans"/>
        </w:rPr>
      </w:pPr>
      <w:r w:rsidRPr="00C12F8D">
        <w:rPr>
          <w:rFonts w:ascii="Open Sans" w:hAnsi="Open Sans" w:cs="Open Sans"/>
        </w:rPr>
        <w:t>The Statement of Compatibility with Human Rights makes the following assertions:</w:t>
      </w:r>
    </w:p>
    <w:p w14:paraId="16A103CD" w14:textId="039FC024" w:rsidR="00460110" w:rsidRPr="00C12F8D" w:rsidRDefault="00460110" w:rsidP="000C6DB3">
      <w:pPr>
        <w:pStyle w:val="ListNumber"/>
        <w:keepNext/>
        <w:numPr>
          <w:ilvl w:val="0"/>
          <w:numId w:val="0"/>
        </w:numPr>
        <w:ind w:left="1440"/>
        <w:rPr>
          <w:rFonts w:ascii="Open Sans" w:hAnsi="Open Sans" w:cs="Open Sans"/>
          <w:i/>
          <w:sz w:val="22"/>
          <w:szCs w:val="22"/>
        </w:rPr>
      </w:pPr>
      <w:r w:rsidRPr="00C12F8D">
        <w:rPr>
          <w:rFonts w:ascii="Open Sans" w:hAnsi="Open Sans" w:cs="Open Sans"/>
          <w:i/>
          <w:sz w:val="22"/>
          <w:szCs w:val="22"/>
        </w:rPr>
        <w:t>Reason for limitation</w:t>
      </w:r>
      <w:r w:rsidR="00796BE6" w:rsidRPr="00C12F8D">
        <w:rPr>
          <w:rFonts w:ascii="Open Sans" w:hAnsi="Open Sans" w:cs="Open Sans"/>
          <w:i/>
          <w:sz w:val="22"/>
          <w:szCs w:val="22"/>
        </w:rPr>
        <w:t>—</w:t>
      </w:r>
      <w:r w:rsidRPr="00C12F8D">
        <w:rPr>
          <w:rFonts w:ascii="Open Sans" w:hAnsi="Open Sans" w:cs="Open Sans"/>
          <w:i/>
          <w:sz w:val="22"/>
          <w:szCs w:val="22"/>
        </w:rPr>
        <w:t>legitimate objective</w:t>
      </w:r>
    </w:p>
    <w:p w14:paraId="69EE8757" w14:textId="77777777" w:rsidR="00460110" w:rsidRPr="00C12F8D" w:rsidRDefault="00460110" w:rsidP="000C6DB3">
      <w:pPr>
        <w:pStyle w:val="ListNumber"/>
        <w:keepNext/>
        <w:numPr>
          <w:ilvl w:val="0"/>
          <w:numId w:val="0"/>
        </w:numPr>
        <w:ind w:left="1440"/>
        <w:rPr>
          <w:rFonts w:ascii="Open Sans" w:hAnsi="Open Sans" w:cs="Open Sans"/>
          <w:sz w:val="22"/>
          <w:szCs w:val="22"/>
        </w:rPr>
      </w:pPr>
      <w:r w:rsidRPr="00C12F8D">
        <w:rPr>
          <w:rFonts w:ascii="Open Sans" w:hAnsi="Open Sans" w:cs="Open Sans"/>
          <w:sz w:val="22"/>
          <w:szCs w:val="22"/>
        </w:rPr>
        <w:t xml:space="preserve">The objective of ParentsNext is to encourage and assist eligible parents who are in receipt of parenting payment and have young children to identify and make progress towards achieving their education and employment goals through participation in activities and connecting to local services. This is a legitimate objective because the attainment of educational qualifications and skills that support undertaking work assists parents to find employment when their children reach school age, and reduces the risk of long-term poverty and welfare dependency for themselves and their children. </w:t>
      </w:r>
    </w:p>
    <w:p w14:paraId="4B98602A" w14:textId="23AE1F2B" w:rsidR="00460110" w:rsidRPr="00C12F8D" w:rsidRDefault="00460110" w:rsidP="000C6DB3">
      <w:pPr>
        <w:pStyle w:val="ListNumber"/>
        <w:widowControl w:val="0"/>
        <w:numPr>
          <w:ilvl w:val="0"/>
          <w:numId w:val="0"/>
        </w:numPr>
        <w:ind w:left="1440"/>
        <w:rPr>
          <w:rFonts w:ascii="Open Sans" w:hAnsi="Open Sans" w:cs="Open Sans"/>
          <w:i/>
          <w:sz w:val="22"/>
          <w:szCs w:val="22"/>
        </w:rPr>
      </w:pPr>
      <w:r w:rsidRPr="00C12F8D">
        <w:rPr>
          <w:rFonts w:ascii="Open Sans" w:hAnsi="Open Sans" w:cs="Open Sans"/>
          <w:i/>
          <w:sz w:val="22"/>
          <w:szCs w:val="22"/>
        </w:rPr>
        <w:t>Rational connection between the limitation and the objective</w:t>
      </w:r>
    </w:p>
    <w:p w14:paraId="31E0069B" w14:textId="77777777" w:rsidR="00460110" w:rsidRPr="00C12F8D" w:rsidRDefault="00460110" w:rsidP="009254C2">
      <w:pPr>
        <w:pStyle w:val="ListNumber"/>
        <w:keepNext/>
        <w:numPr>
          <w:ilvl w:val="0"/>
          <w:numId w:val="0"/>
        </w:numPr>
        <w:ind w:left="1440"/>
        <w:rPr>
          <w:rFonts w:ascii="Open Sans" w:hAnsi="Open Sans" w:cs="Open Sans"/>
          <w:sz w:val="22"/>
          <w:szCs w:val="22"/>
        </w:rPr>
      </w:pPr>
      <w:r w:rsidRPr="00C12F8D">
        <w:rPr>
          <w:rFonts w:ascii="Open Sans" w:hAnsi="Open Sans" w:cs="Open Sans"/>
          <w:sz w:val="22"/>
          <w:szCs w:val="22"/>
        </w:rPr>
        <w:lastRenderedPageBreak/>
        <w:t xml:space="preserve">Current ParentsNext providers have reported that participants are frequently reluctant to participate in programs like ParentsNext, despite its benefits. Participants often come from families that are subject to intergenerational disadvantage, and may suffer from complex circumstances that act as barriers to employment and education (like homelessness, domestic violence, drug and alcohol dependency, mental health challenges, and/or language and numeracy difficulty). This can mean they are unable to identify ways to improve their education and work prospects, and are discouraged from seeking (or unable to seek) support. </w:t>
      </w:r>
    </w:p>
    <w:p w14:paraId="57F74ECE" w14:textId="77777777" w:rsidR="00460110" w:rsidRPr="00C12F8D" w:rsidRDefault="00460110" w:rsidP="009254C2">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risk of compliance action has proved to be effective in ensuring participants engage with providers delivering ParentsNext and similar programs, and are able to benefit from the services that they offer (including support to address the barriers to employment and education identified above). Linking participation requirements to the continued receipt of income support payments also acts as a re-engagement mechanism to ensure participants continue to actively participate and are focussing on the long term outcomes for themselves and their children.</w:t>
      </w:r>
    </w:p>
    <w:p w14:paraId="4140DE47" w14:textId="24E0CA43" w:rsidR="00460110" w:rsidRPr="00C12F8D" w:rsidRDefault="00460110" w:rsidP="009254C2">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 xml:space="preserve">Qualitative research undertaken in the 10 locations in which ParentsNext has operated since April 2016 indicates that the program has positively impacted the level of confidence and self-esteem of participants. The majority of participants consider it to be an effective program. Ninety per cent of current ParentsNext providers agree that it improves participants’ work readiness and their chances of finding and keeping a job; connects participants to assistance to address barriers to employment and education; and engages participants in activities to achieve their employment and education goals. The program has also delivered a notable increase in networks and partnerships formed, including working relationships between ParentsNext providers and parents’ support networks. </w:t>
      </w:r>
    </w:p>
    <w:p w14:paraId="3999FE5D" w14:textId="709C14B8" w:rsidR="00460110" w:rsidRPr="00C12F8D" w:rsidRDefault="00460110" w:rsidP="009254C2">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To date, ParentsNext has helped around 22,000 participants to meet their individual employment and education goals and prepare for work, including by undertaking more than 39,000 activities like education, training and non-vocational services. Nearly 400 participants have left the program after finding stable employment [data as at 31 January 2018].</w:t>
      </w:r>
    </w:p>
    <w:p w14:paraId="63BFF5C6" w14:textId="77777777" w:rsidR="00460110" w:rsidRPr="00C12F8D" w:rsidRDefault="00460110" w:rsidP="00257670">
      <w:pPr>
        <w:pStyle w:val="ListNumber"/>
        <w:keepNext/>
        <w:numPr>
          <w:ilvl w:val="0"/>
          <w:numId w:val="0"/>
        </w:numPr>
        <w:ind w:left="1440"/>
        <w:rPr>
          <w:rFonts w:ascii="Open Sans" w:hAnsi="Open Sans" w:cs="Open Sans"/>
          <w:i/>
          <w:sz w:val="22"/>
          <w:szCs w:val="22"/>
        </w:rPr>
      </w:pPr>
      <w:r w:rsidRPr="00C12F8D">
        <w:rPr>
          <w:rFonts w:ascii="Open Sans" w:hAnsi="Open Sans" w:cs="Open Sans"/>
          <w:i/>
          <w:sz w:val="22"/>
          <w:szCs w:val="22"/>
        </w:rPr>
        <w:t>Limitation is reasonable, necessary and proportionate</w:t>
      </w:r>
    </w:p>
    <w:p w14:paraId="4665F8A8" w14:textId="77777777"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 xml:space="preserve">Any limitations there may be to the right to social security and the right to an adequate standard of living, due to imposing requirements directed at overcoming barriers to employment, are reasonable and necessary in view of the evidence outlined above. The limitations are also proportionate for the reasons discussed below. </w:t>
      </w:r>
    </w:p>
    <w:p w14:paraId="510128E9" w14:textId="169F295A"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 xml:space="preserve">Persons in each class are only required to attend quarterly interviews with ParentsNext providers, sign a Parenting Payment Employment Pathway Plan containing a compulsory activity, and participate in that activity. This </w:t>
      </w:r>
      <w:r w:rsidRPr="00C12F8D">
        <w:rPr>
          <w:rFonts w:ascii="Open Sans" w:hAnsi="Open Sans" w:cs="Open Sans"/>
          <w:sz w:val="22"/>
          <w:szCs w:val="22"/>
        </w:rPr>
        <w:lastRenderedPageBreak/>
        <w:t>is much less than standard participation requ</w:t>
      </w:r>
      <w:r w:rsidR="008E05D1" w:rsidRPr="00C12F8D">
        <w:rPr>
          <w:rFonts w:ascii="Open Sans" w:hAnsi="Open Sans" w:cs="Open Sans"/>
          <w:sz w:val="22"/>
          <w:szCs w:val="22"/>
        </w:rPr>
        <w:t>irements for those serviced by J</w:t>
      </w:r>
      <w:r w:rsidRPr="00C12F8D">
        <w:rPr>
          <w:rFonts w:ascii="Open Sans" w:hAnsi="Open Sans" w:cs="Open Sans"/>
          <w:sz w:val="22"/>
          <w:szCs w:val="22"/>
        </w:rPr>
        <w:t xml:space="preserve">obactive employment service providers, which usually include more regular appointments, monthly job search requirements, and more intensive activities with minimum hourly requirements. </w:t>
      </w:r>
    </w:p>
    <w:p w14:paraId="348B515B" w14:textId="77777777"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 xml:space="preserve">A ParentsNext provider is required to work actively with a person to understand their specific needs, the barriers to employment and education that they face, and their family circumstances in determining an appropriate compulsory activity. In signing the Parenting Payment Employment Pathway Plan, the person agrees that the compulsory activity is appropriate and undertakes to complete the activity. Activities may include, for example, updating existing skills or gaining recognition of prior skills; training or further study (particularly Year 12 or Certificate III qualifications for parents who have not completed the final year of secondary school); referrals to local services, like parenting services; literacy and numeracy courses; or referrals to services to address non-vocational barriers to employment like confidence building, health care or counselling. </w:t>
      </w:r>
    </w:p>
    <w:p w14:paraId="5FBCDA50" w14:textId="77777777"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In relation to the compliance action that may (or will) be taken if a person fails to comply with their participation requirements, if a participant’s parenting payment is suspended, payment is often reinstated in full (including back payment) once the participant re-engages. Payment reduction or cancellation will not occur if the person has a reasonable excuse for the failure. A reasonable excuse includes, for example, where the person is suffering from a serious illness, or if the person has unforeseen family or caring responsibilities.</w:t>
      </w:r>
    </w:p>
    <w:p w14:paraId="6B100920" w14:textId="77777777"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Further, participants will also be able to seek a review of any decision to apply a financial penalty or to cancel their payment. Finally, notwithstanding non-compliance, Family Tax Benefits payable to the person remain unaffected.</w:t>
      </w:r>
    </w:p>
    <w:p w14:paraId="356F9995" w14:textId="18A05395" w:rsidR="00460110" w:rsidRPr="00C12F8D" w:rsidRDefault="00460110" w:rsidP="00257670">
      <w:pPr>
        <w:pStyle w:val="ListNumber"/>
        <w:keepNext/>
        <w:numPr>
          <w:ilvl w:val="0"/>
          <w:numId w:val="0"/>
        </w:numPr>
        <w:ind w:left="1440"/>
        <w:rPr>
          <w:rFonts w:ascii="Open Sans" w:hAnsi="Open Sans" w:cs="Open Sans"/>
          <w:sz w:val="22"/>
          <w:szCs w:val="22"/>
          <w:lang w:val="en-US"/>
        </w:rPr>
      </w:pPr>
      <w:r w:rsidRPr="00C12F8D">
        <w:rPr>
          <w:rFonts w:ascii="Open Sans" w:hAnsi="Open Sans" w:cs="Open Sans"/>
          <w:sz w:val="22"/>
          <w:szCs w:val="22"/>
        </w:rPr>
        <w:t>ParentsNext providers are made aware of the risk of participants not meeting participation requirements and work actively to support them to do so. Once commenced in the program, participants usually see its benefits very quickly and choose to actively engage for the benefit of themselves and their families.</w:t>
      </w:r>
      <w:r w:rsidRPr="00C12F8D">
        <w:rPr>
          <w:rStyle w:val="EndnoteReference"/>
          <w:rFonts w:cs="Open Sans"/>
          <w:sz w:val="22"/>
          <w:szCs w:val="22"/>
        </w:rPr>
        <w:endnoteReference w:id="59"/>
      </w:r>
    </w:p>
    <w:p w14:paraId="7ABC9470" w14:textId="4FF79C61" w:rsidR="00460110" w:rsidRPr="00C12F8D" w:rsidRDefault="00460110" w:rsidP="008E05D1">
      <w:pPr>
        <w:pStyle w:val="ListNumber"/>
        <w:tabs>
          <w:tab w:val="clear" w:pos="360"/>
        </w:tabs>
        <w:ind w:left="1094" w:hanging="737"/>
        <w:rPr>
          <w:rFonts w:ascii="Open Sans" w:hAnsi="Open Sans" w:cs="Open Sans"/>
        </w:rPr>
      </w:pPr>
      <w:r w:rsidRPr="00C12F8D">
        <w:rPr>
          <w:rFonts w:ascii="Open Sans" w:hAnsi="Open Sans" w:cs="Open Sans"/>
        </w:rPr>
        <w:t xml:space="preserve">While acknowledging that </w:t>
      </w:r>
      <w:r w:rsidR="00AB2DB2" w:rsidRPr="00C12F8D">
        <w:rPr>
          <w:rFonts w:ascii="Open Sans" w:hAnsi="Open Sans" w:cs="Open Sans"/>
        </w:rPr>
        <w:t>ParentsNext could</w:t>
      </w:r>
      <w:r w:rsidRPr="00C12F8D">
        <w:rPr>
          <w:rFonts w:ascii="Open Sans" w:hAnsi="Open Sans" w:cs="Open Sans"/>
        </w:rPr>
        <w:t xml:space="preserve"> </w:t>
      </w:r>
      <w:r w:rsidR="00AB2DB2" w:rsidRPr="00C12F8D">
        <w:rPr>
          <w:rFonts w:ascii="Open Sans" w:hAnsi="Open Sans" w:cs="Open Sans"/>
        </w:rPr>
        <w:t>bring some benefits to its participants</w:t>
      </w:r>
      <w:r w:rsidRPr="00C12F8D">
        <w:rPr>
          <w:rFonts w:ascii="Open Sans" w:hAnsi="Open Sans" w:cs="Open Sans"/>
        </w:rPr>
        <w:t xml:space="preserve">, </w:t>
      </w:r>
      <w:r w:rsidR="008E05D1" w:rsidRPr="00C12F8D">
        <w:rPr>
          <w:rFonts w:ascii="Open Sans" w:hAnsi="Open Sans" w:cs="Open Sans"/>
        </w:rPr>
        <w:t>t</w:t>
      </w:r>
      <w:r w:rsidRPr="00C12F8D">
        <w:rPr>
          <w:rFonts w:ascii="Open Sans" w:hAnsi="Open Sans" w:cs="Open Sans"/>
        </w:rPr>
        <w:t>he Commission considers that the explanatory materials fail to establish the compatibility of ParentsNext with the right to social security for several reasons. In summary:</w:t>
      </w:r>
    </w:p>
    <w:p w14:paraId="6D61738E" w14:textId="0290DF95" w:rsidR="008E05D1" w:rsidRPr="00C12F8D" w:rsidRDefault="008E05D1" w:rsidP="008E05D1">
      <w:pPr>
        <w:pStyle w:val="ListNumber"/>
        <w:numPr>
          <w:ilvl w:val="0"/>
          <w:numId w:val="32"/>
        </w:numPr>
        <w:ind w:left="1454"/>
        <w:rPr>
          <w:rFonts w:ascii="Open Sans" w:hAnsi="Open Sans" w:cs="Open Sans"/>
        </w:rPr>
      </w:pPr>
      <w:r w:rsidRPr="00C12F8D">
        <w:rPr>
          <w:rFonts w:ascii="Open Sans" w:hAnsi="Open Sans" w:cs="Open Sans"/>
        </w:rPr>
        <w:t>applying penalties to the Parenting Payment to achieve the purported program objectives is not justifiable</w:t>
      </w:r>
    </w:p>
    <w:p w14:paraId="185F2D60" w14:textId="0DE38B3E" w:rsidR="00460110" w:rsidRPr="00C12F8D" w:rsidRDefault="00460110" w:rsidP="006C62FB">
      <w:pPr>
        <w:pStyle w:val="ListNumber"/>
        <w:numPr>
          <w:ilvl w:val="0"/>
          <w:numId w:val="32"/>
        </w:numPr>
        <w:ind w:left="1454"/>
        <w:rPr>
          <w:rFonts w:ascii="Open Sans" w:hAnsi="Open Sans" w:cs="Open Sans"/>
        </w:rPr>
      </w:pPr>
      <w:r w:rsidRPr="00C12F8D">
        <w:rPr>
          <w:rFonts w:ascii="Open Sans" w:hAnsi="Open Sans" w:cs="Open Sans"/>
        </w:rPr>
        <w:t>the punitive compliance framework permits social security to be reduced below the minimum essential level for parents caring for young children</w:t>
      </w:r>
    </w:p>
    <w:p w14:paraId="2E0D8AF1" w14:textId="0D1C187F" w:rsidR="00460110" w:rsidRPr="00C12F8D" w:rsidRDefault="00460110" w:rsidP="006C62FB">
      <w:pPr>
        <w:pStyle w:val="ListNumber"/>
        <w:numPr>
          <w:ilvl w:val="0"/>
          <w:numId w:val="32"/>
        </w:numPr>
        <w:ind w:left="1454"/>
        <w:rPr>
          <w:rFonts w:ascii="Open Sans" w:hAnsi="Open Sans" w:cs="Open Sans"/>
        </w:rPr>
      </w:pPr>
      <w:r w:rsidRPr="00C12F8D">
        <w:rPr>
          <w:rFonts w:ascii="Open Sans" w:hAnsi="Open Sans" w:cs="Open Sans"/>
        </w:rPr>
        <w:lastRenderedPageBreak/>
        <w:t xml:space="preserve">permitting this kind of reduction is a retrogressive measure </w:t>
      </w:r>
      <w:r w:rsidR="00AB2DB2" w:rsidRPr="00C12F8D">
        <w:rPr>
          <w:rFonts w:ascii="Open Sans" w:hAnsi="Open Sans" w:cs="Open Sans"/>
        </w:rPr>
        <w:t xml:space="preserve">that is </w:t>
      </w:r>
      <w:r w:rsidRPr="00C12F8D">
        <w:rPr>
          <w:rFonts w:ascii="Open Sans" w:hAnsi="Open Sans" w:cs="Open Sans"/>
        </w:rPr>
        <w:t xml:space="preserve">contrary to Australia’s obligation of progressive realisation </w:t>
      </w:r>
    </w:p>
    <w:p w14:paraId="4021A131" w14:textId="4429FCBF" w:rsidR="00460110" w:rsidRPr="00C12F8D" w:rsidRDefault="00460110" w:rsidP="006C62FB">
      <w:pPr>
        <w:pStyle w:val="ListNumber"/>
        <w:numPr>
          <w:ilvl w:val="0"/>
          <w:numId w:val="32"/>
        </w:numPr>
        <w:ind w:left="1454"/>
        <w:rPr>
          <w:rFonts w:ascii="Open Sans" w:hAnsi="Open Sans" w:cs="Open Sans"/>
        </w:rPr>
      </w:pPr>
      <w:r w:rsidRPr="00C12F8D">
        <w:rPr>
          <w:rFonts w:ascii="Open Sans" w:hAnsi="Open Sans" w:cs="Open Sans"/>
        </w:rPr>
        <w:t>the families affected are some of the most vulnerable in Australia</w:t>
      </w:r>
      <w:r w:rsidR="00050229">
        <w:rPr>
          <w:rFonts w:ascii="Open Sans" w:hAnsi="Open Sans" w:cs="Open Sans"/>
        </w:rPr>
        <w:t>,</w:t>
      </w:r>
      <w:r w:rsidRPr="00C12F8D">
        <w:rPr>
          <w:rFonts w:ascii="Open Sans" w:hAnsi="Open Sans" w:cs="Open Sans"/>
        </w:rPr>
        <w:t xml:space="preserve"> and the detrimental impacts on them will be severe</w:t>
      </w:r>
    </w:p>
    <w:p w14:paraId="342EA79E" w14:textId="27554BA2" w:rsidR="00460110" w:rsidRPr="00C12F8D" w:rsidRDefault="00460110" w:rsidP="006C62FB">
      <w:pPr>
        <w:pStyle w:val="ListNumber"/>
        <w:numPr>
          <w:ilvl w:val="0"/>
          <w:numId w:val="32"/>
        </w:numPr>
        <w:ind w:left="1454"/>
        <w:rPr>
          <w:rFonts w:ascii="Open Sans" w:hAnsi="Open Sans" w:cs="Open Sans"/>
        </w:rPr>
      </w:pPr>
      <w:r w:rsidRPr="00C12F8D">
        <w:rPr>
          <w:rFonts w:ascii="Open Sans" w:hAnsi="Open Sans" w:cs="Open Sans"/>
        </w:rPr>
        <w:t xml:space="preserve">the evaluation of the </w:t>
      </w:r>
      <w:r w:rsidR="00AB2DB2" w:rsidRPr="00C12F8D">
        <w:rPr>
          <w:rFonts w:ascii="Open Sans" w:hAnsi="Open Sans" w:cs="Open Sans"/>
        </w:rPr>
        <w:t>program trial</w:t>
      </w:r>
      <w:r w:rsidRPr="00C12F8D">
        <w:rPr>
          <w:rFonts w:ascii="Open Sans" w:hAnsi="Open Sans" w:cs="Open Sans"/>
        </w:rPr>
        <w:t xml:space="preserve"> relies on problematic evidence and it is not possible to conclude that </w:t>
      </w:r>
      <w:r w:rsidR="00AB2DB2" w:rsidRPr="00C12F8D">
        <w:rPr>
          <w:rFonts w:ascii="Open Sans" w:hAnsi="Open Sans" w:cs="Open Sans"/>
        </w:rPr>
        <w:t>it</w:t>
      </w:r>
      <w:r w:rsidRPr="00C12F8D">
        <w:rPr>
          <w:rFonts w:ascii="Open Sans" w:hAnsi="Open Sans" w:cs="Open Sans"/>
        </w:rPr>
        <w:t xml:space="preserve"> is achieving its aims or </w:t>
      </w:r>
      <w:r w:rsidR="00AB2DB2" w:rsidRPr="00C12F8D">
        <w:rPr>
          <w:rFonts w:ascii="Open Sans" w:hAnsi="Open Sans" w:cs="Open Sans"/>
        </w:rPr>
        <w:t xml:space="preserve">that it </w:t>
      </w:r>
      <w:r w:rsidRPr="00C12F8D">
        <w:rPr>
          <w:rFonts w:ascii="Open Sans" w:hAnsi="Open Sans" w:cs="Open Sans"/>
        </w:rPr>
        <w:t>has had a positive effect which outweighs the significant detriment to participants of placing their social security at risk</w:t>
      </w:r>
    </w:p>
    <w:p w14:paraId="621C61B0" w14:textId="131077A8" w:rsidR="00460110" w:rsidRPr="00C12F8D" w:rsidRDefault="00460110" w:rsidP="006C62FB">
      <w:pPr>
        <w:pStyle w:val="ListNumber"/>
        <w:numPr>
          <w:ilvl w:val="0"/>
          <w:numId w:val="32"/>
        </w:numPr>
        <w:ind w:left="1454"/>
        <w:rPr>
          <w:rFonts w:ascii="Open Sans" w:hAnsi="Open Sans" w:cs="Open Sans"/>
        </w:rPr>
      </w:pPr>
      <w:r w:rsidRPr="00C12F8D">
        <w:rPr>
          <w:rFonts w:ascii="Open Sans" w:hAnsi="Open Sans" w:cs="Open Sans"/>
        </w:rPr>
        <w:t xml:space="preserve">there are inadequate safeguards in the program to prevent inappropriate </w:t>
      </w:r>
      <w:r w:rsidR="00DA750D" w:rsidRPr="00C12F8D">
        <w:rPr>
          <w:rFonts w:ascii="Open Sans" w:hAnsi="Open Sans" w:cs="Open Sans"/>
        </w:rPr>
        <w:t>compliance action</w:t>
      </w:r>
    </w:p>
    <w:p w14:paraId="1B6A3062" w14:textId="5629BC46" w:rsidR="00460110" w:rsidRPr="00C12F8D" w:rsidRDefault="00460110" w:rsidP="00561091">
      <w:pPr>
        <w:pStyle w:val="ListNumber"/>
        <w:numPr>
          <w:ilvl w:val="0"/>
          <w:numId w:val="32"/>
        </w:numPr>
        <w:ind w:left="1454"/>
        <w:rPr>
          <w:rFonts w:ascii="Open Sans" w:hAnsi="Open Sans" w:cs="Open Sans"/>
        </w:rPr>
      </w:pPr>
      <w:r w:rsidRPr="00C12F8D">
        <w:rPr>
          <w:rFonts w:ascii="Open Sans" w:hAnsi="Open Sans" w:cs="Open Sans"/>
        </w:rPr>
        <w:t>alternatives are readily available that are less restrictive of the right to social security, including incentive based models.</w:t>
      </w:r>
    </w:p>
    <w:p w14:paraId="436DBDE9" w14:textId="3648D3B5" w:rsidR="00460110" w:rsidRDefault="00460110" w:rsidP="00067C8D">
      <w:pPr>
        <w:pStyle w:val="ListNumber"/>
        <w:tabs>
          <w:tab w:val="clear" w:pos="360"/>
        </w:tabs>
        <w:ind w:left="1094" w:hanging="737"/>
        <w:rPr>
          <w:rFonts w:ascii="Open Sans" w:hAnsi="Open Sans" w:cs="Open Sans"/>
        </w:rPr>
      </w:pPr>
      <w:r w:rsidRPr="00C12F8D">
        <w:rPr>
          <w:rFonts w:ascii="Open Sans" w:hAnsi="Open Sans" w:cs="Open Sans"/>
        </w:rPr>
        <w:t>These points are expanded on in more detail below.</w:t>
      </w:r>
    </w:p>
    <w:p w14:paraId="1D5C1FDD" w14:textId="0B885A97" w:rsidR="009C1E5D" w:rsidRDefault="009C1E5D" w:rsidP="009C1E5D">
      <w:pPr>
        <w:pStyle w:val="ListNumber"/>
        <w:tabs>
          <w:tab w:val="clear" w:pos="360"/>
        </w:tabs>
        <w:ind w:left="1094" w:hanging="737"/>
        <w:rPr>
          <w:rFonts w:ascii="Open Sans" w:hAnsi="Open Sans" w:cs="Open Sans"/>
        </w:rPr>
      </w:pPr>
      <w:r w:rsidRPr="009C1E5D">
        <w:rPr>
          <w:rFonts w:ascii="Open Sans" w:hAnsi="Open Sans" w:cs="Open Sans"/>
        </w:rPr>
        <w:t xml:space="preserve">The Commission is also concerned </w:t>
      </w:r>
      <w:r>
        <w:rPr>
          <w:rFonts w:ascii="Open Sans" w:hAnsi="Open Sans" w:cs="Open Sans"/>
        </w:rPr>
        <w:t>by</w:t>
      </w:r>
      <w:r w:rsidRPr="009C1E5D">
        <w:rPr>
          <w:rFonts w:ascii="Open Sans" w:hAnsi="Open Sans" w:cs="Open Sans"/>
        </w:rPr>
        <w:t xml:space="preserve"> </w:t>
      </w:r>
      <w:r>
        <w:rPr>
          <w:rFonts w:ascii="Open Sans" w:hAnsi="Open Sans" w:cs="Open Sans"/>
        </w:rPr>
        <w:t>media</w:t>
      </w:r>
      <w:r w:rsidRPr="009C1E5D">
        <w:rPr>
          <w:rFonts w:ascii="Open Sans" w:hAnsi="Open Sans" w:cs="Open Sans"/>
        </w:rPr>
        <w:t xml:space="preserve"> reports that ParentsNext participants are being compelled to sign privacy consent and notification forms, under threat of losing their Parenting Payment, to allow the disclosure of personal information to provide</w:t>
      </w:r>
      <w:r>
        <w:rPr>
          <w:rFonts w:ascii="Open Sans" w:hAnsi="Open Sans" w:cs="Open Sans"/>
        </w:rPr>
        <w:t xml:space="preserve">rs. </w:t>
      </w:r>
      <w:r w:rsidRPr="009C1E5D">
        <w:rPr>
          <w:rFonts w:ascii="Open Sans" w:hAnsi="Open Sans" w:cs="Open Sans"/>
        </w:rPr>
        <w:t>Such information could include sensitive health information about themselves or their children.</w:t>
      </w:r>
      <w:r w:rsidR="00ED1196">
        <w:rPr>
          <w:rStyle w:val="EndnoteReference"/>
          <w:rFonts w:cs="Open Sans"/>
        </w:rPr>
        <w:endnoteReference w:id="60"/>
      </w:r>
      <w:r w:rsidRPr="009C1E5D">
        <w:rPr>
          <w:rFonts w:ascii="Open Sans" w:hAnsi="Open Sans" w:cs="Open Sans"/>
        </w:rPr>
        <w:t xml:space="preserve"> </w:t>
      </w:r>
    </w:p>
    <w:p w14:paraId="22EE9428" w14:textId="4E6B8D7D" w:rsidR="009C1E5D" w:rsidRPr="009C1E5D" w:rsidRDefault="009C1E5D" w:rsidP="009C1E5D">
      <w:pPr>
        <w:pStyle w:val="ListNumber"/>
        <w:tabs>
          <w:tab w:val="clear" w:pos="360"/>
        </w:tabs>
        <w:ind w:left="1094" w:hanging="737"/>
        <w:rPr>
          <w:rFonts w:ascii="Open Sans" w:hAnsi="Open Sans" w:cs="Open Sans"/>
        </w:rPr>
      </w:pPr>
      <w:r w:rsidRPr="009C1E5D">
        <w:rPr>
          <w:rFonts w:ascii="Open Sans" w:hAnsi="Open Sans" w:cs="Open Sans"/>
        </w:rPr>
        <w:t>The Commission seeks further information from the Government as to why this interference with privacy is lawful and not arbitrary, including the measures taken to ensure that providers are appropriately collecting, using, disclosing and storing personal information.</w:t>
      </w:r>
    </w:p>
    <w:p w14:paraId="25F23872" w14:textId="2F12AE37" w:rsidR="00460110" w:rsidRPr="00C12F8D" w:rsidRDefault="00460110" w:rsidP="009808F7">
      <w:pPr>
        <w:pStyle w:val="Heading3"/>
        <w:rPr>
          <w:rFonts w:ascii="Open Sans" w:hAnsi="Open Sans" w:cs="Open Sans"/>
          <w:i/>
        </w:rPr>
      </w:pPr>
      <w:bookmarkStart w:id="40" w:name="_Toc536796586"/>
      <w:r w:rsidRPr="00C12F8D">
        <w:rPr>
          <w:rFonts w:ascii="Open Sans" w:hAnsi="Open Sans" w:cs="Open Sans"/>
          <w:i/>
        </w:rPr>
        <w:t>Breach of minimum essential level of social security and retrogressive measure</w:t>
      </w:r>
      <w:bookmarkEnd w:id="40"/>
    </w:p>
    <w:p w14:paraId="7E00B6DF" w14:textId="2CBB3BAA" w:rsidR="00460110" w:rsidRPr="00C12F8D" w:rsidRDefault="00460110" w:rsidP="0086048C">
      <w:pPr>
        <w:pStyle w:val="ListNumber"/>
        <w:tabs>
          <w:tab w:val="clear" w:pos="360"/>
        </w:tabs>
        <w:ind w:left="1094" w:hanging="737"/>
        <w:rPr>
          <w:rFonts w:ascii="Open Sans" w:hAnsi="Open Sans" w:cs="Open Sans"/>
        </w:rPr>
      </w:pPr>
      <w:r w:rsidRPr="00C12F8D">
        <w:rPr>
          <w:rFonts w:ascii="Open Sans" w:hAnsi="Open Sans" w:cs="Open Sans"/>
        </w:rPr>
        <w:t xml:space="preserve">The Parenting Payment is the main form of social security relied on by primary carers </w:t>
      </w:r>
      <w:r w:rsidR="009E2BEB">
        <w:rPr>
          <w:rFonts w:ascii="Open Sans" w:hAnsi="Open Sans" w:cs="Open Sans"/>
        </w:rPr>
        <w:t xml:space="preserve">of young children, who </w:t>
      </w:r>
      <w:r w:rsidRPr="00C12F8D">
        <w:rPr>
          <w:rFonts w:ascii="Open Sans" w:hAnsi="Open Sans" w:cs="Open Sans"/>
        </w:rPr>
        <w:t>otherwise</w:t>
      </w:r>
      <w:r w:rsidR="009E2BEB">
        <w:rPr>
          <w:rFonts w:ascii="Open Sans" w:hAnsi="Open Sans" w:cs="Open Sans"/>
        </w:rPr>
        <w:t xml:space="preserve"> have</w:t>
      </w:r>
      <w:r w:rsidRPr="00C12F8D">
        <w:rPr>
          <w:rFonts w:ascii="Open Sans" w:hAnsi="Open Sans" w:cs="Open Sans"/>
        </w:rPr>
        <w:t xml:space="preserve"> inadequate financial means. </w:t>
      </w:r>
    </w:p>
    <w:p w14:paraId="61DF4CF6" w14:textId="4473774F" w:rsidR="00460110" w:rsidRPr="00C12F8D" w:rsidRDefault="009E2BEB" w:rsidP="00400AFA">
      <w:pPr>
        <w:pStyle w:val="ListNumber"/>
        <w:tabs>
          <w:tab w:val="clear" w:pos="360"/>
        </w:tabs>
        <w:ind w:left="1094" w:hanging="737"/>
        <w:rPr>
          <w:rFonts w:ascii="Open Sans" w:hAnsi="Open Sans" w:cs="Open Sans"/>
        </w:rPr>
      </w:pPr>
      <w:r>
        <w:rPr>
          <w:rFonts w:ascii="Open Sans" w:hAnsi="Open Sans" w:cs="Open Sans"/>
        </w:rPr>
        <w:t>The adequacy of</w:t>
      </w:r>
      <w:r w:rsidR="00460110" w:rsidRPr="00C12F8D">
        <w:rPr>
          <w:rFonts w:ascii="Open Sans" w:hAnsi="Open Sans" w:cs="Open Sans"/>
        </w:rPr>
        <w:t xml:space="preserve"> Parenting Payment </w:t>
      </w:r>
      <w:r>
        <w:rPr>
          <w:rFonts w:ascii="Open Sans" w:hAnsi="Open Sans" w:cs="Open Sans"/>
        </w:rPr>
        <w:t xml:space="preserve">rates </w:t>
      </w:r>
      <w:r w:rsidR="00460110" w:rsidRPr="00C12F8D">
        <w:rPr>
          <w:rFonts w:ascii="Open Sans" w:hAnsi="Open Sans" w:cs="Open Sans"/>
        </w:rPr>
        <w:t>is</w:t>
      </w:r>
      <w:r>
        <w:rPr>
          <w:rFonts w:ascii="Open Sans" w:hAnsi="Open Sans" w:cs="Open Sans"/>
        </w:rPr>
        <w:t xml:space="preserve"> questionable</w:t>
      </w:r>
      <w:r w:rsidR="00460110" w:rsidRPr="00C12F8D">
        <w:rPr>
          <w:rFonts w:ascii="Open Sans" w:hAnsi="Open Sans" w:cs="Open Sans"/>
        </w:rPr>
        <w:t xml:space="preserve"> in the first place, without the addition of financial penalties. </w:t>
      </w:r>
    </w:p>
    <w:p w14:paraId="32F5F4BC" w14:textId="0A3BAC48" w:rsidR="00460110" w:rsidRPr="00C12F8D" w:rsidRDefault="00460110" w:rsidP="00400AFA">
      <w:pPr>
        <w:pStyle w:val="ListNumber"/>
        <w:tabs>
          <w:tab w:val="clear" w:pos="360"/>
        </w:tabs>
        <w:ind w:left="1094" w:hanging="737"/>
        <w:rPr>
          <w:rFonts w:ascii="Open Sans" w:hAnsi="Open Sans" w:cs="Open Sans"/>
        </w:rPr>
      </w:pPr>
      <w:r w:rsidRPr="00C12F8D">
        <w:rPr>
          <w:rFonts w:ascii="Open Sans" w:hAnsi="Open Sans" w:cs="Open Sans"/>
        </w:rPr>
        <w:t xml:space="preserve">Bodies such as the Australian Council of Social Service (ACOSS) use 50% of median household income as a measure of the poverty line. </w:t>
      </w:r>
      <w:r w:rsidR="00DA750D" w:rsidRPr="00C12F8D">
        <w:rPr>
          <w:rFonts w:ascii="Open Sans" w:hAnsi="Open Sans" w:cs="Open Sans"/>
        </w:rPr>
        <w:t>On this basis, in 2018</w:t>
      </w:r>
      <w:r w:rsidRPr="00C12F8D">
        <w:rPr>
          <w:rFonts w:ascii="Open Sans" w:hAnsi="Open Sans" w:cs="Open Sans"/>
        </w:rPr>
        <w:t xml:space="preserve"> the poverty line was $433 a week for a single adult living alone or $909 a week for a couple with two children.</w:t>
      </w:r>
      <w:r w:rsidRPr="00C12F8D">
        <w:rPr>
          <w:rStyle w:val="EndnoteReference"/>
          <w:rFonts w:cs="Open Sans"/>
        </w:rPr>
        <w:endnoteReference w:id="61"/>
      </w:r>
      <w:r w:rsidRPr="00C12F8D">
        <w:rPr>
          <w:rFonts w:ascii="Open Sans" w:hAnsi="Open Sans" w:cs="Open Sans"/>
        </w:rPr>
        <w:t xml:space="preserve"> </w:t>
      </w:r>
    </w:p>
    <w:p w14:paraId="70A7EE4E" w14:textId="651D1F89" w:rsidR="00460110" w:rsidRPr="00C12F8D" w:rsidRDefault="00437640" w:rsidP="00A14481">
      <w:pPr>
        <w:pStyle w:val="ListNumber"/>
        <w:tabs>
          <w:tab w:val="clear" w:pos="360"/>
        </w:tabs>
        <w:ind w:left="1094" w:hanging="737"/>
        <w:rPr>
          <w:rFonts w:ascii="Open Sans" w:hAnsi="Open Sans" w:cs="Open Sans"/>
        </w:rPr>
      </w:pPr>
      <w:r w:rsidRPr="00C12F8D">
        <w:rPr>
          <w:rFonts w:ascii="Open Sans" w:hAnsi="Open Sans" w:cs="Open Sans"/>
        </w:rPr>
        <w:t>Accordingly</w:t>
      </w:r>
      <w:r w:rsidR="00460110" w:rsidRPr="00C12F8D">
        <w:rPr>
          <w:rFonts w:ascii="Open Sans" w:hAnsi="Open Sans" w:cs="Open Sans"/>
        </w:rPr>
        <w:t xml:space="preserve">, those receiving the Parenting Payment are already likely to be </w:t>
      </w:r>
      <w:r w:rsidR="00C66128">
        <w:rPr>
          <w:rFonts w:ascii="Open Sans" w:hAnsi="Open Sans" w:cs="Open Sans"/>
        </w:rPr>
        <w:t xml:space="preserve">living </w:t>
      </w:r>
      <w:r w:rsidR="00460110" w:rsidRPr="00C12F8D">
        <w:rPr>
          <w:rFonts w:ascii="Open Sans" w:hAnsi="Open Sans" w:cs="Open Sans"/>
        </w:rPr>
        <w:t xml:space="preserve">close to or below the poverty line. For example, in order to receive the </w:t>
      </w:r>
      <w:r w:rsidR="00460110" w:rsidRPr="00C12F8D">
        <w:rPr>
          <w:rFonts w:ascii="Open Sans" w:hAnsi="Open Sans" w:cs="Open Sans"/>
          <w:i/>
        </w:rPr>
        <w:t>maximum</w:t>
      </w:r>
      <w:r w:rsidR="00460110" w:rsidRPr="00C12F8D">
        <w:rPr>
          <w:rFonts w:ascii="Open Sans" w:hAnsi="Open Sans" w:cs="Open Sans"/>
        </w:rPr>
        <w:t xml:space="preserve"> amount of the Parenting Payment of $385 per </w:t>
      </w:r>
      <w:r w:rsidR="00460110" w:rsidRPr="00C12F8D">
        <w:rPr>
          <w:rFonts w:ascii="Open Sans" w:hAnsi="Open Sans" w:cs="Open Sans"/>
        </w:rPr>
        <w:lastRenderedPageBreak/>
        <w:t xml:space="preserve">week, a single parent with one child would need to be earning less than $5,000 per annum or less than $100 per week. </w:t>
      </w:r>
    </w:p>
    <w:p w14:paraId="05DDFED4" w14:textId="1D2A85EF" w:rsidR="00460110" w:rsidRPr="00C12F8D" w:rsidRDefault="00460110" w:rsidP="00A14481">
      <w:pPr>
        <w:pStyle w:val="ListNumber"/>
        <w:tabs>
          <w:tab w:val="clear" w:pos="360"/>
        </w:tabs>
        <w:ind w:left="1094" w:hanging="737"/>
        <w:rPr>
          <w:rFonts w:ascii="Open Sans" w:hAnsi="Open Sans" w:cs="Open Sans"/>
        </w:rPr>
      </w:pPr>
      <w:r w:rsidRPr="00C12F8D">
        <w:rPr>
          <w:rFonts w:ascii="Open Sans" w:hAnsi="Open Sans" w:cs="Open Sans"/>
        </w:rPr>
        <w:t>If this single parent is earning $5,000 per annum, then they would exceed the poverty line for a single person (without any children) by only around $50 per week, without taking into account the costs of caring for a child. However, if the single parent is not working at all and is totally reliant on the Parenting Payment, then their income would already be significantly below the poverty line.</w:t>
      </w:r>
    </w:p>
    <w:p w14:paraId="3085B3C7" w14:textId="42EE8CA2" w:rsidR="00460110" w:rsidRPr="00C12F8D" w:rsidRDefault="00460110" w:rsidP="00A14481">
      <w:pPr>
        <w:pStyle w:val="ListNumber"/>
        <w:tabs>
          <w:tab w:val="clear" w:pos="360"/>
        </w:tabs>
        <w:ind w:left="1094" w:hanging="737"/>
        <w:rPr>
          <w:rFonts w:ascii="Open Sans" w:hAnsi="Open Sans" w:cs="Open Sans"/>
        </w:rPr>
      </w:pPr>
      <w:r w:rsidRPr="00C12F8D">
        <w:rPr>
          <w:rFonts w:ascii="Open Sans" w:hAnsi="Open Sans" w:cs="Open Sans"/>
        </w:rPr>
        <w:t xml:space="preserve">As noted earlier, around 71.5% of Parenting Payment recipients are single parents. It is a requirement of participation in the ParentsNext program that the participant </w:t>
      </w:r>
      <w:r w:rsidR="00357B54" w:rsidRPr="00C12F8D">
        <w:rPr>
          <w:rFonts w:ascii="Open Sans" w:hAnsi="Open Sans" w:cs="Open Sans"/>
        </w:rPr>
        <w:t>has not</w:t>
      </w:r>
      <w:r w:rsidRPr="00C12F8D">
        <w:rPr>
          <w:rFonts w:ascii="Open Sans" w:hAnsi="Open Sans" w:cs="Open Sans"/>
        </w:rPr>
        <w:t xml:space="preserve"> engaged in work which generates employment income for at least 6 months. </w:t>
      </w:r>
      <w:r w:rsidR="00357B54" w:rsidRPr="00C12F8D">
        <w:rPr>
          <w:rFonts w:ascii="Open Sans" w:hAnsi="Open Sans" w:cs="Open Sans"/>
        </w:rPr>
        <w:t>Therefore,</w:t>
      </w:r>
      <w:r w:rsidRPr="00C12F8D">
        <w:rPr>
          <w:rFonts w:ascii="Open Sans" w:hAnsi="Open Sans" w:cs="Open Sans"/>
        </w:rPr>
        <w:t xml:space="preserve"> </w:t>
      </w:r>
      <w:r w:rsidR="00A978EA" w:rsidRPr="00C12F8D">
        <w:rPr>
          <w:rFonts w:ascii="Open Sans" w:hAnsi="Open Sans" w:cs="Open Sans"/>
        </w:rPr>
        <w:t xml:space="preserve">ParentsNext </w:t>
      </w:r>
      <w:r w:rsidRPr="00C12F8D">
        <w:rPr>
          <w:rFonts w:ascii="Open Sans" w:hAnsi="Open Sans" w:cs="Open Sans"/>
        </w:rPr>
        <w:t>participa</w:t>
      </w:r>
      <w:r w:rsidR="00357B54" w:rsidRPr="00C12F8D">
        <w:rPr>
          <w:rFonts w:ascii="Open Sans" w:hAnsi="Open Sans" w:cs="Open Sans"/>
        </w:rPr>
        <w:t xml:space="preserve">nts are </w:t>
      </w:r>
      <w:r w:rsidRPr="00C12F8D">
        <w:rPr>
          <w:rFonts w:ascii="Open Sans" w:hAnsi="Open Sans" w:cs="Open Sans"/>
        </w:rPr>
        <w:t xml:space="preserve">very likely </w:t>
      </w:r>
      <w:r w:rsidR="00357B54" w:rsidRPr="00C12F8D">
        <w:rPr>
          <w:rFonts w:ascii="Open Sans" w:hAnsi="Open Sans" w:cs="Open Sans"/>
        </w:rPr>
        <w:t xml:space="preserve">to </w:t>
      </w:r>
      <w:r w:rsidRPr="00C12F8D">
        <w:rPr>
          <w:rFonts w:ascii="Open Sans" w:hAnsi="Open Sans" w:cs="Open Sans"/>
        </w:rPr>
        <w:t>already</w:t>
      </w:r>
      <w:r w:rsidR="00357B54" w:rsidRPr="00C12F8D">
        <w:rPr>
          <w:rFonts w:ascii="Open Sans" w:hAnsi="Open Sans" w:cs="Open Sans"/>
        </w:rPr>
        <w:t xml:space="preserve"> be living</w:t>
      </w:r>
      <w:r w:rsidRPr="00C12F8D">
        <w:rPr>
          <w:rFonts w:ascii="Open Sans" w:hAnsi="Open Sans" w:cs="Open Sans"/>
        </w:rPr>
        <w:t xml:space="preserve"> below the poverty line recognised by ACOSS.</w:t>
      </w:r>
    </w:p>
    <w:p w14:paraId="3C5858E0" w14:textId="77777777" w:rsidR="00CD35B2" w:rsidRPr="00C12F8D" w:rsidRDefault="00CD35B2" w:rsidP="00CD35B2">
      <w:pPr>
        <w:pStyle w:val="ListNumber"/>
        <w:tabs>
          <w:tab w:val="clear" w:pos="360"/>
        </w:tabs>
        <w:ind w:left="1094" w:hanging="737"/>
        <w:rPr>
          <w:rFonts w:ascii="Open Sans" w:hAnsi="Open Sans" w:cs="Open Sans"/>
        </w:rPr>
      </w:pPr>
      <w:r w:rsidRPr="00C12F8D">
        <w:rPr>
          <w:rFonts w:ascii="Open Sans" w:hAnsi="Open Sans" w:cs="Open Sans"/>
          <w:lang w:val="en"/>
        </w:rPr>
        <w:t xml:space="preserve">Research on poverty in Australia has consistently found that single parents are particularly prone to financial stress. In 2018, 28.8% of single parents </w:t>
      </w:r>
      <w:r w:rsidRPr="00C12F8D">
        <w:rPr>
          <w:rFonts w:ascii="Open Sans" w:hAnsi="Open Sans" w:cs="Open Sans"/>
        </w:rPr>
        <w:t>experienced</w:t>
      </w:r>
      <w:r w:rsidRPr="00C12F8D">
        <w:rPr>
          <w:rFonts w:ascii="Open Sans" w:hAnsi="Open Sans" w:cs="Open Sans"/>
          <w:lang w:val="en"/>
        </w:rPr>
        <w:t xml:space="preserve"> financial stress, defined to include </w:t>
      </w:r>
      <w:r w:rsidRPr="00C12F8D">
        <w:rPr>
          <w:rFonts w:ascii="Open Sans" w:hAnsi="Open Sans" w:cs="Open Sans"/>
        </w:rPr>
        <w:t>an inability to pay bills, rent or mortgage repayments on time, going without meals, asking for financial help, and an inability to afford heating</w:t>
      </w:r>
      <w:r w:rsidRPr="00C12F8D">
        <w:rPr>
          <w:rFonts w:ascii="Open Sans" w:hAnsi="Open Sans" w:cs="Open Sans"/>
          <w:lang w:val="en"/>
        </w:rPr>
        <w:t>.</w:t>
      </w:r>
      <w:r w:rsidRPr="00C12F8D">
        <w:rPr>
          <w:rStyle w:val="EndnoteReference"/>
          <w:rFonts w:cs="Open Sans"/>
          <w:lang w:val="en"/>
        </w:rPr>
        <w:endnoteReference w:id="62"/>
      </w:r>
      <w:r w:rsidRPr="00C12F8D">
        <w:rPr>
          <w:rFonts w:ascii="Open Sans" w:hAnsi="Open Sans" w:cs="Open Sans"/>
          <w:lang w:val="en"/>
        </w:rPr>
        <w:t xml:space="preserve"> </w:t>
      </w:r>
    </w:p>
    <w:p w14:paraId="245653A2" w14:textId="77777777" w:rsidR="00CD35B2" w:rsidRPr="00C12F8D" w:rsidRDefault="00CD35B2" w:rsidP="00CD35B2">
      <w:pPr>
        <w:pStyle w:val="ListNumber"/>
        <w:tabs>
          <w:tab w:val="clear" w:pos="360"/>
        </w:tabs>
        <w:ind w:left="1094" w:hanging="737"/>
        <w:rPr>
          <w:rFonts w:ascii="Open Sans" w:hAnsi="Open Sans" w:cs="Open Sans"/>
        </w:rPr>
      </w:pPr>
      <w:r w:rsidRPr="00C12F8D">
        <w:rPr>
          <w:rFonts w:ascii="Open Sans" w:hAnsi="Open Sans" w:cs="Open Sans"/>
        </w:rPr>
        <w:t>Case studies gathered by the Commission and other organisations about the experience of Australian single parents relying on welfare confirm the financial and other stresses faced, and the harsh consequences of punitive compliance.</w:t>
      </w:r>
      <w:r w:rsidRPr="00C12F8D">
        <w:rPr>
          <w:rStyle w:val="EndnoteReference"/>
          <w:rFonts w:cs="Open Sans"/>
        </w:rPr>
        <w:endnoteReference w:id="63"/>
      </w:r>
      <w:r w:rsidRPr="00C12F8D">
        <w:rPr>
          <w:rFonts w:ascii="Open Sans" w:hAnsi="Open Sans" w:cs="Open Sans"/>
        </w:rPr>
        <w:t xml:space="preserve"> </w:t>
      </w:r>
    </w:p>
    <w:p w14:paraId="06A37120" w14:textId="0B434733" w:rsidR="00460110" w:rsidRPr="00C12F8D" w:rsidRDefault="00460110" w:rsidP="0055775F">
      <w:pPr>
        <w:pStyle w:val="ListNumber"/>
        <w:tabs>
          <w:tab w:val="clear" w:pos="360"/>
        </w:tabs>
        <w:ind w:left="1094" w:hanging="737"/>
        <w:rPr>
          <w:rFonts w:ascii="Open Sans" w:hAnsi="Open Sans" w:cs="Open Sans"/>
        </w:rPr>
      </w:pPr>
      <w:r w:rsidRPr="00C12F8D">
        <w:rPr>
          <w:rFonts w:ascii="Open Sans" w:hAnsi="Open Sans" w:cs="Open Sans"/>
        </w:rPr>
        <w:t xml:space="preserve">The current United Nations Special Rapporteur on </w:t>
      </w:r>
      <w:r w:rsidR="008E05D1" w:rsidRPr="00C12F8D">
        <w:rPr>
          <w:rFonts w:ascii="Open Sans" w:hAnsi="Open Sans" w:cs="Open Sans"/>
        </w:rPr>
        <w:t>e</w:t>
      </w:r>
      <w:r w:rsidRPr="00C12F8D">
        <w:rPr>
          <w:rFonts w:ascii="Open Sans" w:hAnsi="Open Sans" w:cs="Open Sans"/>
        </w:rPr>
        <w:t>xtreme poverty and human rights, Philip Alston, recently expressed specific concern about the inadequacy of social protection for single parents and their children in Australia, and the harsh impacts of ongoing cuts:</w:t>
      </w:r>
    </w:p>
    <w:p w14:paraId="08560EB6" w14:textId="02222C77" w:rsidR="00460110" w:rsidRPr="00C12F8D" w:rsidRDefault="00460110" w:rsidP="0055775F">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Indexation amendments aside, there appears to be a lack of evidence proving that single parent entitlements throughout the course of their child’s life up until 18 years of age are adequate in amount and duration for all family members to realize their rights to family protection and assistance, an adequate standard of living, and adequate access to health care to begin with</w:t>
      </w:r>
      <w:r w:rsidR="00796BE6" w:rsidRPr="00C12F8D">
        <w:rPr>
          <w:rFonts w:ascii="Open Sans" w:hAnsi="Open Sans" w:cs="Open Sans"/>
          <w:sz w:val="22"/>
          <w:szCs w:val="22"/>
        </w:rPr>
        <w:t xml:space="preserve"> </w:t>
      </w:r>
      <w:r w:rsidRPr="00C12F8D">
        <w:rPr>
          <w:rFonts w:ascii="Open Sans" w:hAnsi="Open Sans" w:cs="Open Sans"/>
          <w:sz w:val="22"/>
          <w:szCs w:val="22"/>
        </w:rPr>
        <w:t>…</w:t>
      </w:r>
    </w:p>
    <w:p w14:paraId="0B2EBC82" w14:textId="77777777" w:rsidR="00460110" w:rsidRPr="00C12F8D" w:rsidRDefault="00460110" w:rsidP="0055775F">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To cut social protection spending where it is desperately needed by poor individuals such as single mothers supporting children in difficult circumstances is not compatible with human rights standards. …</w:t>
      </w:r>
    </w:p>
    <w:p w14:paraId="1B026E1E" w14:textId="77777777" w:rsidR="00460110" w:rsidRPr="00C12F8D" w:rsidRDefault="00460110" w:rsidP="0055775F">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 xml:space="preserve">It is both a safety net for those who require temporary financial support and a means of living for people who are unable to earn their own livelihood on a long-term basis. It is not a charitable concession whose recipients should be demonised and subjected to further social exclusion. </w:t>
      </w:r>
      <w:r w:rsidRPr="00C12F8D">
        <w:rPr>
          <w:rFonts w:ascii="Open Sans" w:hAnsi="Open Sans" w:cs="Open Sans"/>
          <w:sz w:val="22"/>
          <w:szCs w:val="22"/>
        </w:rPr>
        <w:lastRenderedPageBreak/>
        <w:t>Societies can choose to address the structural causes of poverty and commit to providing all of their members with a decent rights-affirming existence. Or they can blame the poor for their own plight, take steps to further marginalise and stigmatize them, and make it ever more difficult for them to enjoy their right to social security. Australia appears to be in the process of opting for the second of these alternatives … .</w:t>
      </w:r>
      <w:r w:rsidRPr="00C12F8D">
        <w:rPr>
          <w:rStyle w:val="EndnoteReference"/>
          <w:rFonts w:cs="Open Sans"/>
          <w:sz w:val="22"/>
          <w:szCs w:val="22"/>
        </w:rPr>
        <w:endnoteReference w:id="64"/>
      </w:r>
    </w:p>
    <w:p w14:paraId="7599CE7E" w14:textId="539AF286" w:rsidR="00460110" w:rsidRPr="00C12F8D" w:rsidRDefault="00460110" w:rsidP="00333971">
      <w:pPr>
        <w:pStyle w:val="ListNumber"/>
        <w:tabs>
          <w:tab w:val="clear" w:pos="360"/>
        </w:tabs>
        <w:ind w:left="1094" w:hanging="737"/>
        <w:rPr>
          <w:rFonts w:ascii="Open Sans" w:hAnsi="Open Sans" w:cs="Open Sans"/>
        </w:rPr>
      </w:pPr>
      <w:r w:rsidRPr="00C12F8D">
        <w:rPr>
          <w:rFonts w:ascii="Open Sans" w:hAnsi="Open Sans" w:cs="Open Sans"/>
        </w:rPr>
        <w:t>The former United Nat</w:t>
      </w:r>
      <w:r w:rsidR="00DA53E3" w:rsidRPr="00C12F8D">
        <w:rPr>
          <w:rFonts w:ascii="Open Sans" w:hAnsi="Open Sans" w:cs="Open Sans"/>
        </w:rPr>
        <w:t>ions Independent Expert on the question of human r</w:t>
      </w:r>
      <w:r w:rsidRPr="00C12F8D">
        <w:rPr>
          <w:rFonts w:ascii="Open Sans" w:hAnsi="Open Sans" w:cs="Open Sans"/>
        </w:rPr>
        <w:t>igh</w:t>
      </w:r>
      <w:r w:rsidR="00DA53E3" w:rsidRPr="00C12F8D">
        <w:rPr>
          <w:rFonts w:ascii="Open Sans" w:hAnsi="Open Sans" w:cs="Open Sans"/>
        </w:rPr>
        <w:t>ts and extreme p</w:t>
      </w:r>
      <w:r w:rsidRPr="00C12F8D">
        <w:rPr>
          <w:rFonts w:ascii="Open Sans" w:hAnsi="Open Sans" w:cs="Open Sans"/>
        </w:rPr>
        <w:t xml:space="preserve">overty, Magdalena </w:t>
      </w:r>
      <w:hyperlink r:id="rId12" w:tgtFrame="_blank" w:tooltip="View other papers by this author" w:history="1">
        <w:r w:rsidRPr="00C12F8D">
          <w:rPr>
            <w:rFonts w:ascii="Open Sans" w:hAnsi="Open Sans" w:cs="Open Sans"/>
          </w:rPr>
          <w:t>Sep</w:t>
        </w:r>
        <w:r w:rsidRPr="00C12F8D">
          <w:rPr>
            <w:rFonts w:ascii="Open Sans" w:hAnsi="Open Sans" w:cs="Open Sans"/>
            <w:lang w:val="en-US"/>
          </w:rPr>
          <w:t>ú</w:t>
        </w:r>
        <w:r w:rsidRPr="00C12F8D">
          <w:rPr>
            <w:rFonts w:ascii="Open Sans" w:hAnsi="Open Sans" w:cs="Open Sans"/>
          </w:rPr>
          <w:t>lveda Carmona</w:t>
        </w:r>
      </w:hyperlink>
      <w:r w:rsidRPr="00C12F8D">
        <w:rPr>
          <w:rFonts w:ascii="Open Sans" w:hAnsi="Open Sans" w:cs="Open Sans"/>
        </w:rPr>
        <w:t xml:space="preserve">, </w:t>
      </w:r>
      <w:r w:rsidR="00C66128">
        <w:rPr>
          <w:rFonts w:ascii="Open Sans" w:hAnsi="Open Sans" w:cs="Open Sans"/>
        </w:rPr>
        <w:t xml:space="preserve">has </w:t>
      </w:r>
      <w:r w:rsidRPr="00C12F8D">
        <w:rPr>
          <w:rFonts w:ascii="Open Sans" w:hAnsi="Open Sans" w:cs="Open Sans"/>
        </w:rPr>
        <w:t xml:space="preserve">stated that: </w:t>
      </w:r>
    </w:p>
    <w:p w14:paraId="25E809D7" w14:textId="77777777" w:rsidR="00460110" w:rsidRPr="00C12F8D" w:rsidRDefault="00460110" w:rsidP="00DD303D">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 xml:space="preserve">Under international human rights law, States have an obligation to immediately meet minimum essential levels of the rights of food, health, housing, education and social security. The enjoyment of these rights by all individuals is not conditional on the performance of certain actions or the meeting of requirements. Rather, these are inherent rights which are essential to the realisation of human dignity. </w:t>
      </w:r>
    </w:p>
    <w:p w14:paraId="25B5746E" w14:textId="266C5AE7" w:rsidR="00460110" w:rsidRPr="00C12F8D" w:rsidRDefault="00460110" w:rsidP="00DD303D">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In this context, non-compliance with conditionalities attached to social protection programmes must not result in the exclusion of beneficiaries from programmes and services which are essential to their enjoyment of minimum essential levels of basic human rights. The imposition of conditionalities, therefore, should be analysed with respect to the overall set of obligations of the State and the need to meet minimum essential levels of economic, social and cultural rights.</w:t>
      </w:r>
      <w:r w:rsidRPr="00C12F8D">
        <w:rPr>
          <w:rStyle w:val="EndnoteReference"/>
          <w:rFonts w:cs="Open Sans"/>
          <w:sz w:val="22"/>
          <w:szCs w:val="22"/>
        </w:rPr>
        <w:endnoteReference w:id="65"/>
      </w:r>
    </w:p>
    <w:p w14:paraId="4DC78571" w14:textId="4D6661BB" w:rsidR="00460110" w:rsidRPr="00C12F8D" w:rsidRDefault="00A27C4D" w:rsidP="006A1677">
      <w:pPr>
        <w:pStyle w:val="ListNumber"/>
        <w:tabs>
          <w:tab w:val="clear" w:pos="360"/>
        </w:tabs>
        <w:ind w:left="1094" w:hanging="737"/>
        <w:rPr>
          <w:rFonts w:ascii="Open Sans" w:hAnsi="Open Sans" w:cs="Open Sans"/>
        </w:rPr>
      </w:pPr>
      <w:r w:rsidRPr="00C12F8D">
        <w:rPr>
          <w:rFonts w:ascii="Open Sans" w:hAnsi="Open Sans" w:cs="Open Sans"/>
        </w:rPr>
        <w:t>The Commission considers that the suspension,</w:t>
      </w:r>
      <w:r w:rsidR="00460110" w:rsidRPr="00C12F8D">
        <w:rPr>
          <w:rFonts w:ascii="Open Sans" w:hAnsi="Open Sans" w:cs="Open Sans"/>
        </w:rPr>
        <w:t xml:space="preserve"> reduction</w:t>
      </w:r>
      <w:r w:rsidRPr="00C12F8D">
        <w:rPr>
          <w:rFonts w:ascii="Open Sans" w:hAnsi="Open Sans" w:cs="Open Sans"/>
        </w:rPr>
        <w:t xml:space="preserve"> or cancellation of</w:t>
      </w:r>
      <w:r w:rsidR="00460110" w:rsidRPr="00C12F8D">
        <w:rPr>
          <w:rFonts w:ascii="Open Sans" w:hAnsi="Open Sans" w:cs="Open Sans"/>
        </w:rPr>
        <w:t xml:space="preserve"> </w:t>
      </w:r>
      <w:r w:rsidR="00C66128">
        <w:rPr>
          <w:rFonts w:ascii="Open Sans" w:hAnsi="Open Sans" w:cs="Open Sans"/>
        </w:rPr>
        <w:t xml:space="preserve">the </w:t>
      </w:r>
      <w:r w:rsidR="00460110" w:rsidRPr="00C12F8D">
        <w:rPr>
          <w:rFonts w:ascii="Open Sans" w:hAnsi="Open Sans" w:cs="Open Sans"/>
        </w:rPr>
        <w:t xml:space="preserve">Parenting Payment </w:t>
      </w:r>
      <w:r w:rsidRPr="00C12F8D">
        <w:rPr>
          <w:rFonts w:ascii="Open Sans" w:hAnsi="Open Sans" w:cs="Open Sans"/>
        </w:rPr>
        <w:t xml:space="preserve">as a result of compliance action </w:t>
      </w:r>
      <w:r w:rsidR="00460110" w:rsidRPr="00C12F8D">
        <w:rPr>
          <w:rFonts w:ascii="Open Sans" w:hAnsi="Open Sans" w:cs="Open Sans"/>
        </w:rPr>
        <w:t>is not compatible with the nature of the right to social security, which protects a minimum essential level of social security.</w:t>
      </w:r>
      <w:r w:rsidR="004D3EE8">
        <w:rPr>
          <w:rFonts w:ascii="Open Sans" w:hAnsi="Open Sans" w:cs="Open Sans"/>
        </w:rPr>
        <w:t xml:space="preserve"> It reduces the level of support that has been deemed appropriate by the</w:t>
      </w:r>
      <w:r w:rsidR="004D3EE8" w:rsidRPr="00C12F8D">
        <w:rPr>
          <w:rFonts w:ascii="Open Sans" w:hAnsi="Open Sans" w:cs="Open Sans"/>
        </w:rPr>
        <w:t xml:space="preserve"> Government to support the cost</w:t>
      </w:r>
      <w:r w:rsidR="004D3EE8">
        <w:rPr>
          <w:rFonts w:ascii="Open Sans" w:hAnsi="Open Sans" w:cs="Open Sans"/>
        </w:rPr>
        <w:t xml:space="preserve">s of raising a young child, and also falls short of objective measures of adequacy. </w:t>
      </w:r>
    </w:p>
    <w:p w14:paraId="62855281" w14:textId="1CB71D67" w:rsidR="00460110" w:rsidRPr="00C12F8D" w:rsidRDefault="00460110" w:rsidP="00547B96">
      <w:pPr>
        <w:pStyle w:val="ListNumber"/>
        <w:tabs>
          <w:tab w:val="clear" w:pos="360"/>
        </w:tabs>
        <w:ind w:left="1094" w:hanging="737"/>
        <w:rPr>
          <w:rFonts w:ascii="Open Sans" w:hAnsi="Open Sans" w:cs="Open Sans"/>
        </w:rPr>
      </w:pPr>
      <w:r w:rsidRPr="00C12F8D">
        <w:rPr>
          <w:rFonts w:ascii="Open Sans" w:hAnsi="Open Sans" w:cs="Open Sans"/>
        </w:rPr>
        <w:t xml:space="preserve">As set out in General Comment No 19, there is also a presumption that retrogressive measures are prohibited under ICESCR. This means that particularly compelling justification is required to establish the validity of a measure that reduces the extent to which an economic, social and cultural right is already provided for. </w:t>
      </w:r>
    </w:p>
    <w:p w14:paraId="4A48B1CD" w14:textId="288D7285" w:rsidR="00460110" w:rsidRPr="00C12F8D" w:rsidRDefault="00460110" w:rsidP="00DE731B">
      <w:pPr>
        <w:pStyle w:val="ListNumber"/>
        <w:tabs>
          <w:tab w:val="clear" w:pos="360"/>
        </w:tabs>
        <w:ind w:left="1094" w:hanging="737"/>
        <w:rPr>
          <w:rFonts w:ascii="Open Sans" w:hAnsi="Open Sans" w:cs="Open Sans"/>
        </w:rPr>
      </w:pPr>
      <w:r w:rsidRPr="00C12F8D">
        <w:rPr>
          <w:rFonts w:ascii="Open Sans" w:hAnsi="Open Sans" w:cs="Open Sans"/>
        </w:rPr>
        <w:t>By making the Parenting Payment conditional on compliance with compulsory requirements under the threat of penalty, ParentsNext ‘winds back’ both the amount and guarantee of pre-existing social security benefit</w:t>
      </w:r>
      <w:r w:rsidR="00A27C4D" w:rsidRPr="00C12F8D">
        <w:rPr>
          <w:rFonts w:ascii="Open Sans" w:hAnsi="Open Sans" w:cs="Open Sans"/>
        </w:rPr>
        <w:t>s</w:t>
      </w:r>
      <w:r w:rsidRPr="00C12F8D">
        <w:rPr>
          <w:rFonts w:ascii="Open Sans" w:hAnsi="Open Sans" w:cs="Open Sans"/>
        </w:rPr>
        <w:t>. The Commission considers that no due justification has been provided for this deliberate retrogression.</w:t>
      </w:r>
    </w:p>
    <w:p w14:paraId="4DE9141F" w14:textId="7C56049D" w:rsidR="00460110" w:rsidRPr="00C12F8D" w:rsidRDefault="000B6F6D" w:rsidP="00AC3251">
      <w:pPr>
        <w:pStyle w:val="ListNumber"/>
        <w:tabs>
          <w:tab w:val="clear" w:pos="360"/>
        </w:tabs>
        <w:ind w:left="1094" w:hanging="737"/>
        <w:rPr>
          <w:rFonts w:ascii="Open Sans" w:hAnsi="Open Sans" w:cs="Open Sans"/>
        </w:rPr>
      </w:pPr>
      <w:r w:rsidRPr="00C12F8D">
        <w:rPr>
          <w:rFonts w:ascii="Open Sans" w:hAnsi="Open Sans" w:cs="Open Sans"/>
        </w:rPr>
        <w:t>T</w:t>
      </w:r>
      <w:r w:rsidR="00A27C4D" w:rsidRPr="00C12F8D">
        <w:rPr>
          <w:rFonts w:ascii="Open Sans" w:hAnsi="Open Sans" w:cs="Open Sans"/>
        </w:rPr>
        <w:t>his</w:t>
      </w:r>
      <w:r w:rsidR="00460110" w:rsidRPr="00C12F8D">
        <w:rPr>
          <w:rFonts w:ascii="Open Sans" w:hAnsi="Open Sans" w:cs="Open Sans"/>
        </w:rPr>
        <w:t xml:space="preserve"> </w:t>
      </w:r>
      <w:r w:rsidR="00075B6E" w:rsidRPr="00C12F8D">
        <w:rPr>
          <w:rFonts w:ascii="Open Sans" w:hAnsi="Open Sans" w:cs="Open Sans"/>
        </w:rPr>
        <w:t xml:space="preserve">program </w:t>
      </w:r>
      <w:r w:rsidR="00460110" w:rsidRPr="00C12F8D">
        <w:rPr>
          <w:rFonts w:ascii="Open Sans" w:hAnsi="Open Sans" w:cs="Open Sans"/>
        </w:rPr>
        <w:t xml:space="preserve">is part of a </w:t>
      </w:r>
      <w:r w:rsidRPr="00C12F8D">
        <w:rPr>
          <w:rFonts w:ascii="Open Sans" w:hAnsi="Open Sans" w:cs="Open Sans"/>
        </w:rPr>
        <w:t xml:space="preserve">concerning </w:t>
      </w:r>
      <w:r w:rsidR="00460110" w:rsidRPr="00C12F8D">
        <w:rPr>
          <w:rFonts w:ascii="Open Sans" w:hAnsi="Open Sans" w:cs="Open Sans"/>
        </w:rPr>
        <w:t xml:space="preserve">trend of diminished social security entitlements for single parents, including the move of approximately </w:t>
      </w:r>
      <w:r w:rsidR="00460110" w:rsidRPr="00C12F8D">
        <w:rPr>
          <w:rFonts w:ascii="Open Sans" w:hAnsi="Open Sans" w:cs="Open Sans"/>
        </w:rPr>
        <w:lastRenderedPageBreak/>
        <w:t>100,000 single parents, mostly women, from the Parenting Payment to the lower Newstart Allowance in 2013.</w:t>
      </w:r>
      <w:r w:rsidR="00460110" w:rsidRPr="00C12F8D">
        <w:rPr>
          <w:rStyle w:val="EndnoteReference"/>
          <w:rFonts w:cs="Open Sans"/>
        </w:rPr>
        <w:endnoteReference w:id="66"/>
      </w:r>
      <w:r w:rsidR="00460110" w:rsidRPr="00C12F8D">
        <w:rPr>
          <w:rFonts w:ascii="Open Sans" w:hAnsi="Open Sans" w:cs="Open Sans"/>
        </w:rPr>
        <w:t xml:space="preserve"> </w:t>
      </w:r>
    </w:p>
    <w:p w14:paraId="6BB2C395" w14:textId="6BDB9859" w:rsidR="00460110" w:rsidRPr="00C12F8D" w:rsidRDefault="00460110" w:rsidP="00821E5D">
      <w:pPr>
        <w:pStyle w:val="Heading3"/>
        <w:rPr>
          <w:rFonts w:ascii="Open Sans" w:hAnsi="Open Sans" w:cs="Open Sans"/>
          <w:i/>
        </w:rPr>
      </w:pPr>
      <w:bookmarkStart w:id="41" w:name="_Toc536796587"/>
      <w:r w:rsidRPr="00C12F8D">
        <w:rPr>
          <w:rFonts w:ascii="Open Sans" w:hAnsi="Open Sans" w:cs="Open Sans"/>
          <w:i/>
        </w:rPr>
        <w:t>Severe detrimental effects on parents and children</w:t>
      </w:r>
      <w:bookmarkEnd w:id="41"/>
    </w:p>
    <w:p w14:paraId="44060A83" w14:textId="1B961040" w:rsidR="00460110" w:rsidRPr="00C12F8D" w:rsidRDefault="00460110" w:rsidP="00821E5D">
      <w:pPr>
        <w:pStyle w:val="ListNumber"/>
        <w:tabs>
          <w:tab w:val="clear" w:pos="360"/>
        </w:tabs>
        <w:ind w:left="1094" w:hanging="737"/>
        <w:rPr>
          <w:rFonts w:ascii="Open Sans" w:hAnsi="Open Sans" w:cs="Open Sans"/>
        </w:rPr>
      </w:pPr>
      <w:r w:rsidRPr="00C12F8D">
        <w:rPr>
          <w:rFonts w:ascii="Open Sans" w:hAnsi="Open Sans" w:cs="Open Sans"/>
        </w:rPr>
        <w:t>The Explanatory Statement fails to address the potentially grave impacts on the human rights of parents and children whose payments are s</w:t>
      </w:r>
      <w:r w:rsidR="00075B6E" w:rsidRPr="00C12F8D">
        <w:rPr>
          <w:rFonts w:ascii="Open Sans" w:hAnsi="Open Sans" w:cs="Open Sans"/>
        </w:rPr>
        <w:t>uspended, reduced or cancelled. This raises</w:t>
      </w:r>
      <w:r w:rsidRPr="00C12F8D">
        <w:rPr>
          <w:rFonts w:ascii="Open Sans" w:hAnsi="Open Sans" w:cs="Open Sans"/>
        </w:rPr>
        <w:t xml:space="preserve"> concerns about the adequacy of the proportionality analysis</w:t>
      </w:r>
      <w:r w:rsidR="00075B6E" w:rsidRPr="00C12F8D">
        <w:rPr>
          <w:rFonts w:ascii="Open Sans" w:hAnsi="Open Sans" w:cs="Open Sans"/>
        </w:rPr>
        <w:t xml:space="preserve"> conducted</w:t>
      </w:r>
      <w:r w:rsidRPr="00C12F8D">
        <w:rPr>
          <w:rFonts w:ascii="Open Sans" w:hAnsi="Open Sans" w:cs="Open Sans"/>
        </w:rPr>
        <w:t xml:space="preserve">. </w:t>
      </w:r>
    </w:p>
    <w:p w14:paraId="20871FB6" w14:textId="2E46BA7A" w:rsidR="00460110" w:rsidRPr="00C12F8D" w:rsidRDefault="00075B6E" w:rsidP="00062664">
      <w:pPr>
        <w:pStyle w:val="ListNumber"/>
        <w:tabs>
          <w:tab w:val="clear" w:pos="360"/>
        </w:tabs>
        <w:ind w:left="1094" w:hanging="737"/>
        <w:rPr>
          <w:rFonts w:ascii="Open Sans" w:hAnsi="Open Sans" w:cs="Open Sans"/>
        </w:rPr>
      </w:pPr>
      <w:r w:rsidRPr="00C12F8D">
        <w:rPr>
          <w:rFonts w:ascii="Open Sans" w:hAnsi="Open Sans" w:cs="Open Sans"/>
        </w:rPr>
        <w:t>For example, the Explanatory Statement</w:t>
      </w:r>
      <w:r w:rsidR="00460110" w:rsidRPr="00C12F8D">
        <w:rPr>
          <w:rFonts w:ascii="Open Sans" w:hAnsi="Open Sans" w:cs="Open Sans"/>
        </w:rPr>
        <w:t xml:space="preserve"> does not address the implications for a single parent with no other source of income who, as a result of compliance action, may </w:t>
      </w:r>
      <w:r w:rsidRPr="00C12F8D">
        <w:rPr>
          <w:rFonts w:ascii="Open Sans" w:hAnsi="Open Sans" w:cs="Open Sans"/>
        </w:rPr>
        <w:t>be un</w:t>
      </w:r>
      <w:r w:rsidR="00460110" w:rsidRPr="00C12F8D">
        <w:rPr>
          <w:rFonts w:ascii="Open Sans" w:hAnsi="Open Sans" w:cs="Open Sans"/>
        </w:rPr>
        <w:t>able to afford basic necessities and services</w:t>
      </w:r>
      <w:r w:rsidR="00A17182" w:rsidRPr="00C12F8D">
        <w:rPr>
          <w:rFonts w:ascii="Open Sans" w:hAnsi="Open Sans" w:cs="Open Sans"/>
        </w:rPr>
        <w:t xml:space="preserve"> for themselves or their children</w:t>
      </w:r>
      <w:r w:rsidRPr="00C12F8D">
        <w:rPr>
          <w:rFonts w:ascii="Open Sans" w:hAnsi="Open Sans" w:cs="Open Sans"/>
        </w:rPr>
        <w:t xml:space="preserve">. As a result, </w:t>
      </w:r>
      <w:r w:rsidR="00A17182" w:rsidRPr="00C12F8D">
        <w:rPr>
          <w:rFonts w:ascii="Open Sans" w:hAnsi="Open Sans" w:cs="Open Sans"/>
        </w:rPr>
        <w:t>a</w:t>
      </w:r>
      <w:r w:rsidRPr="00C12F8D">
        <w:rPr>
          <w:rFonts w:ascii="Open Sans" w:hAnsi="Open Sans" w:cs="Open Sans"/>
        </w:rPr>
        <w:t xml:space="preserve"> child may be left without adequate</w:t>
      </w:r>
      <w:r w:rsidR="00460110" w:rsidRPr="00C12F8D">
        <w:rPr>
          <w:rFonts w:ascii="Open Sans" w:hAnsi="Open Sans" w:cs="Open Sans"/>
        </w:rPr>
        <w:t xml:space="preserve"> food, water, shelter </w:t>
      </w:r>
      <w:r w:rsidRPr="00C12F8D">
        <w:rPr>
          <w:rFonts w:ascii="Open Sans" w:hAnsi="Open Sans" w:cs="Open Sans"/>
        </w:rPr>
        <w:t>or</w:t>
      </w:r>
      <w:r w:rsidR="00460110" w:rsidRPr="00C12F8D">
        <w:rPr>
          <w:rFonts w:ascii="Open Sans" w:hAnsi="Open Sans" w:cs="Open Sans"/>
        </w:rPr>
        <w:t xml:space="preserve"> medical care. </w:t>
      </w:r>
    </w:p>
    <w:p w14:paraId="3E00429B" w14:textId="78C9969B" w:rsidR="00460110" w:rsidRPr="00C12F8D" w:rsidRDefault="00CD35B2" w:rsidP="002F4AC5">
      <w:pPr>
        <w:pStyle w:val="ListNumber"/>
        <w:tabs>
          <w:tab w:val="clear" w:pos="360"/>
        </w:tabs>
        <w:ind w:left="1094" w:hanging="737"/>
        <w:rPr>
          <w:rFonts w:ascii="Open Sans" w:hAnsi="Open Sans" w:cs="Open Sans"/>
        </w:rPr>
      </w:pPr>
      <w:r w:rsidRPr="00C12F8D">
        <w:rPr>
          <w:rFonts w:ascii="Open Sans" w:hAnsi="Open Sans" w:cs="Open Sans"/>
        </w:rPr>
        <w:t>As discussed above, the</w:t>
      </w:r>
      <w:r w:rsidR="00460110" w:rsidRPr="00C12F8D">
        <w:rPr>
          <w:rFonts w:ascii="Open Sans" w:hAnsi="Open Sans" w:cs="Open Sans"/>
        </w:rPr>
        <w:t xml:space="preserve"> Commission is concerned that program participants—who are among the most disadvantaged Parenting Payment recipients and are more likely to rely on the receipt of social security to afford basic goods and services—are the ones subjected to punitive action.</w:t>
      </w:r>
      <w:r w:rsidR="00460110" w:rsidRPr="00C12F8D">
        <w:rPr>
          <w:rStyle w:val="EndnoteReference"/>
          <w:rFonts w:cs="Open Sans"/>
        </w:rPr>
        <w:endnoteReference w:id="67"/>
      </w:r>
      <w:r w:rsidR="00460110" w:rsidRPr="00C12F8D">
        <w:rPr>
          <w:rFonts w:ascii="Open Sans" w:hAnsi="Open Sans" w:cs="Open Sans"/>
        </w:rPr>
        <w:t xml:space="preserve"> </w:t>
      </w:r>
    </w:p>
    <w:p w14:paraId="29E20B4D" w14:textId="7CEEE6E3" w:rsidR="00DA53E3" w:rsidRPr="00C12F8D" w:rsidRDefault="00460110" w:rsidP="00391423">
      <w:pPr>
        <w:pStyle w:val="ListNumber"/>
        <w:tabs>
          <w:tab w:val="clear" w:pos="360"/>
        </w:tabs>
        <w:ind w:left="1094" w:hanging="737"/>
        <w:rPr>
          <w:rFonts w:ascii="Open Sans" w:hAnsi="Open Sans" w:cs="Open Sans"/>
        </w:rPr>
      </w:pPr>
      <w:r w:rsidRPr="00C12F8D">
        <w:rPr>
          <w:rFonts w:ascii="Open Sans" w:hAnsi="Open Sans" w:cs="Open Sans"/>
        </w:rPr>
        <w:t xml:space="preserve">Further </w:t>
      </w:r>
      <w:r w:rsidR="00DA53E3" w:rsidRPr="00C12F8D">
        <w:rPr>
          <w:rFonts w:ascii="Open Sans" w:hAnsi="Open Sans" w:cs="Open Sans"/>
        </w:rPr>
        <w:t>financial hardship</w:t>
      </w:r>
      <w:r w:rsidRPr="00C12F8D">
        <w:rPr>
          <w:rFonts w:ascii="Open Sans" w:hAnsi="Open Sans" w:cs="Open Sans"/>
        </w:rPr>
        <w:t xml:space="preserve"> could occur as a result of puniti</w:t>
      </w:r>
      <w:r w:rsidR="00CD35B2" w:rsidRPr="00C12F8D">
        <w:rPr>
          <w:rFonts w:ascii="Open Sans" w:hAnsi="Open Sans" w:cs="Open Sans"/>
        </w:rPr>
        <w:t>ve compliance under ParentsNext</w:t>
      </w:r>
      <w:r w:rsidRPr="00C12F8D">
        <w:rPr>
          <w:rFonts w:ascii="Open Sans" w:hAnsi="Open Sans" w:cs="Open Sans"/>
        </w:rPr>
        <w:t xml:space="preserve">, for example </w:t>
      </w:r>
      <w:r w:rsidR="00DA53E3" w:rsidRPr="00C12F8D">
        <w:rPr>
          <w:rFonts w:ascii="Open Sans" w:hAnsi="Open Sans" w:cs="Open Sans"/>
        </w:rPr>
        <w:t>due to</w:t>
      </w:r>
      <w:r w:rsidRPr="00C12F8D">
        <w:rPr>
          <w:rFonts w:ascii="Open Sans" w:hAnsi="Open Sans" w:cs="Open Sans"/>
        </w:rPr>
        <w:t xml:space="preserve"> automatic payment </w:t>
      </w:r>
      <w:r w:rsidR="00DA53E3" w:rsidRPr="00C12F8D">
        <w:rPr>
          <w:rFonts w:ascii="Open Sans" w:hAnsi="Open Sans" w:cs="Open Sans"/>
        </w:rPr>
        <w:t xml:space="preserve">suspension </w:t>
      </w:r>
      <w:r w:rsidRPr="00C12F8D">
        <w:rPr>
          <w:rFonts w:ascii="Open Sans" w:hAnsi="Open Sans" w:cs="Open Sans"/>
        </w:rPr>
        <w:t>after one n</w:t>
      </w:r>
      <w:r w:rsidR="00DA53E3" w:rsidRPr="00C12F8D">
        <w:rPr>
          <w:rFonts w:ascii="Open Sans" w:hAnsi="Open Sans" w:cs="Open Sans"/>
        </w:rPr>
        <w:t>on-compliance or the</w:t>
      </w:r>
      <w:r w:rsidRPr="00C12F8D">
        <w:rPr>
          <w:rFonts w:ascii="Open Sans" w:hAnsi="Open Sans" w:cs="Open Sans"/>
        </w:rPr>
        <w:t xml:space="preserve"> reduction of a fortnightly </w:t>
      </w:r>
      <w:r w:rsidR="00CD35B2" w:rsidRPr="00C12F8D">
        <w:rPr>
          <w:rFonts w:ascii="Open Sans" w:hAnsi="Open Sans" w:cs="Open Sans"/>
        </w:rPr>
        <w:t>p</w:t>
      </w:r>
      <w:r w:rsidRPr="00C12F8D">
        <w:rPr>
          <w:rFonts w:ascii="Open Sans" w:hAnsi="Open Sans" w:cs="Open Sans"/>
        </w:rPr>
        <w:t>aymen</w:t>
      </w:r>
      <w:r w:rsidR="00CD35B2" w:rsidRPr="00C12F8D">
        <w:rPr>
          <w:rFonts w:ascii="Open Sans" w:hAnsi="Open Sans" w:cs="Open Sans"/>
        </w:rPr>
        <w:t xml:space="preserve">t by half or whole. </w:t>
      </w:r>
    </w:p>
    <w:p w14:paraId="75F70675" w14:textId="2E3B0957" w:rsidR="00460110" w:rsidRPr="00C12F8D" w:rsidRDefault="00CD35B2" w:rsidP="00391423">
      <w:pPr>
        <w:pStyle w:val="ListNumber"/>
        <w:tabs>
          <w:tab w:val="clear" w:pos="360"/>
        </w:tabs>
        <w:ind w:left="1094" w:hanging="737"/>
        <w:rPr>
          <w:rFonts w:ascii="Open Sans" w:hAnsi="Open Sans" w:cs="Open Sans"/>
        </w:rPr>
      </w:pPr>
      <w:r w:rsidRPr="00C12F8D">
        <w:rPr>
          <w:rFonts w:ascii="Open Sans" w:hAnsi="Open Sans" w:cs="Open Sans"/>
        </w:rPr>
        <w:t>While suspension might occur on a short-term basis,</w:t>
      </w:r>
      <w:r w:rsidR="00460110" w:rsidRPr="00C12F8D">
        <w:rPr>
          <w:rFonts w:ascii="Open Sans" w:hAnsi="Open Sans" w:cs="Open Sans"/>
        </w:rPr>
        <w:t xml:space="preserve"> </w:t>
      </w:r>
      <w:r w:rsidRPr="00C12F8D">
        <w:rPr>
          <w:rFonts w:ascii="Open Sans" w:hAnsi="Open Sans" w:cs="Open Sans"/>
        </w:rPr>
        <w:t>the detrimental</w:t>
      </w:r>
      <w:r w:rsidR="00460110" w:rsidRPr="00C12F8D">
        <w:rPr>
          <w:rFonts w:ascii="Open Sans" w:hAnsi="Open Sans" w:cs="Open Sans"/>
        </w:rPr>
        <w:t xml:space="preserve"> </w:t>
      </w:r>
      <w:r w:rsidRPr="00C12F8D">
        <w:rPr>
          <w:rFonts w:ascii="Open Sans" w:hAnsi="Open Sans" w:cs="Open Sans"/>
        </w:rPr>
        <w:t>impacts could still be severe</w:t>
      </w:r>
      <w:r w:rsidR="00460110" w:rsidRPr="00C12F8D">
        <w:rPr>
          <w:rFonts w:ascii="Open Sans" w:hAnsi="Open Sans" w:cs="Open Sans"/>
        </w:rPr>
        <w:t xml:space="preserve">. The assertion that suspended payments will be reinstated once compliance occurs does not solve the harm that could occur in the intervening period. </w:t>
      </w:r>
    </w:p>
    <w:p w14:paraId="059CC51A" w14:textId="40F63F41" w:rsidR="00460110" w:rsidRPr="00C12F8D" w:rsidRDefault="00460110" w:rsidP="003B2946">
      <w:pPr>
        <w:pStyle w:val="ListNumber"/>
        <w:tabs>
          <w:tab w:val="clear" w:pos="360"/>
        </w:tabs>
        <w:ind w:left="1094" w:hanging="737"/>
        <w:rPr>
          <w:rFonts w:ascii="Open Sans" w:hAnsi="Open Sans" w:cs="Open Sans"/>
        </w:rPr>
      </w:pPr>
      <w:r w:rsidRPr="00C12F8D">
        <w:rPr>
          <w:rFonts w:ascii="Open Sans" w:hAnsi="Open Sans" w:cs="Open Sans"/>
        </w:rPr>
        <w:t xml:space="preserve">The automatic suspension approach can be contrasted with alternatives in different jurisdictions. </w:t>
      </w:r>
      <w:r w:rsidR="00A71C1A" w:rsidRPr="00C12F8D">
        <w:rPr>
          <w:rFonts w:ascii="Open Sans" w:hAnsi="Open Sans" w:cs="Open Sans"/>
        </w:rPr>
        <w:t>For example, in New Zealand</w:t>
      </w:r>
      <w:r w:rsidRPr="00C12F8D">
        <w:rPr>
          <w:rFonts w:ascii="Open Sans" w:hAnsi="Open Sans" w:cs="Open Sans"/>
        </w:rPr>
        <w:t xml:space="preserve"> written notice must be provided five days ahead of any sanction being applied specify</w:t>
      </w:r>
      <w:r w:rsidR="00A71C1A" w:rsidRPr="00C12F8D">
        <w:rPr>
          <w:rFonts w:ascii="Open Sans" w:hAnsi="Open Sans" w:cs="Open Sans"/>
        </w:rPr>
        <w:t>ing</w:t>
      </w:r>
      <w:r w:rsidRPr="00C12F8D">
        <w:rPr>
          <w:rFonts w:ascii="Open Sans" w:hAnsi="Open Sans" w:cs="Open Sans"/>
        </w:rPr>
        <w:t xml:space="preserve"> information including the person’s rights of review.</w:t>
      </w:r>
      <w:r w:rsidRPr="00C12F8D">
        <w:rPr>
          <w:rStyle w:val="EndnoteReference"/>
          <w:rFonts w:cs="Open Sans"/>
        </w:rPr>
        <w:endnoteReference w:id="68"/>
      </w:r>
      <w:r w:rsidRPr="00C12F8D">
        <w:rPr>
          <w:rFonts w:ascii="Open Sans" w:hAnsi="Open Sans" w:cs="Open Sans"/>
        </w:rPr>
        <w:t xml:space="preserve"> </w:t>
      </w:r>
    </w:p>
    <w:p w14:paraId="1D9F0760" w14:textId="128128CA" w:rsidR="00460110" w:rsidRPr="00C12F8D" w:rsidRDefault="00460110" w:rsidP="00C233C9">
      <w:pPr>
        <w:pStyle w:val="ListNumber"/>
        <w:tabs>
          <w:tab w:val="clear" w:pos="360"/>
        </w:tabs>
        <w:ind w:left="1094" w:hanging="737"/>
        <w:rPr>
          <w:rFonts w:ascii="Open Sans" w:hAnsi="Open Sans" w:cs="Open Sans"/>
        </w:rPr>
      </w:pPr>
      <w:r w:rsidRPr="00C12F8D">
        <w:rPr>
          <w:rFonts w:ascii="Open Sans" w:hAnsi="Open Sans" w:cs="Open Sans"/>
        </w:rPr>
        <w:t xml:space="preserve">In the most extreme situations, </w:t>
      </w:r>
      <w:r w:rsidR="002F5CF5" w:rsidRPr="00C12F8D">
        <w:rPr>
          <w:rFonts w:ascii="Open Sans" w:hAnsi="Open Sans" w:cs="Open Sans"/>
        </w:rPr>
        <w:t xml:space="preserve">for example </w:t>
      </w:r>
      <w:r w:rsidRPr="00C12F8D">
        <w:rPr>
          <w:rFonts w:ascii="Open Sans" w:hAnsi="Open Sans" w:cs="Open Sans"/>
        </w:rPr>
        <w:t>payment cancellation</w:t>
      </w:r>
      <w:r w:rsidR="002F5CF5" w:rsidRPr="00C12F8D">
        <w:rPr>
          <w:rFonts w:ascii="Open Sans" w:hAnsi="Open Sans" w:cs="Open Sans"/>
        </w:rPr>
        <w:t>,</w:t>
      </w:r>
      <w:r w:rsidRPr="00C12F8D">
        <w:rPr>
          <w:rFonts w:ascii="Open Sans" w:hAnsi="Open Sans" w:cs="Open Sans"/>
        </w:rPr>
        <w:t xml:space="preserve"> </w:t>
      </w:r>
      <w:r w:rsidR="002F5CF5" w:rsidRPr="00C12F8D">
        <w:rPr>
          <w:rFonts w:ascii="Open Sans" w:hAnsi="Open Sans" w:cs="Open Sans"/>
        </w:rPr>
        <w:t xml:space="preserve">punitive compliance </w:t>
      </w:r>
      <w:r w:rsidRPr="00C12F8D">
        <w:rPr>
          <w:rFonts w:ascii="Open Sans" w:hAnsi="Open Sans" w:cs="Open Sans"/>
        </w:rPr>
        <w:t xml:space="preserve">could cause acute </w:t>
      </w:r>
      <w:r w:rsidR="002F5CF5" w:rsidRPr="00C12F8D">
        <w:rPr>
          <w:rFonts w:ascii="Open Sans" w:hAnsi="Open Sans" w:cs="Open Sans"/>
        </w:rPr>
        <w:t xml:space="preserve">and long-term </w:t>
      </w:r>
      <w:r w:rsidR="00610F11" w:rsidRPr="00C12F8D">
        <w:rPr>
          <w:rFonts w:ascii="Open Sans" w:hAnsi="Open Sans" w:cs="Open Sans"/>
        </w:rPr>
        <w:t xml:space="preserve">financial </w:t>
      </w:r>
      <w:r w:rsidR="00AD78D3" w:rsidRPr="00C12F8D">
        <w:rPr>
          <w:rFonts w:ascii="Open Sans" w:hAnsi="Open Sans" w:cs="Open Sans"/>
        </w:rPr>
        <w:t xml:space="preserve">hardship and </w:t>
      </w:r>
      <w:r w:rsidR="00610F11" w:rsidRPr="00C12F8D">
        <w:rPr>
          <w:rFonts w:ascii="Open Sans" w:hAnsi="Open Sans" w:cs="Open Sans"/>
        </w:rPr>
        <w:t xml:space="preserve">insecurity. Such outcomes risk </w:t>
      </w:r>
      <w:r w:rsidRPr="00C12F8D">
        <w:rPr>
          <w:rFonts w:ascii="Open Sans" w:hAnsi="Open Sans" w:cs="Open Sans"/>
        </w:rPr>
        <w:t>exacerbating and entrenching</w:t>
      </w:r>
      <w:r w:rsidR="002F5CF5" w:rsidRPr="00C12F8D">
        <w:rPr>
          <w:rFonts w:ascii="Open Sans" w:hAnsi="Open Sans" w:cs="Open Sans"/>
        </w:rPr>
        <w:t xml:space="preserve"> cycles of poverty, inequality </w:t>
      </w:r>
      <w:r w:rsidRPr="00C12F8D">
        <w:rPr>
          <w:rFonts w:ascii="Open Sans" w:hAnsi="Open Sans" w:cs="Open Sans"/>
        </w:rPr>
        <w:t xml:space="preserve">and intergenerational disadvantage. </w:t>
      </w:r>
    </w:p>
    <w:p w14:paraId="70078E96" w14:textId="0657FE9E" w:rsidR="000108D5" w:rsidRPr="00C12F8D" w:rsidRDefault="000108D5" w:rsidP="000108D5">
      <w:pPr>
        <w:pStyle w:val="ListNumber"/>
        <w:tabs>
          <w:tab w:val="clear" w:pos="360"/>
        </w:tabs>
        <w:ind w:left="1094" w:hanging="737"/>
        <w:rPr>
          <w:rFonts w:ascii="Open Sans" w:hAnsi="Open Sans" w:cs="Open Sans"/>
        </w:rPr>
      </w:pPr>
      <w:r w:rsidRPr="00C12F8D">
        <w:rPr>
          <w:rFonts w:ascii="Open Sans" w:hAnsi="Open Sans" w:cs="Open Sans"/>
        </w:rPr>
        <w:t xml:space="preserve">Punitive compliance action may also reduce a person’s resilience to the complex challenges they face, such as homelessness, domestic violence, drug and alcohol dependency, mental health challenges and </w:t>
      </w:r>
      <w:r w:rsidRPr="00C12F8D">
        <w:rPr>
          <w:rFonts w:ascii="Open Sans" w:hAnsi="Open Sans" w:cs="Open Sans"/>
        </w:rPr>
        <w:lastRenderedPageBreak/>
        <w:t>language or numeracy difficulty. These challenges are the exact ‘barriers to employment’ that ParentsNext purports to address.</w:t>
      </w:r>
      <w:r w:rsidRPr="00C12F8D">
        <w:rPr>
          <w:rStyle w:val="EndnoteReference"/>
          <w:rFonts w:cs="Open Sans"/>
        </w:rPr>
        <w:endnoteReference w:id="69"/>
      </w:r>
    </w:p>
    <w:p w14:paraId="74695A5B" w14:textId="3BA16245" w:rsidR="00460110" w:rsidRPr="00C12F8D" w:rsidRDefault="00460110" w:rsidP="003E68AE">
      <w:pPr>
        <w:pStyle w:val="ListNumber"/>
        <w:tabs>
          <w:tab w:val="clear" w:pos="360"/>
        </w:tabs>
        <w:ind w:left="1094" w:hanging="737"/>
        <w:rPr>
          <w:rFonts w:ascii="Open Sans" w:hAnsi="Open Sans" w:cs="Open Sans"/>
        </w:rPr>
      </w:pPr>
      <w:r w:rsidRPr="00C12F8D">
        <w:rPr>
          <w:rFonts w:ascii="Open Sans" w:hAnsi="Open Sans" w:cs="Open Sans"/>
          <w:shd w:val="clear" w:color="auto" w:fill="FFFFFF"/>
        </w:rPr>
        <w:t>Available evidence shows that numerous ParentsNext participants have been subject to the compliance framework:</w:t>
      </w:r>
      <w:r w:rsidRPr="00C12F8D">
        <w:rPr>
          <w:rFonts w:ascii="Open Sans" w:hAnsi="Open Sans" w:cs="Open Sans"/>
        </w:rPr>
        <w:tab/>
      </w:r>
    </w:p>
    <w:p w14:paraId="08BC3A11" w14:textId="14676F86" w:rsidR="00460110" w:rsidRPr="00C12F8D" w:rsidRDefault="00460110" w:rsidP="003E68A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As of 31 August 2018, 84 participants had a demerit point. One participant had triggered a capability interview, having reached three demerit points in two months. This is the new process that came into effect in July. But their demerits were reset to zero, as the requirements were not suitable to their circumstances. Additionally 2,683 participants had received a payment suspension. This equates to 9.8 per cent of all participants at the time …</w:t>
      </w:r>
    </w:p>
    <w:p w14:paraId="380C4BF5" w14:textId="77777777" w:rsidR="00460110" w:rsidRPr="00C12F8D" w:rsidRDefault="00460110" w:rsidP="003E68A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That evaluation also indicates that 9.1 per cent of participants experienced a suspension of their payment during the first 15 months of the trial and that three commenced participants had their payment cancelled after failing to engage in the program for 13 continuous weeks.</w:t>
      </w:r>
      <w:r w:rsidRPr="00C12F8D">
        <w:rPr>
          <w:rStyle w:val="EndnoteReference"/>
          <w:rFonts w:cs="Open Sans"/>
          <w:sz w:val="22"/>
          <w:szCs w:val="22"/>
        </w:rPr>
        <w:endnoteReference w:id="70"/>
      </w:r>
      <w:r w:rsidRPr="00C12F8D">
        <w:rPr>
          <w:rFonts w:ascii="Open Sans" w:hAnsi="Open Sans" w:cs="Open Sans"/>
          <w:sz w:val="22"/>
          <w:szCs w:val="22"/>
        </w:rPr>
        <w:t> </w:t>
      </w:r>
    </w:p>
    <w:p w14:paraId="6F378D07" w14:textId="3B23175F" w:rsidR="00460110" w:rsidRPr="00C12F8D" w:rsidRDefault="00460110" w:rsidP="003E68AE">
      <w:pPr>
        <w:pStyle w:val="ListNumber"/>
        <w:numPr>
          <w:ilvl w:val="0"/>
          <w:numId w:val="0"/>
        </w:numPr>
        <w:ind w:left="1094"/>
        <w:rPr>
          <w:rFonts w:ascii="Open Sans" w:hAnsi="Open Sans" w:cs="Open Sans"/>
        </w:rPr>
      </w:pPr>
      <w:r w:rsidRPr="00C12F8D">
        <w:rPr>
          <w:rFonts w:ascii="Open Sans" w:hAnsi="Open Sans" w:cs="Open Sans"/>
        </w:rPr>
        <w:t xml:space="preserve">The number of parents subject to compliance is only likely to have increased following the program expansion to 68,000 participants. </w:t>
      </w:r>
    </w:p>
    <w:p w14:paraId="6B30AF8A" w14:textId="45F3C04B" w:rsidR="00460110" w:rsidRPr="00C12F8D" w:rsidRDefault="005071C2" w:rsidP="00AA7851">
      <w:pPr>
        <w:pStyle w:val="ListNumber"/>
        <w:tabs>
          <w:tab w:val="clear" w:pos="360"/>
        </w:tabs>
        <w:ind w:left="1094" w:hanging="737"/>
        <w:rPr>
          <w:rFonts w:ascii="Open Sans" w:hAnsi="Open Sans" w:cs="Open Sans"/>
        </w:rPr>
      </w:pPr>
      <w:r w:rsidRPr="00C12F8D">
        <w:rPr>
          <w:rFonts w:ascii="Open Sans" w:hAnsi="Open Sans" w:cs="Open Sans"/>
        </w:rPr>
        <w:t>During the trial phase, 27% of participants were granted at least one exemption from participation requirements.</w:t>
      </w:r>
      <w:r w:rsidRPr="00C12F8D">
        <w:rPr>
          <w:rStyle w:val="EndnoteReference"/>
          <w:rFonts w:cs="Open Sans"/>
        </w:rPr>
        <w:endnoteReference w:id="71"/>
      </w:r>
      <w:r w:rsidRPr="00C12F8D">
        <w:rPr>
          <w:rFonts w:ascii="Open Sans" w:hAnsi="Open Sans" w:cs="Open Sans"/>
        </w:rPr>
        <w:t xml:space="preserve"> </w:t>
      </w:r>
      <w:r>
        <w:rPr>
          <w:rFonts w:ascii="Open Sans" w:hAnsi="Open Sans" w:cs="Open Sans"/>
        </w:rPr>
        <w:t>This</w:t>
      </w:r>
      <w:r w:rsidR="00460110" w:rsidRPr="00C12F8D">
        <w:rPr>
          <w:rFonts w:ascii="Open Sans" w:hAnsi="Open Sans" w:cs="Open Sans"/>
        </w:rPr>
        <w:t xml:space="preserve"> relatively large number of exemptions,</w:t>
      </w:r>
      <w:r>
        <w:rPr>
          <w:rFonts w:ascii="Open Sans" w:hAnsi="Open Sans" w:cs="Open Sans"/>
        </w:rPr>
        <w:t xml:space="preserve"> granted to</w:t>
      </w:r>
      <w:r w:rsidR="00460110" w:rsidRPr="00C12F8D">
        <w:rPr>
          <w:rFonts w:ascii="Open Sans" w:hAnsi="Open Sans" w:cs="Open Sans"/>
        </w:rPr>
        <w:t xml:space="preserve"> almost one third</w:t>
      </w:r>
      <w:r>
        <w:rPr>
          <w:rFonts w:ascii="Open Sans" w:hAnsi="Open Sans" w:cs="Open Sans"/>
        </w:rPr>
        <w:t xml:space="preserve"> of participants</w:t>
      </w:r>
      <w:r w:rsidR="00460110" w:rsidRPr="00C12F8D">
        <w:rPr>
          <w:rFonts w:ascii="Open Sans" w:hAnsi="Open Sans" w:cs="Open Sans"/>
        </w:rPr>
        <w:t xml:space="preserve"> in total, is indicative of the prevalence of</w:t>
      </w:r>
      <w:r>
        <w:rPr>
          <w:rFonts w:ascii="Open Sans" w:hAnsi="Open Sans" w:cs="Open Sans"/>
        </w:rPr>
        <w:t xml:space="preserve"> the</w:t>
      </w:r>
      <w:r w:rsidR="00460110" w:rsidRPr="00C12F8D">
        <w:rPr>
          <w:rFonts w:ascii="Open Sans" w:hAnsi="Open Sans" w:cs="Open Sans"/>
        </w:rPr>
        <w:t xml:space="preserve"> complex challenges</w:t>
      </w:r>
      <w:r w:rsidR="00A17182" w:rsidRPr="00C12F8D">
        <w:rPr>
          <w:rFonts w:ascii="Open Sans" w:hAnsi="Open Sans" w:cs="Open Sans"/>
        </w:rPr>
        <w:t xml:space="preserve"> faced by ParentsNext participants</w:t>
      </w:r>
      <w:r w:rsidR="00460110" w:rsidRPr="00C12F8D">
        <w:rPr>
          <w:rFonts w:ascii="Open Sans" w:hAnsi="Open Sans" w:cs="Open Sans"/>
        </w:rPr>
        <w:t xml:space="preserve">. </w:t>
      </w:r>
    </w:p>
    <w:p w14:paraId="5246AEDB" w14:textId="221DD804" w:rsidR="00460110" w:rsidRPr="00C12F8D" w:rsidRDefault="00460110" w:rsidP="00AA7851">
      <w:pPr>
        <w:pStyle w:val="ListNumber"/>
        <w:tabs>
          <w:tab w:val="clear" w:pos="360"/>
        </w:tabs>
        <w:ind w:left="1094" w:hanging="737"/>
        <w:rPr>
          <w:rFonts w:ascii="Open Sans" w:hAnsi="Open Sans" w:cs="Open Sans"/>
        </w:rPr>
      </w:pPr>
      <w:r w:rsidRPr="00C12F8D">
        <w:rPr>
          <w:rFonts w:ascii="Open Sans" w:hAnsi="Open Sans" w:cs="Open Sans"/>
        </w:rPr>
        <w:t>It is likely that an even higher proportion of participants would legitimately qualify for an exemption, for reasons</w:t>
      </w:r>
      <w:r w:rsidR="00FD14B9">
        <w:rPr>
          <w:rFonts w:ascii="Open Sans" w:hAnsi="Open Sans" w:cs="Open Sans"/>
        </w:rPr>
        <w:t xml:space="preserve"> such</w:t>
      </w:r>
      <w:r w:rsidRPr="00C12F8D">
        <w:rPr>
          <w:rFonts w:ascii="Open Sans" w:hAnsi="Open Sans" w:cs="Open Sans"/>
        </w:rPr>
        <w:t xml:space="preserve"> as domestic violence, but have not reported or completed</w:t>
      </w:r>
      <w:r w:rsidR="00FD14B9">
        <w:rPr>
          <w:rFonts w:ascii="Open Sans" w:hAnsi="Open Sans" w:cs="Open Sans"/>
        </w:rPr>
        <w:t xml:space="preserve"> the</w:t>
      </w:r>
      <w:r w:rsidRPr="00C12F8D">
        <w:rPr>
          <w:rFonts w:ascii="Open Sans" w:hAnsi="Open Sans" w:cs="Open Sans"/>
        </w:rPr>
        <w:t xml:space="preserve"> </w:t>
      </w:r>
      <w:r w:rsidR="00FD14B9">
        <w:rPr>
          <w:rFonts w:ascii="Open Sans" w:hAnsi="Open Sans" w:cs="Open Sans"/>
        </w:rPr>
        <w:t xml:space="preserve">necessary </w:t>
      </w:r>
      <w:r w:rsidRPr="00C12F8D">
        <w:rPr>
          <w:rFonts w:ascii="Open Sans" w:hAnsi="Open Sans" w:cs="Open Sans"/>
        </w:rPr>
        <w:t xml:space="preserve">administrative steps to obtain </w:t>
      </w:r>
      <w:r w:rsidR="00FD14B9">
        <w:rPr>
          <w:rFonts w:ascii="Open Sans" w:hAnsi="Open Sans" w:cs="Open Sans"/>
        </w:rPr>
        <w:t>an</w:t>
      </w:r>
      <w:r w:rsidRPr="00C12F8D">
        <w:rPr>
          <w:rFonts w:ascii="Open Sans" w:hAnsi="Open Sans" w:cs="Open Sans"/>
        </w:rPr>
        <w:t xml:space="preserve"> exemption.</w:t>
      </w:r>
    </w:p>
    <w:p w14:paraId="7AD27999" w14:textId="480FFA5E" w:rsidR="00460110" w:rsidRPr="00C12F8D" w:rsidRDefault="00460110" w:rsidP="00D75EB9">
      <w:pPr>
        <w:pStyle w:val="ListNumber"/>
        <w:tabs>
          <w:tab w:val="clear" w:pos="360"/>
        </w:tabs>
        <w:ind w:left="1094" w:hanging="737"/>
        <w:rPr>
          <w:rFonts w:ascii="Open Sans" w:hAnsi="Open Sans" w:cs="Open Sans"/>
        </w:rPr>
      </w:pPr>
      <w:r w:rsidRPr="00C12F8D">
        <w:rPr>
          <w:rFonts w:ascii="Open Sans" w:hAnsi="Open Sans" w:cs="Open Sans"/>
        </w:rPr>
        <w:t xml:space="preserve">This raises concerns about the efficacy and efficiency of administering the program, given </w:t>
      </w:r>
      <w:r w:rsidR="00FD4326">
        <w:rPr>
          <w:rFonts w:ascii="Open Sans" w:hAnsi="Open Sans" w:cs="Open Sans"/>
        </w:rPr>
        <w:t>the recognition of</w:t>
      </w:r>
      <w:r w:rsidRPr="00C12F8D">
        <w:rPr>
          <w:rFonts w:ascii="Open Sans" w:hAnsi="Open Sans" w:cs="Open Sans"/>
        </w:rPr>
        <w:t xml:space="preserve"> a legitimate basis for granting s</w:t>
      </w:r>
      <w:r w:rsidR="00FD4326">
        <w:rPr>
          <w:rFonts w:ascii="Open Sans" w:hAnsi="Open Sans" w:cs="Open Sans"/>
        </w:rPr>
        <w:t>o many</w:t>
      </w:r>
      <w:r w:rsidRPr="00C12F8D">
        <w:rPr>
          <w:rFonts w:ascii="Open Sans" w:hAnsi="Open Sans" w:cs="Open Sans"/>
        </w:rPr>
        <w:t xml:space="preserve"> exemptions. The exemptions permit a suspension of requirements which essentially results in ParentsNext participants being temporarily returned to the position of other Parenting Payment recipients. </w:t>
      </w:r>
    </w:p>
    <w:p w14:paraId="0F54DD32" w14:textId="0E676594" w:rsidR="00460110" w:rsidRPr="00C12F8D" w:rsidRDefault="00460110" w:rsidP="00821E5D">
      <w:pPr>
        <w:pStyle w:val="Heading3"/>
        <w:rPr>
          <w:rFonts w:ascii="Open Sans" w:hAnsi="Open Sans" w:cs="Open Sans"/>
          <w:i/>
        </w:rPr>
      </w:pPr>
      <w:bookmarkStart w:id="42" w:name="_Toc536796588"/>
      <w:r w:rsidRPr="00C12F8D">
        <w:rPr>
          <w:rFonts w:ascii="Open Sans" w:hAnsi="Open Sans" w:cs="Open Sans"/>
          <w:i/>
        </w:rPr>
        <w:t>Problematic evidence</w:t>
      </w:r>
      <w:bookmarkEnd w:id="42"/>
    </w:p>
    <w:p w14:paraId="3D45A58B" w14:textId="43278B78" w:rsidR="00460110" w:rsidRPr="00C12F8D" w:rsidRDefault="00460110" w:rsidP="008426B6">
      <w:pPr>
        <w:pStyle w:val="ListNumber"/>
        <w:tabs>
          <w:tab w:val="clear" w:pos="360"/>
        </w:tabs>
        <w:ind w:left="1094" w:hanging="737"/>
        <w:rPr>
          <w:rFonts w:ascii="Open Sans" w:hAnsi="Open Sans" w:cs="Open Sans"/>
        </w:rPr>
      </w:pPr>
      <w:r w:rsidRPr="00C12F8D">
        <w:rPr>
          <w:rFonts w:ascii="Open Sans" w:hAnsi="Open Sans" w:cs="Open Sans"/>
        </w:rPr>
        <w:t xml:space="preserve">In the Explanatory Document and Statement of Compatibility with Human Rights, it states that the compliance model has ‘proven to be effective’ and ‘reduces the risk of long-term poverty and welfare dependency’. However, it does not provide adequate evidence in support of these claims. </w:t>
      </w:r>
    </w:p>
    <w:p w14:paraId="12A01908" w14:textId="77777777"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lastRenderedPageBreak/>
        <w:t>There are divergent expert views on the effectiveness and desirability of targeted social benefits and the imposition of punitive conditions.</w:t>
      </w:r>
    </w:p>
    <w:p w14:paraId="19FCCC3C" w14:textId="4D61CDEB"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t xml:space="preserve">Academic studies have found that the evidence as to whether sanction-backed conditionality achieves positive employment outcomes and </w:t>
      </w:r>
      <w:r w:rsidR="00A17182" w:rsidRPr="00C12F8D">
        <w:rPr>
          <w:rFonts w:ascii="Open Sans" w:hAnsi="Open Sans" w:cs="Open Sans"/>
        </w:rPr>
        <w:t xml:space="preserve">improves </w:t>
      </w:r>
      <w:r w:rsidRPr="00C12F8D">
        <w:rPr>
          <w:rFonts w:ascii="Open Sans" w:hAnsi="Open Sans" w:cs="Open Sans"/>
        </w:rPr>
        <w:t>quality of life is ‘at best, extremely mixed’.</w:t>
      </w:r>
      <w:r w:rsidRPr="00C12F8D">
        <w:rPr>
          <w:rStyle w:val="EndnoteReference"/>
          <w:rFonts w:cs="Open Sans"/>
        </w:rPr>
        <w:endnoteReference w:id="72"/>
      </w:r>
      <w:r w:rsidRPr="00C12F8D">
        <w:rPr>
          <w:rFonts w:ascii="Open Sans" w:hAnsi="Open Sans" w:cs="Open Sans"/>
        </w:rPr>
        <w:t xml:space="preserve"> </w:t>
      </w:r>
    </w:p>
    <w:p w14:paraId="3C26F1DC" w14:textId="77777777" w:rsidR="000108D5" w:rsidRPr="00C12F8D" w:rsidRDefault="00460110" w:rsidP="00DC6D18">
      <w:pPr>
        <w:pStyle w:val="ListNumber"/>
        <w:tabs>
          <w:tab w:val="clear" w:pos="360"/>
        </w:tabs>
        <w:ind w:left="1094" w:hanging="737"/>
        <w:rPr>
          <w:rFonts w:ascii="Open Sans" w:hAnsi="Open Sans" w:cs="Open Sans"/>
        </w:rPr>
      </w:pPr>
      <w:r w:rsidRPr="00C12F8D">
        <w:rPr>
          <w:rFonts w:ascii="Open Sans" w:hAnsi="Open Sans" w:cs="Open Sans"/>
        </w:rPr>
        <w:t>Research carried out on the efficacy of welfare conditionality in the United Kingdom over five years, in collaboration with six universities, found that punitive sanctions did not result in the desired behavioural change in jobseekers.</w:t>
      </w:r>
      <w:r w:rsidRPr="00C12F8D">
        <w:rPr>
          <w:rStyle w:val="EndnoteReference"/>
          <w:rFonts w:cs="Open Sans"/>
        </w:rPr>
        <w:endnoteReference w:id="73"/>
      </w:r>
      <w:r w:rsidRPr="00C12F8D">
        <w:rPr>
          <w:rFonts w:ascii="Open Sans" w:hAnsi="Open Sans" w:cs="Open Sans"/>
        </w:rPr>
        <w:t xml:space="preserve"> </w:t>
      </w:r>
    </w:p>
    <w:p w14:paraId="09A39793" w14:textId="06CB3117" w:rsidR="00460110" w:rsidRPr="00C12F8D" w:rsidRDefault="00460110" w:rsidP="00DC6D18">
      <w:pPr>
        <w:pStyle w:val="ListNumber"/>
        <w:tabs>
          <w:tab w:val="clear" w:pos="360"/>
        </w:tabs>
        <w:ind w:left="1094" w:hanging="737"/>
        <w:rPr>
          <w:rFonts w:ascii="Open Sans" w:hAnsi="Open Sans" w:cs="Open Sans"/>
        </w:rPr>
      </w:pPr>
      <w:r w:rsidRPr="00C12F8D">
        <w:rPr>
          <w:rFonts w:ascii="Open Sans" w:hAnsi="Open Sans" w:cs="Open Sans"/>
        </w:rPr>
        <w:t>Conditionality was found to be largely ineffective in facilitating people’s entry into or progression within the paid labour market over time.</w:t>
      </w:r>
      <w:r w:rsidRPr="00C12F8D">
        <w:rPr>
          <w:rStyle w:val="EndnoteReference"/>
          <w:rFonts w:cs="Open Sans"/>
          <w:sz w:val="22"/>
          <w:szCs w:val="22"/>
        </w:rPr>
        <w:endnoteReference w:id="74"/>
      </w:r>
      <w:r w:rsidRPr="00C12F8D">
        <w:rPr>
          <w:rFonts w:ascii="Open Sans" w:hAnsi="Open Sans" w:cs="Open Sans"/>
        </w:rPr>
        <w:t xml:space="preserve"> Sanctions or the threat of sanctions were found to be counterproductive.</w:t>
      </w:r>
      <w:r w:rsidRPr="00C12F8D">
        <w:rPr>
          <w:rStyle w:val="EndnoteReference"/>
          <w:rFonts w:cs="Open Sans"/>
        </w:rPr>
        <w:endnoteReference w:id="75"/>
      </w:r>
      <w:r w:rsidRPr="00C12F8D">
        <w:rPr>
          <w:rFonts w:ascii="Open Sans" w:hAnsi="Open Sans" w:cs="Open Sans"/>
        </w:rPr>
        <w:t xml:space="preserve"> </w:t>
      </w:r>
    </w:p>
    <w:p w14:paraId="00E835CC" w14:textId="2F0F28C6" w:rsidR="00460110" w:rsidRPr="00C12F8D" w:rsidRDefault="00460110" w:rsidP="00E96F2B">
      <w:pPr>
        <w:pStyle w:val="ListNumber"/>
        <w:tabs>
          <w:tab w:val="clear" w:pos="360"/>
        </w:tabs>
        <w:ind w:left="1094" w:hanging="737"/>
        <w:rPr>
          <w:rFonts w:ascii="Open Sans" w:hAnsi="Open Sans" w:cs="Open Sans"/>
        </w:rPr>
      </w:pPr>
      <w:r w:rsidRPr="00C12F8D">
        <w:rPr>
          <w:rFonts w:ascii="Open Sans" w:hAnsi="Open Sans" w:cs="Open Sans"/>
        </w:rPr>
        <w:t xml:space="preserve">Further, opposed to historical understandings of social security as unproductive public expenditure, spending on poverty alleviation has more recently been understood as a productive investment that creates long-term economic growth. For example, the United Nations Special Rapporteur on </w:t>
      </w:r>
      <w:r w:rsidR="00D705F6">
        <w:rPr>
          <w:rFonts w:ascii="Open Sans" w:hAnsi="Open Sans" w:cs="Open Sans"/>
        </w:rPr>
        <w:t>e</w:t>
      </w:r>
      <w:r w:rsidR="00D705F6" w:rsidRPr="00C12F8D">
        <w:rPr>
          <w:rFonts w:ascii="Open Sans" w:hAnsi="Open Sans" w:cs="Open Sans"/>
        </w:rPr>
        <w:t xml:space="preserve">xtreme </w:t>
      </w:r>
      <w:r w:rsidRPr="00C12F8D">
        <w:rPr>
          <w:rFonts w:ascii="Open Sans" w:hAnsi="Open Sans" w:cs="Open Sans"/>
        </w:rPr>
        <w:t xml:space="preserve">poverty and human rights has stated: </w:t>
      </w:r>
    </w:p>
    <w:p w14:paraId="33CBCCCE" w14:textId="052E4C27" w:rsidR="00460110" w:rsidRPr="00C12F8D" w:rsidRDefault="00460110" w:rsidP="001441E6">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It is widely recognised that spending on poverty alleviation brings future economic gains by allowing people to escape poverty thereby reducing future expenditure on crime and health care, improving productivity, and ultimately reducing the number of people reliant on welfare.</w:t>
      </w:r>
      <w:r w:rsidRPr="00C12F8D">
        <w:rPr>
          <w:rStyle w:val="EndnoteReference"/>
          <w:rFonts w:cs="Open Sans"/>
          <w:sz w:val="22"/>
          <w:szCs w:val="22"/>
        </w:rPr>
        <w:endnoteReference w:id="76"/>
      </w:r>
    </w:p>
    <w:p w14:paraId="34AFEFB1" w14:textId="374F0273"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t>The Department of Jobs and Small Business, which is responsible for administering ParentsNext, produced a report analysing the ‘early impact’ of the trial during the period from 4 April 2016 to 30 June 2017 (the Report).</w:t>
      </w:r>
      <w:r w:rsidRPr="00C12F8D">
        <w:rPr>
          <w:rStyle w:val="EndnoteReference"/>
          <w:rFonts w:cs="Open Sans"/>
        </w:rPr>
        <w:endnoteReference w:id="77"/>
      </w:r>
      <w:r w:rsidRPr="00C12F8D">
        <w:rPr>
          <w:rFonts w:ascii="Open Sans" w:hAnsi="Open Sans" w:cs="Open Sans"/>
        </w:rPr>
        <w:t xml:space="preserve"> </w:t>
      </w:r>
    </w:p>
    <w:p w14:paraId="0820AE00" w14:textId="6DC05964"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t>The methodology included conducting a participant opinion survey and comparing the results to a survey of the opinions of non-participant parents in ‘statistically similar comparison groups’. Based on the results of these surveys and other administrative data, the Report made the following assertions:</w:t>
      </w:r>
    </w:p>
    <w:p w14:paraId="68BFDEC2" w14:textId="0C420F53"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ParentsNext improves parents’ attitudes to workforce participation</w:t>
      </w:r>
    </w:p>
    <w:p w14:paraId="23D1B17D" w14:textId="77777777"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ParentsNext improves parents’ wellbeing</w:t>
      </w:r>
    </w:p>
    <w:p w14:paraId="3E92C94C" w14:textId="77777777"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having education and employment goals is associated with higher proportions of ParentsNext participants undertaking study and training, and looking for work</w:t>
      </w:r>
    </w:p>
    <w:p w14:paraId="20414DFD" w14:textId="0CD66808"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ParentsNext participants were more likely to achieve at least one of four proxy measures indicating that they were studying, training or working</w:t>
      </w:r>
    </w:p>
    <w:p w14:paraId="0459B389" w14:textId="77777777"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lastRenderedPageBreak/>
        <w:t>participating in ParentsNext leads to increased chances of studying or training</w:t>
      </w:r>
    </w:p>
    <w:p w14:paraId="00495355" w14:textId="77777777"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participating in ParentsNext leads to increased chances of employment although this is not a mandatory requirement of the program</w:t>
      </w:r>
    </w:p>
    <w:p w14:paraId="180E9F13" w14:textId="77777777"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participating in ParentsNext leads to increased use of child care</w:t>
      </w:r>
    </w:p>
    <w:p w14:paraId="03F9626A" w14:textId="34603A73"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the program design and operational processes of ParentsNext helped enable it achieve its objectives.</w:t>
      </w:r>
      <w:r w:rsidRPr="00C12F8D">
        <w:rPr>
          <w:rStyle w:val="EndnoteReference"/>
          <w:rFonts w:cs="Open Sans"/>
        </w:rPr>
        <w:endnoteReference w:id="78"/>
      </w:r>
    </w:p>
    <w:p w14:paraId="04E800A3" w14:textId="2E831632" w:rsidR="00460110" w:rsidRPr="00C12F8D" w:rsidRDefault="00460110" w:rsidP="007E22D3">
      <w:pPr>
        <w:pStyle w:val="ListNumber"/>
        <w:tabs>
          <w:tab w:val="clear" w:pos="360"/>
        </w:tabs>
        <w:ind w:left="1094" w:hanging="737"/>
        <w:rPr>
          <w:rFonts w:ascii="Open Sans" w:hAnsi="Open Sans" w:cs="Open Sans"/>
        </w:rPr>
      </w:pPr>
      <w:r w:rsidRPr="00C12F8D">
        <w:rPr>
          <w:rFonts w:ascii="Open Sans" w:hAnsi="Open Sans" w:cs="Open Sans"/>
        </w:rPr>
        <w:t>The Commission holds concerns about the reliability of the data on which these conclusions are based. A key limitation of the Report is that none of the claimed outcomes were directly measured. That is, there was no comparison of the position of participating parents before and after the trial. Nor was this a randomised control trial where two groups with the same characteristics were examined, with only one group participating in the ParentsNext program.</w:t>
      </w:r>
      <w:r w:rsidRPr="00C12F8D">
        <w:rPr>
          <w:rStyle w:val="EndnoteReference"/>
          <w:rFonts w:cs="Open Sans"/>
        </w:rPr>
        <w:endnoteReference w:id="79"/>
      </w:r>
    </w:p>
    <w:p w14:paraId="55439BF3" w14:textId="7416D096" w:rsidR="000108D5" w:rsidRPr="00C12F8D" w:rsidRDefault="00460110" w:rsidP="00E660AF">
      <w:pPr>
        <w:pStyle w:val="ListNumber"/>
        <w:tabs>
          <w:tab w:val="clear" w:pos="360"/>
        </w:tabs>
        <w:ind w:left="1094" w:hanging="737"/>
        <w:rPr>
          <w:rFonts w:ascii="Open Sans" w:hAnsi="Open Sans" w:cs="Open Sans"/>
        </w:rPr>
      </w:pPr>
      <w:r w:rsidRPr="00C12F8D">
        <w:rPr>
          <w:rFonts w:ascii="Open Sans" w:hAnsi="Open Sans" w:cs="Open Sans"/>
        </w:rPr>
        <w:t>It appears that, rather than using either of these approaches, the comparators used were a number of ‘constructed non-participant groups’ said to have similar characteristics to the participants.</w:t>
      </w:r>
      <w:r w:rsidRPr="00C12F8D">
        <w:rPr>
          <w:rStyle w:val="EndnoteReference"/>
          <w:rFonts w:cs="Open Sans"/>
        </w:rPr>
        <w:endnoteReference w:id="80"/>
      </w:r>
      <w:r w:rsidRPr="00C12F8D">
        <w:rPr>
          <w:rFonts w:ascii="Open Sans" w:hAnsi="Open Sans" w:cs="Open Sans"/>
        </w:rPr>
        <w:t xml:space="preserve"> There was little information as to how comparison groups were selected. </w:t>
      </w:r>
    </w:p>
    <w:p w14:paraId="5B295DD2" w14:textId="63FBFDC7" w:rsidR="00460110" w:rsidRPr="00C12F8D" w:rsidRDefault="00460110" w:rsidP="00E660AF">
      <w:pPr>
        <w:pStyle w:val="ListNumber"/>
        <w:tabs>
          <w:tab w:val="clear" w:pos="360"/>
        </w:tabs>
        <w:ind w:left="1094" w:hanging="737"/>
        <w:rPr>
          <w:rFonts w:ascii="Open Sans" w:hAnsi="Open Sans" w:cs="Open Sans"/>
        </w:rPr>
      </w:pPr>
      <w:r w:rsidRPr="00C12F8D">
        <w:rPr>
          <w:rFonts w:ascii="Open Sans" w:hAnsi="Open Sans" w:cs="Open Sans"/>
        </w:rPr>
        <w:t xml:space="preserve">Further, as the Report acknowledges, ‘data for many of the ParentsNext outcomes were not available for the comparison groups’ so various proxy measures were used instead, including for education and employment. </w:t>
      </w:r>
    </w:p>
    <w:p w14:paraId="6D567588" w14:textId="214D5856" w:rsidR="00460110" w:rsidRPr="00C12F8D" w:rsidRDefault="00460110" w:rsidP="007E22D3">
      <w:pPr>
        <w:pStyle w:val="ListNumber"/>
        <w:tabs>
          <w:tab w:val="clear" w:pos="360"/>
        </w:tabs>
        <w:ind w:left="1094" w:hanging="737"/>
        <w:rPr>
          <w:rFonts w:ascii="Open Sans" w:hAnsi="Open Sans" w:cs="Open Sans"/>
        </w:rPr>
      </w:pPr>
      <w:r w:rsidRPr="00C12F8D">
        <w:rPr>
          <w:rFonts w:ascii="Open Sans" w:hAnsi="Open Sans" w:cs="Open Sans"/>
        </w:rPr>
        <w:t>Some limitations of the analysis are acknowledged in the Report itself, including issues with ‘the extent to which a valid comparison group and a common outcome measure that was useable and available, outside the program administrative data, could be constructed’.</w:t>
      </w:r>
      <w:r w:rsidRPr="00C12F8D">
        <w:rPr>
          <w:rStyle w:val="EndnoteReference"/>
          <w:rFonts w:cs="Open Sans"/>
        </w:rPr>
        <w:endnoteReference w:id="81"/>
      </w:r>
      <w:r w:rsidRPr="00C12F8D">
        <w:rPr>
          <w:rFonts w:ascii="Open Sans" w:hAnsi="Open Sans" w:cs="Open Sans"/>
        </w:rPr>
        <w:t xml:space="preserve"> </w:t>
      </w:r>
    </w:p>
    <w:p w14:paraId="33355332" w14:textId="2ADC72D0" w:rsidR="00460110" w:rsidRPr="00C12F8D" w:rsidRDefault="00460110" w:rsidP="007E22D3">
      <w:pPr>
        <w:pStyle w:val="ListNumber"/>
        <w:tabs>
          <w:tab w:val="clear" w:pos="360"/>
        </w:tabs>
        <w:ind w:left="1094" w:hanging="737"/>
        <w:rPr>
          <w:rFonts w:ascii="Open Sans" w:hAnsi="Open Sans" w:cs="Open Sans"/>
        </w:rPr>
      </w:pPr>
      <w:r w:rsidRPr="00C12F8D">
        <w:rPr>
          <w:rFonts w:ascii="Open Sans" w:hAnsi="Open Sans" w:cs="Open Sans"/>
        </w:rPr>
        <w:t>The Report further admits that quantifying the actual effects of ParentsNext was ‘difficult’ because:</w:t>
      </w:r>
    </w:p>
    <w:p w14:paraId="46C0BDC7" w14:textId="6A45B2B8" w:rsidR="00460110" w:rsidRPr="00C12F8D" w:rsidRDefault="00460110" w:rsidP="00DA46BC">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diverse range of participants received flexible assistance and achieved outcome measures expressed in terms of goal setting and attainment. This made it hard to isolate the effects of participation in ParentsNext, and to distinguish ‘Project provider’ specific effects from more general ‘program’ effects.</w:t>
      </w:r>
    </w:p>
    <w:p w14:paraId="7460A7EA" w14:textId="739C0513"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t xml:space="preserve">Any comparisons drawn with Jobactive participants </w:t>
      </w:r>
      <w:r w:rsidR="00235CCB">
        <w:rPr>
          <w:rFonts w:ascii="Open Sans" w:hAnsi="Open Sans" w:cs="Open Sans"/>
        </w:rPr>
        <w:t>are</w:t>
      </w:r>
      <w:r w:rsidR="00235CCB" w:rsidRPr="00C12F8D">
        <w:rPr>
          <w:rFonts w:ascii="Open Sans" w:hAnsi="Open Sans" w:cs="Open Sans"/>
        </w:rPr>
        <w:t xml:space="preserve"> </w:t>
      </w:r>
      <w:r w:rsidRPr="00C12F8D">
        <w:rPr>
          <w:rFonts w:ascii="Open Sans" w:hAnsi="Open Sans" w:cs="Open Sans"/>
        </w:rPr>
        <w:t>not appropriately analogous, given the additional time, financial and other responsibilities on ParentsNext participants as primary carers of young children. The objectives of these programs are different and it is inappropriate to assess them against each other.</w:t>
      </w:r>
    </w:p>
    <w:p w14:paraId="33331C59" w14:textId="229ADA6E" w:rsidR="00460110" w:rsidRPr="00C12F8D" w:rsidRDefault="00A17182" w:rsidP="00AA7EE9">
      <w:pPr>
        <w:pStyle w:val="ListNumber"/>
        <w:tabs>
          <w:tab w:val="clear" w:pos="360"/>
        </w:tabs>
        <w:ind w:left="1094" w:hanging="737"/>
        <w:rPr>
          <w:rFonts w:ascii="Open Sans" w:hAnsi="Open Sans" w:cs="Open Sans"/>
        </w:rPr>
      </w:pPr>
      <w:r w:rsidRPr="00C12F8D">
        <w:rPr>
          <w:rFonts w:ascii="Open Sans" w:hAnsi="Open Sans" w:cs="Open Sans"/>
        </w:rPr>
        <w:lastRenderedPageBreak/>
        <w:t>The R</w:t>
      </w:r>
      <w:r w:rsidR="00460110" w:rsidRPr="00C12F8D">
        <w:rPr>
          <w:rFonts w:ascii="Open Sans" w:hAnsi="Open Sans" w:cs="Open Sans"/>
        </w:rPr>
        <w:t xml:space="preserve">eport does not disclose how many participants undertook the evaluation survey, how they were chosen, and the circumstances in which the survey was completed. The Report does not include a copy of the survey. It is therefore unclear whether the sample size was statistically significant, and whether the design and methodology </w:t>
      </w:r>
      <w:r w:rsidR="00973615" w:rsidRPr="00C12F8D">
        <w:rPr>
          <w:rFonts w:ascii="Open Sans" w:hAnsi="Open Sans" w:cs="Open Sans"/>
        </w:rPr>
        <w:t xml:space="preserve">of the survey was </w:t>
      </w:r>
      <w:r w:rsidR="00460110" w:rsidRPr="00C12F8D">
        <w:rPr>
          <w:rFonts w:ascii="Open Sans" w:hAnsi="Open Sans" w:cs="Open Sans"/>
        </w:rPr>
        <w:t>appropriate.</w:t>
      </w:r>
    </w:p>
    <w:p w14:paraId="1DA294F4" w14:textId="1EF1C91D" w:rsidR="00EB54B6" w:rsidRPr="00C12F8D" w:rsidRDefault="00460110" w:rsidP="000108D5">
      <w:pPr>
        <w:pStyle w:val="ListNumber"/>
        <w:tabs>
          <w:tab w:val="clear" w:pos="360"/>
        </w:tabs>
        <w:ind w:left="1094" w:hanging="737"/>
        <w:rPr>
          <w:rFonts w:ascii="Open Sans" w:hAnsi="Open Sans" w:cs="Open Sans"/>
        </w:rPr>
      </w:pPr>
      <w:r w:rsidRPr="00C12F8D">
        <w:rPr>
          <w:rFonts w:ascii="Open Sans" w:hAnsi="Open Sans" w:cs="Open Sans"/>
        </w:rPr>
        <w:t xml:space="preserve">The tentative wording of the </w:t>
      </w:r>
      <w:r w:rsidR="00A17182" w:rsidRPr="00C12F8D">
        <w:rPr>
          <w:rFonts w:ascii="Open Sans" w:hAnsi="Open Sans" w:cs="Open Sans"/>
        </w:rPr>
        <w:t xml:space="preserve">Report </w:t>
      </w:r>
      <w:r w:rsidRPr="00C12F8D">
        <w:rPr>
          <w:rFonts w:ascii="Open Sans" w:hAnsi="Open Sans" w:cs="Open Sans"/>
        </w:rPr>
        <w:t xml:space="preserve">findings </w:t>
      </w:r>
      <w:r w:rsidR="00A17182" w:rsidRPr="00C12F8D">
        <w:rPr>
          <w:rFonts w:ascii="Open Sans" w:hAnsi="Open Sans" w:cs="Open Sans"/>
        </w:rPr>
        <w:t xml:space="preserve">also </w:t>
      </w:r>
      <w:r w:rsidRPr="00C12F8D">
        <w:rPr>
          <w:rFonts w:ascii="Open Sans" w:hAnsi="Open Sans" w:cs="Open Sans"/>
        </w:rPr>
        <w:t xml:space="preserve">signifies the difficulties encountered in drawing clear conclusions, such as ‘participating in ParentsNext leads to </w:t>
      </w:r>
      <w:r w:rsidRPr="00C12F8D">
        <w:rPr>
          <w:rFonts w:ascii="Open Sans" w:hAnsi="Open Sans" w:cs="Open Sans"/>
          <w:i/>
        </w:rPr>
        <w:t xml:space="preserve">increased chances </w:t>
      </w:r>
      <w:r w:rsidRPr="00C12F8D">
        <w:rPr>
          <w:rFonts w:ascii="Open Sans" w:hAnsi="Open Sans" w:cs="Open Sans"/>
        </w:rPr>
        <w:t xml:space="preserve">of employment’ [emphasis added]. </w:t>
      </w:r>
    </w:p>
    <w:p w14:paraId="3A352FDA" w14:textId="4A9CA6BE" w:rsidR="00460110" w:rsidRPr="00C12F8D" w:rsidRDefault="00EB54B6" w:rsidP="000108D5">
      <w:pPr>
        <w:pStyle w:val="ListNumber"/>
        <w:tabs>
          <w:tab w:val="clear" w:pos="360"/>
        </w:tabs>
        <w:ind w:left="1094" w:hanging="737"/>
        <w:rPr>
          <w:rFonts w:ascii="Open Sans" w:hAnsi="Open Sans" w:cs="Open Sans"/>
        </w:rPr>
      </w:pPr>
      <w:r w:rsidRPr="00C12F8D">
        <w:rPr>
          <w:rFonts w:ascii="Open Sans" w:hAnsi="Open Sans" w:cs="Open Sans"/>
        </w:rPr>
        <w:t>Further, t</w:t>
      </w:r>
      <w:r w:rsidR="00460110" w:rsidRPr="00C12F8D">
        <w:rPr>
          <w:rFonts w:ascii="Open Sans" w:hAnsi="Open Sans" w:cs="Open Sans"/>
        </w:rPr>
        <w:t xml:space="preserve">he primary piece of data relied on for this conclusion was not the number of participants obtaining greater levels of employment. </w:t>
      </w:r>
      <w:r w:rsidR="000108D5" w:rsidRPr="00C12F8D">
        <w:rPr>
          <w:rFonts w:ascii="Open Sans" w:hAnsi="Open Sans" w:cs="Open Sans"/>
        </w:rPr>
        <w:t xml:space="preserve">Rather, the primary piece of data relied on was an answer to a survey question asking participants whether they considered that participation in the program had improved their chances of getting a job. </w:t>
      </w:r>
      <w:r w:rsidR="00460110" w:rsidRPr="00C12F8D">
        <w:rPr>
          <w:rFonts w:ascii="Open Sans" w:hAnsi="Open Sans" w:cs="Open Sans"/>
        </w:rPr>
        <w:t xml:space="preserve">In fact, data indicated that 93% of program participants did not have a single fortnight during which their income support was reduced as a result of </w:t>
      </w:r>
      <w:r w:rsidR="000108D5" w:rsidRPr="00C12F8D">
        <w:rPr>
          <w:rFonts w:ascii="Open Sans" w:hAnsi="Open Sans" w:cs="Open Sans"/>
        </w:rPr>
        <w:t>increased earnin</w:t>
      </w:r>
      <w:r w:rsidR="00460110" w:rsidRPr="00C12F8D">
        <w:rPr>
          <w:rFonts w:ascii="Open Sans" w:hAnsi="Open Sans" w:cs="Open Sans"/>
        </w:rPr>
        <w:t>g</w:t>
      </w:r>
      <w:r w:rsidR="000108D5" w:rsidRPr="00C12F8D">
        <w:rPr>
          <w:rFonts w:ascii="Open Sans" w:hAnsi="Open Sans" w:cs="Open Sans"/>
        </w:rPr>
        <w:t>s, over the period analysed</w:t>
      </w:r>
      <w:r w:rsidR="00460110" w:rsidRPr="00C12F8D">
        <w:rPr>
          <w:rFonts w:ascii="Open Sans" w:hAnsi="Open Sans" w:cs="Open Sans"/>
        </w:rPr>
        <w:t>.</w:t>
      </w:r>
      <w:r w:rsidR="00460110" w:rsidRPr="00C12F8D">
        <w:rPr>
          <w:rStyle w:val="EndnoteReference"/>
          <w:rFonts w:cs="Open Sans"/>
        </w:rPr>
        <w:endnoteReference w:id="82"/>
      </w:r>
      <w:r w:rsidR="00460110" w:rsidRPr="00C12F8D">
        <w:rPr>
          <w:rFonts w:ascii="Open Sans" w:hAnsi="Open Sans" w:cs="Open Sans"/>
        </w:rPr>
        <w:t xml:space="preserve"> </w:t>
      </w:r>
    </w:p>
    <w:p w14:paraId="2BE52302" w14:textId="260AF942" w:rsidR="00460110" w:rsidRPr="00C12F8D" w:rsidRDefault="00460110" w:rsidP="00BD4F4A">
      <w:pPr>
        <w:pStyle w:val="ListNumber"/>
        <w:tabs>
          <w:tab w:val="clear" w:pos="360"/>
        </w:tabs>
        <w:ind w:left="1094" w:hanging="737"/>
        <w:rPr>
          <w:rFonts w:ascii="Open Sans" w:hAnsi="Open Sans" w:cs="Open Sans"/>
        </w:rPr>
      </w:pPr>
      <w:r w:rsidRPr="00C12F8D">
        <w:rPr>
          <w:rFonts w:ascii="Open Sans" w:hAnsi="Open Sans" w:cs="Open Sans"/>
        </w:rPr>
        <w:t>As this Committee has heard in previous inquiries, data of this nature is likely to be affected by a ‘social desirability bias’</w:t>
      </w:r>
      <w:r w:rsidR="00AD78D3" w:rsidRPr="00C12F8D">
        <w:rPr>
          <w:rFonts w:ascii="Open Sans" w:hAnsi="Open Sans" w:cs="Open Sans"/>
        </w:rPr>
        <w:t>,</w:t>
      </w:r>
      <w:r w:rsidRPr="00C12F8D">
        <w:rPr>
          <w:rFonts w:ascii="Open Sans" w:hAnsi="Open Sans" w:cs="Open Sans"/>
        </w:rPr>
        <w:t xml:space="preserve"> where those responding to a survey are more likely to respond in a socially acceptable way or in a way they anticipate that officials conducting the survey want to hear.</w:t>
      </w:r>
      <w:r w:rsidRPr="00C12F8D">
        <w:rPr>
          <w:rStyle w:val="EndnoteReference"/>
          <w:rFonts w:cs="Open Sans"/>
        </w:rPr>
        <w:endnoteReference w:id="83"/>
      </w:r>
      <w:r w:rsidRPr="00C12F8D">
        <w:rPr>
          <w:rFonts w:ascii="Open Sans" w:hAnsi="Open Sans" w:cs="Open Sans"/>
        </w:rPr>
        <w:t xml:space="preserve"> The risk of such a bias increases when the survey is conducted by the body administering the program.</w:t>
      </w:r>
    </w:p>
    <w:p w14:paraId="557E4828" w14:textId="604DD58F" w:rsidR="00460110" w:rsidRPr="00C12F8D" w:rsidRDefault="00460110" w:rsidP="00AA7EE9">
      <w:pPr>
        <w:pStyle w:val="ListNumber"/>
        <w:tabs>
          <w:tab w:val="clear" w:pos="360"/>
        </w:tabs>
        <w:ind w:left="1094" w:hanging="737"/>
        <w:rPr>
          <w:rFonts w:ascii="Open Sans" w:hAnsi="Open Sans" w:cs="Open Sans"/>
        </w:rPr>
      </w:pPr>
      <w:r w:rsidRPr="00C12F8D">
        <w:rPr>
          <w:rFonts w:ascii="Open Sans" w:hAnsi="Open Sans" w:cs="Open Sans"/>
        </w:rPr>
        <w:t xml:space="preserve">Further, the Report suggests that a key value of the program was encouraging participants to </w:t>
      </w:r>
      <w:r w:rsidRPr="00C12F8D">
        <w:rPr>
          <w:rFonts w:ascii="Open Sans" w:hAnsi="Open Sans" w:cs="Open Sans"/>
          <w:i/>
        </w:rPr>
        <w:t>think about</w:t>
      </w:r>
      <w:r w:rsidRPr="00C12F8D">
        <w:rPr>
          <w:rFonts w:ascii="Open Sans" w:hAnsi="Open Sans" w:cs="Open Sans"/>
        </w:rPr>
        <w:t xml:space="preserve"> education, training and employment goal setting, which </w:t>
      </w:r>
      <w:r w:rsidRPr="00C12F8D">
        <w:rPr>
          <w:rFonts w:ascii="Open Sans" w:hAnsi="Open Sans" w:cs="Open Sans"/>
          <w:i/>
        </w:rPr>
        <w:t>increased the likelihood</w:t>
      </w:r>
      <w:r w:rsidRPr="00C12F8D">
        <w:rPr>
          <w:rFonts w:ascii="Open Sans" w:hAnsi="Open Sans" w:cs="Open Sans"/>
        </w:rPr>
        <w:t xml:space="preserve"> of undertaking training, study or voluntary work or looking for work [emphasis added].</w:t>
      </w:r>
    </w:p>
    <w:p w14:paraId="0482D726" w14:textId="721C24C3" w:rsidR="00460110" w:rsidRPr="00C12F8D" w:rsidRDefault="00460110" w:rsidP="006F4397">
      <w:pPr>
        <w:pStyle w:val="ListNumber"/>
        <w:tabs>
          <w:tab w:val="clear" w:pos="360"/>
        </w:tabs>
        <w:ind w:left="1094" w:hanging="737"/>
        <w:rPr>
          <w:rFonts w:ascii="Open Sans" w:hAnsi="Open Sans" w:cs="Open Sans"/>
        </w:rPr>
      </w:pPr>
      <w:r w:rsidRPr="00C12F8D">
        <w:rPr>
          <w:rFonts w:ascii="Open Sans" w:hAnsi="Open Sans" w:cs="Open Sans"/>
        </w:rPr>
        <w:t>Such phrasing suggests that a definitive causal link has not been established between program participation and the articulated policy goals of increased female workforce participation, reduced welfare dependency and decreased intergenerational joblessness.</w:t>
      </w:r>
    </w:p>
    <w:p w14:paraId="094231BF" w14:textId="4F6A34A3" w:rsidR="00460110" w:rsidRPr="00C12F8D" w:rsidRDefault="00460110" w:rsidP="007F19B7">
      <w:pPr>
        <w:pStyle w:val="ListNumber"/>
        <w:tabs>
          <w:tab w:val="clear" w:pos="360"/>
        </w:tabs>
        <w:ind w:left="1094" w:hanging="737"/>
        <w:rPr>
          <w:rFonts w:ascii="Open Sans" w:hAnsi="Open Sans" w:cs="Open Sans"/>
        </w:rPr>
      </w:pPr>
      <w:r w:rsidRPr="00C12F8D">
        <w:rPr>
          <w:rFonts w:ascii="Open Sans" w:hAnsi="Open Sans" w:cs="Open Sans"/>
        </w:rPr>
        <w:t xml:space="preserve">Joblessness is a complex and multidimensional problem. Even if ParentsNext results in increased pre-vocational goal setting and achievement, there are plainly larger structural social and economic issues that inform the viability of the </w:t>
      </w:r>
      <w:r w:rsidR="000326D4" w:rsidRPr="00C12F8D">
        <w:rPr>
          <w:rFonts w:ascii="Open Sans" w:hAnsi="Open Sans" w:cs="Open Sans"/>
        </w:rPr>
        <w:t>objectives</w:t>
      </w:r>
      <w:r w:rsidRPr="00C12F8D">
        <w:rPr>
          <w:rFonts w:ascii="Open Sans" w:hAnsi="Open Sans" w:cs="Open Sans"/>
        </w:rPr>
        <w:t xml:space="preserve"> of the program. </w:t>
      </w:r>
    </w:p>
    <w:p w14:paraId="5417834D" w14:textId="3B352366" w:rsidR="00460110" w:rsidRPr="00C12F8D" w:rsidRDefault="00460110" w:rsidP="007F19B7">
      <w:pPr>
        <w:pStyle w:val="ListNumber"/>
        <w:tabs>
          <w:tab w:val="clear" w:pos="360"/>
        </w:tabs>
        <w:ind w:left="1094" w:hanging="737"/>
        <w:rPr>
          <w:rFonts w:ascii="Open Sans" w:hAnsi="Open Sans" w:cs="Open Sans"/>
        </w:rPr>
      </w:pPr>
      <w:r w:rsidRPr="00C12F8D">
        <w:rPr>
          <w:rFonts w:ascii="Open Sans" w:hAnsi="Open Sans" w:cs="Open Sans"/>
        </w:rPr>
        <w:t xml:space="preserve">Such issues include the availability and accessibility of suitable jobs in the appropriate regions. Structural racism, unlawful discrimination in employment on the basis of caring responsibilities, and the availability </w:t>
      </w:r>
      <w:r w:rsidRPr="00C12F8D">
        <w:rPr>
          <w:rFonts w:ascii="Open Sans" w:hAnsi="Open Sans" w:cs="Open Sans"/>
        </w:rPr>
        <w:lastRenderedPageBreak/>
        <w:t xml:space="preserve">of other social services such as affordable childcare and healthcare pose additional barriers. </w:t>
      </w:r>
    </w:p>
    <w:p w14:paraId="333C057C" w14:textId="6042B058" w:rsidR="00B30927" w:rsidRPr="00C12F8D" w:rsidRDefault="00B30927" w:rsidP="006A00B6">
      <w:pPr>
        <w:pStyle w:val="ListNumber"/>
        <w:tabs>
          <w:tab w:val="clear" w:pos="360"/>
        </w:tabs>
        <w:ind w:left="1094" w:hanging="737"/>
        <w:rPr>
          <w:rFonts w:ascii="Open Sans" w:hAnsi="Open Sans" w:cs="Open Sans"/>
          <w:lang w:eastAsia="en-AU"/>
        </w:rPr>
      </w:pPr>
      <w:r w:rsidRPr="00C12F8D">
        <w:rPr>
          <w:rFonts w:ascii="Open Sans" w:hAnsi="Open Sans" w:cs="Open Sans"/>
          <w:lang w:eastAsia="en-AU"/>
        </w:rPr>
        <w:t xml:space="preserve">There are also a range of gender equality gaps in Australia that affect </w:t>
      </w:r>
      <w:r w:rsidR="004437B2" w:rsidRPr="00C12F8D">
        <w:rPr>
          <w:rFonts w:ascii="Open Sans" w:hAnsi="Open Sans" w:cs="Open Sans"/>
          <w:lang w:eastAsia="en-AU"/>
        </w:rPr>
        <w:t>women’s rights to work, to just and favourable conditions of work and to </w:t>
      </w:r>
      <w:r w:rsidR="002B73E9" w:rsidRPr="00C12F8D">
        <w:rPr>
          <w:rFonts w:ascii="Open Sans" w:hAnsi="Open Sans" w:cs="Open Sans"/>
          <w:lang w:eastAsia="en-AU"/>
        </w:rPr>
        <w:t xml:space="preserve">an </w:t>
      </w:r>
      <w:r w:rsidR="004437B2" w:rsidRPr="00C12F8D">
        <w:rPr>
          <w:rFonts w:ascii="Open Sans" w:hAnsi="Open Sans" w:cs="Open Sans"/>
          <w:lang w:eastAsia="en-AU"/>
        </w:rPr>
        <w:t>adequate standard of living for themselves and their family</w:t>
      </w:r>
      <w:r w:rsidRPr="00C12F8D">
        <w:rPr>
          <w:rFonts w:ascii="Open Sans" w:hAnsi="Open Sans" w:cs="Open Sans"/>
          <w:lang w:eastAsia="en-AU"/>
        </w:rPr>
        <w:t xml:space="preserve">. </w:t>
      </w:r>
      <w:r w:rsidR="004437B2" w:rsidRPr="00C12F8D">
        <w:rPr>
          <w:rFonts w:ascii="Open Sans" w:hAnsi="Open Sans" w:cs="Open Sans"/>
          <w:shd w:val="clear" w:color="auto" w:fill="FFFFFF"/>
          <w:lang w:eastAsia="en-AU"/>
        </w:rPr>
        <w:t>The Commission has consistently highlighted issues for wome</w:t>
      </w:r>
      <w:r w:rsidR="00116F90" w:rsidRPr="00C12F8D">
        <w:rPr>
          <w:rFonts w:ascii="Open Sans" w:hAnsi="Open Sans" w:cs="Open Sans"/>
          <w:shd w:val="clear" w:color="auto" w:fill="FFFFFF"/>
          <w:lang w:eastAsia="en-AU"/>
        </w:rPr>
        <w:t>n in the workplace</w:t>
      </w:r>
      <w:r w:rsidR="004437B2" w:rsidRPr="00C12F8D">
        <w:rPr>
          <w:rFonts w:ascii="Open Sans" w:hAnsi="Open Sans" w:cs="Open Sans"/>
          <w:shd w:val="clear" w:color="auto" w:fill="FFFFFF"/>
          <w:lang w:eastAsia="en-AU"/>
        </w:rPr>
        <w:t xml:space="preserve"> including: </w:t>
      </w:r>
      <w:r w:rsidR="00105C47" w:rsidRPr="00C12F8D">
        <w:rPr>
          <w:rFonts w:ascii="Open Sans" w:hAnsi="Open Sans" w:cs="Open Sans"/>
          <w:lang w:eastAsia="en-AU"/>
        </w:rPr>
        <w:t>occupational segregation,</w:t>
      </w:r>
      <w:r w:rsidR="00105C47" w:rsidRPr="00C12F8D">
        <w:rPr>
          <w:rFonts w:ascii="Open Sans" w:hAnsi="Open Sans" w:cs="Open Sans"/>
          <w:sz w:val="20"/>
          <w:vertAlign w:val="superscript"/>
          <w:lang w:eastAsia="en-AU"/>
        </w:rPr>
        <w:endnoteReference w:id="84"/>
      </w:r>
      <w:r w:rsidR="00105C47" w:rsidRPr="00C12F8D">
        <w:rPr>
          <w:rFonts w:ascii="Open Sans" w:hAnsi="Open Sans" w:cs="Open Sans"/>
          <w:lang w:eastAsia="en-AU"/>
        </w:rPr>
        <w:t xml:space="preserve"> the gender pay gap, the undervaluing of unpaid care work, low representation of women in leadership positions,</w:t>
      </w:r>
      <w:r w:rsidR="00105C47" w:rsidRPr="00C12F8D">
        <w:rPr>
          <w:rFonts w:ascii="Open Sans" w:hAnsi="Open Sans" w:cs="Open Sans"/>
          <w:sz w:val="20"/>
          <w:vertAlign w:val="superscript"/>
          <w:lang w:eastAsia="en-AU"/>
        </w:rPr>
        <w:endnoteReference w:id="85"/>
      </w:r>
      <w:r w:rsidR="00105C47" w:rsidRPr="00C12F8D">
        <w:rPr>
          <w:rFonts w:ascii="Open Sans" w:hAnsi="Open Sans" w:cs="Open Sans"/>
          <w:lang w:eastAsia="en-AU"/>
        </w:rPr>
        <w:t xml:space="preserve"> access to adequate paid parental leave and lack of </w:t>
      </w:r>
      <w:r w:rsidR="006A00B6" w:rsidRPr="00C12F8D">
        <w:rPr>
          <w:rFonts w:ascii="Open Sans" w:hAnsi="Open Sans" w:cs="Open Sans"/>
          <w:lang w:eastAsia="en-AU"/>
        </w:rPr>
        <w:t>flexible leave</w:t>
      </w:r>
      <w:r w:rsidR="00105C47" w:rsidRPr="00C12F8D">
        <w:rPr>
          <w:rFonts w:ascii="Open Sans" w:hAnsi="Open Sans" w:cs="Open Sans"/>
          <w:lang w:eastAsia="en-AU"/>
        </w:rPr>
        <w:t>,</w:t>
      </w:r>
      <w:r w:rsidR="00105C47" w:rsidRPr="00C12F8D">
        <w:rPr>
          <w:rFonts w:ascii="Open Sans" w:hAnsi="Open Sans" w:cs="Open Sans"/>
          <w:sz w:val="20"/>
          <w:vertAlign w:val="superscript"/>
          <w:lang w:eastAsia="en-AU"/>
        </w:rPr>
        <w:endnoteReference w:id="86"/>
      </w:r>
      <w:r w:rsidR="00105C47" w:rsidRPr="00C12F8D">
        <w:rPr>
          <w:rFonts w:ascii="Open Sans" w:hAnsi="Open Sans" w:cs="Open Sans"/>
          <w:lang w:eastAsia="en-AU"/>
        </w:rPr>
        <w:t xml:space="preserve"> the absence of superannuation from paid parental leave,</w:t>
      </w:r>
      <w:r w:rsidR="00105C47" w:rsidRPr="00C12F8D">
        <w:rPr>
          <w:rFonts w:ascii="Open Sans" w:hAnsi="Open Sans" w:cs="Open Sans"/>
          <w:sz w:val="20"/>
          <w:vertAlign w:val="superscript"/>
          <w:lang w:eastAsia="en-AU"/>
        </w:rPr>
        <w:endnoteReference w:id="87"/>
      </w:r>
      <w:r w:rsidR="00105C47" w:rsidRPr="00C12F8D">
        <w:rPr>
          <w:rFonts w:ascii="Open Sans" w:hAnsi="Open Sans" w:cs="Open Sans"/>
          <w:lang w:eastAsia="en-AU"/>
        </w:rPr>
        <w:t xml:space="preserve"> and the resulting gender gap in retirement savings.</w:t>
      </w:r>
      <w:r w:rsidR="00105C47" w:rsidRPr="00C12F8D">
        <w:rPr>
          <w:rFonts w:ascii="Open Sans" w:hAnsi="Open Sans" w:cs="Open Sans"/>
          <w:sz w:val="20"/>
          <w:vertAlign w:val="superscript"/>
          <w:lang w:eastAsia="en-AU"/>
        </w:rPr>
        <w:endnoteReference w:id="88"/>
      </w:r>
      <w:r w:rsidR="00105C47" w:rsidRPr="00C12F8D">
        <w:rPr>
          <w:rFonts w:ascii="Open Sans" w:hAnsi="Open Sans" w:cs="Open Sans"/>
          <w:lang w:eastAsia="en-AU"/>
        </w:rPr>
        <w:t xml:space="preserve"> </w:t>
      </w:r>
      <w:r w:rsidR="004437B2" w:rsidRPr="00C12F8D">
        <w:rPr>
          <w:rFonts w:ascii="Open Sans" w:hAnsi="Open Sans" w:cs="Open Sans"/>
          <w:lang w:eastAsia="en-AU"/>
        </w:rPr>
        <w:t>It</w:t>
      </w:r>
      <w:r w:rsidR="00105C47" w:rsidRPr="00C12F8D">
        <w:rPr>
          <w:rFonts w:ascii="Open Sans" w:hAnsi="Open Sans" w:cs="Open Sans"/>
          <w:lang w:eastAsia="en-AU"/>
        </w:rPr>
        <w:t xml:space="preserve"> has made a number of</w:t>
      </w:r>
      <w:r w:rsidR="006A00B6" w:rsidRPr="00C12F8D">
        <w:rPr>
          <w:rFonts w:ascii="Open Sans" w:hAnsi="Open Sans" w:cs="Open Sans"/>
          <w:lang w:eastAsia="en-AU"/>
        </w:rPr>
        <w:t xml:space="preserve"> </w:t>
      </w:r>
      <w:r w:rsidR="009E0E90" w:rsidRPr="00C12F8D">
        <w:rPr>
          <w:rFonts w:ascii="Open Sans" w:hAnsi="Open Sans" w:cs="Open Sans"/>
          <w:lang w:eastAsia="en-AU"/>
        </w:rPr>
        <w:t xml:space="preserve">previous </w:t>
      </w:r>
      <w:r w:rsidR="00105C47" w:rsidRPr="00C12F8D">
        <w:rPr>
          <w:rFonts w:ascii="Open Sans" w:hAnsi="Open Sans" w:cs="Open Sans"/>
          <w:lang w:eastAsia="en-AU"/>
        </w:rPr>
        <w:t>recommendations</w:t>
      </w:r>
      <w:r w:rsidR="006A00B6" w:rsidRPr="00C12F8D">
        <w:rPr>
          <w:rFonts w:ascii="Open Sans" w:hAnsi="Open Sans" w:cs="Open Sans"/>
          <w:lang w:eastAsia="en-AU"/>
        </w:rPr>
        <w:t xml:space="preserve"> to enhance</w:t>
      </w:r>
      <w:r w:rsidR="006A00B6" w:rsidRPr="00C12F8D">
        <w:rPr>
          <w:rFonts w:ascii="Open Sans" w:hAnsi="Open Sans" w:cs="Open Sans"/>
          <w:shd w:val="clear" w:color="auto" w:fill="FFFFFF"/>
          <w:lang w:eastAsia="en-AU"/>
        </w:rPr>
        <w:t xml:space="preserve"> women’s economic security and workplace participation.</w:t>
      </w:r>
      <w:r w:rsidR="006A00B6" w:rsidRPr="00C12F8D">
        <w:rPr>
          <w:rFonts w:ascii="Open Sans" w:hAnsi="Open Sans" w:cs="Open Sans"/>
          <w:sz w:val="20"/>
          <w:vertAlign w:val="superscript"/>
          <w:lang w:eastAsia="en-AU"/>
        </w:rPr>
        <w:endnoteReference w:id="89"/>
      </w:r>
    </w:p>
    <w:p w14:paraId="67C399E8" w14:textId="1D30F4E5" w:rsidR="00460110" w:rsidRPr="00C12F8D" w:rsidRDefault="00460110" w:rsidP="00623E3C">
      <w:pPr>
        <w:pStyle w:val="ListNumber"/>
        <w:tabs>
          <w:tab w:val="clear" w:pos="360"/>
        </w:tabs>
        <w:ind w:left="1094" w:hanging="737"/>
        <w:rPr>
          <w:rFonts w:ascii="Open Sans" w:hAnsi="Open Sans" w:cs="Open Sans"/>
        </w:rPr>
      </w:pPr>
      <w:r w:rsidRPr="00C12F8D">
        <w:rPr>
          <w:rFonts w:ascii="Open Sans" w:hAnsi="Open Sans" w:cs="Open Sans"/>
        </w:rPr>
        <w:t xml:space="preserve">Such </w:t>
      </w:r>
      <w:r w:rsidR="00116F90" w:rsidRPr="00C12F8D">
        <w:rPr>
          <w:rFonts w:ascii="Open Sans" w:hAnsi="Open Sans" w:cs="Open Sans"/>
        </w:rPr>
        <w:t xml:space="preserve">underlying </w:t>
      </w:r>
      <w:r w:rsidRPr="00C12F8D">
        <w:rPr>
          <w:rFonts w:ascii="Open Sans" w:hAnsi="Open Sans" w:cs="Open Sans"/>
        </w:rPr>
        <w:t xml:space="preserve">factors are outside the control of individual program participants. However, they are often not properly considered in narratives that stigmatise the receipt of </w:t>
      </w:r>
      <w:r w:rsidR="00DA53E3" w:rsidRPr="00C12F8D">
        <w:rPr>
          <w:rFonts w:ascii="Open Sans" w:hAnsi="Open Sans" w:cs="Open Sans"/>
        </w:rPr>
        <w:t>social security</w:t>
      </w:r>
      <w:r w:rsidRPr="00C12F8D">
        <w:rPr>
          <w:rFonts w:ascii="Open Sans" w:hAnsi="Open Sans" w:cs="Open Sans"/>
        </w:rPr>
        <w:t xml:space="preserve"> and view reliance on benefits as a consequence of individual failings.</w:t>
      </w:r>
    </w:p>
    <w:p w14:paraId="702FE7F8" w14:textId="2DCCB599" w:rsidR="00460110" w:rsidRPr="00C12F8D" w:rsidRDefault="00460110" w:rsidP="007F19B7">
      <w:pPr>
        <w:pStyle w:val="ListNumber"/>
        <w:tabs>
          <w:tab w:val="clear" w:pos="360"/>
        </w:tabs>
        <w:ind w:left="1094" w:hanging="737"/>
        <w:rPr>
          <w:rFonts w:ascii="Open Sans" w:hAnsi="Open Sans" w:cs="Open Sans"/>
        </w:rPr>
      </w:pPr>
      <w:r w:rsidRPr="00C12F8D">
        <w:rPr>
          <w:rFonts w:ascii="Open Sans" w:hAnsi="Open Sans" w:cs="Open Sans"/>
        </w:rPr>
        <w:t>There is also an important qualitative difference between more unstable, casual, precarious forms of employment and ‘decent work’. The International Labour Organization has defined decent work to include work that delivers fair income, security in the workplace, and equality of opportunity.</w:t>
      </w:r>
      <w:r w:rsidRPr="00C12F8D">
        <w:rPr>
          <w:rStyle w:val="EndnoteReference"/>
          <w:rFonts w:cs="Open Sans"/>
        </w:rPr>
        <w:endnoteReference w:id="90"/>
      </w:r>
      <w:r w:rsidRPr="00C12F8D">
        <w:rPr>
          <w:rFonts w:ascii="Open Sans" w:hAnsi="Open Sans" w:cs="Open Sans"/>
        </w:rPr>
        <w:t xml:space="preserve"> However, gaining work other than ‘decent work’ could satisfy the participation requirements of the ParentsNext, but not its broader </w:t>
      </w:r>
      <w:r w:rsidR="000326D4" w:rsidRPr="00C12F8D">
        <w:rPr>
          <w:rFonts w:ascii="Open Sans" w:hAnsi="Open Sans" w:cs="Open Sans"/>
        </w:rPr>
        <w:t>objectives</w:t>
      </w:r>
      <w:r w:rsidRPr="00C12F8D">
        <w:rPr>
          <w:rFonts w:ascii="Open Sans" w:hAnsi="Open Sans" w:cs="Open Sans"/>
        </w:rPr>
        <w:t xml:space="preserve">. </w:t>
      </w:r>
    </w:p>
    <w:p w14:paraId="23CAB5DE" w14:textId="2506BF92" w:rsidR="00460110" w:rsidRPr="00C12F8D" w:rsidRDefault="00460110" w:rsidP="00BB1024">
      <w:pPr>
        <w:pStyle w:val="ListNumber"/>
        <w:tabs>
          <w:tab w:val="clear" w:pos="360"/>
        </w:tabs>
        <w:ind w:left="1094" w:hanging="737"/>
        <w:rPr>
          <w:rFonts w:ascii="Open Sans" w:hAnsi="Open Sans" w:cs="Open Sans"/>
        </w:rPr>
      </w:pPr>
      <w:r w:rsidRPr="00C12F8D">
        <w:rPr>
          <w:rFonts w:ascii="Open Sans" w:hAnsi="Open Sans" w:cs="Open Sans"/>
        </w:rPr>
        <w:t xml:space="preserve">These concerns are further compounded by the fact that raw data for the evaluation was not released. This makes it difficult to properly assess the quality of the analysis. Further, the evaluation appears to have been conducted by the Department of Small Jobs and Business rather than an independent consultant or research body. </w:t>
      </w:r>
    </w:p>
    <w:p w14:paraId="05571DD9" w14:textId="3ABC64C2" w:rsidR="00460110" w:rsidRPr="00C12F8D" w:rsidRDefault="00460110" w:rsidP="00BB1024">
      <w:pPr>
        <w:pStyle w:val="ListNumber"/>
        <w:tabs>
          <w:tab w:val="clear" w:pos="360"/>
        </w:tabs>
        <w:ind w:left="1094" w:hanging="737"/>
        <w:rPr>
          <w:rFonts w:ascii="Open Sans" w:hAnsi="Open Sans" w:cs="Open Sans"/>
        </w:rPr>
      </w:pPr>
      <w:r w:rsidRPr="00C12F8D">
        <w:rPr>
          <w:rFonts w:ascii="Open Sans" w:hAnsi="Open Sans" w:cs="Open Sans"/>
        </w:rPr>
        <w:t>The Commission also understands that the decision to expand the scope of ParentsNext was reached before the evaluation report was made public, raising concerns that the expansion was not informed by transparent evidence-based policy.</w:t>
      </w:r>
      <w:r w:rsidRPr="00C12F8D">
        <w:rPr>
          <w:rStyle w:val="EndnoteReference"/>
          <w:rFonts w:cs="Open Sans"/>
        </w:rPr>
        <w:endnoteReference w:id="91"/>
      </w:r>
    </w:p>
    <w:p w14:paraId="134C1FE4" w14:textId="7B8EA910" w:rsidR="00460110" w:rsidRPr="00C12F8D" w:rsidRDefault="00460110" w:rsidP="00BB1024">
      <w:pPr>
        <w:pStyle w:val="ListNumber"/>
        <w:tabs>
          <w:tab w:val="clear" w:pos="360"/>
        </w:tabs>
        <w:ind w:left="1094" w:hanging="737"/>
        <w:rPr>
          <w:rFonts w:ascii="Open Sans" w:hAnsi="Open Sans" w:cs="Open Sans"/>
        </w:rPr>
      </w:pPr>
      <w:r w:rsidRPr="00C12F8D">
        <w:rPr>
          <w:rFonts w:ascii="Open Sans" w:hAnsi="Open Sans" w:cs="Open Sans"/>
        </w:rPr>
        <w:t>When examining the effectiveness of the program, there are a range of relevant metrics which were not reported. For example, while the Report acknowledges that ‘some parents’ were concerned about the compulsory nature of the program, it does not quantify the level of this concern. Similarly, while it says that ‘most providers’ considered that parents would not have engaged if it were not compulsory, it does not say what the views of parents were to this issue.</w:t>
      </w:r>
      <w:r w:rsidRPr="00C12F8D">
        <w:rPr>
          <w:rStyle w:val="EndnoteReference"/>
          <w:rFonts w:cs="Open Sans"/>
        </w:rPr>
        <w:endnoteReference w:id="92"/>
      </w:r>
    </w:p>
    <w:p w14:paraId="0207CC43" w14:textId="77777777" w:rsidR="000326D4" w:rsidRPr="00C12F8D" w:rsidRDefault="00460110" w:rsidP="00BB1024">
      <w:pPr>
        <w:pStyle w:val="ListNumber"/>
        <w:tabs>
          <w:tab w:val="clear" w:pos="360"/>
        </w:tabs>
        <w:ind w:left="1094" w:hanging="737"/>
        <w:rPr>
          <w:rFonts w:ascii="Open Sans" w:hAnsi="Open Sans" w:cs="Open Sans"/>
        </w:rPr>
      </w:pPr>
      <w:r w:rsidRPr="00C12F8D">
        <w:rPr>
          <w:rFonts w:ascii="Open Sans" w:hAnsi="Open Sans" w:cs="Open Sans"/>
        </w:rPr>
        <w:lastRenderedPageBreak/>
        <w:t>The Report</w:t>
      </w:r>
      <w:r w:rsidR="000326D4" w:rsidRPr="00C12F8D">
        <w:rPr>
          <w:rFonts w:ascii="Open Sans" w:hAnsi="Open Sans" w:cs="Open Sans"/>
        </w:rPr>
        <w:t xml:space="preserve"> also</w:t>
      </w:r>
      <w:r w:rsidRPr="00C12F8D">
        <w:rPr>
          <w:rFonts w:ascii="Open Sans" w:hAnsi="Open Sans" w:cs="Open Sans"/>
        </w:rPr>
        <w:t xml:space="preserve"> does not seek to weigh any benefits of the program with the adverse impact on participants. Between April 2016 and January 2018 there were approximately 22,000 participants in the ParentsNext program. Less than 400 participants, or less than 2%, left the program after finding stable employment.</w:t>
      </w:r>
      <w:r w:rsidRPr="00C12F8D">
        <w:rPr>
          <w:rStyle w:val="EndnoteReference"/>
          <w:rFonts w:cs="Open Sans"/>
        </w:rPr>
        <w:endnoteReference w:id="93"/>
      </w:r>
      <w:r w:rsidRPr="00C12F8D">
        <w:rPr>
          <w:rFonts w:ascii="Open Sans" w:hAnsi="Open Sans" w:cs="Open Sans"/>
        </w:rPr>
        <w:t xml:space="preserve"> </w:t>
      </w:r>
    </w:p>
    <w:p w14:paraId="68723C58" w14:textId="498803D5" w:rsidR="00460110" w:rsidRPr="00C12F8D" w:rsidRDefault="00460110" w:rsidP="00BB1024">
      <w:pPr>
        <w:pStyle w:val="ListNumber"/>
        <w:tabs>
          <w:tab w:val="clear" w:pos="360"/>
        </w:tabs>
        <w:ind w:left="1094" w:hanging="737"/>
        <w:rPr>
          <w:rFonts w:ascii="Open Sans" w:hAnsi="Open Sans" w:cs="Open Sans"/>
        </w:rPr>
      </w:pPr>
      <w:r w:rsidRPr="00C12F8D">
        <w:rPr>
          <w:rFonts w:ascii="Open Sans" w:hAnsi="Open Sans" w:cs="Open Sans"/>
        </w:rPr>
        <w:t>By contrast, between April 2016 and June 2017, 22% of participants had at least one compliance report and 9.1% of participants were suspended from income support.</w:t>
      </w:r>
      <w:r w:rsidRPr="00C12F8D">
        <w:rPr>
          <w:rStyle w:val="EndnoteReference"/>
          <w:rFonts w:cs="Open Sans"/>
        </w:rPr>
        <w:endnoteReference w:id="94"/>
      </w:r>
      <w:r w:rsidRPr="00C12F8D">
        <w:rPr>
          <w:rFonts w:ascii="Open Sans" w:hAnsi="Open Sans" w:cs="Open Sans"/>
        </w:rPr>
        <w:t xml:space="preserve"> More than 40% of participants who had their income support suspended lost income for more than a fortnight, and 8% of participants who had their income support suspended lost income for more than four weeks.</w:t>
      </w:r>
      <w:r w:rsidRPr="00C12F8D">
        <w:rPr>
          <w:rStyle w:val="EndnoteReference"/>
          <w:rFonts w:cs="Open Sans"/>
        </w:rPr>
        <w:endnoteReference w:id="95"/>
      </w:r>
      <w:r w:rsidRPr="00C12F8D">
        <w:rPr>
          <w:rFonts w:ascii="Open Sans" w:hAnsi="Open Sans" w:cs="Open Sans"/>
        </w:rPr>
        <w:t xml:space="preserve"> </w:t>
      </w:r>
    </w:p>
    <w:p w14:paraId="57E6082D" w14:textId="173CBA28" w:rsidR="00460110" w:rsidRPr="00C12F8D" w:rsidRDefault="00460110" w:rsidP="0067100E">
      <w:pPr>
        <w:pStyle w:val="ListNumber"/>
        <w:tabs>
          <w:tab w:val="clear" w:pos="360"/>
        </w:tabs>
        <w:ind w:left="1094" w:hanging="737"/>
        <w:rPr>
          <w:rFonts w:ascii="Open Sans" w:hAnsi="Open Sans" w:cs="Open Sans"/>
          <w:sz w:val="22"/>
          <w:szCs w:val="22"/>
        </w:rPr>
      </w:pPr>
      <w:r w:rsidRPr="00C12F8D">
        <w:rPr>
          <w:rFonts w:ascii="Open Sans" w:hAnsi="Open Sans" w:cs="Open Sans"/>
        </w:rPr>
        <w:t>Social policy researchers have suggested that a proper assessment of the value of coercive conditionality requires a robust framework that is evidence based, ethically literate and context specific.</w:t>
      </w:r>
      <w:r w:rsidRPr="00C12F8D">
        <w:rPr>
          <w:rStyle w:val="EndnoteReference"/>
          <w:rFonts w:cs="Open Sans"/>
        </w:rPr>
        <w:endnoteReference w:id="96"/>
      </w:r>
    </w:p>
    <w:p w14:paraId="4B6C404C" w14:textId="48250141" w:rsidR="00460110" w:rsidRPr="00C12F8D" w:rsidRDefault="00460110" w:rsidP="009F0FE2">
      <w:pPr>
        <w:pStyle w:val="Heading3"/>
        <w:rPr>
          <w:rFonts w:ascii="Open Sans" w:hAnsi="Open Sans" w:cs="Open Sans"/>
          <w:i/>
        </w:rPr>
      </w:pPr>
      <w:bookmarkStart w:id="43" w:name="_Toc536796589"/>
      <w:r w:rsidRPr="00C12F8D">
        <w:rPr>
          <w:rFonts w:ascii="Open Sans" w:hAnsi="Open Sans" w:cs="Open Sans"/>
          <w:i/>
        </w:rPr>
        <w:t>Reasonableness, necessity and proportionality not established</w:t>
      </w:r>
      <w:bookmarkEnd w:id="43"/>
    </w:p>
    <w:p w14:paraId="379A9D58" w14:textId="6A13969A" w:rsidR="00460110" w:rsidRPr="00C12F8D" w:rsidRDefault="00460110" w:rsidP="00D65D56">
      <w:pPr>
        <w:pStyle w:val="ListNumber"/>
        <w:tabs>
          <w:tab w:val="clear" w:pos="360"/>
        </w:tabs>
        <w:ind w:left="1094" w:hanging="737"/>
        <w:rPr>
          <w:rFonts w:ascii="Open Sans" w:hAnsi="Open Sans" w:cs="Open Sans"/>
        </w:rPr>
      </w:pPr>
      <w:r w:rsidRPr="00C12F8D">
        <w:rPr>
          <w:rFonts w:ascii="Open Sans" w:hAnsi="Open Sans" w:cs="Open Sans"/>
        </w:rPr>
        <w:t>The Commission considers that it is not reasonable to apply punitive measures to parenting benefits, which support the costs of raising a child, particularly for employment related objectives.</w:t>
      </w:r>
    </w:p>
    <w:p w14:paraId="6675DC60" w14:textId="1B5C815D" w:rsidR="00460110" w:rsidRPr="00C12F8D" w:rsidRDefault="00460110" w:rsidP="008432FE">
      <w:pPr>
        <w:pStyle w:val="ListNumber"/>
        <w:tabs>
          <w:tab w:val="clear" w:pos="360"/>
        </w:tabs>
        <w:ind w:left="1094" w:hanging="737"/>
        <w:rPr>
          <w:rFonts w:ascii="Open Sans" w:hAnsi="Open Sans" w:cs="Open Sans"/>
        </w:rPr>
      </w:pPr>
      <w:r w:rsidRPr="00C12F8D">
        <w:rPr>
          <w:rFonts w:ascii="Open Sans" w:hAnsi="Open Sans" w:cs="Open Sans"/>
        </w:rPr>
        <w:t>It has also not been shown that the compulsory and punitive compliance model is necessary to achieve the goals of ParentsNext. There is potential to achieve the same objectives through other less restrictive means, such as an incentive model. It is not clear that such alternatives were comprehensively examined.</w:t>
      </w:r>
    </w:p>
    <w:p w14:paraId="3CCFED14" w14:textId="77777777" w:rsidR="00460110" w:rsidRPr="00C12F8D" w:rsidRDefault="00460110" w:rsidP="00221364">
      <w:pPr>
        <w:pStyle w:val="ListNumber"/>
        <w:tabs>
          <w:tab w:val="clear" w:pos="360"/>
        </w:tabs>
        <w:ind w:left="1094" w:hanging="737"/>
        <w:rPr>
          <w:rFonts w:ascii="Open Sans" w:hAnsi="Open Sans" w:cs="Open Sans"/>
        </w:rPr>
      </w:pPr>
      <w:r w:rsidRPr="00C12F8D">
        <w:rPr>
          <w:rFonts w:ascii="Open Sans" w:hAnsi="Open Sans" w:cs="Open Sans"/>
        </w:rPr>
        <w:t xml:space="preserve">There are also issues with the proportionality of the program, beyond the above discussion of unjustifiably severe sanctions. </w:t>
      </w:r>
    </w:p>
    <w:p w14:paraId="1438FB69" w14:textId="2A9F5015" w:rsidR="00460110" w:rsidRPr="00C12F8D" w:rsidRDefault="00460110" w:rsidP="00221364">
      <w:pPr>
        <w:pStyle w:val="ListNumber"/>
        <w:tabs>
          <w:tab w:val="clear" w:pos="360"/>
        </w:tabs>
        <w:ind w:left="1094" w:hanging="737"/>
        <w:rPr>
          <w:rFonts w:ascii="Open Sans" w:hAnsi="Open Sans" w:cs="Open Sans"/>
        </w:rPr>
      </w:pPr>
      <w:r w:rsidRPr="00C12F8D">
        <w:rPr>
          <w:rFonts w:ascii="Open Sans" w:hAnsi="Open Sans" w:cs="Open Sans"/>
        </w:rPr>
        <w:t>For example, the requirements of a participant’s plan can be highly varied. While certain activities might be of lesser importance to the objectives of the program, any non-compliance can result in the same severe sanctions. Media reports of payment suspension for a week for failure to attend a children’s ‘story time’ activity are one example.</w:t>
      </w:r>
      <w:r w:rsidRPr="00C12F8D">
        <w:rPr>
          <w:rStyle w:val="EndnoteReference"/>
          <w:rFonts w:cs="Open Sans"/>
        </w:rPr>
        <w:endnoteReference w:id="97"/>
      </w:r>
      <w:r w:rsidRPr="00C12F8D">
        <w:rPr>
          <w:rFonts w:ascii="Open Sans" w:hAnsi="Open Sans" w:cs="Open Sans"/>
        </w:rPr>
        <w:t xml:space="preserve"> </w:t>
      </w:r>
    </w:p>
    <w:p w14:paraId="1B31254B" w14:textId="697489E4" w:rsidR="00460110" w:rsidRPr="00C12F8D" w:rsidRDefault="00460110" w:rsidP="00221364">
      <w:pPr>
        <w:pStyle w:val="ListNumber"/>
        <w:tabs>
          <w:tab w:val="clear" w:pos="360"/>
        </w:tabs>
        <w:ind w:left="1094" w:hanging="737"/>
        <w:rPr>
          <w:rFonts w:ascii="Open Sans" w:hAnsi="Open Sans" w:cs="Open Sans"/>
        </w:rPr>
      </w:pPr>
      <w:r w:rsidRPr="00C12F8D">
        <w:rPr>
          <w:rFonts w:ascii="Open Sans" w:hAnsi="Open Sans" w:cs="Open Sans"/>
          <w:shd w:val="clear" w:color="auto" w:fill="FFFFFF"/>
        </w:rPr>
        <w:t xml:space="preserve">By way of further example, the justifications provided with respect to ‘early intervention’, for example to support </w:t>
      </w:r>
      <w:r w:rsidR="00A17182" w:rsidRPr="00C12F8D">
        <w:rPr>
          <w:rFonts w:ascii="Open Sans" w:hAnsi="Open Sans" w:cs="Open Sans"/>
          <w:shd w:val="clear" w:color="auto" w:fill="FFFFFF"/>
        </w:rPr>
        <w:t>‘</w:t>
      </w:r>
      <w:r w:rsidRPr="00C12F8D">
        <w:rPr>
          <w:rFonts w:ascii="Open Sans" w:hAnsi="Open Sans" w:cs="Open Sans"/>
          <w:shd w:val="clear" w:color="auto" w:fill="FFFFFF"/>
        </w:rPr>
        <w:t>early school leavers</w:t>
      </w:r>
      <w:r w:rsidR="00A17182" w:rsidRPr="00C12F8D">
        <w:rPr>
          <w:rFonts w:ascii="Open Sans" w:hAnsi="Open Sans" w:cs="Open Sans"/>
          <w:shd w:val="clear" w:color="auto" w:fill="FFFFFF"/>
        </w:rPr>
        <w:t>’</w:t>
      </w:r>
      <w:r w:rsidRPr="00C12F8D">
        <w:rPr>
          <w:rFonts w:ascii="Open Sans" w:hAnsi="Open Sans" w:cs="Open Sans"/>
          <w:shd w:val="clear" w:color="auto" w:fill="FFFFFF"/>
        </w:rPr>
        <w:t>, are applicable to only a small proportion of participants. The vast majority of participants in the ParentsNext trial phase were in fact over 22 years of age—11.2% of parents were aged less than 22</w:t>
      </w:r>
      <w:r w:rsidR="00AD78D3" w:rsidRPr="00C12F8D">
        <w:rPr>
          <w:rFonts w:ascii="Open Sans" w:hAnsi="Open Sans" w:cs="Open Sans"/>
          <w:shd w:val="clear" w:color="auto" w:fill="FFFFFF"/>
        </w:rPr>
        <w:t xml:space="preserve"> years</w:t>
      </w:r>
      <w:r w:rsidRPr="00C12F8D">
        <w:rPr>
          <w:rFonts w:ascii="Open Sans" w:hAnsi="Open Sans" w:cs="Open Sans"/>
          <w:shd w:val="clear" w:color="auto" w:fill="FFFFFF"/>
        </w:rPr>
        <w:t>, 37% were aged 22</w:t>
      </w:r>
      <w:r w:rsidR="00973615" w:rsidRPr="00C12F8D">
        <w:rPr>
          <w:rFonts w:ascii="Open Sans" w:hAnsi="Open Sans" w:cs="Open Sans"/>
          <w:shd w:val="clear" w:color="auto" w:fill="FFFFFF"/>
        </w:rPr>
        <w:t>–</w:t>
      </w:r>
      <w:r w:rsidRPr="00C12F8D">
        <w:rPr>
          <w:rFonts w:ascii="Open Sans" w:hAnsi="Open Sans" w:cs="Open Sans"/>
          <w:shd w:val="clear" w:color="auto" w:fill="FFFFFF"/>
        </w:rPr>
        <w:t>29</w:t>
      </w:r>
      <w:r w:rsidR="00AD78D3" w:rsidRPr="00C12F8D">
        <w:rPr>
          <w:rFonts w:ascii="Open Sans" w:hAnsi="Open Sans" w:cs="Open Sans"/>
          <w:shd w:val="clear" w:color="auto" w:fill="FFFFFF"/>
        </w:rPr>
        <w:t xml:space="preserve"> years</w:t>
      </w:r>
      <w:r w:rsidRPr="00C12F8D">
        <w:rPr>
          <w:rFonts w:ascii="Open Sans" w:hAnsi="Open Sans" w:cs="Open Sans"/>
          <w:shd w:val="clear" w:color="auto" w:fill="FFFFFF"/>
        </w:rPr>
        <w:t>, 40.3% were aged 30 to 39 and 11.4% were aged over 40</w:t>
      </w:r>
      <w:r w:rsidR="00AD78D3" w:rsidRPr="00C12F8D">
        <w:rPr>
          <w:rFonts w:ascii="Open Sans" w:hAnsi="Open Sans" w:cs="Open Sans"/>
          <w:shd w:val="clear" w:color="auto" w:fill="FFFFFF"/>
        </w:rPr>
        <w:t xml:space="preserve"> years</w:t>
      </w:r>
      <w:r w:rsidRPr="00C12F8D">
        <w:rPr>
          <w:rFonts w:ascii="Open Sans" w:hAnsi="Open Sans" w:cs="Open Sans"/>
          <w:shd w:val="clear" w:color="auto" w:fill="FFFFFF"/>
        </w:rPr>
        <w:t>.</w:t>
      </w:r>
      <w:r w:rsidRPr="00C12F8D">
        <w:rPr>
          <w:rStyle w:val="EndnoteReference"/>
          <w:rFonts w:cs="Open Sans"/>
          <w:shd w:val="clear" w:color="auto" w:fill="FFFFFF"/>
        </w:rPr>
        <w:endnoteReference w:id="98"/>
      </w:r>
    </w:p>
    <w:p w14:paraId="7F07678B" w14:textId="77777777" w:rsidR="00460110" w:rsidRPr="00C12F8D" w:rsidRDefault="00460110" w:rsidP="000E5B49">
      <w:pPr>
        <w:pStyle w:val="ListNumber"/>
        <w:tabs>
          <w:tab w:val="clear" w:pos="360"/>
        </w:tabs>
        <w:ind w:left="1094" w:hanging="737"/>
        <w:rPr>
          <w:rFonts w:ascii="Open Sans" w:hAnsi="Open Sans" w:cs="Open Sans"/>
        </w:rPr>
      </w:pPr>
      <w:r w:rsidRPr="00C12F8D">
        <w:rPr>
          <w:rFonts w:ascii="Open Sans" w:hAnsi="Open Sans" w:cs="Open Sans"/>
        </w:rPr>
        <w:lastRenderedPageBreak/>
        <w:t>Any assessment of the proportionality of the ParentsNext program should also take into account the program costs. These costs are substantial. The costs of administration, being approximately $414,596 per annum,</w:t>
      </w:r>
      <w:r w:rsidRPr="00C12F8D">
        <w:rPr>
          <w:rStyle w:val="EndnoteReference"/>
          <w:rFonts w:cs="Open Sans"/>
        </w:rPr>
        <w:endnoteReference w:id="99"/>
      </w:r>
      <w:r w:rsidRPr="00C12F8D">
        <w:rPr>
          <w:rFonts w:ascii="Open Sans" w:hAnsi="Open Sans" w:cs="Open Sans"/>
        </w:rPr>
        <w:t xml:space="preserve"> could instead be provided directly to recipients, immediately enhancing their ability to financially provide for the needs of their child. This would go some way to assisting parents to achieve an income that is above the poverty line.</w:t>
      </w:r>
    </w:p>
    <w:p w14:paraId="4C867E1F" w14:textId="21BE79CF" w:rsidR="00460110" w:rsidRPr="00C12F8D" w:rsidRDefault="00460110" w:rsidP="00B42433">
      <w:pPr>
        <w:pStyle w:val="Heading3"/>
        <w:rPr>
          <w:rFonts w:ascii="Open Sans" w:hAnsi="Open Sans" w:cs="Open Sans"/>
          <w:i/>
        </w:rPr>
      </w:pPr>
      <w:bookmarkStart w:id="44" w:name="_Toc536796590"/>
      <w:r w:rsidRPr="00C12F8D">
        <w:rPr>
          <w:rFonts w:ascii="Open Sans" w:hAnsi="Open Sans" w:cs="Open Sans"/>
          <w:i/>
        </w:rPr>
        <w:t>Program safeguards inadequate</w:t>
      </w:r>
      <w:bookmarkEnd w:id="44"/>
    </w:p>
    <w:p w14:paraId="5EA147B9" w14:textId="5E796DF6" w:rsidR="00460110" w:rsidRPr="00C12F8D" w:rsidRDefault="00460110" w:rsidP="000032A1">
      <w:pPr>
        <w:pStyle w:val="ListNumber"/>
        <w:tabs>
          <w:tab w:val="clear" w:pos="360"/>
        </w:tabs>
        <w:ind w:left="1094" w:hanging="737"/>
        <w:rPr>
          <w:rFonts w:ascii="Open Sans" w:hAnsi="Open Sans" w:cs="Open Sans"/>
        </w:rPr>
      </w:pPr>
      <w:r w:rsidRPr="00C12F8D">
        <w:rPr>
          <w:rFonts w:ascii="Open Sans" w:hAnsi="Open Sans" w:cs="Open Sans"/>
        </w:rPr>
        <w:t>Compounding the above concerns are the ParentsNext program safeguards, which the Commission considers inadequate to ensure that compliance action does not breach the human rights of participants.</w:t>
      </w:r>
    </w:p>
    <w:p w14:paraId="3DE93AF4" w14:textId="4900C48B" w:rsidR="00460110" w:rsidRPr="00C12F8D" w:rsidRDefault="00460110" w:rsidP="00F92B44">
      <w:pPr>
        <w:pStyle w:val="ListNumber"/>
        <w:tabs>
          <w:tab w:val="clear" w:pos="360"/>
        </w:tabs>
        <w:ind w:left="1094" w:hanging="737"/>
        <w:rPr>
          <w:rFonts w:ascii="Open Sans" w:hAnsi="Open Sans" w:cs="Open Sans"/>
        </w:rPr>
      </w:pPr>
      <w:r w:rsidRPr="00C12F8D">
        <w:rPr>
          <w:rFonts w:ascii="Open Sans" w:hAnsi="Open Sans" w:cs="Open Sans"/>
          <w:lang w:val="en-US"/>
        </w:rPr>
        <w:t>ParentsNext providers have a</w:t>
      </w:r>
      <w:r w:rsidRPr="00C12F8D">
        <w:rPr>
          <w:rFonts w:ascii="Open Sans" w:hAnsi="Open Sans" w:cs="Open Sans"/>
        </w:rPr>
        <w:t xml:space="preserve"> significant amount of discretion </w:t>
      </w:r>
      <w:r w:rsidRPr="00C12F8D">
        <w:rPr>
          <w:rFonts w:ascii="Open Sans" w:hAnsi="Open Sans" w:cs="Open Sans"/>
          <w:lang w:val="en-US"/>
        </w:rPr>
        <w:t xml:space="preserve">to deny or grant access to the Parenting Payment. </w:t>
      </w:r>
    </w:p>
    <w:p w14:paraId="3DA4908B" w14:textId="3B0328F0" w:rsidR="00460110" w:rsidRPr="00C12F8D" w:rsidRDefault="00460110" w:rsidP="00F92B44">
      <w:pPr>
        <w:pStyle w:val="ListNumber"/>
        <w:tabs>
          <w:tab w:val="clear" w:pos="360"/>
        </w:tabs>
        <w:ind w:left="1094" w:hanging="737"/>
        <w:rPr>
          <w:rFonts w:ascii="Open Sans" w:hAnsi="Open Sans" w:cs="Open Sans"/>
          <w:lang w:val="en-US"/>
        </w:rPr>
      </w:pPr>
      <w:r w:rsidRPr="00C12F8D">
        <w:rPr>
          <w:rFonts w:ascii="Open Sans" w:hAnsi="Open Sans" w:cs="Open Sans"/>
        </w:rPr>
        <w:t xml:space="preserve">This includes through the identification of failures to comply with plan requirements, leading to the automatic suspension of payments, and the application of demerit points. If a participant disagrees with a decision to issue a demerit point, they are required to seek a review through their provider. The Department of Human Services has stated that it has no power to </w:t>
      </w:r>
      <w:r w:rsidRPr="00C12F8D">
        <w:rPr>
          <w:rFonts w:ascii="Open Sans" w:hAnsi="Open Sans" w:cs="Open Sans"/>
          <w:lang w:val="en-US"/>
        </w:rPr>
        <w:t>change or remove demerits.</w:t>
      </w:r>
      <w:r w:rsidRPr="00C12F8D">
        <w:rPr>
          <w:rFonts w:ascii="Open Sans" w:hAnsi="Open Sans" w:cs="Open Sans"/>
          <w:vertAlign w:val="superscript"/>
          <w:lang w:val="en-US"/>
        </w:rPr>
        <w:endnoteReference w:id="100"/>
      </w:r>
      <w:r w:rsidRPr="00C12F8D">
        <w:rPr>
          <w:rFonts w:ascii="Open Sans" w:hAnsi="Open Sans" w:cs="Open Sans"/>
          <w:lang w:val="en-US"/>
        </w:rPr>
        <w:t xml:space="preserve"> </w:t>
      </w:r>
    </w:p>
    <w:p w14:paraId="540EF306" w14:textId="5836095E" w:rsidR="000326D4" w:rsidRPr="00C12F8D" w:rsidRDefault="00460110" w:rsidP="00F92B44">
      <w:pPr>
        <w:pStyle w:val="ListNumber"/>
        <w:tabs>
          <w:tab w:val="clear" w:pos="360"/>
        </w:tabs>
        <w:ind w:left="1094" w:hanging="737"/>
        <w:rPr>
          <w:rFonts w:ascii="Open Sans" w:hAnsi="Open Sans" w:cs="Open Sans"/>
        </w:rPr>
      </w:pPr>
      <w:r w:rsidRPr="00C12F8D">
        <w:rPr>
          <w:rFonts w:ascii="Open Sans" w:hAnsi="Open Sans" w:cs="Open Sans"/>
          <w:lang w:val="en-US"/>
        </w:rPr>
        <w:t xml:space="preserve">The Commission also understands that what constitutes a ‘valid reason’ for non-compliance is a matter </w:t>
      </w:r>
      <w:r w:rsidRPr="00C12F8D">
        <w:rPr>
          <w:rFonts w:ascii="Open Sans" w:hAnsi="Open Sans" w:cs="Open Sans"/>
        </w:rPr>
        <w:t>for</w:t>
      </w:r>
      <w:r w:rsidRPr="00C12F8D">
        <w:rPr>
          <w:rFonts w:ascii="Open Sans" w:hAnsi="Open Sans" w:cs="Open Sans"/>
          <w:lang w:val="en-US"/>
        </w:rPr>
        <w:t xml:space="preserve"> determination by providers, on the basis of policy guidance from the </w:t>
      </w:r>
      <w:r w:rsidRPr="00C12F8D">
        <w:rPr>
          <w:rFonts w:ascii="Open Sans" w:hAnsi="Open Sans" w:cs="Open Sans"/>
        </w:rPr>
        <w:t>Department</w:t>
      </w:r>
      <w:r w:rsidRPr="00C12F8D">
        <w:rPr>
          <w:rFonts w:ascii="Open Sans" w:hAnsi="Open Sans" w:cs="Open Sans"/>
          <w:lang w:val="en-US"/>
        </w:rPr>
        <w:t>.</w:t>
      </w:r>
      <w:r w:rsidRPr="00C12F8D">
        <w:rPr>
          <w:rFonts w:ascii="Open Sans" w:hAnsi="Open Sans" w:cs="Open Sans"/>
          <w:vertAlign w:val="superscript"/>
        </w:rPr>
        <w:endnoteReference w:id="101"/>
      </w:r>
      <w:r w:rsidRPr="00C12F8D">
        <w:rPr>
          <w:rFonts w:ascii="Open Sans" w:hAnsi="Open Sans" w:cs="Open Sans"/>
          <w:lang w:val="en-US"/>
        </w:rPr>
        <w:t xml:space="preserve"> </w:t>
      </w:r>
    </w:p>
    <w:p w14:paraId="673299DC" w14:textId="458BEDCF" w:rsidR="00460110" w:rsidRPr="00C12F8D" w:rsidRDefault="00460110" w:rsidP="00F92B44">
      <w:pPr>
        <w:pStyle w:val="ListNumber"/>
        <w:tabs>
          <w:tab w:val="clear" w:pos="360"/>
        </w:tabs>
        <w:ind w:left="1094" w:hanging="737"/>
        <w:rPr>
          <w:rFonts w:ascii="Open Sans" w:hAnsi="Open Sans" w:cs="Open Sans"/>
        </w:rPr>
      </w:pPr>
      <w:r w:rsidRPr="00C12F8D">
        <w:rPr>
          <w:rFonts w:ascii="Open Sans" w:hAnsi="Open Sans" w:cs="Open Sans"/>
          <w:lang w:val="en-US"/>
        </w:rPr>
        <w:t>The Department has stated that it cannot review a decision to impose a demerit point if the provider ascertains that there is no valid reason</w:t>
      </w:r>
      <w:r w:rsidR="00112CE0">
        <w:rPr>
          <w:rFonts w:ascii="Open Sans" w:hAnsi="Open Sans" w:cs="Open Sans"/>
          <w:lang w:val="en-US"/>
        </w:rPr>
        <w:t xml:space="preserve"> for non-compliance</w:t>
      </w:r>
      <w:r w:rsidRPr="00C12F8D">
        <w:rPr>
          <w:rFonts w:ascii="Open Sans" w:hAnsi="Open Sans" w:cs="Open Sans"/>
          <w:lang w:val="en-US"/>
        </w:rPr>
        <w:t>, as this is not a decision made under social security law.</w:t>
      </w:r>
      <w:r w:rsidRPr="00C12F8D">
        <w:rPr>
          <w:rStyle w:val="EndnoteReference"/>
          <w:rFonts w:cs="Open Sans"/>
          <w:lang w:val="en-US"/>
        </w:rPr>
        <w:endnoteReference w:id="102"/>
      </w:r>
      <w:r w:rsidRPr="00C12F8D">
        <w:rPr>
          <w:rFonts w:ascii="Open Sans" w:hAnsi="Open Sans" w:cs="Open Sans"/>
          <w:lang w:val="en-US"/>
        </w:rPr>
        <w:t xml:space="preserve"> Rather, any complaint made by a participant about demerits will be referred back to the provider for consideration.</w:t>
      </w:r>
    </w:p>
    <w:p w14:paraId="282A3F51" w14:textId="41DAD868" w:rsidR="00460110" w:rsidRPr="00C12F8D" w:rsidRDefault="00460110" w:rsidP="00F92B44">
      <w:pPr>
        <w:pStyle w:val="ListNumber"/>
        <w:tabs>
          <w:tab w:val="clear" w:pos="360"/>
        </w:tabs>
        <w:ind w:left="1094" w:hanging="737"/>
        <w:rPr>
          <w:rFonts w:ascii="Open Sans" w:hAnsi="Open Sans" w:cs="Open Sans"/>
        </w:rPr>
      </w:pPr>
      <w:r w:rsidRPr="00C12F8D">
        <w:rPr>
          <w:rFonts w:ascii="Open Sans" w:hAnsi="Open Sans" w:cs="Open Sans"/>
          <w:lang w:val="en-US"/>
        </w:rPr>
        <w:t>As set out in General Comment No 19, the obligation to protect the right to social security requires a state to prevent third parties, including private entities who are acting as their agents, from interfering with the right.</w:t>
      </w:r>
      <w:r w:rsidRPr="00C12F8D">
        <w:rPr>
          <w:rStyle w:val="EndnoteReference"/>
          <w:rFonts w:cs="Open Sans"/>
          <w:lang w:val="en-US"/>
        </w:rPr>
        <w:endnoteReference w:id="103"/>
      </w:r>
    </w:p>
    <w:p w14:paraId="20DD2E2C" w14:textId="6E93CCF7" w:rsidR="00460110" w:rsidRPr="00C12F8D" w:rsidRDefault="00460110" w:rsidP="00F92B44">
      <w:pPr>
        <w:pStyle w:val="ListNumber"/>
        <w:tabs>
          <w:tab w:val="clear" w:pos="360"/>
        </w:tabs>
        <w:ind w:left="1094" w:hanging="737"/>
        <w:rPr>
          <w:rFonts w:ascii="Open Sans" w:hAnsi="Open Sans" w:cs="Open Sans"/>
        </w:rPr>
      </w:pPr>
      <w:r w:rsidRPr="00C12F8D">
        <w:rPr>
          <w:rFonts w:ascii="Open Sans" w:hAnsi="Open Sans" w:cs="Open Sans"/>
        </w:rPr>
        <w:t xml:space="preserve">The Commission has previously commented that scrutiny by the Department of Human Services over </w:t>
      </w:r>
      <w:r w:rsidR="00AD78D3" w:rsidRPr="00C12F8D">
        <w:rPr>
          <w:rFonts w:ascii="Open Sans" w:hAnsi="Open Sans" w:cs="Open Sans"/>
        </w:rPr>
        <w:t xml:space="preserve">the penalisation of participants by </w:t>
      </w:r>
      <w:r w:rsidRPr="00C12F8D">
        <w:rPr>
          <w:rFonts w:ascii="Open Sans" w:hAnsi="Open Sans" w:cs="Open Sans"/>
        </w:rPr>
        <w:t>Community Development Program providers provided an important safeguard to prevent the imposition of penalties.</w:t>
      </w:r>
      <w:r w:rsidRPr="00C12F8D">
        <w:rPr>
          <w:rStyle w:val="EndnoteReference"/>
          <w:rFonts w:cs="Open Sans"/>
        </w:rPr>
        <w:endnoteReference w:id="104"/>
      </w:r>
      <w:r w:rsidRPr="00C12F8D">
        <w:rPr>
          <w:rFonts w:ascii="Open Sans" w:hAnsi="Open Sans" w:cs="Open Sans"/>
        </w:rPr>
        <w:t xml:space="preserve"> </w:t>
      </w:r>
    </w:p>
    <w:p w14:paraId="5034B56B" w14:textId="10A5B984" w:rsidR="00460110" w:rsidRPr="00C12F8D" w:rsidRDefault="00460110" w:rsidP="000032A1">
      <w:pPr>
        <w:pStyle w:val="ListNumber"/>
        <w:tabs>
          <w:tab w:val="clear" w:pos="360"/>
        </w:tabs>
        <w:ind w:left="1094" w:hanging="737"/>
        <w:rPr>
          <w:rFonts w:ascii="Open Sans" w:hAnsi="Open Sans" w:cs="Open Sans"/>
        </w:rPr>
      </w:pPr>
      <w:r w:rsidRPr="00C12F8D">
        <w:rPr>
          <w:rFonts w:ascii="Open Sans" w:hAnsi="Open Sans" w:cs="Open Sans"/>
          <w:lang w:val="en-US"/>
        </w:rPr>
        <w:t xml:space="preserve">It is more suitable that compliance action be carried out, assessed or reviewed externally by government decision makers with appropriate </w:t>
      </w:r>
      <w:r w:rsidRPr="00C12F8D">
        <w:rPr>
          <w:rFonts w:ascii="Open Sans" w:hAnsi="Open Sans" w:cs="Open Sans"/>
          <w:lang w:val="en-US"/>
        </w:rPr>
        <w:lastRenderedPageBreak/>
        <w:t xml:space="preserve">expertise, rather than commercial providers who have their own interests, including funding incentives. </w:t>
      </w:r>
    </w:p>
    <w:p w14:paraId="0007FF60" w14:textId="26B61409" w:rsidR="00460110" w:rsidRPr="00C12F8D" w:rsidRDefault="000326D4" w:rsidP="005A359A">
      <w:pPr>
        <w:pStyle w:val="ListNumber"/>
        <w:tabs>
          <w:tab w:val="clear" w:pos="360"/>
        </w:tabs>
        <w:ind w:left="1094" w:hanging="737"/>
        <w:rPr>
          <w:rFonts w:ascii="Open Sans" w:hAnsi="Open Sans" w:cs="Open Sans"/>
          <w:lang w:val="en-US"/>
        </w:rPr>
      </w:pPr>
      <w:r w:rsidRPr="00C12F8D">
        <w:rPr>
          <w:rFonts w:ascii="Open Sans" w:hAnsi="Open Sans" w:cs="Open Sans"/>
          <w:lang w:val="en-US"/>
        </w:rPr>
        <w:t>It is</w:t>
      </w:r>
      <w:r w:rsidR="00A17182" w:rsidRPr="00C12F8D">
        <w:rPr>
          <w:rFonts w:ascii="Open Sans" w:hAnsi="Open Sans" w:cs="Open Sans"/>
          <w:lang w:val="en-US"/>
        </w:rPr>
        <w:t xml:space="preserve"> also</w:t>
      </w:r>
      <w:r w:rsidRPr="00C12F8D">
        <w:rPr>
          <w:rFonts w:ascii="Open Sans" w:hAnsi="Open Sans" w:cs="Open Sans"/>
          <w:lang w:val="en-US"/>
        </w:rPr>
        <w:t xml:space="preserve"> problematic that u</w:t>
      </w:r>
      <w:r w:rsidR="007D1A51" w:rsidRPr="00C12F8D">
        <w:rPr>
          <w:rFonts w:ascii="Open Sans" w:hAnsi="Open Sans" w:cs="Open Sans"/>
          <w:lang w:val="en-US"/>
        </w:rPr>
        <w:t>p to three demerit points can</w:t>
      </w:r>
      <w:r w:rsidR="00460110" w:rsidRPr="00C12F8D">
        <w:rPr>
          <w:rFonts w:ascii="Open Sans" w:hAnsi="Open Sans" w:cs="Open Sans"/>
          <w:lang w:val="en-US"/>
        </w:rPr>
        <w:t xml:space="preserve"> be issued by provider</w:t>
      </w:r>
      <w:r w:rsidR="007D1A51" w:rsidRPr="00C12F8D">
        <w:rPr>
          <w:rFonts w:ascii="Open Sans" w:hAnsi="Open Sans" w:cs="Open Sans"/>
          <w:lang w:val="en-US"/>
        </w:rPr>
        <w:t xml:space="preserve">s without first carrying out a </w:t>
      </w:r>
      <w:r w:rsidR="00460110" w:rsidRPr="00C12F8D">
        <w:rPr>
          <w:rFonts w:ascii="Open Sans" w:hAnsi="Open Sans" w:cs="Open Sans"/>
          <w:lang w:val="en-US"/>
        </w:rPr>
        <w:t xml:space="preserve">capability </w:t>
      </w:r>
      <w:r w:rsidR="007D1A51" w:rsidRPr="00C12F8D">
        <w:rPr>
          <w:rFonts w:ascii="Open Sans" w:hAnsi="Open Sans" w:cs="Open Sans"/>
          <w:lang w:val="en-US"/>
        </w:rPr>
        <w:t>interview or assessment</w:t>
      </w:r>
      <w:r w:rsidR="00A17182" w:rsidRPr="00C12F8D">
        <w:rPr>
          <w:rFonts w:ascii="Open Sans" w:hAnsi="Open Sans" w:cs="Open Sans"/>
          <w:lang w:val="en-US"/>
        </w:rPr>
        <w:t>,</w:t>
      </w:r>
      <w:r w:rsidR="00460110" w:rsidRPr="00C12F8D">
        <w:rPr>
          <w:rFonts w:ascii="Open Sans" w:hAnsi="Open Sans" w:cs="Open Sans"/>
          <w:lang w:val="en-US"/>
        </w:rPr>
        <w:t xml:space="preserve"> to ensure that participants are fully capable of carrying out their plan requirements.</w:t>
      </w:r>
      <w:r w:rsidR="00460110" w:rsidRPr="00C12F8D">
        <w:rPr>
          <w:rFonts w:ascii="Open Sans" w:hAnsi="Open Sans" w:cs="Open Sans"/>
        </w:rPr>
        <w:t xml:space="preserve"> </w:t>
      </w:r>
    </w:p>
    <w:p w14:paraId="245CED14" w14:textId="4C77A5BC" w:rsidR="00460110" w:rsidRPr="00C12F8D" w:rsidRDefault="007D1A51" w:rsidP="007D1A51">
      <w:pPr>
        <w:pStyle w:val="ListNumber"/>
        <w:tabs>
          <w:tab w:val="clear" w:pos="360"/>
        </w:tabs>
        <w:ind w:left="1094" w:hanging="737"/>
        <w:rPr>
          <w:rFonts w:ascii="Open Sans" w:hAnsi="Open Sans" w:cs="Open Sans"/>
        </w:rPr>
      </w:pPr>
      <w:r w:rsidRPr="00C12F8D">
        <w:rPr>
          <w:rFonts w:ascii="Open Sans" w:hAnsi="Open Sans" w:cs="Open Sans"/>
        </w:rPr>
        <w:t xml:space="preserve">This approach </w:t>
      </w:r>
      <w:r w:rsidR="00460110" w:rsidRPr="00C12F8D">
        <w:rPr>
          <w:rFonts w:ascii="Open Sans" w:hAnsi="Open Sans" w:cs="Open Sans"/>
        </w:rPr>
        <w:t xml:space="preserve">does not allow </w:t>
      </w:r>
      <w:r w:rsidR="0035797D" w:rsidRPr="00C12F8D">
        <w:rPr>
          <w:rFonts w:ascii="Open Sans" w:hAnsi="Open Sans" w:cs="Open Sans"/>
        </w:rPr>
        <w:t xml:space="preserve">for </w:t>
      </w:r>
      <w:r w:rsidR="00460110" w:rsidRPr="00C12F8D">
        <w:rPr>
          <w:rFonts w:ascii="Open Sans" w:hAnsi="Open Sans" w:cs="Open Sans"/>
        </w:rPr>
        <w:t xml:space="preserve">adequate consideration of </w:t>
      </w:r>
      <w:r w:rsidRPr="00C12F8D">
        <w:rPr>
          <w:rFonts w:ascii="Open Sans" w:hAnsi="Open Sans" w:cs="Open Sans"/>
        </w:rPr>
        <w:t xml:space="preserve">the </w:t>
      </w:r>
      <w:r w:rsidR="0035797D" w:rsidRPr="00C12F8D">
        <w:rPr>
          <w:rFonts w:ascii="Open Sans" w:hAnsi="Open Sans" w:cs="Open Sans"/>
        </w:rPr>
        <w:t xml:space="preserve">potential </w:t>
      </w:r>
      <w:r w:rsidRPr="00C12F8D">
        <w:rPr>
          <w:rFonts w:ascii="Open Sans" w:hAnsi="Open Sans" w:cs="Open Sans"/>
        </w:rPr>
        <w:t>reasons for non-compliance, particular</w:t>
      </w:r>
      <w:r w:rsidR="0035797D" w:rsidRPr="00C12F8D">
        <w:rPr>
          <w:rFonts w:ascii="Open Sans" w:hAnsi="Open Sans" w:cs="Open Sans"/>
        </w:rPr>
        <w:t>ly</w:t>
      </w:r>
      <w:r w:rsidRPr="00C12F8D">
        <w:rPr>
          <w:rFonts w:ascii="Open Sans" w:hAnsi="Open Sans" w:cs="Open Sans"/>
        </w:rPr>
        <w:t xml:space="preserve"> where </w:t>
      </w:r>
      <w:r w:rsidR="00460110" w:rsidRPr="00C12F8D">
        <w:rPr>
          <w:rFonts w:ascii="Open Sans" w:hAnsi="Open Sans" w:cs="Open Sans"/>
          <w:lang w:val="en-US"/>
        </w:rPr>
        <w:t>the TCF is intended to focus on those who are ‘persistently and wilfully noncompliant … while providing protections for the most vulnerable’.</w:t>
      </w:r>
      <w:r w:rsidR="00460110" w:rsidRPr="00C12F8D">
        <w:rPr>
          <w:rStyle w:val="EndnoteReference"/>
          <w:rFonts w:cs="Open Sans"/>
          <w:lang w:val="en-US"/>
        </w:rPr>
        <w:endnoteReference w:id="105"/>
      </w:r>
    </w:p>
    <w:p w14:paraId="63040E12" w14:textId="437B9F3D" w:rsidR="00460110" w:rsidRPr="00C12F8D" w:rsidRDefault="00460110" w:rsidP="002036A3">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In order to achieve this outcome, decision makers will need to deliver timely and well-informed decisions that accurately distinguish between persistent and </w:t>
      </w:r>
      <w:r w:rsidR="008D557A" w:rsidRPr="00C12F8D">
        <w:rPr>
          <w:rFonts w:ascii="Open Sans" w:hAnsi="Open Sans" w:cs="Open Sans"/>
          <w:lang w:val="en-US"/>
        </w:rPr>
        <w:t>willful</w:t>
      </w:r>
      <w:r w:rsidRPr="00C12F8D">
        <w:rPr>
          <w:rFonts w:ascii="Open Sans" w:hAnsi="Open Sans" w:cs="Open Sans"/>
          <w:lang w:val="en-US"/>
        </w:rPr>
        <w:t xml:space="preserve"> non-compliance and chronic incapacity.</w:t>
      </w:r>
    </w:p>
    <w:p w14:paraId="06B065BE" w14:textId="3CBEFF53" w:rsidR="00460110" w:rsidRPr="00C12F8D" w:rsidRDefault="00A17182" w:rsidP="002036A3">
      <w:pPr>
        <w:pStyle w:val="ListNumber"/>
        <w:tabs>
          <w:tab w:val="clear" w:pos="360"/>
        </w:tabs>
        <w:ind w:left="1094" w:hanging="737"/>
        <w:rPr>
          <w:rFonts w:ascii="Open Sans" w:hAnsi="Open Sans" w:cs="Open Sans"/>
          <w:lang w:val="en-US"/>
        </w:rPr>
      </w:pPr>
      <w:r w:rsidRPr="00C12F8D">
        <w:rPr>
          <w:rFonts w:ascii="Open Sans" w:hAnsi="Open Sans" w:cs="Open Sans"/>
          <w:lang w:val="en-US"/>
        </w:rPr>
        <w:t>E</w:t>
      </w:r>
      <w:r w:rsidR="00460110" w:rsidRPr="00C12F8D">
        <w:rPr>
          <w:rFonts w:ascii="Open Sans" w:hAnsi="Open Sans" w:cs="Open Sans"/>
          <w:lang w:val="en-US"/>
        </w:rPr>
        <w:t xml:space="preserve">arly capability assessments and other mechanisms </w:t>
      </w:r>
      <w:r w:rsidRPr="00C12F8D">
        <w:rPr>
          <w:rFonts w:ascii="Open Sans" w:hAnsi="Open Sans" w:cs="Open Sans"/>
          <w:lang w:val="en-US"/>
        </w:rPr>
        <w:t>should be</w:t>
      </w:r>
      <w:r w:rsidR="00460110" w:rsidRPr="00C12F8D">
        <w:rPr>
          <w:rFonts w:ascii="Open Sans" w:hAnsi="Open Sans" w:cs="Open Sans"/>
          <w:lang w:val="en-US"/>
        </w:rPr>
        <w:t xml:space="preserve"> in place for adequate discretion to be exercised in cases where factors outside participants’ control have affected their ability to comply.</w:t>
      </w:r>
      <w:r w:rsidR="0035797D" w:rsidRPr="00C12F8D">
        <w:rPr>
          <w:rFonts w:ascii="Open Sans" w:hAnsi="Open Sans" w:cs="Open Sans"/>
          <w:lang w:val="en-US"/>
        </w:rPr>
        <w:t xml:space="preserve"> </w:t>
      </w:r>
      <w:r w:rsidR="0035797D" w:rsidRPr="00C12F8D">
        <w:rPr>
          <w:rFonts w:ascii="Open Sans" w:hAnsi="Open Sans" w:cs="Open Sans"/>
        </w:rPr>
        <w:t xml:space="preserve">Complex reasons such as </w:t>
      </w:r>
      <w:r w:rsidR="0035797D" w:rsidRPr="00C12F8D">
        <w:rPr>
          <w:rFonts w:ascii="Open Sans" w:hAnsi="Open Sans" w:cs="Open Sans"/>
          <w:lang w:val="en-US"/>
        </w:rPr>
        <w:t>intergenerational trauma, structural racism, poverty, substance abuse, and poor health on an ongoing basis may exist. These factors should be identified and considered before any penalty is implemented.</w:t>
      </w:r>
    </w:p>
    <w:p w14:paraId="299DC00F" w14:textId="1A59921F" w:rsidR="00460110" w:rsidRPr="00C12F8D" w:rsidRDefault="00460110" w:rsidP="00617DAB">
      <w:pPr>
        <w:pStyle w:val="ListNumber"/>
        <w:tabs>
          <w:tab w:val="clear" w:pos="360"/>
        </w:tabs>
        <w:ind w:left="1094" w:hanging="737"/>
        <w:rPr>
          <w:rFonts w:ascii="Open Sans" w:hAnsi="Open Sans" w:cs="Open Sans"/>
          <w:lang w:val="en-US"/>
        </w:rPr>
      </w:pPr>
      <w:r w:rsidRPr="00C12F8D">
        <w:rPr>
          <w:rFonts w:ascii="Open Sans" w:hAnsi="Open Sans" w:cs="Open Sans"/>
          <w:lang w:val="en-US"/>
        </w:rPr>
        <w:t>It is also critically important that those assessing the capacity of participants to fulfil program requirements are appropriately qualified and trained to take into account both the cultural obligations of the local population, and the prevalence and impact of various forms of trauma within Aboriginal and Torres Strait Islander communities.</w:t>
      </w:r>
    </w:p>
    <w:p w14:paraId="0EC83503" w14:textId="120B77F4" w:rsidR="00460110" w:rsidRPr="00C12F8D" w:rsidRDefault="00460110" w:rsidP="000946A5">
      <w:pPr>
        <w:pStyle w:val="ListNumber"/>
        <w:tabs>
          <w:tab w:val="clear" w:pos="360"/>
        </w:tabs>
        <w:ind w:left="1094" w:hanging="737"/>
        <w:rPr>
          <w:rFonts w:ascii="Open Sans" w:hAnsi="Open Sans" w:cs="Open Sans"/>
        </w:rPr>
      </w:pPr>
      <w:r w:rsidRPr="00C12F8D">
        <w:rPr>
          <w:rFonts w:ascii="Open Sans" w:hAnsi="Open Sans" w:cs="Open Sans"/>
        </w:rPr>
        <w:t>The Commission also considers that further measures are required that allow for increased Indigenous self-</w:t>
      </w:r>
      <w:r w:rsidRPr="00C12F8D">
        <w:rPr>
          <w:rFonts w:ascii="Open Sans" w:hAnsi="Open Sans" w:cs="Open Sans"/>
          <w:lang w:val="en-US"/>
        </w:rPr>
        <w:t>determination</w:t>
      </w:r>
      <w:r w:rsidRPr="00C12F8D">
        <w:rPr>
          <w:rFonts w:ascii="Open Sans" w:hAnsi="Open Sans" w:cs="Open Sans"/>
        </w:rPr>
        <w:t xml:space="preserve"> and participation in decision making. These are key tenets of UNDRIP which the Australian Government endorsed in 2009.</w:t>
      </w:r>
      <w:r w:rsidRPr="00C12F8D">
        <w:rPr>
          <w:rStyle w:val="EndnoteReference"/>
          <w:rFonts w:cs="Open Sans"/>
        </w:rPr>
        <w:endnoteReference w:id="106"/>
      </w:r>
      <w:r w:rsidRPr="00C12F8D">
        <w:rPr>
          <w:rFonts w:ascii="Open Sans" w:hAnsi="Open Sans" w:cs="Open Sans"/>
        </w:rPr>
        <w:t xml:space="preserve"> </w:t>
      </w:r>
    </w:p>
    <w:p w14:paraId="34B21E55" w14:textId="2E91542A" w:rsidR="00460110" w:rsidRPr="00C12F8D" w:rsidRDefault="00460110" w:rsidP="000946A5">
      <w:pPr>
        <w:pStyle w:val="ListNumber"/>
        <w:tabs>
          <w:tab w:val="clear" w:pos="360"/>
        </w:tabs>
        <w:ind w:left="1094" w:hanging="737"/>
        <w:rPr>
          <w:rFonts w:ascii="Open Sans" w:hAnsi="Open Sans" w:cs="Open Sans"/>
        </w:rPr>
      </w:pPr>
      <w:r w:rsidRPr="00C12F8D">
        <w:rPr>
          <w:rFonts w:ascii="Open Sans" w:hAnsi="Open Sans" w:cs="Open Sans"/>
        </w:rPr>
        <w:t>UNDRIP articulates how the human rights principles in CERD and ICESCR apply to Indigenous Peoples, in particular the four principles of</w:t>
      </w:r>
      <w:r w:rsidR="00AD78D3" w:rsidRPr="00C12F8D">
        <w:rPr>
          <w:rFonts w:ascii="Open Sans" w:hAnsi="Open Sans" w:cs="Open Sans"/>
        </w:rPr>
        <w:t>:</w:t>
      </w:r>
      <w:r w:rsidRPr="00C12F8D">
        <w:rPr>
          <w:rFonts w:ascii="Open Sans" w:hAnsi="Open Sans" w:cs="Open Sans"/>
        </w:rPr>
        <w:t xml:space="preserve"> self-determination; </w:t>
      </w:r>
      <w:r w:rsidRPr="00C12F8D">
        <w:rPr>
          <w:rFonts w:ascii="Open Sans" w:hAnsi="Open Sans" w:cs="Open Sans"/>
          <w:lang w:val="en-US" w:eastAsia="en-AU"/>
        </w:rPr>
        <w:t>free, prior and informed consent; respect for and protection of culture; and non-discrimination and equality</w:t>
      </w:r>
      <w:r w:rsidRPr="00C12F8D">
        <w:rPr>
          <w:rFonts w:ascii="Open Sans" w:hAnsi="Open Sans" w:cs="Open Sans"/>
        </w:rPr>
        <w:t>. Such measures not only promote the realisation of human rights, they also underpin effective community development.</w:t>
      </w:r>
    </w:p>
    <w:p w14:paraId="6ECE3B81" w14:textId="460CDF95" w:rsidR="00460110" w:rsidRPr="00C12F8D" w:rsidRDefault="00460110" w:rsidP="00CA53D5">
      <w:pPr>
        <w:pStyle w:val="ListNumber"/>
        <w:tabs>
          <w:tab w:val="clear" w:pos="360"/>
        </w:tabs>
        <w:ind w:left="1094" w:hanging="737"/>
        <w:rPr>
          <w:rFonts w:ascii="Open Sans" w:hAnsi="Open Sans" w:cs="Open Sans"/>
          <w:lang w:val="en-US"/>
        </w:rPr>
      </w:pPr>
      <w:r w:rsidRPr="00C12F8D">
        <w:rPr>
          <w:rFonts w:ascii="Open Sans" w:hAnsi="Open Sans" w:cs="Open Sans"/>
          <w:lang w:val="en-US"/>
        </w:rPr>
        <w:t>Despite a stated intention by the Department of Employment to promote culturally appropriate servicing and look for providers that ‘strongly engage with local and Indigenous communities’,</w:t>
      </w:r>
      <w:r w:rsidRPr="00C12F8D">
        <w:rPr>
          <w:rStyle w:val="EndnoteReference"/>
          <w:rFonts w:cs="Open Sans"/>
          <w:lang w:val="en-US"/>
        </w:rPr>
        <w:endnoteReference w:id="107"/>
      </w:r>
      <w:r w:rsidRPr="00C12F8D">
        <w:rPr>
          <w:rFonts w:ascii="Open Sans" w:hAnsi="Open Sans" w:cs="Open Sans"/>
          <w:lang w:val="en-US"/>
        </w:rPr>
        <w:t xml:space="preserve"> it is not </w:t>
      </w:r>
      <w:r w:rsidRPr="00C12F8D">
        <w:rPr>
          <w:rFonts w:ascii="Open Sans" w:hAnsi="Open Sans" w:cs="Open Sans"/>
          <w:lang w:val="en-US"/>
        </w:rPr>
        <w:lastRenderedPageBreak/>
        <w:t xml:space="preserve">clear that local communities and Aboriginal-controlled organisations are being engaged to operate ParentsNext. </w:t>
      </w:r>
    </w:p>
    <w:p w14:paraId="7F47D3B1" w14:textId="68046AD1" w:rsidR="00460110" w:rsidRPr="00C12F8D" w:rsidRDefault="00460110" w:rsidP="00CA53D5">
      <w:pPr>
        <w:pStyle w:val="ListNumber"/>
        <w:tabs>
          <w:tab w:val="clear" w:pos="360"/>
        </w:tabs>
        <w:ind w:left="1094" w:hanging="737"/>
        <w:rPr>
          <w:rFonts w:ascii="Open Sans" w:hAnsi="Open Sans" w:cs="Open Sans"/>
          <w:lang w:val="en-US"/>
        </w:rPr>
      </w:pPr>
      <w:r w:rsidRPr="00C12F8D">
        <w:rPr>
          <w:rFonts w:ascii="Open Sans" w:hAnsi="Open Sans" w:cs="Open Sans"/>
          <w:lang w:val="en-US"/>
        </w:rPr>
        <w:t>Nor do program safeguards ensure sufficient flexibility is provided to Aboriginal communities to make decisions as to what constitutes a legitimate program requirement.</w:t>
      </w:r>
    </w:p>
    <w:p w14:paraId="7AE5F151" w14:textId="0CCAC5B4" w:rsidR="00460110" w:rsidRPr="00C12F8D" w:rsidRDefault="00460110" w:rsidP="00E44309">
      <w:pPr>
        <w:pStyle w:val="Heading2"/>
        <w:rPr>
          <w:rFonts w:ascii="Open Sans" w:hAnsi="Open Sans" w:cs="Open Sans"/>
        </w:rPr>
      </w:pPr>
      <w:bookmarkStart w:id="45" w:name="_Toc536796591"/>
      <w:r w:rsidRPr="00C12F8D">
        <w:rPr>
          <w:rFonts w:ascii="Open Sans" w:hAnsi="Open Sans" w:cs="Open Sans"/>
        </w:rPr>
        <w:t>Discriminatory impacts on women and Indigenous Australians</w:t>
      </w:r>
      <w:bookmarkEnd w:id="45"/>
    </w:p>
    <w:p w14:paraId="132FF1EA" w14:textId="7D755796" w:rsidR="00460110" w:rsidRPr="00C12F8D" w:rsidRDefault="00460110" w:rsidP="006242CA">
      <w:pPr>
        <w:pStyle w:val="ListNumber"/>
        <w:tabs>
          <w:tab w:val="clear" w:pos="360"/>
        </w:tabs>
        <w:ind w:left="1094" w:hanging="737"/>
        <w:rPr>
          <w:rFonts w:ascii="Open Sans" w:hAnsi="Open Sans" w:cs="Open Sans"/>
        </w:rPr>
      </w:pPr>
      <w:r w:rsidRPr="00C12F8D">
        <w:rPr>
          <w:rFonts w:ascii="Open Sans" w:hAnsi="Open Sans" w:cs="Open Sans"/>
        </w:rPr>
        <w:t xml:space="preserve">ICESCR protects the right to social security </w:t>
      </w:r>
      <w:r w:rsidRPr="00C12F8D">
        <w:rPr>
          <w:rFonts w:ascii="Open Sans" w:hAnsi="Open Sans" w:cs="Open Sans"/>
          <w:i/>
        </w:rPr>
        <w:t>without discrimination</w:t>
      </w:r>
      <w:r w:rsidRPr="00C12F8D">
        <w:rPr>
          <w:rFonts w:ascii="Open Sans" w:hAnsi="Open Sans" w:cs="Open Sans"/>
        </w:rPr>
        <w:t xml:space="preserve"> of any kind and ensures the equal rights of men and women to economic, social and cultural rights; these are obligations of immediate effect.</w:t>
      </w:r>
      <w:r w:rsidRPr="00C12F8D">
        <w:rPr>
          <w:rFonts w:ascii="Open Sans" w:hAnsi="Open Sans" w:cs="Open Sans"/>
          <w:vertAlign w:val="superscript"/>
        </w:rPr>
        <w:endnoteReference w:id="108"/>
      </w:r>
      <w:r w:rsidRPr="00C12F8D">
        <w:rPr>
          <w:rFonts w:ascii="Open Sans" w:hAnsi="Open Sans" w:cs="Open Sans"/>
        </w:rPr>
        <w:t xml:space="preserve"> </w:t>
      </w:r>
    </w:p>
    <w:p w14:paraId="47631092" w14:textId="3C228408" w:rsidR="00460110" w:rsidRPr="00C12F8D" w:rsidRDefault="00460110" w:rsidP="006242CA">
      <w:pPr>
        <w:pStyle w:val="ListNumber"/>
        <w:tabs>
          <w:tab w:val="clear" w:pos="360"/>
        </w:tabs>
        <w:ind w:left="1094" w:hanging="737"/>
        <w:rPr>
          <w:rFonts w:ascii="Open Sans" w:hAnsi="Open Sans" w:cs="Open Sans"/>
        </w:rPr>
      </w:pPr>
      <w:r w:rsidRPr="00C12F8D">
        <w:rPr>
          <w:rFonts w:ascii="Open Sans" w:hAnsi="Open Sans" w:cs="Open Sans"/>
        </w:rPr>
        <w:t xml:space="preserve">This means that the </w:t>
      </w:r>
      <w:r w:rsidRPr="00C12F8D">
        <w:rPr>
          <w:rFonts w:ascii="Open Sans" w:hAnsi="Open Sans" w:cs="Open Sans"/>
          <w:lang w:val="en-US"/>
        </w:rPr>
        <w:t>right to social security is to be enjoyed equally, regardless of protected attributes including sex, race, colour, national or ethnic origin or age.</w:t>
      </w:r>
    </w:p>
    <w:p w14:paraId="3F3D2BC6" w14:textId="6A7384E3" w:rsidR="00460110" w:rsidRPr="00C12F8D" w:rsidRDefault="00460110" w:rsidP="00782733">
      <w:pPr>
        <w:pStyle w:val="ListNumber"/>
        <w:tabs>
          <w:tab w:val="clear" w:pos="360"/>
        </w:tabs>
        <w:ind w:left="1094" w:hanging="737"/>
        <w:rPr>
          <w:rFonts w:ascii="Open Sans" w:hAnsi="Open Sans" w:cs="Open Sans"/>
        </w:rPr>
      </w:pPr>
      <w:r w:rsidRPr="00C12F8D">
        <w:rPr>
          <w:rFonts w:ascii="Open Sans" w:hAnsi="Open Sans" w:cs="Open Sans"/>
        </w:rPr>
        <w:t>The right to equality and non-discrimination in relation to social security is also recognised and protected under articles 1, 2 and 5(e)(iv) of CERD, articles 2 and 26 of the CRC and articles 2, 3, 11(1)(e) and 14(2)(c) of CEDAW.</w:t>
      </w:r>
    </w:p>
    <w:p w14:paraId="66CA1AD1" w14:textId="143A3D25" w:rsidR="00460110" w:rsidRPr="00C12F8D" w:rsidRDefault="00460110" w:rsidP="005311D9">
      <w:pPr>
        <w:pStyle w:val="ListNumber"/>
        <w:tabs>
          <w:tab w:val="clear" w:pos="360"/>
        </w:tabs>
        <w:ind w:left="1094" w:hanging="737"/>
        <w:rPr>
          <w:rFonts w:ascii="Open Sans" w:hAnsi="Open Sans" w:cs="Open Sans"/>
        </w:rPr>
      </w:pPr>
      <w:r w:rsidRPr="00C12F8D">
        <w:rPr>
          <w:rFonts w:ascii="Open Sans" w:hAnsi="Open Sans" w:cs="Open Sans"/>
        </w:rPr>
        <w:t xml:space="preserve">The </w:t>
      </w:r>
      <w:r w:rsidRPr="00C12F8D">
        <w:rPr>
          <w:rFonts w:ascii="Open Sans" w:hAnsi="Open Sans" w:cs="Open Sans"/>
          <w:i/>
        </w:rPr>
        <w:t xml:space="preserve">Sex Discrimination Act 1984 </w:t>
      </w:r>
      <w:r w:rsidRPr="00C12F8D">
        <w:rPr>
          <w:rFonts w:ascii="Open Sans" w:hAnsi="Open Sans" w:cs="Open Sans"/>
        </w:rPr>
        <w:t>(Cth) (SDA) is based on Australia’s international commitments under CEDAW. Section 5 prohibits direct and indirect discrimination because of a person’s sex in certain areas of public life. Relevantly, s 26 of the SDA prohibits discrimination in the administration of Commonwealth laws and programs. The SDA also aims to promote recognition and acceptance within the community of the principle of the equality of men and women.</w:t>
      </w:r>
      <w:r w:rsidRPr="00C12F8D">
        <w:rPr>
          <w:rStyle w:val="EndnoteReference"/>
          <w:rFonts w:cs="Open Sans"/>
        </w:rPr>
        <w:endnoteReference w:id="109"/>
      </w:r>
    </w:p>
    <w:p w14:paraId="7B53811B" w14:textId="03E56AD2" w:rsidR="00460110" w:rsidRPr="00C12F8D" w:rsidRDefault="00460110" w:rsidP="005311D9">
      <w:pPr>
        <w:pStyle w:val="ListNumber"/>
        <w:tabs>
          <w:tab w:val="clear" w:pos="360"/>
        </w:tabs>
        <w:ind w:left="1094" w:hanging="737"/>
        <w:rPr>
          <w:rFonts w:ascii="Open Sans" w:hAnsi="Open Sans" w:cs="Open Sans"/>
        </w:rPr>
      </w:pPr>
      <w:r w:rsidRPr="00C12F8D">
        <w:rPr>
          <w:rFonts w:ascii="Open Sans" w:hAnsi="Open Sans" w:cs="Open Sans"/>
        </w:rPr>
        <w:t>Direct discrimination happens when a person, or a group of people, is treated less favourably than another person or group because of their background or certain personal characteristics.</w:t>
      </w:r>
    </w:p>
    <w:p w14:paraId="6F466714" w14:textId="36A72403" w:rsidR="00460110" w:rsidRPr="00C12F8D" w:rsidRDefault="00460110" w:rsidP="005311D9">
      <w:pPr>
        <w:pStyle w:val="ListNumber"/>
        <w:tabs>
          <w:tab w:val="clear" w:pos="360"/>
        </w:tabs>
        <w:ind w:left="1094" w:hanging="737"/>
        <w:rPr>
          <w:rFonts w:ascii="Open Sans" w:hAnsi="Open Sans" w:cs="Open Sans"/>
        </w:rPr>
      </w:pPr>
      <w:r w:rsidRPr="00C12F8D">
        <w:rPr>
          <w:rFonts w:ascii="Open Sans" w:hAnsi="Open Sans" w:cs="Open Sans"/>
        </w:rPr>
        <w:t>Indirect discrimination occurs when there is an unreasonable rule or policy that is the same for everyone but has an unfair effect on people who share a particular attribute.</w:t>
      </w:r>
    </w:p>
    <w:p w14:paraId="31E5AF60" w14:textId="6C967D7F" w:rsidR="00460110" w:rsidRPr="00C12F8D" w:rsidRDefault="00460110" w:rsidP="00D4641D">
      <w:pPr>
        <w:pStyle w:val="ListNumber"/>
        <w:tabs>
          <w:tab w:val="clear" w:pos="360"/>
        </w:tabs>
        <w:ind w:left="1094" w:hanging="737"/>
        <w:rPr>
          <w:rFonts w:ascii="Open Sans" w:hAnsi="Open Sans" w:cs="Open Sans"/>
        </w:rPr>
      </w:pPr>
      <w:r w:rsidRPr="00C12F8D">
        <w:rPr>
          <w:rFonts w:ascii="Open Sans" w:hAnsi="Open Sans" w:cs="Open Sans"/>
        </w:rPr>
        <w:t xml:space="preserve">The </w:t>
      </w:r>
      <w:r w:rsidRPr="00C12F8D">
        <w:rPr>
          <w:rFonts w:ascii="Open Sans" w:hAnsi="Open Sans" w:cs="Open Sans"/>
          <w:i/>
        </w:rPr>
        <w:t xml:space="preserve">Racial Discrimination Act 1975 </w:t>
      </w:r>
      <w:r w:rsidRPr="00C12F8D">
        <w:rPr>
          <w:rFonts w:ascii="Open Sans" w:hAnsi="Open Sans" w:cs="Open Sans"/>
        </w:rPr>
        <w:t>(Cth) (RDA) is based on Australia’s international commitments under CERD. Section 9 of the RDA prohibits direct and indirect discrimination on the grounds of race. Section 10 of the RDA protects the right to equality before the law. There are three key questions that need to be asked to assess whether initiatives are consistent with the RDA:</w:t>
      </w:r>
      <w:r w:rsidRPr="00C12F8D">
        <w:rPr>
          <w:rStyle w:val="EndnoteReference"/>
          <w:rFonts w:cs="Open Sans"/>
        </w:rPr>
        <w:endnoteReference w:id="110"/>
      </w:r>
    </w:p>
    <w:p w14:paraId="5385BCAE" w14:textId="7C5544ED"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where the measure is established by legislation, does it guarantee equality before the law</w:t>
      </w:r>
      <w:r w:rsidRPr="00C12F8D">
        <w:rPr>
          <w:rStyle w:val="EndnoteReference"/>
          <w:rFonts w:cs="Open Sans"/>
        </w:rPr>
        <w:endnoteReference w:id="111"/>
      </w:r>
    </w:p>
    <w:p w14:paraId="4CA45200" w14:textId="6E422112"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lastRenderedPageBreak/>
        <w:t>is the measure implemented in such a way that avoids both direct and indirect discrimination</w:t>
      </w:r>
      <w:r w:rsidRPr="00C12F8D">
        <w:rPr>
          <w:rStyle w:val="EndnoteReference"/>
          <w:rFonts w:cs="Open Sans"/>
        </w:rPr>
        <w:endnoteReference w:id="112"/>
      </w:r>
    </w:p>
    <w:p w14:paraId="00DBE584" w14:textId="79FB9BCF" w:rsidR="00460110" w:rsidRPr="00C12F8D" w:rsidRDefault="00460110" w:rsidP="00221364">
      <w:pPr>
        <w:pStyle w:val="ListParagraph"/>
        <w:numPr>
          <w:ilvl w:val="0"/>
          <w:numId w:val="19"/>
        </w:numPr>
        <w:rPr>
          <w:rFonts w:ascii="Open Sans" w:hAnsi="Open Sans" w:cs="Open Sans"/>
        </w:rPr>
      </w:pPr>
      <w:r w:rsidRPr="00C12F8D">
        <w:rPr>
          <w:rFonts w:ascii="Open Sans" w:hAnsi="Open Sans" w:cs="Open Sans"/>
        </w:rPr>
        <w:t>is the measure exempt as a special measure</w:t>
      </w:r>
      <w:r w:rsidRPr="00C12F8D">
        <w:rPr>
          <w:rStyle w:val="EndnoteReference"/>
          <w:rFonts w:cs="Open Sans"/>
        </w:rPr>
        <w:endnoteReference w:id="113"/>
      </w:r>
    </w:p>
    <w:p w14:paraId="475F471B" w14:textId="148AC680" w:rsidR="00460110" w:rsidRPr="00C12F8D" w:rsidRDefault="00460110" w:rsidP="00D4641D">
      <w:pPr>
        <w:pStyle w:val="ListNumber"/>
        <w:tabs>
          <w:tab w:val="clear" w:pos="360"/>
        </w:tabs>
        <w:ind w:left="1094" w:hanging="737"/>
        <w:rPr>
          <w:rFonts w:ascii="Open Sans" w:hAnsi="Open Sans" w:cs="Open Sans"/>
        </w:rPr>
      </w:pPr>
      <w:r w:rsidRPr="00C12F8D">
        <w:rPr>
          <w:rFonts w:ascii="Open Sans" w:hAnsi="Open Sans" w:cs="Open Sans"/>
        </w:rPr>
        <w:t xml:space="preserve">Sections 14 and 15 of the </w:t>
      </w:r>
      <w:r w:rsidRPr="00C12F8D">
        <w:rPr>
          <w:rFonts w:ascii="Open Sans" w:hAnsi="Open Sans" w:cs="Open Sans"/>
          <w:i/>
        </w:rPr>
        <w:t xml:space="preserve">Age Discrimination Act 2004 </w:t>
      </w:r>
      <w:r w:rsidRPr="00C12F8D">
        <w:rPr>
          <w:rFonts w:ascii="Open Sans" w:hAnsi="Open Sans" w:cs="Open Sans"/>
        </w:rPr>
        <w:t>(Cth) (ADA) prohibit direct and indirect discrimination because of a person’s age.</w:t>
      </w:r>
    </w:p>
    <w:p w14:paraId="042EAEAD" w14:textId="0E4D5269" w:rsidR="00460110" w:rsidRPr="00C12F8D" w:rsidRDefault="00460110" w:rsidP="00D4641D">
      <w:pPr>
        <w:pStyle w:val="ListNumber"/>
        <w:tabs>
          <w:tab w:val="clear" w:pos="360"/>
        </w:tabs>
        <w:ind w:left="1094" w:hanging="737"/>
        <w:rPr>
          <w:rFonts w:ascii="Open Sans" w:hAnsi="Open Sans" w:cs="Open Sans"/>
        </w:rPr>
      </w:pPr>
      <w:r w:rsidRPr="00C12F8D">
        <w:rPr>
          <w:rFonts w:ascii="Open Sans" w:hAnsi="Open Sans" w:cs="Open Sans"/>
        </w:rPr>
        <w:t xml:space="preserve">The Commission considers that the targeted, disproportionate and adverse impacts of ParentsNext may breach Australia’s obligations under the RDA, SDA, ADA and ICESCR, particularly with respect to non-discrimination against women, Indigenous Australians and young parents. </w:t>
      </w:r>
    </w:p>
    <w:p w14:paraId="49F3E4DA" w14:textId="4FBE8723" w:rsidR="00460110" w:rsidRPr="00C12F8D" w:rsidRDefault="00460110" w:rsidP="005A359A">
      <w:pPr>
        <w:pStyle w:val="ListNumber"/>
        <w:tabs>
          <w:tab w:val="clear" w:pos="360"/>
        </w:tabs>
        <w:ind w:left="1094" w:hanging="737"/>
        <w:rPr>
          <w:rFonts w:ascii="Open Sans" w:hAnsi="Open Sans" w:cs="Open Sans"/>
          <w:shd w:val="clear" w:color="auto" w:fill="FFFFFF"/>
        </w:rPr>
      </w:pPr>
      <w:r w:rsidRPr="00C12F8D">
        <w:rPr>
          <w:rFonts w:ascii="Open Sans" w:hAnsi="Open Sans" w:cs="Open Sans"/>
        </w:rPr>
        <w:t>A significant number of compulsory participants are women and/or Indigenous Australians. Women are estimated to comprise approximately 96% of the 68,000 participants; approximately 19% or 14,000 participants are Indigenous Australians.</w:t>
      </w:r>
      <w:r w:rsidRPr="00C12F8D">
        <w:rPr>
          <w:rStyle w:val="EndnoteReference"/>
          <w:rFonts w:cs="Open Sans"/>
        </w:rPr>
        <w:endnoteReference w:id="114"/>
      </w:r>
      <w:r w:rsidRPr="00C12F8D">
        <w:rPr>
          <w:rFonts w:ascii="Open Sans" w:hAnsi="Open Sans" w:cs="Open Sans"/>
        </w:rPr>
        <w:t xml:space="preserve"> Notably, the proportion of participants who identify as Indigenous is higher than the estimate of 10,000 Indigenous women that is set out in the Explanatory Statement. The program also specifically targets young parents who have not completed high school.</w:t>
      </w:r>
    </w:p>
    <w:p w14:paraId="471CC2CA" w14:textId="297F367E" w:rsidR="00460110" w:rsidRPr="00C12F8D" w:rsidRDefault="00460110" w:rsidP="00B478E0">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The result of the statutory criteria is that more stringent obligations are imposed on targeted participants under threat of financial penalty. Accordingly, </w:t>
      </w:r>
      <w:r w:rsidRPr="00C12F8D">
        <w:rPr>
          <w:rFonts w:ascii="Open Sans" w:hAnsi="Open Sans" w:cs="Open Sans"/>
        </w:rPr>
        <w:t>the rights of parents and children who are mandatory participants are unequally limited when compared to other recipients of the Parenting Payment.</w:t>
      </w:r>
    </w:p>
    <w:p w14:paraId="47621884" w14:textId="108BA61C" w:rsidR="00460110" w:rsidRPr="00C12F8D" w:rsidRDefault="00460110" w:rsidP="000C6DB3">
      <w:pPr>
        <w:pStyle w:val="ListNumber"/>
        <w:tabs>
          <w:tab w:val="clear" w:pos="360"/>
        </w:tabs>
        <w:ind w:left="1094" w:hanging="737"/>
        <w:rPr>
          <w:rFonts w:ascii="Open Sans" w:hAnsi="Open Sans" w:cs="Open Sans"/>
          <w:shd w:val="clear" w:color="auto" w:fill="FFFFFF"/>
        </w:rPr>
      </w:pPr>
      <w:r w:rsidRPr="00C12F8D">
        <w:rPr>
          <w:rFonts w:ascii="Open Sans" w:hAnsi="Open Sans" w:cs="Open Sans"/>
          <w:shd w:val="clear" w:color="auto" w:fill="FFFFFF"/>
        </w:rPr>
        <w:t>As acknowledged in the Explanatory Statement, the program eligibility criteria is directly discriminatory on the basis of age.</w:t>
      </w:r>
      <w:r w:rsidRPr="00C12F8D">
        <w:rPr>
          <w:rStyle w:val="EndnoteReference"/>
          <w:rFonts w:cs="Open Sans"/>
          <w:shd w:val="clear" w:color="auto" w:fill="FFFFFF"/>
        </w:rPr>
        <w:endnoteReference w:id="115"/>
      </w:r>
      <w:r w:rsidRPr="00C12F8D">
        <w:rPr>
          <w:rFonts w:ascii="Open Sans" w:hAnsi="Open Sans" w:cs="Open Sans"/>
          <w:shd w:val="clear" w:color="auto" w:fill="FFFFFF"/>
        </w:rPr>
        <w:t xml:space="preserve"> In particular, the application of Parents</w:t>
      </w:r>
      <w:r w:rsidR="00A17182" w:rsidRPr="00C12F8D">
        <w:rPr>
          <w:rFonts w:ascii="Open Sans" w:hAnsi="Open Sans" w:cs="Open Sans"/>
          <w:shd w:val="clear" w:color="auto" w:fill="FFFFFF"/>
        </w:rPr>
        <w:t xml:space="preserve">Next to ‘early school leavers’ </w:t>
      </w:r>
      <w:r w:rsidRPr="00C12F8D">
        <w:rPr>
          <w:rFonts w:ascii="Open Sans" w:hAnsi="Open Sans" w:cs="Open Sans"/>
          <w:shd w:val="clear" w:color="auto" w:fill="FFFFFF"/>
        </w:rPr>
        <w:t xml:space="preserve">means that persons under 22 years of age are treated less favourably than older parents in the same circumstances. </w:t>
      </w:r>
    </w:p>
    <w:p w14:paraId="01554024" w14:textId="0FECCDEF" w:rsidR="00460110" w:rsidRPr="00C12F8D" w:rsidRDefault="00460110" w:rsidP="00DA54D0">
      <w:pPr>
        <w:pStyle w:val="ListNumber"/>
        <w:tabs>
          <w:tab w:val="clear" w:pos="360"/>
        </w:tabs>
        <w:ind w:left="1094" w:hanging="737"/>
        <w:rPr>
          <w:rFonts w:ascii="Open Sans" w:hAnsi="Open Sans" w:cs="Open Sans"/>
          <w:shd w:val="clear" w:color="auto" w:fill="FFFFFF"/>
        </w:rPr>
      </w:pPr>
      <w:r w:rsidRPr="00C12F8D">
        <w:rPr>
          <w:rFonts w:ascii="Open Sans" w:hAnsi="Open Sans" w:cs="Open Sans"/>
        </w:rPr>
        <w:t xml:space="preserve">The </w:t>
      </w:r>
      <w:r w:rsidRPr="00C12F8D">
        <w:rPr>
          <w:rFonts w:ascii="Open Sans" w:hAnsi="Open Sans" w:cs="Open Sans"/>
          <w:shd w:val="clear" w:color="auto" w:fill="FFFFFF"/>
        </w:rPr>
        <w:t xml:space="preserve">Statement of Compatibility with Human Rights acknowledges that the intentional selection of Intensive Stream locations on the basis that they have a high proportion of parenting payment recipients who are </w:t>
      </w:r>
      <w:r w:rsidRPr="00C12F8D">
        <w:rPr>
          <w:rFonts w:ascii="Open Sans" w:hAnsi="Open Sans" w:cs="Open Sans"/>
        </w:rPr>
        <w:t>Indigenous Australians amounts to direct discrimination on the basis of race. That is, there has been a positive decision to select Indigenous people for a program that involves punitive elements.</w:t>
      </w:r>
    </w:p>
    <w:p w14:paraId="1EA36301" w14:textId="0E2A38CD" w:rsidR="00460110" w:rsidRPr="00C12F8D" w:rsidRDefault="00460110" w:rsidP="00DA54D0">
      <w:pPr>
        <w:pStyle w:val="ListNumber"/>
        <w:tabs>
          <w:tab w:val="clear" w:pos="360"/>
        </w:tabs>
        <w:ind w:left="1094" w:hanging="737"/>
        <w:rPr>
          <w:rFonts w:ascii="Open Sans" w:hAnsi="Open Sans" w:cs="Open Sans"/>
          <w:shd w:val="clear" w:color="auto" w:fill="FFFFFF"/>
        </w:rPr>
      </w:pPr>
      <w:r w:rsidRPr="00C12F8D">
        <w:rPr>
          <w:rFonts w:ascii="Open Sans" w:hAnsi="Open Sans" w:cs="Open Sans"/>
        </w:rPr>
        <w:t>The Statement of Compatibility also acknowledges that the program could amount to indirect discrimination on the basis of sex because the vast majority of those affected will be women</w:t>
      </w:r>
      <w:r w:rsidRPr="00C12F8D">
        <w:rPr>
          <w:rFonts w:ascii="Open Sans" w:hAnsi="Open Sans" w:cs="Open Sans"/>
          <w:shd w:val="clear" w:color="auto" w:fill="FFFFFF"/>
        </w:rPr>
        <w:t>.</w:t>
      </w:r>
      <w:r w:rsidRPr="00C12F8D">
        <w:rPr>
          <w:rStyle w:val="EndnoteReference"/>
          <w:rFonts w:cs="Open Sans"/>
          <w:shd w:val="clear" w:color="auto" w:fill="FFFFFF"/>
        </w:rPr>
        <w:endnoteReference w:id="116"/>
      </w:r>
      <w:r w:rsidRPr="00C12F8D">
        <w:rPr>
          <w:rFonts w:ascii="Open Sans" w:hAnsi="Open Sans" w:cs="Open Sans"/>
          <w:shd w:val="clear" w:color="auto" w:fill="FFFFFF"/>
        </w:rPr>
        <w:t xml:space="preserve"> That is, while the criteria for selection to the program applies to both men and women, it results in a disproportionate over-representation of women.</w:t>
      </w:r>
    </w:p>
    <w:p w14:paraId="434912EA" w14:textId="341CA428" w:rsidR="00460110" w:rsidRPr="00C12F8D" w:rsidRDefault="00460110" w:rsidP="00DA54D0">
      <w:pPr>
        <w:pStyle w:val="ListNumber"/>
        <w:tabs>
          <w:tab w:val="clear" w:pos="360"/>
        </w:tabs>
        <w:ind w:left="1094" w:hanging="737"/>
        <w:rPr>
          <w:rFonts w:ascii="Open Sans" w:hAnsi="Open Sans" w:cs="Open Sans"/>
          <w:shd w:val="clear" w:color="auto" w:fill="FFFFFF"/>
        </w:rPr>
      </w:pPr>
      <w:r w:rsidRPr="00C12F8D">
        <w:rPr>
          <w:rFonts w:ascii="Open Sans" w:hAnsi="Open Sans" w:cs="Open Sans"/>
          <w:shd w:val="clear" w:color="auto" w:fill="FFFFFF"/>
        </w:rPr>
        <w:lastRenderedPageBreak/>
        <w:t>The Statement of Compatibility recognises that the direct and indirect discriminatory impacts of the program may limit the rights of these groups to equality and non-discrimination.</w:t>
      </w:r>
      <w:r w:rsidRPr="00C12F8D">
        <w:rPr>
          <w:rStyle w:val="EndnoteReference"/>
          <w:rFonts w:cs="Open Sans"/>
          <w:shd w:val="clear" w:color="auto" w:fill="FFFFFF"/>
        </w:rPr>
        <w:endnoteReference w:id="117"/>
      </w:r>
      <w:r w:rsidRPr="00C12F8D">
        <w:rPr>
          <w:rFonts w:ascii="Open Sans" w:hAnsi="Open Sans" w:cs="Open Sans"/>
          <w:shd w:val="clear" w:color="auto" w:fill="FFFFFF"/>
        </w:rPr>
        <w:t xml:space="preserve"> However, it seeks to justify the limitations </w:t>
      </w:r>
      <w:r w:rsidR="00B96A35">
        <w:rPr>
          <w:rFonts w:ascii="Open Sans" w:hAnsi="Open Sans" w:cs="Open Sans"/>
          <w:shd w:val="clear" w:color="auto" w:fill="FFFFFF"/>
        </w:rPr>
        <w:t xml:space="preserve">as </w:t>
      </w:r>
      <w:r w:rsidRPr="00C12F8D">
        <w:rPr>
          <w:rFonts w:ascii="Open Sans" w:hAnsi="Open Sans" w:cs="Open Sans"/>
          <w:shd w:val="clear" w:color="auto" w:fill="FFFFFF"/>
        </w:rPr>
        <w:t>follows:</w:t>
      </w:r>
    </w:p>
    <w:p w14:paraId="42604301" w14:textId="233BE906" w:rsidR="00460110" w:rsidRPr="00C12F8D" w:rsidRDefault="00460110" w:rsidP="00DA54D0">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It is appropriate to restrict the eligibility for ParentsNext to particular groups of parents as the program is designed to provide those groups with support to address the specific disadvantage they face. …</w:t>
      </w:r>
    </w:p>
    <w:p w14:paraId="7B3AC92E" w14:textId="78280CF2" w:rsidR="00460110" w:rsidRPr="00C12F8D" w:rsidRDefault="00460110" w:rsidP="00DA54D0">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 xml:space="preserve">The majority of parents in jobless families are women and, at any one time there are around 11,000 teenage parents on parenting payment. Around 80 per cent of these parents have not completed Year 12 or equivalent qualifications, and over 25 per cent have only primary school as their highest level of education. Teenage parents who are unemployed are far more likely to have poor employment prospects, low educational attainment, low incomes, poor health and low educational and employment outcomes for their children – contributing to the risk of long term welfare dependency for themselves and their children. </w:t>
      </w:r>
    </w:p>
    <w:p w14:paraId="1F2EE09A" w14:textId="097286CD" w:rsidR="00460110" w:rsidRPr="00C12F8D" w:rsidRDefault="00460110" w:rsidP="00DA54D0">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It is also appropriate that twenty of the Intensive stream locations were selected based on the proportion of parenting payment recipients who were Indigenous as one of the objectives of the program is to help Close the Gap in Indigenous employment. Indigenous women have lower employment rates than Indigenous men and non-Indigenous Australians. Indigenous Australians are around 5 five times more likely than non-Indigenous Australians to be on parenting payment, with around 45,000 Indigenous parents on the payment. …</w:t>
      </w:r>
    </w:p>
    <w:p w14:paraId="1944D097" w14:textId="1F5E3886" w:rsidR="00460110" w:rsidRPr="00C12F8D" w:rsidRDefault="00460110" w:rsidP="00DA54D0">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Given the high level of need amongst Indigenous parents, it is appropriate that the Australian Government identify locations to deliver the Intensive Stream of ParentsNext where a high proportion of parenting payment recipients are Indigenous. This will result in Indigenous parents being more likely to receive assistance from ParentsNext, receiving that assistance sooner, and receiving a higher level of assistance than if they had been in the Targeted stream.</w:t>
      </w:r>
      <w:r w:rsidRPr="00C12F8D">
        <w:rPr>
          <w:rStyle w:val="EndnoteReference"/>
          <w:rFonts w:cs="Open Sans"/>
          <w:sz w:val="22"/>
          <w:szCs w:val="22"/>
        </w:rPr>
        <w:endnoteReference w:id="118"/>
      </w:r>
      <w:r w:rsidRPr="00C12F8D">
        <w:rPr>
          <w:rFonts w:ascii="Open Sans" w:hAnsi="Open Sans" w:cs="Open Sans"/>
          <w:sz w:val="22"/>
          <w:szCs w:val="22"/>
        </w:rPr>
        <w:t xml:space="preserve"> </w:t>
      </w:r>
    </w:p>
    <w:p w14:paraId="3B985B44" w14:textId="5A1B8EC9" w:rsidR="00460110" w:rsidRPr="00C12F8D" w:rsidRDefault="00460110" w:rsidP="00DA54D0">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[citations omitted]</w:t>
      </w:r>
    </w:p>
    <w:p w14:paraId="40F56BF4" w14:textId="77777777" w:rsidR="00460110" w:rsidRPr="00C12F8D" w:rsidRDefault="00460110" w:rsidP="00D050B4">
      <w:pPr>
        <w:pStyle w:val="ListNumber"/>
        <w:tabs>
          <w:tab w:val="clear" w:pos="360"/>
        </w:tabs>
        <w:ind w:left="1094" w:hanging="737"/>
        <w:rPr>
          <w:rFonts w:ascii="Open Sans" w:hAnsi="Open Sans" w:cs="Open Sans"/>
          <w:shd w:val="clear" w:color="auto" w:fill="FFFFFF"/>
        </w:rPr>
      </w:pPr>
      <w:r w:rsidRPr="00C12F8D">
        <w:rPr>
          <w:rFonts w:ascii="Open Sans" w:hAnsi="Open Sans" w:cs="Open Sans"/>
        </w:rPr>
        <w:t xml:space="preserve">The </w:t>
      </w:r>
      <w:r w:rsidRPr="00C12F8D">
        <w:rPr>
          <w:rFonts w:ascii="Open Sans" w:hAnsi="Open Sans" w:cs="Open Sans"/>
          <w:shd w:val="clear" w:color="auto" w:fill="FFFFFF"/>
        </w:rPr>
        <w:t xml:space="preserve">Statement of Compatibility with Human Rights concludes that: </w:t>
      </w:r>
    </w:p>
    <w:p w14:paraId="0D6E6939" w14:textId="1F5B755F" w:rsidR="00460110" w:rsidRPr="00C12F8D" w:rsidRDefault="00460110" w:rsidP="00514F7E">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identification of specific groups of parents, including by reference to their age, their children’s age, their race, and indirectly, their sex, is reasonable, necessary and sufficiently precise to assist those parents to improve their family wellbeing, educational attainment and employment prospects and to begin to disrupt the intergenerational disadvantage from which many suffer</w:t>
      </w:r>
      <w:r w:rsidR="003566F4" w:rsidRPr="00C12F8D">
        <w:rPr>
          <w:rFonts w:ascii="Open Sans" w:hAnsi="Open Sans" w:cs="Open Sans"/>
          <w:sz w:val="22"/>
          <w:szCs w:val="22"/>
        </w:rPr>
        <w:t>…</w:t>
      </w:r>
      <w:r w:rsidRPr="00C12F8D">
        <w:rPr>
          <w:rFonts w:ascii="Open Sans" w:hAnsi="Open Sans" w:cs="Open Sans"/>
          <w:sz w:val="22"/>
          <w:szCs w:val="22"/>
          <w:vertAlign w:val="superscript"/>
        </w:rPr>
        <w:endnoteReference w:id="119"/>
      </w:r>
    </w:p>
    <w:p w14:paraId="5B1866EE" w14:textId="7DDD036E" w:rsidR="00460110" w:rsidRPr="00C12F8D" w:rsidRDefault="00460110" w:rsidP="00D4641D">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In the Commission’s view, this explanation only goes so far as to identify the disadvantage facing these particular groups, rather than adequately justifying how the imposition of ParentsNext will resolve </w:t>
      </w:r>
      <w:r w:rsidRPr="00C12F8D">
        <w:rPr>
          <w:rFonts w:ascii="Open Sans" w:hAnsi="Open Sans" w:cs="Open Sans"/>
          <w:lang w:val="en-US"/>
        </w:rPr>
        <w:lastRenderedPageBreak/>
        <w:t>this disadvantage. An underlying assumption of this analysis is that the program is a net benefit to all participants and therefore selecting participants based on race or sex does not amount to unlawful discrimination.</w:t>
      </w:r>
    </w:p>
    <w:p w14:paraId="6DB21DB3" w14:textId="7CAB36EE" w:rsidR="00460110" w:rsidRPr="00C12F8D" w:rsidRDefault="00460110" w:rsidP="00D4641D">
      <w:pPr>
        <w:pStyle w:val="ListNumber"/>
        <w:tabs>
          <w:tab w:val="clear" w:pos="360"/>
        </w:tabs>
        <w:ind w:left="1094" w:hanging="737"/>
        <w:rPr>
          <w:rFonts w:ascii="Open Sans" w:hAnsi="Open Sans" w:cs="Open Sans"/>
          <w:lang w:val="en-US"/>
        </w:rPr>
      </w:pPr>
      <w:r w:rsidRPr="00C12F8D">
        <w:rPr>
          <w:rFonts w:ascii="Open Sans" w:hAnsi="Open Sans" w:cs="Open Sans"/>
          <w:lang w:val="en-US"/>
        </w:rPr>
        <w:t>However, as discussed above, the application of the TCF has not been shown to be reasonable, necessary and proportionate. For the same reasons, the evidence does not demonstrate that differential treatment on the basis of sex or race is warranted.</w:t>
      </w:r>
    </w:p>
    <w:p w14:paraId="7501A2AF" w14:textId="11FA0953" w:rsidR="00460110" w:rsidRPr="00C12F8D" w:rsidRDefault="00460110" w:rsidP="008228D3">
      <w:pPr>
        <w:pStyle w:val="ListNumber"/>
        <w:tabs>
          <w:tab w:val="clear" w:pos="360"/>
        </w:tabs>
        <w:ind w:left="1094" w:hanging="737"/>
        <w:rPr>
          <w:rFonts w:ascii="Open Sans" w:hAnsi="Open Sans" w:cs="Open Sans"/>
        </w:rPr>
      </w:pPr>
      <w:r w:rsidRPr="00C12F8D">
        <w:rPr>
          <w:rFonts w:ascii="Open Sans" w:hAnsi="Open Sans" w:cs="Open Sans"/>
        </w:rPr>
        <w:t xml:space="preserve">In its 2017 report on Australia, the </w:t>
      </w:r>
      <w:r w:rsidRPr="00C12F8D">
        <w:rPr>
          <w:rFonts w:ascii="Open Sans" w:hAnsi="Open Sans" w:cs="Open Sans"/>
          <w:bCs/>
        </w:rPr>
        <w:t>Committee on the Elimination of Racial Discrimination</w:t>
      </w:r>
      <w:r w:rsidRPr="00C12F8D">
        <w:rPr>
          <w:rFonts w:ascii="Open Sans" w:hAnsi="Open Sans" w:cs="Open Sans"/>
        </w:rPr>
        <w:t xml:space="preserve"> raised concerns about the equal access of Indigenous and Torres Strait Islander peoples to social security, stating: </w:t>
      </w:r>
    </w:p>
    <w:p w14:paraId="5ACB0BFC" w14:textId="6D03BB72" w:rsidR="00460110" w:rsidRPr="00C12F8D" w:rsidRDefault="00460110" w:rsidP="008228D3">
      <w:pPr>
        <w:pStyle w:val="ListNumber"/>
        <w:numPr>
          <w:ilvl w:val="0"/>
          <w:numId w:val="0"/>
        </w:numPr>
        <w:ind w:left="1440"/>
        <w:rPr>
          <w:rFonts w:ascii="Open Sans" w:hAnsi="Open Sans" w:cs="Open Sans"/>
          <w:sz w:val="22"/>
          <w:szCs w:val="22"/>
        </w:rPr>
      </w:pPr>
      <w:r w:rsidRPr="00C12F8D">
        <w:rPr>
          <w:rFonts w:ascii="Open Sans" w:hAnsi="Open Sans" w:cs="Open Sans"/>
          <w:sz w:val="22"/>
          <w:szCs w:val="22"/>
        </w:rPr>
        <w:t>The Committee is deeply concerned that Indigenous Peoples continue to experience high levels of discrimination across all socioeconomic indicators, including education, healthcare, employment and housing. Among others, the Committee is concerned about the low life expectancy, the low school attainment and high drop-out rates at all school levels, and the housing conditions, including overcrowding, especially those living in the Northern Territory, where the homelessness rate is nearly 15 times the national average. The Committee is also concerned that Indigenous Peoples including those living in remote areas face discrimination in access to social security benefits, notably through the mandatory income management scheme and the Community Development Programme.</w:t>
      </w:r>
      <w:r w:rsidRPr="00C12F8D">
        <w:rPr>
          <w:rFonts w:ascii="Open Sans" w:hAnsi="Open Sans" w:cs="Open Sans"/>
          <w:sz w:val="22"/>
          <w:szCs w:val="22"/>
          <w:vertAlign w:val="superscript"/>
        </w:rPr>
        <w:endnoteReference w:id="120"/>
      </w:r>
    </w:p>
    <w:p w14:paraId="779D1F0E" w14:textId="3E4098EA" w:rsidR="000F1EE3" w:rsidRPr="00C12F8D" w:rsidRDefault="000F1EE3" w:rsidP="000F1EE3">
      <w:pPr>
        <w:pStyle w:val="ListNumber"/>
        <w:tabs>
          <w:tab w:val="clear" w:pos="360"/>
        </w:tabs>
        <w:ind w:left="1094" w:hanging="737"/>
        <w:rPr>
          <w:rFonts w:ascii="Open Sans" w:hAnsi="Open Sans" w:cs="Open Sans"/>
          <w:lang w:eastAsia="en-AU"/>
        </w:rPr>
      </w:pPr>
      <w:r w:rsidRPr="00C12F8D">
        <w:rPr>
          <w:rFonts w:ascii="Open Sans" w:hAnsi="Open Sans" w:cs="Open Sans"/>
          <w:lang w:eastAsia="en-AU"/>
        </w:rPr>
        <w:t xml:space="preserve">In its 2018 report on Australia, the Committee on the Elimination of Discrimination </w:t>
      </w:r>
      <w:r w:rsidRPr="00C12F8D">
        <w:rPr>
          <w:rFonts w:ascii="Open Sans" w:hAnsi="Open Sans" w:cs="Open Sans"/>
        </w:rPr>
        <w:t>against</w:t>
      </w:r>
      <w:r w:rsidRPr="00C12F8D">
        <w:rPr>
          <w:rFonts w:ascii="Open Sans" w:hAnsi="Open Sans" w:cs="Open Sans"/>
          <w:lang w:eastAsia="en-AU"/>
        </w:rPr>
        <w:t xml:space="preserve"> Women </w:t>
      </w:r>
      <w:r w:rsidR="009C3A8F" w:rsidRPr="00C12F8D">
        <w:rPr>
          <w:rFonts w:ascii="Open Sans" w:hAnsi="Open Sans" w:cs="Open Sans"/>
          <w:lang w:eastAsia="en-AU"/>
        </w:rPr>
        <w:t xml:space="preserve">also </w:t>
      </w:r>
      <w:r w:rsidRPr="00C12F8D">
        <w:rPr>
          <w:rFonts w:ascii="Open Sans" w:hAnsi="Open Sans" w:cs="Open Sans"/>
          <w:lang w:eastAsia="en-AU"/>
        </w:rPr>
        <w:t xml:space="preserve">raised concerns </w:t>
      </w:r>
      <w:r w:rsidR="009C3A8F" w:rsidRPr="00C12F8D">
        <w:rPr>
          <w:rFonts w:ascii="Open Sans" w:hAnsi="Open Sans" w:cs="Open Sans"/>
          <w:lang w:eastAsia="en-AU"/>
        </w:rPr>
        <w:t>about</w:t>
      </w:r>
      <w:r w:rsidRPr="00C12F8D">
        <w:rPr>
          <w:rFonts w:ascii="Open Sans" w:hAnsi="Open Sans" w:cs="Open Sans"/>
          <w:lang w:eastAsia="en-AU"/>
        </w:rPr>
        <w:t xml:space="preserve"> women’s economic security in light of cuts to social welfare, health</w:t>
      </w:r>
      <w:r w:rsidR="009C3A8F" w:rsidRPr="00C12F8D">
        <w:rPr>
          <w:rFonts w:ascii="Open Sans" w:hAnsi="Open Sans" w:cs="Open Sans"/>
          <w:lang w:eastAsia="en-AU"/>
        </w:rPr>
        <w:t xml:space="preserve">, education and justice budgets. </w:t>
      </w:r>
      <w:r w:rsidR="00F56A94" w:rsidRPr="00C12F8D">
        <w:rPr>
          <w:rFonts w:ascii="Open Sans" w:hAnsi="Open Sans" w:cs="Open Sans"/>
          <w:lang w:eastAsia="en-AU"/>
        </w:rPr>
        <w:t>It was especially concerned</w:t>
      </w:r>
      <w:r w:rsidRPr="00C12F8D">
        <w:rPr>
          <w:rFonts w:ascii="Open Sans" w:hAnsi="Open Sans" w:cs="Open Sans"/>
          <w:lang w:eastAsia="en-AU"/>
        </w:rPr>
        <w:t xml:space="preserve"> about</w:t>
      </w:r>
      <w:r w:rsidR="00F56A94" w:rsidRPr="00C12F8D">
        <w:rPr>
          <w:rFonts w:ascii="Open Sans" w:hAnsi="Open Sans" w:cs="Open Sans"/>
          <w:lang w:eastAsia="en-AU"/>
        </w:rPr>
        <w:t xml:space="preserve"> the following</w:t>
      </w:r>
      <w:r w:rsidRPr="00C12F8D">
        <w:rPr>
          <w:rFonts w:ascii="Open Sans" w:hAnsi="Open Sans" w:cs="Open Sans"/>
          <w:lang w:eastAsia="en-AU"/>
        </w:rPr>
        <w:t>:</w:t>
      </w:r>
    </w:p>
    <w:p w14:paraId="61BD61FB" w14:textId="7691FD92" w:rsidR="000F1EE3" w:rsidRPr="00C12F8D" w:rsidRDefault="000F1EE3" w:rsidP="000F1EE3">
      <w:pPr>
        <w:pStyle w:val="ListNumber"/>
        <w:numPr>
          <w:ilvl w:val="0"/>
          <w:numId w:val="0"/>
        </w:numPr>
        <w:ind w:left="2160" w:hanging="720"/>
        <w:rPr>
          <w:rFonts w:ascii="Open Sans" w:hAnsi="Open Sans" w:cs="Open Sans"/>
          <w:sz w:val="22"/>
          <w:szCs w:val="22"/>
        </w:rPr>
      </w:pPr>
      <w:r w:rsidRPr="00C12F8D">
        <w:rPr>
          <w:rFonts w:ascii="Open Sans" w:hAnsi="Open Sans" w:cs="Open Sans"/>
          <w:bCs/>
          <w:sz w:val="22"/>
          <w:szCs w:val="22"/>
        </w:rPr>
        <w:t>(</w:t>
      </w:r>
      <w:r w:rsidRPr="00C12F8D">
        <w:rPr>
          <w:rFonts w:ascii="Open Sans" w:hAnsi="Open Sans" w:cs="Open Sans"/>
          <w:sz w:val="22"/>
          <w:szCs w:val="22"/>
        </w:rPr>
        <w:t>a)</w:t>
      </w:r>
      <w:r w:rsidRPr="00C12F8D">
        <w:rPr>
          <w:rFonts w:ascii="Open Sans" w:hAnsi="Open Sans" w:cs="Open Sans"/>
          <w:sz w:val="22"/>
          <w:szCs w:val="22"/>
        </w:rPr>
        <w:tab/>
        <w:t xml:space="preserve">The impact of those measures on women and the lack of any gender-impact analysis of those measures; </w:t>
      </w:r>
    </w:p>
    <w:p w14:paraId="76DE2A8D" w14:textId="109BD7B0" w:rsidR="000F1EE3" w:rsidRPr="00C12F8D" w:rsidRDefault="00F56A94" w:rsidP="000F1EE3">
      <w:pPr>
        <w:pStyle w:val="ListNumber"/>
        <w:numPr>
          <w:ilvl w:val="0"/>
          <w:numId w:val="0"/>
        </w:numPr>
        <w:ind w:left="2160" w:hanging="720"/>
        <w:rPr>
          <w:rFonts w:ascii="Open Sans" w:hAnsi="Open Sans" w:cs="Open Sans"/>
          <w:sz w:val="22"/>
          <w:szCs w:val="22"/>
        </w:rPr>
      </w:pPr>
      <w:r w:rsidRPr="00C12F8D">
        <w:rPr>
          <w:rFonts w:ascii="Open Sans" w:hAnsi="Open Sans" w:cs="Open Sans"/>
          <w:sz w:val="22"/>
          <w:szCs w:val="22"/>
        </w:rPr>
        <w:t>(</w:t>
      </w:r>
      <w:r w:rsidR="000F1EE3" w:rsidRPr="00C12F8D">
        <w:rPr>
          <w:rFonts w:ascii="Open Sans" w:hAnsi="Open Sans" w:cs="Open Sans"/>
          <w:sz w:val="22"/>
          <w:szCs w:val="22"/>
        </w:rPr>
        <w:t>b)</w:t>
      </w:r>
      <w:r w:rsidR="000F1EE3" w:rsidRPr="00C12F8D">
        <w:rPr>
          <w:rFonts w:ascii="Open Sans" w:hAnsi="Open Sans" w:cs="Open Sans"/>
          <w:sz w:val="22"/>
          <w:szCs w:val="22"/>
        </w:rPr>
        <w:tab/>
        <w:t xml:space="preserve">Budget cuts in services that focus on women ’s rights and cuts in the funding of women’s organizations; </w:t>
      </w:r>
    </w:p>
    <w:p w14:paraId="33702ED3" w14:textId="422AFCDC" w:rsidR="000F1EE3" w:rsidRPr="00C12F8D" w:rsidRDefault="00F56A94" w:rsidP="000F1EE3">
      <w:pPr>
        <w:pStyle w:val="ListNumber"/>
        <w:numPr>
          <w:ilvl w:val="0"/>
          <w:numId w:val="0"/>
        </w:numPr>
        <w:ind w:left="2160" w:hanging="720"/>
        <w:rPr>
          <w:rFonts w:ascii="Open Sans" w:hAnsi="Open Sans" w:cs="Open Sans"/>
          <w:sz w:val="22"/>
          <w:szCs w:val="22"/>
        </w:rPr>
      </w:pPr>
      <w:r w:rsidRPr="00C12F8D">
        <w:rPr>
          <w:rFonts w:ascii="Open Sans" w:hAnsi="Open Sans" w:cs="Open Sans"/>
          <w:sz w:val="22"/>
          <w:szCs w:val="22"/>
        </w:rPr>
        <w:t>(</w:t>
      </w:r>
      <w:r w:rsidR="000F1EE3" w:rsidRPr="00C12F8D">
        <w:rPr>
          <w:rFonts w:ascii="Open Sans" w:hAnsi="Open Sans" w:cs="Open Sans"/>
          <w:sz w:val="22"/>
          <w:szCs w:val="22"/>
        </w:rPr>
        <w:t>c)</w:t>
      </w:r>
      <w:r w:rsidR="000F1EE3" w:rsidRPr="00C12F8D">
        <w:rPr>
          <w:rFonts w:ascii="Open Sans" w:hAnsi="Open Sans" w:cs="Open Sans"/>
          <w:sz w:val="22"/>
          <w:szCs w:val="22"/>
        </w:rPr>
        <w:tab/>
        <w:t>The fact that single-headed households, 83 per cent of which are headed by women, in particular are suffering the</w:t>
      </w:r>
      <w:r w:rsidR="00BA1A75" w:rsidRPr="00C12F8D">
        <w:rPr>
          <w:rFonts w:ascii="Open Sans" w:hAnsi="Open Sans" w:cs="Open Sans"/>
          <w:sz w:val="22"/>
          <w:szCs w:val="22"/>
        </w:rPr>
        <w:t xml:space="preserve"> impact of the recent rise in p</w:t>
      </w:r>
      <w:r w:rsidR="000F1EE3" w:rsidRPr="00C12F8D">
        <w:rPr>
          <w:rFonts w:ascii="Open Sans" w:hAnsi="Open Sans" w:cs="Open Sans"/>
          <w:sz w:val="22"/>
          <w:szCs w:val="22"/>
        </w:rPr>
        <w:t xml:space="preserve">rices for utilities and the loss of financial support, resulting in high debt levels and in one in five children experiencing food insecurity; </w:t>
      </w:r>
    </w:p>
    <w:p w14:paraId="6D5F5814" w14:textId="231A5319" w:rsidR="000F1EE3" w:rsidRPr="00C12F8D" w:rsidRDefault="000F1EE3" w:rsidP="000F1EE3">
      <w:pPr>
        <w:pStyle w:val="ListNumber"/>
        <w:numPr>
          <w:ilvl w:val="0"/>
          <w:numId w:val="0"/>
        </w:numPr>
        <w:ind w:left="2160" w:hanging="720"/>
        <w:rPr>
          <w:rFonts w:ascii="Open Sans" w:hAnsi="Open Sans" w:cs="Open Sans"/>
          <w:sz w:val="22"/>
          <w:szCs w:val="22"/>
        </w:rPr>
      </w:pPr>
      <w:r w:rsidRPr="00C12F8D">
        <w:rPr>
          <w:rFonts w:ascii="Open Sans" w:hAnsi="Open Sans" w:cs="Open Sans"/>
          <w:sz w:val="22"/>
          <w:szCs w:val="22"/>
        </w:rPr>
        <w:t>(d)</w:t>
      </w:r>
      <w:r w:rsidRPr="00C12F8D">
        <w:rPr>
          <w:rFonts w:ascii="Open Sans" w:hAnsi="Open Sans" w:cs="Open Sans"/>
          <w:sz w:val="22"/>
          <w:szCs w:val="22"/>
        </w:rPr>
        <w:tab/>
        <w:t xml:space="preserve">The fact that young mothers must pay back student loans, even with low income levels, the high rate at which they abandon their studies and that they receive childcare subsidies only if they are employed, which places them at risk of long -term welfare dependency and of their children being subject to out -of-home placement as a result of their situation of poverty; </w:t>
      </w:r>
    </w:p>
    <w:p w14:paraId="355AAD6F" w14:textId="0140EAA4" w:rsidR="000F1EE3" w:rsidRPr="00C12F8D" w:rsidRDefault="000F1EE3" w:rsidP="000F1EE3">
      <w:pPr>
        <w:pStyle w:val="ListNumber"/>
        <w:numPr>
          <w:ilvl w:val="0"/>
          <w:numId w:val="0"/>
        </w:numPr>
        <w:ind w:left="2160" w:hanging="720"/>
        <w:rPr>
          <w:rFonts w:ascii="Open Sans" w:hAnsi="Open Sans" w:cs="Open Sans"/>
          <w:sz w:val="22"/>
          <w:szCs w:val="22"/>
        </w:rPr>
      </w:pPr>
      <w:r w:rsidRPr="00C12F8D">
        <w:rPr>
          <w:rFonts w:ascii="Open Sans" w:hAnsi="Open Sans" w:cs="Open Sans"/>
          <w:sz w:val="22"/>
          <w:szCs w:val="22"/>
        </w:rPr>
        <w:lastRenderedPageBreak/>
        <w:t>(e)</w:t>
      </w:r>
      <w:r w:rsidRPr="00C12F8D">
        <w:rPr>
          <w:rFonts w:ascii="Open Sans" w:hAnsi="Open Sans" w:cs="Open Sans"/>
          <w:sz w:val="22"/>
          <w:szCs w:val="22"/>
        </w:rPr>
        <w:tab/>
        <w:t>The high rate of homelessness among women, with the fastest -growing homelessness rate being among women over the age of 55.</w:t>
      </w:r>
      <w:r w:rsidRPr="00C12F8D">
        <w:rPr>
          <w:rFonts w:ascii="Open Sans" w:hAnsi="Open Sans" w:cs="Open Sans"/>
          <w:sz w:val="22"/>
          <w:vertAlign w:val="superscript"/>
        </w:rPr>
        <w:endnoteReference w:id="121"/>
      </w:r>
    </w:p>
    <w:p w14:paraId="166E44F6" w14:textId="6A58B66C" w:rsidR="006A7C9A" w:rsidRPr="00C12F8D" w:rsidRDefault="00B11F73" w:rsidP="00633BF9">
      <w:pPr>
        <w:pStyle w:val="ListNumber"/>
        <w:tabs>
          <w:tab w:val="clear" w:pos="360"/>
        </w:tabs>
        <w:ind w:left="1094" w:hanging="737"/>
        <w:rPr>
          <w:rFonts w:ascii="Open Sans" w:hAnsi="Open Sans" w:cs="Open Sans"/>
          <w:lang w:val="en-US"/>
        </w:rPr>
      </w:pPr>
      <w:r w:rsidRPr="00C12F8D">
        <w:rPr>
          <w:rFonts w:ascii="Open Sans" w:hAnsi="Open Sans" w:cs="Open Sans"/>
        </w:rPr>
        <w:t>In 2017</w:t>
      </w:r>
      <w:r w:rsidR="004E29A4" w:rsidRPr="00C12F8D">
        <w:rPr>
          <w:rFonts w:ascii="Open Sans" w:hAnsi="Open Sans" w:cs="Open Sans"/>
        </w:rPr>
        <w:t>,</w:t>
      </w:r>
      <w:r w:rsidR="006A7C9A" w:rsidRPr="00C12F8D">
        <w:rPr>
          <w:rFonts w:ascii="Open Sans" w:hAnsi="Open Sans" w:cs="Open Sans"/>
        </w:rPr>
        <w:t xml:space="preserve"> the Commission conducted a review of children’s rights</w:t>
      </w:r>
      <w:r w:rsidR="008C7439" w:rsidRPr="00C12F8D">
        <w:rPr>
          <w:rFonts w:ascii="Open Sans" w:hAnsi="Open Sans" w:cs="Open Sans"/>
        </w:rPr>
        <w:t>,</w:t>
      </w:r>
      <w:r w:rsidR="000D5AEC" w:rsidRPr="00C12F8D">
        <w:rPr>
          <w:rFonts w:ascii="Open Sans" w:hAnsi="Open Sans" w:cs="Open Sans"/>
        </w:rPr>
        <w:t xml:space="preserve"> focusing on young parents.</w:t>
      </w:r>
      <w:r w:rsidR="000D5AEC" w:rsidRPr="00C12F8D">
        <w:rPr>
          <w:rStyle w:val="EndnoteReference"/>
          <w:rFonts w:cs="Open Sans"/>
        </w:rPr>
        <w:endnoteReference w:id="122"/>
      </w:r>
      <w:r w:rsidR="000D5AEC" w:rsidRPr="00C12F8D">
        <w:rPr>
          <w:rFonts w:ascii="Open Sans" w:hAnsi="Open Sans" w:cs="Open Sans"/>
        </w:rPr>
        <w:t xml:space="preserve"> It</w:t>
      </w:r>
      <w:r w:rsidR="006A7C9A" w:rsidRPr="00C12F8D">
        <w:rPr>
          <w:rFonts w:ascii="Open Sans" w:hAnsi="Open Sans" w:cs="Open Sans"/>
        </w:rPr>
        <w:t xml:space="preserve"> </w:t>
      </w:r>
      <w:r w:rsidR="000D5AEC" w:rsidRPr="00C12F8D">
        <w:rPr>
          <w:rFonts w:ascii="Open Sans" w:hAnsi="Open Sans" w:cs="Open Sans"/>
        </w:rPr>
        <w:t>highlighted</w:t>
      </w:r>
      <w:r w:rsidR="006A7C9A" w:rsidRPr="00C12F8D">
        <w:rPr>
          <w:rFonts w:ascii="Open Sans" w:hAnsi="Open Sans" w:cs="Open Sans"/>
        </w:rPr>
        <w:t xml:space="preserve"> </w:t>
      </w:r>
      <w:r w:rsidR="0095433F" w:rsidRPr="00C12F8D">
        <w:rPr>
          <w:rFonts w:ascii="Open Sans" w:hAnsi="Open Sans" w:cs="Open Sans"/>
        </w:rPr>
        <w:t xml:space="preserve">the many </w:t>
      </w:r>
      <w:r w:rsidR="005471ED">
        <w:rPr>
          <w:rFonts w:ascii="Open Sans" w:hAnsi="Open Sans" w:cs="Open Sans"/>
        </w:rPr>
        <w:t>challenges</w:t>
      </w:r>
      <w:r w:rsidR="006A7C9A" w:rsidRPr="00C12F8D">
        <w:rPr>
          <w:rFonts w:ascii="Open Sans" w:hAnsi="Open Sans" w:cs="Open Sans"/>
        </w:rPr>
        <w:t xml:space="preserve"> </w:t>
      </w:r>
      <w:r w:rsidR="005471ED">
        <w:rPr>
          <w:rFonts w:ascii="Open Sans" w:hAnsi="Open Sans" w:cs="Open Sans"/>
        </w:rPr>
        <w:t xml:space="preserve">faced in realising the rights of </w:t>
      </w:r>
      <w:r w:rsidR="0095433F" w:rsidRPr="00C12F8D">
        <w:rPr>
          <w:rFonts w:ascii="Open Sans" w:hAnsi="Open Sans" w:cs="Open Sans"/>
        </w:rPr>
        <w:t xml:space="preserve">young parents </w:t>
      </w:r>
      <w:r w:rsidR="000D5AEC" w:rsidRPr="00C12F8D">
        <w:rPr>
          <w:rFonts w:ascii="Open Sans" w:hAnsi="Open Sans" w:cs="Open Sans"/>
        </w:rPr>
        <w:t>and</w:t>
      </w:r>
      <w:r w:rsidR="005471ED">
        <w:rPr>
          <w:rFonts w:ascii="Open Sans" w:hAnsi="Open Sans" w:cs="Open Sans"/>
        </w:rPr>
        <w:t xml:space="preserve"> their children, and</w:t>
      </w:r>
      <w:r w:rsidR="000D5AEC" w:rsidRPr="00C12F8D">
        <w:rPr>
          <w:rFonts w:ascii="Open Sans" w:hAnsi="Open Sans" w:cs="Open Sans"/>
        </w:rPr>
        <w:t xml:space="preserve"> the need for tailored, targeted and coordinated support</w:t>
      </w:r>
      <w:r w:rsidR="00AC5A44" w:rsidRPr="00C12F8D">
        <w:rPr>
          <w:rFonts w:ascii="Open Sans" w:hAnsi="Open Sans" w:cs="Open Sans"/>
        </w:rPr>
        <w:t xml:space="preserve"> services</w:t>
      </w:r>
      <w:r w:rsidR="006A7C9A" w:rsidRPr="00C12F8D">
        <w:rPr>
          <w:rFonts w:ascii="Open Sans" w:hAnsi="Open Sans" w:cs="Open Sans"/>
        </w:rPr>
        <w:t xml:space="preserve">. </w:t>
      </w:r>
      <w:r w:rsidR="00633BF9" w:rsidRPr="00C12F8D">
        <w:rPr>
          <w:rFonts w:ascii="Open Sans" w:hAnsi="Open Sans" w:cs="Open Sans"/>
        </w:rPr>
        <w:t xml:space="preserve">The Commission </w:t>
      </w:r>
      <w:r w:rsidR="006A7C9A" w:rsidRPr="00C12F8D">
        <w:rPr>
          <w:rFonts w:ascii="Open Sans" w:hAnsi="Open Sans" w:cs="Open Sans"/>
          <w:shd w:val="clear" w:color="auto" w:fill="FFFFFF"/>
        </w:rPr>
        <w:t>recommended that ParentsNext be</w:t>
      </w:r>
      <w:r w:rsidR="00B02F38" w:rsidRPr="00C12F8D">
        <w:rPr>
          <w:rFonts w:ascii="Open Sans" w:hAnsi="Open Sans" w:cs="Open Sans"/>
          <w:shd w:val="clear" w:color="auto" w:fill="FFFFFF"/>
        </w:rPr>
        <w:t xml:space="preserve"> made</w:t>
      </w:r>
      <w:r w:rsidR="006A7C9A" w:rsidRPr="00C12F8D">
        <w:rPr>
          <w:rFonts w:ascii="Open Sans" w:hAnsi="Open Sans" w:cs="Open Sans"/>
          <w:shd w:val="clear" w:color="auto" w:fill="FFFFFF"/>
        </w:rPr>
        <w:t xml:space="preserve"> accessible to </w:t>
      </w:r>
      <w:r w:rsidRPr="00C12F8D">
        <w:rPr>
          <w:rFonts w:ascii="Open Sans" w:hAnsi="Open Sans" w:cs="Open Sans"/>
          <w:shd w:val="clear" w:color="auto" w:fill="FFFFFF"/>
        </w:rPr>
        <w:t>and tailored to the</w:t>
      </w:r>
      <w:r w:rsidR="006A7C9A" w:rsidRPr="00C12F8D">
        <w:rPr>
          <w:rFonts w:ascii="Open Sans" w:hAnsi="Open Sans" w:cs="Open Sans"/>
          <w:shd w:val="clear" w:color="auto" w:fill="FFFFFF"/>
        </w:rPr>
        <w:t xml:space="preserve"> specific needs</w:t>
      </w:r>
      <w:r w:rsidRPr="00C12F8D">
        <w:rPr>
          <w:rFonts w:ascii="Open Sans" w:hAnsi="Open Sans" w:cs="Open Sans"/>
          <w:shd w:val="clear" w:color="auto" w:fill="FFFFFF"/>
        </w:rPr>
        <w:t xml:space="preserve"> of young parents</w:t>
      </w:r>
      <w:r w:rsidR="006A7C9A" w:rsidRPr="00C12F8D">
        <w:rPr>
          <w:rFonts w:ascii="Open Sans" w:hAnsi="Open Sans" w:cs="Open Sans"/>
          <w:shd w:val="clear" w:color="auto" w:fill="FFFFFF"/>
        </w:rPr>
        <w:t xml:space="preserve">, in particular those living in rural or remote </w:t>
      </w:r>
      <w:r w:rsidR="000D5AEC" w:rsidRPr="00C12F8D">
        <w:rPr>
          <w:rFonts w:ascii="Open Sans" w:hAnsi="Open Sans" w:cs="Open Sans"/>
          <w:shd w:val="clear" w:color="auto" w:fill="FFFFFF"/>
        </w:rPr>
        <w:t>Australia,</w:t>
      </w:r>
      <w:r w:rsidR="00F243D6" w:rsidRPr="00C12F8D">
        <w:rPr>
          <w:rFonts w:ascii="Open Sans" w:hAnsi="Open Sans" w:cs="Open Sans"/>
          <w:shd w:val="clear" w:color="auto" w:fill="FFFFFF"/>
        </w:rPr>
        <w:t xml:space="preserve"> </w:t>
      </w:r>
      <w:r w:rsidR="00633BF9" w:rsidRPr="00C12F8D">
        <w:rPr>
          <w:rFonts w:ascii="Open Sans" w:hAnsi="Open Sans" w:cs="Open Sans"/>
          <w:shd w:val="clear" w:color="auto" w:fill="FFFFFF"/>
        </w:rPr>
        <w:t xml:space="preserve">on a </w:t>
      </w:r>
      <w:r w:rsidR="006A7C9A" w:rsidRPr="00C12F8D">
        <w:rPr>
          <w:rFonts w:ascii="Open Sans" w:hAnsi="Open Sans" w:cs="Open Sans"/>
          <w:shd w:val="clear" w:color="auto" w:fill="FFFFFF"/>
        </w:rPr>
        <w:t xml:space="preserve">voluntary </w:t>
      </w:r>
      <w:r w:rsidR="00633BF9" w:rsidRPr="00C12F8D">
        <w:rPr>
          <w:rFonts w:ascii="Open Sans" w:hAnsi="Open Sans" w:cs="Open Sans"/>
          <w:shd w:val="clear" w:color="auto" w:fill="FFFFFF"/>
        </w:rPr>
        <w:t>and non-</w:t>
      </w:r>
      <w:r w:rsidR="006A7C9A" w:rsidRPr="00C12F8D">
        <w:rPr>
          <w:rFonts w:ascii="Open Sans" w:hAnsi="Open Sans" w:cs="Open Sans"/>
          <w:shd w:val="clear" w:color="auto" w:fill="FFFFFF"/>
        </w:rPr>
        <w:t xml:space="preserve">punitive </w:t>
      </w:r>
      <w:r w:rsidR="00633BF9" w:rsidRPr="00C12F8D">
        <w:rPr>
          <w:rFonts w:ascii="Open Sans" w:hAnsi="Open Sans" w:cs="Open Sans"/>
          <w:shd w:val="clear" w:color="auto" w:fill="FFFFFF"/>
        </w:rPr>
        <w:t>basis</w:t>
      </w:r>
      <w:r w:rsidR="006A7C9A" w:rsidRPr="00C12F8D">
        <w:rPr>
          <w:rFonts w:ascii="Open Sans" w:hAnsi="Open Sans" w:cs="Open Sans"/>
          <w:shd w:val="clear" w:color="auto" w:fill="FFFFFF"/>
        </w:rPr>
        <w:t>.</w:t>
      </w:r>
      <w:r w:rsidR="000D5AEC" w:rsidRPr="00C12F8D">
        <w:rPr>
          <w:rStyle w:val="EndnoteReference"/>
          <w:rFonts w:cs="Open Sans"/>
          <w:shd w:val="clear" w:color="auto" w:fill="FFFFFF"/>
        </w:rPr>
        <w:endnoteReference w:id="123"/>
      </w:r>
      <w:r w:rsidR="00F243D6" w:rsidRPr="00C12F8D">
        <w:rPr>
          <w:rFonts w:ascii="Open Sans" w:hAnsi="Open Sans" w:cs="Open Sans"/>
          <w:shd w:val="clear" w:color="auto" w:fill="FFFFFF"/>
        </w:rPr>
        <w:t xml:space="preserve"> The Commission also recommended that</w:t>
      </w:r>
      <w:r w:rsidR="00B02F38" w:rsidRPr="00C12F8D">
        <w:rPr>
          <w:rFonts w:ascii="Open Sans" w:hAnsi="Open Sans" w:cs="Open Sans"/>
          <w:shd w:val="clear" w:color="auto" w:fill="FFFFFF"/>
        </w:rPr>
        <w:t xml:space="preserve"> the </w:t>
      </w:r>
      <w:r w:rsidR="00F56A94" w:rsidRPr="00C12F8D">
        <w:rPr>
          <w:rFonts w:ascii="Open Sans" w:hAnsi="Open Sans" w:cs="Open Sans"/>
          <w:shd w:val="clear" w:color="auto" w:fill="FFFFFF"/>
        </w:rPr>
        <w:t>G</w:t>
      </w:r>
      <w:r w:rsidR="00B02F38" w:rsidRPr="00C12F8D">
        <w:rPr>
          <w:rFonts w:ascii="Open Sans" w:hAnsi="Open Sans" w:cs="Open Sans"/>
          <w:shd w:val="clear" w:color="auto" w:fill="FFFFFF"/>
        </w:rPr>
        <w:t xml:space="preserve">overnment </w:t>
      </w:r>
      <w:r w:rsidR="006E7DAD" w:rsidRPr="00C12F8D">
        <w:rPr>
          <w:rFonts w:ascii="Open Sans" w:hAnsi="Open Sans" w:cs="Open Sans"/>
          <w:shd w:val="clear" w:color="auto" w:fill="FFFFFF"/>
        </w:rPr>
        <w:t xml:space="preserve">conduct </w:t>
      </w:r>
      <w:r w:rsidR="00B02F38" w:rsidRPr="00C12F8D">
        <w:rPr>
          <w:rFonts w:ascii="Open Sans" w:hAnsi="Open Sans" w:cs="Open Sans"/>
          <w:shd w:val="clear" w:color="auto" w:fill="FFFFFF"/>
        </w:rPr>
        <w:t>research into the distinct needs and characteristics of young parents that present barriers to employment pathways, and the kinds of targeted interventions that are most likely to assist.</w:t>
      </w:r>
      <w:r w:rsidR="00C1592A" w:rsidRPr="00C12F8D">
        <w:rPr>
          <w:rStyle w:val="EndnoteReference"/>
          <w:rFonts w:cs="Open Sans"/>
          <w:shd w:val="clear" w:color="auto" w:fill="FFFFFF"/>
        </w:rPr>
        <w:endnoteReference w:id="124"/>
      </w:r>
    </w:p>
    <w:p w14:paraId="4AD18847" w14:textId="496AE726" w:rsidR="00D4641D" w:rsidRPr="00C12F8D" w:rsidRDefault="00B02F38" w:rsidP="00B42433">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Any differential </w:t>
      </w:r>
      <w:r w:rsidR="00460110" w:rsidRPr="00C12F8D">
        <w:rPr>
          <w:rFonts w:ascii="Open Sans" w:hAnsi="Open Sans" w:cs="Open Sans"/>
          <w:lang w:val="en-US"/>
        </w:rPr>
        <w:t xml:space="preserve">treatment </w:t>
      </w:r>
      <w:r w:rsidR="005471ED">
        <w:rPr>
          <w:rFonts w:ascii="Open Sans" w:hAnsi="Open Sans" w:cs="Open Sans"/>
          <w:lang w:val="en-US"/>
        </w:rPr>
        <w:t xml:space="preserve">on the basis of a relevant attribute </w:t>
      </w:r>
      <w:r w:rsidR="00460110" w:rsidRPr="00C12F8D">
        <w:rPr>
          <w:rFonts w:ascii="Open Sans" w:hAnsi="Open Sans" w:cs="Open Sans"/>
          <w:lang w:val="en-US"/>
        </w:rPr>
        <w:t>would be less objectionable if the Government were seeking to introduce a ‘special measure’</w:t>
      </w:r>
      <w:r w:rsidR="005471ED">
        <w:rPr>
          <w:rFonts w:ascii="Open Sans" w:hAnsi="Open Sans" w:cs="Open Sans"/>
          <w:lang w:val="en-US"/>
        </w:rPr>
        <w:t>,</w:t>
      </w:r>
      <w:r w:rsidR="00460110" w:rsidRPr="00C12F8D">
        <w:rPr>
          <w:rFonts w:ascii="Open Sans" w:hAnsi="Open Sans" w:cs="Open Sans"/>
          <w:lang w:val="en-US"/>
        </w:rPr>
        <w:t xml:space="preserve"> in order to achieve substantive equality.</w:t>
      </w:r>
      <w:r w:rsidR="00460110" w:rsidRPr="00C12F8D">
        <w:rPr>
          <w:rStyle w:val="EndnoteReference"/>
          <w:rFonts w:cs="Open Sans"/>
          <w:lang w:val="en-US"/>
        </w:rPr>
        <w:endnoteReference w:id="125"/>
      </w:r>
      <w:r w:rsidR="00460110" w:rsidRPr="00C12F8D">
        <w:rPr>
          <w:rFonts w:ascii="Open Sans" w:hAnsi="Open Sans" w:cs="Open Sans"/>
          <w:lang w:val="en-US"/>
        </w:rPr>
        <w:t xml:space="preserve"> </w:t>
      </w:r>
      <w:r w:rsidR="00D4641D" w:rsidRPr="00C12F8D">
        <w:rPr>
          <w:rFonts w:ascii="Open Sans" w:hAnsi="Open Sans" w:cs="Open Sans"/>
          <w:lang w:val="en-US"/>
        </w:rPr>
        <w:t xml:space="preserve">However, </w:t>
      </w:r>
      <w:r w:rsidR="00B42433" w:rsidRPr="00C12F8D">
        <w:rPr>
          <w:rFonts w:ascii="Open Sans" w:hAnsi="Open Sans" w:cs="Open Sans"/>
          <w:lang w:val="en-US"/>
        </w:rPr>
        <w:t xml:space="preserve">the Government has not sought to place </w:t>
      </w:r>
      <w:r w:rsidR="005471ED">
        <w:rPr>
          <w:rFonts w:ascii="Open Sans" w:hAnsi="Open Sans" w:cs="Open Sans"/>
          <w:lang w:val="en-US"/>
        </w:rPr>
        <w:t xml:space="preserve">any </w:t>
      </w:r>
      <w:r w:rsidR="00B42433" w:rsidRPr="00C12F8D">
        <w:rPr>
          <w:rFonts w:ascii="Open Sans" w:hAnsi="Open Sans" w:cs="Open Sans"/>
          <w:lang w:val="en-US"/>
        </w:rPr>
        <w:t>reliance on the concept of special measures.</w:t>
      </w:r>
      <w:r w:rsidR="0082575A" w:rsidRPr="00C12F8D">
        <w:rPr>
          <w:rFonts w:ascii="Open Sans" w:hAnsi="Open Sans" w:cs="Open Sans"/>
          <w:lang w:val="en-US"/>
        </w:rPr>
        <w:t xml:space="preserve"> In the Commission’s view, </w:t>
      </w:r>
      <w:r w:rsidR="00670DF3" w:rsidRPr="00C12F8D">
        <w:rPr>
          <w:rFonts w:ascii="Open Sans" w:hAnsi="Open Sans" w:cs="Open Sans"/>
          <w:lang w:val="en-US"/>
        </w:rPr>
        <w:t xml:space="preserve">for the reasons discussed above, </w:t>
      </w:r>
      <w:r w:rsidR="00227FDA" w:rsidRPr="00C12F8D">
        <w:rPr>
          <w:rFonts w:ascii="Open Sans" w:hAnsi="Open Sans" w:cs="Open Sans"/>
          <w:lang w:val="en-US"/>
        </w:rPr>
        <w:t>the current operation of ParentsNext is</w:t>
      </w:r>
      <w:r w:rsidR="0082575A" w:rsidRPr="00C12F8D">
        <w:rPr>
          <w:rFonts w:ascii="Open Sans" w:hAnsi="Open Sans" w:cs="Open Sans"/>
          <w:lang w:val="en-US"/>
        </w:rPr>
        <w:t xml:space="preserve"> not</w:t>
      </w:r>
      <w:r w:rsidR="00227FDA" w:rsidRPr="00C12F8D">
        <w:rPr>
          <w:rFonts w:ascii="Open Sans" w:hAnsi="Open Sans" w:cs="Open Sans"/>
          <w:lang w:val="en-US"/>
        </w:rPr>
        <w:t xml:space="preserve"> a</w:t>
      </w:r>
      <w:r w:rsidR="0082575A" w:rsidRPr="00C12F8D">
        <w:rPr>
          <w:rFonts w:ascii="Open Sans" w:hAnsi="Open Sans" w:cs="Open Sans"/>
          <w:lang w:val="en-US"/>
        </w:rPr>
        <w:t xml:space="preserve"> measure directed towards achieving substanti</w:t>
      </w:r>
      <w:r w:rsidR="00A6618E" w:rsidRPr="00C12F8D">
        <w:rPr>
          <w:rFonts w:ascii="Open Sans" w:hAnsi="Open Sans" w:cs="Open Sans"/>
          <w:lang w:val="en-US"/>
        </w:rPr>
        <w:t>ve</w:t>
      </w:r>
      <w:r w:rsidR="0082575A" w:rsidRPr="00C12F8D">
        <w:rPr>
          <w:rFonts w:ascii="Open Sans" w:hAnsi="Open Sans" w:cs="Open Sans"/>
          <w:lang w:val="en-US"/>
        </w:rPr>
        <w:t xml:space="preserve"> equality between women and men or between Indigenous Australians and other Australians.</w:t>
      </w:r>
    </w:p>
    <w:p w14:paraId="731FD63F" w14:textId="2DB75AA7" w:rsidR="008228D3" w:rsidRPr="00C12F8D" w:rsidRDefault="002938A1" w:rsidP="00284D42">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The Commission </w:t>
      </w:r>
      <w:r w:rsidR="00590BF2" w:rsidRPr="00C12F8D">
        <w:rPr>
          <w:rFonts w:ascii="Open Sans" w:hAnsi="Open Sans" w:cs="Open Sans"/>
          <w:lang w:val="en-US"/>
        </w:rPr>
        <w:t>considers</w:t>
      </w:r>
      <w:r w:rsidRPr="00C12F8D">
        <w:rPr>
          <w:rFonts w:ascii="Open Sans" w:hAnsi="Open Sans" w:cs="Open Sans"/>
          <w:lang w:val="en-US"/>
        </w:rPr>
        <w:t xml:space="preserve"> that the additional mandatory requirements </w:t>
      </w:r>
      <w:r w:rsidR="00590BF2" w:rsidRPr="00C12F8D">
        <w:rPr>
          <w:rFonts w:ascii="Open Sans" w:hAnsi="Open Sans" w:cs="Open Sans"/>
          <w:lang w:val="en-US"/>
        </w:rPr>
        <w:t xml:space="preserve">and punitive compliance model of ParentsNext </w:t>
      </w:r>
      <w:r w:rsidR="00F3682E" w:rsidRPr="00C12F8D">
        <w:rPr>
          <w:rFonts w:ascii="Open Sans" w:hAnsi="Open Sans" w:cs="Open Sans"/>
          <w:lang w:val="en-US"/>
        </w:rPr>
        <w:t>do</w:t>
      </w:r>
      <w:r w:rsidRPr="00C12F8D">
        <w:rPr>
          <w:rFonts w:ascii="Open Sans" w:hAnsi="Open Sans" w:cs="Open Sans"/>
          <w:lang w:val="en-US"/>
        </w:rPr>
        <w:t xml:space="preserve"> not amount to legitimate differential treatment. </w:t>
      </w:r>
    </w:p>
    <w:p w14:paraId="0E50E42F" w14:textId="7898D261" w:rsidR="00BF0190" w:rsidRPr="00C12F8D" w:rsidRDefault="00F84529" w:rsidP="009D0D25">
      <w:pPr>
        <w:pStyle w:val="ListNumber"/>
        <w:tabs>
          <w:tab w:val="clear" w:pos="360"/>
        </w:tabs>
        <w:ind w:left="1094" w:hanging="737"/>
        <w:rPr>
          <w:rFonts w:ascii="Open Sans" w:hAnsi="Open Sans" w:cs="Open Sans"/>
          <w:lang w:val="en-US"/>
        </w:rPr>
      </w:pPr>
      <w:r w:rsidRPr="00C12F8D">
        <w:rPr>
          <w:rFonts w:ascii="Open Sans" w:hAnsi="Open Sans" w:cs="Open Sans"/>
          <w:lang w:val="en-US"/>
        </w:rPr>
        <w:t xml:space="preserve">The current operation of </w:t>
      </w:r>
      <w:r w:rsidR="009D0D25" w:rsidRPr="00C12F8D">
        <w:rPr>
          <w:rFonts w:ascii="Open Sans" w:hAnsi="Open Sans" w:cs="Open Sans"/>
          <w:lang w:val="en-US"/>
        </w:rPr>
        <w:t>ParentsNext</w:t>
      </w:r>
      <w:r w:rsidR="002938A1" w:rsidRPr="00C12F8D">
        <w:rPr>
          <w:rFonts w:ascii="Open Sans" w:hAnsi="Open Sans" w:cs="Open Sans"/>
          <w:lang w:val="en-US"/>
        </w:rPr>
        <w:t xml:space="preserve"> does not guarantee full and equal enjoyment of human rights and fundamental freedoms</w:t>
      </w:r>
      <w:r w:rsidR="00590BF2" w:rsidRPr="00C12F8D">
        <w:rPr>
          <w:rFonts w:ascii="Open Sans" w:hAnsi="Open Sans" w:cs="Open Sans"/>
          <w:lang w:val="en-US"/>
        </w:rPr>
        <w:t xml:space="preserve"> of women and Indigenous Australians</w:t>
      </w:r>
      <w:r w:rsidR="002938A1" w:rsidRPr="00C12F8D">
        <w:rPr>
          <w:rFonts w:ascii="Open Sans" w:hAnsi="Open Sans" w:cs="Open Sans"/>
          <w:lang w:val="en-US"/>
        </w:rPr>
        <w:t xml:space="preserve">. </w:t>
      </w:r>
      <w:r w:rsidR="00084C9D" w:rsidRPr="00C12F8D">
        <w:rPr>
          <w:rFonts w:ascii="Open Sans" w:hAnsi="Open Sans" w:cs="Open Sans"/>
          <w:lang w:val="en-US"/>
        </w:rPr>
        <w:t xml:space="preserve">Instead, it </w:t>
      </w:r>
      <w:r w:rsidR="00B7211D" w:rsidRPr="00C12F8D">
        <w:rPr>
          <w:rFonts w:ascii="Open Sans" w:hAnsi="Open Sans" w:cs="Open Sans"/>
          <w:lang w:val="en-US"/>
        </w:rPr>
        <w:t xml:space="preserve">may </w:t>
      </w:r>
      <w:r w:rsidR="00D73B15" w:rsidRPr="00C12F8D">
        <w:rPr>
          <w:rFonts w:ascii="Open Sans" w:hAnsi="Open Sans" w:cs="Open Sans"/>
          <w:lang w:val="en-US"/>
        </w:rPr>
        <w:t>amount to a</w:t>
      </w:r>
      <w:r w:rsidRPr="00C12F8D">
        <w:rPr>
          <w:rFonts w:ascii="Open Sans" w:hAnsi="Open Sans" w:cs="Open Sans"/>
          <w:lang w:val="en-US"/>
        </w:rPr>
        <w:t xml:space="preserve"> </w:t>
      </w:r>
      <w:r w:rsidR="00D73B15" w:rsidRPr="00C12F8D">
        <w:rPr>
          <w:rFonts w:ascii="Open Sans" w:hAnsi="Open Sans" w:cs="Open Sans"/>
          <w:lang w:val="en-US"/>
        </w:rPr>
        <w:t>denial of</w:t>
      </w:r>
      <w:r w:rsidR="002078E3" w:rsidRPr="00C12F8D">
        <w:rPr>
          <w:rFonts w:ascii="Open Sans" w:hAnsi="Open Sans" w:cs="Open Sans"/>
          <w:lang w:val="en-US"/>
        </w:rPr>
        <w:t xml:space="preserve"> equal enjoyment</w:t>
      </w:r>
      <w:r w:rsidR="00DC48A4" w:rsidRPr="00C12F8D">
        <w:rPr>
          <w:rFonts w:ascii="Open Sans" w:hAnsi="Open Sans" w:cs="Open Sans"/>
          <w:lang w:val="en-US"/>
        </w:rPr>
        <w:t xml:space="preserve">. </w:t>
      </w:r>
      <w:r w:rsidR="002938A1" w:rsidRPr="00C12F8D">
        <w:rPr>
          <w:rFonts w:ascii="Open Sans" w:hAnsi="Open Sans" w:cs="Open Sans"/>
          <w:lang w:val="en-US"/>
        </w:rPr>
        <w:t xml:space="preserve">As such, </w:t>
      </w:r>
      <w:r w:rsidR="00D51E60" w:rsidRPr="00C12F8D">
        <w:rPr>
          <w:rFonts w:ascii="Open Sans" w:hAnsi="Open Sans" w:cs="Open Sans"/>
          <w:lang w:val="en-US"/>
        </w:rPr>
        <w:t>the program</w:t>
      </w:r>
      <w:r w:rsidR="002938A1" w:rsidRPr="00C12F8D">
        <w:rPr>
          <w:rFonts w:ascii="Open Sans" w:hAnsi="Open Sans" w:cs="Open Sans"/>
          <w:lang w:val="en-US"/>
        </w:rPr>
        <w:t xml:space="preserve"> </w:t>
      </w:r>
      <w:r w:rsidR="00E85AD1" w:rsidRPr="00C12F8D">
        <w:rPr>
          <w:rFonts w:ascii="Open Sans" w:hAnsi="Open Sans" w:cs="Open Sans"/>
          <w:lang w:val="en-US"/>
        </w:rPr>
        <w:t xml:space="preserve">is not a justifiable limit </w:t>
      </w:r>
      <w:r w:rsidR="00F3682E" w:rsidRPr="00C12F8D">
        <w:rPr>
          <w:rFonts w:ascii="Open Sans" w:hAnsi="Open Sans" w:cs="Open Sans"/>
          <w:lang w:val="en-US"/>
        </w:rPr>
        <w:t>and</w:t>
      </w:r>
      <w:r w:rsidR="00E85AD1" w:rsidRPr="00C12F8D">
        <w:rPr>
          <w:rFonts w:ascii="Open Sans" w:hAnsi="Open Sans" w:cs="Open Sans"/>
          <w:lang w:val="en-US"/>
        </w:rPr>
        <w:t xml:space="preserve"> </w:t>
      </w:r>
      <w:r w:rsidRPr="00C12F8D">
        <w:rPr>
          <w:rFonts w:ascii="Open Sans" w:hAnsi="Open Sans" w:cs="Open Sans"/>
          <w:lang w:val="en-US"/>
        </w:rPr>
        <w:t>is inconsistent with</w:t>
      </w:r>
      <w:r w:rsidR="002938A1" w:rsidRPr="00C12F8D">
        <w:rPr>
          <w:rFonts w:ascii="Open Sans" w:hAnsi="Open Sans" w:cs="Open Sans"/>
          <w:lang w:val="en-US"/>
        </w:rPr>
        <w:t xml:space="preserve"> Australia’s human rights obligations.</w:t>
      </w:r>
    </w:p>
    <w:p w14:paraId="1E2B417C" w14:textId="77777777" w:rsidR="00BF0190" w:rsidRPr="00C12F8D" w:rsidRDefault="00BF0190">
      <w:pPr>
        <w:rPr>
          <w:rFonts w:ascii="Open Sans" w:hAnsi="Open Sans" w:cs="Open Sans"/>
          <w:lang w:val="en-US"/>
        </w:rPr>
      </w:pPr>
      <w:r w:rsidRPr="00C12F8D">
        <w:rPr>
          <w:rFonts w:ascii="Open Sans" w:hAnsi="Open Sans" w:cs="Open Sans"/>
          <w:lang w:val="en-US"/>
        </w:rPr>
        <w:br w:type="page"/>
      </w:r>
    </w:p>
    <w:sectPr w:rsidR="00BF0190" w:rsidRPr="00C12F8D" w:rsidSect="00460EE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907" w:footer="283"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9E30A" w16cid:durableId="1FF584FE"/>
  <w16cid:commentId w16cid:paraId="4AA5C913" w16cid:durableId="1FF585BA"/>
  <w16cid:commentId w16cid:paraId="2F8B5E0B" w16cid:durableId="1FF5861B"/>
  <w16cid:commentId w16cid:paraId="10E68958" w16cid:durableId="1FF586B6"/>
  <w16cid:commentId w16cid:paraId="382B260A" w16cid:durableId="1FF58737"/>
  <w16cid:commentId w16cid:paraId="7F769888" w16cid:durableId="1FF58751"/>
  <w16cid:commentId w16cid:paraId="0CD680E5" w16cid:durableId="1FF5878C"/>
  <w16cid:commentId w16cid:paraId="74107485" w16cid:durableId="1FF5886D"/>
  <w16cid:commentId w16cid:paraId="00068343" w16cid:durableId="1FF58929"/>
  <w16cid:commentId w16cid:paraId="347E8E53" w16cid:durableId="1FF589DD"/>
  <w16cid:commentId w16cid:paraId="4EEF741E" w16cid:durableId="1FF58AD4"/>
  <w16cid:commentId w16cid:paraId="4D6D5D0E" w16cid:durableId="1FF58B20"/>
  <w16cid:commentId w16cid:paraId="7B3F9B36" w16cid:durableId="1FF58B28"/>
  <w16cid:commentId w16cid:paraId="625C4594" w16cid:durableId="1FF58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9D26" w14:textId="77777777" w:rsidR="00D705F6" w:rsidRDefault="00D705F6" w:rsidP="00F14C6D">
      <w:r>
        <w:separator/>
      </w:r>
    </w:p>
  </w:endnote>
  <w:endnote w:type="continuationSeparator" w:id="0">
    <w:p w14:paraId="3C887D4E" w14:textId="77777777" w:rsidR="00D705F6" w:rsidRDefault="00D705F6" w:rsidP="00F14C6D">
      <w:r>
        <w:continuationSeparator/>
      </w:r>
    </w:p>
  </w:endnote>
  <w:endnote w:id="1">
    <w:p w14:paraId="5A1CCF49" w14:textId="31AEFC42"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The Commission is Australia’s national human rights institution with ‘A’ status accreditation, and is established by the </w:t>
      </w:r>
      <w:r w:rsidRPr="00AE4E64">
        <w:rPr>
          <w:rFonts w:ascii="Open Sans" w:hAnsi="Open Sans" w:cs="Open Sans"/>
          <w:i/>
        </w:rPr>
        <w:t>Australian Human Rights Commission Act 1986</w:t>
      </w:r>
      <w:r w:rsidRPr="00AE4E64">
        <w:rPr>
          <w:rFonts w:ascii="Open Sans" w:hAnsi="Open Sans" w:cs="Open Sans"/>
        </w:rPr>
        <w:t xml:space="preserve"> (Cth) (the AHRC Act). The Commission has responsibilities under the AHRC Act to examine the enjoyment and exercise of human rights, including by Aboriginal and Torres Strait Islander peoples. </w:t>
      </w:r>
    </w:p>
  </w:endnote>
  <w:endnote w:id="2">
    <w:p w14:paraId="22FD4D61" w14:textId="1A7CE85F"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lang w:val="en"/>
        </w:rPr>
        <w:t xml:space="preserve">Senate Community Affairs References Committee, Parliament of Australia, </w:t>
      </w:r>
      <w:r w:rsidRPr="00AE4E64">
        <w:rPr>
          <w:rFonts w:ascii="Open Sans" w:hAnsi="Open Sans" w:cs="Open Sans"/>
          <w:i/>
          <w:lang w:val="en"/>
        </w:rPr>
        <w:t xml:space="preserve">ParentsNext, including its trial and subsequent broader rollout </w:t>
      </w:r>
      <w:r w:rsidRPr="00AE4E64">
        <w:rPr>
          <w:rFonts w:ascii="Open Sans" w:hAnsi="Open Sans" w:cs="Open Sans"/>
          <w:lang w:val="en"/>
        </w:rPr>
        <w:t>(4 December 2018) Terms of Reference (c).</w:t>
      </w:r>
    </w:p>
  </w:endnote>
  <w:endnote w:id="3">
    <w:p w14:paraId="1E48FEEF" w14:textId="0C2E6721"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lang w:val="en"/>
        </w:rPr>
        <w:t xml:space="preserve">Senate Community Affairs References Committee, Parliament of Australia, </w:t>
      </w:r>
      <w:r w:rsidRPr="00AE4E64">
        <w:rPr>
          <w:rFonts w:ascii="Open Sans" w:hAnsi="Open Sans" w:cs="Open Sans"/>
          <w:i/>
          <w:lang w:val="en"/>
        </w:rPr>
        <w:t xml:space="preserve">ParentsNext, including its trial and subsequent broader rollout </w:t>
      </w:r>
      <w:r w:rsidRPr="00AE4E64">
        <w:rPr>
          <w:rFonts w:ascii="Open Sans" w:hAnsi="Open Sans" w:cs="Open Sans"/>
          <w:lang w:val="en"/>
        </w:rPr>
        <w:t>(4 December 2018) Terms of Reference (a), (b)(vii)-(ix) and (d).</w:t>
      </w:r>
    </w:p>
  </w:endnote>
  <w:endnote w:id="4">
    <w:p w14:paraId="6882BE41" w14:textId="692AAFA2" w:rsidR="00D705F6" w:rsidRPr="00AE4E64" w:rsidRDefault="00D705F6" w:rsidP="0062797B">
      <w:pPr>
        <w:pStyle w:val="EndnoteText"/>
        <w:ind w:hanging="284"/>
        <w:rPr>
          <w:rFonts w:ascii="Open Sans" w:hAnsi="Open Sans" w:cs="Open Sans"/>
          <w:b/>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Employment, ‘ParentsNext National Expansion’ (Discussion Paper, 12 September 2017) 8 [2.2]; Department of Jobs and Small Business, </w:t>
      </w:r>
      <w:r w:rsidRPr="00AE4E64">
        <w:rPr>
          <w:rFonts w:ascii="Open Sans" w:hAnsi="Open Sans" w:cs="Open Sans"/>
          <w:i/>
        </w:rPr>
        <w:t xml:space="preserve">Explainer: ParentsNext </w:t>
      </w:r>
      <w:r w:rsidRPr="00AE4E64">
        <w:rPr>
          <w:rFonts w:ascii="Open Sans" w:hAnsi="Open Sans" w:cs="Open Sans"/>
        </w:rPr>
        <w:t>(16 January 2019) &lt;</w:t>
      </w:r>
      <w:hyperlink r:id="rId1" w:history="1">
        <w:r w:rsidRPr="00AE4E64">
          <w:rPr>
            <w:rStyle w:val="Hyperlink"/>
            <w:rFonts w:cs="Open Sans"/>
            <w:color w:val="auto"/>
            <w:u w:val="none"/>
          </w:rPr>
          <w:t>https://www.jobs.gov.au/newsroom/explainer-parentsnext</w:t>
        </w:r>
      </w:hyperlink>
      <w:r w:rsidRPr="00AE4E64">
        <w:rPr>
          <w:rFonts w:ascii="Open Sans" w:hAnsi="Open Sans" w:cs="Open Sans"/>
        </w:rPr>
        <w:t xml:space="preserve">&gt;. Notably, original Government projections of the number of Indigenous participants appear to be an underestimate. While the Explanatory Statement provides an estimate of 10,000 Indigenous women, as at 31 December 2018, over 14,000 (19%) of parents in the program identified as Indigenous: Department of Jobs and Small Business, </w:t>
      </w:r>
      <w:r w:rsidRPr="00AE4E64">
        <w:rPr>
          <w:rFonts w:ascii="Open Sans" w:hAnsi="Open Sans" w:cs="Open Sans"/>
          <w:i/>
        </w:rPr>
        <w:t xml:space="preserve">Explainer: ParentsNext </w:t>
      </w:r>
      <w:r w:rsidRPr="00AE4E64">
        <w:rPr>
          <w:rFonts w:ascii="Open Sans" w:hAnsi="Open Sans" w:cs="Open Sans"/>
        </w:rPr>
        <w:t>(16 January 2019) &lt;</w:t>
      </w:r>
      <w:hyperlink r:id="rId2" w:history="1">
        <w:r w:rsidRPr="00AE4E64">
          <w:rPr>
            <w:rStyle w:val="Hyperlink"/>
            <w:rFonts w:cs="Open Sans"/>
            <w:color w:val="auto"/>
            <w:u w:val="none"/>
          </w:rPr>
          <w:t>https://www.jobs.gov.au/newsroom/explainer-parentsnext</w:t>
        </w:r>
      </w:hyperlink>
      <w:r w:rsidRPr="00AE4E64">
        <w:rPr>
          <w:rStyle w:val="Hyperlink"/>
          <w:rFonts w:cs="Open Sans"/>
          <w:color w:val="auto"/>
          <w:u w:val="none"/>
        </w:rPr>
        <w:t>&gt;</w:t>
      </w:r>
      <w:r w:rsidRPr="00AE4E64">
        <w:rPr>
          <w:rFonts w:ascii="Open Sans" w:hAnsi="Open Sans" w:cs="Open Sans"/>
        </w:rPr>
        <w:t>.</w:t>
      </w:r>
    </w:p>
  </w:endnote>
  <w:endnote w:id="5">
    <w:p w14:paraId="7CA2817B" w14:textId="51E90198"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 50.</w:t>
      </w:r>
    </w:p>
  </w:endnote>
  <w:endnote w:id="6">
    <w:p w14:paraId="2E26AA03" w14:textId="73175F4C" w:rsidR="00D705F6" w:rsidRPr="00AE4E64" w:rsidRDefault="00D705F6" w:rsidP="0062797B">
      <w:pPr>
        <w:pStyle w:val="CommentText"/>
        <w:ind w:left="142"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As at June 2018, 82,541 people are on the partnered parenting payment, 244,296 are on the single parenting payment: Department of Social Services, </w:t>
      </w:r>
      <w:r w:rsidRPr="00AE4E64">
        <w:rPr>
          <w:rFonts w:ascii="Open Sans" w:hAnsi="Open Sans" w:cs="Open Sans"/>
          <w:i/>
        </w:rPr>
        <w:t>DSS Demographics</w:t>
      </w:r>
      <w:r w:rsidRPr="00AE4E64">
        <w:rPr>
          <w:rFonts w:ascii="Open Sans" w:hAnsi="Open Sans" w:cs="Open Sans"/>
        </w:rPr>
        <w:t xml:space="preserve"> (June 2018) data.gov.au &lt;https://data.gov.au/dataset/ds-dga-cff2ae8a-55e4-47db-a66d-e177fe0ac6a0/details&gt;. </w:t>
      </w:r>
    </w:p>
  </w:endnote>
  <w:endnote w:id="7">
    <w:p w14:paraId="5F9B15CF" w14:textId="75ADEDBE"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lang w:val="en-US"/>
        </w:rPr>
        <w:t xml:space="preserve">Australian Human Rights Commission, Submission No 16 to Senate Community Affairs Legislation Committee, </w:t>
      </w:r>
      <w:r w:rsidRPr="00AE4E64">
        <w:rPr>
          <w:rFonts w:ascii="Open Sans" w:hAnsi="Open Sans" w:cs="Open Sans"/>
          <w:i/>
          <w:lang w:val="en-US"/>
        </w:rPr>
        <w:t>Social Security Legislation Amendment (Community Development Program) Bill 2018</w:t>
      </w:r>
      <w:r w:rsidRPr="00AE4E64">
        <w:rPr>
          <w:rFonts w:ascii="Open Sans" w:hAnsi="Open Sans" w:cs="Open Sans"/>
          <w:lang w:val="en-US"/>
        </w:rPr>
        <w:t xml:space="preserve"> (Cth), 26 September 2018; Australian Human Rights Commission, Submission to Department of Prime Minister and Cabinet</w:t>
      </w:r>
      <w:r w:rsidRPr="00AE4E64">
        <w:rPr>
          <w:rFonts w:ascii="Open Sans" w:hAnsi="Open Sans" w:cs="Open Sans"/>
          <w:i/>
          <w:lang w:val="en-US"/>
        </w:rPr>
        <w:t>, Discussion Paper: Remote Employment and Participation</w:t>
      </w:r>
      <w:r w:rsidRPr="00AE4E64">
        <w:rPr>
          <w:rFonts w:ascii="Open Sans" w:hAnsi="Open Sans" w:cs="Open Sans"/>
          <w:lang w:val="en-US"/>
        </w:rPr>
        <w:t>, 9 February 2018.</w:t>
      </w:r>
    </w:p>
  </w:endnote>
  <w:endnote w:id="8">
    <w:p w14:paraId="5BA0A2CE" w14:textId="7AE461B0"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See s 500(1) of the </w:t>
      </w:r>
      <w:r w:rsidRPr="00AE4E64">
        <w:rPr>
          <w:rFonts w:ascii="Open Sans" w:hAnsi="Open Sans" w:cs="Open Sans"/>
          <w:i/>
        </w:rPr>
        <w:t>Social Security Act 1991</w:t>
      </w:r>
      <w:r w:rsidRPr="00AE4E64">
        <w:rPr>
          <w:rFonts w:ascii="Open Sans" w:hAnsi="Open Sans" w:cs="Open Sans"/>
        </w:rPr>
        <w:t xml:space="preserve"> (Cth); see also Department of Human Services, </w:t>
      </w:r>
      <w:r w:rsidRPr="00AE4E64">
        <w:rPr>
          <w:rFonts w:ascii="Open Sans" w:hAnsi="Open Sans" w:cs="Open Sans"/>
          <w:i/>
        </w:rPr>
        <w:t xml:space="preserve">Parenting Payment: Income and Assets Tests </w:t>
      </w:r>
      <w:r w:rsidRPr="00AE4E64">
        <w:rPr>
          <w:rFonts w:ascii="Open Sans" w:hAnsi="Open Sans" w:cs="Open Sans"/>
        </w:rPr>
        <w:t>(14 November 2018) &lt;</w:t>
      </w:r>
      <w:hyperlink r:id="rId3" w:anchor="a1" w:history="1">
        <w:r w:rsidRPr="00AE4E64">
          <w:rPr>
            <w:rStyle w:val="Hyperlink"/>
            <w:rFonts w:cs="Open Sans"/>
            <w:color w:val="auto"/>
            <w:u w:val="none"/>
          </w:rPr>
          <w:t>https://www.humanservices.gov.au/individuals/services/centrelink/parenting-payment/how-much-you-can-get/income-and-assets-tests#a1</w:t>
        </w:r>
      </w:hyperlink>
      <w:r w:rsidRPr="00AE4E64">
        <w:rPr>
          <w:rStyle w:val="Hyperlink"/>
          <w:rFonts w:cs="Open Sans"/>
          <w:color w:val="auto"/>
          <w:u w:val="none"/>
        </w:rPr>
        <w:t>&gt;</w:t>
      </w:r>
      <w:r w:rsidRPr="00AE4E64">
        <w:rPr>
          <w:rFonts w:ascii="Open Sans" w:hAnsi="Open Sans" w:cs="Open Sans"/>
        </w:rPr>
        <w:t xml:space="preserve"> (calculated from $2,139.85 gross income a fortnight).</w:t>
      </w:r>
    </w:p>
  </w:endnote>
  <w:endnote w:id="9">
    <w:p w14:paraId="2E6CB611" w14:textId="498A1836"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Human Services, </w:t>
      </w:r>
      <w:r w:rsidRPr="00AE4E64">
        <w:rPr>
          <w:rFonts w:ascii="Open Sans" w:hAnsi="Open Sans" w:cs="Open Sans"/>
          <w:i/>
        </w:rPr>
        <w:t xml:space="preserve">Parenting Payment: Income and Assets Tests </w:t>
      </w:r>
      <w:r w:rsidRPr="00AE4E64">
        <w:rPr>
          <w:rFonts w:ascii="Open Sans" w:hAnsi="Open Sans" w:cs="Open Sans"/>
        </w:rPr>
        <w:t>(14 November 2018) &lt;</w:t>
      </w:r>
      <w:hyperlink r:id="rId4" w:anchor="a1" w:history="1">
        <w:r w:rsidRPr="00AE4E64">
          <w:rPr>
            <w:rStyle w:val="Hyperlink"/>
            <w:rFonts w:cs="Open Sans"/>
            <w:color w:val="auto"/>
            <w:u w:val="none"/>
          </w:rPr>
          <w:t>https://www.humanservices.gov.au/individuals/services/centrelink/parenting-payment/how-much-you-can-get/income-and-assets-tests#a1</w:t>
        </w:r>
      </w:hyperlink>
      <w:r w:rsidRPr="00AE4E64">
        <w:rPr>
          <w:rStyle w:val="Hyperlink"/>
          <w:rFonts w:cs="Open Sans"/>
          <w:color w:val="auto"/>
          <w:u w:val="none"/>
        </w:rPr>
        <w:t>&gt;.</w:t>
      </w:r>
    </w:p>
  </w:endnote>
  <w:endnote w:id="10">
    <w:p w14:paraId="5DDC5AD4" w14:textId="77777777" w:rsidR="00D705F6" w:rsidRPr="00AE4E64" w:rsidRDefault="00D705F6" w:rsidP="00D308EC">
      <w:pPr>
        <w:pStyle w:val="EndnoteText"/>
        <w:ind w:hanging="284"/>
        <w:rPr>
          <w:rFonts w:ascii="Open Sans" w:hAnsi="Open Sans" w:cs="Open Sans"/>
          <w:lang w:val="en-US"/>
        </w:rPr>
      </w:pPr>
      <w:r w:rsidRPr="00AE4E64">
        <w:rPr>
          <w:rStyle w:val="EndnoteReference"/>
          <w:rFonts w:cs="Open Sans"/>
        </w:rPr>
        <w:endnoteRef/>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w:t>
      </w:r>
    </w:p>
  </w:endnote>
  <w:endnote w:id="11">
    <w:p w14:paraId="3C92954C" w14:textId="7B97875C"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Human Services, </w:t>
      </w:r>
      <w:r w:rsidRPr="00AE4E64">
        <w:rPr>
          <w:rFonts w:ascii="Open Sans" w:hAnsi="Open Sans" w:cs="Open Sans"/>
          <w:i/>
        </w:rPr>
        <w:t xml:space="preserve">Parenting Payment: How much you can get </w:t>
      </w:r>
      <w:r w:rsidRPr="00AE4E64">
        <w:rPr>
          <w:rFonts w:ascii="Open Sans" w:hAnsi="Open Sans" w:cs="Open Sans"/>
        </w:rPr>
        <w:t xml:space="preserve">(8 November 2018) </w:t>
      </w:r>
      <w:r w:rsidRPr="00AE4E64">
        <w:rPr>
          <w:rFonts w:ascii="Open Sans" w:hAnsi="Open Sans" w:cs="Open Sans"/>
          <w:i/>
        </w:rPr>
        <w:t>&lt;</w:t>
      </w:r>
      <w:hyperlink r:id="rId5" w:history="1">
        <w:r w:rsidRPr="00AE4E64">
          <w:rPr>
            <w:rStyle w:val="Hyperlink"/>
            <w:rFonts w:cs="Open Sans"/>
            <w:color w:val="auto"/>
            <w:u w:val="none"/>
          </w:rPr>
          <w:t>https://www.humanservices.gov.au/individuals/services/centrelink/parenting-payment/how-much-you-can-get</w:t>
        </w:r>
      </w:hyperlink>
      <w:r w:rsidRPr="00AE4E64">
        <w:rPr>
          <w:rStyle w:val="Hyperlink"/>
          <w:rFonts w:cs="Open Sans"/>
          <w:color w:val="auto"/>
          <w:u w:val="none"/>
        </w:rPr>
        <w:t>&gt;.</w:t>
      </w:r>
      <w:r w:rsidRPr="00AE4E64">
        <w:rPr>
          <w:rFonts w:ascii="Open Sans" w:hAnsi="Open Sans" w:cs="Open Sans"/>
        </w:rPr>
        <w:t xml:space="preserve"> </w:t>
      </w:r>
    </w:p>
  </w:endnote>
  <w:endnote w:id="12">
    <w:p w14:paraId="7BA73813" w14:textId="072BD43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It is also possible to access ParentsNext as a voluntary participant, if you are a person who is in receipt of the Parenting Payment, has a child under 6 years old and resides in an ‘Intensive Stream’ location. This submission is primarily concerned with the human rights of persons who are required to participate in the program, who comprise approximately 97% of participants; see (Department of Jobs and Small Business, ‘</w:t>
      </w:r>
      <w:r w:rsidRPr="00AE4E64">
        <w:rPr>
          <w:rFonts w:ascii="Open Sans" w:hAnsi="Open Sans" w:cs="Open Sans"/>
          <w:lang w:val="en-US"/>
        </w:rPr>
        <w:t>ParentsNext Evaluation Report’ (Report, 2017)</w:t>
      </w:r>
      <w:r w:rsidRPr="00AE4E64">
        <w:rPr>
          <w:rFonts w:ascii="Open Sans" w:hAnsi="Open Sans" w:cs="Open Sans"/>
        </w:rPr>
        <w:t xml:space="preserve"> 30.</w:t>
      </w:r>
    </w:p>
  </w:endnote>
  <w:endnote w:id="13">
    <w:p w14:paraId="5BE4AA6C" w14:textId="2E8DCF7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Social Services, </w:t>
      </w:r>
      <w:r w:rsidRPr="00AE4E64">
        <w:rPr>
          <w:rFonts w:ascii="Open Sans" w:hAnsi="Open Sans" w:cs="Open Sans"/>
          <w:i/>
        </w:rPr>
        <w:t>DSS Demographics</w:t>
      </w:r>
      <w:r w:rsidRPr="00AE4E64">
        <w:rPr>
          <w:rFonts w:ascii="Open Sans" w:hAnsi="Open Sans" w:cs="Open Sans"/>
        </w:rPr>
        <w:t xml:space="preserve"> (June 2018) data.gov.au &lt;https://data.gov.au/dataset/ds-dga-cff2ae8a-55e4-47db-a66d-e177fe0ac6a0/details&gt;. </w:t>
      </w:r>
    </w:p>
  </w:endnote>
  <w:endnote w:id="14">
    <w:p w14:paraId="591F1AED" w14:textId="20C24A9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Social Security (Parenting payment participation requirements—classes of persons) Specification 2016 (No. 1</w:t>
      </w:r>
      <w:r w:rsidRPr="00AE4E64">
        <w:rPr>
          <w:rFonts w:ascii="Open Sans" w:hAnsi="Open Sans" w:cs="Open Sans"/>
        </w:rPr>
        <w:t>) (Cth).</w:t>
      </w:r>
    </w:p>
  </w:endnote>
  <w:endnote w:id="15">
    <w:p w14:paraId="7F507A4E" w14:textId="6BC56EC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Human Services, </w:t>
      </w:r>
      <w:r w:rsidRPr="00AE4E64">
        <w:rPr>
          <w:rFonts w:ascii="Open Sans" w:hAnsi="Open Sans" w:cs="Open Sans"/>
          <w:i/>
        </w:rPr>
        <w:t xml:space="preserve">ParentsNext </w:t>
      </w:r>
      <w:r w:rsidRPr="00AE4E64">
        <w:rPr>
          <w:rFonts w:ascii="Open Sans" w:hAnsi="Open Sans" w:cs="Open Sans"/>
        </w:rPr>
        <w:t>(9 January 2019) &lt;</w:t>
      </w:r>
      <w:hyperlink r:id="rId6" w:history="1">
        <w:r w:rsidRPr="00AE4E64">
          <w:rPr>
            <w:rStyle w:val="Hyperlink"/>
            <w:rFonts w:cs="Open Sans"/>
            <w:color w:val="auto"/>
            <w:u w:val="none"/>
          </w:rPr>
          <w:t>https://www.humanservices.gov.au/individuals/services/centrelink/parentsnext</w:t>
        </w:r>
      </w:hyperlink>
      <w:r w:rsidRPr="00AE4E64">
        <w:rPr>
          <w:rStyle w:val="Hyperlink"/>
          <w:rFonts w:cs="Open Sans"/>
          <w:color w:val="auto"/>
          <w:u w:val="none"/>
        </w:rPr>
        <w:t>&gt;.</w:t>
      </w:r>
    </w:p>
  </w:endnote>
  <w:endnote w:id="16">
    <w:p w14:paraId="3ED1F247" w14:textId="02ABE477"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s 7(1)(a). The listed local government areas are: (a) Alice Springs (NT)</w:t>
      </w:r>
      <w:r w:rsidRPr="00AE4E64">
        <w:rPr>
          <w:rFonts w:ascii="Open Sans" w:hAnsi="Open Sans" w:cs="Open Sans"/>
          <w:lang w:val="en-US"/>
        </w:rPr>
        <w:t xml:space="preserve">, </w:t>
      </w:r>
      <w:r w:rsidRPr="00AE4E64">
        <w:rPr>
          <w:rFonts w:ascii="Open Sans" w:hAnsi="Open Sans" w:cs="Open Sans"/>
        </w:rPr>
        <w:t>(b) Darwin (NT)</w:t>
      </w:r>
      <w:r w:rsidRPr="00AE4E64">
        <w:rPr>
          <w:rFonts w:ascii="Open Sans" w:hAnsi="Open Sans" w:cs="Open Sans"/>
          <w:lang w:val="en-US"/>
        </w:rPr>
        <w:t xml:space="preserve">, </w:t>
      </w:r>
      <w:r w:rsidRPr="00AE4E64">
        <w:rPr>
          <w:rFonts w:ascii="Open Sans" w:hAnsi="Open Sans" w:cs="Open Sans"/>
        </w:rPr>
        <w:t>(c) Palmerston (NT)</w:t>
      </w:r>
      <w:r w:rsidRPr="00AE4E64">
        <w:rPr>
          <w:rFonts w:ascii="Open Sans" w:hAnsi="Open Sans" w:cs="Open Sans"/>
          <w:lang w:val="en-US"/>
        </w:rPr>
        <w:t xml:space="preserve">, </w:t>
      </w:r>
      <w:r w:rsidRPr="00AE4E64">
        <w:rPr>
          <w:rFonts w:ascii="Open Sans" w:hAnsi="Open Sans" w:cs="Open Sans"/>
        </w:rPr>
        <w:t>(d) Brighton (Tas)</w:t>
      </w:r>
      <w:r w:rsidRPr="00AE4E64">
        <w:rPr>
          <w:rFonts w:ascii="Open Sans" w:hAnsi="Open Sans" w:cs="Open Sans"/>
          <w:lang w:val="en-US"/>
        </w:rPr>
        <w:t xml:space="preserve">, </w:t>
      </w:r>
      <w:r w:rsidRPr="00AE4E64">
        <w:rPr>
          <w:rFonts w:ascii="Open Sans" w:hAnsi="Open Sans" w:cs="Open Sans"/>
        </w:rPr>
        <w:t>(e) Burnie (Tas)</w:t>
      </w:r>
      <w:r w:rsidRPr="00AE4E64">
        <w:rPr>
          <w:rFonts w:ascii="Open Sans" w:hAnsi="Open Sans" w:cs="Open Sans"/>
          <w:lang w:val="en-US"/>
        </w:rPr>
        <w:t xml:space="preserve">, </w:t>
      </w:r>
      <w:r w:rsidRPr="00AE4E64">
        <w:rPr>
          <w:rFonts w:ascii="Open Sans" w:hAnsi="Open Sans" w:cs="Open Sans"/>
        </w:rPr>
        <w:t>(f) Armadale (WA)</w:t>
      </w:r>
      <w:r w:rsidRPr="00AE4E64">
        <w:rPr>
          <w:rFonts w:ascii="Open Sans" w:hAnsi="Open Sans" w:cs="Open Sans"/>
          <w:lang w:val="en-US"/>
        </w:rPr>
        <w:t xml:space="preserve">, </w:t>
      </w:r>
      <w:r w:rsidRPr="00AE4E64">
        <w:rPr>
          <w:rFonts w:ascii="Open Sans" w:hAnsi="Open Sans" w:cs="Open Sans"/>
        </w:rPr>
        <w:t>(g) Bassendean (WA)</w:t>
      </w:r>
      <w:r w:rsidRPr="00AE4E64">
        <w:rPr>
          <w:rFonts w:ascii="Open Sans" w:hAnsi="Open Sans" w:cs="Open Sans"/>
          <w:lang w:val="en-US"/>
        </w:rPr>
        <w:t xml:space="preserve">, </w:t>
      </w:r>
      <w:r w:rsidRPr="00AE4E64">
        <w:rPr>
          <w:rFonts w:ascii="Open Sans" w:hAnsi="Open Sans" w:cs="Open Sans"/>
        </w:rPr>
        <w:t>(h) Bayswater (WA), (i) Belmont (WA)</w:t>
      </w:r>
      <w:r w:rsidRPr="00AE4E64">
        <w:rPr>
          <w:rFonts w:ascii="Open Sans" w:hAnsi="Open Sans" w:cs="Open Sans"/>
          <w:lang w:val="en-US"/>
        </w:rPr>
        <w:t xml:space="preserve">, </w:t>
      </w:r>
      <w:r w:rsidRPr="00AE4E64">
        <w:rPr>
          <w:rFonts w:ascii="Open Sans" w:hAnsi="Open Sans" w:cs="Open Sans"/>
        </w:rPr>
        <w:t>(j) Broome (WA)</w:t>
      </w:r>
      <w:r w:rsidRPr="00AE4E64">
        <w:rPr>
          <w:rFonts w:ascii="Open Sans" w:hAnsi="Open Sans" w:cs="Open Sans"/>
          <w:lang w:val="en-US"/>
        </w:rPr>
        <w:t xml:space="preserve">, </w:t>
      </w:r>
      <w:r w:rsidRPr="00AE4E64">
        <w:rPr>
          <w:rFonts w:ascii="Open Sans" w:hAnsi="Open Sans" w:cs="Open Sans"/>
        </w:rPr>
        <w:t>(k) Canning (WA)</w:t>
      </w:r>
      <w:r w:rsidRPr="00AE4E64">
        <w:rPr>
          <w:rFonts w:ascii="Open Sans" w:hAnsi="Open Sans" w:cs="Open Sans"/>
          <w:lang w:val="en-US"/>
        </w:rPr>
        <w:t xml:space="preserve">, </w:t>
      </w:r>
      <w:r w:rsidRPr="00AE4E64">
        <w:rPr>
          <w:rFonts w:ascii="Open Sans" w:hAnsi="Open Sans" w:cs="Open Sans"/>
        </w:rPr>
        <w:t>(l) Cockburn (WA)</w:t>
      </w:r>
      <w:r w:rsidRPr="00AE4E64">
        <w:rPr>
          <w:rFonts w:ascii="Open Sans" w:hAnsi="Open Sans" w:cs="Open Sans"/>
          <w:lang w:val="en-US"/>
        </w:rPr>
        <w:t xml:space="preserve">, </w:t>
      </w:r>
      <w:r w:rsidRPr="00AE4E64">
        <w:rPr>
          <w:rFonts w:ascii="Open Sans" w:hAnsi="Open Sans" w:cs="Open Sans"/>
        </w:rPr>
        <w:t>(m) East Fremantle (WA)</w:t>
      </w:r>
      <w:r w:rsidRPr="00AE4E64">
        <w:rPr>
          <w:rFonts w:ascii="Open Sans" w:hAnsi="Open Sans" w:cs="Open Sans"/>
          <w:lang w:val="en-US"/>
        </w:rPr>
        <w:t xml:space="preserve">, </w:t>
      </w:r>
      <w:r w:rsidRPr="00AE4E64">
        <w:rPr>
          <w:rFonts w:ascii="Open Sans" w:hAnsi="Open Sans" w:cs="Open Sans"/>
        </w:rPr>
        <w:t>(n) Fremantle (WA)</w:t>
      </w:r>
      <w:r w:rsidRPr="00AE4E64">
        <w:rPr>
          <w:rFonts w:ascii="Open Sans" w:hAnsi="Open Sans" w:cs="Open Sans"/>
          <w:lang w:val="en-US"/>
        </w:rPr>
        <w:t xml:space="preserve">, </w:t>
      </w:r>
      <w:r w:rsidRPr="00AE4E64">
        <w:rPr>
          <w:rFonts w:ascii="Open Sans" w:hAnsi="Open Sans" w:cs="Open Sans"/>
        </w:rPr>
        <w:t>(o) Gosnells (WA)</w:t>
      </w:r>
      <w:r w:rsidRPr="00AE4E64">
        <w:rPr>
          <w:rFonts w:ascii="Open Sans" w:hAnsi="Open Sans" w:cs="Open Sans"/>
          <w:lang w:val="en-US"/>
        </w:rPr>
        <w:t xml:space="preserve">, </w:t>
      </w:r>
      <w:r w:rsidRPr="00AE4E64">
        <w:rPr>
          <w:rFonts w:ascii="Open Sans" w:hAnsi="Open Sans" w:cs="Open Sans"/>
        </w:rPr>
        <w:t>(p) Greater Geraldton (WA)</w:t>
      </w:r>
      <w:r w:rsidRPr="00AE4E64">
        <w:rPr>
          <w:rFonts w:ascii="Open Sans" w:hAnsi="Open Sans" w:cs="Open Sans"/>
          <w:lang w:val="en-US"/>
        </w:rPr>
        <w:t xml:space="preserve">, </w:t>
      </w:r>
      <w:r w:rsidRPr="00AE4E64">
        <w:rPr>
          <w:rFonts w:ascii="Open Sans" w:hAnsi="Open Sans" w:cs="Open Sans"/>
        </w:rPr>
        <w:t>(q) Kalamunda (WA)</w:t>
      </w:r>
      <w:r w:rsidRPr="00AE4E64">
        <w:rPr>
          <w:rFonts w:ascii="Open Sans" w:hAnsi="Open Sans" w:cs="Open Sans"/>
          <w:lang w:val="en-US"/>
        </w:rPr>
        <w:t xml:space="preserve">, </w:t>
      </w:r>
      <w:r w:rsidRPr="00AE4E64">
        <w:rPr>
          <w:rFonts w:ascii="Open Sans" w:hAnsi="Open Sans" w:cs="Open Sans"/>
        </w:rPr>
        <w:t>(r) Kwinana (WA)</w:t>
      </w:r>
      <w:r w:rsidRPr="00AE4E64">
        <w:rPr>
          <w:rFonts w:ascii="Open Sans" w:hAnsi="Open Sans" w:cs="Open Sans"/>
          <w:lang w:val="en-US"/>
        </w:rPr>
        <w:t xml:space="preserve">, </w:t>
      </w:r>
      <w:r w:rsidRPr="00AE4E64">
        <w:rPr>
          <w:rFonts w:ascii="Open Sans" w:hAnsi="Open Sans" w:cs="Open Sans"/>
        </w:rPr>
        <w:t>(s) Melville (WA)</w:t>
      </w:r>
      <w:r w:rsidRPr="00AE4E64">
        <w:rPr>
          <w:rFonts w:ascii="Open Sans" w:hAnsi="Open Sans" w:cs="Open Sans"/>
          <w:lang w:val="en-US"/>
        </w:rPr>
        <w:t xml:space="preserve">, </w:t>
      </w:r>
      <w:r w:rsidRPr="00AE4E64">
        <w:rPr>
          <w:rFonts w:ascii="Open Sans" w:hAnsi="Open Sans" w:cs="Open Sans"/>
        </w:rPr>
        <w:t>(t) Mosman Park (WA)</w:t>
      </w:r>
      <w:r w:rsidRPr="00AE4E64">
        <w:rPr>
          <w:rFonts w:ascii="Open Sans" w:hAnsi="Open Sans" w:cs="Open Sans"/>
          <w:lang w:val="en-US"/>
        </w:rPr>
        <w:t xml:space="preserve">, </w:t>
      </w:r>
      <w:r w:rsidRPr="00AE4E64">
        <w:rPr>
          <w:rFonts w:ascii="Open Sans" w:hAnsi="Open Sans" w:cs="Open Sans"/>
        </w:rPr>
        <w:t>(u) Mundaring (WA)</w:t>
      </w:r>
      <w:r w:rsidRPr="00AE4E64">
        <w:rPr>
          <w:rFonts w:ascii="Open Sans" w:hAnsi="Open Sans" w:cs="Open Sans"/>
          <w:lang w:val="en-US"/>
        </w:rPr>
        <w:t xml:space="preserve">, </w:t>
      </w:r>
      <w:r w:rsidRPr="00AE4E64">
        <w:rPr>
          <w:rFonts w:ascii="Open Sans" w:hAnsi="Open Sans" w:cs="Open Sans"/>
        </w:rPr>
        <w:t>(v) South Perth (WA)</w:t>
      </w:r>
      <w:r w:rsidRPr="00AE4E64">
        <w:rPr>
          <w:rFonts w:ascii="Open Sans" w:hAnsi="Open Sans" w:cs="Open Sans"/>
          <w:lang w:val="en-US"/>
        </w:rPr>
        <w:t xml:space="preserve">, </w:t>
      </w:r>
      <w:r w:rsidRPr="00AE4E64">
        <w:rPr>
          <w:rFonts w:ascii="Open Sans" w:hAnsi="Open Sans" w:cs="Open Sans"/>
        </w:rPr>
        <w:t>(w) Swan (WA)</w:t>
      </w:r>
      <w:r w:rsidRPr="00AE4E64">
        <w:rPr>
          <w:rFonts w:ascii="Open Sans" w:hAnsi="Open Sans" w:cs="Open Sans"/>
          <w:lang w:val="en-US"/>
        </w:rPr>
        <w:t xml:space="preserve">, </w:t>
      </w:r>
      <w:r w:rsidRPr="00AE4E64">
        <w:rPr>
          <w:rFonts w:ascii="Open Sans" w:hAnsi="Open Sans" w:cs="Open Sans"/>
        </w:rPr>
        <w:t>(x) Victoria Park (WA)</w:t>
      </w:r>
      <w:r w:rsidRPr="00AE4E64">
        <w:rPr>
          <w:rFonts w:ascii="Open Sans" w:hAnsi="Open Sans" w:cs="Open Sans"/>
          <w:lang w:val="en-US"/>
        </w:rPr>
        <w:t xml:space="preserve">, </w:t>
      </w:r>
      <w:r w:rsidRPr="00AE4E64">
        <w:rPr>
          <w:rFonts w:ascii="Open Sans" w:hAnsi="Open Sans" w:cs="Open Sans"/>
        </w:rPr>
        <w:t xml:space="preserve">(y) Playford (SA) </w:t>
      </w:r>
      <w:r w:rsidRPr="00AE4E64">
        <w:rPr>
          <w:rFonts w:ascii="Open Sans" w:hAnsi="Open Sans" w:cs="Open Sans"/>
          <w:lang w:val="en-US"/>
        </w:rPr>
        <w:t xml:space="preserve">, </w:t>
      </w:r>
      <w:r w:rsidRPr="00AE4E64">
        <w:rPr>
          <w:rFonts w:ascii="Open Sans" w:hAnsi="Open Sans" w:cs="Open Sans"/>
        </w:rPr>
        <w:t>(z) Port Adelaide Enfield (SA)</w:t>
      </w:r>
      <w:r w:rsidRPr="00AE4E64">
        <w:rPr>
          <w:rFonts w:ascii="Open Sans" w:hAnsi="Open Sans" w:cs="Open Sans"/>
          <w:lang w:val="en-US"/>
        </w:rPr>
        <w:t xml:space="preserve">, </w:t>
      </w:r>
      <w:r w:rsidRPr="00AE4E64">
        <w:rPr>
          <w:rFonts w:ascii="Open Sans" w:hAnsi="Open Sans" w:cs="Open Sans"/>
        </w:rPr>
        <w:t>(aa) Port Augusta (SA)</w:t>
      </w:r>
      <w:r w:rsidRPr="00AE4E64">
        <w:rPr>
          <w:rFonts w:ascii="Open Sans" w:hAnsi="Open Sans" w:cs="Open Sans"/>
          <w:lang w:val="en-US"/>
        </w:rPr>
        <w:t xml:space="preserve">, </w:t>
      </w:r>
      <w:r w:rsidRPr="00AE4E64">
        <w:rPr>
          <w:rFonts w:ascii="Open Sans" w:hAnsi="Open Sans" w:cs="Open Sans"/>
        </w:rPr>
        <w:t>(bb) Whyalla (SA)</w:t>
      </w:r>
      <w:r w:rsidRPr="00AE4E64">
        <w:rPr>
          <w:rFonts w:ascii="Open Sans" w:hAnsi="Open Sans" w:cs="Open Sans"/>
          <w:lang w:val="en-US"/>
        </w:rPr>
        <w:t xml:space="preserve">, </w:t>
      </w:r>
      <w:r w:rsidRPr="00AE4E64">
        <w:rPr>
          <w:rFonts w:ascii="Open Sans" w:hAnsi="Open Sans" w:cs="Open Sans"/>
        </w:rPr>
        <w:t>(cc) Burdekin (QLD)</w:t>
      </w:r>
      <w:r w:rsidRPr="00AE4E64">
        <w:rPr>
          <w:rFonts w:ascii="Open Sans" w:hAnsi="Open Sans" w:cs="Open Sans"/>
          <w:lang w:val="en-US"/>
        </w:rPr>
        <w:t xml:space="preserve">, </w:t>
      </w:r>
      <w:r w:rsidRPr="00AE4E64">
        <w:rPr>
          <w:rFonts w:ascii="Open Sans" w:hAnsi="Open Sans" w:cs="Open Sans"/>
        </w:rPr>
        <w:t>(dd) Cairns (QLD)</w:t>
      </w:r>
      <w:r w:rsidRPr="00AE4E64">
        <w:rPr>
          <w:rFonts w:ascii="Open Sans" w:hAnsi="Open Sans" w:cs="Open Sans"/>
          <w:lang w:val="en-US"/>
        </w:rPr>
        <w:t xml:space="preserve">, </w:t>
      </w:r>
      <w:r w:rsidRPr="00AE4E64">
        <w:rPr>
          <w:rFonts w:ascii="Open Sans" w:hAnsi="Open Sans" w:cs="Open Sans"/>
        </w:rPr>
        <w:t>(ee) Cassowary Coast (QLD)</w:t>
      </w:r>
      <w:r w:rsidRPr="00AE4E64">
        <w:rPr>
          <w:rFonts w:ascii="Open Sans" w:hAnsi="Open Sans" w:cs="Open Sans"/>
          <w:lang w:val="en-US"/>
        </w:rPr>
        <w:t xml:space="preserve">, </w:t>
      </w:r>
      <w:r w:rsidRPr="00AE4E64">
        <w:rPr>
          <w:rFonts w:ascii="Open Sans" w:hAnsi="Open Sans" w:cs="Open Sans"/>
        </w:rPr>
        <w:t>(ff) Douglas (QLD)</w:t>
      </w:r>
      <w:r w:rsidRPr="00AE4E64">
        <w:rPr>
          <w:rFonts w:ascii="Open Sans" w:hAnsi="Open Sans" w:cs="Open Sans"/>
          <w:lang w:val="en-US"/>
        </w:rPr>
        <w:t xml:space="preserve">, </w:t>
      </w:r>
      <w:r w:rsidRPr="00AE4E64">
        <w:rPr>
          <w:rFonts w:ascii="Open Sans" w:hAnsi="Open Sans" w:cs="Open Sans"/>
        </w:rPr>
        <w:t>(gg) Logan (QLD)</w:t>
      </w:r>
      <w:r w:rsidRPr="00AE4E64">
        <w:rPr>
          <w:rFonts w:ascii="Open Sans" w:hAnsi="Open Sans" w:cs="Open Sans"/>
          <w:lang w:val="en-US"/>
        </w:rPr>
        <w:t xml:space="preserve">, </w:t>
      </w:r>
      <w:r w:rsidRPr="00AE4E64">
        <w:rPr>
          <w:rFonts w:ascii="Open Sans" w:hAnsi="Open Sans" w:cs="Open Sans"/>
        </w:rPr>
        <w:t>(hh) Mackay (QLD)</w:t>
      </w:r>
      <w:r w:rsidRPr="00AE4E64">
        <w:rPr>
          <w:rFonts w:ascii="Open Sans" w:hAnsi="Open Sans" w:cs="Open Sans"/>
          <w:lang w:val="en-US"/>
        </w:rPr>
        <w:t xml:space="preserve">, </w:t>
      </w:r>
      <w:r w:rsidRPr="00AE4E64">
        <w:rPr>
          <w:rFonts w:ascii="Open Sans" w:hAnsi="Open Sans" w:cs="Open Sans"/>
        </w:rPr>
        <w:t>(ii) Rockhampton (QLD)</w:t>
      </w:r>
      <w:r w:rsidRPr="00AE4E64">
        <w:rPr>
          <w:rFonts w:ascii="Open Sans" w:hAnsi="Open Sans" w:cs="Open Sans"/>
          <w:lang w:val="en-US"/>
        </w:rPr>
        <w:t xml:space="preserve">, </w:t>
      </w:r>
      <w:r w:rsidRPr="00AE4E64">
        <w:rPr>
          <w:rFonts w:ascii="Open Sans" w:hAnsi="Open Sans" w:cs="Open Sans"/>
        </w:rPr>
        <w:t>(jj) Toowoomba (QLD)</w:t>
      </w:r>
      <w:r w:rsidRPr="00AE4E64">
        <w:rPr>
          <w:rFonts w:ascii="Open Sans" w:hAnsi="Open Sans" w:cs="Open Sans"/>
          <w:lang w:val="en-US"/>
        </w:rPr>
        <w:t xml:space="preserve">, </w:t>
      </w:r>
      <w:r w:rsidRPr="00AE4E64">
        <w:rPr>
          <w:rFonts w:ascii="Open Sans" w:hAnsi="Open Sans" w:cs="Open Sans"/>
        </w:rPr>
        <w:t>(kk) Townsville (QLD), (ll) Greater Shepparton (VIC)</w:t>
      </w:r>
      <w:r w:rsidRPr="00AE4E64">
        <w:rPr>
          <w:rFonts w:ascii="Open Sans" w:hAnsi="Open Sans" w:cs="Open Sans"/>
          <w:lang w:val="en-US"/>
        </w:rPr>
        <w:t xml:space="preserve">, </w:t>
      </w:r>
      <w:r w:rsidRPr="00AE4E64">
        <w:rPr>
          <w:rFonts w:ascii="Open Sans" w:hAnsi="Open Sans" w:cs="Open Sans"/>
        </w:rPr>
        <w:t>(mm) Hume (VIC)</w:t>
      </w:r>
      <w:r w:rsidRPr="00AE4E64">
        <w:rPr>
          <w:rFonts w:ascii="Open Sans" w:hAnsi="Open Sans" w:cs="Open Sans"/>
          <w:lang w:val="en-US"/>
        </w:rPr>
        <w:t xml:space="preserve">, </w:t>
      </w:r>
      <w:r w:rsidRPr="00AE4E64">
        <w:rPr>
          <w:rFonts w:ascii="Open Sans" w:hAnsi="Open Sans" w:cs="Open Sans"/>
        </w:rPr>
        <w:t>(nn) Mildura (VIC)</w:t>
      </w:r>
      <w:r w:rsidRPr="00AE4E64">
        <w:rPr>
          <w:rFonts w:ascii="Open Sans" w:hAnsi="Open Sans" w:cs="Open Sans"/>
          <w:lang w:val="en-US"/>
        </w:rPr>
        <w:t xml:space="preserve">, </w:t>
      </w:r>
      <w:r w:rsidRPr="00AE4E64">
        <w:rPr>
          <w:rFonts w:ascii="Open Sans" w:hAnsi="Open Sans" w:cs="Open Sans"/>
        </w:rPr>
        <w:t>(oo) Ashfield (NSW)</w:t>
      </w:r>
      <w:r w:rsidRPr="00AE4E64">
        <w:rPr>
          <w:rFonts w:ascii="Open Sans" w:hAnsi="Open Sans" w:cs="Open Sans"/>
          <w:lang w:val="en-US"/>
        </w:rPr>
        <w:t xml:space="preserve">, </w:t>
      </w:r>
      <w:r w:rsidRPr="00AE4E64">
        <w:rPr>
          <w:rFonts w:ascii="Open Sans" w:hAnsi="Open Sans" w:cs="Open Sans"/>
        </w:rPr>
        <w:t>(pp) Ballina (NSW)</w:t>
      </w:r>
      <w:r w:rsidRPr="00AE4E64">
        <w:rPr>
          <w:rFonts w:ascii="Open Sans" w:hAnsi="Open Sans" w:cs="Open Sans"/>
          <w:lang w:val="en-US"/>
        </w:rPr>
        <w:t xml:space="preserve">, </w:t>
      </w:r>
      <w:r w:rsidRPr="00AE4E64">
        <w:rPr>
          <w:rFonts w:ascii="Open Sans" w:hAnsi="Open Sans" w:cs="Open Sans"/>
        </w:rPr>
        <w:t>(qq) Bankstown (NSW)</w:t>
      </w:r>
      <w:r w:rsidRPr="00AE4E64">
        <w:rPr>
          <w:rFonts w:ascii="Open Sans" w:hAnsi="Open Sans" w:cs="Open Sans"/>
          <w:lang w:val="en-US"/>
        </w:rPr>
        <w:t xml:space="preserve">, </w:t>
      </w:r>
      <w:r w:rsidRPr="00AE4E64">
        <w:rPr>
          <w:rFonts w:ascii="Open Sans" w:hAnsi="Open Sans" w:cs="Open Sans"/>
        </w:rPr>
        <w:t>(rr) Bellingen (NSW)</w:t>
      </w:r>
      <w:r w:rsidRPr="00AE4E64">
        <w:rPr>
          <w:rFonts w:ascii="Open Sans" w:hAnsi="Open Sans" w:cs="Open Sans"/>
          <w:lang w:val="en-US"/>
        </w:rPr>
        <w:t xml:space="preserve">, </w:t>
      </w:r>
      <w:r w:rsidRPr="00AE4E64">
        <w:rPr>
          <w:rFonts w:ascii="Open Sans" w:hAnsi="Open Sans" w:cs="Open Sans"/>
        </w:rPr>
        <w:t xml:space="preserve">(ss) Byron (NSW) </w:t>
      </w:r>
      <w:r w:rsidRPr="00AE4E64">
        <w:rPr>
          <w:rFonts w:ascii="Open Sans" w:hAnsi="Open Sans" w:cs="Open Sans"/>
          <w:lang w:val="en-US"/>
        </w:rPr>
        <w:t xml:space="preserve">, </w:t>
      </w:r>
      <w:r w:rsidRPr="00AE4E64">
        <w:rPr>
          <w:rFonts w:ascii="Open Sans" w:hAnsi="Open Sans" w:cs="Open Sans"/>
        </w:rPr>
        <w:t>(tt) Clarence Valley (NSW)</w:t>
      </w:r>
      <w:r w:rsidRPr="00AE4E64">
        <w:rPr>
          <w:rFonts w:ascii="Open Sans" w:hAnsi="Open Sans" w:cs="Open Sans"/>
          <w:lang w:val="en-US"/>
        </w:rPr>
        <w:t xml:space="preserve">, </w:t>
      </w:r>
      <w:r w:rsidRPr="00AE4E64">
        <w:rPr>
          <w:rFonts w:ascii="Open Sans" w:hAnsi="Open Sans" w:cs="Open Sans"/>
        </w:rPr>
        <w:t>(uu) Coffs Harbour (NSW)</w:t>
      </w:r>
      <w:r w:rsidRPr="00AE4E64">
        <w:rPr>
          <w:rFonts w:ascii="Open Sans" w:hAnsi="Open Sans" w:cs="Open Sans"/>
          <w:lang w:val="en-US"/>
        </w:rPr>
        <w:t xml:space="preserve">, </w:t>
      </w:r>
      <w:r w:rsidRPr="00AE4E64">
        <w:rPr>
          <w:rFonts w:ascii="Open Sans" w:hAnsi="Open Sans" w:cs="Open Sans"/>
        </w:rPr>
        <w:t>(vv) Dubbo (NSW)</w:t>
      </w:r>
      <w:r w:rsidRPr="00AE4E64">
        <w:rPr>
          <w:rFonts w:ascii="Open Sans" w:hAnsi="Open Sans" w:cs="Open Sans"/>
          <w:lang w:val="en-US"/>
        </w:rPr>
        <w:t xml:space="preserve">, </w:t>
      </w:r>
      <w:r w:rsidRPr="00AE4E64">
        <w:rPr>
          <w:rFonts w:ascii="Open Sans" w:hAnsi="Open Sans" w:cs="Open Sans"/>
        </w:rPr>
        <w:t>(ww) Gloucester (NSW)</w:t>
      </w:r>
      <w:r w:rsidRPr="00AE4E64">
        <w:rPr>
          <w:rFonts w:ascii="Open Sans" w:hAnsi="Open Sans" w:cs="Open Sans"/>
          <w:lang w:val="en-US"/>
        </w:rPr>
        <w:t xml:space="preserve">, </w:t>
      </w:r>
      <w:r w:rsidRPr="00AE4E64">
        <w:rPr>
          <w:rFonts w:ascii="Open Sans" w:hAnsi="Open Sans" w:cs="Open Sans"/>
        </w:rPr>
        <w:t>(xx) Great Lakes (NSW)</w:t>
      </w:r>
      <w:r w:rsidRPr="00AE4E64">
        <w:rPr>
          <w:rFonts w:ascii="Open Sans" w:hAnsi="Open Sans" w:cs="Open Sans"/>
          <w:lang w:val="en-US"/>
        </w:rPr>
        <w:t xml:space="preserve">, </w:t>
      </w:r>
      <w:r w:rsidRPr="00AE4E64">
        <w:rPr>
          <w:rFonts w:ascii="Open Sans" w:hAnsi="Open Sans" w:cs="Open Sans"/>
        </w:rPr>
        <w:t>(yy) Greater Taree (NSW)</w:t>
      </w:r>
      <w:r w:rsidRPr="00AE4E64">
        <w:rPr>
          <w:rFonts w:ascii="Open Sans" w:hAnsi="Open Sans" w:cs="Open Sans"/>
          <w:lang w:val="en-US"/>
        </w:rPr>
        <w:t xml:space="preserve">, </w:t>
      </w:r>
      <w:r w:rsidRPr="00AE4E64">
        <w:rPr>
          <w:rFonts w:ascii="Open Sans" w:hAnsi="Open Sans" w:cs="Open Sans"/>
        </w:rPr>
        <w:t>(zz) Kempsey (NSW)</w:t>
      </w:r>
      <w:r w:rsidRPr="00AE4E64">
        <w:rPr>
          <w:rFonts w:ascii="Open Sans" w:hAnsi="Open Sans" w:cs="Open Sans"/>
          <w:lang w:val="en-US"/>
        </w:rPr>
        <w:t xml:space="preserve">, </w:t>
      </w:r>
      <w:r w:rsidRPr="00AE4E64">
        <w:rPr>
          <w:rFonts w:ascii="Open Sans" w:hAnsi="Open Sans" w:cs="Open Sans"/>
        </w:rPr>
        <w:t>(aaa) Kyogle (NSW)</w:t>
      </w:r>
      <w:r w:rsidRPr="00AE4E64">
        <w:rPr>
          <w:rFonts w:ascii="Open Sans" w:hAnsi="Open Sans" w:cs="Open Sans"/>
          <w:lang w:val="en-US"/>
        </w:rPr>
        <w:t xml:space="preserve">, </w:t>
      </w:r>
      <w:r w:rsidRPr="00AE4E64">
        <w:rPr>
          <w:rFonts w:ascii="Open Sans" w:hAnsi="Open Sans" w:cs="Open Sans"/>
        </w:rPr>
        <w:t>(bbb) Leichhardt (NSW)</w:t>
      </w:r>
      <w:r w:rsidRPr="00AE4E64">
        <w:rPr>
          <w:rFonts w:ascii="Open Sans" w:hAnsi="Open Sans" w:cs="Open Sans"/>
          <w:lang w:val="en-US"/>
        </w:rPr>
        <w:t xml:space="preserve">, </w:t>
      </w:r>
      <w:r w:rsidRPr="00AE4E64">
        <w:rPr>
          <w:rFonts w:ascii="Open Sans" w:hAnsi="Open Sans" w:cs="Open Sans"/>
        </w:rPr>
        <w:t>(ccc) Lismore (NSW)</w:t>
      </w:r>
      <w:r w:rsidRPr="00AE4E64">
        <w:rPr>
          <w:rFonts w:ascii="Open Sans" w:hAnsi="Open Sans" w:cs="Open Sans"/>
          <w:lang w:val="en-US"/>
        </w:rPr>
        <w:t xml:space="preserve">, </w:t>
      </w:r>
      <w:r w:rsidRPr="00AE4E64">
        <w:rPr>
          <w:rFonts w:ascii="Open Sans" w:hAnsi="Open Sans" w:cs="Open Sans"/>
        </w:rPr>
        <w:t>(ddd) Marrickville (NSW)</w:t>
      </w:r>
      <w:r w:rsidRPr="00AE4E64">
        <w:rPr>
          <w:rFonts w:ascii="Open Sans" w:hAnsi="Open Sans" w:cs="Open Sans"/>
          <w:lang w:val="en-US"/>
        </w:rPr>
        <w:t xml:space="preserve">, </w:t>
      </w:r>
      <w:r w:rsidRPr="00AE4E64">
        <w:rPr>
          <w:rFonts w:ascii="Open Sans" w:hAnsi="Open Sans" w:cs="Open Sans"/>
        </w:rPr>
        <w:t>(eee) Nambucca (NSW)</w:t>
      </w:r>
      <w:r w:rsidRPr="00AE4E64">
        <w:rPr>
          <w:rFonts w:ascii="Open Sans" w:hAnsi="Open Sans" w:cs="Open Sans"/>
          <w:lang w:val="en-US"/>
        </w:rPr>
        <w:t xml:space="preserve">, </w:t>
      </w:r>
      <w:r w:rsidRPr="00AE4E64">
        <w:rPr>
          <w:rFonts w:ascii="Open Sans" w:hAnsi="Open Sans" w:cs="Open Sans"/>
        </w:rPr>
        <w:t>(fff) Orange (NSW)</w:t>
      </w:r>
      <w:r w:rsidRPr="00AE4E64">
        <w:rPr>
          <w:rFonts w:ascii="Open Sans" w:hAnsi="Open Sans" w:cs="Open Sans"/>
          <w:lang w:val="en-US"/>
        </w:rPr>
        <w:t xml:space="preserve">, </w:t>
      </w:r>
      <w:r w:rsidRPr="00AE4E64">
        <w:rPr>
          <w:rFonts w:ascii="Open Sans" w:hAnsi="Open Sans" w:cs="Open Sans"/>
        </w:rPr>
        <w:t>(ggg) Port Macquarie (NSW)</w:t>
      </w:r>
      <w:r w:rsidRPr="00AE4E64">
        <w:rPr>
          <w:rFonts w:ascii="Open Sans" w:hAnsi="Open Sans" w:cs="Open Sans"/>
          <w:lang w:val="en-US"/>
        </w:rPr>
        <w:t xml:space="preserve">, </w:t>
      </w:r>
      <w:r w:rsidRPr="00AE4E64">
        <w:rPr>
          <w:rFonts w:ascii="Open Sans" w:hAnsi="Open Sans" w:cs="Open Sans"/>
        </w:rPr>
        <w:t>(hhh) Randwick (NSW)</w:t>
      </w:r>
      <w:r w:rsidRPr="00AE4E64">
        <w:rPr>
          <w:rFonts w:ascii="Open Sans" w:hAnsi="Open Sans" w:cs="Open Sans"/>
          <w:lang w:val="en-US"/>
        </w:rPr>
        <w:t xml:space="preserve">, </w:t>
      </w:r>
      <w:r w:rsidRPr="00AE4E64">
        <w:rPr>
          <w:rFonts w:ascii="Open Sans" w:hAnsi="Open Sans" w:cs="Open Sans"/>
        </w:rPr>
        <w:t>(iii) Richmond Valley (NSW)</w:t>
      </w:r>
      <w:r w:rsidRPr="00AE4E64">
        <w:rPr>
          <w:rFonts w:ascii="Open Sans" w:hAnsi="Open Sans" w:cs="Open Sans"/>
          <w:lang w:val="en-US"/>
        </w:rPr>
        <w:t xml:space="preserve">, </w:t>
      </w:r>
      <w:r w:rsidRPr="00AE4E64">
        <w:rPr>
          <w:rFonts w:ascii="Open Sans" w:hAnsi="Open Sans" w:cs="Open Sans"/>
        </w:rPr>
        <w:t>(jjj) Shellharbour (NSW)</w:t>
      </w:r>
      <w:r w:rsidRPr="00AE4E64">
        <w:rPr>
          <w:rFonts w:ascii="Open Sans" w:hAnsi="Open Sans" w:cs="Open Sans"/>
          <w:lang w:val="en-US"/>
        </w:rPr>
        <w:t xml:space="preserve">, </w:t>
      </w:r>
      <w:r w:rsidRPr="00AE4E64">
        <w:rPr>
          <w:rFonts w:ascii="Open Sans" w:hAnsi="Open Sans" w:cs="Open Sans"/>
        </w:rPr>
        <w:t>(kkk) Sydney (NSW)</w:t>
      </w:r>
      <w:r w:rsidRPr="00AE4E64">
        <w:rPr>
          <w:rFonts w:ascii="Open Sans" w:hAnsi="Open Sans" w:cs="Open Sans"/>
          <w:lang w:val="en-US"/>
        </w:rPr>
        <w:t xml:space="preserve">, </w:t>
      </w:r>
      <w:r w:rsidRPr="00AE4E64">
        <w:rPr>
          <w:rFonts w:ascii="Open Sans" w:hAnsi="Open Sans" w:cs="Open Sans"/>
        </w:rPr>
        <w:t>(lll) Wellington (NSW), (mmm) Tamworth (NSW)</w:t>
      </w:r>
      <w:r w:rsidRPr="00AE4E64">
        <w:rPr>
          <w:rFonts w:ascii="Open Sans" w:hAnsi="Open Sans" w:cs="Open Sans"/>
          <w:lang w:val="en-US"/>
        </w:rPr>
        <w:t xml:space="preserve">, </w:t>
      </w:r>
      <w:r w:rsidRPr="00AE4E64">
        <w:rPr>
          <w:rFonts w:ascii="Open Sans" w:hAnsi="Open Sans" w:cs="Open Sans"/>
        </w:rPr>
        <w:t>(nnn) Tweed (NSW)</w:t>
      </w:r>
      <w:r w:rsidRPr="00AE4E64">
        <w:rPr>
          <w:rFonts w:ascii="Open Sans" w:hAnsi="Open Sans" w:cs="Open Sans"/>
          <w:lang w:val="en-US"/>
        </w:rPr>
        <w:t xml:space="preserve">, </w:t>
      </w:r>
      <w:r w:rsidRPr="00AE4E64">
        <w:rPr>
          <w:rFonts w:ascii="Open Sans" w:hAnsi="Open Sans" w:cs="Open Sans"/>
        </w:rPr>
        <w:t>(ooo) Wyong (NSW)</w:t>
      </w:r>
      <w:r w:rsidRPr="00AE4E64">
        <w:rPr>
          <w:rFonts w:ascii="Open Sans" w:hAnsi="Open Sans" w:cs="Open Sans"/>
          <w:lang w:val="en-US"/>
        </w:rPr>
        <w:t>. The ParentsNext program groups these 67 local government areas into 30 broader locations.</w:t>
      </w:r>
    </w:p>
  </w:endnote>
  <w:endnote w:id="17">
    <w:p w14:paraId="1409C733" w14:textId="245C446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s 6.</w:t>
      </w:r>
    </w:p>
  </w:endnote>
  <w:endnote w:id="18">
    <w:p w14:paraId="40C9BFFD" w14:textId="326D6F9B"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s 7.</w:t>
      </w:r>
    </w:p>
  </w:endnote>
  <w:endnote w:id="19">
    <w:p w14:paraId="257A42F7" w14:textId="00D7E10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Jobs and Small Business, </w:t>
      </w:r>
      <w:r w:rsidRPr="00AE4E64">
        <w:rPr>
          <w:rFonts w:ascii="Open Sans" w:hAnsi="Open Sans" w:cs="Open Sans"/>
          <w:i/>
        </w:rPr>
        <w:t xml:space="preserve">2017-18 Budget—Employment Overview </w:t>
      </w:r>
      <w:r w:rsidRPr="00AE4E64">
        <w:rPr>
          <w:rFonts w:ascii="Open Sans" w:hAnsi="Open Sans" w:cs="Open Sans"/>
        </w:rPr>
        <w:t>(29 October 2018) &lt;</w:t>
      </w:r>
      <w:hyperlink r:id="rId7" w:history="1">
        <w:r w:rsidRPr="00AE4E64">
          <w:rPr>
            <w:rStyle w:val="Hyperlink"/>
            <w:rFonts w:cs="Open Sans"/>
            <w:color w:val="auto"/>
            <w:u w:val="none"/>
          </w:rPr>
          <w:t>https://www.jobs.gov.au/2017-18-budget-employment-overview</w:t>
        </w:r>
      </w:hyperlink>
      <w:r w:rsidRPr="00AE4E64">
        <w:rPr>
          <w:rStyle w:val="Hyperlink"/>
          <w:rFonts w:cs="Open Sans"/>
          <w:color w:val="auto"/>
          <w:u w:val="none"/>
        </w:rPr>
        <w:t>&gt;.</w:t>
      </w:r>
    </w:p>
  </w:endnote>
  <w:endnote w:id="20">
    <w:p w14:paraId="5E67BFBE" w14:textId="6778881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Employment, ‘ParentsNext National Expansion’ (Discussion Paper, 12 September 2017) 13 [4.5.1].</w:t>
      </w:r>
    </w:p>
  </w:endnote>
  <w:endnote w:id="21">
    <w:p w14:paraId="4D33B6D6" w14:textId="52F4EA4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Employment, ‘ParentsNext National Expansion’ (Discussion Paper, 12 September 2017) 13 [4.5.2].</w:t>
      </w:r>
    </w:p>
  </w:endnote>
  <w:endnote w:id="22">
    <w:p w14:paraId="53FA0F46" w14:textId="023C7991"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Employment, ‘ParentsNext National Expansion’ (Discussion Paper, 12 September 2017) 13 [4.5.1]–[4.5.2].</w:t>
      </w:r>
    </w:p>
  </w:endnote>
  <w:endnote w:id="23">
    <w:p w14:paraId="3B28E0F9" w14:textId="36278324" w:rsidR="00D705F6" w:rsidRPr="00AE4E64" w:rsidRDefault="00D705F6" w:rsidP="0062797B">
      <w:pPr>
        <w:pStyle w:val="EndnoteText"/>
        <w:ind w:hanging="284"/>
        <w:rPr>
          <w:rFonts w:ascii="Open Sans" w:hAnsi="Open Sans" w:cs="Open Sans"/>
          <w:b/>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The full list of relevant reimbursement categories for the Participation Fund for the Intensive Stream are: Work Experience, Work Related Expenses, Professional Services, Job-Related Mentoring, Non-Vocational Training, Non-Accredited Training, Participant Support, Child Care Costs, Accredited Training and Accredited Interpreter Services. See</w:t>
      </w:r>
      <w:r w:rsidRPr="00AE4E64">
        <w:rPr>
          <w:rFonts w:ascii="Open Sans" w:hAnsi="Open Sans" w:cs="Open Sans"/>
          <w:b/>
        </w:rPr>
        <w:t xml:space="preserve"> </w:t>
      </w:r>
      <w:r w:rsidRPr="00AE4E64">
        <w:rPr>
          <w:rFonts w:ascii="Open Sans" w:hAnsi="Open Sans" w:cs="Open Sans"/>
        </w:rPr>
        <w:t>Department of Jobs and Small Business, ‘Participation Fund Guideline (Intensive Stream Only)’ (ParentsNext Guideline, 25 June 2018) &lt;</w:t>
      </w:r>
      <w:hyperlink r:id="rId8" w:history="1">
        <w:r w:rsidRPr="00AE4E64">
          <w:rPr>
            <w:rStyle w:val="Hyperlink"/>
            <w:rFonts w:cs="Open Sans"/>
            <w:color w:val="auto"/>
            <w:u w:val="none"/>
          </w:rPr>
          <w:t>https://docs.jobs.gov.au/system/files/doc/other/participation_fund.docx</w:t>
        </w:r>
      </w:hyperlink>
      <w:r w:rsidRPr="00AE4E64">
        <w:rPr>
          <w:rStyle w:val="Hyperlink"/>
          <w:rFonts w:cs="Open Sans"/>
          <w:color w:val="auto"/>
          <w:u w:val="none"/>
        </w:rPr>
        <w:t>&gt;.</w:t>
      </w:r>
    </w:p>
  </w:endnote>
  <w:endnote w:id="24">
    <w:p w14:paraId="2A4B838E" w14:textId="03D59D1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‘Participation Fund Guideline (Intensive Stream Only)’ (ParentsNext Guideline, 25 June 2018) &lt;</w:t>
      </w:r>
      <w:hyperlink r:id="rId9" w:history="1">
        <w:r w:rsidRPr="00AE4E64">
          <w:rPr>
            <w:rStyle w:val="Hyperlink"/>
            <w:rFonts w:cs="Open Sans"/>
            <w:color w:val="auto"/>
            <w:u w:val="none"/>
          </w:rPr>
          <w:t>https://docs.jobs.gov.au/system/files/doc/other/participation_fund.docx</w:t>
        </w:r>
      </w:hyperlink>
      <w:r w:rsidRPr="00AE4E64">
        <w:rPr>
          <w:rStyle w:val="Hyperlink"/>
          <w:rFonts w:cs="Open Sans"/>
          <w:color w:val="auto"/>
          <w:u w:val="none"/>
        </w:rPr>
        <w:t>&gt;.</w:t>
      </w:r>
    </w:p>
  </w:endnote>
  <w:endnote w:id="25">
    <w:p w14:paraId="2E02A2EC" w14:textId="46C4540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 xml:space="preserve">(Cth); </w:t>
      </w:r>
      <w:r w:rsidRPr="00AE4E64">
        <w:rPr>
          <w:rFonts w:ascii="Open Sans" w:hAnsi="Open Sans" w:cs="Open Sans"/>
          <w:i/>
        </w:rPr>
        <w:t>Social Security Act 1991</w:t>
      </w:r>
      <w:r w:rsidRPr="00AE4E64">
        <w:rPr>
          <w:rFonts w:ascii="Open Sans" w:hAnsi="Open Sans" w:cs="Open Sans"/>
        </w:rPr>
        <w:t xml:space="preserve"> (Cth) ss 500, 500A, 501, 502; </w:t>
      </w:r>
      <w:r w:rsidRPr="00AE4E64">
        <w:rPr>
          <w:rFonts w:ascii="Open Sans" w:hAnsi="Open Sans" w:cs="Open Sans"/>
          <w:i/>
        </w:rPr>
        <w:t>Social Security (Administration) Act 1999</w:t>
      </w:r>
      <w:r w:rsidRPr="00AE4E64">
        <w:rPr>
          <w:rFonts w:ascii="Open Sans" w:hAnsi="Open Sans" w:cs="Open Sans"/>
        </w:rPr>
        <w:t xml:space="preserve"> (Cth) Pt 3, Div 3A.</w:t>
      </w:r>
    </w:p>
  </w:endnote>
  <w:endnote w:id="26">
    <w:p w14:paraId="6031EBDE" w14:textId="03C6F4FC"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Jobs and Small Business, </w:t>
      </w:r>
      <w:r w:rsidRPr="00AE4E64">
        <w:rPr>
          <w:rFonts w:ascii="Open Sans" w:hAnsi="Open Sans" w:cs="Open Sans"/>
          <w:i/>
        </w:rPr>
        <w:t xml:space="preserve">FAQ: Targeted job seeker compliance framework </w:t>
      </w:r>
      <w:r w:rsidRPr="00AE4E64">
        <w:rPr>
          <w:rFonts w:ascii="Open Sans" w:hAnsi="Open Sans" w:cs="Open Sans"/>
        </w:rPr>
        <w:t>(13 August 2018) &lt;</w:t>
      </w:r>
      <w:hyperlink r:id="rId10" w:history="1">
        <w:r w:rsidRPr="00AE4E64">
          <w:rPr>
            <w:rStyle w:val="Hyperlink"/>
            <w:rFonts w:cs="Open Sans"/>
            <w:color w:val="auto"/>
            <w:u w:val="none"/>
          </w:rPr>
          <w:t>https://www.jobs.gov.au/newsroom/faq-targeted-job-seeker-compliance-framework</w:t>
        </w:r>
      </w:hyperlink>
      <w:r w:rsidRPr="00AE4E64">
        <w:rPr>
          <w:rStyle w:val="Hyperlink"/>
          <w:rFonts w:cs="Open Sans"/>
          <w:color w:val="auto"/>
          <w:u w:val="none"/>
        </w:rPr>
        <w:t>&gt;; Department of Jobs and Small Business, ‘Appointments and Activities Guideline’ (ParentsNext Guideline, 25 June 2018) &lt;</w:t>
      </w:r>
      <w:hyperlink r:id="rId11" w:history="1">
        <w:r w:rsidRPr="00AE4E64">
          <w:rPr>
            <w:rStyle w:val="Hyperlink"/>
            <w:rFonts w:cs="Open Sans"/>
            <w:color w:val="auto"/>
            <w:u w:val="none"/>
          </w:rPr>
          <w:t>https://docs.jobs.gov.au/documents/appointments-and-activities-guideline</w:t>
        </w:r>
      </w:hyperlink>
      <w:r w:rsidRPr="00AE4E64">
        <w:rPr>
          <w:rStyle w:val="Hyperlink"/>
          <w:rFonts w:cs="Open Sans"/>
          <w:color w:val="auto"/>
          <w:u w:val="none"/>
        </w:rPr>
        <w:t>&gt;.</w:t>
      </w:r>
    </w:p>
  </w:endnote>
  <w:endnote w:id="27">
    <w:p w14:paraId="24844395" w14:textId="6EC77074" w:rsidR="00D705F6" w:rsidRPr="00AE4E64" w:rsidRDefault="00D705F6" w:rsidP="0062797B">
      <w:pPr>
        <w:ind w:left="142" w:hanging="284"/>
        <w:rPr>
          <w:rFonts w:ascii="Open Sans" w:hAnsi="Open Sans" w:cs="Open Sans"/>
          <w:sz w:val="20"/>
          <w:szCs w:val="20"/>
        </w:rPr>
      </w:pPr>
      <w:r w:rsidRPr="00AE4E64">
        <w:rPr>
          <w:rStyle w:val="EndnoteReference"/>
          <w:rFonts w:cs="Open Sans"/>
          <w:szCs w:val="20"/>
        </w:rPr>
        <w:endnoteRef/>
      </w:r>
      <w:r w:rsidRPr="00AE4E64">
        <w:rPr>
          <w:rFonts w:ascii="Open Sans" w:hAnsi="Open Sans" w:cs="Open Sans"/>
          <w:sz w:val="20"/>
          <w:szCs w:val="20"/>
        </w:rPr>
        <w:t xml:space="preserve"> </w:t>
      </w:r>
      <w:r w:rsidRPr="00AE4E64">
        <w:rPr>
          <w:rStyle w:val="EndnoteReference"/>
          <w:rFonts w:cs="Open Sans"/>
          <w:vertAlign w:val="baseline"/>
        </w:rPr>
        <w:tab/>
      </w:r>
      <w:r w:rsidRPr="00AE4E64">
        <w:rPr>
          <w:rFonts w:ascii="Open Sans" w:hAnsi="Open Sans" w:cs="Open Sans"/>
          <w:sz w:val="20"/>
          <w:szCs w:val="20"/>
        </w:rPr>
        <w:t>Department of Jobs and Small Business, ‘Guideline: Targeted Compliance Framework’ (ParentsNext Guideline, 16 July 2018) &lt;</w:t>
      </w:r>
      <w:hyperlink r:id="rId12" w:history="1">
        <w:r w:rsidRPr="00AE4E64">
          <w:rPr>
            <w:rStyle w:val="Hyperlink"/>
            <w:rFonts w:cs="Open Sans"/>
            <w:color w:val="auto"/>
            <w:sz w:val="20"/>
            <w:szCs w:val="20"/>
            <w:u w:val="none"/>
          </w:rPr>
          <w:t>https://docs.jobs.gov.au/system/files/doc/other/targeted_compliance_framework.pdf</w:t>
        </w:r>
      </w:hyperlink>
      <w:r w:rsidRPr="00AE4E64">
        <w:rPr>
          <w:rStyle w:val="Hyperlink"/>
          <w:rFonts w:cs="Open Sans"/>
          <w:color w:val="auto"/>
          <w:sz w:val="20"/>
          <w:szCs w:val="20"/>
          <w:u w:val="none"/>
        </w:rPr>
        <w:t>&gt;.</w:t>
      </w:r>
    </w:p>
  </w:endnote>
  <w:endnote w:id="28">
    <w:p w14:paraId="1101DC62" w14:textId="60B8B2AC"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Style w:val="Hyperlink"/>
          <w:rFonts w:cs="Open Sans"/>
          <w:color w:val="auto"/>
          <w:u w:val="none"/>
        </w:rPr>
        <w:t>Department of Jobs and Small Business, ‘Appointments and Activities Guideline’ (ParentsNext Guideline, 25 June 2018) &lt;</w:t>
      </w:r>
      <w:hyperlink r:id="rId13" w:history="1">
        <w:r w:rsidRPr="00AE4E64">
          <w:rPr>
            <w:rStyle w:val="Hyperlink"/>
            <w:rFonts w:cs="Open Sans"/>
            <w:color w:val="auto"/>
            <w:u w:val="none"/>
          </w:rPr>
          <w:t>https://docs.jobs.gov.au/documents/appointments-and-activities-guideline</w:t>
        </w:r>
      </w:hyperlink>
      <w:r w:rsidRPr="00AE4E64">
        <w:rPr>
          <w:rStyle w:val="Hyperlink"/>
          <w:rFonts w:cs="Open Sans"/>
          <w:color w:val="auto"/>
          <w:u w:val="none"/>
        </w:rPr>
        <w:t>&gt;.</w:t>
      </w:r>
    </w:p>
  </w:endnote>
  <w:endnote w:id="29">
    <w:p w14:paraId="0F7053A7" w14:textId="33B26C2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Style w:val="Hyperlink"/>
          <w:rFonts w:cs="Open Sans"/>
          <w:color w:val="auto"/>
          <w:u w:val="none"/>
        </w:rPr>
        <w:t>Department of Jobs and Small Business, ‘Appointments and Activities Guideline’ (ParentsNext Guideline, 25 June 2018) &lt;</w:t>
      </w:r>
      <w:hyperlink r:id="rId14" w:history="1">
        <w:r w:rsidRPr="00AE4E64">
          <w:rPr>
            <w:rStyle w:val="Hyperlink"/>
            <w:rFonts w:cs="Open Sans"/>
            <w:color w:val="auto"/>
            <w:u w:val="none"/>
          </w:rPr>
          <w:t>https://docs.jobs.gov.au/documents/appointments-and-activities-guideline</w:t>
        </w:r>
      </w:hyperlink>
      <w:r w:rsidRPr="00AE4E64">
        <w:rPr>
          <w:rStyle w:val="Hyperlink"/>
          <w:rFonts w:cs="Open Sans"/>
          <w:color w:val="auto"/>
          <w:u w:val="none"/>
        </w:rPr>
        <w:t>&gt;.</w:t>
      </w:r>
    </w:p>
  </w:endnote>
  <w:endnote w:id="30">
    <w:p w14:paraId="0F331236" w14:textId="2903CD59"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Human Services, </w:t>
      </w:r>
      <w:r w:rsidRPr="00AE4E64">
        <w:rPr>
          <w:rFonts w:ascii="Open Sans" w:hAnsi="Open Sans" w:cs="Open Sans"/>
          <w:i/>
        </w:rPr>
        <w:t xml:space="preserve">Demerits and penalties for not meeting mutual obligation requirements </w:t>
      </w:r>
      <w:r w:rsidRPr="00AE4E64">
        <w:rPr>
          <w:rFonts w:ascii="Open Sans" w:hAnsi="Open Sans" w:cs="Open Sans"/>
        </w:rPr>
        <w:t>(9 January 2019) &lt;https://www.humanservices.gov.au/individuals/enablers/demerits-and-penalties-not-meeting-mutual-obligation-requirements/44416&gt;.</w:t>
      </w:r>
    </w:p>
  </w:endnote>
  <w:endnote w:id="31">
    <w:p w14:paraId="78EF6596" w14:textId="45E4897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Jobs and Small Business, ‘Guideline: Targeted Compliance Framework—Mutual Obligation Failures’ (JobActive and ParentsNext Guideline, 13 August 2018) 19.  </w:t>
      </w:r>
    </w:p>
  </w:endnote>
  <w:endnote w:id="32">
    <w:p w14:paraId="3D231029" w14:textId="52815A2A"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eastAsia="MS Mincho" w:hAnsi="Open Sans" w:cs="Open Sans"/>
          <w:i/>
          <w:lang w:val="en-US"/>
        </w:rPr>
        <w:t>Social Security (Administration) (Reasonable Excuse—Participation Payments) Determination 2018</w:t>
      </w:r>
      <w:r w:rsidRPr="00AE4E64">
        <w:rPr>
          <w:rFonts w:ascii="Open Sans" w:eastAsia="MS Mincho" w:hAnsi="Open Sans" w:cs="Open Sans"/>
          <w:lang w:val="en-US"/>
        </w:rPr>
        <w:t> </w:t>
      </w:r>
      <w:r w:rsidRPr="00AE4E64">
        <w:rPr>
          <w:rFonts w:ascii="Open Sans" w:hAnsi="Open Sans" w:cs="Open Sans"/>
          <w:lang w:val="en-US"/>
        </w:rPr>
        <w:t>(Cth) s 5(2).</w:t>
      </w:r>
    </w:p>
  </w:endnote>
  <w:endnote w:id="33">
    <w:p w14:paraId="4850022C" w14:textId="2089E02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Social Security Act 1991</w:t>
      </w:r>
      <w:r w:rsidRPr="00AE4E64">
        <w:rPr>
          <w:rFonts w:ascii="Open Sans" w:hAnsi="Open Sans" w:cs="Open Sans"/>
        </w:rPr>
        <w:t xml:space="preserve"> (Cth) Pt 2.10 Div 3A.</w:t>
      </w:r>
    </w:p>
  </w:endnote>
  <w:endnote w:id="34">
    <w:p w14:paraId="4070314B" w14:textId="3EAA7E4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Employment, ‘ParentsNext National Expansion’ (Discussion Paper, 12 September 2017) 19 [5.8].</w:t>
      </w:r>
    </w:p>
  </w:endnote>
  <w:endnote w:id="35">
    <w:p w14:paraId="5B9F40DA" w14:textId="0DAD224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Jobs and Small Business, </w:t>
      </w:r>
      <w:r w:rsidRPr="00AE4E64">
        <w:rPr>
          <w:rFonts w:ascii="Open Sans" w:hAnsi="Open Sans" w:cs="Open Sans"/>
          <w:i/>
        </w:rPr>
        <w:t xml:space="preserve">FAQ: Targeted job seeker compliance framework </w:t>
      </w:r>
      <w:r w:rsidRPr="00AE4E64">
        <w:rPr>
          <w:rFonts w:ascii="Open Sans" w:hAnsi="Open Sans" w:cs="Open Sans"/>
        </w:rPr>
        <w:t>(13 August 2018) &lt;</w:t>
      </w:r>
      <w:hyperlink r:id="rId15" w:history="1">
        <w:r w:rsidRPr="00AE4E64">
          <w:rPr>
            <w:rStyle w:val="Hyperlink"/>
            <w:rFonts w:cs="Open Sans"/>
            <w:color w:val="auto"/>
            <w:u w:val="none"/>
          </w:rPr>
          <w:t>https://www.jobs.gov.au/newsroom/faq-targeted-job-seeker-compliance-framework</w:t>
        </w:r>
      </w:hyperlink>
      <w:r w:rsidRPr="00AE4E64">
        <w:rPr>
          <w:rStyle w:val="Hyperlink"/>
          <w:rFonts w:cs="Open Sans"/>
          <w:color w:val="auto"/>
          <w:u w:val="none"/>
        </w:rPr>
        <w:t>&gt;.</w:t>
      </w:r>
    </w:p>
  </w:endnote>
  <w:endnote w:id="36">
    <w:p w14:paraId="2A1C1900" w14:textId="1456C406"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Covenant on Economic, Social and Cultural Rights</w:t>
      </w:r>
      <w:r w:rsidRPr="00AE4E64">
        <w:rPr>
          <w:rFonts w:ascii="Open Sans" w:hAnsi="Open Sans" w:cs="Open Sans"/>
        </w:rPr>
        <w:t>, opened for signature 16 December 1966, 993 UNTS 3 (entered into force 3 January 1976).</w:t>
      </w:r>
    </w:p>
  </w:endnote>
  <w:endnote w:id="37">
    <w:p w14:paraId="12F7DD75" w14:textId="4B3637C0"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2 [2].</w:t>
      </w:r>
    </w:p>
  </w:endnote>
  <w:endnote w:id="38">
    <w:p w14:paraId="7AF7A9FB" w14:textId="09FF090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4 [9].</w:t>
      </w:r>
    </w:p>
  </w:endnote>
  <w:endnote w:id="39">
    <w:p w14:paraId="59A92EC2" w14:textId="11299AC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Covenant on Economic, Social and Cultural Rights</w:t>
      </w:r>
      <w:r w:rsidRPr="00AE4E64">
        <w:rPr>
          <w:rFonts w:ascii="Open Sans" w:hAnsi="Open Sans" w:cs="Open Sans"/>
        </w:rPr>
        <w:t>, opened for signature 16 December 1966, 993 UNTS 3 (entered into force 3 January 1976) articles 2(1) and 2(2).</w:t>
      </w:r>
    </w:p>
  </w:endnote>
  <w:endnote w:id="40">
    <w:p w14:paraId="3F4667E2" w14:textId="453E9DC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Convention on the Elimination of All Forms of Racial Discrimination</w:t>
      </w:r>
      <w:r w:rsidRPr="00AE4E64">
        <w:rPr>
          <w:rFonts w:ascii="Open Sans" w:hAnsi="Open Sans" w:cs="Open Sans"/>
        </w:rPr>
        <w:t xml:space="preserve">, opened for signature 21 December 1965, 660 UNTS 195 (entered into force 4 January 1969) article 5(e)(iv); </w:t>
      </w:r>
      <w:r w:rsidRPr="00AE4E64">
        <w:rPr>
          <w:rFonts w:ascii="Open Sans" w:hAnsi="Open Sans" w:cs="Open Sans"/>
          <w:i/>
        </w:rPr>
        <w:t>Convention on the Elimination of All Forms of Discrimination against Women</w:t>
      </w:r>
      <w:r w:rsidRPr="00AE4E64">
        <w:rPr>
          <w:rFonts w:ascii="Open Sans" w:hAnsi="Open Sans" w:cs="Open Sans"/>
        </w:rPr>
        <w:t xml:space="preserve">, opened for signature 18 December 1979, 1249 UNTS 13 (entered into force 3 September 1981) articles 11(1)(e), 14(2)(c); </w:t>
      </w:r>
      <w:r w:rsidRPr="00AE4E64">
        <w:rPr>
          <w:rFonts w:ascii="Open Sans" w:hAnsi="Open Sans" w:cs="Open Sans"/>
          <w:i/>
        </w:rPr>
        <w:t>United Nations Declaration on the Rights of Indigenous Peoples</w:t>
      </w:r>
      <w:r w:rsidRPr="00AE4E64">
        <w:rPr>
          <w:rFonts w:ascii="Open Sans" w:hAnsi="Open Sans" w:cs="Open Sans"/>
        </w:rPr>
        <w:t>, GA Res 61/295, UN GAOR, 61</w:t>
      </w:r>
      <w:r w:rsidRPr="00AE4E64">
        <w:rPr>
          <w:rFonts w:ascii="Open Sans" w:hAnsi="Open Sans" w:cs="Open Sans"/>
          <w:vertAlign w:val="superscript"/>
        </w:rPr>
        <w:t>st</w:t>
      </w:r>
      <w:r w:rsidRPr="00AE4E64">
        <w:rPr>
          <w:rFonts w:ascii="Open Sans" w:hAnsi="Open Sans" w:cs="Open Sans"/>
        </w:rPr>
        <w:t xml:space="preserve"> sess, 107</w:t>
      </w:r>
      <w:r w:rsidRPr="00AE4E64">
        <w:rPr>
          <w:rFonts w:ascii="Open Sans" w:hAnsi="Open Sans" w:cs="Open Sans"/>
          <w:vertAlign w:val="superscript"/>
        </w:rPr>
        <w:t>th</w:t>
      </w:r>
      <w:r w:rsidRPr="00AE4E64">
        <w:rPr>
          <w:rFonts w:ascii="Open Sans" w:hAnsi="Open Sans" w:cs="Open Sans"/>
        </w:rPr>
        <w:t xml:space="preserve"> plen mtg, Supp No</w:t>
      </w:r>
      <w:r w:rsidRPr="00AE4E64">
        <w:rPr>
          <w:rFonts w:ascii="Open Sans" w:hAnsi="Open Sans" w:cs="Open Sans"/>
          <w:i/>
        </w:rPr>
        <w:t xml:space="preserve"> </w:t>
      </w:r>
      <w:r w:rsidRPr="00AE4E64">
        <w:rPr>
          <w:rFonts w:ascii="Open Sans" w:hAnsi="Open Sans" w:cs="Open Sans"/>
        </w:rPr>
        <w:t>49, UN Doc A/RES/61/295 (13 September 2007) article 21(1).</w:t>
      </w:r>
    </w:p>
  </w:endnote>
  <w:endnote w:id="41">
    <w:p w14:paraId="50714C9D" w14:textId="0070D841"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lang w:val="en-US"/>
        </w:rPr>
        <w:t>Convention on the Rights of the Child</w:t>
      </w:r>
      <w:r w:rsidRPr="00AE4E64">
        <w:rPr>
          <w:rFonts w:ascii="Open Sans" w:hAnsi="Open Sans" w:cs="Open Sans"/>
          <w:lang w:val="en-US"/>
        </w:rPr>
        <w:t xml:space="preserve">, opened for signature 20 November 1989, 1577 UNTS 3 (entered into force 2 September 1990) article 26; </w:t>
      </w:r>
      <w:r w:rsidRPr="00AE4E64">
        <w:rPr>
          <w:rFonts w:ascii="Open Sans" w:hAnsi="Open Sans" w:cs="Open Sans"/>
          <w:bCs/>
          <w:lang w:val="en-US"/>
        </w:rPr>
        <w:t xml:space="preserve">see also protection of the bests interests of the child: </w:t>
      </w:r>
      <w:r w:rsidRPr="00AE4E64">
        <w:rPr>
          <w:rFonts w:ascii="Open Sans" w:hAnsi="Open Sans" w:cs="Open Sans"/>
          <w:i/>
          <w:lang w:val="en-US"/>
        </w:rPr>
        <w:t>Convention on the Rights of the Child</w:t>
      </w:r>
      <w:r w:rsidRPr="00AE4E64">
        <w:rPr>
          <w:rFonts w:ascii="Open Sans" w:hAnsi="Open Sans" w:cs="Open Sans"/>
          <w:lang w:val="en-US"/>
        </w:rPr>
        <w:t>, opened for signature 20 November 1989, 1577 UNTS 3 (entered into force 2 September 1990) article 3(1)</w:t>
      </w:r>
      <w:r w:rsidRPr="00AE4E64">
        <w:rPr>
          <w:rFonts w:ascii="Open Sans" w:hAnsi="Open Sans" w:cs="Open Sans"/>
        </w:rPr>
        <w:t>.</w:t>
      </w:r>
    </w:p>
  </w:endnote>
  <w:endnote w:id="42">
    <w:p w14:paraId="54083F99" w14:textId="2FC946EF" w:rsidR="00D705F6" w:rsidRPr="00AE4E64" w:rsidRDefault="00D705F6" w:rsidP="00AF1C79">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i/>
          <w:lang w:val="en-US"/>
        </w:rPr>
        <w:t>Convention on the Rights of the Child</w:t>
      </w:r>
      <w:r w:rsidRPr="00AE4E64">
        <w:rPr>
          <w:rFonts w:ascii="Open Sans" w:hAnsi="Open Sans" w:cs="Open Sans"/>
          <w:lang w:val="en-US"/>
        </w:rPr>
        <w:t xml:space="preserve">, opened for signature 20 November 1989, 1577 UNTS 3 (entered into force 2 September 1990) </w:t>
      </w:r>
      <w:r w:rsidRPr="00AE4E64">
        <w:rPr>
          <w:rFonts w:ascii="Open Sans" w:hAnsi="Open Sans" w:cs="Open Sans"/>
          <w:lang w:eastAsia="en-AU"/>
        </w:rPr>
        <w:t xml:space="preserve">articles 3, 28, 24, 27, 18(1); </w:t>
      </w:r>
      <w:r w:rsidRPr="00AE4E64">
        <w:rPr>
          <w:rFonts w:ascii="Open Sans" w:hAnsi="Open Sans" w:cs="Open Sans"/>
          <w:i/>
          <w:iCs/>
          <w:lang w:eastAsia="en-AU"/>
        </w:rPr>
        <w:t xml:space="preserve">International Covenant on Economic, Social and Cultural Rights, </w:t>
      </w:r>
      <w:r w:rsidRPr="00AE4E64">
        <w:rPr>
          <w:rFonts w:ascii="Open Sans" w:hAnsi="Open Sans" w:cs="Open Sans"/>
          <w:lang w:eastAsia="en-AU"/>
        </w:rPr>
        <w:t>opened for signature 16 December 1966, 993 UNTS 3 (entered into force 3 January 1976) articles 10(1), 11, 12.</w:t>
      </w:r>
    </w:p>
  </w:endnote>
  <w:endnote w:id="43">
    <w:p w14:paraId="193D9276" w14:textId="171052EB" w:rsidR="00D705F6" w:rsidRPr="00AE4E64" w:rsidRDefault="00D705F6" w:rsidP="00AF1C79">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lang w:eastAsia="en-AU"/>
        </w:rPr>
        <w:t xml:space="preserve"> </w:t>
      </w:r>
      <w:r w:rsidRPr="00AE4E64">
        <w:rPr>
          <w:rFonts w:ascii="Open Sans" w:hAnsi="Open Sans" w:cs="Open Sans"/>
          <w:lang w:eastAsia="en-AU"/>
        </w:rPr>
        <w:tab/>
        <w:t xml:space="preserve">Committee on the Rights of the Child, </w:t>
      </w:r>
      <w:r w:rsidRPr="00AE4E64">
        <w:rPr>
          <w:rFonts w:ascii="Open Sans" w:hAnsi="Open Sans" w:cs="Open Sans"/>
          <w:i/>
          <w:iCs/>
          <w:lang w:eastAsia="en-AU"/>
        </w:rPr>
        <w:t>General Comment No 20 (2016) on the implementation of the rights of the child during adolescence</w:t>
      </w:r>
      <w:r w:rsidRPr="00AE4E64">
        <w:rPr>
          <w:rFonts w:ascii="Open Sans" w:hAnsi="Open Sans" w:cs="Open Sans"/>
          <w:lang w:eastAsia="en-AU"/>
        </w:rPr>
        <w:t>, UN Doc CRC/C/GC/20 (6 December 2016) 15 [55].</w:t>
      </w:r>
    </w:p>
  </w:endnote>
  <w:endnote w:id="44">
    <w:p w14:paraId="0696C4A5" w14:textId="38841A3E" w:rsidR="00D705F6" w:rsidRPr="00AE4E64" w:rsidRDefault="00D705F6" w:rsidP="00AA6A81">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t xml:space="preserve">See for example, </w:t>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 [1], 9 [28]; see also David Kinley Ben Saul and Jacqueline Mowbray, </w:t>
      </w:r>
      <w:r w:rsidRPr="00AE4E64">
        <w:rPr>
          <w:rFonts w:ascii="Open Sans" w:hAnsi="Open Sans" w:cs="Open Sans"/>
          <w:i/>
        </w:rPr>
        <w:t>The International Covenant on Economic, Social and Cultural Rights: Commentary, Cases and Materials</w:t>
      </w:r>
      <w:r w:rsidRPr="00AE4E64">
        <w:rPr>
          <w:rFonts w:ascii="Open Sans" w:hAnsi="Open Sans" w:cs="Open Sans"/>
        </w:rPr>
        <w:t xml:space="preserve"> (Oxford University Press, 1</w:t>
      </w:r>
      <w:r w:rsidRPr="00AE4E64">
        <w:rPr>
          <w:rFonts w:ascii="Open Sans" w:hAnsi="Open Sans" w:cs="Open Sans"/>
          <w:vertAlign w:val="superscript"/>
        </w:rPr>
        <w:t>st</w:t>
      </w:r>
      <w:r w:rsidRPr="00AE4E64">
        <w:rPr>
          <w:rFonts w:ascii="Open Sans" w:hAnsi="Open Sans" w:cs="Open Sans"/>
        </w:rPr>
        <w:t xml:space="preserve"> ed, 2014) 611.</w:t>
      </w:r>
    </w:p>
  </w:endnote>
  <w:endnote w:id="45">
    <w:p w14:paraId="043D332F" w14:textId="1613CB3C"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2 [3].</w:t>
      </w:r>
    </w:p>
  </w:endnote>
  <w:endnote w:id="46">
    <w:p w14:paraId="3AE14FE4" w14:textId="796690F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David Kinley, Ben Saul and Jacqueline Mowbray, </w:t>
      </w:r>
      <w:r w:rsidRPr="00AE4E64">
        <w:rPr>
          <w:rFonts w:ascii="Open Sans" w:hAnsi="Open Sans" w:cs="Open Sans"/>
          <w:i/>
        </w:rPr>
        <w:t>The International Covenant on Economic, Social and Cultural Rights: Commentary, Cases and Materials</w:t>
      </w:r>
      <w:r w:rsidRPr="00AE4E64">
        <w:rPr>
          <w:rFonts w:ascii="Open Sans" w:hAnsi="Open Sans" w:cs="Open Sans"/>
        </w:rPr>
        <w:t xml:space="preserve"> (Oxford University Press, 1</w:t>
      </w:r>
      <w:r w:rsidRPr="00AE4E64">
        <w:rPr>
          <w:rFonts w:ascii="Open Sans" w:hAnsi="Open Sans" w:cs="Open Sans"/>
          <w:vertAlign w:val="superscript"/>
        </w:rPr>
        <w:t>st</w:t>
      </w:r>
      <w:r w:rsidRPr="00AE4E64">
        <w:rPr>
          <w:rFonts w:ascii="Open Sans" w:hAnsi="Open Sans" w:cs="Open Sans"/>
        </w:rPr>
        <w:t xml:space="preserve"> ed, 2014) 611.</w:t>
      </w:r>
    </w:p>
  </w:endnote>
  <w:endnote w:id="47">
    <w:p w14:paraId="0B0C208C" w14:textId="2777DE4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w:t>
      </w:r>
    </w:p>
  </w:endnote>
  <w:endnote w:id="48">
    <w:p w14:paraId="3A561B22" w14:textId="77777777" w:rsidR="00D705F6" w:rsidRPr="00AE4E64" w:rsidRDefault="00D705F6" w:rsidP="00E96678">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2 [4], 4 [9].</w:t>
      </w:r>
    </w:p>
  </w:endnote>
  <w:endnote w:id="49">
    <w:p w14:paraId="6B494D5C" w14:textId="5B9892CF"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13–14 [43]–[51].</w:t>
      </w:r>
    </w:p>
  </w:endnote>
  <w:endnote w:id="50">
    <w:p w14:paraId="235E1480" w14:textId="77777777" w:rsidR="00D705F6" w:rsidRPr="00AE4E64" w:rsidRDefault="00D705F6" w:rsidP="008E05D1">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4 [11].</w:t>
      </w:r>
    </w:p>
  </w:endnote>
  <w:endnote w:id="51">
    <w:p w14:paraId="7629AC98" w14:textId="2C26ED48"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12 [40].</w:t>
      </w:r>
    </w:p>
  </w:endnote>
  <w:endnote w:id="52">
    <w:p w14:paraId="37CF2BE5" w14:textId="547B6FC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Covenant on Economic, Social and Cultural Rights</w:t>
      </w:r>
      <w:r w:rsidRPr="00AE4E64">
        <w:rPr>
          <w:rFonts w:ascii="Open Sans" w:hAnsi="Open Sans" w:cs="Open Sans"/>
        </w:rPr>
        <w:t>, opened for signature 16 December 1966, 993 UNTS 3 (entered into force 3 January 1976) article 4.</w:t>
      </w:r>
    </w:p>
  </w:endnote>
  <w:endnote w:id="53">
    <w:p w14:paraId="21D3C097" w14:textId="571C31B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 xml:space="preserve">(Cth) 8. </w:t>
      </w:r>
    </w:p>
  </w:endnote>
  <w:endnote w:id="54">
    <w:p w14:paraId="4B04010B" w14:textId="13D73F50"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13 [42].</w:t>
      </w:r>
    </w:p>
  </w:endnote>
  <w:endnote w:id="55">
    <w:p w14:paraId="539036DF" w14:textId="782C1111"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13 [42].</w:t>
      </w:r>
    </w:p>
  </w:endnote>
  <w:endnote w:id="56">
    <w:p w14:paraId="5E95F6EE" w14:textId="5AEBE551"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6 [18].</w:t>
      </w:r>
    </w:p>
  </w:endnote>
  <w:endnote w:id="57">
    <w:p w14:paraId="3A2EF435" w14:textId="5A90D0BF"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11 [35].</w:t>
      </w:r>
    </w:p>
  </w:endnote>
  <w:endnote w:id="58">
    <w:p w14:paraId="365B76BD" w14:textId="79740BD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8.</w:t>
      </w:r>
    </w:p>
  </w:endnote>
  <w:endnote w:id="59">
    <w:p w14:paraId="6DE6F032" w14:textId="0F57E98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8–9.</w:t>
      </w:r>
    </w:p>
  </w:endnote>
  <w:endnote w:id="60">
    <w:p w14:paraId="0907F8EC" w14:textId="71EC8AB7" w:rsidR="00D705F6" w:rsidRDefault="00D705F6" w:rsidP="00ED1196">
      <w:pPr>
        <w:pStyle w:val="EndnoteText"/>
        <w:ind w:hanging="284"/>
      </w:pPr>
      <w:r>
        <w:rPr>
          <w:rStyle w:val="EndnoteReference"/>
        </w:rPr>
        <w:endnoteRef/>
      </w:r>
      <w:r>
        <w:t xml:space="preserve"> </w:t>
      </w:r>
      <w:r w:rsidRPr="00AE4E64">
        <w:rPr>
          <w:rStyle w:val="EndnoteReference"/>
          <w:rFonts w:cs="Open Sans"/>
          <w:vertAlign w:val="baseline"/>
        </w:rPr>
        <w:tab/>
      </w:r>
      <w:r>
        <w:rPr>
          <w:rFonts w:ascii="Open Sans" w:hAnsi="Open Sans" w:cs="Open Sans"/>
        </w:rPr>
        <w:t xml:space="preserve">Luke Henriques-Gomes, ‘ParentsNext: single mothers say they were forced to allow ‘sensitive’ data to be collected’, </w:t>
      </w:r>
      <w:r>
        <w:rPr>
          <w:rFonts w:ascii="Open Sans" w:hAnsi="Open Sans" w:cs="Open Sans"/>
          <w:i/>
          <w:iCs/>
        </w:rPr>
        <w:t xml:space="preserve">The Guardian </w:t>
      </w:r>
      <w:r>
        <w:rPr>
          <w:rFonts w:ascii="Open Sans" w:hAnsi="Open Sans" w:cs="Open Sans"/>
        </w:rPr>
        <w:t>(online) 28 January 2019 &lt;</w:t>
      </w:r>
      <w:hyperlink r:id="rId16" w:history="1">
        <w:r w:rsidRPr="00D705F6">
          <w:rPr>
            <w:rStyle w:val="Hyperlink"/>
            <w:rFonts w:cs="Open Sans"/>
            <w:color w:val="auto"/>
            <w:u w:val="none"/>
          </w:rPr>
          <w:t>https://www.theguardian.com/australia-news/2019/jan/28/parentsnext-single-mothers-say-they-were-forced-to-allow-sensitive-data-to-be-collected</w:t>
        </w:r>
      </w:hyperlink>
      <w:r w:rsidRPr="00AC25AD">
        <w:rPr>
          <w:rFonts w:ascii="Open Sans" w:hAnsi="Open Sans" w:cs="Open Sans"/>
        </w:rPr>
        <w:t>&gt;.</w:t>
      </w:r>
    </w:p>
  </w:endnote>
  <w:endnote w:id="61">
    <w:p w14:paraId="5B4C2211" w14:textId="3F34E35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Australian Council of Social Service and UNSW Sydney, ‘Poverty in Australia 2018’ (Report No 5, 2018). </w:t>
      </w:r>
    </w:p>
  </w:endnote>
  <w:endnote w:id="62">
    <w:p w14:paraId="1ED3388F" w14:textId="6AF6BEEE"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Geoff Gilfillan, ‘Findings of the 2018 HILDA Statistical Report’ (Report, Parliament of Australia, 31 July 2018) &lt;</w:t>
      </w:r>
      <w:hyperlink r:id="rId17" w:history="1">
        <w:r w:rsidRPr="00AE4E64">
          <w:rPr>
            <w:rStyle w:val="Hyperlink"/>
            <w:rFonts w:cs="Open Sans"/>
            <w:color w:val="auto"/>
            <w:u w:val="none"/>
            <w:lang w:val="en-US"/>
          </w:rPr>
          <w:t>https://www.aph.gov.au/About_Parliament/Parliamentary_Departments/Parliamentary_Library/pubs/rp/rp1819/2018HILDAStatisticalReport</w:t>
        </w:r>
      </w:hyperlink>
      <w:r w:rsidRPr="00AE4E64">
        <w:rPr>
          <w:rStyle w:val="Hyperlink"/>
          <w:rFonts w:cs="Open Sans"/>
          <w:color w:val="auto"/>
          <w:u w:val="none"/>
          <w:lang w:val="en-US"/>
        </w:rPr>
        <w:t>&gt;;</w:t>
      </w:r>
      <w:r w:rsidRPr="00AE4E64">
        <w:rPr>
          <w:rFonts w:ascii="Open Sans" w:hAnsi="Open Sans" w:cs="Open Sans"/>
          <w:lang w:val="en-US"/>
        </w:rPr>
        <w:t xml:space="preserve"> </w:t>
      </w:r>
      <w:r w:rsidRPr="00AE4E64">
        <w:rPr>
          <w:rFonts w:ascii="Open Sans" w:hAnsi="Open Sans" w:cs="Open Sans"/>
        </w:rPr>
        <w:t>Roger Wilkins and Inga Lass, ‘The Household, Income and Labour Dynamics in Australia Survey: Selected Findings from Waves 1 to 16: the 13</w:t>
      </w:r>
      <w:r w:rsidRPr="00AE4E64">
        <w:rPr>
          <w:rFonts w:ascii="Open Sans" w:hAnsi="Open Sans" w:cs="Open Sans"/>
          <w:vertAlign w:val="superscript"/>
        </w:rPr>
        <w:t>th</w:t>
      </w:r>
      <w:r w:rsidRPr="00AE4E64">
        <w:rPr>
          <w:rFonts w:ascii="Open Sans" w:hAnsi="Open Sans" w:cs="Open Sans"/>
        </w:rPr>
        <w:t xml:space="preserve"> Annual Statistical Report of the HILDA Survey’ (Report, Melbourne Institute for Applied Economic and Social Research, 2018). </w:t>
      </w:r>
    </w:p>
  </w:endnote>
  <w:endnote w:id="63">
    <w:p w14:paraId="282D7D19" w14:textId="76D1CF5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Australian Human Rights Commission, ‘Children’s Rights Report’ (2017) 156; Juanita McLaren, Susan Maury and Sarah Squire, ‘Outside systems control my life: Single mothers’ stories of Welfare to Work’ (Report, Good Shepherd Australia New Zealand, 2018).</w:t>
      </w:r>
    </w:p>
  </w:endnote>
  <w:endnote w:id="64">
    <w:p w14:paraId="474732CA" w14:textId="3E264DE6"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Philip Alston, </w:t>
      </w:r>
      <w:r w:rsidRPr="00AE4E64">
        <w:rPr>
          <w:rFonts w:ascii="Open Sans" w:hAnsi="Open Sans" w:cs="Open Sans"/>
          <w:i/>
        </w:rPr>
        <w:t>Mandates of the Special Rapporteur on extreme poverty and human rights</w:t>
      </w:r>
      <w:r w:rsidRPr="00AE4E64">
        <w:rPr>
          <w:rFonts w:ascii="Open Sans" w:hAnsi="Open Sans" w:cs="Open Sans"/>
        </w:rPr>
        <w:t>, UN Doc OL AUS 5/2017 (17 October 2017) &lt;</w:t>
      </w:r>
      <w:hyperlink r:id="rId18" w:history="1">
        <w:r w:rsidRPr="00AE4E64">
          <w:rPr>
            <w:rStyle w:val="Hyperlink"/>
            <w:rFonts w:cs="Open Sans"/>
            <w:color w:val="auto"/>
            <w:u w:val="none"/>
          </w:rPr>
          <w:t>https://spcommreports.ohchr.org/TMResultsBase/DownLoadPublicCommunicationFile?gId=23386</w:t>
        </w:r>
      </w:hyperlink>
      <w:r w:rsidRPr="00AE4E64">
        <w:rPr>
          <w:rStyle w:val="Hyperlink"/>
          <w:rFonts w:cs="Open Sans"/>
          <w:color w:val="auto"/>
          <w:u w:val="none"/>
        </w:rPr>
        <w:t>&gt;.</w:t>
      </w:r>
      <w:r w:rsidRPr="00AE4E64">
        <w:rPr>
          <w:rFonts w:ascii="Open Sans" w:hAnsi="Open Sans" w:cs="Open Sans"/>
        </w:rPr>
        <w:t xml:space="preserve"> </w:t>
      </w:r>
    </w:p>
  </w:endnote>
  <w:endnote w:id="65">
    <w:p w14:paraId="4F99AF91" w14:textId="5E646C88" w:rsidR="00D705F6" w:rsidRPr="00AE4E64" w:rsidRDefault="00D705F6" w:rsidP="007668BE">
      <w:pPr>
        <w:ind w:left="142" w:hanging="284"/>
        <w:rPr>
          <w:rFonts w:ascii="Open Sans" w:hAnsi="Open Sans" w:cs="Open Sans"/>
          <w:sz w:val="20"/>
          <w:szCs w:val="20"/>
        </w:rPr>
      </w:pPr>
      <w:r w:rsidRPr="00AE4E64">
        <w:rPr>
          <w:rStyle w:val="EndnoteReference"/>
          <w:rFonts w:cs="Open Sans"/>
          <w:szCs w:val="20"/>
        </w:rPr>
        <w:endnoteRef/>
      </w:r>
      <w:r w:rsidRPr="00AE4E64">
        <w:rPr>
          <w:rFonts w:ascii="Open Sans" w:hAnsi="Open Sans" w:cs="Open Sans"/>
          <w:sz w:val="20"/>
          <w:szCs w:val="20"/>
        </w:rPr>
        <w:t xml:space="preserve"> </w:t>
      </w:r>
      <w:r w:rsidRPr="00AE4E64">
        <w:rPr>
          <w:rStyle w:val="EndnoteReference"/>
          <w:rFonts w:cs="Open Sans"/>
          <w:vertAlign w:val="baseline"/>
        </w:rPr>
        <w:tab/>
      </w:r>
      <w:r w:rsidRPr="00AE4E64">
        <w:rPr>
          <w:rFonts w:ascii="Open Sans" w:hAnsi="Open Sans" w:cs="Open Sans"/>
          <w:sz w:val="20"/>
          <w:szCs w:val="20"/>
          <w:lang w:val="en-US"/>
        </w:rPr>
        <w:t>Magdalena Sepúlveda Carmona, Carly Nyst and Heidi Hautala, ‘The Human Rights Approach to Social Protection’ (Report, Ministry for Foreign Affairs of Finland, 1 June 2012)</w:t>
      </w:r>
      <w:r w:rsidRPr="00AE4E64">
        <w:rPr>
          <w:rFonts w:ascii="Open Sans" w:hAnsi="Open Sans" w:cs="Open Sans"/>
        </w:rPr>
        <w:t xml:space="preserve"> &lt;</w:t>
      </w:r>
      <w:r w:rsidRPr="00AE4E64">
        <w:rPr>
          <w:rFonts w:ascii="Open Sans" w:hAnsi="Open Sans" w:cs="Open Sans"/>
          <w:sz w:val="20"/>
          <w:szCs w:val="20"/>
          <w:lang w:val="en-US"/>
        </w:rPr>
        <w:t xml:space="preserve">https://www.ohchr.org/Documents/Issues/EPoverty/HumanRightsApproachToSocialProtection.pdf&gt; (prepared in response to UN Human Rights Council, </w:t>
      </w:r>
      <w:r w:rsidRPr="00AE4E64">
        <w:rPr>
          <w:rFonts w:ascii="Open Sans" w:hAnsi="Open Sans" w:cs="Open Sans"/>
          <w:i/>
          <w:sz w:val="20"/>
          <w:szCs w:val="20"/>
          <w:lang w:val="en-US"/>
        </w:rPr>
        <w:t>Human rights and extreme poverty</w:t>
      </w:r>
      <w:r w:rsidRPr="00AE4E64">
        <w:rPr>
          <w:rFonts w:ascii="Open Sans" w:hAnsi="Open Sans" w:cs="Open Sans"/>
          <w:sz w:val="20"/>
          <w:szCs w:val="20"/>
          <w:lang w:val="en-US"/>
        </w:rPr>
        <w:t>, Resolution 8/11, 28</w:t>
      </w:r>
      <w:r w:rsidRPr="00AE4E64">
        <w:rPr>
          <w:rFonts w:ascii="Open Sans" w:hAnsi="Open Sans" w:cs="Open Sans"/>
          <w:sz w:val="20"/>
          <w:szCs w:val="20"/>
          <w:vertAlign w:val="superscript"/>
          <w:lang w:val="en-US"/>
        </w:rPr>
        <w:t>th</w:t>
      </w:r>
      <w:r w:rsidRPr="00AE4E64">
        <w:rPr>
          <w:rFonts w:ascii="Open Sans" w:hAnsi="Open Sans" w:cs="Open Sans"/>
          <w:sz w:val="20"/>
          <w:szCs w:val="20"/>
          <w:lang w:val="en-US"/>
        </w:rPr>
        <w:t xml:space="preserve"> mtg UN Doc A/HRC/RES/8/11 (18 June 2008)).</w:t>
      </w:r>
      <w:r w:rsidRPr="00AE4E64">
        <w:rPr>
          <w:rStyle w:val="apple-converted-space"/>
          <w:rFonts w:ascii="Open Sans" w:eastAsia="MS Mincho" w:hAnsi="Open Sans" w:cs="Open Sans"/>
          <w:color w:val="505050"/>
          <w:sz w:val="20"/>
          <w:szCs w:val="20"/>
          <w:shd w:val="clear" w:color="auto" w:fill="FFFFFF"/>
        </w:rPr>
        <w:t> </w:t>
      </w:r>
    </w:p>
  </w:endnote>
  <w:endnote w:id="66">
    <w:p w14:paraId="17904D54" w14:textId="480EC908" w:rsidR="00D705F6" w:rsidRPr="00AE4E64" w:rsidRDefault="00D705F6" w:rsidP="007668BE">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See a history of welfare reduction for single parents in a letter from the Special Rapporteur on extreme poverty and human rights to the Australian Government: Philip Alston, </w:t>
      </w:r>
      <w:r w:rsidRPr="00AE4E64">
        <w:rPr>
          <w:rFonts w:ascii="Open Sans" w:hAnsi="Open Sans" w:cs="Open Sans"/>
          <w:i/>
        </w:rPr>
        <w:t>Mandates of the Special Rapporteur on extreme poverty and human rights</w:t>
      </w:r>
      <w:r w:rsidRPr="00AE4E64">
        <w:rPr>
          <w:rFonts w:ascii="Open Sans" w:hAnsi="Open Sans" w:cs="Open Sans"/>
        </w:rPr>
        <w:t>, UN Doc OL AUS 5/2017 (17 October 2017) &lt;</w:t>
      </w:r>
      <w:hyperlink r:id="rId19" w:history="1">
        <w:r w:rsidRPr="00AE4E64">
          <w:rPr>
            <w:rStyle w:val="Hyperlink"/>
            <w:rFonts w:cs="Open Sans"/>
            <w:color w:val="auto"/>
            <w:u w:val="none"/>
          </w:rPr>
          <w:t>https://spcommreports.ohchr.org/TMResultsBase/DownLoadPublicCommunicationFile?gId=23386</w:t>
        </w:r>
      </w:hyperlink>
      <w:r w:rsidRPr="00AE4E64">
        <w:rPr>
          <w:rStyle w:val="Hyperlink"/>
          <w:rFonts w:cs="Open Sans"/>
          <w:color w:val="auto"/>
          <w:u w:val="none"/>
        </w:rPr>
        <w:t>&gt;.</w:t>
      </w:r>
      <w:r w:rsidRPr="00AE4E64">
        <w:rPr>
          <w:rFonts w:ascii="Open Sans" w:hAnsi="Open Sans" w:cs="Open Sans"/>
        </w:rPr>
        <w:t xml:space="preserve"> </w:t>
      </w:r>
    </w:p>
  </w:endnote>
  <w:endnote w:id="67">
    <w:p w14:paraId="04B64B56" w14:textId="033EAD57" w:rsidR="00D705F6" w:rsidRPr="00AE4E64" w:rsidRDefault="00D705F6" w:rsidP="007668BE">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As acknowledged by the Government, parents mandatorily subject to ParentsNext are already likely to be experiencing high levels of vulnerability: Department of Employment, ‘ParentsNext National Expansion’ (Discussion Paper, 12 September 2017) 18 [5.6].</w:t>
      </w:r>
    </w:p>
  </w:endnote>
  <w:endnote w:id="68">
    <w:p w14:paraId="7A3BA74D" w14:textId="5E6958B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Style w:val="EndnoteReference"/>
          <w:rFonts w:cs="Open Sans"/>
          <w:vertAlign w:val="baseline"/>
        </w:rPr>
        <w:tab/>
      </w:r>
      <w:r w:rsidRPr="00AE4E64">
        <w:rPr>
          <w:rFonts w:ascii="Open Sans" w:hAnsi="Open Sans" w:cs="Open Sans"/>
          <w:i/>
        </w:rPr>
        <w:t>Social Security Act 2018</w:t>
      </w:r>
      <w:r w:rsidRPr="00AE4E64">
        <w:rPr>
          <w:rFonts w:ascii="Open Sans" w:hAnsi="Open Sans" w:cs="Open Sans"/>
        </w:rPr>
        <w:t xml:space="preserve"> (NZ) s 252; see also Community Law Centres o Aotearoa, </w:t>
      </w:r>
      <w:r w:rsidRPr="00AE4E64">
        <w:rPr>
          <w:rFonts w:ascii="Open Sans" w:hAnsi="Open Sans" w:cs="Open Sans"/>
          <w:i/>
        </w:rPr>
        <w:t xml:space="preserve">Community Law Manual Online: Trouble with Work and Income: Penalties, Investigations and Overpayments—Penalties (“Sanctions”) </w:t>
      </w:r>
      <w:r w:rsidRPr="00AE4E64">
        <w:rPr>
          <w:rFonts w:ascii="Open Sans" w:hAnsi="Open Sans" w:cs="Open Sans"/>
        </w:rPr>
        <w:t xml:space="preserve">(2018-2019) Community Law New Zealand &lt;http://communitylaw.org.nz/community-law-manual/chapter-21-dealing-with-work-and-income/trouble-with-work-and-income-penalties-investigations-and-overpayments/penalties-sanctions/&gt;. </w:t>
      </w:r>
    </w:p>
  </w:endnote>
  <w:endnote w:id="69">
    <w:p w14:paraId="5270BAB3" w14:textId="2C91D3E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9.</w:t>
      </w:r>
    </w:p>
  </w:endnote>
  <w:endnote w:id="70">
    <w:p w14:paraId="617A844E" w14:textId="5C69B6E8"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Commonwealth, </w:t>
      </w:r>
      <w:r w:rsidRPr="00AE4E64">
        <w:rPr>
          <w:rFonts w:ascii="Open Sans" w:hAnsi="Open Sans" w:cs="Open Sans"/>
          <w:i/>
        </w:rPr>
        <w:t>Parliamentary Debates</w:t>
      </w:r>
      <w:r w:rsidRPr="00AE4E64">
        <w:rPr>
          <w:rFonts w:ascii="Open Sans" w:hAnsi="Open Sans" w:cs="Open Sans"/>
        </w:rPr>
        <w:t>,</w:t>
      </w:r>
      <w:r w:rsidRPr="00AE4E64">
        <w:rPr>
          <w:rFonts w:ascii="Open Sans" w:hAnsi="Open Sans" w:cs="Open Sans"/>
          <w:i/>
        </w:rPr>
        <w:t xml:space="preserve"> </w:t>
      </w:r>
      <w:r w:rsidRPr="00AE4E64">
        <w:rPr>
          <w:rFonts w:ascii="Open Sans" w:hAnsi="Open Sans" w:cs="Open Sans"/>
        </w:rPr>
        <w:t>Senate, 13 September 2018 (Senator Siewert).</w:t>
      </w:r>
    </w:p>
  </w:endnote>
  <w:endnote w:id="71">
    <w:p w14:paraId="26776349" w14:textId="77777777" w:rsidR="00D705F6" w:rsidRPr="00AE4E64" w:rsidRDefault="00D705F6" w:rsidP="005071C2">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 14.</w:t>
      </w:r>
    </w:p>
  </w:endnote>
  <w:endnote w:id="72">
    <w:p w14:paraId="0DF35845" w14:textId="5B65696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Beth Watts and Suzanne Fitzpatrick, </w:t>
      </w:r>
      <w:r w:rsidRPr="00AE4E64">
        <w:rPr>
          <w:rFonts w:ascii="Open Sans" w:hAnsi="Open Sans" w:cs="Open Sans"/>
          <w:i/>
        </w:rPr>
        <w:t>Welfare Conditionality</w:t>
      </w:r>
      <w:r w:rsidRPr="00AE4E64">
        <w:rPr>
          <w:rFonts w:ascii="Open Sans" w:hAnsi="Open Sans" w:cs="Open Sans"/>
        </w:rPr>
        <w:t xml:space="preserve"> (Routledge, 1</w:t>
      </w:r>
      <w:r w:rsidRPr="00AE4E64">
        <w:rPr>
          <w:rFonts w:ascii="Open Sans" w:hAnsi="Open Sans" w:cs="Open Sans"/>
          <w:vertAlign w:val="superscript"/>
        </w:rPr>
        <w:t>st</w:t>
      </w:r>
      <w:r w:rsidRPr="00AE4E64">
        <w:rPr>
          <w:rFonts w:ascii="Open Sans" w:hAnsi="Open Sans" w:cs="Open Sans"/>
        </w:rPr>
        <w:t xml:space="preserve"> ed, 2018) 143. </w:t>
      </w:r>
    </w:p>
  </w:endnote>
  <w:endnote w:id="73">
    <w:p w14:paraId="266EED59" w14:textId="7539F3C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Economic and Social Research Council, ‘Final findings report: Welfare conditionality project 2013–2018’ (June 2018) 28.</w:t>
      </w:r>
    </w:p>
  </w:endnote>
  <w:endnote w:id="74">
    <w:p w14:paraId="453C120C" w14:textId="3CC3EF0D"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Economic and Social Research Council, ‘Final findings report: Welfare conditionality project 2013–2018’ (June 2018) 4.</w:t>
      </w:r>
    </w:p>
  </w:endnote>
  <w:endnote w:id="75">
    <w:p w14:paraId="3650D1D3" w14:textId="71E9EA63"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Economic and Social Research Council, ‘Final findings report: Welfare conditionality project 2013–2018’ (June 2018) 28.</w:t>
      </w:r>
    </w:p>
  </w:endnote>
  <w:endnote w:id="76">
    <w:p w14:paraId="793ECC89" w14:textId="117104DE"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Philip Alston, </w:t>
      </w:r>
      <w:r w:rsidRPr="00AE4E64">
        <w:rPr>
          <w:rFonts w:ascii="Open Sans" w:hAnsi="Open Sans" w:cs="Open Sans"/>
          <w:i/>
        </w:rPr>
        <w:t>Mandates of the Special Rapporteur on extreme poverty and human rights</w:t>
      </w:r>
      <w:r w:rsidRPr="00AE4E64">
        <w:rPr>
          <w:rFonts w:ascii="Open Sans" w:hAnsi="Open Sans" w:cs="Open Sans"/>
        </w:rPr>
        <w:t>, UN Doc OL AUS 5/2017 (17 October 2017) 30 &lt;</w:t>
      </w:r>
      <w:hyperlink r:id="rId20" w:history="1">
        <w:r w:rsidRPr="00AE4E64">
          <w:rPr>
            <w:rStyle w:val="Hyperlink"/>
            <w:rFonts w:cs="Open Sans"/>
            <w:color w:val="auto"/>
            <w:u w:val="none"/>
          </w:rPr>
          <w:t>https://spcommreports.ohchr.org/TMResultsBase/DownLoadPublicCommunicationFile?gId=23386</w:t>
        </w:r>
      </w:hyperlink>
      <w:r w:rsidRPr="00AE4E64">
        <w:rPr>
          <w:rStyle w:val="Hyperlink"/>
          <w:rFonts w:cs="Open Sans"/>
          <w:color w:val="auto"/>
          <w:u w:val="none"/>
        </w:rPr>
        <w:t>&gt;</w:t>
      </w:r>
      <w:r w:rsidRPr="00AE4E64">
        <w:rPr>
          <w:rFonts w:ascii="Open Sans" w:hAnsi="Open Sans" w:cs="Open Sans"/>
        </w:rPr>
        <w:t>.</w:t>
      </w:r>
    </w:p>
  </w:endnote>
  <w:endnote w:id="77">
    <w:p w14:paraId="36EC8092" w14:textId="5CB5F64B"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9.</w:t>
      </w:r>
    </w:p>
  </w:endnote>
  <w:endnote w:id="78">
    <w:p w14:paraId="6AAF2D4F" w14:textId="04755E6E"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12–15.</w:t>
      </w:r>
    </w:p>
  </w:endnote>
  <w:endnote w:id="79">
    <w:p w14:paraId="7303B2DB" w14:textId="20AAF3B8"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w:t>
      </w:r>
      <w:r w:rsidRPr="00AE4E64">
        <w:rPr>
          <w:rFonts w:ascii="Open Sans" w:hAnsi="Open Sans" w:cs="Open Sans"/>
        </w:rPr>
        <w:t xml:space="preserve"> 62.</w:t>
      </w:r>
    </w:p>
  </w:endnote>
  <w:endnote w:id="80">
    <w:p w14:paraId="5D0117E8" w14:textId="195B71BB"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 30.</w:t>
      </w:r>
    </w:p>
  </w:endnote>
  <w:endnote w:id="81">
    <w:p w14:paraId="6D107172" w14:textId="3357DFC0"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w:t>
      </w:r>
      <w:r w:rsidRPr="00AE4E64">
        <w:rPr>
          <w:rFonts w:ascii="Open Sans" w:hAnsi="Open Sans" w:cs="Open Sans"/>
        </w:rPr>
        <w:t xml:space="preserve"> 59 [96].</w:t>
      </w:r>
    </w:p>
  </w:endnote>
  <w:endnote w:id="82">
    <w:p w14:paraId="3975A1D5" w14:textId="681CB906"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ParentsNext Evaluation Report’ (Report, 2017)</w:t>
      </w:r>
      <w:r w:rsidRPr="00AE4E64">
        <w:rPr>
          <w:rFonts w:ascii="Open Sans" w:hAnsi="Open Sans" w:cs="Open Sans"/>
        </w:rPr>
        <w:t xml:space="preserve"> 45.</w:t>
      </w:r>
    </w:p>
  </w:endnote>
  <w:endnote w:id="83">
    <w:p w14:paraId="62D8C37C" w14:textId="0C6498D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For example, see the analysis of the program evaluations of the trials of the Cashless Debit Card considered by this Committee in its inquiry into the Social Services Legislation Amendment (Cashless Debit Card) Bill 2017 (Cth).</w:t>
      </w:r>
    </w:p>
  </w:endnote>
  <w:endnote w:id="84">
    <w:p w14:paraId="56788C08" w14:textId="0E472268" w:rsidR="00D705F6" w:rsidRPr="00AE4E64" w:rsidRDefault="00D705F6" w:rsidP="00AF1C79">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 xml:space="preserve">See, for example, Australian Human Rights Commission, Submission No 36 to Senate Standing Committee on Economics, </w:t>
      </w:r>
      <w:r w:rsidRPr="00AE4E64">
        <w:rPr>
          <w:rFonts w:ascii="Open Sans" w:hAnsi="Open Sans" w:cs="Open Sans"/>
          <w:i/>
        </w:rPr>
        <w:t>Inquiry into economic security for women in retirement</w:t>
      </w:r>
      <w:r w:rsidRPr="00AE4E64">
        <w:rPr>
          <w:rFonts w:ascii="Open Sans" w:hAnsi="Open Sans" w:cs="Open Sans"/>
        </w:rPr>
        <w:t xml:space="preserve">,30 October 2015. Gender segregation in the workplace is a persistent feature of the Australian </w:t>
      </w:r>
      <w:r w:rsidRPr="00AE4E64">
        <w:rPr>
          <w:rFonts w:ascii="Open Sans" w:hAnsi="Open Sans" w:cs="Open Sans"/>
          <w:shd w:val="clear" w:color="auto" w:fill="FFFFFF"/>
        </w:rPr>
        <w:t>workforce.</w:t>
      </w:r>
      <w:r w:rsidRPr="00AE4E64">
        <w:rPr>
          <w:rFonts w:ascii="Open Sans" w:hAnsi="Open Sans" w:cs="Open Sans"/>
        </w:rPr>
        <w:t xml:space="preserve"> Gender segregation occurs at occupation, role and industry levels. In 2015, less than 30% of workers in the Workplace Gender Equality Agency’s reporting organisations worked in gender balanced organisations.</w:t>
      </w:r>
    </w:p>
  </w:endnote>
  <w:endnote w:id="85">
    <w:p w14:paraId="151C1FEA" w14:textId="3E290E95" w:rsidR="00D705F6" w:rsidRPr="00AE4E64" w:rsidRDefault="00D705F6" w:rsidP="00AF1C79">
      <w:pPr>
        <w:pStyle w:val="EndnoteText"/>
        <w:ind w:hanging="284"/>
        <w:rPr>
          <w:rFonts w:ascii="Open Sans" w:hAnsi="Open Sans" w:cs="Open Sans"/>
          <w:color w:val="000000" w:themeColor="text1"/>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See Workplace Gender Equality Agency, ‘</w:t>
      </w:r>
      <w:r w:rsidRPr="00AE4E64">
        <w:rPr>
          <w:rFonts w:ascii="Open Sans" w:hAnsi="Open Sans" w:cs="Open Sans"/>
          <w:iCs/>
        </w:rPr>
        <w:t>Australia’s Gender Equality Scorecard: Key findings from the Workplace Gender Equality Agency’s 2015–16 reporting data’</w:t>
      </w:r>
      <w:r w:rsidRPr="00AE4E64">
        <w:rPr>
          <w:rFonts w:ascii="Open Sans" w:hAnsi="Open Sans" w:cs="Open Sans"/>
          <w:i/>
          <w:iCs/>
        </w:rPr>
        <w:t xml:space="preserve"> </w:t>
      </w:r>
      <w:r w:rsidRPr="00AE4E64">
        <w:rPr>
          <w:rFonts w:ascii="Open Sans" w:hAnsi="Open Sans" w:cs="Open Sans"/>
          <w:iCs/>
        </w:rPr>
        <w:t>(</w:t>
      </w:r>
      <w:r w:rsidRPr="00AE4E64">
        <w:rPr>
          <w:rFonts w:ascii="Open Sans" w:hAnsi="Open Sans" w:cs="Open Sans"/>
        </w:rPr>
        <w:t>November 2016) 4</w:t>
      </w:r>
      <w:r w:rsidRPr="00AE4E64">
        <w:rPr>
          <w:rStyle w:val="Hyperlink"/>
          <w:rFonts w:cs="Open Sans"/>
          <w:color w:val="000000" w:themeColor="text1"/>
          <w:u w:val="none"/>
        </w:rPr>
        <w:t xml:space="preserve">; Australian Institute of Company Directors, ‘30% by 2018 gender diversity progress report’ (Quarterly Report, Vol 8, 2017). </w:t>
      </w:r>
      <w:r w:rsidRPr="00D705F6">
        <w:rPr>
          <w:rStyle w:val="Hyperlink"/>
          <w:rFonts w:cs="Open Sans"/>
          <w:color w:val="auto"/>
          <w:u w:val="none"/>
        </w:rPr>
        <w:t>&lt;</w:t>
      </w:r>
      <w:hyperlink r:id="rId21" w:history="1">
        <w:r w:rsidRPr="00D705F6">
          <w:rPr>
            <w:rStyle w:val="Hyperlink"/>
            <w:rFonts w:cs="Open Sans"/>
            <w:color w:val="auto"/>
            <w:u w:val="none"/>
          </w:rPr>
          <w:t>https://aicd.companydirectors.com.au/advocacy/board-diversity/30-per-cent-by-2018-gender-diversity-target-slipping-out-of-reach</w:t>
        </w:r>
      </w:hyperlink>
      <w:r w:rsidRPr="00D705F6">
        <w:rPr>
          <w:rStyle w:val="Hyperlink"/>
          <w:rFonts w:cs="Open Sans"/>
          <w:color w:val="auto"/>
          <w:u w:val="none"/>
        </w:rPr>
        <w:t xml:space="preserve">&gt;. </w:t>
      </w:r>
      <w:r w:rsidRPr="00AE4E64">
        <w:rPr>
          <w:rFonts w:ascii="Open Sans" w:hAnsi="Open Sans" w:cs="Open Sans"/>
        </w:rPr>
        <w:t>A survey undertaken by Chief Executive Women found that women hold just 12% of line roles and 30% of functional roles in executive leadership teams: Chief Executive Women, ‘Senior Executive Census 2017’ (Census, 2017)</w:t>
      </w:r>
      <w:r>
        <w:rPr>
          <w:rFonts w:ascii="Open Sans" w:hAnsi="Open Sans" w:cs="Open Sans"/>
        </w:rPr>
        <w:t xml:space="preserve"> </w:t>
      </w:r>
      <w:r w:rsidRPr="00330B6B">
        <w:rPr>
          <w:rFonts w:ascii="Open Sans" w:hAnsi="Open Sans" w:cs="Open Sans"/>
        </w:rPr>
        <w:t>&lt;</w:t>
      </w:r>
      <w:hyperlink r:id="rId22" w:history="1">
        <w:r w:rsidRPr="00D705F6">
          <w:rPr>
            <w:rStyle w:val="Hyperlink"/>
            <w:rFonts w:cs="Open Sans"/>
            <w:color w:val="auto"/>
            <w:u w:val="none"/>
            <w:shd w:val="clear" w:color="auto" w:fill="FFFFFF"/>
          </w:rPr>
          <w:t>https://cew.org.au/wp-content/uploads/2017/09/CEW-Executive-Census-2017.pdf</w:t>
        </w:r>
      </w:hyperlink>
      <w:r w:rsidRPr="00D705F6">
        <w:rPr>
          <w:rStyle w:val="Hyperlink"/>
          <w:rFonts w:cs="Open Sans"/>
          <w:color w:val="auto"/>
          <w:u w:val="none"/>
          <w:shd w:val="clear" w:color="auto" w:fill="FFFFFF"/>
        </w:rPr>
        <w:t>&gt;</w:t>
      </w:r>
      <w:r w:rsidRPr="00330B6B">
        <w:rPr>
          <w:rFonts w:ascii="Open Sans" w:hAnsi="Open Sans" w:cs="Open Sans"/>
        </w:rPr>
        <w:t>.</w:t>
      </w:r>
    </w:p>
  </w:endnote>
  <w:endnote w:id="86">
    <w:p w14:paraId="73010EAD" w14:textId="08765639" w:rsidR="00D705F6" w:rsidRPr="00AE4E64" w:rsidRDefault="00D705F6" w:rsidP="00AF1C79">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 xml:space="preserve">Australia’s Sex Discrimination Commissioner has advocated for the relaxation of existing laws that require women to work for 12 months before they are eligible to access parental leave. See Susie O’Brien, ‘Working parents need support’, </w:t>
      </w:r>
      <w:r w:rsidRPr="00AE4E64">
        <w:rPr>
          <w:rFonts w:ascii="Open Sans" w:hAnsi="Open Sans" w:cs="Open Sans"/>
          <w:i/>
        </w:rPr>
        <w:t>Herald Sun</w:t>
      </w:r>
      <w:r w:rsidRPr="00AE4E64">
        <w:rPr>
          <w:rFonts w:ascii="Open Sans" w:hAnsi="Open Sans" w:cs="Open Sans"/>
        </w:rPr>
        <w:t xml:space="preserve"> (9 September 2017).    </w:t>
      </w:r>
    </w:p>
  </w:endnote>
  <w:endnote w:id="87">
    <w:p w14:paraId="5608AA39" w14:textId="0F61191E" w:rsidR="00D705F6" w:rsidRPr="00AE4E64" w:rsidRDefault="00D705F6" w:rsidP="00AF1C79">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 xml:space="preserve">See Productivity Commission, ‘Paid Parental Leave: Support for Parents with Newborn Children’ (Inquiry Report No 47, 28 February 2009) 4.1. </w:t>
      </w:r>
      <w:r w:rsidRPr="00AE4E64">
        <w:rPr>
          <w:rFonts w:ascii="Open Sans" w:hAnsi="Open Sans" w:cs="Open Sans"/>
          <w:lang w:val="da-DK"/>
        </w:rPr>
        <w:t>&lt;</w:t>
      </w:r>
      <w:hyperlink r:id="rId23" w:history="1">
        <w:r w:rsidRPr="00D705F6">
          <w:rPr>
            <w:rStyle w:val="Hyperlink"/>
            <w:rFonts w:cs="Open Sans"/>
            <w:color w:val="auto"/>
            <w:u w:val="none"/>
            <w:lang w:val="da-DK"/>
          </w:rPr>
          <w:t>http://www.pc.gov.au/inquiries/completed/parental-support/report</w:t>
        </w:r>
      </w:hyperlink>
      <w:r w:rsidRPr="00D705F6">
        <w:rPr>
          <w:rStyle w:val="Hyperlink"/>
          <w:rFonts w:cs="Open Sans"/>
          <w:color w:val="auto"/>
          <w:u w:val="none"/>
          <w:lang w:val="da-DK"/>
        </w:rPr>
        <w:t>&gt;</w:t>
      </w:r>
      <w:r w:rsidRPr="00D85E43">
        <w:rPr>
          <w:rFonts w:ascii="Open Sans" w:hAnsi="Open Sans" w:cs="Open Sans"/>
          <w:lang w:val="da-DK"/>
        </w:rPr>
        <w:t xml:space="preserve">. </w:t>
      </w:r>
      <w:r w:rsidRPr="00AE4E64">
        <w:rPr>
          <w:rFonts w:ascii="Open Sans" w:hAnsi="Open Sans" w:cs="Open Sans"/>
        </w:rPr>
        <w:t xml:space="preserve">The </w:t>
      </w:r>
      <w:r w:rsidRPr="00AE4E64">
        <w:rPr>
          <w:rFonts w:ascii="Open Sans" w:hAnsi="Open Sans" w:cs="Open Sans"/>
          <w:i/>
        </w:rPr>
        <w:t>Paid Parental Leave Act 2010</w:t>
      </w:r>
      <w:r w:rsidRPr="00AE4E64">
        <w:rPr>
          <w:rFonts w:ascii="Open Sans" w:hAnsi="Open Sans" w:cs="Open Sans"/>
        </w:rPr>
        <w:t xml:space="preserve"> (Cth) came into effect as a result of the Productivity Commission’s 2009 Inquiry Report, which recommended a paid postnatal period of 18 weeks. The Commission supported the Inquiry Report’s recommendation that superannuation entitlements be provided to mothers, subject to certain conditions. See Productivity Commission, ‘Paid Parental Leave: Support for Parents with Newborn Children’ (Inquiry Report No 47, 28 February 2009) 2.12</w:t>
      </w:r>
      <w:r w:rsidRPr="00AE4E64">
        <w:rPr>
          <w:rFonts w:ascii="Open Sans" w:hAnsi="Open Sans" w:cs="Open Sans"/>
          <w:lang w:val="da-DK"/>
        </w:rPr>
        <w:t xml:space="preserve"> &lt;</w:t>
      </w:r>
      <w:hyperlink r:id="rId24" w:history="1">
        <w:r w:rsidRPr="00D705F6">
          <w:rPr>
            <w:rStyle w:val="Hyperlink"/>
            <w:rFonts w:cs="Open Sans"/>
            <w:color w:val="auto"/>
            <w:u w:val="none"/>
            <w:lang w:val="da-DK"/>
          </w:rPr>
          <w:t>http://www.pc.gov.au/inquiries/completed/parental-support/report</w:t>
        </w:r>
      </w:hyperlink>
      <w:r w:rsidRPr="006B13D5">
        <w:rPr>
          <w:rFonts w:ascii="Open Sans" w:hAnsi="Open Sans" w:cs="Open Sans"/>
          <w:lang w:val="da-DK"/>
        </w:rPr>
        <w:t xml:space="preserve">.&gt;. </w:t>
      </w:r>
    </w:p>
  </w:endnote>
  <w:endnote w:id="88">
    <w:p w14:paraId="257740EC" w14:textId="0D646126" w:rsidR="00D705F6" w:rsidRPr="00AE4E64" w:rsidRDefault="00D705F6" w:rsidP="00AF1C79">
      <w:pPr>
        <w:pStyle w:val="EndnoteText"/>
        <w:ind w:hanging="284"/>
        <w:rPr>
          <w:rFonts w:ascii="Open Sans" w:hAnsi="Open Sans" w:cs="Open Sans"/>
          <w:color w:val="000000" w:themeColor="text1"/>
        </w:rPr>
      </w:pPr>
      <w:r w:rsidRPr="00AE4E64">
        <w:rPr>
          <w:rStyle w:val="EndnoteReference"/>
          <w:rFonts w:cs="Open Sans"/>
          <w:color w:val="000000" w:themeColor="text1"/>
        </w:rPr>
        <w:endnoteRef/>
      </w:r>
      <w:r w:rsidRPr="00AE4E64">
        <w:rPr>
          <w:rFonts w:ascii="Open Sans" w:hAnsi="Open Sans" w:cs="Open Sans"/>
          <w:color w:val="000000" w:themeColor="text1"/>
        </w:rPr>
        <w:t xml:space="preserve"> </w:t>
      </w:r>
      <w:r w:rsidRPr="00AE4E64">
        <w:rPr>
          <w:rFonts w:ascii="Open Sans" w:hAnsi="Open Sans" w:cs="Open Sans"/>
          <w:color w:val="000000" w:themeColor="text1"/>
        </w:rPr>
        <w:tab/>
        <w:t>Australian Human Rights Commission, ‘Australia’s Implementation of the Convention on the Elimination of All Forms of Discrimination against Women (CEDAW)’</w:t>
      </w:r>
      <w:r w:rsidRPr="00AE4E64">
        <w:rPr>
          <w:rFonts w:ascii="Open Sans" w:hAnsi="Open Sans" w:cs="Open Sans"/>
          <w:i/>
          <w:color w:val="000000" w:themeColor="text1"/>
        </w:rPr>
        <w:t xml:space="preserve"> </w:t>
      </w:r>
      <w:r w:rsidRPr="00AE4E64">
        <w:rPr>
          <w:rFonts w:ascii="Open Sans" w:hAnsi="Open Sans" w:cs="Open Sans"/>
          <w:color w:val="000000" w:themeColor="text1"/>
        </w:rPr>
        <w:t xml:space="preserve">(Independent Report to the Committee on the Elimination of Discrimination against Women, 5 July 2010)  </w:t>
      </w:r>
      <w:r w:rsidRPr="00D705F6">
        <w:rPr>
          <w:rFonts w:ascii="Open Sans" w:hAnsi="Open Sans" w:cs="Open Sans"/>
          <w:u w:val="single"/>
        </w:rPr>
        <w:t>&lt;</w:t>
      </w:r>
      <w:hyperlink r:id="rId25" w:history="1">
        <w:r w:rsidRPr="00D705F6">
          <w:rPr>
            <w:rStyle w:val="Hyperlink"/>
            <w:rFonts w:cs="Open Sans"/>
            <w:color w:val="auto"/>
          </w:rPr>
          <w:t>https://www.humanrights.gov.au/australia-s-implementation-convention-elimination-all-forms-discrimination-against-women-cedaw-2010</w:t>
        </w:r>
      </w:hyperlink>
      <w:r w:rsidRPr="00D705F6">
        <w:rPr>
          <w:rStyle w:val="Hyperlink"/>
          <w:rFonts w:cs="Open Sans"/>
          <w:color w:val="auto"/>
        </w:rPr>
        <w:t>&gt;</w:t>
      </w:r>
      <w:r w:rsidRPr="00D705F6">
        <w:rPr>
          <w:rFonts w:ascii="Open Sans" w:hAnsi="Open Sans" w:cs="Open Sans"/>
          <w:u w:val="single"/>
        </w:rPr>
        <w:t>;</w:t>
      </w:r>
      <w:r w:rsidRPr="00D705F6">
        <w:rPr>
          <w:rFonts w:ascii="Open Sans" w:hAnsi="Open Sans" w:cs="Open Sans"/>
        </w:rPr>
        <w:t xml:space="preserve"> </w:t>
      </w:r>
      <w:r w:rsidRPr="00AE4E64">
        <w:rPr>
          <w:rFonts w:ascii="Open Sans" w:hAnsi="Open Sans" w:cs="Open Sans"/>
        </w:rPr>
        <w:t xml:space="preserve">Australian Human Rights Commission, Submission No 35 to Senate Finance and Public Administration References Committee, </w:t>
      </w:r>
      <w:r w:rsidRPr="00AE4E64">
        <w:rPr>
          <w:rFonts w:ascii="Open Sans" w:hAnsi="Open Sans" w:cs="Open Sans"/>
          <w:i/>
        </w:rPr>
        <w:t>Inquiry into gender segregation in the workplace and its impact on women’s economic equality</w:t>
      </w:r>
      <w:r w:rsidRPr="00AE4E64">
        <w:rPr>
          <w:rFonts w:ascii="Open Sans" w:hAnsi="Open Sans" w:cs="Open Sans"/>
        </w:rPr>
        <w:t>, 6 March 2017 &lt;</w:t>
      </w:r>
      <w:hyperlink r:id="rId26" w:history="1">
        <w:r w:rsidRPr="00D705F6">
          <w:rPr>
            <w:rStyle w:val="Hyperlink"/>
            <w:rFonts w:cs="Open Sans"/>
            <w:color w:val="auto"/>
            <w:u w:val="none"/>
          </w:rPr>
          <w:t>https://www.humanrights.gov.au/submissions/gender-segregation-workplace-and-its-impact-women-s-economic-equality</w:t>
        </w:r>
      </w:hyperlink>
      <w:r w:rsidRPr="00EF270A">
        <w:rPr>
          <w:rFonts w:ascii="Open Sans" w:hAnsi="Open Sans" w:cs="Open Sans"/>
        </w:rPr>
        <w:t>&gt;.</w:t>
      </w:r>
    </w:p>
  </w:endnote>
  <w:endnote w:id="89">
    <w:p w14:paraId="2E23EC1C" w14:textId="4E7A2F0D" w:rsidR="00D705F6" w:rsidRPr="00AE4E64" w:rsidRDefault="00D705F6" w:rsidP="005B3F5F">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r>
      <w:r>
        <w:rPr>
          <w:rFonts w:ascii="Open Sans" w:hAnsi="Open Sans" w:cs="Open Sans"/>
        </w:rPr>
        <w:t xml:space="preserve">See </w:t>
      </w:r>
      <w:r w:rsidRPr="00403655">
        <w:rPr>
          <w:rFonts w:ascii="Open Sans" w:hAnsi="Open Sans" w:cs="Open Sans"/>
        </w:rPr>
        <w:t xml:space="preserve">Australian Human Rights Commission, Submission No 377 to Productivity Commission,  </w:t>
      </w:r>
      <w:r w:rsidRPr="00D705F6">
        <w:rPr>
          <w:rFonts w:ascii="Open Sans" w:hAnsi="Open Sans" w:cs="Open Sans"/>
          <w:i/>
        </w:rPr>
        <w:t>Inquiry into Paid Maternity, Paternity and Parental Leave</w:t>
      </w:r>
      <w:r>
        <w:rPr>
          <w:rFonts w:ascii="Open Sans" w:hAnsi="Open Sans" w:cs="Open Sans"/>
        </w:rPr>
        <w:t xml:space="preserve"> (</w:t>
      </w:r>
      <w:r w:rsidRPr="00403655">
        <w:rPr>
          <w:rFonts w:ascii="Open Sans" w:hAnsi="Open Sans" w:cs="Open Sans"/>
        </w:rPr>
        <w:t>24 November 2008</w:t>
      </w:r>
      <w:r>
        <w:rPr>
          <w:rFonts w:ascii="Open Sans" w:hAnsi="Open Sans" w:cs="Open Sans"/>
        </w:rPr>
        <w:t>)</w:t>
      </w:r>
      <w:r w:rsidRPr="00403655">
        <w:rPr>
          <w:rFonts w:ascii="Open Sans" w:hAnsi="Open Sans" w:cs="Open Sans"/>
        </w:rPr>
        <w:t xml:space="preserve">; Australian Human Rights Commission, ‘Investing in care: Recognising and valuing those who care’ (Report, 2013); Australian Human Rights Commission, ‘Supporting Working Parents: Pregnancy and Return to Work National Review’ (Report, June </w:t>
      </w:r>
      <w:r>
        <w:rPr>
          <w:rFonts w:ascii="Open Sans" w:hAnsi="Open Sans" w:cs="Open Sans"/>
        </w:rPr>
        <w:t>2014)</w:t>
      </w:r>
      <w:r w:rsidRPr="00403655">
        <w:rPr>
          <w:rFonts w:ascii="Open Sans" w:hAnsi="Open Sans" w:cs="Open Sans"/>
        </w:rPr>
        <w:t>; Australian Human Rights Commission, ‘</w:t>
      </w:r>
      <w:hyperlink r:id="rId27" w:history="1">
        <w:r w:rsidRPr="00403655">
          <w:rPr>
            <w:rFonts w:ascii="Open Sans" w:hAnsi="Open Sans" w:cs="Open Sans"/>
          </w:rPr>
          <w:t>Willing to Work: National Inquiry into Employment Discrimination Against Older Australians and Australians with Disability</w:t>
        </w:r>
      </w:hyperlink>
      <w:r w:rsidRPr="00403655">
        <w:rPr>
          <w:rFonts w:ascii="Open Sans" w:hAnsi="Open Sans" w:cs="Open Sans"/>
        </w:rPr>
        <w:t>’ (Report, 2 May 2016); Aus</w:t>
      </w:r>
      <w:r>
        <w:rPr>
          <w:rFonts w:ascii="Open Sans" w:hAnsi="Open Sans" w:cs="Open Sans"/>
        </w:rPr>
        <w:t xml:space="preserve">tralian Human Rights Commission, </w:t>
      </w:r>
      <w:r w:rsidRPr="00403655">
        <w:rPr>
          <w:rFonts w:ascii="Open Sans" w:hAnsi="Open Sans" w:cs="Open Sans"/>
        </w:rPr>
        <w:t xml:space="preserve">Submission </w:t>
      </w:r>
      <w:r>
        <w:rPr>
          <w:rFonts w:ascii="Open Sans" w:hAnsi="Open Sans" w:cs="Open Sans"/>
        </w:rPr>
        <w:t xml:space="preserve">No 36 </w:t>
      </w:r>
      <w:r w:rsidRPr="00403655">
        <w:rPr>
          <w:rFonts w:ascii="Open Sans" w:hAnsi="Open Sans" w:cs="Open Sans"/>
        </w:rPr>
        <w:t xml:space="preserve">to </w:t>
      </w:r>
      <w:r>
        <w:rPr>
          <w:rFonts w:ascii="Open Sans" w:hAnsi="Open Sans" w:cs="Open Sans"/>
        </w:rPr>
        <w:t xml:space="preserve">Senate Standing Committees on Economics, </w:t>
      </w:r>
      <w:r w:rsidRPr="00D705F6">
        <w:rPr>
          <w:rFonts w:ascii="Open Sans" w:hAnsi="Open Sans" w:cs="Open Sans"/>
          <w:i/>
        </w:rPr>
        <w:t>Inquiry into the economic security for women in retirement</w:t>
      </w:r>
      <w:r>
        <w:rPr>
          <w:rFonts w:ascii="Open Sans" w:hAnsi="Open Sans" w:cs="Open Sans"/>
        </w:rPr>
        <w:t xml:space="preserve"> (30 October 2015); </w:t>
      </w:r>
      <w:r w:rsidRPr="00AE4E64">
        <w:rPr>
          <w:rFonts w:ascii="Open Sans" w:hAnsi="Open Sans" w:cs="Open Sans"/>
        </w:rPr>
        <w:t xml:space="preserve">Australian Human Rights Commission, Submission No 35 to Senate Finance and Public Administration References Committee, </w:t>
      </w:r>
      <w:r w:rsidRPr="00AE4E64">
        <w:rPr>
          <w:rFonts w:ascii="Open Sans" w:hAnsi="Open Sans" w:cs="Open Sans"/>
          <w:i/>
        </w:rPr>
        <w:t>Inquiry into gender segregation in the workplace and its impact on women’s economic equality</w:t>
      </w:r>
      <w:r>
        <w:rPr>
          <w:rFonts w:ascii="Open Sans" w:hAnsi="Open Sans" w:cs="Open Sans"/>
        </w:rPr>
        <w:t xml:space="preserve"> (</w:t>
      </w:r>
      <w:r w:rsidRPr="00AE4E64">
        <w:rPr>
          <w:rFonts w:ascii="Open Sans" w:hAnsi="Open Sans" w:cs="Open Sans"/>
        </w:rPr>
        <w:t>6 March 2017</w:t>
      </w:r>
      <w:r>
        <w:rPr>
          <w:rFonts w:ascii="Open Sans" w:hAnsi="Open Sans" w:cs="Open Sans"/>
        </w:rPr>
        <w:t>)</w:t>
      </w:r>
      <w:r w:rsidRPr="00AE4E64">
        <w:rPr>
          <w:rFonts w:ascii="Open Sans" w:hAnsi="Open Sans" w:cs="Open Sans"/>
        </w:rPr>
        <w:t xml:space="preserve">. </w:t>
      </w:r>
    </w:p>
  </w:endnote>
  <w:endnote w:id="90">
    <w:p w14:paraId="6939903C" w14:textId="206DE42B"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International Labour Organisation, </w:t>
      </w:r>
      <w:r w:rsidRPr="00AE4E64">
        <w:rPr>
          <w:rFonts w:ascii="Open Sans" w:hAnsi="Open Sans" w:cs="Open Sans"/>
          <w:i/>
        </w:rPr>
        <w:t>Decent work</w:t>
      </w:r>
      <w:r w:rsidRPr="00AE4E64">
        <w:rPr>
          <w:rFonts w:ascii="Open Sans" w:hAnsi="Open Sans" w:cs="Open Sans"/>
        </w:rPr>
        <w:t xml:space="preserve"> &lt;https://www.ilo.org/global/topics/decent-work/lang--en/index.htm&gt;.</w:t>
      </w:r>
    </w:p>
  </w:endnote>
  <w:endnote w:id="91">
    <w:p w14:paraId="376D2093" w14:textId="79B6E262"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Good Shepherd Australia New Zealand, Submission to Department of Employment, </w:t>
      </w:r>
      <w:r w:rsidRPr="00AE4E64">
        <w:rPr>
          <w:rFonts w:ascii="Open Sans" w:hAnsi="Open Sans" w:cs="Open Sans"/>
          <w:i/>
        </w:rPr>
        <w:t>Response to Discussion Paper for ParentsNext National Expansion</w:t>
      </w:r>
      <w:r w:rsidRPr="00AE4E64">
        <w:rPr>
          <w:rFonts w:ascii="Open Sans" w:hAnsi="Open Sans" w:cs="Open Sans"/>
        </w:rPr>
        <w:t>, October 2017, 13 &lt;</w:t>
      </w:r>
      <w:hyperlink r:id="rId28" w:history="1">
        <w:r w:rsidRPr="00AE4E64">
          <w:rPr>
            <w:rStyle w:val="Hyperlink"/>
            <w:rFonts w:cs="Open Sans"/>
            <w:color w:val="auto"/>
            <w:u w:val="none"/>
          </w:rPr>
          <w:t>https://www.goodshep.org.au/media/1929/gsanz-submission-response-to-parents-next-discussion-paper-final.pdf</w:t>
        </w:r>
      </w:hyperlink>
      <w:r w:rsidRPr="00AE4E64">
        <w:rPr>
          <w:rFonts w:ascii="Open Sans" w:hAnsi="Open Sans" w:cs="Open Sans"/>
        </w:rPr>
        <w:t>&gt;.</w:t>
      </w:r>
    </w:p>
  </w:endnote>
  <w:endnote w:id="92">
    <w:p w14:paraId="6846C556" w14:textId="0812FFD8"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36.</w:t>
      </w:r>
    </w:p>
  </w:endnote>
  <w:endnote w:id="93">
    <w:p w14:paraId="0A01B1E4" w14:textId="41C3F27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9–10.</w:t>
      </w:r>
    </w:p>
  </w:endnote>
  <w:endnote w:id="94">
    <w:p w14:paraId="3157902C" w14:textId="4DE4E5DB"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38.</w:t>
      </w:r>
    </w:p>
  </w:endnote>
  <w:endnote w:id="95">
    <w:p w14:paraId="201777D1" w14:textId="2D4C936C"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rPr>
        <w:t>38.</w:t>
      </w:r>
    </w:p>
  </w:endnote>
  <w:endnote w:id="96">
    <w:p w14:paraId="2ED48D73" w14:textId="25A1FF1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Beth Watts and Suzanne Fitzpatrick, </w:t>
      </w:r>
      <w:r w:rsidRPr="00AE4E64">
        <w:rPr>
          <w:rFonts w:ascii="Open Sans" w:hAnsi="Open Sans" w:cs="Open Sans"/>
          <w:i/>
        </w:rPr>
        <w:t>Welfare Conditionality</w:t>
      </w:r>
      <w:r w:rsidRPr="00AE4E64">
        <w:rPr>
          <w:rFonts w:ascii="Open Sans" w:hAnsi="Open Sans" w:cs="Open Sans"/>
        </w:rPr>
        <w:t xml:space="preserve"> (Routledge, 1</w:t>
      </w:r>
      <w:r w:rsidRPr="00AE4E64">
        <w:rPr>
          <w:rFonts w:ascii="Open Sans" w:hAnsi="Open Sans" w:cs="Open Sans"/>
          <w:vertAlign w:val="superscript"/>
        </w:rPr>
        <w:t>st</w:t>
      </w:r>
      <w:r w:rsidRPr="00AE4E64">
        <w:rPr>
          <w:rFonts w:ascii="Open Sans" w:hAnsi="Open Sans" w:cs="Open Sans"/>
        </w:rPr>
        <w:t xml:space="preserve"> ed, 2018) 146.</w:t>
      </w:r>
    </w:p>
  </w:endnote>
  <w:endnote w:id="97">
    <w:p w14:paraId="2D7D516A" w14:textId="1177BD42"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Luke Henriques-Gomes, ‘Single parents forced to attend ‘story time’ or lose Centrelink payments’, </w:t>
      </w:r>
      <w:r w:rsidRPr="00AE4E64">
        <w:rPr>
          <w:rFonts w:ascii="Open Sans" w:hAnsi="Open Sans" w:cs="Open Sans"/>
          <w:i/>
        </w:rPr>
        <w:t>The Guardian</w:t>
      </w:r>
      <w:r w:rsidRPr="00AE4E64">
        <w:rPr>
          <w:rFonts w:ascii="Open Sans" w:hAnsi="Open Sans" w:cs="Open Sans"/>
        </w:rPr>
        <w:t xml:space="preserve"> (online) 6 November 2018 &lt;</w:t>
      </w:r>
      <w:hyperlink r:id="rId29" w:history="1">
        <w:r w:rsidRPr="00AE4E64">
          <w:rPr>
            <w:rStyle w:val="Hyperlink"/>
            <w:rFonts w:cs="Open Sans"/>
            <w:color w:val="auto"/>
            <w:u w:val="none"/>
          </w:rPr>
          <w:t>https://www.theguardian.com/australia-news/2018/nov/06/single-parents-forced-to-attend-story-time-or-lose-centrelink-payments</w:t>
        </w:r>
      </w:hyperlink>
      <w:r w:rsidRPr="00AE4E64">
        <w:rPr>
          <w:rStyle w:val="Hyperlink"/>
          <w:rFonts w:cs="Open Sans"/>
          <w:color w:val="auto"/>
          <w:u w:val="none"/>
        </w:rPr>
        <w:t>&gt;.</w:t>
      </w:r>
    </w:p>
  </w:endnote>
  <w:endnote w:id="98">
    <w:p w14:paraId="03057D86" w14:textId="25E6FF25"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w:t>
      </w:r>
      <w:r w:rsidRPr="00AE4E64">
        <w:rPr>
          <w:rFonts w:ascii="Open Sans" w:hAnsi="Open Sans" w:cs="Open Sans"/>
          <w:lang w:val="en-US"/>
        </w:rPr>
        <w:t xml:space="preserve">ParentsNext Evaluation Report’ (Report, 2017) </w:t>
      </w:r>
      <w:r w:rsidRPr="00AE4E64">
        <w:rPr>
          <w:rFonts w:ascii="Open Sans" w:hAnsi="Open Sans" w:cs="Open Sans"/>
          <w:shd w:val="clear" w:color="auto" w:fill="FFFFFF"/>
        </w:rPr>
        <w:t>64.</w:t>
      </w:r>
    </w:p>
  </w:endnote>
  <w:endnote w:id="99">
    <w:p w14:paraId="5A1C3223" w14:textId="40511A8F"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25.</w:t>
      </w:r>
    </w:p>
  </w:endnote>
  <w:endnote w:id="100">
    <w:p w14:paraId="5E6CCAA2" w14:textId="07D8BBD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Human Services, </w:t>
      </w:r>
      <w:r w:rsidRPr="00AE4E64">
        <w:rPr>
          <w:rFonts w:ascii="Open Sans" w:hAnsi="Open Sans" w:cs="Open Sans"/>
          <w:i/>
        </w:rPr>
        <w:t xml:space="preserve">Demerits and penalties for not meeting mutual obligation requirements </w:t>
      </w:r>
      <w:r w:rsidRPr="00AE4E64">
        <w:rPr>
          <w:rFonts w:ascii="Open Sans" w:hAnsi="Open Sans" w:cs="Open Sans"/>
        </w:rPr>
        <w:t>(9 January 2019) &lt;https://www.humanservices.gov.au/individuals/enablers/demerits-and-penalties-not-meeting-mutual-obligation-requirements/44416&gt;.</w:t>
      </w:r>
    </w:p>
  </w:endnote>
  <w:endnote w:id="101">
    <w:p w14:paraId="57A68E47" w14:textId="5228B8C9"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lang w:val="en-US"/>
        </w:rPr>
        <w:t xml:space="preserve">The Government has stated that providers are expected to </w:t>
      </w:r>
      <w:r w:rsidRPr="00AE4E64">
        <w:rPr>
          <w:rFonts w:ascii="Open Sans" w:hAnsi="Open Sans" w:cs="Open Sans"/>
        </w:rPr>
        <w:t>assess whether a demerit should apply using the same principles as those that underpin ‘reasonable excuse’ decisions made by government decision makers, which are governed by the</w:t>
      </w:r>
      <w:r w:rsidRPr="00AE4E64">
        <w:rPr>
          <w:rFonts w:ascii="Open Sans" w:eastAsia="MS Mincho" w:hAnsi="Open Sans" w:cs="Open Sans"/>
          <w:lang w:val="en-US"/>
        </w:rPr>
        <w:t> </w:t>
      </w:r>
      <w:r w:rsidRPr="00AE4E64">
        <w:rPr>
          <w:rFonts w:ascii="Open Sans" w:eastAsia="MS Mincho" w:hAnsi="Open Sans" w:cs="Open Sans"/>
          <w:i/>
          <w:lang w:val="en-US"/>
        </w:rPr>
        <w:t>Social Security (Administration) (Reasonable Excuse—Participation Payments) Determination 2018</w:t>
      </w:r>
      <w:r w:rsidRPr="00AE4E64">
        <w:rPr>
          <w:rFonts w:ascii="Open Sans" w:eastAsia="MS Mincho" w:hAnsi="Open Sans" w:cs="Open Sans"/>
          <w:lang w:val="en-US"/>
        </w:rPr>
        <w:t> </w:t>
      </w:r>
      <w:r w:rsidRPr="00AE4E64">
        <w:rPr>
          <w:rFonts w:ascii="Open Sans" w:hAnsi="Open Sans" w:cs="Open Sans"/>
          <w:lang w:val="en-US"/>
        </w:rPr>
        <w:t xml:space="preserve">(Cth); Department of Social Services, </w:t>
      </w:r>
      <w:r w:rsidRPr="00AE4E64">
        <w:rPr>
          <w:rFonts w:ascii="Open Sans" w:hAnsi="Open Sans" w:cs="Open Sans"/>
          <w:i/>
          <w:lang w:val="en-US"/>
        </w:rPr>
        <w:t>Social Security Guide (Version 1.251): 3.1.13.90 Reasonable Excuse</w:t>
      </w:r>
      <w:r w:rsidRPr="00AE4E64">
        <w:rPr>
          <w:rFonts w:ascii="Open Sans" w:hAnsi="Open Sans" w:cs="Open Sans"/>
          <w:lang w:val="en-US"/>
        </w:rPr>
        <w:t xml:space="preserve"> (2 January 2019) Guides to Social Policy Law</w:t>
      </w:r>
      <w:r w:rsidRPr="00AE4E64">
        <w:rPr>
          <w:rFonts w:ascii="Open Sans" w:hAnsi="Open Sans" w:cs="Open Sans"/>
          <w:i/>
          <w:lang w:val="en-US"/>
        </w:rPr>
        <w:t xml:space="preserve"> </w:t>
      </w:r>
      <w:r w:rsidRPr="00AE4E64">
        <w:rPr>
          <w:rFonts w:ascii="Open Sans" w:hAnsi="Open Sans" w:cs="Open Sans"/>
          <w:lang w:val="en-US"/>
        </w:rPr>
        <w:t>&lt;</w:t>
      </w:r>
      <w:hyperlink r:id="rId30" w:history="1">
        <w:r w:rsidRPr="00AE4E64">
          <w:rPr>
            <w:rStyle w:val="Hyperlink"/>
            <w:rFonts w:cs="Open Sans"/>
            <w:color w:val="auto"/>
            <w:u w:val="none"/>
          </w:rPr>
          <w:t>http://guides.dss.gov.au/guide-social-security-law/3/1/13/90</w:t>
        </w:r>
      </w:hyperlink>
      <w:r w:rsidRPr="00AE4E64">
        <w:rPr>
          <w:rFonts w:ascii="Open Sans" w:hAnsi="Open Sans" w:cs="Open Sans"/>
        </w:rPr>
        <w:t>&gt;; See policy guidance on capability interviews: Department of Jobs and Small Business, ‘Guideline: Capability Interviews’ (ParentsNext Guideline, 16 July 2018) &lt;</w:t>
      </w:r>
      <w:hyperlink r:id="rId31" w:history="1">
        <w:r w:rsidRPr="00AE4E64">
          <w:rPr>
            <w:rStyle w:val="Hyperlink"/>
            <w:rFonts w:cs="Open Sans"/>
            <w:color w:val="auto"/>
            <w:u w:val="none"/>
          </w:rPr>
          <w:t>https://docs.jobs.gov.au/system/files/doc/other/capability_interview.pdf</w:t>
        </w:r>
      </w:hyperlink>
      <w:r w:rsidRPr="00AE4E64">
        <w:rPr>
          <w:rStyle w:val="Hyperlink"/>
          <w:rFonts w:cs="Open Sans"/>
          <w:color w:val="auto"/>
          <w:u w:val="none"/>
        </w:rPr>
        <w:t>&gt;.</w:t>
      </w:r>
    </w:p>
  </w:endnote>
  <w:endnote w:id="102">
    <w:p w14:paraId="68714AEA" w14:textId="5C2BA64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‘Guideline: Targeted Compliance Framework—Mutual Obligation Failures’ (JobActive and ParentsNext Guideline, 13 August 2018) 19.</w:t>
      </w:r>
    </w:p>
  </w:endnote>
  <w:endnote w:id="103">
    <w:p w14:paraId="77CBE0A3" w14:textId="29922612"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13 [45].</w:t>
      </w:r>
    </w:p>
  </w:endnote>
  <w:endnote w:id="104">
    <w:p w14:paraId="59310D15" w14:textId="3CFB49EB"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Style w:val="EndnoteReference"/>
          <w:rFonts w:cs="Open Sans"/>
          <w:vertAlign w:val="baseline"/>
        </w:rPr>
        <w:tab/>
      </w:r>
      <w:r w:rsidRPr="00AE4E64">
        <w:rPr>
          <w:rFonts w:ascii="Open Sans" w:hAnsi="Open Sans" w:cs="Open Sans"/>
          <w:lang w:val="en-US"/>
        </w:rPr>
        <w:t xml:space="preserve">Australian Human Rights Commission, Submission No 16 to Senate Community Affairs Legislation Committee, </w:t>
      </w:r>
      <w:r w:rsidRPr="00AE4E64">
        <w:rPr>
          <w:rFonts w:ascii="Open Sans" w:hAnsi="Open Sans" w:cs="Open Sans"/>
          <w:i/>
          <w:lang w:val="en-US"/>
        </w:rPr>
        <w:t>Social Security Legislation Amendment (Community Development Program) Bill 2018</w:t>
      </w:r>
      <w:r w:rsidRPr="00AE4E64">
        <w:rPr>
          <w:rFonts w:ascii="Open Sans" w:hAnsi="Open Sans" w:cs="Open Sans"/>
          <w:lang w:val="en-US"/>
        </w:rPr>
        <w:t xml:space="preserve"> (Cth), 26 September 2018, 13 [53]–[54].</w:t>
      </w:r>
    </w:p>
  </w:endnote>
  <w:endnote w:id="105">
    <w:p w14:paraId="070C251A" w14:textId="6273958A"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Department of Jobs and Small Business, ‘Guideline: Targeted Compliance Framework’ (ParentsNext Guideline, 16 July 2018) &lt;</w:t>
      </w:r>
      <w:hyperlink r:id="rId32" w:history="1">
        <w:r w:rsidRPr="00AE4E64">
          <w:rPr>
            <w:rStyle w:val="Hyperlink"/>
            <w:rFonts w:cs="Open Sans"/>
            <w:color w:val="auto"/>
            <w:u w:val="none"/>
          </w:rPr>
          <w:t>https://docs.jobs.gov.au/system/files/doc/other/targeted_compliance_framework.pdf</w:t>
        </w:r>
      </w:hyperlink>
      <w:r w:rsidRPr="00AE4E64">
        <w:rPr>
          <w:rStyle w:val="Hyperlink"/>
          <w:rFonts w:cs="Open Sans"/>
          <w:color w:val="auto"/>
          <w:u w:val="none"/>
        </w:rPr>
        <w:t>&gt;.</w:t>
      </w:r>
    </w:p>
  </w:endnote>
  <w:endnote w:id="106">
    <w:p w14:paraId="356DB02D" w14:textId="36BBC3B6"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United Nations Declaration on the Rights of Indigenous Peoples</w:t>
      </w:r>
      <w:r w:rsidRPr="00AE4E64">
        <w:rPr>
          <w:rFonts w:ascii="Open Sans" w:hAnsi="Open Sans" w:cs="Open Sans"/>
        </w:rPr>
        <w:t>, GA Res 61/295, UN GAOR, 61</w:t>
      </w:r>
      <w:r w:rsidRPr="00AE4E64">
        <w:rPr>
          <w:rFonts w:ascii="Open Sans" w:hAnsi="Open Sans" w:cs="Open Sans"/>
          <w:vertAlign w:val="superscript"/>
        </w:rPr>
        <w:t>st</w:t>
      </w:r>
      <w:r w:rsidRPr="00AE4E64">
        <w:rPr>
          <w:rFonts w:ascii="Open Sans" w:hAnsi="Open Sans" w:cs="Open Sans"/>
        </w:rPr>
        <w:t xml:space="preserve"> sess, 107</w:t>
      </w:r>
      <w:r w:rsidRPr="00AE4E64">
        <w:rPr>
          <w:rFonts w:ascii="Open Sans" w:hAnsi="Open Sans" w:cs="Open Sans"/>
          <w:vertAlign w:val="superscript"/>
        </w:rPr>
        <w:t>th</w:t>
      </w:r>
      <w:r w:rsidRPr="00AE4E64">
        <w:rPr>
          <w:rFonts w:ascii="Open Sans" w:hAnsi="Open Sans" w:cs="Open Sans"/>
        </w:rPr>
        <w:t xml:space="preserve"> plen mtg, Supp No</w:t>
      </w:r>
      <w:r w:rsidRPr="00AE4E64">
        <w:rPr>
          <w:rFonts w:ascii="Open Sans" w:hAnsi="Open Sans" w:cs="Open Sans"/>
          <w:i/>
        </w:rPr>
        <w:t xml:space="preserve"> </w:t>
      </w:r>
      <w:r w:rsidRPr="00AE4E64">
        <w:rPr>
          <w:rFonts w:ascii="Open Sans" w:hAnsi="Open Sans" w:cs="Open Sans"/>
        </w:rPr>
        <w:t>49, UN Doc A/RES/61/295 (13 September 2007).</w:t>
      </w:r>
    </w:p>
  </w:endnote>
  <w:endnote w:id="107">
    <w:p w14:paraId="7A7C403C" w14:textId="41301BA5"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Department of Employment, ‘ParentsNext National Expansion’ (Discussion Paper, 12 September 2017) 10.</w:t>
      </w:r>
    </w:p>
  </w:endnote>
  <w:endnote w:id="108">
    <w:p w14:paraId="6A73DF41" w14:textId="34A888DF"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Covenant on Economic, Social and Cultural Rights</w:t>
      </w:r>
      <w:r w:rsidRPr="00AE4E64">
        <w:rPr>
          <w:rFonts w:ascii="Open Sans" w:hAnsi="Open Sans" w:cs="Open Sans"/>
        </w:rPr>
        <w:t xml:space="preserve">, opened for signature 16 December 1966, 993 UNTS 3 (entered into force 3 January 1976) articles 2(2), 3, 9; UN Committee on Economic, Social and Cultural Rights, </w:t>
      </w:r>
      <w:r w:rsidRPr="00AE4E64">
        <w:rPr>
          <w:rFonts w:ascii="Open Sans" w:hAnsi="Open Sans" w:cs="Open Sans"/>
          <w:i/>
        </w:rPr>
        <w:t>General Comment No 19: The right to social security (article 9)</w:t>
      </w:r>
      <w:r w:rsidRPr="00AE4E64">
        <w:rPr>
          <w:rFonts w:ascii="Open Sans" w:hAnsi="Open Sans" w:cs="Open Sans"/>
        </w:rPr>
        <w:t>, 39</w:t>
      </w:r>
      <w:r w:rsidRPr="00AE4E64">
        <w:rPr>
          <w:rFonts w:ascii="Open Sans" w:hAnsi="Open Sans" w:cs="Open Sans"/>
          <w:vertAlign w:val="superscript"/>
        </w:rPr>
        <w:t>th</w:t>
      </w:r>
      <w:r w:rsidRPr="00AE4E64">
        <w:rPr>
          <w:rFonts w:ascii="Open Sans" w:hAnsi="Open Sans" w:cs="Open Sans"/>
        </w:rPr>
        <w:t xml:space="preserve"> sess, UN Doc E/C.12/GC/19 (4 February 2008) 12 [40].</w:t>
      </w:r>
    </w:p>
  </w:endnote>
  <w:endnote w:id="109">
    <w:p w14:paraId="51E4652E" w14:textId="285D6FE9"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Style w:val="EndnoteReference"/>
          <w:rFonts w:cs="Open Sans"/>
          <w:vertAlign w:val="baseline"/>
        </w:rPr>
        <w:tab/>
      </w:r>
      <w:r w:rsidRPr="00AE4E64">
        <w:rPr>
          <w:rFonts w:ascii="Open Sans" w:hAnsi="Open Sans" w:cs="Open Sans"/>
          <w:i/>
          <w:lang w:val="en-US"/>
        </w:rPr>
        <w:t xml:space="preserve">Sex Discrimination Act 1984 </w:t>
      </w:r>
      <w:r w:rsidRPr="00AE4E64">
        <w:rPr>
          <w:rFonts w:ascii="Open Sans" w:hAnsi="Open Sans" w:cs="Open Sans"/>
          <w:lang w:val="en-US"/>
        </w:rPr>
        <w:t>(Cth) s 3(d).</w:t>
      </w:r>
    </w:p>
  </w:endnote>
  <w:endnote w:id="110">
    <w:p w14:paraId="4F0D4D01" w14:textId="4F96AB14" w:rsidR="00D705F6" w:rsidRPr="00AE4E64" w:rsidRDefault="00D705F6" w:rsidP="00080ACD">
      <w:pPr>
        <w:pStyle w:val="EndnoteText"/>
        <w:ind w:hanging="284"/>
        <w:rPr>
          <w:rFonts w:ascii="Open Sans" w:hAnsi="Open Sans" w:cs="Open Sans"/>
        </w:rPr>
      </w:pPr>
      <w:r w:rsidRPr="00AE4E64">
        <w:rPr>
          <w:rStyle w:val="EndnoteReference"/>
          <w:rFonts w:cs="Open Sans"/>
        </w:rPr>
        <w:endnoteRef/>
      </w:r>
      <w:r w:rsidRPr="00AE4E64">
        <w:rPr>
          <w:rStyle w:val="EndnoteReference"/>
          <w:rFonts w:cs="Open Sans"/>
          <w:vertAlign w:val="baseline"/>
        </w:rPr>
        <w:tab/>
      </w:r>
      <w:r w:rsidRPr="00AE4E64">
        <w:rPr>
          <w:rFonts w:ascii="Open Sans" w:hAnsi="Open Sans" w:cs="Open Sans"/>
        </w:rPr>
        <w:t xml:space="preserve">For a more detailed explanation of the relationship between the </w:t>
      </w:r>
      <w:r w:rsidRPr="00AE4E64">
        <w:rPr>
          <w:rFonts w:ascii="Open Sans" w:hAnsi="Open Sans" w:cs="Open Sans"/>
          <w:i/>
          <w:iCs/>
          <w:lang w:eastAsia="en-AU"/>
        </w:rPr>
        <w:t xml:space="preserve">Racial Discrimination Act 1975 </w:t>
      </w:r>
      <w:r w:rsidRPr="00AE4E64">
        <w:rPr>
          <w:rFonts w:ascii="Open Sans" w:hAnsi="Open Sans" w:cs="Open Sans"/>
          <w:lang w:eastAsia="en-AU"/>
        </w:rPr>
        <w:t xml:space="preserve">(Cth) </w:t>
      </w:r>
      <w:r w:rsidRPr="00AE4E64">
        <w:rPr>
          <w:rFonts w:ascii="Open Sans" w:hAnsi="Open Sans" w:cs="Open Sans"/>
        </w:rPr>
        <w:t xml:space="preserve">and welfare initiatives, see Australian Human Rights Commission, </w:t>
      </w:r>
      <w:r w:rsidRPr="00AE4E64">
        <w:rPr>
          <w:rFonts w:ascii="Open Sans" w:hAnsi="Open Sans" w:cs="Open Sans"/>
          <w:iCs/>
        </w:rPr>
        <w:t>‘Social Justice and Native Title Report 2015’</w:t>
      </w:r>
      <w:r w:rsidRPr="00AE4E64">
        <w:rPr>
          <w:rFonts w:ascii="Open Sans" w:hAnsi="Open Sans" w:cs="Open Sans"/>
        </w:rPr>
        <w:t xml:space="preserve"> (Report, 2015) 51 &lt;https://www.humanrights.gov.au/our-work/aboriginal-and-torres-strait-islander-social-justice/publications/social-justice-and-nati-1&gt;.</w:t>
      </w:r>
    </w:p>
  </w:endnote>
  <w:endnote w:id="111">
    <w:p w14:paraId="56F7F75B" w14:textId="4895382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iCs/>
          <w:lang w:eastAsia="en-AU"/>
        </w:rPr>
        <w:t xml:space="preserve">Racial Discrimination Act 1975 </w:t>
      </w:r>
      <w:r w:rsidRPr="00AE4E64">
        <w:rPr>
          <w:rFonts w:ascii="Open Sans" w:hAnsi="Open Sans" w:cs="Open Sans"/>
          <w:lang w:eastAsia="en-AU"/>
        </w:rPr>
        <w:t>(Cth) s 10.</w:t>
      </w:r>
    </w:p>
  </w:endnote>
  <w:endnote w:id="112">
    <w:p w14:paraId="15D903DA" w14:textId="360D3E24"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iCs/>
          <w:lang w:eastAsia="en-AU"/>
        </w:rPr>
        <w:t xml:space="preserve">Racial Discrimination Act 1975 </w:t>
      </w:r>
      <w:r w:rsidRPr="00AE4E64">
        <w:rPr>
          <w:rFonts w:ascii="Open Sans" w:hAnsi="Open Sans" w:cs="Open Sans"/>
          <w:lang w:eastAsia="en-AU"/>
        </w:rPr>
        <w:t>(Cth) s 9.</w:t>
      </w:r>
    </w:p>
  </w:endnote>
  <w:endnote w:id="113">
    <w:p w14:paraId="47CB8EF5" w14:textId="780C806F"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iCs/>
          <w:lang w:eastAsia="en-AU"/>
        </w:rPr>
        <w:t xml:space="preserve">Racial Discrimination Act 1975 </w:t>
      </w:r>
      <w:r w:rsidRPr="00AE4E64">
        <w:rPr>
          <w:rFonts w:ascii="Open Sans" w:hAnsi="Open Sans" w:cs="Open Sans"/>
          <w:lang w:eastAsia="en-AU"/>
        </w:rPr>
        <w:t>(Cth) s 8.</w:t>
      </w:r>
    </w:p>
  </w:endnote>
  <w:endnote w:id="114">
    <w:p w14:paraId="356996AD" w14:textId="09041DD7"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Department of Employment, ‘ParentsNext National Expansion’ (Discussion Paper, 12 September 2017) 8 [2.2]; Department of Jobs and Small Business, </w:t>
      </w:r>
      <w:r w:rsidRPr="00AE4E64">
        <w:rPr>
          <w:rFonts w:ascii="Open Sans" w:hAnsi="Open Sans" w:cs="Open Sans"/>
          <w:i/>
        </w:rPr>
        <w:t xml:space="preserve">Explainer: ParentsNext </w:t>
      </w:r>
      <w:r w:rsidRPr="00AE4E64">
        <w:rPr>
          <w:rFonts w:ascii="Open Sans" w:hAnsi="Open Sans" w:cs="Open Sans"/>
        </w:rPr>
        <w:t>(16 January 2019) &lt;</w:t>
      </w:r>
      <w:hyperlink r:id="rId33" w:history="1">
        <w:r w:rsidRPr="00AE4E64">
          <w:rPr>
            <w:rStyle w:val="Hyperlink"/>
            <w:rFonts w:cs="Open Sans"/>
            <w:color w:val="auto"/>
            <w:u w:val="none"/>
          </w:rPr>
          <w:t>https://www.jobs.gov.au/newsroom/explainer-parentsnext</w:t>
        </w:r>
      </w:hyperlink>
      <w:r w:rsidRPr="00AE4E64">
        <w:rPr>
          <w:rStyle w:val="Hyperlink"/>
          <w:rFonts w:cs="Open Sans"/>
          <w:color w:val="auto"/>
          <w:u w:val="none"/>
        </w:rPr>
        <w:t>&gt;.</w:t>
      </w:r>
    </w:p>
  </w:endnote>
  <w:endnote w:id="115">
    <w:p w14:paraId="1953518D" w14:textId="0D2CCD9F"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12</w:t>
      </w:r>
      <w:r w:rsidRPr="00AE4E64">
        <w:rPr>
          <w:rFonts w:ascii="Open Sans" w:hAnsi="Open Sans" w:cs="Open Sans"/>
          <w:lang w:val="en-US"/>
        </w:rPr>
        <w:t>.</w:t>
      </w:r>
    </w:p>
  </w:endnote>
  <w:endnote w:id="116">
    <w:p w14:paraId="107C76E0" w14:textId="047ED586"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12</w:t>
      </w:r>
      <w:r w:rsidRPr="00AE4E64">
        <w:rPr>
          <w:rFonts w:ascii="Open Sans" w:hAnsi="Open Sans" w:cs="Open Sans"/>
          <w:lang w:val="en-US"/>
        </w:rPr>
        <w:t>.</w:t>
      </w:r>
    </w:p>
  </w:endnote>
  <w:endnote w:id="117">
    <w:p w14:paraId="42E1C834" w14:textId="29D3518F"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11</w:t>
      </w:r>
      <w:r w:rsidRPr="00AE4E64">
        <w:rPr>
          <w:rFonts w:ascii="Open Sans" w:hAnsi="Open Sans" w:cs="Open Sans"/>
          <w:lang w:val="en-US"/>
        </w:rPr>
        <w:t>.</w:t>
      </w:r>
    </w:p>
  </w:endnote>
  <w:endnote w:id="118">
    <w:p w14:paraId="4E888F8A" w14:textId="134601D0"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12; see footnotes 2–5 of the Explanatory Statement.</w:t>
      </w:r>
    </w:p>
  </w:endnote>
  <w:endnote w:id="119">
    <w:p w14:paraId="64459467" w14:textId="10EDE16E" w:rsidR="00D705F6" w:rsidRPr="00AE4E64" w:rsidRDefault="00D705F6" w:rsidP="0062797B">
      <w:pPr>
        <w:pStyle w:val="EndnoteText"/>
        <w:ind w:hanging="284"/>
        <w:rPr>
          <w:rFonts w:ascii="Open Sans" w:hAnsi="Open Sans" w:cs="Open Sans"/>
          <w:lang w:val="en-U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Explanatory Statement, </w:t>
      </w:r>
      <w:r w:rsidRPr="00AE4E64">
        <w:rPr>
          <w:rFonts w:ascii="Open Sans" w:hAnsi="Open Sans" w:cs="Open Sans"/>
          <w:i/>
        </w:rPr>
        <w:t xml:space="preserve">Social Security (Parenting payment participation requirements—classes of persons) (No. 1) Instrument 2018 </w:t>
      </w:r>
      <w:r w:rsidRPr="00AE4E64">
        <w:rPr>
          <w:rFonts w:ascii="Open Sans" w:hAnsi="Open Sans" w:cs="Open Sans"/>
        </w:rPr>
        <w:t>(Cth) 13.</w:t>
      </w:r>
    </w:p>
  </w:endnote>
  <w:endnote w:id="120">
    <w:p w14:paraId="64C1DA5C" w14:textId="22572509" w:rsidR="00D705F6" w:rsidRPr="00AE4E64"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rPr>
        <w:t xml:space="preserve">Committee on the Elimination of Racial Discrimination, </w:t>
      </w:r>
      <w:r w:rsidRPr="00AE4E64">
        <w:rPr>
          <w:rFonts w:ascii="Open Sans" w:hAnsi="Open Sans" w:cs="Open Sans"/>
          <w:bCs/>
          <w:i/>
        </w:rPr>
        <w:t>Concluding observations on the eighteenth to twentieth periodic reports of Australia</w:t>
      </w:r>
      <w:r w:rsidRPr="00AE4E64">
        <w:rPr>
          <w:rFonts w:ascii="Open Sans" w:hAnsi="Open Sans" w:cs="Open Sans"/>
          <w:bCs/>
        </w:rPr>
        <w:t xml:space="preserve">, UN Doc </w:t>
      </w:r>
      <w:r w:rsidRPr="00AE4E64">
        <w:rPr>
          <w:rFonts w:ascii="Open Sans" w:hAnsi="Open Sans" w:cs="Open Sans"/>
        </w:rPr>
        <w:t xml:space="preserve">CERD/C/AUS/CO/18-20 </w:t>
      </w:r>
      <w:r w:rsidRPr="00AE4E64">
        <w:rPr>
          <w:rFonts w:ascii="Open Sans" w:hAnsi="Open Sans" w:cs="Open Sans"/>
          <w:bCs/>
        </w:rPr>
        <w:t xml:space="preserve">(8 December 2017) </w:t>
      </w:r>
      <w:r w:rsidRPr="00AE4E64">
        <w:rPr>
          <w:rFonts w:ascii="Open Sans" w:hAnsi="Open Sans" w:cs="Open Sans"/>
        </w:rPr>
        <w:t>6 [23].</w:t>
      </w:r>
    </w:p>
  </w:endnote>
  <w:endnote w:id="121">
    <w:p w14:paraId="72BC51A4" w14:textId="56877E9C" w:rsidR="00D705F6" w:rsidRPr="00AE4E64" w:rsidRDefault="00D705F6" w:rsidP="00BA1A75">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Committee on the Elimination of Discrimination against Women, </w:t>
      </w:r>
      <w:r w:rsidRPr="00AE4E64">
        <w:rPr>
          <w:rFonts w:ascii="Open Sans" w:hAnsi="Open Sans" w:cs="Open Sans"/>
          <w:i/>
        </w:rPr>
        <w:t>Concluding observations on the eighth periodic report of Australia</w:t>
      </w:r>
      <w:r w:rsidRPr="00AE4E64">
        <w:rPr>
          <w:rFonts w:ascii="Open Sans" w:hAnsi="Open Sans" w:cs="Open Sans"/>
        </w:rPr>
        <w:t xml:space="preserve"> 70</w:t>
      </w:r>
      <w:r w:rsidRPr="00AE4E64">
        <w:rPr>
          <w:rFonts w:ascii="Open Sans" w:hAnsi="Open Sans" w:cs="Open Sans"/>
          <w:vertAlign w:val="superscript"/>
        </w:rPr>
        <w:t>th</w:t>
      </w:r>
      <w:r w:rsidRPr="00AE4E64">
        <w:rPr>
          <w:rFonts w:ascii="Open Sans" w:hAnsi="Open Sans" w:cs="Open Sans"/>
        </w:rPr>
        <w:t xml:space="preserve"> sess, UN Doc CEDAW/C/AUS/CO/8 (25 July 2018) .</w:t>
      </w:r>
    </w:p>
  </w:endnote>
  <w:endnote w:id="122">
    <w:p w14:paraId="6DAD1265" w14:textId="77777777" w:rsidR="00D705F6" w:rsidRPr="00AE4E64" w:rsidRDefault="00D705F6" w:rsidP="000D5AEC">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Fonts w:ascii="Open Sans" w:hAnsi="Open Sans" w:cs="Open Sans"/>
        </w:rPr>
        <w:tab/>
        <w:t>Australian Human Rights Commission, ‘Children’s Rights Report’ (2017).</w:t>
      </w:r>
    </w:p>
  </w:endnote>
  <w:endnote w:id="123">
    <w:p w14:paraId="5E2DEF92" w14:textId="77777777" w:rsidR="00D705F6" w:rsidRPr="00AE4E64" w:rsidRDefault="00D705F6" w:rsidP="000D5AEC">
      <w:pPr>
        <w:pStyle w:val="EndnoteText"/>
        <w:ind w:hanging="284"/>
      </w:pPr>
      <w:r w:rsidRPr="00AE4E64">
        <w:rPr>
          <w:rStyle w:val="EndnoteReference"/>
        </w:rPr>
        <w:endnoteRef/>
      </w:r>
      <w:r w:rsidRPr="00AE4E64">
        <w:t xml:space="preserve"> </w:t>
      </w:r>
      <w:r w:rsidRPr="00AE4E64">
        <w:tab/>
      </w:r>
      <w:r w:rsidRPr="00AE4E64">
        <w:rPr>
          <w:rFonts w:ascii="Open Sans" w:hAnsi="Open Sans" w:cs="Open Sans"/>
        </w:rPr>
        <w:t>Australian Human Rights Commission, ‘Children’s Rights Report’ (2017) 18 (Recommendation 10).</w:t>
      </w:r>
    </w:p>
  </w:endnote>
  <w:endnote w:id="124">
    <w:p w14:paraId="58AEB6D8" w14:textId="54E85D53" w:rsidR="00D705F6" w:rsidRPr="00AE4E64" w:rsidRDefault="00D705F6" w:rsidP="00A53FEC">
      <w:pPr>
        <w:pStyle w:val="EndnoteText"/>
        <w:ind w:hanging="284"/>
      </w:pPr>
      <w:r w:rsidRPr="00AE4E64">
        <w:rPr>
          <w:rStyle w:val="EndnoteReference"/>
        </w:rPr>
        <w:endnoteRef/>
      </w:r>
      <w:r w:rsidRPr="00AE4E64">
        <w:t xml:space="preserve"> </w:t>
      </w:r>
      <w:r w:rsidRPr="00AE4E64">
        <w:tab/>
      </w:r>
      <w:r w:rsidRPr="00AE4E64">
        <w:rPr>
          <w:rFonts w:ascii="Open Sans" w:hAnsi="Open Sans" w:cs="Open Sans"/>
        </w:rPr>
        <w:t>Australian Human Rights Commission, ‘Children’s Rights Report’ (2017) 18 (Recommendation 5).</w:t>
      </w:r>
    </w:p>
  </w:endnote>
  <w:endnote w:id="125">
    <w:p w14:paraId="400D24CE" w14:textId="69428E3E" w:rsidR="00D705F6" w:rsidRPr="00C10CF6" w:rsidRDefault="00D705F6" w:rsidP="0062797B">
      <w:pPr>
        <w:pStyle w:val="EndnoteText"/>
        <w:ind w:hanging="284"/>
        <w:rPr>
          <w:rFonts w:ascii="Open Sans" w:hAnsi="Open Sans" w:cs="Open Sans"/>
        </w:rPr>
      </w:pPr>
      <w:r w:rsidRPr="00AE4E64">
        <w:rPr>
          <w:rStyle w:val="EndnoteReference"/>
          <w:rFonts w:cs="Open Sans"/>
        </w:rPr>
        <w:endnoteRef/>
      </w:r>
      <w:r w:rsidRPr="00AE4E64">
        <w:rPr>
          <w:rFonts w:ascii="Open Sans" w:hAnsi="Open Sans" w:cs="Open Sans"/>
        </w:rPr>
        <w:t xml:space="preserve"> </w:t>
      </w:r>
      <w:r w:rsidRPr="00AE4E64">
        <w:rPr>
          <w:rStyle w:val="EndnoteReference"/>
          <w:rFonts w:cs="Open Sans"/>
          <w:vertAlign w:val="baseline"/>
        </w:rPr>
        <w:tab/>
      </w:r>
      <w:r w:rsidRPr="00AE4E64">
        <w:rPr>
          <w:rFonts w:ascii="Open Sans" w:hAnsi="Open Sans" w:cs="Open Sans"/>
          <w:i/>
        </w:rPr>
        <w:t>International Convention on the Elimination of All Forms of Racial Discrimination</w:t>
      </w:r>
      <w:r w:rsidRPr="00AE4E64">
        <w:rPr>
          <w:rFonts w:ascii="Open Sans" w:hAnsi="Open Sans" w:cs="Open Sans"/>
        </w:rPr>
        <w:t xml:space="preserve">, opened for signature 21 December 1965, 660 UNTS 195 (entered into force 4 January 1969) articles 1(4) and 2(2) and </w:t>
      </w:r>
      <w:r w:rsidRPr="00AE4E64">
        <w:rPr>
          <w:rFonts w:ascii="Open Sans" w:hAnsi="Open Sans" w:cs="Open Sans"/>
          <w:i/>
        </w:rPr>
        <w:t xml:space="preserve">Racial Discrimination Act 1975 </w:t>
      </w:r>
      <w:r w:rsidRPr="00AE4E64">
        <w:rPr>
          <w:rFonts w:ascii="Open Sans" w:hAnsi="Open Sans" w:cs="Open Sans"/>
        </w:rPr>
        <w:t xml:space="preserve">(Cth) s 8; </w:t>
      </w:r>
      <w:r w:rsidRPr="00AE4E64">
        <w:rPr>
          <w:rFonts w:ascii="Open Sans" w:hAnsi="Open Sans" w:cs="Open Sans"/>
          <w:i/>
        </w:rPr>
        <w:t>Convention on the Elimination of All Forms of Discrimination against Women</w:t>
      </w:r>
      <w:r w:rsidRPr="00AE4E64">
        <w:rPr>
          <w:rFonts w:ascii="Open Sans" w:hAnsi="Open Sans" w:cs="Open Sans"/>
        </w:rPr>
        <w:t xml:space="preserve">, opened for signature 18 December 1979, 1249 UNTS 13 (entered into force 3 September 1981) article 4 and </w:t>
      </w:r>
      <w:r w:rsidRPr="00AE4E64">
        <w:rPr>
          <w:rFonts w:ascii="Open Sans" w:hAnsi="Open Sans" w:cs="Open Sans"/>
          <w:i/>
        </w:rPr>
        <w:t xml:space="preserve">Sex Discrimination Act 1984 </w:t>
      </w:r>
      <w:r w:rsidRPr="00AE4E64">
        <w:rPr>
          <w:rFonts w:ascii="Open Sans" w:hAnsi="Open Sans" w:cs="Open Sans"/>
        </w:rPr>
        <w:t>(Cth) s 7D.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78F4" w14:textId="77777777" w:rsidR="00D705F6" w:rsidRPr="00E4615A" w:rsidRDefault="00D705F6" w:rsidP="000465F1">
    <w:pPr>
      <w:pStyle w:val="Footer"/>
      <w:rPr>
        <w:rFonts w:ascii="Open Sans" w:hAnsi="Open Sans" w:cs="Open Sans"/>
      </w:rPr>
    </w:pPr>
    <w:r w:rsidRPr="00E4615A">
      <w:rPr>
        <w:rFonts w:ascii="Open Sans" w:hAnsi="Open Sans" w:cs="Open Sans"/>
      </w:rPr>
      <w:t>ABN 47 996 232 602</w:t>
    </w:r>
  </w:p>
  <w:p w14:paraId="1624F06D" w14:textId="77777777" w:rsidR="00D705F6" w:rsidRPr="00E4615A" w:rsidRDefault="00D705F6" w:rsidP="000465F1">
    <w:pPr>
      <w:pStyle w:val="Footer"/>
      <w:rPr>
        <w:rFonts w:ascii="Open Sans" w:hAnsi="Open Sans" w:cs="Open Sans"/>
      </w:rPr>
    </w:pPr>
    <w:r w:rsidRPr="00E4615A">
      <w:rPr>
        <w:rFonts w:ascii="Open Sans" w:hAnsi="Open Sans" w:cs="Open Sans"/>
      </w:rPr>
      <w:t>Level 3, 175 Pitt Street, Sydney NSW 2000</w:t>
    </w:r>
  </w:p>
  <w:p w14:paraId="22283986" w14:textId="77777777" w:rsidR="00D705F6" w:rsidRPr="00E4615A" w:rsidRDefault="00D705F6" w:rsidP="000465F1">
    <w:pPr>
      <w:pStyle w:val="Footer"/>
      <w:rPr>
        <w:rFonts w:ascii="Open Sans" w:hAnsi="Open Sans" w:cs="Open Sans"/>
      </w:rPr>
    </w:pPr>
    <w:r w:rsidRPr="00E4615A">
      <w:rPr>
        <w:rFonts w:ascii="Open Sans" w:hAnsi="Open Sans" w:cs="Open Sans"/>
      </w:rPr>
      <w:t>GPO Box 5218, Sydney NSW 2001</w:t>
    </w:r>
  </w:p>
  <w:p w14:paraId="7C339ECB" w14:textId="77777777" w:rsidR="00D705F6" w:rsidRPr="00E4615A" w:rsidRDefault="00D705F6" w:rsidP="000465F1">
    <w:pPr>
      <w:pStyle w:val="Footer"/>
      <w:rPr>
        <w:rFonts w:ascii="Open Sans" w:hAnsi="Open Sans" w:cs="Open Sans"/>
      </w:rPr>
    </w:pPr>
    <w:r w:rsidRPr="00E4615A">
      <w:rPr>
        <w:rFonts w:ascii="Open Sans" w:hAnsi="Open Sans" w:cs="Open Sans"/>
      </w:rPr>
      <w:t>General enquiries 1300 369 711</w:t>
    </w:r>
  </w:p>
  <w:p w14:paraId="635FDF22" w14:textId="77777777" w:rsidR="00D705F6" w:rsidRPr="00E4615A" w:rsidRDefault="00D705F6" w:rsidP="000465F1">
    <w:pPr>
      <w:pStyle w:val="Footer"/>
      <w:rPr>
        <w:rFonts w:ascii="Open Sans" w:hAnsi="Open Sans" w:cs="Open Sans"/>
      </w:rPr>
    </w:pPr>
    <w:r w:rsidRPr="00E4615A">
      <w:rPr>
        <w:rFonts w:ascii="Open Sans" w:hAnsi="Open Sans" w:cs="Open Sans"/>
      </w:rPr>
      <w:t>Complaints info line 1300 656 419</w:t>
    </w:r>
  </w:p>
  <w:p w14:paraId="70001243" w14:textId="77777777" w:rsidR="00D705F6" w:rsidRPr="00E4615A" w:rsidRDefault="00D705F6" w:rsidP="000465F1">
    <w:pPr>
      <w:pStyle w:val="Footer"/>
      <w:rPr>
        <w:rFonts w:ascii="Open Sans" w:hAnsi="Open Sans" w:cs="Open Sans"/>
      </w:rPr>
    </w:pPr>
    <w:r w:rsidRPr="00E4615A">
      <w:rPr>
        <w:rFonts w:ascii="Open Sans" w:hAnsi="Open Sans" w:cs="Open Sans"/>
      </w:rPr>
      <w:t>TTY 1800 620 241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1A1B" w14:textId="3370800A" w:rsidR="00D705F6" w:rsidRPr="00BB07FB" w:rsidRDefault="00D705F6" w:rsidP="00BB07FB">
    <w:pPr>
      <w:pStyle w:val="Footer"/>
      <w:jc w:val="right"/>
      <w:rPr>
        <w:rFonts w:ascii="Open Sans" w:hAnsi="Open Sans" w:cs="Open Sans"/>
      </w:rPr>
    </w:pPr>
    <w:r w:rsidRPr="00BB07FB">
      <w:rPr>
        <w:rFonts w:ascii="Open Sans" w:hAnsi="Open Sans" w:cs="Open Sans"/>
      </w:rPr>
      <w:fldChar w:fldCharType="begin"/>
    </w:r>
    <w:r w:rsidRPr="00BB07FB">
      <w:rPr>
        <w:rFonts w:ascii="Open Sans" w:hAnsi="Open Sans" w:cs="Open Sans"/>
      </w:rPr>
      <w:instrText xml:space="preserve"> PAGE   \* MERGEFORMAT </w:instrText>
    </w:r>
    <w:r w:rsidRPr="00BB07FB">
      <w:rPr>
        <w:rFonts w:ascii="Open Sans" w:hAnsi="Open Sans" w:cs="Open Sans"/>
      </w:rPr>
      <w:fldChar w:fldCharType="separate"/>
    </w:r>
    <w:r w:rsidR="00C85B20">
      <w:rPr>
        <w:rFonts w:ascii="Open Sans" w:hAnsi="Open Sans" w:cs="Open Sans"/>
        <w:noProof/>
      </w:rPr>
      <w:t>22</w:t>
    </w:r>
    <w:r w:rsidRPr="00BB07FB">
      <w:rPr>
        <w:rFonts w:ascii="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10E9" w14:textId="6ADFD62B" w:rsidR="00D705F6" w:rsidRPr="008037B9" w:rsidRDefault="00D705F6" w:rsidP="00E53546">
    <w:pPr>
      <w:pStyle w:val="FooterOddPageNumber"/>
      <w:rPr>
        <w:rFonts w:ascii="Open Sans" w:hAnsi="Open Sans" w:cs="Open Sans"/>
      </w:rPr>
    </w:pPr>
    <w:r w:rsidRPr="008037B9">
      <w:rPr>
        <w:rFonts w:ascii="Open Sans" w:hAnsi="Open Sans" w:cs="Open Sans"/>
      </w:rPr>
      <w:fldChar w:fldCharType="begin"/>
    </w:r>
    <w:r w:rsidRPr="008037B9">
      <w:rPr>
        <w:rFonts w:ascii="Open Sans" w:hAnsi="Open Sans" w:cs="Open Sans"/>
      </w:rPr>
      <w:instrText xml:space="preserve"> PAGE   \* MERGEFORMAT </w:instrText>
    </w:r>
    <w:r w:rsidRPr="008037B9">
      <w:rPr>
        <w:rFonts w:ascii="Open Sans" w:hAnsi="Open Sans" w:cs="Open Sans"/>
      </w:rPr>
      <w:fldChar w:fldCharType="separate"/>
    </w:r>
    <w:r w:rsidR="00C85B20">
      <w:rPr>
        <w:rFonts w:ascii="Open Sans" w:hAnsi="Open Sans" w:cs="Open Sans"/>
        <w:noProof/>
      </w:rPr>
      <w:t>23</w:t>
    </w:r>
    <w:r w:rsidRPr="008037B9">
      <w:rPr>
        <w:rFonts w:ascii="Open Sans" w:hAnsi="Open Sans" w:cs="Open San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F962" w14:textId="2BC888F5" w:rsidR="00D705F6" w:rsidRDefault="00D705F6" w:rsidP="00E53546">
    <w:pPr>
      <w:pStyle w:val="FooterEvenPageNumber"/>
    </w:pPr>
    <w:r w:rsidRPr="00F127A8">
      <w:fldChar w:fldCharType="begin"/>
    </w:r>
    <w:r>
      <w:instrText xml:space="preserve"> PAGE   \* MERGEFORMAT </w:instrText>
    </w:r>
    <w:r w:rsidRPr="00F127A8">
      <w:fldChar w:fldCharType="separate"/>
    </w:r>
    <w:r w:rsidR="00C85B2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1F08" w14:textId="77777777" w:rsidR="00D705F6" w:rsidRDefault="00D705F6" w:rsidP="00F14C6D">
      <w:r>
        <w:separator/>
      </w:r>
    </w:p>
  </w:footnote>
  <w:footnote w:type="continuationSeparator" w:id="0">
    <w:p w14:paraId="201ED457" w14:textId="77777777" w:rsidR="00D705F6" w:rsidRDefault="00D705F6"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3151" w14:textId="77777777" w:rsidR="00D705F6" w:rsidRPr="000465F1" w:rsidRDefault="00D705F6" w:rsidP="000465F1">
    <w:pPr>
      <w:pStyle w:val="Header"/>
    </w:pPr>
    <w:r>
      <w:pict w14:anchorId="4E69B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alt="report watermark" style="position:absolute;left:0;text-align:left;margin-left:0;margin-top:0;width:930.9pt;height:1359.95pt;z-index:-251658752;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Pr="000465F1">
      <w:t>Australian Human Rights Commission</w:t>
    </w:r>
  </w:p>
  <w:p w14:paraId="552EBB47" w14:textId="77777777" w:rsidR="00D705F6" w:rsidRPr="00622508" w:rsidRDefault="00D705F6"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D621" w14:textId="77777777" w:rsidR="00D705F6" w:rsidRPr="000465F1" w:rsidRDefault="00D705F6" w:rsidP="000465F1">
    <w:r>
      <w:pict w14:anchorId="704C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alt="report watermark" style="position:absolute;margin-left:0;margin-top:0;width:930.9pt;height:1359.95pt;z-index:-25165772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Pr="000465F1">
      <w:t>Australian Human Rights Commission</w:t>
    </w:r>
  </w:p>
  <w:p w14:paraId="6089A673" w14:textId="77777777" w:rsidR="00D705F6" w:rsidRPr="000465F1" w:rsidRDefault="00D705F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4A90" w14:textId="3509EAD8" w:rsidR="00D705F6" w:rsidRPr="00391EC5" w:rsidRDefault="00D705F6" w:rsidP="002012F7">
    <w:pPr>
      <w:pStyle w:val="Header"/>
      <w:rPr>
        <w:rFonts w:ascii="Open Sans" w:hAnsi="Open Sans" w:cs="Open Sans"/>
      </w:rPr>
    </w:pPr>
    <w:r>
      <w:rPr>
        <w:rFonts w:ascii="Open Sans" w:hAnsi="Open Sans" w:cs="Open Sans"/>
        <w:noProof/>
        <w:lang w:eastAsia="en-AU"/>
      </w:rPr>
      <w:drawing>
        <wp:anchor distT="0" distB="0" distL="114300" distR="114300" simplePos="0" relativeHeight="251659776" behindDoc="1" locked="0" layoutInCell="0" allowOverlap="1" wp14:anchorId="66254137" wp14:editId="571ECAE9">
          <wp:simplePos x="0" y="0"/>
          <wp:positionH relativeFrom="margin">
            <wp:posOffset>-878205</wp:posOffset>
          </wp:positionH>
          <wp:positionV relativeFrom="margin">
            <wp:posOffset>-915670</wp:posOffset>
          </wp:positionV>
          <wp:extent cx="7557770" cy="11383645"/>
          <wp:effectExtent l="0" t="0" r="5080" b="8255"/>
          <wp:wrapNone/>
          <wp:docPr id="1" name="Picture 1" descr="report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1383645"/>
                  </a:xfrm>
                  <a:prstGeom prst="rect">
                    <a:avLst/>
                  </a:prstGeom>
                  <a:noFill/>
                </pic:spPr>
              </pic:pic>
            </a:graphicData>
          </a:graphic>
          <wp14:sizeRelH relativeFrom="page">
            <wp14:pctWidth>0</wp14:pctWidth>
          </wp14:sizeRelH>
          <wp14:sizeRelV relativeFrom="page">
            <wp14:pctHeight>0</wp14:pctHeight>
          </wp14:sizeRelV>
        </wp:anchor>
      </w:drawing>
    </w:r>
  </w:p>
  <w:p w14:paraId="22263A33" w14:textId="6909B8F8" w:rsidR="00D705F6" w:rsidRPr="00391EC5" w:rsidRDefault="00D705F6" w:rsidP="002012F7">
    <w:pPr>
      <w:pStyle w:val="Header"/>
      <w:rPr>
        <w:rFonts w:ascii="Open Sans" w:hAnsi="Open Sans" w:cs="Open Sans"/>
      </w:rPr>
    </w:pPr>
  </w:p>
  <w:p w14:paraId="2F937FBC" w14:textId="77777777" w:rsidR="00D705F6" w:rsidRPr="00391EC5" w:rsidRDefault="00D705F6" w:rsidP="002012F7">
    <w:pPr>
      <w:pStyle w:val="Header"/>
      <w:rPr>
        <w:rFonts w:ascii="Open Sans" w:hAnsi="Open Sans" w:cs="Open San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BB13" w14:textId="77777777" w:rsidR="00D705F6" w:rsidRPr="00D51E60" w:rsidRDefault="00D705F6" w:rsidP="0015239E">
    <w:pPr>
      <w:pStyle w:val="Header"/>
      <w:rPr>
        <w:rFonts w:ascii="Open Sans" w:hAnsi="Open Sans" w:cs="Open Sans"/>
      </w:rPr>
    </w:pPr>
    <w:r w:rsidRPr="00D51E60">
      <w:rPr>
        <w:rFonts w:ascii="Open Sans" w:hAnsi="Open Sans" w:cs="Open Sans"/>
      </w:rPr>
      <w:t>Australian Human Rights Commission</w:t>
    </w:r>
  </w:p>
  <w:p w14:paraId="60CD9BF8" w14:textId="18C0CED4" w:rsidR="00D705F6" w:rsidRDefault="00D705F6" w:rsidP="0015239E">
    <w:pPr>
      <w:pStyle w:val="HeaderDocumentDate"/>
      <w:rPr>
        <w:rFonts w:ascii="Open Sans" w:hAnsi="Open Sans" w:cs="Open Sans"/>
      </w:rPr>
    </w:pPr>
    <w:r>
      <w:rPr>
        <w:rStyle w:val="HeaderDocumentTitle"/>
        <w:rFonts w:cs="Open Sans"/>
      </w:rPr>
      <w:t>ParentsNext</w:t>
    </w:r>
    <w:r w:rsidRPr="00D51E60">
      <w:rPr>
        <w:rStyle w:val="HeaderDocumentTitle"/>
        <w:rFonts w:cs="Open Sans"/>
      </w:rPr>
      <w:t>,</w:t>
    </w:r>
    <w:r w:rsidRPr="00D51E60">
      <w:rPr>
        <w:rFonts w:ascii="Open Sans" w:hAnsi="Open Sans" w:cs="Open Sans"/>
      </w:rPr>
      <w:t xml:space="preserve"> </w:t>
    </w:r>
    <w:r>
      <w:rPr>
        <w:rFonts w:ascii="Open Sans" w:hAnsi="Open Sans" w:cs="Open Sans"/>
      </w:rPr>
      <w:t>1 February 2019</w:t>
    </w:r>
  </w:p>
  <w:p w14:paraId="37CB5A7B" w14:textId="77777777" w:rsidR="00D705F6" w:rsidRPr="00D51E60" w:rsidRDefault="00D705F6" w:rsidP="0015239E">
    <w:pPr>
      <w:pStyle w:val="HeaderDocumentDate"/>
      <w:rPr>
        <w:rFonts w:ascii="Open Sans" w:hAnsi="Open Sans" w:cs="Open San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F779" w14:textId="77777777" w:rsidR="00D705F6" w:rsidRPr="00B4065D" w:rsidRDefault="00D705F6" w:rsidP="00CA5D90">
    <w:pPr>
      <w:pStyle w:val="Header"/>
      <w:rPr>
        <w:rFonts w:ascii="Open Sans" w:hAnsi="Open Sans" w:cs="Open Sans"/>
      </w:rPr>
    </w:pPr>
    <w:bookmarkStart w:id="46" w:name="_Hlk514672172"/>
    <w:bookmarkStart w:id="47" w:name="_Hlk514672173"/>
    <w:r w:rsidRPr="00B4065D">
      <w:rPr>
        <w:rFonts w:ascii="Open Sans" w:hAnsi="Open Sans" w:cs="Open Sans"/>
      </w:rPr>
      <w:t>Australian Human Rights Commission</w:t>
    </w:r>
  </w:p>
  <w:bookmarkEnd w:id="46"/>
  <w:bookmarkEnd w:id="47"/>
  <w:p w14:paraId="1A33B4B3" w14:textId="410DF7D3" w:rsidR="00D705F6" w:rsidRDefault="00D705F6" w:rsidP="002F5E96">
    <w:pPr>
      <w:pStyle w:val="HeaderDocumentDate"/>
      <w:rPr>
        <w:rFonts w:ascii="Open Sans" w:hAnsi="Open Sans" w:cs="Open Sans"/>
      </w:rPr>
    </w:pPr>
    <w:r>
      <w:rPr>
        <w:rStyle w:val="HeaderDocumentTitle"/>
        <w:rFonts w:cs="Open Sans"/>
      </w:rPr>
      <w:t>ParentsNext</w:t>
    </w:r>
    <w:r w:rsidRPr="00B4065D">
      <w:rPr>
        <w:rStyle w:val="HeaderDocumentTitle"/>
        <w:rFonts w:cs="Open Sans"/>
      </w:rPr>
      <w:t>,</w:t>
    </w:r>
    <w:r w:rsidRPr="00B4065D">
      <w:rPr>
        <w:rFonts w:ascii="Open Sans" w:hAnsi="Open Sans" w:cs="Open Sans"/>
      </w:rPr>
      <w:t xml:space="preserve"> </w:t>
    </w:r>
    <w:r>
      <w:rPr>
        <w:rFonts w:ascii="Open Sans" w:hAnsi="Open Sans" w:cs="Open Sans"/>
      </w:rPr>
      <w:t>1 February 2019</w:t>
    </w:r>
  </w:p>
  <w:p w14:paraId="4FE928B3" w14:textId="77777777" w:rsidR="00D705F6" w:rsidRPr="00B4065D" w:rsidRDefault="00D705F6" w:rsidP="002F5E96">
    <w:pPr>
      <w:pStyle w:val="HeaderDocumentDate"/>
      <w:rPr>
        <w:rFonts w:ascii="Open Sans" w:hAnsi="Open Sans" w:cs="Open San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C9DFE" w14:textId="77777777" w:rsidR="00D705F6" w:rsidRPr="005F59A8" w:rsidRDefault="00D705F6" w:rsidP="0063009F">
    <w:pPr>
      <w:pStyle w:val="Header"/>
      <w:rPr>
        <w:rFonts w:ascii="Open Sans" w:hAnsi="Open Sans" w:cs="Open Sans"/>
      </w:rPr>
    </w:pPr>
    <w:r w:rsidRPr="005F59A8">
      <w:rPr>
        <w:rFonts w:ascii="Open Sans" w:hAnsi="Open Sans" w:cs="Open Sans"/>
      </w:rPr>
      <w:t>Australian Human Rights Commission</w:t>
    </w:r>
  </w:p>
  <w:p w14:paraId="51E5F609" w14:textId="291FF357" w:rsidR="00D705F6" w:rsidRPr="005F59A8" w:rsidRDefault="00D705F6" w:rsidP="0063009F">
    <w:pPr>
      <w:pStyle w:val="HeaderDocumentDate"/>
      <w:rPr>
        <w:rFonts w:ascii="Open Sans" w:hAnsi="Open Sans" w:cs="Open Sans"/>
      </w:rPr>
    </w:pPr>
    <w:r>
      <w:rPr>
        <w:rStyle w:val="HeaderDocumentTitle"/>
        <w:rFonts w:cs="Open Sans"/>
      </w:rPr>
      <w:t>ParentsNext</w:t>
    </w:r>
    <w:r w:rsidRPr="005F59A8">
      <w:rPr>
        <w:rStyle w:val="HeaderDocumentTitle"/>
        <w:rFonts w:cs="Open Sans"/>
      </w:rPr>
      <w:t>,</w:t>
    </w:r>
    <w:r w:rsidRPr="005F59A8">
      <w:rPr>
        <w:rFonts w:ascii="Open Sans" w:hAnsi="Open Sans" w:cs="Open Sans"/>
      </w:rPr>
      <w:t xml:space="preserve"> </w:t>
    </w:r>
    <w:r>
      <w:rPr>
        <w:rFonts w:ascii="Open Sans" w:hAnsi="Open Sans" w:cs="Open Sans"/>
      </w:rPr>
      <w:t>1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C2D6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20C080D"/>
    <w:multiLevelType w:val="hybridMultilevel"/>
    <w:tmpl w:val="FF18FC3A"/>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A6341B1"/>
    <w:multiLevelType w:val="hybridMultilevel"/>
    <w:tmpl w:val="D2861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CC2E8E"/>
    <w:multiLevelType w:val="hybridMultilevel"/>
    <w:tmpl w:val="5FB28928"/>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5" w15:restartNumberingAfterBreak="0">
    <w:nsid w:val="37834CB2"/>
    <w:multiLevelType w:val="hybridMultilevel"/>
    <w:tmpl w:val="0AD61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B64AC7"/>
    <w:multiLevelType w:val="hybridMultilevel"/>
    <w:tmpl w:val="2A22CA8C"/>
    <w:lvl w:ilvl="0" w:tplc="10421D1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606D1F"/>
    <w:multiLevelType w:val="hybridMultilevel"/>
    <w:tmpl w:val="0932416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9"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CC02378"/>
    <w:multiLevelType w:val="hybridMultilevel"/>
    <w:tmpl w:val="B63A48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2627442"/>
    <w:multiLevelType w:val="hybridMultilevel"/>
    <w:tmpl w:val="A38A71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7"/>
  </w:num>
  <w:num w:numId="14">
    <w:abstractNumId w:val="12"/>
  </w:num>
  <w:num w:numId="15">
    <w:abstractNumId w:val="11"/>
  </w:num>
  <w:num w:numId="16">
    <w:abstractNumId w:val="18"/>
  </w:num>
  <w:num w:numId="17">
    <w:abstractNumId w:val="14"/>
  </w:num>
  <w:num w:numId="18">
    <w:abstractNumId w:val="10"/>
  </w:num>
  <w:num w:numId="19">
    <w:abstractNumId w:val="22"/>
  </w:num>
  <w:num w:numId="20">
    <w:abstractNumId w:val="20"/>
  </w:num>
  <w:num w:numId="21">
    <w:abstractNumId w:val="13"/>
  </w:num>
  <w:num w:numId="22">
    <w:abstractNumId w:val="8"/>
  </w:num>
  <w:num w:numId="23">
    <w:abstractNumId w:val="16"/>
  </w:num>
  <w:num w:numId="24">
    <w:abstractNumId w:val="8"/>
  </w:num>
  <w:num w:numId="25">
    <w:abstractNumId w:val="8"/>
  </w:num>
  <w:num w:numId="26">
    <w:abstractNumId w:val="8"/>
  </w:num>
  <w:num w:numId="27">
    <w:abstractNumId w:val="19"/>
  </w:num>
  <w:num w:numId="28">
    <w:abstractNumId w:val="19"/>
  </w:num>
  <w:num w:numId="29">
    <w:abstractNumId w:val="19"/>
  </w:num>
  <w:num w:numId="30">
    <w:abstractNumId w:val="19"/>
  </w:num>
  <w:num w:numId="31">
    <w:abstractNumId w:val="19"/>
  </w:num>
  <w:num w:numId="32">
    <w:abstractNumId w:val="15"/>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lvlOverride w:ilvl="0">
      <w:startOverride w:val="1"/>
    </w:lvlOverride>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lvlOverride w:ilvl="0">
      <w:startOverride w:val="1"/>
    </w:lvlOverride>
  </w:num>
  <w:num w:numId="50">
    <w:abstractNumId w:val="8"/>
  </w:num>
  <w:num w:numId="51">
    <w:abstractNumId w:val="8"/>
  </w:num>
  <w:num w:numId="52">
    <w:abstractNumId w:val="8"/>
  </w:num>
  <w:num w:numId="53">
    <w:abstractNumId w:val="8"/>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10"/>
    <w:rsid w:val="0000075F"/>
    <w:rsid w:val="000015EC"/>
    <w:rsid w:val="00001CA1"/>
    <w:rsid w:val="00002B87"/>
    <w:rsid w:val="000032A1"/>
    <w:rsid w:val="00003EA5"/>
    <w:rsid w:val="00007FBD"/>
    <w:rsid w:val="0001008E"/>
    <w:rsid w:val="00010179"/>
    <w:rsid w:val="000108D5"/>
    <w:rsid w:val="000113A8"/>
    <w:rsid w:val="000132F1"/>
    <w:rsid w:val="0001399D"/>
    <w:rsid w:val="00015DFE"/>
    <w:rsid w:val="000161C2"/>
    <w:rsid w:val="0002193D"/>
    <w:rsid w:val="00023E02"/>
    <w:rsid w:val="0002476A"/>
    <w:rsid w:val="00025E95"/>
    <w:rsid w:val="0003011D"/>
    <w:rsid w:val="000314CD"/>
    <w:rsid w:val="0003232A"/>
    <w:rsid w:val="000326D4"/>
    <w:rsid w:val="000331D2"/>
    <w:rsid w:val="00036056"/>
    <w:rsid w:val="00036B4C"/>
    <w:rsid w:val="00036B52"/>
    <w:rsid w:val="00036BE4"/>
    <w:rsid w:val="00040C65"/>
    <w:rsid w:val="0004100A"/>
    <w:rsid w:val="000430B8"/>
    <w:rsid w:val="000443F7"/>
    <w:rsid w:val="00044B6A"/>
    <w:rsid w:val="00045712"/>
    <w:rsid w:val="00045C4B"/>
    <w:rsid w:val="000465F1"/>
    <w:rsid w:val="00050229"/>
    <w:rsid w:val="000509C3"/>
    <w:rsid w:val="00055382"/>
    <w:rsid w:val="00056BE6"/>
    <w:rsid w:val="000579B1"/>
    <w:rsid w:val="00060465"/>
    <w:rsid w:val="00061154"/>
    <w:rsid w:val="00061C6C"/>
    <w:rsid w:val="00062664"/>
    <w:rsid w:val="00062AFE"/>
    <w:rsid w:val="00063870"/>
    <w:rsid w:val="00065316"/>
    <w:rsid w:val="00065745"/>
    <w:rsid w:val="00065994"/>
    <w:rsid w:val="00066E17"/>
    <w:rsid w:val="00067C8D"/>
    <w:rsid w:val="00070C6C"/>
    <w:rsid w:val="000727B6"/>
    <w:rsid w:val="00072EDA"/>
    <w:rsid w:val="00073C8A"/>
    <w:rsid w:val="0007420F"/>
    <w:rsid w:val="00075B6E"/>
    <w:rsid w:val="00080ACD"/>
    <w:rsid w:val="000826DE"/>
    <w:rsid w:val="00082E59"/>
    <w:rsid w:val="00082F50"/>
    <w:rsid w:val="00084C9D"/>
    <w:rsid w:val="0008562B"/>
    <w:rsid w:val="00085CB9"/>
    <w:rsid w:val="000878F9"/>
    <w:rsid w:val="00087A8B"/>
    <w:rsid w:val="00091318"/>
    <w:rsid w:val="00091742"/>
    <w:rsid w:val="00091E54"/>
    <w:rsid w:val="000926A9"/>
    <w:rsid w:val="0009274B"/>
    <w:rsid w:val="000946A5"/>
    <w:rsid w:val="00096DAD"/>
    <w:rsid w:val="000A0205"/>
    <w:rsid w:val="000A1093"/>
    <w:rsid w:val="000A1DB8"/>
    <w:rsid w:val="000A48AC"/>
    <w:rsid w:val="000A520E"/>
    <w:rsid w:val="000A5ACC"/>
    <w:rsid w:val="000A67F9"/>
    <w:rsid w:val="000A70C7"/>
    <w:rsid w:val="000A7FC1"/>
    <w:rsid w:val="000B02E9"/>
    <w:rsid w:val="000B0603"/>
    <w:rsid w:val="000B0A5D"/>
    <w:rsid w:val="000B1ADE"/>
    <w:rsid w:val="000B1CB3"/>
    <w:rsid w:val="000B26C3"/>
    <w:rsid w:val="000B4C1D"/>
    <w:rsid w:val="000B5B68"/>
    <w:rsid w:val="000B6F6D"/>
    <w:rsid w:val="000B7A57"/>
    <w:rsid w:val="000C05F6"/>
    <w:rsid w:val="000C0EB1"/>
    <w:rsid w:val="000C1736"/>
    <w:rsid w:val="000C252B"/>
    <w:rsid w:val="000C4273"/>
    <w:rsid w:val="000C5608"/>
    <w:rsid w:val="000C5DA6"/>
    <w:rsid w:val="000C6B19"/>
    <w:rsid w:val="000C6DB3"/>
    <w:rsid w:val="000C728A"/>
    <w:rsid w:val="000C7A94"/>
    <w:rsid w:val="000D2424"/>
    <w:rsid w:val="000D571F"/>
    <w:rsid w:val="000D5AEC"/>
    <w:rsid w:val="000D654D"/>
    <w:rsid w:val="000E0258"/>
    <w:rsid w:val="000E130A"/>
    <w:rsid w:val="000E1C3F"/>
    <w:rsid w:val="000E20E5"/>
    <w:rsid w:val="000E2A4B"/>
    <w:rsid w:val="000E326C"/>
    <w:rsid w:val="000E3682"/>
    <w:rsid w:val="000E4810"/>
    <w:rsid w:val="000E4C93"/>
    <w:rsid w:val="000E4D76"/>
    <w:rsid w:val="000E5B49"/>
    <w:rsid w:val="000E6E03"/>
    <w:rsid w:val="000F1850"/>
    <w:rsid w:val="000F1EE3"/>
    <w:rsid w:val="000F2915"/>
    <w:rsid w:val="000F45F9"/>
    <w:rsid w:val="000F538A"/>
    <w:rsid w:val="000F6385"/>
    <w:rsid w:val="000F66D7"/>
    <w:rsid w:val="0010070F"/>
    <w:rsid w:val="00101263"/>
    <w:rsid w:val="00103CBB"/>
    <w:rsid w:val="00105C47"/>
    <w:rsid w:val="001064A6"/>
    <w:rsid w:val="001064DD"/>
    <w:rsid w:val="001066AA"/>
    <w:rsid w:val="00111717"/>
    <w:rsid w:val="00112CE0"/>
    <w:rsid w:val="001132D9"/>
    <w:rsid w:val="00113646"/>
    <w:rsid w:val="00113FC5"/>
    <w:rsid w:val="00116189"/>
    <w:rsid w:val="00116F90"/>
    <w:rsid w:val="00120820"/>
    <w:rsid w:val="00123A23"/>
    <w:rsid w:val="00124D4B"/>
    <w:rsid w:val="00126B22"/>
    <w:rsid w:val="001277E9"/>
    <w:rsid w:val="001301A2"/>
    <w:rsid w:val="00130446"/>
    <w:rsid w:val="00131DFA"/>
    <w:rsid w:val="00134774"/>
    <w:rsid w:val="00134D57"/>
    <w:rsid w:val="00134D99"/>
    <w:rsid w:val="00135762"/>
    <w:rsid w:val="00135BF9"/>
    <w:rsid w:val="00136632"/>
    <w:rsid w:val="00137640"/>
    <w:rsid w:val="00140274"/>
    <w:rsid w:val="00142221"/>
    <w:rsid w:val="00144125"/>
    <w:rsid w:val="001441E6"/>
    <w:rsid w:val="00144C57"/>
    <w:rsid w:val="00145C4E"/>
    <w:rsid w:val="001464B4"/>
    <w:rsid w:val="00146DFC"/>
    <w:rsid w:val="00150C58"/>
    <w:rsid w:val="00151263"/>
    <w:rsid w:val="001513C2"/>
    <w:rsid w:val="00151EBA"/>
    <w:rsid w:val="0015239E"/>
    <w:rsid w:val="00152615"/>
    <w:rsid w:val="00152762"/>
    <w:rsid w:val="001532B8"/>
    <w:rsid w:val="00154795"/>
    <w:rsid w:val="0015608F"/>
    <w:rsid w:val="00156399"/>
    <w:rsid w:val="0015739A"/>
    <w:rsid w:val="0016058C"/>
    <w:rsid w:val="00160C5D"/>
    <w:rsid w:val="00161D8C"/>
    <w:rsid w:val="00162311"/>
    <w:rsid w:val="0016266F"/>
    <w:rsid w:val="00162A8D"/>
    <w:rsid w:val="0016572A"/>
    <w:rsid w:val="00165E3C"/>
    <w:rsid w:val="00166E80"/>
    <w:rsid w:val="00166EB2"/>
    <w:rsid w:val="00167546"/>
    <w:rsid w:val="00167758"/>
    <w:rsid w:val="0017043F"/>
    <w:rsid w:val="0017164B"/>
    <w:rsid w:val="0017176B"/>
    <w:rsid w:val="0017188B"/>
    <w:rsid w:val="001722E5"/>
    <w:rsid w:val="001723A4"/>
    <w:rsid w:val="00173CA4"/>
    <w:rsid w:val="00173FB5"/>
    <w:rsid w:val="001740E6"/>
    <w:rsid w:val="00174657"/>
    <w:rsid w:val="00174927"/>
    <w:rsid w:val="00174AAF"/>
    <w:rsid w:val="00174D9A"/>
    <w:rsid w:val="00177260"/>
    <w:rsid w:val="00181192"/>
    <w:rsid w:val="00181386"/>
    <w:rsid w:val="0018283D"/>
    <w:rsid w:val="00185703"/>
    <w:rsid w:val="001923E8"/>
    <w:rsid w:val="00193065"/>
    <w:rsid w:val="00193320"/>
    <w:rsid w:val="0019339F"/>
    <w:rsid w:val="00193B15"/>
    <w:rsid w:val="00194544"/>
    <w:rsid w:val="0019503E"/>
    <w:rsid w:val="00195D7A"/>
    <w:rsid w:val="00195EDE"/>
    <w:rsid w:val="001A0830"/>
    <w:rsid w:val="001A2E4A"/>
    <w:rsid w:val="001A56F0"/>
    <w:rsid w:val="001A66CA"/>
    <w:rsid w:val="001A75DB"/>
    <w:rsid w:val="001B0353"/>
    <w:rsid w:val="001B035F"/>
    <w:rsid w:val="001B18FC"/>
    <w:rsid w:val="001B2D80"/>
    <w:rsid w:val="001B4A99"/>
    <w:rsid w:val="001B5E3F"/>
    <w:rsid w:val="001B7456"/>
    <w:rsid w:val="001C1F8B"/>
    <w:rsid w:val="001C22C7"/>
    <w:rsid w:val="001C5469"/>
    <w:rsid w:val="001C6447"/>
    <w:rsid w:val="001D0FD2"/>
    <w:rsid w:val="001D180D"/>
    <w:rsid w:val="001D764B"/>
    <w:rsid w:val="001D7759"/>
    <w:rsid w:val="001E3D28"/>
    <w:rsid w:val="001E441D"/>
    <w:rsid w:val="001E5676"/>
    <w:rsid w:val="001F2BBB"/>
    <w:rsid w:val="001F3301"/>
    <w:rsid w:val="001F3B64"/>
    <w:rsid w:val="001F4E95"/>
    <w:rsid w:val="001F52FD"/>
    <w:rsid w:val="001F597F"/>
    <w:rsid w:val="001F62CC"/>
    <w:rsid w:val="001F7E61"/>
    <w:rsid w:val="00200306"/>
    <w:rsid w:val="00200677"/>
    <w:rsid w:val="00200E4D"/>
    <w:rsid w:val="002012F7"/>
    <w:rsid w:val="002027F6"/>
    <w:rsid w:val="002036A3"/>
    <w:rsid w:val="002037B6"/>
    <w:rsid w:val="00204602"/>
    <w:rsid w:val="0020483D"/>
    <w:rsid w:val="00204ED7"/>
    <w:rsid w:val="0020631B"/>
    <w:rsid w:val="002068EB"/>
    <w:rsid w:val="0020789F"/>
    <w:rsid w:val="002078E3"/>
    <w:rsid w:val="00210DDB"/>
    <w:rsid w:val="00210FAC"/>
    <w:rsid w:val="002150DF"/>
    <w:rsid w:val="00216AD1"/>
    <w:rsid w:val="00220A74"/>
    <w:rsid w:val="00221364"/>
    <w:rsid w:val="00222738"/>
    <w:rsid w:val="00222AEE"/>
    <w:rsid w:val="002251D9"/>
    <w:rsid w:val="0022747C"/>
    <w:rsid w:val="00227FDA"/>
    <w:rsid w:val="0023066A"/>
    <w:rsid w:val="00231ED1"/>
    <w:rsid w:val="0023212C"/>
    <w:rsid w:val="00233C32"/>
    <w:rsid w:val="0023550E"/>
    <w:rsid w:val="00235CCB"/>
    <w:rsid w:val="00241523"/>
    <w:rsid w:val="00242624"/>
    <w:rsid w:val="00242BC6"/>
    <w:rsid w:val="002433D9"/>
    <w:rsid w:val="00243B0B"/>
    <w:rsid w:val="0024557E"/>
    <w:rsid w:val="002471FD"/>
    <w:rsid w:val="00250831"/>
    <w:rsid w:val="00251148"/>
    <w:rsid w:val="002514D7"/>
    <w:rsid w:val="00251F12"/>
    <w:rsid w:val="00253115"/>
    <w:rsid w:val="00253FC1"/>
    <w:rsid w:val="00254EE7"/>
    <w:rsid w:val="00255D74"/>
    <w:rsid w:val="00257670"/>
    <w:rsid w:val="00260537"/>
    <w:rsid w:val="002632EA"/>
    <w:rsid w:val="00263D0B"/>
    <w:rsid w:val="002643CE"/>
    <w:rsid w:val="002643D5"/>
    <w:rsid w:val="00264A2A"/>
    <w:rsid w:val="00264C5D"/>
    <w:rsid w:val="00264DE6"/>
    <w:rsid w:val="00265CBE"/>
    <w:rsid w:val="0026647D"/>
    <w:rsid w:val="00267673"/>
    <w:rsid w:val="0027040A"/>
    <w:rsid w:val="00270872"/>
    <w:rsid w:val="002758B5"/>
    <w:rsid w:val="00276840"/>
    <w:rsid w:val="002845F0"/>
    <w:rsid w:val="00284D42"/>
    <w:rsid w:val="0028506A"/>
    <w:rsid w:val="002850B0"/>
    <w:rsid w:val="002863D7"/>
    <w:rsid w:val="002873B4"/>
    <w:rsid w:val="00290716"/>
    <w:rsid w:val="00291C2D"/>
    <w:rsid w:val="00291F90"/>
    <w:rsid w:val="002921AC"/>
    <w:rsid w:val="00292AB5"/>
    <w:rsid w:val="002938A1"/>
    <w:rsid w:val="0029475A"/>
    <w:rsid w:val="00294A13"/>
    <w:rsid w:val="002964D0"/>
    <w:rsid w:val="00296F57"/>
    <w:rsid w:val="00297305"/>
    <w:rsid w:val="002976DA"/>
    <w:rsid w:val="002A0DB6"/>
    <w:rsid w:val="002A1FA7"/>
    <w:rsid w:val="002A43C2"/>
    <w:rsid w:val="002A54A2"/>
    <w:rsid w:val="002A5521"/>
    <w:rsid w:val="002B1B65"/>
    <w:rsid w:val="002B3422"/>
    <w:rsid w:val="002B58F6"/>
    <w:rsid w:val="002B73E9"/>
    <w:rsid w:val="002B76FF"/>
    <w:rsid w:val="002C02DB"/>
    <w:rsid w:val="002C14C2"/>
    <w:rsid w:val="002C1866"/>
    <w:rsid w:val="002C4F95"/>
    <w:rsid w:val="002C7C62"/>
    <w:rsid w:val="002D119F"/>
    <w:rsid w:val="002D3217"/>
    <w:rsid w:val="002D4AA4"/>
    <w:rsid w:val="002D6394"/>
    <w:rsid w:val="002E26EC"/>
    <w:rsid w:val="002E38C5"/>
    <w:rsid w:val="002E422B"/>
    <w:rsid w:val="002E5A1B"/>
    <w:rsid w:val="002E6010"/>
    <w:rsid w:val="002E7186"/>
    <w:rsid w:val="002F0A8C"/>
    <w:rsid w:val="002F1828"/>
    <w:rsid w:val="002F22E0"/>
    <w:rsid w:val="002F27FA"/>
    <w:rsid w:val="002F34D6"/>
    <w:rsid w:val="002F390B"/>
    <w:rsid w:val="002F4AC5"/>
    <w:rsid w:val="002F4CE1"/>
    <w:rsid w:val="002F5CF5"/>
    <w:rsid w:val="002F5E96"/>
    <w:rsid w:val="0030053D"/>
    <w:rsid w:val="00300F22"/>
    <w:rsid w:val="0030162A"/>
    <w:rsid w:val="003016AF"/>
    <w:rsid w:val="00302594"/>
    <w:rsid w:val="00303EA4"/>
    <w:rsid w:val="00304A37"/>
    <w:rsid w:val="0030661F"/>
    <w:rsid w:val="00307D00"/>
    <w:rsid w:val="0031040E"/>
    <w:rsid w:val="0031073D"/>
    <w:rsid w:val="00310ED4"/>
    <w:rsid w:val="00312301"/>
    <w:rsid w:val="003128EF"/>
    <w:rsid w:val="0031390B"/>
    <w:rsid w:val="003145FB"/>
    <w:rsid w:val="0031483F"/>
    <w:rsid w:val="0031492A"/>
    <w:rsid w:val="00316117"/>
    <w:rsid w:val="003161CA"/>
    <w:rsid w:val="0031658A"/>
    <w:rsid w:val="00316B78"/>
    <w:rsid w:val="00316C1A"/>
    <w:rsid w:val="00317C5A"/>
    <w:rsid w:val="00317F03"/>
    <w:rsid w:val="00320F5D"/>
    <w:rsid w:val="003210B2"/>
    <w:rsid w:val="0032297C"/>
    <w:rsid w:val="00323C73"/>
    <w:rsid w:val="00324C62"/>
    <w:rsid w:val="00324FFB"/>
    <w:rsid w:val="00326CD0"/>
    <w:rsid w:val="003273B5"/>
    <w:rsid w:val="00330B6B"/>
    <w:rsid w:val="00330F1F"/>
    <w:rsid w:val="00331141"/>
    <w:rsid w:val="0033133C"/>
    <w:rsid w:val="00333971"/>
    <w:rsid w:val="00336893"/>
    <w:rsid w:val="00340D5E"/>
    <w:rsid w:val="003417A3"/>
    <w:rsid w:val="003423F4"/>
    <w:rsid w:val="0034351A"/>
    <w:rsid w:val="00344758"/>
    <w:rsid w:val="00344FFA"/>
    <w:rsid w:val="003453BE"/>
    <w:rsid w:val="00346E13"/>
    <w:rsid w:val="00347142"/>
    <w:rsid w:val="003478A4"/>
    <w:rsid w:val="003478C9"/>
    <w:rsid w:val="00347E4F"/>
    <w:rsid w:val="00350448"/>
    <w:rsid w:val="00350D1B"/>
    <w:rsid w:val="00351731"/>
    <w:rsid w:val="003522F1"/>
    <w:rsid w:val="00353022"/>
    <w:rsid w:val="003551AF"/>
    <w:rsid w:val="003565A8"/>
    <w:rsid w:val="003566EA"/>
    <w:rsid w:val="003566F4"/>
    <w:rsid w:val="003576FD"/>
    <w:rsid w:val="0035797D"/>
    <w:rsid w:val="00357B54"/>
    <w:rsid w:val="00362A2D"/>
    <w:rsid w:val="003673A9"/>
    <w:rsid w:val="00372C79"/>
    <w:rsid w:val="00373099"/>
    <w:rsid w:val="0037322A"/>
    <w:rsid w:val="00374C33"/>
    <w:rsid w:val="00375533"/>
    <w:rsid w:val="00375922"/>
    <w:rsid w:val="0037784D"/>
    <w:rsid w:val="00377E18"/>
    <w:rsid w:val="00380907"/>
    <w:rsid w:val="003819C0"/>
    <w:rsid w:val="00381D79"/>
    <w:rsid w:val="003838D6"/>
    <w:rsid w:val="0038462D"/>
    <w:rsid w:val="003853AC"/>
    <w:rsid w:val="0038547F"/>
    <w:rsid w:val="00391423"/>
    <w:rsid w:val="00391EC5"/>
    <w:rsid w:val="003928BE"/>
    <w:rsid w:val="00392916"/>
    <w:rsid w:val="00392CE4"/>
    <w:rsid w:val="00393AE6"/>
    <w:rsid w:val="00396970"/>
    <w:rsid w:val="003A168E"/>
    <w:rsid w:val="003A31EF"/>
    <w:rsid w:val="003A3315"/>
    <w:rsid w:val="003A48B7"/>
    <w:rsid w:val="003A49DE"/>
    <w:rsid w:val="003A60DE"/>
    <w:rsid w:val="003A66A9"/>
    <w:rsid w:val="003B03A8"/>
    <w:rsid w:val="003B2946"/>
    <w:rsid w:val="003C133C"/>
    <w:rsid w:val="003C5FE1"/>
    <w:rsid w:val="003D0599"/>
    <w:rsid w:val="003D22FA"/>
    <w:rsid w:val="003E1FA9"/>
    <w:rsid w:val="003E21C8"/>
    <w:rsid w:val="003E2E65"/>
    <w:rsid w:val="003E58C4"/>
    <w:rsid w:val="003E5DEF"/>
    <w:rsid w:val="003E68AE"/>
    <w:rsid w:val="003E740B"/>
    <w:rsid w:val="003E78CE"/>
    <w:rsid w:val="003F29D3"/>
    <w:rsid w:val="003F4205"/>
    <w:rsid w:val="003F4BB4"/>
    <w:rsid w:val="003F59C0"/>
    <w:rsid w:val="003F684C"/>
    <w:rsid w:val="0040061F"/>
    <w:rsid w:val="004008FC"/>
    <w:rsid w:val="00400AFA"/>
    <w:rsid w:val="00401876"/>
    <w:rsid w:val="00403655"/>
    <w:rsid w:val="0040497E"/>
    <w:rsid w:val="00404D9B"/>
    <w:rsid w:val="00404F32"/>
    <w:rsid w:val="0041093D"/>
    <w:rsid w:val="00411F2C"/>
    <w:rsid w:val="00421136"/>
    <w:rsid w:val="004217DB"/>
    <w:rsid w:val="00422417"/>
    <w:rsid w:val="00422CF2"/>
    <w:rsid w:val="00424233"/>
    <w:rsid w:val="00426526"/>
    <w:rsid w:val="004269D0"/>
    <w:rsid w:val="00427FF6"/>
    <w:rsid w:val="00437640"/>
    <w:rsid w:val="004411E6"/>
    <w:rsid w:val="00442F19"/>
    <w:rsid w:val="00443580"/>
    <w:rsid w:val="004437B2"/>
    <w:rsid w:val="00444B2B"/>
    <w:rsid w:val="00445CB5"/>
    <w:rsid w:val="0045100A"/>
    <w:rsid w:val="00451078"/>
    <w:rsid w:val="004519EF"/>
    <w:rsid w:val="00452037"/>
    <w:rsid w:val="00453ED8"/>
    <w:rsid w:val="0045412B"/>
    <w:rsid w:val="00460110"/>
    <w:rsid w:val="00460EE0"/>
    <w:rsid w:val="00461791"/>
    <w:rsid w:val="00462E7E"/>
    <w:rsid w:val="0047088C"/>
    <w:rsid w:val="004712FB"/>
    <w:rsid w:val="00471681"/>
    <w:rsid w:val="00471BB7"/>
    <w:rsid w:val="00472EFF"/>
    <w:rsid w:val="00473B1F"/>
    <w:rsid w:val="00474063"/>
    <w:rsid w:val="004745DF"/>
    <w:rsid w:val="00474EC3"/>
    <w:rsid w:val="00476793"/>
    <w:rsid w:val="0047783C"/>
    <w:rsid w:val="00477E20"/>
    <w:rsid w:val="00480F10"/>
    <w:rsid w:val="00481B2A"/>
    <w:rsid w:val="00482091"/>
    <w:rsid w:val="00482ADD"/>
    <w:rsid w:val="0048334D"/>
    <w:rsid w:val="004838F7"/>
    <w:rsid w:val="00483CB1"/>
    <w:rsid w:val="004861CC"/>
    <w:rsid w:val="0048642E"/>
    <w:rsid w:val="00490075"/>
    <w:rsid w:val="00490BEF"/>
    <w:rsid w:val="00491CC1"/>
    <w:rsid w:val="00491E27"/>
    <w:rsid w:val="00493890"/>
    <w:rsid w:val="00493C03"/>
    <w:rsid w:val="0049420D"/>
    <w:rsid w:val="004A187B"/>
    <w:rsid w:val="004A2D3C"/>
    <w:rsid w:val="004A2FCD"/>
    <w:rsid w:val="004A456B"/>
    <w:rsid w:val="004A5153"/>
    <w:rsid w:val="004A5451"/>
    <w:rsid w:val="004A5B8B"/>
    <w:rsid w:val="004A5C92"/>
    <w:rsid w:val="004A5CAA"/>
    <w:rsid w:val="004A69A6"/>
    <w:rsid w:val="004A6F51"/>
    <w:rsid w:val="004B77F0"/>
    <w:rsid w:val="004B7F6A"/>
    <w:rsid w:val="004C1AF7"/>
    <w:rsid w:val="004C1FC6"/>
    <w:rsid w:val="004C2735"/>
    <w:rsid w:val="004C61A5"/>
    <w:rsid w:val="004C7412"/>
    <w:rsid w:val="004C7A5D"/>
    <w:rsid w:val="004D04BF"/>
    <w:rsid w:val="004D3EE8"/>
    <w:rsid w:val="004D465C"/>
    <w:rsid w:val="004D4703"/>
    <w:rsid w:val="004D5C8E"/>
    <w:rsid w:val="004E001C"/>
    <w:rsid w:val="004E0DFF"/>
    <w:rsid w:val="004E0ED6"/>
    <w:rsid w:val="004E29A4"/>
    <w:rsid w:val="004E2E1B"/>
    <w:rsid w:val="004E61EC"/>
    <w:rsid w:val="004E6C50"/>
    <w:rsid w:val="004F003B"/>
    <w:rsid w:val="004F084A"/>
    <w:rsid w:val="004F1C7C"/>
    <w:rsid w:val="004F5492"/>
    <w:rsid w:val="0050034D"/>
    <w:rsid w:val="00500F24"/>
    <w:rsid w:val="005016D9"/>
    <w:rsid w:val="0050339F"/>
    <w:rsid w:val="00503740"/>
    <w:rsid w:val="0050432E"/>
    <w:rsid w:val="00505E70"/>
    <w:rsid w:val="00506AD4"/>
    <w:rsid w:val="005071C2"/>
    <w:rsid w:val="00510390"/>
    <w:rsid w:val="005123F0"/>
    <w:rsid w:val="005131FD"/>
    <w:rsid w:val="00513540"/>
    <w:rsid w:val="0051357D"/>
    <w:rsid w:val="00513941"/>
    <w:rsid w:val="00513EBE"/>
    <w:rsid w:val="00514F7E"/>
    <w:rsid w:val="00515DBC"/>
    <w:rsid w:val="00527DE2"/>
    <w:rsid w:val="0053051D"/>
    <w:rsid w:val="005311D9"/>
    <w:rsid w:val="00531925"/>
    <w:rsid w:val="005342A6"/>
    <w:rsid w:val="005354E5"/>
    <w:rsid w:val="00535C1C"/>
    <w:rsid w:val="00536057"/>
    <w:rsid w:val="005408B0"/>
    <w:rsid w:val="00541C75"/>
    <w:rsid w:val="00541EB7"/>
    <w:rsid w:val="005431F7"/>
    <w:rsid w:val="00545338"/>
    <w:rsid w:val="00545342"/>
    <w:rsid w:val="005471ED"/>
    <w:rsid w:val="00547B96"/>
    <w:rsid w:val="00547F69"/>
    <w:rsid w:val="00552919"/>
    <w:rsid w:val="00552F5A"/>
    <w:rsid w:val="0055775F"/>
    <w:rsid w:val="00560D55"/>
    <w:rsid w:val="00561091"/>
    <w:rsid w:val="005625A6"/>
    <w:rsid w:val="00562FAB"/>
    <w:rsid w:val="0056346F"/>
    <w:rsid w:val="00564208"/>
    <w:rsid w:val="00565DDE"/>
    <w:rsid w:val="005664D0"/>
    <w:rsid w:val="00566CB5"/>
    <w:rsid w:val="00570A3F"/>
    <w:rsid w:val="00571CEB"/>
    <w:rsid w:val="00572897"/>
    <w:rsid w:val="00574FFF"/>
    <w:rsid w:val="005765C7"/>
    <w:rsid w:val="005766B8"/>
    <w:rsid w:val="00576F2F"/>
    <w:rsid w:val="00577108"/>
    <w:rsid w:val="00577A9D"/>
    <w:rsid w:val="00585FF7"/>
    <w:rsid w:val="00586142"/>
    <w:rsid w:val="00586BD4"/>
    <w:rsid w:val="00587379"/>
    <w:rsid w:val="00590BF2"/>
    <w:rsid w:val="00590E24"/>
    <w:rsid w:val="00591295"/>
    <w:rsid w:val="00591951"/>
    <w:rsid w:val="00593759"/>
    <w:rsid w:val="00596F43"/>
    <w:rsid w:val="005971EF"/>
    <w:rsid w:val="00597B07"/>
    <w:rsid w:val="005A0964"/>
    <w:rsid w:val="005A222F"/>
    <w:rsid w:val="005A229E"/>
    <w:rsid w:val="005A3494"/>
    <w:rsid w:val="005A359A"/>
    <w:rsid w:val="005A566F"/>
    <w:rsid w:val="005A7E87"/>
    <w:rsid w:val="005B1E17"/>
    <w:rsid w:val="005B27D3"/>
    <w:rsid w:val="005B36F6"/>
    <w:rsid w:val="005B370D"/>
    <w:rsid w:val="005B3F5F"/>
    <w:rsid w:val="005B52C9"/>
    <w:rsid w:val="005B744E"/>
    <w:rsid w:val="005C2ECF"/>
    <w:rsid w:val="005C4DC0"/>
    <w:rsid w:val="005C5D41"/>
    <w:rsid w:val="005C6127"/>
    <w:rsid w:val="005C64E8"/>
    <w:rsid w:val="005C6631"/>
    <w:rsid w:val="005C6AAA"/>
    <w:rsid w:val="005C74DF"/>
    <w:rsid w:val="005D12BA"/>
    <w:rsid w:val="005D1330"/>
    <w:rsid w:val="005D141C"/>
    <w:rsid w:val="005D1F34"/>
    <w:rsid w:val="005D383D"/>
    <w:rsid w:val="005D522B"/>
    <w:rsid w:val="005D5476"/>
    <w:rsid w:val="005D77A1"/>
    <w:rsid w:val="005E1DFF"/>
    <w:rsid w:val="005E38AA"/>
    <w:rsid w:val="005E3C2E"/>
    <w:rsid w:val="005E6774"/>
    <w:rsid w:val="005E7964"/>
    <w:rsid w:val="005E7E82"/>
    <w:rsid w:val="005F0C45"/>
    <w:rsid w:val="005F12DB"/>
    <w:rsid w:val="005F1AA4"/>
    <w:rsid w:val="005F2530"/>
    <w:rsid w:val="005F430B"/>
    <w:rsid w:val="005F4892"/>
    <w:rsid w:val="005F59A8"/>
    <w:rsid w:val="005F5AAA"/>
    <w:rsid w:val="005F5C98"/>
    <w:rsid w:val="0060039C"/>
    <w:rsid w:val="0060069F"/>
    <w:rsid w:val="00600C80"/>
    <w:rsid w:val="006022A7"/>
    <w:rsid w:val="00603637"/>
    <w:rsid w:val="00604002"/>
    <w:rsid w:val="00604F89"/>
    <w:rsid w:val="00606B85"/>
    <w:rsid w:val="00610F11"/>
    <w:rsid w:val="00612500"/>
    <w:rsid w:val="00614A3C"/>
    <w:rsid w:val="006158BB"/>
    <w:rsid w:val="00616879"/>
    <w:rsid w:val="00616B2B"/>
    <w:rsid w:val="00616CCD"/>
    <w:rsid w:val="00616F88"/>
    <w:rsid w:val="00617DAB"/>
    <w:rsid w:val="006213FE"/>
    <w:rsid w:val="006217F5"/>
    <w:rsid w:val="00621936"/>
    <w:rsid w:val="00622508"/>
    <w:rsid w:val="0062306E"/>
    <w:rsid w:val="00623E3C"/>
    <w:rsid w:val="006242CA"/>
    <w:rsid w:val="00624EE5"/>
    <w:rsid w:val="00625C9B"/>
    <w:rsid w:val="00626B2E"/>
    <w:rsid w:val="0062797B"/>
    <w:rsid w:val="0063009F"/>
    <w:rsid w:val="006321FC"/>
    <w:rsid w:val="00633BF9"/>
    <w:rsid w:val="00634133"/>
    <w:rsid w:val="00634CE3"/>
    <w:rsid w:val="006356C5"/>
    <w:rsid w:val="00636021"/>
    <w:rsid w:val="0063690E"/>
    <w:rsid w:val="00644872"/>
    <w:rsid w:val="00644C30"/>
    <w:rsid w:val="00644DD1"/>
    <w:rsid w:val="00645046"/>
    <w:rsid w:val="00647F4F"/>
    <w:rsid w:val="00650A23"/>
    <w:rsid w:val="00650E26"/>
    <w:rsid w:val="006515DA"/>
    <w:rsid w:val="00651E29"/>
    <w:rsid w:val="00654648"/>
    <w:rsid w:val="00654793"/>
    <w:rsid w:val="006552BB"/>
    <w:rsid w:val="006575C8"/>
    <w:rsid w:val="00657FBF"/>
    <w:rsid w:val="00662141"/>
    <w:rsid w:val="00664964"/>
    <w:rsid w:val="00664E56"/>
    <w:rsid w:val="0066606E"/>
    <w:rsid w:val="00666DE2"/>
    <w:rsid w:val="006670BD"/>
    <w:rsid w:val="00670DF3"/>
    <w:rsid w:val="00670F92"/>
    <w:rsid w:val="00670FAF"/>
    <w:rsid w:val="0067100E"/>
    <w:rsid w:val="0067178B"/>
    <w:rsid w:val="0067308B"/>
    <w:rsid w:val="00674DCB"/>
    <w:rsid w:val="006825AB"/>
    <w:rsid w:val="006868CE"/>
    <w:rsid w:val="00686EBD"/>
    <w:rsid w:val="00687E26"/>
    <w:rsid w:val="00687E7E"/>
    <w:rsid w:val="00691135"/>
    <w:rsid w:val="0069300F"/>
    <w:rsid w:val="006954D1"/>
    <w:rsid w:val="006A00B6"/>
    <w:rsid w:val="006A1677"/>
    <w:rsid w:val="006A4840"/>
    <w:rsid w:val="006A6BB3"/>
    <w:rsid w:val="006A7C9A"/>
    <w:rsid w:val="006B12E8"/>
    <w:rsid w:val="006B13D5"/>
    <w:rsid w:val="006B3DE1"/>
    <w:rsid w:val="006B4681"/>
    <w:rsid w:val="006B4D7B"/>
    <w:rsid w:val="006B56B2"/>
    <w:rsid w:val="006B65E0"/>
    <w:rsid w:val="006B7F5C"/>
    <w:rsid w:val="006C0056"/>
    <w:rsid w:val="006C0642"/>
    <w:rsid w:val="006C117E"/>
    <w:rsid w:val="006C3F55"/>
    <w:rsid w:val="006C4953"/>
    <w:rsid w:val="006C62FB"/>
    <w:rsid w:val="006D0407"/>
    <w:rsid w:val="006D3145"/>
    <w:rsid w:val="006D3649"/>
    <w:rsid w:val="006D4523"/>
    <w:rsid w:val="006D5EE5"/>
    <w:rsid w:val="006E0C16"/>
    <w:rsid w:val="006E1F63"/>
    <w:rsid w:val="006E2053"/>
    <w:rsid w:val="006E4995"/>
    <w:rsid w:val="006E5CA9"/>
    <w:rsid w:val="006E6618"/>
    <w:rsid w:val="006E6D3B"/>
    <w:rsid w:val="006E7DAD"/>
    <w:rsid w:val="006F31DA"/>
    <w:rsid w:val="006F4397"/>
    <w:rsid w:val="006F4AE4"/>
    <w:rsid w:val="006F4B11"/>
    <w:rsid w:val="006F532F"/>
    <w:rsid w:val="006F5761"/>
    <w:rsid w:val="006F611F"/>
    <w:rsid w:val="006F63CF"/>
    <w:rsid w:val="00700F07"/>
    <w:rsid w:val="0070331C"/>
    <w:rsid w:val="00703678"/>
    <w:rsid w:val="00703727"/>
    <w:rsid w:val="00703781"/>
    <w:rsid w:val="0070602A"/>
    <w:rsid w:val="00706C9E"/>
    <w:rsid w:val="00710CD4"/>
    <w:rsid w:val="007125F8"/>
    <w:rsid w:val="007139A1"/>
    <w:rsid w:val="00714682"/>
    <w:rsid w:val="00714FF5"/>
    <w:rsid w:val="007179DB"/>
    <w:rsid w:val="00720079"/>
    <w:rsid w:val="00723AB7"/>
    <w:rsid w:val="00725E9B"/>
    <w:rsid w:val="007271AD"/>
    <w:rsid w:val="00730BD2"/>
    <w:rsid w:val="00731BB5"/>
    <w:rsid w:val="00733B49"/>
    <w:rsid w:val="007359DF"/>
    <w:rsid w:val="007402E0"/>
    <w:rsid w:val="00740BA0"/>
    <w:rsid w:val="00741DFF"/>
    <w:rsid w:val="007426FF"/>
    <w:rsid w:val="00750ACC"/>
    <w:rsid w:val="00752A5B"/>
    <w:rsid w:val="00752E81"/>
    <w:rsid w:val="007540BF"/>
    <w:rsid w:val="00755446"/>
    <w:rsid w:val="007577B2"/>
    <w:rsid w:val="00757A7D"/>
    <w:rsid w:val="00761114"/>
    <w:rsid w:val="0076127A"/>
    <w:rsid w:val="00762342"/>
    <w:rsid w:val="007637A8"/>
    <w:rsid w:val="00764F83"/>
    <w:rsid w:val="00765B58"/>
    <w:rsid w:val="007668BE"/>
    <w:rsid w:val="007707FE"/>
    <w:rsid w:val="00770DCB"/>
    <w:rsid w:val="0077155A"/>
    <w:rsid w:val="00774049"/>
    <w:rsid w:val="00775485"/>
    <w:rsid w:val="00776AA3"/>
    <w:rsid w:val="00777C2D"/>
    <w:rsid w:val="00780F7D"/>
    <w:rsid w:val="00781A46"/>
    <w:rsid w:val="00781FE8"/>
    <w:rsid w:val="00782733"/>
    <w:rsid w:val="00782A8F"/>
    <w:rsid w:val="00783532"/>
    <w:rsid w:val="007846B5"/>
    <w:rsid w:val="00784F1B"/>
    <w:rsid w:val="00785D9D"/>
    <w:rsid w:val="00787FE4"/>
    <w:rsid w:val="00792962"/>
    <w:rsid w:val="00795D5B"/>
    <w:rsid w:val="00796BE6"/>
    <w:rsid w:val="007A0E52"/>
    <w:rsid w:val="007A3B67"/>
    <w:rsid w:val="007A52CC"/>
    <w:rsid w:val="007A5DB0"/>
    <w:rsid w:val="007A60A0"/>
    <w:rsid w:val="007B06EA"/>
    <w:rsid w:val="007B4B61"/>
    <w:rsid w:val="007B5023"/>
    <w:rsid w:val="007B6E11"/>
    <w:rsid w:val="007B6ED0"/>
    <w:rsid w:val="007B7188"/>
    <w:rsid w:val="007C16E9"/>
    <w:rsid w:val="007C1DE3"/>
    <w:rsid w:val="007C2855"/>
    <w:rsid w:val="007C4432"/>
    <w:rsid w:val="007C4A03"/>
    <w:rsid w:val="007C5788"/>
    <w:rsid w:val="007C59DC"/>
    <w:rsid w:val="007D11E2"/>
    <w:rsid w:val="007D1A51"/>
    <w:rsid w:val="007D2F00"/>
    <w:rsid w:val="007D3592"/>
    <w:rsid w:val="007D4607"/>
    <w:rsid w:val="007D4DC4"/>
    <w:rsid w:val="007E10C3"/>
    <w:rsid w:val="007E22D3"/>
    <w:rsid w:val="007E3224"/>
    <w:rsid w:val="007E3DE4"/>
    <w:rsid w:val="007E5B88"/>
    <w:rsid w:val="007F0D0B"/>
    <w:rsid w:val="007F19B7"/>
    <w:rsid w:val="007F427B"/>
    <w:rsid w:val="007F42CF"/>
    <w:rsid w:val="008007A8"/>
    <w:rsid w:val="008037B9"/>
    <w:rsid w:val="00803C2F"/>
    <w:rsid w:val="008042D9"/>
    <w:rsid w:val="00805682"/>
    <w:rsid w:val="00805706"/>
    <w:rsid w:val="0080635C"/>
    <w:rsid w:val="00810317"/>
    <w:rsid w:val="00810965"/>
    <w:rsid w:val="0081427F"/>
    <w:rsid w:val="00814FC0"/>
    <w:rsid w:val="008159EE"/>
    <w:rsid w:val="00816D6E"/>
    <w:rsid w:val="00817C73"/>
    <w:rsid w:val="008203B1"/>
    <w:rsid w:val="008204C3"/>
    <w:rsid w:val="00820C61"/>
    <w:rsid w:val="00821136"/>
    <w:rsid w:val="00821E5D"/>
    <w:rsid w:val="008228D3"/>
    <w:rsid w:val="00822EAE"/>
    <w:rsid w:val="00823005"/>
    <w:rsid w:val="0082458E"/>
    <w:rsid w:val="0082575A"/>
    <w:rsid w:val="008266F3"/>
    <w:rsid w:val="00830D48"/>
    <w:rsid w:val="00836A29"/>
    <w:rsid w:val="00841263"/>
    <w:rsid w:val="00842182"/>
    <w:rsid w:val="008426B6"/>
    <w:rsid w:val="00842BF5"/>
    <w:rsid w:val="008432FE"/>
    <w:rsid w:val="00844143"/>
    <w:rsid w:val="008449B9"/>
    <w:rsid w:val="00845A6A"/>
    <w:rsid w:val="008461D6"/>
    <w:rsid w:val="00847191"/>
    <w:rsid w:val="00847AFD"/>
    <w:rsid w:val="00851533"/>
    <w:rsid w:val="008529C5"/>
    <w:rsid w:val="00852BB5"/>
    <w:rsid w:val="008532CA"/>
    <w:rsid w:val="008533CC"/>
    <w:rsid w:val="008561AA"/>
    <w:rsid w:val="0085649D"/>
    <w:rsid w:val="008600AB"/>
    <w:rsid w:val="0086048C"/>
    <w:rsid w:val="00860C03"/>
    <w:rsid w:val="0086254F"/>
    <w:rsid w:val="0086546B"/>
    <w:rsid w:val="00866CBF"/>
    <w:rsid w:val="00866CEC"/>
    <w:rsid w:val="00870978"/>
    <w:rsid w:val="00870E11"/>
    <w:rsid w:val="008724DE"/>
    <w:rsid w:val="008732AE"/>
    <w:rsid w:val="008747FA"/>
    <w:rsid w:val="0087535E"/>
    <w:rsid w:val="0087568A"/>
    <w:rsid w:val="008758D9"/>
    <w:rsid w:val="0087615D"/>
    <w:rsid w:val="00880C3C"/>
    <w:rsid w:val="008826FB"/>
    <w:rsid w:val="008829E5"/>
    <w:rsid w:val="00882B0A"/>
    <w:rsid w:val="008850BD"/>
    <w:rsid w:val="008875D8"/>
    <w:rsid w:val="00887AAC"/>
    <w:rsid w:val="00891FCA"/>
    <w:rsid w:val="00893522"/>
    <w:rsid w:val="00896149"/>
    <w:rsid w:val="008A1FA9"/>
    <w:rsid w:val="008A28F0"/>
    <w:rsid w:val="008A2A59"/>
    <w:rsid w:val="008A3D57"/>
    <w:rsid w:val="008A5FC6"/>
    <w:rsid w:val="008A70EA"/>
    <w:rsid w:val="008A7941"/>
    <w:rsid w:val="008B0CB8"/>
    <w:rsid w:val="008B23BC"/>
    <w:rsid w:val="008B3899"/>
    <w:rsid w:val="008B3906"/>
    <w:rsid w:val="008B4377"/>
    <w:rsid w:val="008C1960"/>
    <w:rsid w:val="008C3098"/>
    <w:rsid w:val="008C4AC0"/>
    <w:rsid w:val="008C52B2"/>
    <w:rsid w:val="008C6817"/>
    <w:rsid w:val="008C7439"/>
    <w:rsid w:val="008D011D"/>
    <w:rsid w:val="008D0335"/>
    <w:rsid w:val="008D0DEB"/>
    <w:rsid w:val="008D44C9"/>
    <w:rsid w:val="008D4635"/>
    <w:rsid w:val="008D4C79"/>
    <w:rsid w:val="008D4DD3"/>
    <w:rsid w:val="008D5561"/>
    <w:rsid w:val="008D557A"/>
    <w:rsid w:val="008D5D4D"/>
    <w:rsid w:val="008D6A6D"/>
    <w:rsid w:val="008D6EA0"/>
    <w:rsid w:val="008D7D2A"/>
    <w:rsid w:val="008E05D1"/>
    <w:rsid w:val="008E1DB1"/>
    <w:rsid w:val="008E328C"/>
    <w:rsid w:val="008E3D60"/>
    <w:rsid w:val="008E3F4C"/>
    <w:rsid w:val="008E56A3"/>
    <w:rsid w:val="008E5CA5"/>
    <w:rsid w:val="008F062E"/>
    <w:rsid w:val="008F2A69"/>
    <w:rsid w:val="008F2D09"/>
    <w:rsid w:val="0090046B"/>
    <w:rsid w:val="0090165F"/>
    <w:rsid w:val="00901B82"/>
    <w:rsid w:val="009020D5"/>
    <w:rsid w:val="009021F4"/>
    <w:rsid w:val="00906CA4"/>
    <w:rsid w:val="009077BF"/>
    <w:rsid w:val="009078B5"/>
    <w:rsid w:val="00912B09"/>
    <w:rsid w:val="0091328B"/>
    <w:rsid w:val="009161B2"/>
    <w:rsid w:val="009170F1"/>
    <w:rsid w:val="0092006D"/>
    <w:rsid w:val="00920CB9"/>
    <w:rsid w:val="00922F0F"/>
    <w:rsid w:val="0092448F"/>
    <w:rsid w:val="009254C2"/>
    <w:rsid w:val="00925C28"/>
    <w:rsid w:val="00925E10"/>
    <w:rsid w:val="00925F99"/>
    <w:rsid w:val="009310EA"/>
    <w:rsid w:val="00931F71"/>
    <w:rsid w:val="00934069"/>
    <w:rsid w:val="0093435B"/>
    <w:rsid w:val="00936193"/>
    <w:rsid w:val="00937CAF"/>
    <w:rsid w:val="009415D8"/>
    <w:rsid w:val="00941D16"/>
    <w:rsid w:val="009432CF"/>
    <w:rsid w:val="009437D1"/>
    <w:rsid w:val="009457FC"/>
    <w:rsid w:val="00947D75"/>
    <w:rsid w:val="0095114D"/>
    <w:rsid w:val="009514F8"/>
    <w:rsid w:val="00951D32"/>
    <w:rsid w:val="0095433F"/>
    <w:rsid w:val="0095490A"/>
    <w:rsid w:val="009552DC"/>
    <w:rsid w:val="00956661"/>
    <w:rsid w:val="0095712F"/>
    <w:rsid w:val="009610B4"/>
    <w:rsid w:val="00963EE8"/>
    <w:rsid w:val="00964530"/>
    <w:rsid w:val="00966C2F"/>
    <w:rsid w:val="0096742A"/>
    <w:rsid w:val="00972CA4"/>
    <w:rsid w:val="00973615"/>
    <w:rsid w:val="0097512B"/>
    <w:rsid w:val="0097671F"/>
    <w:rsid w:val="009808F7"/>
    <w:rsid w:val="00980922"/>
    <w:rsid w:val="00981C3B"/>
    <w:rsid w:val="00981F0A"/>
    <w:rsid w:val="00982404"/>
    <w:rsid w:val="00982748"/>
    <w:rsid w:val="0098313F"/>
    <w:rsid w:val="00986F37"/>
    <w:rsid w:val="0099121E"/>
    <w:rsid w:val="00991808"/>
    <w:rsid w:val="009939FB"/>
    <w:rsid w:val="00997E4F"/>
    <w:rsid w:val="009A1259"/>
    <w:rsid w:val="009A15C2"/>
    <w:rsid w:val="009A229D"/>
    <w:rsid w:val="009A6306"/>
    <w:rsid w:val="009A6FAB"/>
    <w:rsid w:val="009A7C13"/>
    <w:rsid w:val="009B123F"/>
    <w:rsid w:val="009B27FC"/>
    <w:rsid w:val="009B2AEB"/>
    <w:rsid w:val="009B4C37"/>
    <w:rsid w:val="009B4E11"/>
    <w:rsid w:val="009B4FC1"/>
    <w:rsid w:val="009C0F01"/>
    <w:rsid w:val="009C1041"/>
    <w:rsid w:val="009C127E"/>
    <w:rsid w:val="009C1E5D"/>
    <w:rsid w:val="009C1ED9"/>
    <w:rsid w:val="009C30B7"/>
    <w:rsid w:val="009C3A8F"/>
    <w:rsid w:val="009C4B44"/>
    <w:rsid w:val="009C726B"/>
    <w:rsid w:val="009D0D25"/>
    <w:rsid w:val="009D1AF6"/>
    <w:rsid w:val="009D350F"/>
    <w:rsid w:val="009D3737"/>
    <w:rsid w:val="009D3A8C"/>
    <w:rsid w:val="009D51A5"/>
    <w:rsid w:val="009D5CC8"/>
    <w:rsid w:val="009D67F6"/>
    <w:rsid w:val="009D7903"/>
    <w:rsid w:val="009D7DE1"/>
    <w:rsid w:val="009E08D1"/>
    <w:rsid w:val="009E0E90"/>
    <w:rsid w:val="009E0FE1"/>
    <w:rsid w:val="009E2681"/>
    <w:rsid w:val="009E2BEB"/>
    <w:rsid w:val="009E32B7"/>
    <w:rsid w:val="009E4BD0"/>
    <w:rsid w:val="009E5E1F"/>
    <w:rsid w:val="009E6DD7"/>
    <w:rsid w:val="009E7E27"/>
    <w:rsid w:val="009F0FE2"/>
    <w:rsid w:val="009F162C"/>
    <w:rsid w:val="009F1680"/>
    <w:rsid w:val="009F1DC7"/>
    <w:rsid w:val="009F2069"/>
    <w:rsid w:val="009F2764"/>
    <w:rsid w:val="009F27FD"/>
    <w:rsid w:val="009F298F"/>
    <w:rsid w:val="009F467E"/>
    <w:rsid w:val="009F4701"/>
    <w:rsid w:val="009F4E9B"/>
    <w:rsid w:val="009F573C"/>
    <w:rsid w:val="009F797D"/>
    <w:rsid w:val="00A018E6"/>
    <w:rsid w:val="00A01B59"/>
    <w:rsid w:val="00A01C30"/>
    <w:rsid w:val="00A0406E"/>
    <w:rsid w:val="00A05108"/>
    <w:rsid w:val="00A061E2"/>
    <w:rsid w:val="00A10664"/>
    <w:rsid w:val="00A110F4"/>
    <w:rsid w:val="00A11307"/>
    <w:rsid w:val="00A13AF3"/>
    <w:rsid w:val="00A13C80"/>
    <w:rsid w:val="00A14481"/>
    <w:rsid w:val="00A162E5"/>
    <w:rsid w:val="00A17182"/>
    <w:rsid w:val="00A176B1"/>
    <w:rsid w:val="00A21388"/>
    <w:rsid w:val="00A21E35"/>
    <w:rsid w:val="00A242C2"/>
    <w:rsid w:val="00A24B39"/>
    <w:rsid w:val="00A25520"/>
    <w:rsid w:val="00A26B6C"/>
    <w:rsid w:val="00A27535"/>
    <w:rsid w:val="00A27791"/>
    <w:rsid w:val="00A277C7"/>
    <w:rsid w:val="00A27ABE"/>
    <w:rsid w:val="00A27C4D"/>
    <w:rsid w:val="00A27EC5"/>
    <w:rsid w:val="00A32E6B"/>
    <w:rsid w:val="00A355F9"/>
    <w:rsid w:val="00A36166"/>
    <w:rsid w:val="00A36CCA"/>
    <w:rsid w:val="00A41355"/>
    <w:rsid w:val="00A41821"/>
    <w:rsid w:val="00A41FB4"/>
    <w:rsid w:val="00A42F79"/>
    <w:rsid w:val="00A43552"/>
    <w:rsid w:val="00A437B6"/>
    <w:rsid w:val="00A43B92"/>
    <w:rsid w:val="00A43C06"/>
    <w:rsid w:val="00A45107"/>
    <w:rsid w:val="00A45D9B"/>
    <w:rsid w:val="00A470D6"/>
    <w:rsid w:val="00A51934"/>
    <w:rsid w:val="00A53FEC"/>
    <w:rsid w:val="00A54251"/>
    <w:rsid w:val="00A55738"/>
    <w:rsid w:val="00A557D5"/>
    <w:rsid w:val="00A5697A"/>
    <w:rsid w:val="00A56A85"/>
    <w:rsid w:val="00A5753A"/>
    <w:rsid w:val="00A6179E"/>
    <w:rsid w:val="00A64316"/>
    <w:rsid w:val="00A648EE"/>
    <w:rsid w:val="00A65CDF"/>
    <w:rsid w:val="00A65F0B"/>
    <w:rsid w:val="00A6618E"/>
    <w:rsid w:val="00A70993"/>
    <w:rsid w:val="00A71949"/>
    <w:rsid w:val="00A71C1A"/>
    <w:rsid w:val="00A71EAB"/>
    <w:rsid w:val="00A7385A"/>
    <w:rsid w:val="00A743D8"/>
    <w:rsid w:val="00A747C1"/>
    <w:rsid w:val="00A75AD1"/>
    <w:rsid w:val="00A763D5"/>
    <w:rsid w:val="00A76850"/>
    <w:rsid w:val="00A80071"/>
    <w:rsid w:val="00A804D9"/>
    <w:rsid w:val="00A822D4"/>
    <w:rsid w:val="00A833C8"/>
    <w:rsid w:val="00A835F8"/>
    <w:rsid w:val="00A8573B"/>
    <w:rsid w:val="00A858AE"/>
    <w:rsid w:val="00A87CFB"/>
    <w:rsid w:val="00A87FB0"/>
    <w:rsid w:val="00A92915"/>
    <w:rsid w:val="00A92F92"/>
    <w:rsid w:val="00A9343A"/>
    <w:rsid w:val="00A94B73"/>
    <w:rsid w:val="00A95073"/>
    <w:rsid w:val="00A954A0"/>
    <w:rsid w:val="00A955D6"/>
    <w:rsid w:val="00A95D66"/>
    <w:rsid w:val="00A95E75"/>
    <w:rsid w:val="00A96892"/>
    <w:rsid w:val="00A96C30"/>
    <w:rsid w:val="00A970E8"/>
    <w:rsid w:val="00A978EA"/>
    <w:rsid w:val="00AA0839"/>
    <w:rsid w:val="00AA2051"/>
    <w:rsid w:val="00AA244B"/>
    <w:rsid w:val="00AA64A2"/>
    <w:rsid w:val="00AA6A81"/>
    <w:rsid w:val="00AA70C4"/>
    <w:rsid w:val="00AA7851"/>
    <w:rsid w:val="00AA7EE9"/>
    <w:rsid w:val="00AB0426"/>
    <w:rsid w:val="00AB05D6"/>
    <w:rsid w:val="00AB20F5"/>
    <w:rsid w:val="00AB2DB2"/>
    <w:rsid w:val="00AB637F"/>
    <w:rsid w:val="00AB6D66"/>
    <w:rsid w:val="00AB7C8F"/>
    <w:rsid w:val="00AC097E"/>
    <w:rsid w:val="00AC1EA5"/>
    <w:rsid w:val="00AC2192"/>
    <w:rsid w:val="00AC25AD"/>
    <w:rsid w:val="00AC3197"/>
    <w:rsid w:val="00AC3251"/>
    <w:rsid w:val="00AC5973"/>
    <w:rsid w:val="00AC5A44"/>
    <w:rsid w:val="00AC636D"/>
    <w:rsid w:val="00AC6FB7"/>
    <w:rsid w:val="00AC7AE4"/>
    <w:rsid w:val="00AD040A"/>
    <w:rsid w:val="00AD0F84"/>
    <w:rsid w:val="00AD2039"/>
    <w:rsid w:val="00AD49E3"/>
    <w:rsid w:val="00AD5E0F"/>
    <w:rsid w:val="00AD6F3C"/>
    <w:rsid w:val="00AD78D3"/>
    <w:rsid w:val="00AE03FF"/>
    <w:rsid w:val="00AE214E"/>
    <w:rsid w:val="00AE2468"/>
    <w:rsid w:val="00AE4E64"/>
    <w:rsid w:val="00AF1AB6"/>
    <w:rsid w:val="00AF1C79"/>
    <w:rsid w:val="00AF1FA7"/>
    <w:rsid w:val="00AF2B78"/>
    <w:rsid w:val="00AF2E59"/>
    <w:rsid w:val="00AF2E5A"/>
    <w:rsid w:val="00AF4247"/>
    <w:rsid w:val="00AF44F0"/>
    <w:rsid w:val="00AF4D8A"/>
    <w:rsid w:val="00AF5882"/>
    <w:rsid w:val="00AF5DF9"/>
    <w:rsid w:val="00AF77F1"/>
    <w:rsid w:val="00B0049B"/>
    <w:rsid w:val="00B00F61"/>
    <w:rsid w:val="00B02F38"/>
    <w:rsid w:val="00B03B2F"/>
    <w:rsid w:val="00B0527B"/>
    <w:rsid w:val="00B06BD4"/>
    <w:rsid w:val="00B07A70"/>
    <w:rsid w:val="00B1173A"/>
    <w:rsid w:val="00B118CE"/>
    <w:rsid w:val="00B11F73"/>
    <w:rsid w:val="00B137C6"/>
    <w:rsid w:val="00B13D13"/>
    <w:rsid w:val="00B15CBE"/>
    <w:rsid w:val="00B1655A"/>
    <w:rsid w:val="00B1673D"/>
    <w:rsid w:val="00B17415"/>
    <w:rsid w:val="00B2072C"/>
    <w:rsid w:val="00B20DB4"/>
    <w:rsid w:val="00B237FB"/>
    <w:rsid w:val="00B24B1D"/>
    <w:rsid w:val="00B25AA8"/>
    <w:rsid w:val="00B26C33"/>
    <w:rsid w:val="00B277E0"/>
    <w:rsid w:val="00B279A3"/>
    <w:rsid w:val="00B30927"/>
    <w:rsid w:val="00B3266C"/>
    <w:rsid w:val="00B34946"/>
    <w:rsid w:val="00B34AC2"/>
    <w:rsid w:val="00B36192"/>
    <w:rsid w:val="00B36310"/>
    <w:rsid w:val="00B363C7"/>
    <w:rsid w:val="00B40405"/>
    <w:rsid w:val="00B4065D"/>
    <w:rsid w:val="00B40F8E"/>
    <w:rsid w:val="00B42433"/>
    <w:rsid w:val="00B43A95"/>
    <w:rsid w:val="00B4450D"/>
    <w:rsid w:val="00B45FB8"/>
    <w:rsid w:val="00B478E0"/>
    <w:rsid w:val="00B50F75"/>
    <w:rsid w:val="00B519FD"/>
    <w:rsid w:val="00B520BC"/>
    <w:rsid w:val="00B521F9"/>
    <w:rsid w:val="00B539CC"/>
    <w:rsid w:val="00B53C40"/>
    <w:rsid w:val="00B54E06"/>
    <w:rsid w:val="00B550A7"/>
    <w:rsid w:val="00B556B1"/>
    <w:rsid w:val="00B5591E"/>
    <w:rsid w:val="00B56063"/>
    <w:rsid w:val="00B61F83"/>
    <w:rsid w:val="00B63D24"/>
    <w:rsid w:val="00B653F5"/>
    <w:rsid w:val="00B67295"/>
    <w:rsid w:val="00B67F04"/>
    <w:rsid w:val="00B7211D"/>
    <w:rsid w:val="00B76A6E"/>
    <w:rsid w:val="00B77332"/>
    <w:rsid w:val="00B77A40"/>
    <w:rsid w:val="00B8175A"/>
    <w:rsid w:val="00B81EE3"/>
    <w:rsid w:val="00B83F10"/>
    <w:rsid w:val="00B8610D"/>
    <w:rsid w:val="00B87648"/>
    <w:rsid w:val="00B90D7D"/>
    <w:rsid w:val="00B924E6"/>
    <w:rsid w:val="00B93527"/>
    <w:rsid w:val="00B9438B"/>
    <w:rsid w:val="00B94FC3"/>
    <w:rsid w:val="00B96A35"/>
    <w:rsid w:val="00B96B3E"/>
    <w:rsid w:val="00B9727A"/>
    <w:rsid w:val="00BA1A75"/>
    <w:rsid w:val="00BA21C3"/>
    <w:rsid w:val="00BA262D"/>
    <w:rsid w:val="00BA32F0"/>
    <w:rsid w:val="00BA3B62"/>
    <w:rsid w:val="00BA4C67"/>
    <w:rsid w:val="00BA5698"/>
    <w:rsid w:val="00BA6BB9"/>
    <w:rsid w:val="00BA77B7"/>
    <w:rsid w:val="00BB07FB"/>
    <w:rsid w:val="00BB1024"/>
    <w:rsid w:val="00BB29FE"/>
    <w:rsid w:val="00BB3A8E"/>
    <w:rsid w:val="00BB4523"/>
    <w:rsid w:val="00BB5153"/>
    <w:rsid w:val="00BB7204"/>
    <w:rsid w:val="00BB7D98"/>
    <w:rsid w:val="00BB7F0A"/>
    <w:rsid w:val="00BC0969"/>
    <w:rsid w:val="00BC4611"/>
    <w:rsid w:val="00BC5479"/>
    <w:rsid w:val="00BC6284"/>
    <w:rsid w:val="00BC63DF"/>
    <w:rsid w:val="00BC6956"/>
    <w:rsid w:val="00BC79EB"/>
    <w:rsid w:val="00BD06D4"/>
    <w:rsid w:val="00BD131E"/>
    <w:rsid w:val="00BD21BC"/>
    <w:rsid w:val="00BD4F4A"/>
    <w:rsid w:val="00BD5320"/>
    <w:rsid w:val="00BD7FCF"/>
    <w:rsid w:val="00BE114F"/>
    <w:rsid w:val="00BE129B"/>
    <w:rsid w:val="00BE1602"/>
    <w:rsid w:val="00BE16C2"/>
    <w:rsid w:val="00BF0190"/>
    <w:rsid w:val="00BF1661"/>
    <w:rsid w:val="00BF37AF"/>
    <w:rsid w:val="00BF6406"/>
    <w:rsid w:val="00BF7B90"/>
    <w:rsid w:val="00C01F3F"/>
    <w:rsid w:val="00C02020"/>
    <w:rsid w:val="00C03281"/>
    <w:rsid w:val="00C049B3"/>
    <w:rsid w:val="00C0504B"/>
    <w:rsid w:val="00C056A5"/>
    <w:rsid w:val="00C064DC"/>
    <w:rsid w:val="00C06589"/>
    <w:rsid w:val="00C10CF6"/>
    <w:rsid w:val="00C10FE2"/>
    <w:rsid w:val="00C12F8D"/>
    <w:rsid w:val="00C149BD"/>
    <w:rsid w:val="00C15050"/>
    <w:rsid w:val="00C1592A"/>
    <w:rsid w:val="00C15A8C"/>
    <w:rsid w:val="00C176C5"/>
    <w:rsid w:val="00C1778D"/>
    <w:rsid w:val="00C1798E"/>
    <w:rsid w:val="00C21AB0"/>
    <w:rsid w:val="00C22189"/>
    <w:rsid w:val="00C233C9"/>
    <w:rsid w:val="00C23A14"/>
    <w:rsid w:val="00C23CF5"/>
    <w:rsid w:val="00C24417"/>
    <w:rsid w:val="00C25BDA"/>
    <w:rsid w:val="00C272D7"/>
    <w:rsid w:val="00C278B2"/>
    <w:rsid w:val="00C3296C"/>
    <w:rsid w:val="00C33104"/>
    <w:rsid w:val="00C332D4"/>
    <w:rsid w:val="00C35903"/>
    <w:rsid w:val="00C403C0"/>
    <w:rsid w:val="00C4354D"/>
    <w:rsid w:val="00C45518"/>
    <w:rsid w:val="00C51011"/>
    <w:rsid w:val="00C534E6"/>
    <w:rsid w:val="00C53757"/>
    <w:rsid w:val="00C560AC"/>
    <w:rsid w:val="00C5781C"/>
    <w:rsid w:val="00C60343"/>
    <w:rsid w:val="00C61767"/>
    <w:rsid w:val="00C62611"/>
    <w:rsid w:val="00C62E2E"/>
    <w:rsid w:val="00C6332B"/>
    <w:rsid w:val="00C6363D"/>
    <w:rsid w:val="00C66128"/>
    <w:rsid w:val="00C6633C"/>
    <w:rsid w:val="00C664F4"/>
    <w:rsid w:val="00C6730F"/>
    <w:rsid w:val="00C67535"/>
    <w:rsid w:val="00C676CA"/>
    <w:rsid w:val="00C67757"/>
    <w:rsid w:val="00C677D1"/>
    <w:rsid w:val="00C67BAB"/>
    <w:rsid w:val="00C71CD9"/>
    <w:rsid w:val="00C72616"/>
    <w:rsid w:val="00C77197"/>
    <w:rsid w:val="00C800B3"/>
    <w:rsid w:val="00C821EC"/>
    <w:rsid w:val="00C854D4"/>
    <w:rsid w:val="00C85B20"/>
    <w:rsid w:val="00C85ED9"/>
    <w:rsid w:val="00C86D21"/>
    <w:rsid w:val="00C90556"/>
    <w:rsid w:val="00C92657"/>
    <w:rsid w:val="00C962E3"/>
    <w:rsid w:val="00C970D3"/>
    <w:rsid w:val="00C97A33"/>
    <w:rsid w:val="00CA085D"/>
    <w:rsid w:val="00CA0D78"/>
    <w:rsid w:val="00CA1AAC"/>
    <w:rsid w:val="00CA243C"/>
    <w:rsid w:val="00CA28E0"/>
    <w:rsid w:val="00CA4855"/>
    <w:rsid w:val="00CA4930"/>
    <w:rsid w:val="00CA53D5"/>
    <w:rsid w:val="00CA5D90"/>
    <w:rsid w:val="00CB0854"/>
    <w:rsid w:val="00CB1441"/>
    <w:rsid w:val="00CB24FE"/>
    <w:rsid w:val="00CB3071"/>
    <w:rsid w:val="00CB35EC"/>
    <w:rsid w:val="00CB3B05"/>
    <w:rsid w:val="00CC100A"/>
    <w:rsid w:val="00CC2AA0"/>
    <w:rsid w:val="00CC418C"/>
    <w:rsid w:val="00CC4CA6"/>
    <w:rsid w:val="00CC64E1"/>
    <w:rsid w:val="00CC6803"/>
    <w:rsid w:val="00CD1C6E"/>
    <w:rsid w:val="00CD1F0F"/>
    <w:rsid w:val="00CD2250"/>
    <w:rsid w:val="00CD35B2"/>
    <w:rsid w:val="00CD58FD"/>
    <w:rsid w:val="00CD64D5"/>
    <w:rsid w:val="00CE023C"/>
    <w:rsid w:val="00CE0F62"/>
    <w:rsid w:val="00CE1F1F"/>
    <w:rsid w:val="00CE4B96"/>
    <w:rsid w:val="00CE5AAD"/>
    <w:rsid w:val="00CE6B92"/>
    <w:rsid w:val="00CE711C"/>
    <w:rsid w:val="00CF056F"/>
    <w:rsid w:val="00CF2E77"/>
    <w:rsid w:val="00CF528E"/>
    <w:rsid w:val="00D00854"/>
    <w:rsid w:val="00D01A5E"/>
    <w:rsid w:val="00D01CFE"/>
    <w:rsid w:val="00D03307"/>
    <w:rsid w:val="00D041E0"/>
    <w:rsid w:val="00D050B4"/>
    <w:rsid w:val="00D06F99"/>
    <w:rsid w:val="00D112EB"/>
    <w:rsid w:val="00D12208"/>
    <w:rsid w:val="00D12A3E"/>
    <w:rsid w:val="00D16285"/>
    <w:rsid w:val="00D170BB"/>
    <w:rsid w:val="00D17DE3"/>
    <w:rsid w:val="00D17F6E"/>
    <w:rsid w:val="00D2092D"/>
    <w:rsid w:val="00D20B54"/>
    <w:rsid w:val="00D21926"/>
    <w:rsid w:val="00D21E8C"/>
    <w:rsid w:val="00D23482"/>
    <w:rsid w:val="00D2371A"/>
    <w:rsid w:val="00D25026"/>
    <w:rsid w:val="00D262AC"/>
    <w:rsid w:val="00D30365"/>
    <w:rsid w:val="00D308EC"/>
    <w:rsid w:val="00D33CB3"/>
    <w:rsid w:val="00D340B8"/>
    <w:rsid w:val="00D343FA"/>
    <w:rsid w:val="00D358EA"/>
    <w:rsid w:val="00D36318"/>
    <w:rsid w:val="00D366B3"/>
    <w:rsid w:val="00D36C11"/>
    <w:rsid w:val="00D36C59"/>
    <w:rsid w:val="00D3793A"/>
    <w:rsid w:val="00D418FF"/>
    <w:rsid w:val="00D41A35"/>
    <w:rsid w:val="00D41B20"/>
    <w:rsid w:val="00D41C01"/>
    <w:rsid w:val="00D427BD"/>
    <w:rsid w:val="00D42B2D"/>
    <w:rsid w:val="00D4641D"/>
    <w:rsid w:val="00D5057A"/>
    <w:rsid w:val="00D5093B"/>
    <w:rsid w:val="00D51E60"/>
    <w:rsid w:val="00D5201E"/>
    <w:rsid w:val="00D52431"/>
    <w:rsid w:val="00D53A77"/>
    <w:rsid w:val="00D53FFB"/>
    <w:rsid w:val="00D549AA"/>
    <w:rsid w:val="00D54A14"/>
    <w:rsid w:val="00D54A16"/>
    <w:rsid w:val="00D56086"/>
    <w:rsid w:val="00D566FF"/>
    <w:rsid w:val="00D614BB"/>
    <w:rsid w:val="00D65C76"/>
    <w:rsid w:val="00D65D56"/>
    <w:rsid w:val="00D674A1"/>
    <w:rsid w:val="00D67EF5"/>
    <w:rsid w:val="00D705F6"/>
    <w:rsid w:val="00D72F05"/>
    <w:rsid w:val="00D734C7"/>
    <w:rsid w:val="00D73634"/>
    <w:rsid w:val="00D73B15"/>
    <w:rsid w:val="00D7504D"/>
    <w:rsid w:val="00D7542B"/>
    <w:rsid w:val="00D75EB9"/>
    <w:rsid w:val="00D80D8C"/>
    <w:rsid w:val="00D81A2B"/>
    <w:rsid w:val="00D82DD9"/>
    <w:rsid w:val="00D8351F"/>
    <w:rsid w:val="00D84048"/>
    <w:rsid w:val="00D84A8F"/>
    <w:rsid w:val="00D84E89"/>
    <w:rsid w:val="00D85BA7"/>
    <w:rsid w:val="00D85E43"/>
    <w:rsid w:val="00D85E9A"/>
    <w:rsid w:val="00D85FDE"/>
    <w:rsid w:val="00D86DBE"/>
    <w:rsid w:val="00D86EED"/>
    <w:rsid w:val="00D87444"/>
    <w:rsid w:val="00D90773"/>
    <w:rsid w:val="00D93BE5"/>
    <w:rsid w:val="00D94781"/>
    <w:rsid w:val="00D95271"/>
    <w:rsid w:val="00D95D24"/>
    <w:rsid w:val="00D960A0"/>
    <w:rsid w:val="00D96712"/>
    <w:rsid w:val="00D96B14"/>
    <w:rsid w:val="00DA01B8"/>
    <w:rsid w:val="00DA1116"/>
    <w:rsid w:val="00DA1D32"/>
    <w:rsid w:val="00DA2320"/>
    <w:rsid w:val="00DA2F73"/>
    <w:rsid w:val="00DA46BC"/>
    <w:rsid w:val="00DA53E3"/>
    <w:rsid w:val="00DA54D0"/>
    <w:rsid w:val="00DA582C"/>
    <w:rsid w:val="00DA64D6"/>
    <w:rsid w:val="00DA750D"/>
    <w:rsid w:val="00DA7A55"/>
    <w:rsid w:val="00DB35F9"/>
    <w:rsid w:val="00DB41F9"/>
    <w:rsid w:val="00DB4A72"/>
    <w:rsid w:val="00DC0058"/>
    <w:rsid w:val="00DC034B"/>
    <w:rsid w:val="00DC25F2"/>
    <w:rsid w:val="00DC307B"/>
    <w:rsid w:val="00DC343B"/>
    <w:rsid w:val="00DC462F"/>
    <w:rsid w:val="00DC48A4"/>
    <w:rsid w:val="00DC499A"/>
    <w:rsid w:val="00DC54A5"/>
    <w:rsid w:val="00DC6B21"/>
    <w:rsid w:val="00DC6D18"/>
    <w:rsid w:val="00DC793C"/>
    <w:rsid w:val="00DD0848"/>
    <w:rsid w:val="00DD0F0A"/>
    <w:rsid w:val="00DD18D9"/>
    <w:rsid w:val="00DD303D"/>
    <w:rsid w:val="00DD6A21"/>
    <w:rsid w:val="00DE18A7"/>
    <w:rsid w:val="00DE2EFB"/>
    <w:rsid w:val="00DE3617"/>
    <w:rsid w:val="00DE3CDC"/>
    <w:rsid w:val="00DE3E50"/>
    <w:rsid w:val="00DE60CA"/>
    <w:rsid w:val="00DE731B"/>
    <w:rsid w:val="00DF0601"/>
    <w:rsid w:val="00DF1AED"/>
    <w:rsid w:val="00DF1DEC"/>
    <w:rsid w:val="00DF1E60"/>
    <w:rsid w:val="00DF4BD9"/>
    <w:rsid w:val="00DF7BC9"/>
    <w:rsid w:val="00E00C34"/>
    <w:rsid w:val="00E02517"/>
    <w:rsid w:val="00E02F9B"/>
    <w:rsid w:val="00E0335B"/>
    <w:rsid w:val="00E04EAD"/>
    <w:rsid w:val="00E065BB"/>
    <w:rsid w:val="00E07BC7"/>
    <w:rsid w:val="00E13E93"/>
    <w:rsid w:val="00E14833"/>
    <w:rsid w:val="00E14B0E"/>
    <w:rsid w:val="00E16319"/>
    <w:rsid w:val="00E1675F"/>
    <w:rsid w:val="00E22D36"/>
    <w:rsid w:val="00E236A3"/>
    <w:rsid w:val="00E24FA3"/>
    <w:rsid w:val="00E255C5"/>
    <w:rsid w:val="00E25EA5"/>
    <w:rsid w:val="00E26B28"/>
    <w:rsid w:val="00E30A0D"/>
    <w:rsid w:val="00E31465"/>
    <w:rsid w:val="00E32778"/>
    <w:rsid w:val="00E328CD"/>
    <w:rsid w:val="00E34598"/>
    <w:rsid w:val="00E3489E"/>
    <w:rsid w:val="00E362F0"/>
    <w:rsid w:val="00E36B95"/>
    <w:rsid w:val="00E37D4D"/>
    <w:rsid w:val="00E4003F"/>
    <w:rsid w:val="00E42A40"/>
    <w:rsid w:val="00E433F4"/>
    <w:rsid w:val="00E44309"/>
    <w:rsid w:val="00E458F6"/>
    <w:rsid w:val="00E45954"/>
    <w:rsid w:val="00E4615A"/>
    <w:rsid w:val="00E46704"/>
    <w:rsid w:val="00E47A55"/>
    <w:rsid w:val="00E47DBA"/>
    <w:rsid w:val="00E51EC9"/>
    <w:rsid w:val="00E524DA"/>
    <w:rsid w:val="00E5303B"/>
    <w:rsid w:val="00E53546"/>
    <w:rsid w:val="00E5513A"/>
    <w:rsid w:val="00E55F24"/>
    <w:rsid w:val="00E60E0D"/>
    <w:rsid w:val="00E61535"/>
    <w:rsid w:val="00E61AB5"/>
    <w:rsid w:val="00E6468D"/>
    <w:rsid w:val="00E6478E"/>
    <w:rsid w:val="00E64EAD"/>
    <w:rsid w:val="00E660AF"/>
    <w:rsid w:val="00E676F2"/>
    <w:rsid w:val="00E7014A"/>
    <w:rsid w:val="00E701AD"/>
    <w:rsid w:val="00E70ABF"/>
    <w:rsid w:val="00E749B4"/>
    <w:rsid w:val="00E75B8B"/>
    <w:rsid w:val="00E771B5"/>
    <w:rsid w:val="00E80087"/>
    <w:rsid w:val="00E81F52"/>
    <w:rsid w:val="00E828EE"/>
    <w:rsid w:val="00E852DB"/>
    <w:rsid w:val="00E85677"/>
    <w:rsid w:val="00E85AD1"/>
    <w:rsid w:val="00E86273"/>
    <w:rsid w:val="00E90B89"/>
    <w:rsid w:val="00E91BD6"/>
    <w:rsid w:val="00E95254"/>
    <w:rsid w:val="00E95328"/>
    <w:rsid w:val="00E96599"/>
    <w:rsid w:val="00E96678"/>
    <w:rsid w:val="00E96F2B"/>
    <w:rsid w:val="00E974A1"/>
    <w:rsid w:val="00E9782D"/>
    <w:rsid w:val="00EA0E28"/>
    <w:rsid w:val="00EA15BE"/>
    <w:rsid w:val="00EA44D9"/>
    <w:rsid w:val="00EA45D1"/>
    <w:rsid w:val="00EA479B"/>
    <w:rsid w:val="00EA678D"/>
    <w:rsid w:val="00EA78D5"/>
    <w:rsid w:val="00EB0567"/>
    <w:rsid w:val="00EB54B6"/>
    <w:rsid w:val="00EB574E"/>
    <w:rsid w:val="00EB6A76"/>
    <w:rsid w:val="00EB7AA1"/>
    <w:rsid w:val="00EC0F67"/>
    <w:rsid w:val="00EC1A60"/>
    <w:rsid w:val="00EC1A8A"/>
    <w:rsid w:val="00EC3045"/>
    <w:rsid w:val="00EC33ED"/>
    <w:rsid w:val="00EC343A"/>
    <w:rsid w:val="00EC52B2"/>
    <w:rsid w:val="00EC698A"/>
    <w:rsid w:val="00EC7199"/>
    <w:rsid w:val="00EC7A5D"/>
    <w:rsid w:val="00ED0496"/>
    <w:rsid w:val="00ED1196"/>
    <w:rsid w:val="00ED1BB9"/>
    <w:rsid w:val="00ED60BC"/>
    <w:rsid w:val="00ED7B66"/>
    <w:rsid w:val="00EE265E"/>
    <w:rsid w:val="00EE4402"/>
    <w:rsid w:val="00EE581C"/>
    <w:rsid w:val="00EE655D"/>
    <w:rsid w:val="00EE72D3"/>
    <w:rsid w:val="00EF270A"/>
    <w:rsid w:val="00EF6D57"/>
    <w:rsid w:val="00EF70C7"/>
    <w:rsid w:val="00EF7CBD"/>
    <w:rsid w:val="00F00DA1"/>
    <w:rsid w:val="00F0115D"/>
    <w:rsid w:val="00F014B2"/>
    <w:rsid w:val="00F01AD8"/>
    <w:rsid w:val="00F02065"/>
    <w:rsid w:val="00F02CC4"/>
    <w:rsid w:val="00F054F3"/>
    <w:rsid w:val="00F05D12"/>
    <w:rsid w:val="00F0677F"/>
    <w:rsid w:val="00F0799D"/>
    <w:rsid w:val="00F107A0"/>
    <w:rsid w:val="00F127A8"/>
    <w:rsid w:val="00F14C6D"/>
    <w:rsid w:val="00F220A5"/>
    <w:rsid w:val="00F23CAD"/>
    <w:rsid w:val="00F243D6"/>
    <w:rsid w:val="00F24A0B"/>
    <w:rsid w:val="00F25823"/>
    <w:rsid w:val="00F31717"/>
    <w:rsid w:val="00F33BBB"/>
    <w:rsid w:val="00F33EB7"/>
    <w:rsid w:val="00F34362"/>
    <w:rsid w:val="00F3478F"/>
    <w:rsid w:val="00F34BC9"/>
    <w:rsid w:val="00F35DBF"/>
    <w:rsid w:val="00F36508"/>
    <w:rsid w:val="00F3682E"/>
    <w:rsid w:val="00F45B2D"/>
    <w:rsid w:val="00F45E00"/>
    <w:rsid w:val="00F5061F"/>
    <w:rsid w:val="00F50F88"/>
    <w:rsid w:val="00F513AE"/>
    <w:rsid w:val="00F5308B"/>
    <w:rsid w:val="00F530A4"/>
    <w:rsid w:val="00F536CB"/>
    <w:rsid w:val="00F53BA1"/>
    <w:rsid w:val="00F556C6"/>
    <w:rsid w:val="00F55F9D"/>
    <w:rsid w:val="00F5646F"/>
    <w:rsid w:val="00F56A94"/>
    <w:rsid w:val="00F617BB"/>
    <w:rsid w:val="00F63488"/>
    <w:rsid w:val="00F64568"/>
    <w:rsid w:val="00F65CFB"/>
    <w:rsid w:val="00F67DA9"/>
    <w:rsid w:val="00F7027F"/>
    <w:rsid w:val="00F72218"/>
    <w:rsid w:val="00F73001"/>
    <w:rsid w:val="00F765FA"/>
    <w:rsid w:val="00F801C0"/>
    <w:rsid w:val="00F81544"/>
    <w:rsid w:val="00F8302E"/>
    <w:rsid w:val="00F83E56"/>
    <w:rsid w:val="00F83F64"/>
    <w:rsid w:val="00F84529"/>
    <w:rsid w:val="00F852E8"/>
    <w:rsid w:val="00F856FF"/>
    <w:rsid w:val="00F868AB"/>
    <w:rsid w:val="00F86DAB"/>
    <w:rsid w:val="00F87665"/>
    <w:rsid w:val="00F92056"/>
    <w:rsid w:val="00F92B44"/>
    <w:rsid w:val="00F95044"/>
    <w:rsid w:val="00F96F41"/>
    <w:rsid w:val="00FA07C9"/>
    <w:rsid w:val="00FA2282"/>
    <w:rsid w:val="00FA2566"/>
    <w:rsid w:val="00FA2AE1"/>
    <w:rsid w:val="00FA4916"/>
    <w:rsid w:val="00FA4C0B"/>
    <w:rsid w:val="00FA520F"/>
    <w:rsid w:val="00FA6C80"/>
    <w:rsid w:val="00FA7E5C"/>
    <w:rsid w:val="00FB03FD"/>
    <w:rsid w:val="00FB0F69"/>
    <w:rsid w:val="00FB1733"/>
    <w:rsid w:val="00FB193D"/>
    <w:rsid w:val="00FB1BAB"/>
    <w:rsid w:val="00FB3422"/>
    <w:rsid w:val="00FB3B42"/>
    <w:rsid w:val="00FB4C11"/>
    <w:rsid w:val="00FB63A9"/>
    <w:rsid w:val="00FC0144"/>
    <w:rsid w:val="00FC0382"/>
    <w:rsid w:val="00FC3AF0"/>
    <w:rsid w:val="00FC5547"/>
    <w:rsid w:val="00FC5DCB"/>
    <w:rsid w:val="00FC66AE"/>
    <w:rsid w:val="00FC7F13"/>
    <w:rsid w:val="00FD01B5"/>
    <w:rsid w:val="00FD14B9"/>
    <w:rsid w:val="00FD14C8"/>
    <w:rsid w:val="00FD1F6C"/>
    <w:rsid w:val="00FD361A"/>
    <w:rsid w:val="00FD4326"/>
    <w:rsid w:val="00FD48CC"/>
    <w:rsid w:val="00FD583C"/>
    <w:rsid w:val="00FD5842"/>
    <w:rsid w:val="00FD5B63"/>
    <w:rsid w:val="00FD5BF0"/>
    <w:rsid w:val="00FD5F9C"/>
    <w:rsid w:val="00FD665D"/>
    <w:rsid w:val="00FD7165"/>
    <w:rsid w:val="00FE087B"/>
    <w:rsid w:val="00FE12D6"/>
    <w:rsid w:val="00FE157E"/>
    <w:rsid w:val="00FE3AC5"/>
    <w:rsid w:val="00FE3B2B"/>
    <w:rsid w:val="00FE3F16"/>
    <w:rsid w:val="00FE4A2D"/>
    <w:rsid w:val="00FE62E1"/>
    <w:rsid w:val="00FF1878"/>
    <w:rsid w:val="00FF2FF8"/>
    <w:rsid w:val="00FF3C41"/>
    <w:rsid w:val="00FF3E56"/>
    <w:rsid w:val="00FF4B42"/>
    <w:rsid w:val="00FF4B89"/>
    <w:rsid w:val="00FF6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8F14609"/>
  <w15:chartTrackingRefBased/>
  <w15:docId w15:val="{D288B6A0-C757-43E8-8DF3-C8E48FFA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Normal (Web)" w:uiPriority="99"/>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7F"/>
    <w:rPr>
      <w:sz w:val="24"/>
      <w:szCs w:val="24"/>
      <w:lang w:eastAsia="en-US"/>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b/>
      <w:bCs/>
      <w:sz w:val="36"/>
      <w:szCs w:val="28"/>
      <w:lang w:eastAsia="en-US"/>
    </w:rPr>
  </w:style>
  <w:style w:type="character" w:customStyle="1" w:styleId="Heading2Char">
    <w:name w:val="Heading 2 Char"/>
    <w:link w:val="Heading2"/>
    <w:rsid w:val="005C2ECF"/>
    <w:rPr>
      <w:b/>
      <w:sz w:val="28"/>
      <w:szCs w:val="26"/>
      <w:lang w:eastAsia="en-US"/>
    </w:rPr>
  </w:style>
  <w:style w:type="character" w:customStyle="1" w:styleId="Heading3Char">
    <w:name w:val="Heading 3 Char"/>
    <w:link w:val="Heading3"/>
    <w:rsid w:val="008007A8"/>
    <w:rPr>
      <w:bCs/>
      <w:sz w:val="24"/>
      <w:szCs w:val="26"/>
      <w:lang w:eastAsia="en-US"/>
    </w:rPr>
  </w:style>
  <w:style w:type="character" w:customStyle="1" w:styleId="Heading4Char">
    <w:name w:val="Heading 4 Char"/>
    <w:link w:val="Heading4"/>
    <w:rsid w:val="008007A8"/>
    <w:rPr>
      <w:i/>
      <w:iCs/>
      <w:sz w:val="24"/>
      <w:szCs w:val="26"/>
      <w:lang w:eastAsia="en-US"/>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sz w:val="24"/>
      <w:szCs w:val="24"/>
      <w:lang w:eastAsia="en-US"/>
    </w:rPr>
  </w:style>
  <w:style w:type="character" w:customStyle="1" w:styleId="Heading6Char">
    <w:name w:val="Heading 6 Char"/>
    <w:link w:val="Heading6"/>
    <w:rsid w:val="005C2ECF"/>
    <w:rPr>
      <w:i/>
      <w:iCs/>
      <w:sz w:val="24"/>
      <w:szCs w:val="24"/>
      <w:lang w:eastAsia="en-US"/>
    </w:rPr>
  </w:style>
  <w:style w:type="character" w:customStyle="1" w:styleId="Heading7Char">
    <w:name w:val="Heading 7 Char"/>
    <w:link w:val="Heading7"/>
    <w:rsid w:val="005C2ECF"/>
    <w:rPr>
      <w:i/>
      <w:iCs/>
      <w:sz w:val="24"/>
      <w:szCs w:val="24"/>
      <w:lang w:eastAsia="en-US"/>
    </w:rPr>
  </w:style>
  <w:style w:type="character" w:customStyle="1" w:styleId="Heading8Char">
    <w:name w:val="Heading 8 Char"/>
    <w:link w:val="Heading8"/>
    <w:rsid w:val="005C2ECF"/>
    <w:rPr>
      <w:lang w:eastAsia="en-US"/>
    </w:rPr>
  </w:style>
  <w:style w:type="character" w:customStyle="1" w:styleId="Heading9Char">
    <w:name w:val="Heading 9 Char"/>
    <w:link w:val="Heading9"/>
    <w:rsid w:val="005C2ECF"/>
    <w:rPr>
      <w:i/>
      <w:iCs/>
      <w:lang w:eastAsia="en-US"/>
    </w:rPr>
  </w:style>
  <w:style w:type="paragraph" w:styleId="Header">
    <w:name w:val="header"/>
    <w:basedOn w:val="Normal"/>
    <w:link w:val="HeaderChar"/>
    <w:qFormat/>
    <w:rsid w:val="00CA5D90"/>
    <w:pPr>
      <w:tabs>
        <w:tab w:val="center" w:pos="4513"/>
        <w:tab w:val="right" w:pos="9026"/>
      </w:tabs>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ind w:left="720" w:hanging="720"/>
    </w:pPr>
    <w:rPr>
      <w:b/>
      <w:noProof/>
    </w:rPr>
  </w:style>
  <w:style w:type="paragraph" w:styleId="TOC2">
    <w:name w:val="toc 2"/>
    <w:basedOn w:val="Normal"/>
    <w:next w:val="Normal"/>
    <w:uiPriority w:val="39"/>
    <w:locked/>
    <w:rsid w:val="00A92F92"/>
    <w:pPr>
      <w:tabs>
        <w:tab w:val="right" w:leader="dot" w:pos="9060"/>
      </w:tabs>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after="360"/>
    </w:pPr>
    <w:rPr>
      <w:b/>
      <w:lang w:val="en-US"/>
    </w:rPr>
  </w:style>
  <w:style w:type="paragraph" w:styleId="EndnoteText">
    <w:name w:val="endnote text"/>
    <w:basedOn w:val="Normal"/>
    <w:link w:val="EndnoteTextChar1"/>
    <w:qFormat/>
    <w:rsid w:val="0002476A"/>
    <w:pPr>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cs="ArialMT"/>
      <w:sz w:val="16"/>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line="320" w:lineRule="exact"/>
    </w:pPr>
    <w:rPr>
      <w:rFonts w:cs="ArialMT"/>
      <w:b/>
      <w:spacing w:val="-20"/>
      <w:sz w:val="32"/>
    </w:rPr>
  </w:style>
  <w:style w:type="paragraph" w:styleId="BalloonText">
    <w:name w:val="Balloon Text"/>
    <w:basedOn w:val="Normal"/>
    <w:link w:val="BalloonTextChar"/>
    <w:semiHidden/>
    <w:rsid w:val="00045C4B"/>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style>
  <w:style w:type="character" w:customStyle="1" w:styleId="SubmissionNormalChar">
    <w:name w:val="Submission Normal Char"/>
    <w:link w:val="SubmissionNormal"/>
    <w:rsid w:val="00B34946"/>
    <w:rPr>
      <w:sz w:val="24"/>
      <w:szCs w:val="24"/>
      <w:lang w:eastAsia="en-US"/>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FootnoteText">
    <w:name w:val="footnote text"/>
    <w:basedOn w:val="Normal"/>
    <w:link w:val="FootnoteTextChar"/>
    <w:uiPriority w:val="99"/>
    <w:locked/>
    <w:rsid w:val="00810965"/>
    <w:rPr>
      <w:sz w:val="20"/>
      <w:szCs w:val="20"/>
    </w:rPr>
  </w:style>
  <w:style w:type="character" w:customStyle="1" w:styleId="FootnoteTextChar">
    <w:name w:val="Footnote Text Char"/>
    <w:basedOn w:val="DefaultParagraphFont"/>
    <w:link w:val="FootnoteText"/>
    <w:uiPriority w:val="99"/>
    <w:rsid w:val="00810965"/>
    <w:rPr>
      <w:rFonts w:ascii="Open Sans" w:eastAsia="MS Mincho" w:hAnsi="Open Sans"/>
    </w:rPr>
  </w:style>
  <w:style w:type="character" w:styleId="FootnoteReference">
    <w:name w:val="footnote reference"/>
    <w:basedOn w:val="DefaultParagraphFont"/>
    <w:uiPriority w:val="99"/>
    <w:locked/>
    <w:rsid w:val="00810965"/>
    <w:rPr>
      <w:vertAlign w:val="superscript"/>
    </w:rPr>
  </w:style>
  <w:style w:type="character" w:customStyle="1" w:styleId="UnresolvedMention2">
    <w:name w:val="Unresolved Mention2"/>
    <w:basedOn w:val="DefaultParagraphFont"/>
    <w:uiPriority w:val="99"/>
    <w:semiHidden/>
    <w:unhideWhenUsed/>
    <w:rsid w:val="00590E24"/>
    <w:rPr>
      <w:color w:val="605E5C"/>
      <w:shd w:val="clear" w:color="auto" w:fill="E1DFDD"/>
    </w:rPr>
  </w:style>
  <w:style w:type="paragraph" w:customStyle="1" w:styleId="Default">
    <w:name w:val="Default"/>
    <w:rsid w:val="000509C3"/>
    <w:pPr>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DefaultParagraphFont"/>
    <w:rsid w:val="0078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953">
      <w:bodyDiv w:val="1"/>
      <w:marLeft w:val="0"/>
      <w:marRight w:val="0"/>
      <w:marTop w:val="0"/>
      <w:marBottom w:val="0"/>
      <w:divBdr>
        <w:top w:val="none" w:sz="0" w:space="0" w:color="auto"/>
        <w:left w:val="none" w:sz="0" w:space="0" w:color="auto"/>
        <w:bottom w:val="none" w:sz="0" w:space="0" w:color="auto"/>
        <w:right w:val="none" w:sz="0" w:space="0" w:color="auto"/>
      </w:divBdr>
    </w:div>
    <w:div w:id="76482495">
      <w:bodyDiv w:val="1"/>
      <w:marLeft w:val="0"/>
      <w:marRight w:val="0"/>
      <w:marTop w:val="0"/>
      <w:marBottom w:val="0"/>
      <w:divBdr>
        <w:top w:val="none" w:sz="0" w:space="0" w:color="auto"/>
        <w:left w:val="none" w:sz="0" w:space="0" w:color="auto"/>
        <w:bottom w:val="none" w:sz="0" w:space="0" w:color="auto"/>
        <w:right w:val="none" w:sz="0" w:space="0" w:color="auto"/>
      </w:divBdr>
    </w:div>
    <w:div w:id="112217429">
      <w:bodyDiv w:val="1"/>
      <w:marLeft w:val="0"/>
      <w:marRight w:val="0"/>
      <w:marTop w:val="0"/>
      <w:marBottom w:val="0"/>
      <w:divBdr>
        <w:top w:val="none" w:sz="0" w:space="0" w:color="auto"/>
        <w:left w:val="none" w:sz="0" w:space="0" w:color="auto"/>
        <w:bottom w:val="none" w:sz="0" w:space="0" w:color="auto"/>
        <w:right w:val="none" w:sz="0" w:space="0" w:color="auto"/>
      </w:divBdr>
    </w:div>
    <w:div w:id="181212404">
      <w:bodyDiv w:val="1"/>
      <w:marLeft w:val="0"/>
      <w:marRight w:val="0"/>
      <w:marTop w:val="0"/>
      <w:marBottom w:val="0"/>
      <w:divBdr>
        <w:top w:val="none" w:sz="0" w:space="0" w:color="auto"/>
        <w:left w:val="none" w:sz="0" w:space="0" w:color="auto"/>
        <w:bottom w:val="none" w:sz="0" w:space="0" w:color="auto"/>
        <w:right w:val="none" w:sz="0" w:space="0" w:color="auto"/>
      </w:divBdr>
    </w:div>
    <w:div w:id="203367185">
      <w:bodyDiv w:val="1"/>
      <w:marLeft w:val="0"/>
      <w:marRight w:val="0"/>
      <w:marTop w:val="0"/>
      <w:marBottom w:val="0"/>
      <w:divBdr>
        <w:top w:val="none" w:sz="0" w:space="0" w:color="auto"/>
        <w:left w:val="none" w:sz="0" w:space="0" w:color="auto"/>
        <w:bottom w:val="none" w:sz="0" w:space="0" w:color="auto"/>
        <w:right w:val="none" w:sz="0" w:space="0" w:color="auto"/>
      </w:divBdr>
      <w:divsChild>
        <w:div w:id="373505072">
          <w:marLeft w:val="0"/>
          <w:marRight w:val="0"/>
          <w:marTop w:val="0"/>
          <w:marBottom w:val="0"/>
          <w:divBdr>
            <w:top w:val="none" w:sz="0" w:space="0" w:color="auto"/>
            <w:left w:val="none" w:sz="0" w:space="0" w:color="auto"/>
            <w:bottom w:val="none" w:sz="0" w:space="0" w:color="auto"/>
            <w:right w:val="none" w:sz="0" w:space="0" w:color="auto"/>
          </w:divBdr>
          <w:divsChild>
            <w:div w:id="291905545">
              <w:marLeft w:val="0"/>
              <w:marRight w:val="0"/>
              <w:marTop w:val="0"/>
              <w:marBottom w:val="0"/>
              <w:divBdr>
                <w:top w:val="none" w:sz="0" w:space="0" w:color="auto"/>
                <w:left w:val="none" w:sz="0" w:space="0" w:color="auto"/>
                <w:bottom w:val="none" w:sz="0" w:space="0" w:color="auto"/>
                <w:right w:val="none" w:sz="0" w:space="0" w:color="auto"/>
              </w:divBdr>
              <w:divsChild>
                <w:div w:id="1548177534">
                  <w:marLeft w:val="0"/>
                  <w:marRight w:val="0"/>
                  <w:marTop w:val="0"/>
                  <w:marBottom w:val="0"/>
                  <w:divBdr>
                    <w:top w:val="none" w:sz="0" w:space="0" w:color="auto"/>
                    <w:left w:val="none" w:sz="0" w:space="0" w:color="auto"/>
                    <w:bottom w:val="none" w:sz="0" w:space="0" w:color="auto"/>
                    <w:right w:val="none" w:sz="0" w:space="0" w:color="auto"/>
                  </w:divBdr>
                  <w:divsChild>
                    <w:div w:id="14758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4313">
      <w:bodyDiv w:val="1"/>
      <w:marLeft w:val="0"/>
      <w:marRight w:val="0"/>
      <w:marTop w:val="0"/>
      <w:marBottom w:val="0"/>
      <w:divBdr>
        <w:top w:val="none" w:sz="0" w:space="0" w:color="auto"/>
        <w:left w:val="none" w:sz="0" w:space="0" w:color="auto"/>
        <w:bottom w:val="none" w:sz="0" w:space="0" w:color="auto"/>
        <w:right w:val="none" w:sz="0" w:space="0" w:color="auto"/>
      </w:divBdr>
    </w:div>
    <w:div w:id="224801034">
      <w:bodyDiv w:val="1"/>
      <w:marLeft w:val="0"/>
      <w:marRight w:val="0"/>
      <w:marTop w:val="0"/>
      <w:marBottom w:val="0"/>
      <w:divBdr>
        <w:top w:val="none" w:sz="0" w:space="0" w:color="auto"/>
        <w:left w:val="none" w:sz="0" w:space="0" w:color="auto"/>
        <w:bottom w:val="none" w:sz="0" w:space="0" w:color="auto"/>
        <w:right w:val="none" w:sz="0" w:space="0" w:color="auto"/>
      </w:divBdr>
    </w:div>
    <w:div w:id="242835433">
      <w:bodyDiv w:val="1"/>
      <w:marLeft w:val="0"/>
      <w:marRight w:val="0"/>
      <w:marTop w:val="0"/>
      <w:marBottom w:val="0"/>
      <w:divBdr>
        <w:top w:val="none" w:sz="0" w:space="0" w:color="auto"/>
        <w:left w:val="none" w:sz="0" w:space="0" w:color="auto"/>
        <w:bottom w:val="none" w:sz="0" w:space="0" w:color="auto"/>
        <w:right w:val="none" w:sz="0" w:space="0" w:color="auto"/>
      </w:divBdr>
    </w:div>
    <w:div w:id="290326165">
      <w:bodyDiv w:val="1"/>
      <w:marLeft w:val="0"/>
      <w:marRight w:val="0"/>
      <w:marTop w:val="0"/>
      <w:marBottom w:val="0"/>
      <w:divBdr>
        <w:top w:val="none" w:sz="0" w:space="0" w:color="auto"/>
        <w:left w:val="none" w:sz="0" w:space="0" w:color="auto"/>
        <w:bottom w:val="none" w:sz="0" w:space="0" w:color="auto"/>
        <w:right w:val="none" w:sz="0" w:space="0" w:color="auto"/>
      </w:divBdr>
    </w:div>
    <w:div w:id="315844204">
      <w:bodyDiv w:val="1"/>
      <w:marLeft w:val="0"/>
      <w:marRight w:val="0"/>
      <w:marTop w:val="0"/>
      <w:marBottom w:val="0"/>
      <w:divBdr>
        <w:top w:val="none" w:sz="0" w:space="0" w:color="auto"/>
        <w:left w:val="none" w:sz="0" w:space="0" w:color="auto"/>
        <w:bottom w:val="none" w:sz="0" w:space="0" w:color="auto"/>
        <w:right w:val="none" w:sz="0" w:space="0" w:color="auto"/>
      </w:divBdr>
    </w:div>
    <w:div w:id="319312489">
      <w:bodyDiv w:val="1"/>
      <w:marLeft w:val="0"/>
      <w:marRight w:val="0"/>
      <w:marTop w:val="0"/>
      <w:marBottom w:val="0"/>
      <w:divBdr>
        <w:top w:val="none" w:sz="0" w:space="0" w:color="auto"/>
        <w:left w:val="none" w:sz="0" w:space="0" w:color="auto"/>
        <w:bottom w:val="none" w:sz="0" w:space="0" w:color="auto"/>
        <w:right w:val="none" w:sz="0" w:space="0" w:color="auto"/>
      </w:divBdr>
    </w:div>
    <w:div w:id="381901749">
      <w:bodyDiv w:val="1"/>
      <w:marLeft w:val="0"/>
      <w:marRight w:val="0"/>
      <w:marTop w:val="0"/>
      <w:marBottom w:val="0"/>
      <w:divBdr>
        <w:top w:val="none" w:sz="0" w:space="0" w:color="auto"/>
        <w:left w:val="none" w:sz="0" w:space="0" w:color="auto"/>
        <w:bottom w:val="none" w:sz="0" w:space="0" w:color="auto"/>
        <w:right w:val="none" w:sz="0" w:space="0" w:color="auto"/>
      </w:divBdr>
      <w:divsChild>
        <w:div w:id="233011476">
          <w:marLeft w:val="0"/>
          <w:marRight w:val="0"/>
          <w:marTop w:val="0"/>
          <w:marBottom w:val="0"/>
          <w:divBdr>
            <w:top w:val="none" w:sz="0" w:space="0" w:color="auto"/>
            <w:left w:val="none" w:sz="0" w:space="0" w:color="auto"/>
            <w:bottom w:val="none" w:sz="0" w:space="0" w:color="auto"/>
            <w:right w:val="none" w:sz="0" w:space="0" w:color="auto"/>
          </w:divBdr>
          <w:divsChild>
            <w:div w:id="1326856013">
              <w:marLeft w:val="0"/>
              <w:marRight w:val="0"/>
              <w:marTop w:val="0"/>
              <w:marBottom w:val="0"/>
              <w:divBdr>
                <w:top w:val="none" w:sz="0" w:space="0" w:color="auto"/>
                <w:left w:val="none" w:sz="0" w:space="0" w:color="auto"/>
                <w:bottom w:val="none" w:sz="0" w:space="0" w:color="auto"/>
                <w:right w:val="none" w:sz="0" w:space="0" w:color="auto"/>
              </w:divBdr>
              <w:divsChild>
                <w:div w:id="11124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3034">
      <w:bodyDiv w:val="1"/>
      <w:marLeft w:val="0"/>
      <w:marRight w:val="0"/>
      <w:marTop w:val="0"/>
      <w:marBottom w:val="0"/>
      <w:divBdr>
        <w:top w:val="none" w:sz="0" w:space="0" w:color="auto"/>
        <w:left w:val="none" w:sz="0" w:space="0" w:color="auto"/>
        <w:bottom w:val="none" w:sz="0" w:space="0" w:color="auto"/>
        <w:right w:val="none" w:sz="0" w:space="0" w:color="auto"/>
      </w:divBdr>
      <w:divsChild>
        <w:div w:id="280301670">
          <w:marLeft w:val="0"/>
          <w:marRight w:val="0"/>
          <w:marTop w:val="0"/>
          <w:marBottom w:val="0"/>
          <w:divBdr>
            <w:top w:val="none" w:sz="0" w:space="0" w:color="auto"/>
            <w:left w:val="none" w:sz="0" w:space="0" w:color="auto"/>
            <w:bottom w:val="none" w:sz="0" w:space="0" w:color="auto"/>
            <w:right w:val="none" w:sz="0" w:space="0" w:color="auto"/>
          </w:divBdr>
          <w:divsChild>
            <w:div w:id="791362391">
              <w:marLeft w:val="0"/>
              <w:marRight w:val="0"/>
              <w:marTop w:val="0"/>
              <w:marBottom w:val="0"/>
              <w:divBdr>
                <w:top w:val="none" w:sz="0" w:space="0" w:color="auto"/>
                <w:left w:val="none" w:sz="0" w:space="0" w:color="auto"/>
                <w:bottom w:val="none" w:sz="0" w:space="0" w:color="auto"/>
                <w:right w:val="none" w:sz="0" w:space="0" w:color="auto"/>
              </w:divBdr>
              <w:divsChild>
                <w:div w:id="1650087967">
                  <w:marLeft w:val="0"/>
                  <w:marRight w:val="0"/>
                  <w:marTop w:val="0"/>
                  <w:marBottom w:val="0"/>
                  <w:divBdr>
                    <w:top w:val="none" w:sz="0" w:space="0" w:color="auto"/>
                    <w:left w:val="none" w:sz="0" w:space="0" w:color="auto"/>
                    <w:bottom w:val="none" w:sz="0" w:space="0" w:color="auto"/>
                    <w:right w:val="none" w:sz="0" w:space="0" w:color="auto"/>
                  </w:divBdr>
                  <w:divsChild>
                    <w:div w:id="647367410">
                      <w:marLeft w:val="0"/>
                      <w:marRight w:val="0"/>
                      <w:marTop w:val="0"/>
                      <w:marBottom w:val="0"/>
                      <w:divBdr>
                        <w:top w:val="none" w:sz="0" w:space="0" w:color="auto"/>
                        <w:left w:val="none" w:sz="0" w:space="0" w:color="auto"/>
                        <w:bottom w:val="none" w:sz="0" w:space="0" w:color="auto"/>
                        <w:right w:val="none" w:sz="0" w:space="0" w:color="auto"/>
                      </w:divBdr>
                      <w:divsChild>
                        <w:div w:id="1948803974">
                          <w:marLeft w:val="0"/>
                          <w:marRight w:val="0"/>
                          <w:marTop w:val="0"/>
                          <w:marBottom w:val="0"/>
                          <w:divBdr>
                            <w:top w:val="none" w:sz="0" w:space="0" w:color="auto"/>
                            <w:left w:val="none" w:sz="0" w:space="0" w:color="auto"/>
                            <w:bottom w:val="none" w:sz="0" w:space="0" w:color="auto"/>
                            <w:right w:val="none" w:sz="0" w:space="0" w:color="auto"/>
                          </w:divBdr>
                          <w:divsChild>
                            <w:div w:id="1104690974">
                              <w:marLeft w:val="0"/>
                              <w:marRight w:val="0"/>
                              <w:marTop w:val="0"/>
                              <w:marBottom w:val="0"/>
                              <w:divBdr>
                                <w:top w:val="none" w:sz="0" w:space="0" w:color="auto"/>
                                <w:left w:val="none" w:sz="0" w:space="0" w:color="auto"/>
                                <w:bottom w:val="none" w:sz="0" w:space="0" w:color="auto"/>
                                <w:right w:val="none" w:sz="0" w:space="0" w:color="auto"/>
                              </w:divBdr>
                              <w:divsChild>
                                <w:div w:id="1351033530">
                                  <w:marLeft w:val="0"/>
                                  <w:marRight w:val="0"/>
                                  <w:marTop w:val="0"/>
                                  <w:marBottom w:val="0"/>
                                  <w:divBdr>
                                    <w:top w:val="none" w:sz="0" w:space="0" w:color="auto"/>
                                    <w:left w:val="none" w:sz="0" w:space="0" w:color="auto"/>
                                    <w:bottom w:val="none" w:sz="0" w:space="0" w:color="auto"/>
                                    <w:right w:val="none" w:sz="0" w:space="0" w:color="auto"/>
                                  </w:divBdr>
                                  <w:divsChild>
                                    <w:div w:id="1160385536">
                                      <w:marLeft w:val="0"/>
                                      <w:marRight w:val="0"/>
                                      <w:marTop w:val="0"/>
                                      <w:marBottom w:val="0"/>
                                      <w:divBdr>
                                        <w:top w:val="none" w:sz="0" w:space="0" w:color="auto"/>
                                        <w:left w:val="none" w:sz="0" w:space="0" w:color="auto"/>
                                        <w:bottom w:val="none" w:sz="0" w:space="0" w:color="auto"/>
                                        <w:right w:val="none" w:sz="0" w:space="0" w:color="auto"/>
                                      </w:divBdr>
                                      <w:divsChild>
                                        <w:div w:id="571502551">
                                          <w:marLeft w:val="0"/>
                                          <w:marRight w:val="0"/>
                                          <w:marTop w:val="0"/>
                                          <w:marBottom w:val="0"/>
                                          <w:divBdr>
                                            <w:top w:val="none" w:sz="0" w:space="0" w:color="auto"/>
                                            <w:left w:val="none" w:sz="0" w:space="0" w:color="auto"/>
                                            <w:bottom w:val="none" w:sz="0" w:space="0" w:color="auto"/>
                                            <w:right w:val="none" w:sz="0" w:space="0" w:color="auto"/>
                                          </w:divBdr>
                                          <w:divsChild>
                                            <w:div w:id="1331250462">
                                              <w:marLeft w:val="0"/>
                                              <w:marRight w:val="0"/>
                                              <w:marTop w:val="0"/>
                                              <w:marBottom w:val="0"/>
                                              <w:divBdr>
                                                <w:top w:val="none" w:sz="0" w:space="0" w:color="auto"/>
                                                <w:left w:val="none" w:sz="0" w:space="0" w:color="auto"/>
                                                <w:bottom w:val="none" w:sz="0" w:space="0" w:color="auto"/>
                                                <w:right w:val="none" w:sz="0" w:space="0" w:color="auto"/>
                                              </w:divBdr>
                                              <w:divsChild>
                                                <w:div w:id="1314530809">
                                                  <w:marLeft w:val="0"/>
                                                  <w:marRight w:val="0"/>
                                                  <w:marTop w:val="0"/>
                                                  <w:marBottom w:val="0"/>
                                                  <w:divBdr>
                                                    <w:top w:val="none" w:sz="0" w:space="0" w:color="auto"/>
                                                    <w:left w:val="none" w:sz="0" w:space="0" w:color="auto"/>
                                                    <w:bottom w:val="none" w:sz="0" w:space="0" w:color="auto"/>
                                                    <w:right w:val="none" w:sz="0" w:space="0" w:color="auto"/>
                                                  </w:divBdr>
                                                  <w:divsChild>
                                                    <w:div w:id="477109832">
                                                      <w:marLeft w:val="0"/>
                                                      <w:marRight w:val="0"/>
                                                      <w:marTop w:val="0"/>
                                                      <w:marBottom w:val="0"/>
                                                      <w:divBdr>
                                                        <w:top w:val="none" w:sz="0" w:space="0" w:color="auto"/>
                                                        <w:left w:val="none" w:sz="0" w:space="0" w:color="auto"/>
                                                        <w:bottom w:val="none" w:sz="0" w:space="0" w:color="auto"/>
                                                        <w:right w:val="none" w:sz="0" w:space="0" w:color="auto"/>
                                                      </w:divBdr>
                                                      <w:divsChild>
                                                        <w:div w:id="17212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144722">
      <w:bodyDiv w:val="1"/>
      <w:marLeft w:val="0"/>
      <w:marRight w:val="0"/>
      <w:marTop w:val="0"/>
      <w:marBottom w:val="0"/>
      <w:divBdr>
        <w:top w:val="none" w:sz="0" w:space="0" w:color="auto"/>
        <w:left w:val="none" w:sz="0" w:space="0" w:color="auto"/>
        <w:bottom w:val="none" w:sz="0" w:space="0" w:color="auto"/>
        <w:right w:val="none" w:sz="0" w:space="0" w:color="auto"/>
      </w:divBdr>
      <w:divsChild>
        <w:div w:id="1916938076">
          <w:marLeft w:val="0"/>
          <w:marRight w:val="0"/>
          <w:marTop w:val="0"/>
          <w:marBottom w:val="0"/>
          <w:divBdr>
            <w:top w:val="none" w:sz="0" w:space="0" w:color="auto"/>
            <w:left w:val="none" w:sz="0" w:space="0" w:color="auto"/>
            <w:bottom w:val="none" w:sz="0" w:space="0" w:color="auto"/>
            <w:right w:val="none" w:sz="0" w:space="0" w:color="auto"/>
          </w:divBdr>
          <w:divsChild>
            <w:div w:id="1622760030">
              <w:marLeft w:val="0"/>
              <w:marRight w:val="0"/>
              <w:marTop w:val="0"/>
              <w:marBottom w:val="0"/>
              <w:divBdr>
                <w:top w:val="none" w:sz="0" w:space="0" w:color="auto"/>
                <w:left w:val="none" w:sz="0" w:space="0" w:color="auto"/>
                <w:bottom w:val="none" w:sz="0" w:space="0" w:color="auto"/>
                <w:right w:val="none" w:sz="0" w:space="0" w:color="auto"/>
              </w:divBdr>
              <w:divsChild>
                <w:div w:id="410008069">
                  <w:marLeft w:val="0"/>
                  <w:marRight w:val="0"/>
                  <w:marTop w:val="0"/>
                  <w:marBottom w:val="0"/>
                  <w:divBdr>
                    <w:top w:val="none" w:sz="0" w:space="0" w:color="auto"/>
                    <w:left w:val="none" w:sz="0" w:space="0" w:color="auto"/>
                    <w:bottom w:val="none" w:sz="0" w:space="0" w:color="auto"/>
                    <w:right w:val="none" w:sz="0" w:space="0" w:color="auto"/>
                  </w:divBdr>
                  <w:divsChild>
                    <w:div w:id="1151291428">
                      <w:marLeft w:val="0"/>
                      <w:marRight w:val="0"/>
                      <w:marTop w:val="0"/>
                      <w:marBottom w:val="0"/>
                      <w:divBdr>
                        <w:top w:val="none" w:sz="0" w:space="0" w:color="auto"/>
                        <w:left w:val="none" w:sz="0" w:space="0" w:color="auto"/>
                        <w:bottom w:val="none" w:sz="0" w:space="0" w:color="auto"/>
                        <w:right w:val="none" w:sz="0" w:space="0" w:color="auto"/>
                      </w:divBdr>
                      <w:divsChild>
                        <w:div w:id="701130644">
                          <w:marLeft w:val="0"/>
                          <w:marRight w:val="0"/>
                          <w:marTop w:val="0"/>
                          <w:marBottom w:val="0"/>
                          <w:divBdr>
                            <w:top w:val="none" w:sz="0" w:space="0" w:color="auto"/>
                            <w:left w:val="none" w:sz="0" w:space="0" w:color="auto"/>
                            <w:bottom w:val="none" w:sz="0" w:space="0" w:color="auto"/>
                            <w:right w:val="none" w:sz="0" w:space="0" w:color="auto"/>
                          </w:divBdr>
                          <w:divsChild>
                            <w:div w:id="1644777715">
                              <w:marLeft w:val="0"/>
                              <w:marRight w:val="0"/>
                              <w:marTop w:val="0"/>
                              <w:marBottom w:val="0"/>
                              <w:divBdr>
                                <w:top w:val="none" w:sz="0" w:space="0" w:color="auto"/>
                                <w:left w:val="none" w:sz="0" w:space="0" w:color="auto"/>
                                <w:bottom w:val="none" w:sz="0" w:space="0" w:color="auto"/>
                                <w:right w:val="none" w:sz="0" w:space="0" w:color="auto"/>
                              </w:divBdr>
                              <w:divsChild>
                                <w:div w:id="373773564">
                                  <w:marLeft w:val="0"/>
                                  <w:marRight w:val="0"/>
                                  <w:marTop w:val="0"/>
                                  <w:marBottom w:val="0"/>
                                  <w:divBdr>
                                    <w:top w:val="none" w:sz="0" w:space="0" w:color="auto"/>
                                    <w:left w:val="none" w:sz="0" w:space="0" w:color="auto"/>
                                    <w:bottom w:val="none" w:sz="0" w:space="0" w:color="auto"/>
                                    <w:right w:val="none" w:sz="0" w:space="0" w:color="auto"/>
                                  </w:divBdr>
                                  <w:divsChild>
                                    <w:div w:id="421147418">
                                      <w:marLeft w:val="0"/>
                                      <w:marRight w:val="0"/>
                                      <w:marTop w:val="0"/>
                                      <w:marBottom w:val="0"/>
                                      <w:divBdr>
                                        <w:top w:val="none" w:sz="0" w:space="0" w:color="auto"/>
                                        <w:left w:val="none" w:sz="0" w:space="0" w:color="auto"/>
                                        <w:bottom w:val="none" w:sz="0" w:space="0" w:color="auto"/>
                                        <w:right w:val="none" w:sz="0" w:space="0" w:color="auto"/>
                                      </w:divBdr>
                                      <w:divsChild>
                                        <w:div w:id="1661350616">
                                          <w:marLeft w:val="0"/>
                                          <w:marRight w:val="0"/>
                                          <w:marTop w:val="0"/>
                                          <w:marBottom w:val="0"/>
                                          <w:divBdr>
                                            <w:top w:val="none" w:sz="0" w:space="0" w:color="auto"/>
                                            <w:left w:val="none" w:sz="0" w:space="0" w:color="auto"/>
                                            <w:bottom w:val="none" w:sz="0" w:space="0" w:color="auto"/>
                                            <w:right w:val="none" w:sz="0" w:space="0" w:color="auto"/>
                                          </w:divBdr>
                                          <w:divsChild>
                                            <w:div w:id="169373369">
                                              <w:marLeft w:val="0"/>
                                              <w:marRight w:val="0"/>
                                              <w:marTop w:val="0"/>
                                              <w:marBottom w:val="0"/>
                                              <w:divBdr>
                                                <w:top w:val="none" w:sz="0" w:space="0" w:color="auto"/>
                                                <w:left w:val="none" w:sz="0" w:space="0" w:color="auto"/>
                                                <w:bottom w:val="none" w:sz="0" w:space="0" w:color="auto"/>
                                                <w:right w:val="none" w:sz="0" w:space="0" w:color="auto"/>
                                              </w:divBdr>
                                              <w:divsChild>
                                                <w:div w:id="18748578">
                                                  <w:marLeft w:val="0"/>
                                                  <w:marRight w:val="0"/>
                                                  <w:marTop w:val="0"/>
                                                  <w:marBottom w:val="0"/>
                                                  <w:divBdr>
                                                    <w:top w:val="none" w:sz="0" w:space="0" w:color="auto"/>
                                                    <w:left w:val="none" w:sz="0" w:space="0" w:color="auto"/>
                                                    <w:bottom w:val="none" w:sz="0" w:space="0" w:color="auto"/>
                                                    <w:right w:val="none" w:sz="0" w:space="0" w:color="auto"/>
                                                  </w:divBdr>
                                                  <w:divsChild>
                                                    <w:div w:id="1319842115">
                                                      <w:marLeft w:val="0"/>
                                                      <w:marRight w:val="0"/>
                                                      <w:marTop w:val="0"/>
                                                      <w:marBottom w:val="0"/>
                                                      <w:divBdr>
                                                        <w:top w:val="none" w:sz="0" w:space="0" w:color="auto"/>
                                                        <w:left w:val="none" w:sz="0" w:space="0" w:color="auto"/>
                                                        <w:bottom w:val="none" w:sz="0" w:space="0" w:color="auto"/>
                                                        <w:right w:val="none" w:sz="0" w:space="0" w:color="auto"/>
                                                      </w:divBdr>
                                                      <w:divsChild>
                                                        <w:div w:id="2118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46313234">
      <w:bodyDiv w:val="1"/>
      <w:marLeft w:val="0"/>
      <w:marRight w:val="0"/>
      <w:marTop w:val="0"/>
      <w:marBottom w:val="0"/>
      <w:divBdr>
        <w:top w:val="none" w:sz="0" w:space="0" w:color="auto"/>
        <w:left w:val="none" w:sz="0" w:space="0" w:color="auto"/>
        <w:bottom w:val="none" w:sz="0" w:space="0" w:color="auto"/>
        <w:right w:val="none" w:sz="0" w:space="0" w:color="auto"/>
      </w:divBdr>
      <w:divsChild>
        <w:div w:id="975992474">
          <w:marLeft w:val="0"/>
          <w:marRight w:val="0"/>
          <w:marTop w:val="0"/>
          <w:marBottom w:val="0"/>
          <w:divBdr>
            <w:top w:val="none" w:sz="0" w:space="0" w:color="auto"/>
            <w:left w:val="none" w:sz="0" w:space="0" w:color="auto"/>
            <w:bottom w:val="none" w:sz="0" w:space="0" w:color="auto"/>
            <w:right w:val="none" w:sz="0" w:space="0" w:color="auto"/>
          </w:divBdr>
          <w:divsChild>
            <w:div w:id="1983004701">
              <w:marLeft w:val="0"/>
              <w:marRight w:val="0"/>
              <w:marTop w:val="0"/>
              <w:marBottom w:val="0"/>
              <w:divBdr>
                <w:top w:val="none" w:sz="0" w:space="0" w:color="auto"/>
                <w:left w:val="none" w:sz="0" w:space="0" w:color="auto"/>
                <w:bottom w:val="none" w:sz="0" w:space="0" w:color="auto"/>
                <w:right w:val="none" w:sz="0" w:space="0" w:color="auto"/>
              </w:divBdr>
              <w:divsChild>
                <w:div w:id="557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6202">
      <w:bodyDiv w:val="1"/>
      <w:marLeft w:val="0"/>
      <w:marRight w:val="0"/>
      <w:marTop w:val="0"/>
      <w:marBottom w:val="0"/>
      <w:divBdr>
        <w:top w:val="none" w:sz="0" w:space="0" w:color="auto"/>
        <w:left w:val="none" w:sz="0" w:space="0" w:color="auto"/>
        <w:bottom w:val="none" w:sz="0" w:space="0" w:color="auto"/>
        <w:right w:val="none" w:sz="0" w:space="0" w:color="auto"/>
      </w:divBdr>
    </w:div>
    <w:div w:id="512114331">
      <w:bodyDiv w:val="1"/>
      <w:marLeft w:val="0"/>
      <w:marRight w:val="0"/>
      <w:marTop w:val="0"/>
      <w:marBottom w:val="0"/>
      <w:divBdr>
        <w:top w:val="none" w:sz="0" w:space="0" w:color="auto"/>
        <w:left w:val="none" w:sz="0" w:space="0" w:color="auto"/>
        <w:bottom w:val="none" w:sz="0" w:space="0" w:color="auto"/>
        <w:right w:val="none" w:sz="0" w:space="0" w:color="auto"/>
      </w:divBdr>
    </w:div>
    <w:div w:id="691877149">
      <w:bodyDiv w:val="1"/>
      <w:marLeft w:val="0"/>
      <w:marRight w:val="0"/>
      <w:marTop w:val="0"/>
      <w:marBottom w:val="0"/>
      <w:divBdr>
        <w:top w:val="none" w:sz="0" w:space="0" w:color="auto"/>
        <w:left w:val="none" w:sz="0" w:space="0" w:color="auto"/>
        <w:bottom w:val="none" w:sz="0" w:space="0" w:color="auto"/>
        <w:right w:val="none" w:sz="0" w:space="0" w:color="auto"/>
      </w:divBdr>
      <w:divsChild>
        <w:div w:id="27875499">
          <w:marLeft w:val="0"/>
          <w:marRight w:val="0"/>
          <w:marTop w:val="0"/>
          <w:marBottom w:val="0"/>
          <w:divBdr>
            <w:top w:val="none" w:sz="0" w:space="0" w:color="auto"/>
            <w:left w:val="none" w:sz="0" w:space="0" w:color="auto"/>
            <w:bottom w:val="none" w:sz="0" w:space="0" w:color="auto"/>
            <w:right w:val="none" w:sz="0" w:space="0" w:color="auto"/>
          </w:divBdr>
          <w:divsChild>
            <w:div w:id="230311771">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72248137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98934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6896252">
      <w:bodyDiv w:val="1"/>
      <w:marLeft w:val="0"/>
      <w:marRight w:val="0"/>
      <w:marTop w:val="0"/>
      <w:marBottom w:val="0"/>
      <w:divBdr>
        <w:top w:val="none" w:sz="0" w:space="0" w:color="auto"/>
        <w:left w:val="none" w:sz="0" w:space="0" w:color="auto"/>
        <w:bottom w:val="none" w:sz="0" w:space="0" w:color="auto"/>
        <w:right w:val="none" w:sz="0" w:space="0" w:color="auto"/>
      </w:divBdr>
    </w:div>
    <w:div w:id="826097710">
      <w:bodyDiv w:val="1"/>
      <w:marLeft w:val="0"/>
      <w:marRight w:val="0"/>
      <w:marTop w:val="0"/>
      <w:marBottom w:val="0"/>
      <w:divBdr>
        <w:top w:val="none" w:sz="0" w:space="0" w:color="auto"/>
        <w:left w:val="none" w:sz="0" w:space="0" w:color="auto"/>
        <w:bottom w:val="none" w:sz="0" w:space="0" w:color="auto"/>
        <w:right w:val="none" w:sz="0" w:space="0" w:color="auto"/>
      </w:divBdr>
      <w:divsChild>
        <w:div w:id="148913007">
          <w:marLeft w:val="0"/>
          <w:marRight w:val="0"/>
          <w:marTop w:val="0"/>
          <w:marBottom w:val="0"/>
          <w:divBdr>
            <w:top w:val="none" w:sz="0" w:space="0" w:color="auto"/>
            <w:left w:val="none" w:sz="0" w:space="0" w:color="auto"/>
            <w:bottom w:val="none" w:sz="0" w:space="0" w:color="auto"/>
            <w:right w:val="none" w:sz="0" w:space="0" w:color="auto"/>
          </w:divBdr>
          <w:divsChild>
            <w:div w:id="271018759">
              <w:marLeft w:val="0"/>
              <w:marRight w:val="0"/>
              <w:marTop w:val="0"/>
              <w:marBottom w:val="0"/>
              <w:divBdr>
                <w:top w:val="none" w:sz="0" w:space="0" w:color="auto"/>
                <w:left w:val="none" w:sz="0" w:space="0" w:color="auto"/>
                <w:bottom w:val="none" w:sz="0" w:space="0" w:color="auto"/>
                <w:right w:val="none" w:sz="0" w:space="0" w:color="auto"/>
              </w:divBdr>
              <w:divsChild>
                <w:div w:id="15850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3868">
      <w:bodyDiv w:val="1"/>
      <w:marLeft w:val="0"/>
      <w:marRight w:val="0"/>
      <w:marTop w:val="0"/>
      <w:marBottom w:val="0"/>
      <w:divBdr>
        <w:top w:val="none" w:sz="0" w:space="0" w:color="auto"/>
        <w:left w:val="none" w:sz="0" w:space="0" w:color="auto"/>
        <w:bottom w:val="none" w:sz="0" w:space="0" w:color="auto"/>
        <w:right w:val="none" w:sz="0" w:space="0" w:color="auto"/>
      </w:divBdr>
    </w:div>
    <w:div w:id="833035708">
      <w:bodyDiv w:val="1"/>
      <w:marLeft w:val="0"/>
      <w:marRight w:val="0"/>
      <w:marTop w:val="0"/>
      <w:marBottom w:val="0"/>
      <w:divBdr>
        <w:top w:val="none" w:sz="0" w:space="0" w:color="auto"/>
        <w:left w:val="none" w:sz="0" w:space="0" w:color="auto"/>
        <w:bottom w:val="none" w:sz="0" w:space="0" w:color="auto"/>
        <w:right w:val="none" w:sz="0" w:space="0" w:color="auto"/>
      </w:divBdr>
    </w:div>
    <w:div w:id="856700276">
      <w:bodyDiv w:val="1"/>
      <w:marLeft w:val="0"/>
      <w:marRight w:val="0"/>
      <w:marTop w:val="0"/>
      <w:marBottom w:val="0"/>
      <w:divBdr>
        <w:top w:val="none" w:sz="0" w:space="0" w:color="auto"/>
        <w:left w:val="none" w:sz="0" w:space="0" w:color="auto"/>
        <w:bottom w:val="none" w:sz="0" w:space="0" w:color="auto"/>
        <w:right w:val="none" w:sz="0" w:space="0" w:color="auto"/>
      </w:divBdr>
      <w:divsChild>
        <w:div w:id="395858314">
          <w:marLeft w:val="0"/>
          <w:marRight w:val="0"/>
          <w:marTop w:val="0"/>
          <w:marBottom w:val="0"/>
          <w:divBdr>
            <w:top w:val="none" w:sz="0" w:space="0" w:color="auto"/>
            <w:left w:val="none" w:sz="0" w:space="0" w:color="auto"/>
            <w:bottom w:val="none" w:sz="0" w:space="0" w:color="auto"/>
            <w:right w:val="none" w:sz="0" w:space="0" w:color="auto"/>
          </w:divBdr>
        </w:div>
      </w:divsChild>
    </w:div>
    <w:div w:id="869030907">
      <w:bodyDiv w:val="1"/>
      <w:marLeft w:val="0"/>
      <w:marRight w:val="0"/>
      <w:marTop w:val="0"/>
      <w:marBottom w:val="0"/>
      <w:divBdr>
        <w:top w:val="none" w:sz="0" w:space="0" w:color="auto"/>
        <w:left w:val="none" w:sz="0" w:space="0" w:color="auto"/>
        <w:bottom w:val="none" w:sz="0" w:space="0" w:color="auto"/>
        <w:right w:val="none" w:sz="0" w:space="0" w:color="auto"/>
      </w:divBdr>
    </w:div>
    <w:div w:id="949319497">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52458408">
      <w:bodyDiv w:val="1"/>
      <w:marLeft w:val="0"/>
      <w:marRight w:val="0"/>
      <w:marTop w:val="0"/>
      <w:marBottom w:val="0"/>
      <w:divBdr>
        <w:top w:val="none" w:sz="0" w:space="0" w:color="auto"/>
        <w:left w:val="none" w:sz="0" w:space="0" w:color="auto"/>
        <w:bottom w:val="none" w:sz="0" w:space="0" w:color="auto"/>
        <w:right w:val="none" w:sz="0" w:space="0" w:color="auto"/>
      </w:divBdr>
      <w:divsChild>
        <w:div w:id="1233933143">
          <w:marLeft w:val="0"/>
          <w:marRight w:val="0"/>
          <w:marTop w:val="0"/>
          <w:marBottom w:val="0"/>
          <w:divBdr>
            <w:top w:val="none" w:sz="0" w:space="0" w:color="auto"/>
            <w:left w:val="none" w:sz="0" w:space="0" w:color="auto"/>
            <w:bottom w:val="none" w:sz="0" w:space="0" w:color="auto"/>
            <w:right w:val="none" w:sz="0" w:space="0" w:color="auto"/>
          </w:divBdr>
          <w:divsChild>
            <w:div w:id="1912807825">
              <w:marLeft w:val="0"/>
              <w:marRight w:val="0"/>
              <w:marTop w:val="0"/>
              <w:marBottom w:val="0"/>
              <w:divBdr>
                <w:top w:val="none" w:sz="0" w:space="0" w:color="auto"/>
                <w:left w:val="none" w:sz="0" w:space="0" w:color="auto"/>
                <w:bottom w:val="none" w:sz="0" w:space="0" w:color="auto"/>
                <w:right w:val="none" w:sz="0" w:space="0" w:color="auto"/>
              </w:divBdr>
              <w:divsChild>
                <w:div w:id="718747488">
                  <w:marLeft w:val="0"/>
                  <w:marRight w:val="0"/>
                  <w:marTop w:val="0"/>
                  <w:marBottom w:val="0"/>
                  <w:divBdr>
                    <w:top w:val="none" w:sz="0" w:space="0" w:color="auto"/>
                    <w:left w:val="none" w:sz="0" w:space="0" w:color="auto"/>
                    <w:bottom w:val="none" w:sz="0" w:space="0" w:color="auto"/>
                    <w:right w:val="none" w:sz="0" w:space="0" w:color="auto"/>
                  </w:divBdr>
                  <w:divsChild>
                    <w:div w:id="198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7616">
      <w:bodyDiv w:val="1"/>
      <w:marLeft w:val="0"/>
      <w:marRight w:val="0"/>
      <w:marTop w:val="0"/>
      <w:marBottom w:val="0"/>
      <w:divBdr>
        <w:top w:val="none" w:sz="0" w:space="0" w:color="auto"/>
        <w:left w:val="none" w:sz="0" w:space="0" w:color="auto"/>
        <w:bottom w:val="none" w:sz="0" w:space="0" w:color="auto"/>
        <w:right w:val="none" w:sz="0" w:space="0" w:color="auto"/>
      </w:divBdr>
    </w:div>
    <w:div w:id="1125654706">
      <w:bodyDiv w:val="1"/>
      <w:marLeft w:val="0"/>
      <w:marRight w:val="0"/>
      <w:marTop w:val="0"/>
      <w:marBottom w:val="0"/>
      <w:divBdr>
        <w:top w:val="none" w:sz="0" w:space="0" w:color="auto"/>
        <w:left w:val="none" w:sz="0" w:space="0" w:color="auto"/>
        <w:bottom w:val="none" w:sz="0" w:space="0" w:color="auto"/>
        <w:right w:val="none" w:sz="0" w:space="0" w:color="auto"/>
      </w:divBdr>
    </w:div>
    <w:div w:id="1155804376">
      <w:bodyDiv w:val="1"/>
      <w:marLeft w:val="0"/>
      <w:marRight w:val="0"/>
      <w:marTop w:val="0"/>
      <w:marBottom w:val="0"/>
      <w:divBdr>
        <w:top w:val="none" w:sz="0" w:space="0" w:color="auto"/>
        <w:left w:val="none" w:sz="0" w:space="0" w:color="auto"/>
        <w:bottom w:val="none" w:sz="0" w:space="0" w:color="auto"/>
        <w:right w:val="none" w:sz="0" w:space="0" w:color="auto"/>
      </w:divBdr>
    </w:div>
    <w:div w:id="1173035292">
      <w:bodyDiv w:val="1"/>
      <w:marLeft w:val="0"/>
      <w:marRight w:val="0"/>
      <w:marTop w:val="0"/>
      <w:marBottom w:val="0"/>
      <w:divBdr>
        <w:top w:val="none" w:sz="0" w:space="0" w:color="auto"/>
        <w:left w:val="none" w:sz="0" w:space="0" w:color="auto"/>
        <w:bottom w:val="none" w:sz="0" w:space="0" w:color="auto"/>
        <w:right w:val="none" w:sz="0" w:space="0" w:color="auto"/>
      </w:divBdr>
    </w:div>
    <w:div w:id="1180503568">
      <w:bodyDiv w:val="1"/>
      <w:marLeft w:val="0"/>
      <w:marRight w:val="0"/>
      <w:marTop w:val="0"/>
      <w:marBottom w:val="0"/>
      <w:divBdr>
        <w:top w:val="none" w:sz="0" w:space="0" w:color="auto"/>
        <w:left w:val="none" w:sz="0" w:space="0" w:color="auto"/>
        <w:bottom w:val="none" w:sz="0" w:space="0" w:color="auto"/>
        <w:right w:val="none" w:sz="0" w:space="0" w:color="auto"/>
      </w:divBdr>
    </w:div>
    <w:div w:id="1235967405">
      <w:bodyDiv w:val="1"/>
      <w:marLeft w:val="0"/>
      <w:marRight w:val="0"/>
      <w:marTop w:val="0"/>
      <w:marBottom w:val="0"/>
      <w:divBdr>
        <w:top w:val="none" w:sz="0" w:space="0" w:color="auto"/>
        <w:left w:val="none" w:sz="0" w:space="0" w:color="auto"/>
        <w:bottom w:val="none" w:sz="0" w:space="0" w:color="auto"/>
        <w:right w:val="none" w:sz="0" w:space="0" w:color="auto"/>
      </w:divBdr>
      <w:divsChild>
        <w:div w:id="1384021867">
          <w:marLeft w:val="0"/>
          <w:marRight w:val="0"/>
          <w:marTop w:val="0"/>
          <w:marBottom w:val="0"/>
          <w:divBdr>
            <w:top w:val="none" w:sz="0" w:space="0" w:color="auto"/>
            <w:left w:val="none" w:sz="0" w:space="0" w:color="auto"/>
            <w:bottom w:val="none" w:sz="0" w:space="0" w:color="auto"/>
            <w:right w:val="none" w:sz="0" w:space="0" w:color="auto"/>
          </w:divBdr>
          <w:divsChild>
            <w:div w:id="1548840029">
              <w:marLeft w:val="0"/>
              <w:marRight w:val="0"/>
              <w:marTop w:val="0"/>
              <w:marBottom w:val="0"/>
              <w:divBdr>
                <w:top w:val="none" w:sz="0" w:space="0" w:color="auto"/>
                <w:left w:val="none" w:sz="0" w:space="0" w:color="auto"/>
                <w:bottom w:val="none" w:sz="0" w:space="0" w:color="auto"/>
                <w:right w:val="none" w:sz="0" w:space="0" w:color="auto"/>
              </w:divBdr>
              <w:divsChild>
                <w:div w:id="1210997979">
                  <w:marLeft w:val="0"/>
                  <w:marRight w:val="0"/>
                  <w:marTop w:val="0"/>
                  <w:marBottom w:val="0"/>
                  <w:divBdr>
                    <w:top w:val="none" w:sz="0" w:space="0" w:color="auto"/>
                    <w:left w:val="none" w:sz="0" w:space="0" w:color="auto"/>
                    <w:bottom w:val="none" w:sz="0" w:space="0" w:color="auto"/>
                    <w:right w:val="none" w:sz="0" w:space="0" w:color="auto"/>
                  </w:divBdr>
                  <w:divsChild>
                    <w:div w:id="44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2321">
      <w:bodyDiv w:val="1"/>
      <w:marLeft w:val="0"/>
      <w:marRight w:val="0"/>
      <w:marTop w:val="0"/>
      <w:marBottom w:val="0"/>
      <w:divBdr>
        <w:top w:val="none" w:sz="0" w:space="0" w:color="auto"/>
        <w:left w:val="none" w:sz="0" w:space="0" w:color="auto"/>
        <w:bottom w:val="none" w:sz="0" w:space="0" w:color="auto"/>
        <w:right w:val="none" w:sz="0" w:space="0" w:color="auto"/>
      </w:divBdr>
    </w:div>
    <w:div w:id="1381711944">
      <w:bodyDiv w:val="1"/>
      <w:marLeft w:val="0"/>
      <w:marRight w:val="0"/>
      <w:marTop w:val="0"/>
      <w:marBottom w:val="0"/>
      <w:divBdr>
        <w:top w:val="none" w:sz="0" w:space="0" w:color="auto"/>
        <w:left w:val="none" w:sz="0" w:space="0" w:color="auto"/>
        <w:bottom w:val="none" w:sz="0" w:space="0" w:color="auto"/>
        <w:right w:val="none" w:sz="0" w:space="0" w:color="auto"/>
      </w:divBdr>
      <w:divsChild>
        <w:div w:id="1909881500">
          <w:marLeft w:val="0"/>
          <w:marRight w:val="0"/>
          <w:marTop w:val="0"/>
          <w:marBottom w:val="0"/>
          <w:divBdr>
            <w:top w:val="none" w:sz="0" w:space="0" w:color="auto"/>
            <w:left w:val="none" w:sz="0" w:space="0" w:color="auto"/>
            <w:bottom w:val="none" w:sz="0" w:space="0" w:color="auto"/>
            <w:right w:val="none" w:sz="0" w:space="0" w:color="auto"/>
          </w:divBdr>
          <w:divsChild>
            <w:div w:id="129416696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427387333">
      <w:bodyDiv w:val="1"/>
      <w:marLeft w:val="0"/>
      <w:marRight w:val="0"/>
      <w:marTop w:val="0"/>
      <w:marBottom w:val="0"/>
      <w:divBdr>
        <w:top w:val="none" w:sz="0" w:space="0" w:color="auto"/>
        <w:left w:val="none" w:sz="0" w:space="0" w:color="auto"/>
        <w:bottom w:val="none" w:sz="0" w:space="0" w:color="auto"/>
        <w:right w:val="none" w:sz="0" w:space="0" w:color="auto"/>
      </w:divBdr>
    </w:div>
    <w:div w:id="1431126580">
      <w:bodyDiv w:val="1"/>
      <w:marLeft w:val="0"/>
      <w:marRight w:val="0"/>
      <w:marTop w:val="0"/>
      <w:marBottom w:val="0"/>
      <w:divBdr>
        <w:top w:val="none" w:sz="0" w:space="0" w:color="auto"/>
        <w:left w:val="none" w:sz="0" w:space="0" w:color="auto"/>
        <w:bottom w:val="none" w:sz="0" w:space="0" w:color="auto"/>
        <w:right w:val="none" w:sz="0" w:space="0" w:color="auto"/>
      </w:divBdr>
    </w:div>
    <w:div w:id="1547522819">
      <w:bodyDiv w:val="1"/>
      <w:marLeft w:val="0"/>
      <w:marRight w:val="0"/>
      <w:marTop w:val="0"/>
      <w:marBottom w:val="0"/>
      <w:divBdr>
        <w:top w:val="none" w:sz="0" w:space="0" w:color="auto"/>
        <w:left w:val="none" w:sz="0" w:space="0" w:color="auto"/>
        <w:bottom w:val="none" w:sz="0" w:space="0" w:color="auto"/>
        <w:right w:val="none" w:sz="0" w:space="0" w:color="auto"/>
      </w:divBdr>
    </w:div>
    <w:div w:id="1605572070">
      <w:bodyDiv w:val="1"/>
      <w:marLeft w:val="0"/>
      <w:marRight w:val="0"/>
      <w:marTop w:val="0"/>
      <w:marBottom w:val="0"/>
      <w:divBdr>
        <w:top w:val="none" w:sz="0" w:space="0" w:color="auto"/>
        <w:left w:val="none" w:sz="0" w:space="0" w:color="auto"/>
        <w:bottom w:val="none" w:sz="0" w:space="0" w:color="auto"/>
        <w:right w:val="none" w:sz="0" w:space="0" w:color="auto"/>
      </w:divBdr>
    </w:div>
    <w:div w:id="1611280691">
      <w:bodyDiv w:val="1"/>
      <w:marLeft w:val="0"/>
      <w:marRight w:val="0"/>
      <w:marTop w:val="0"/>
      <w:marBottom w:val="0"/>
      <w:divBdr>
        <w:top w:val="none" w:sz="0" w:space="0" w:color="auto"/>
        <w:left w:val="none" w:sz="0" w:space="0" w:color="auto"/>
        <w:bottom w:val="none" w:sz="0" w:space="0" w:color="auto"/>
        <w:right w:val="none" w:sz="0" w:space="0" w:color="auto"/>
      </w:divBdr>
    </w:div>
    <w:div w:id="1626473004">
      <w:bodyDiv w:val="1"/>
      <w:marLeft w:val="0"/>
      <w:marRight w:val="0"/>
      <w:marTop w:val="0"/>
      <w:marBottom w:val="0"/>
      <w:divBdr>
        <w:top w:val="none" w:sz="0" w:space="0" w:color="auto"/>
        <w:left w:val="none" w:sz="0" w:space="0" w:color="auto"/>
        <w:bottom w:val="none" w:sz="0" w:space="0" w:color="auto"/>
        <w:right w:val="none" w:sz="0" w:space="0" w:color="auto"/>
      </w:divBdr>
    </w:div>
    <w:div w:id="1628701425">
      <w:bodyDiv w:val="1"/>
      <w:marLeft w:val="0"/>
      <w:marRight w:val="0"/>
      <w:marTop w:val="0"/>
      <w:marBottom w:val="0"/>
      <w:divBdr>
        <w:top w:val="none" w:sz="0" w:space="0" w:color="auto"/>
        <w:left w:val="none" w:sz="0" w:space="0" w:color="auto"/>
        <w:bottom w:val="none" w:sz="0" w:space="0" w:color="auto"/>
        <w:right w:val="none" w:sz="0" w:space="0" w:color="auto"/>
      </w:divBdr>
      <w:divsChild>
        <w:div w:id="1172833953">
          <w:marLeft w:val="0"/>
          <w:marRight w:val="0"/>
          <w:marTop w:val="0"/>
          <w:marBottom w:val="0"/>
          <w:divBdr>
            <w:top w:val="none" w:sz="0" w:space="0" w:color="auto"/>
            <w:left w:val="none" w:sz="0" w:space="0" w:color="auto"/>
            <w:bottom w:val="none" w:sz="0" w:space="0" w:color="auto"/>
            <w:right w:val="none" w:sz="0" w:space="0" w:color="auto"/>
          </w:divBdr>
          <w:divsChild>
            <w:div w:id="1095636648">
              <w:marLeft w:val="0"/>
              <w:marRight w:val="0"/>
              <w:marTop w:val="0"/>
              <w:marBottom w:val="0"/>
              <w:divBdr>
                <w:top w:val="none" w:sz="0" w:space="0" w:color="auto"/>
                <w:left w:val="none" w:sz="0" w:space="0" w:color="auto"/>
                <w:bottom w:val="none" w:sz="0" w:space="0" w:color="auto"/>
                <w:right w:val="none" w:sz="0" w:space="0" w:color="auto"/>
              </w:divBdr>
              <w:divsChild>
                <w:div w:id="141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4167">
      <w:bodyDiv w:val="1"/>
      <w:marLeft w:val="0"/>
      <w:marRight w:val="0"/>
      <w:marTop w:val="0"/>
      <w:marBottom w:val="0"/>
      <w:divBdr>
        <w:top w:val="none" w:sz="0" w:space="0" w:color="auto"/>
        <w:left w:val="none" w:sz="0" w:space="0" w:color="auto"/>
        <w:bottom w:val="none" w:sz="0" w:space="0" w:color="auto"/>
        <w:right w:val="none" w:sz="0" w:space="0" w:color="auto"/>
      </w:divBdr>
    </w:div>
    <w:div w:id="1658654567">
      <w:bodyDiv w:val="1"/>
      <w:marLeft w:val="0"/>
      <w:marRight w:val="0"/>
      <w:marTop w:val="0"/>
      <w:marBottom w:val="0"/>
      <w:divBdr>
        <w:top w:val="none" w:sz="0" w:space="0" w:color="auto"/>
        <w:left w:val="none" w:sz="0" w:space="0" w:color="auto"/>
        <w:bottom w:val="none" w:sz="0" w:space="0" w:color="auto"/>
        <w:right w:val="none" w:sz="0" w:space="0" w:color="auto"/>
      </w:divBdr>
    </w:div>
    <w:div w:id="1664120734">
      <w:bodyDiv w:val="1"/>
      <w:marLeft w:val="0"/>
      <w:marRight w:val="0"/>
      <w:marTop w:val="0"/>
      <w:marBottom w:val="0"/>
      <w:divBdr>
        <w:top w:val="none" w:sz="0" w:space="0" w:color="auto"/>
        <w:left w:val="none" w:sz="0" w:space="0" w:color="auto"/>
        <w:bottom w:val="none" w:sz="0" w:space="0" w:color="auto"/>
        <w:right w:val="none" w:sz="0" w:space="0" w:color="auto"/>
      </w:divBdr>
      <w:divsChild>
        <w:div w:id="842747091">
          <w:marLeft w:val="0"/>
          <w:marRight w:val="0"/>
          <w:marTop w:val="0"/>
          <w:marBottom w:val="0"/>
          <w:divBdr>
            <w:top w:val="none" w:sz="0" w:space="0" w:color="auto"/>
            <w:left w:val="none" w:sz="0" w:space="0" w:color="auto"/>
            <w:bottom w:val="none" w:sz="0" w:space="0" w:color="auto"/>
            <w:right w:val="none" w:sz="0" w:space="0" w:color="auto"/>
          </w:divBdr>
          <w:divsChild>
            <w:div w:id="1475608854">
              <w:marLeft w:val="0"/>
              <w:marRight w:val="0"/>
              <w:marTop w:val="0"/>
              <w:marBottom w:val="0"/>
              <w:divBdr>
                <w:top w:val="none" w:sz="0" w:space="0" w:color="auto"/>
                <w:left w:val="none" w:sz="0" w:space="0" w:color="auto"/>
                <w:bottom w:val="none" w:sz="0" w:space="0" w:color="auto"/>
                <w:right w:val="none" w:sz="0" w:space="0" w:color="auto"/>
              </w:divBdr>
              <w:divsChild>
                <w:div w:id="3925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4382">
      <w:bodyDiv w:val="1"/>
      <w:marLeft w:val="0"/>
      <w:marRight w:val="0"/>
      <w:marTop w:val="0"/>
      <w:marBottom w:val="0"/>
      <w:divBdr>
        <w:top w:val="none" w:sz="0" w:space="0" w:color="auto"/>
        <w:left w:val="none" w:sz="0" w:space="0" w:color="auto"/>
        <w:bottom w:val="none" w:sz="0" w:space="0" w:color="auto"/>
        <w:right w:val="none" w:sz="0" w:space="0" w:color="auto"/>
      </w:divBdr>
    </w:div>
    <w:div w:id="1741253136">
      <w:bodyDiv w:val="1"/>
      <w:marLeft w:val="0"/>
      <w:marRight w:val="0"/>
      <w:marTop w:val="0"/>
      <w:marBottom w:val="0"/>
      <w:divBdr>
        <w:top w:val="none" w:sz="0" w:space="0" w:color="auto"/>
        <w:left w:val="none" w:sz="0" w:space="0" w:color="auto"/>
        <w:bottom w:val="none" w:sz="0" w:space="0" w:color="auto"/>
        <w:right w:val="none" w:sz="0" w:space="0" w:color="auto"/>
      </w:divBdr>
      <w:divsChild>
        <w:div w:id="1561477958">
          <w:marLeft w:val="0"/>
          <w:marRight w:val="0"/>
          <w:marTop w:val="0"/>
          <w:marBottom w:val="0"/>
          <w:divBdr>
            <w:top w:val="none" w:sz="0" w:space="0" w:color="auto"/>
            <w:left w:val="none" w:sz="0" w:space="0" w:color="auto"/>
            <w:bottom w:val="none" w:sz="0" w:space="0" w:color="auto"/>
            <w:right w:val="none" w:sz="0" w:space="0" w:color="auto"/>
          </w:divBdr>
          <w:divsChild>
            <w:div w:id="414474329">
              <w:marLeft w:val="0"/>
              <w:marRight w:val="0"/>
              <w:marTop w:val="0"/>
              <w:marBottom w:val="0"/>
              <w:divBdr>
                <w:top w:val="none" w:sz="0" w:space="0" w:color="auto"/>
                <w:left w:val="none" w:sz="0" w:space="0" w:color="auto"/>
                <w:bottom w:val="none" w:sz="0" w:space="0" w:color="auto"/>
                <w:right w:val="none" w:sz="0" w:space="0" w:color="auto"/>
              </w:divBdr>
              <w:divsChild>
                <w:div w:id="7870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7985">
      <w:bodyDiv w:val="1"/>
      <w:marLeft w:val="0"/>
      <w:marRight w:val="0"/>
      <w:marTop w:val="0"/>
      <w:marBottom w:val="0"/>
      <w:divBdr>
        <w:top w:val="none" w:sz="0" w:space="0" w:color="auto"/>
        <w:left w:val="none" w:sz="0" w:space="0" w:color="auto"/>
        <w:bottom w:val="none" w:sz="0" w:space="0" w:color="auto"/>
        <w:right w:val="none" w:sz="0" w:space="0" w:color="auto"/>
      </w:divBdr>
    </w:div>
    <w:div w:id="1799102592">
      <w:bodyDiv w:val="1"/>
      <w:marLeft w:val="0"/>
      <w:marRight w:val="0"/>
      <w:marTop w:val="0"/>
      <w:marBottom w:val="0"/>
      <w:divBdr>
        <w:top w:val="none" w:sz="0" w:space="0" w:color="auto"/>
        <w:left w:val="none" w:sz="0" w:space="0" w:color="auto"/>
        <w:bottom w:val="none" w:sz="0" w:space="0" w:color="auto"/>
        <w:right w:val="none" w:sz="0" w:space="0" w:color="auto"/>
      </w:divBdr>
    </w:div>
    <w:div w:id="1841849155">
      <w:bodyDiv w:val="1"/>
      <w:marLeft w:val="0"/>
      <w:marRight w:val="0"/>
      <w:marTop w:val="0"/>
      <w:marBottom w:val="0"/>
      <w:divBdr>
        <w:top w:val="none" w:sz="0" w:space="0" w:color="auto"/>
        <w:left w:val="none" w:sz="0" w:space="0" w:color="auto"/>
        <w:bottom w:val="none" w:sz="0" w:space="0" w:color="auto"/>
        <w:right w:val="none" w:sz="0" w:space="0" w:color="auto"/>
      </w:divBdr>
    </w:div>
    <w:div w:id="1889107466">
      <w:bodyDiv w:val="1"/>
      <w:marLeft w:val="0"/>
      <w:marRight w:val="0"/>
      <w:marTop w:val="0"/>
      <w:marBottom w:val="0"/>
      <w:divBdr>
        <w:top w:val="none" w:sz="0" w:space="0" w:color="auto"/>
        <w:left w:val="none" w:sz="0" w:space="0" w:color="auto"/>
        <w:bottom w:val="none" w:sz="0" w:space="0" w:color="auto"/>
        <w:right w:val="none" w:sz="0" w:space="0" w:color="auto"/>
      </w:divBdr>
    </w:div>
    <w:div w:id="1924024709">
      <w:bodyDiv w:val="1"/>
      <w:marLeft w:val="0"/>
      <w:marRight w:val="0"/>
      <w:marTop w:val="0"/>
      <w:marBottom w:val="0"/>
      <w:divBdr>
        <w:top w:val="none" w:sz="0" w:space="0" w:color="auto"/>
        <w:left w:val="none" w:sz="0" w:space="0" w:color="auto"/>
        <w:bottom w:val="none" w:sz="0" w:space="0" w:color="auto"/>
        <w:right w:val="none" w:sz="0" w:space="0" w:color="auto"/>
      </w:divBdr>
      <w:divsChild>
        <w:div w:id="478041757">
          <w:marLeft w:val="0"/>
          <w:marRight w:val="0"/>
          <w:marTop w:val="0"/>
          <w:marBottom w:val="0"/>
          <w:divBdr>
            <w:top w:val="none" w:sz="0" w:space="0" w:color="auto"/>
            <w:left w:val="none" w:sz="0" w:space="0" w:color="auto"/>
            <w:bottom w:val="none" w:sz="0" w:space="0" w:color="auto"/>
            <w:right w:val="none" w:sz="0" w:space="0" w:color="auto"/>
          </w:divBdr>
          <w:divsChild>
            <w:div w:id="499661992">
              <w:marLeft w:val="0"/>
              <w:marRight w:val="0"/>
              <w:marTop w:val="0"/>
              <w:marBottom w:val="0"/>
              <w:divBdr>
                <w:top w:val="none" w:sz="0" w:space="0" w:color="auto"/>
                <w:left w:val="none" w:sz="0" w:space="0" w:color="auto"/>
                <w:bottom w:val="none" w:sz="0" w:space="0" w:color="auto"/>
                <w:right w:val="none" w:sz="0" w:space="0" w:color="auto"/>
              </w:divBdr>
              <w:divsChild>
                <w:div w:id="1000891330">
                  <w:marLeft w:val="0"/>
                  <w:marRight w:val="0"/>
                  <w:marTop w:val="0"/>
                  <w:marBottom w:val="0"/>
                  <w:divBdr>
                    <w:top w:val="none" w:sz="0" w:space="0" w:color="auto"/>
                    <w:left w:val="none" w:sz="0" w:space="0" w:color="auto"/>
                    <w:bottom w:val="none" w:sz="0" w:space="0" w:color="auto"/>
                    <w:right w:val="none" w:sz="0" w:space="0" w:color="auto"/>
                  </w:divBdr>
                  <w:divsChild>
                    <w:div w:id="487676722">
                      <w:marLeft w:val="0"/>
                      <w:marRight w:val="0"/>
                      <w:marTop w:val="0"/>
                      <w:marBottom w:val="0"/>
                      <w:divBdr>
                        <w:top w:val="none" w:sz="0" w:space="0" w:color="auto"/>
                        <w:left w:val="none" w:sz="0" w:space="0" w:color="auto"/>
                        <w:bottom w:val="none" w:sz="0" w:space="0" w:color="auto"/>
                        <w:right w:val="none" w:sz="0" w:space="0" w:color="auto"/>
                      </w:divBdr>
                      <w:divsChild>
                        <w:div w:id="1204096722">
                          <w:marLeft w:val="0"/>
                          <w:marRight w:val="0"/>
                          <w:marTop w:val="0"/>
                          <w:marBottom w:val="0"/>
                          <w:divBdr>
                            <w:top w:val="none" w:sz="0" w:space="0" w:color="auto"/>
                            <w:left w:val="none" w:sz="0" w:space="0" w:color="auto"/>
                            <w:bottom w:val="none" w:sz="0" w:space="0" w:color="auto"/>
                            <w:right w:val="none" w:sz="0" w:space="0" w:color="auto"/>
                          </w:divBdr>
                          <w:divsChild>
                            <w:div w:id="932396105">
                              <w:marLeft w:val="0"/>
                              <w:marRight w:val="0"/>
                              <w:marTop w:val="0"/>
                              <w:marBottom w:val="0"/>
                              <w:divBdr>
                                <w:top w:val="none" w:sz="0" w:space="0" w:color="auto"/>
                                <w:left w:val="none" w:sz="0" w:space="0" w:color="auto"/>
                                <w:bottom w:val="none" w:sz="0" w:space="0" w:color="auto"/>
                                <w:right w:val="none" w:sz="0" w:space="0" w:color="auto"/>
                              </w:divBdr>
                              <w:divsChild>
                                <w:div w:id="864444444">
                                  <w:marLeft w:val="0"/>
                                  <w:marRight w:val="0"/>
                                  <w:marTop w:val="0"/>
                                  <w:marBottom w:val="0"/>
                                  <w:divBdr>
                                    <w:top w:val="none" w:sz="0" w:space="0" w:color="auto"/>
                                    <w:left w:val="none" w:sz="0" w:space="0" w:color="auto"/>
                                    <w:bottom w:val="none" w:sz="0" w:space="0" w:color="auto"/>
                                    <w:right w:val="none" w:sz="0" w:space="0" w:color="auto"/>
                                  </w:divBdr>
                                  <w:divsChild>
                                    <w:div w:id="2135248045">
                                      <w:marLeft w:val="0"/>
                                      <w:marRight w:val="0"/>
                                      <w:marTop w:val="0"/>
                                      <w:marBottom w:val="0"/>
                                      <w:divBdr>
                                        <w:top w:val="none" w:sz="0" w:space="0" w:color="auto"/>
                                        <w:left w:val="none" w:sz="0" w:space="0" w:color="auto"/>
                                        <w:bottom w:val="none" w:sz="0" w:space="0" w:color="auto"/>
                                        <w:right w:val="none" w:sz="0" w:space="0" w:color="auto"/>
                                      </w:divBdr>
                                      <w:divsChild>
                                        <w:div w:id="1062218715">
                                          <w:marLeft w:val="0"/>
                                          <w:marRight w:val="0"/>
                                          <w:marTop w:val="0"/>
                                          <w:marBottom w:val="0"/>
                                          <w:divBdr>
                                            <w:top w:val="none" w:sz="0" w:space="0" w:color="auto"/>
                                            <w:left w:val="none" w:sz="0" w:space="0" w:color="auto"/>
                                            <w:bottom w:val="none" w:sz="0" w:space="0" w:color="auto"/>
                                            <w:right w:val="none" w:sz="0" w:space="0" w:color="auto"/>
                                          </w:divBdr>
                                          <w:divsChild>
                                            <w:div w:id="1306623880">
                                              <w:marLeft w:val="0"/>
                                              <w:marRight w:val="0"/>
                                              <w:marTop w:val="0"/>
                                              <w:marBottom w:val="0"/>
                                              <w:divBdr>
                                                <w:top w:val="none" w:sz="0" w:space="0" w:color="auto"/>
                                                <w:left w:val="none" w:sz="0" w:space="0" w:color="auto"/>
                                                <w:bottom w:val="none" w:sz="0" w:space="0" w:color="auto"/>
                                                <w:right w:val="none" w:sz="0" w:space="0" w:color="auto"/>
                                              </w:divBdr>
                                              <w:divsChild>
                                                <w:div w:id="1852648630">
                                                  <w:marLeft w:val="0"/>
                                                  <w:marRight w:val="0"/>
                                                  <w:marTop w:val="0"/>
                                                  <w:marBottom w:val="0"/>
                                                  <w:divBdr>
                                                    <w:top w:val="none" w:sz="0" w:space="0" w:color="auto"/>
                                                    <w:left w:val="none" w:sz="0" w:space="0" w:color="auto"/>
                                                    <w:bottom w:val="none" w:sz="0" w:space="0" w:color="auto"/>
                                                    <w:right w:val="none" w:sz="0" w:space="0" w:color="auto"/>
                                                  </w:divBdr>
                                                  <w:divsChild>
                                                    <w:div w:id="209995727">
                                                      <w:marLeft w:val="0"/>
                                                      <w:marRight w:val="0"/>
                                                      <w:marTop w:val="0"/>
                                                      <w:marBottom w:val="0"/>
                                                      <w:divBdr>
                                                        <w:top w:val="none" w:sz="0" w:space="0" w:color="auto"/>
                                                        <w:left w:val="none" w:sz="0" w:space="0" w:color="auto"/>
                                                        <w:bottom w:val="none" w:sz="0" w:space="0" w:color="auto"/>
                                                        <w:right w:val="none" w:sz="0" w:space="0" w:color="auto"/>
                                                      </w:divBdr>
                                                      <w:divsChild>
                                                        <w:div w:id="2610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467208">
      <w:bodyDiv w:val="1"/>
      <w:marLeft w:val="0"/>
      <w:marRight w:val="0"/>
      <w:marTop w:val="0"/>
      <w:marBottom w:val="0"/>
      <w:divBdr>
        <w:top w:val="none" w:sz="0" w:space="0" w:color="auto"/>
        <w:left w:val="none" w:sz="0" w:space="0" w:color="auto"/>
        <w:bottom w:val="none" w:sz="0" w:space="0" w:color="auto"/>
        <w:right w:val="none" w:sz="0" w:space="0" w:color="auto"/>
      </w:divBdr>
    </w:div>
    <w:div w:id="2003270703">
      <w:bodyDiv w:val="1"/>
      <w:marLeft w:val="0"/>
      <w:marRight w:val="0"/>
      <w:marTop w:val="0"/>
      <w:marBottom w:val="0"/>
      <w:divBdr>
        <w:top w:val="none" w:sz="0" w:space="0" w:color="auto"/>
        <w:left w:val="none" w:sz="0" w:space="0" w:color="auto"/>
        <w:bottom w:val="none" w:sz="0" w:space="0" w:color="auto"/>
        <w:right w:val="none" w:sz="0" w:space="0" w:color="auto"/>
      </w:divBdr>
      <w:divsChild>
        <w:div w:id="1229611088">
          <w:marLeft w:val="0"/>
          <w:marRight w:val="0"/>
          <w:marTop w:val="0"/>
          <w:marBottom w:val="0"/>
          <w:divBdr>
            <w:top w:val="none" w:sz="0" w:space="0" w:color="auto"/>
            <w:left w:val="none" w:sz="0" w:space="0" w:color="auto"/>
            <w:bottom w:val="none" w:sz="0" w:space="0" w:color="auto"/>
            <w:right w:val="none" w:sz="0" w:space="0" w:color="auto"/>
          </w:divBdr>
          <w:divsChild>
            <w:div w:id="1158154466">
              <w:marLeft w:val="0"/>
              <w:marRight w:val="0"/>
              <w:marTop w:val="0"/>
              <w:marBottom w:val="0"/>
              <w:divBdr>
                <w:top w:val="none" w:sz="0" w:space="0" w:color="auto"/>
                <w:left w:val="none" w:sz="0" w:space="0" w:color="auto"/>
                <w:bottom w:val="none" w:sz="0" w:space="0" w:color="auto"/>
                <w:right w:val="none" w:sz="0" w:space="0" w:color="auto"/>
              </w:divBdr>
              <w:divsChild>
                <w:div w:id="1082684065">
                  <w:marLeft w:val="0"/>
                  <w:marRight w:val="0"/>
                  <w:marTop w:val="0"/>
                  <w:marBottom w:val="0"/>
                  <w:divBdr>
                    <w:top w:val="none" w:sz="0" w:space="0" w:color="auto"/>
                    <w:left w:val="none" w:sz="0" w:space="0" w:color="auto"/>
                    <w:bottom w:val="none" w:sz="0" w:space="0" w:color="auto"/>
                    <w:right w:val="none" w:sz="0" w:space="0" w:color="auto"/>
                  </w:divBdr>
                  <w:divsChild>
                    <w:div w:id="1882553571">
                      <w:marLeft w:val="0"/>
                      <w:marRight w:val="0"/>
                      <w:marTop w:val="0"/>
                      <w:marBottom w:val="0"/>
                      <w:divBdr>
                        <w:top w:val="none" w:sz="0" w:space="0" w:color="auto"/>
                        <w:left w:val="none" w:sz="0" w:space="0" w:color="auto"/>
                        <w:bottom w:val="none" w:sz="0" w:space="0" w:color="auto"/>
                        <w:right w:val="none" w:sz="0" w:space="0" w:color="auto"/>
                      </w:divBdr>
                      <w:divsChild>
                        <w:div w:id="99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94278">
      <w:bodyDiv w:val="1"/>
      <w:marLeft w:val="0"/>
      <w:marRight w:val="0"/>
      <w:marTop w:val="0"/>
      <w:marBottom w:val="0"/>
      <w:divBdr>
        <w:top w:val="none" w:sz="0" w:space="0" w:color="auto"/>
        <w:left w:val="none" w:sz="0" w:space="0" w:color="auto"/>
        <w:bottom w:val="none" w:sz="0" w:space="0" w:color="auto"/>
        <w:right w:val="none" w:sz="0" w:space="0" w:color="auto"/>
      </w:divBdr>
    </w:div>
    <w:div w:id="2020499422">
      <w:bodyDiv w:val="1"/>
      <w:marLeft w:val="0"/>
      <w:marRight w:val="0"/>
      <w:marTop w:val="0"/>
      <w:marBottom w:val="0"/>
      <w:divBdr>
        <w:top w:val="none" w:sz="0" w:space="0" w:color="auto"/>
        <w:left w:val="none" w:sz="0" w:space="0" w:color="auto"/>
        <w:bottom w:val="none" w:sz="0" w:space="0" w:color="auto"/>
        <w:right w:val="none" w:sz="0" w:space="0" w:color="auto"/>
      </w:divBdr>
    </w:div>
    <w:div w:id="2020765621">
      <w:bodyDiv w:val="1"/>
      <w:marLeft w:val="0"/>
      <w:marRight w:val="0"/>
      <w:marTop w:val="0"/>
      <w:marBottom w:val="0"/>
      <w:divBdr>
        <w:top w:val="none" w:sz="0" w:space="0" w:color="auto"/>
        <w:left w:val="none" w:sz="0" w:space="0" w:color="auto"/>
        <w:bottom w:val="none" w:sz="0" w:space="0" w:color="auto"/>
        <w:right w:val="none" w:sz="0" w:space="0" w:color="auto"/>
      </w:divBdr>
      <w:divsChild>
        <w:div w:id="6638694">
          <w:marLeft w:val="0"/>
          <w:marRight w:val="0"/>
          <w:marTop w:val="0"/>
          <w:marBottom w:val="0"/>
          <w:divBdr>
            <w:top w:val="none" w:sz="0" w:space="0" w:color="auto"/>
            <w:left w:val="none" w:sz="0" w:space="0" w:color="auto"/>
            <w:bottom w:val="none" w:sz="0" w:space="0" w:color="auto"/>
            <w:right w:val="none" w:sz="0" w:space="0" w:color="auto"/>
          </w:divBdr>
          <w:divsChild>
            <w:div w:id="900022253">
              <w:marLeft w:val="0"/>
              <w:marRight w:val="0"/>
              <w:marTop w:val="0"/>
              <w:marBottom w:val="0"/>
              <w:divBdr>
                <w:top w:val="none" w:sz="0" w:space="0" w:color="auto"/>
                <w:left w:val="none" w:sz="0" w:space="0" w:color="auto"/>
                <w:bottom w:val="none" w:sz="0" w:space="0" w:color="auto"/>
                <w:right w:val="none" w:sz="0" w:space="0" w:color="auto"/>
              </w:divBdr>
              <w:divsChild>
                <w:div w:id="1577544986">
                  <w:marLeft w:val="0"/>
                  <w:marRight w:val="0"/>
                  <w:marTop w:val="0"/>
                  <w:marBottom w:val="0"/>
                  <w:divBdr>
                    <w:top w:val="none" w:sz="0" w:space="0" w:color="auto"/>
                    <w:left w:val="none" w:sz="0" w:space="0" w:color="auto"/>
                    <w:bottom w:val="none" w:sz="0" w:space="0" w:color="auto"/>
                    <w:right w:val="none" w:sz="0" w:space="0" w:color="auto"/>
                  </w:divBdr>
                  <w:divsChild>
                    <w:div w:id="1840928059">
                      <w:marLeft w:val="0"/>
                      <w:marRight w:val="0"/>
                      <w:marTop w:val="0"/>
                      <w:marBottom w:val="0"/>
                      <w:divBdr>
                        <w:top w:val="none" w:sz="0" w:space="0" w:color="auto"/>
                        <w:left w:val="none" w:sz="0" w:space="0" w:color="auto"/>
                        <w:bottom w:val="none" w:sz="0" w:space="0" w:color="auto"/>
                        <w:right w:val="none" w:sz="0" w:space="0" w:color="auto"/>
                      </w:divBdr>
                      <w:divsChild>
                        <w:div w:id="450443975">
                          <w:marLeft w:val="0"/>
                          <w:marRight w:val="0"/>
                          <w:marTop w:val="0"/>
                          <w:marBottom w:val="0"/>
                          <w:divBdr>
                            <w:top w:val="none" w:sz="0" w:space="0" w:color="auto"/>
                            <w:left w:val="none" w:sz="0" w:space="0" w:color="auto"/>
                            <w:bottom w:val="none" w:sz="0" w:space="0" w:color="auto"/>
                            <w:right w:val="none" w:sz="0" w:space="0" w:color="auto"/>
                          </w:divBdr>
                          <w:divsChild>
                            <w:div w:id="754978307">
                              <w:marLeft w:val="0"/>
                              <w:marRight w:val="0"/>
                              <w:marTop w:val="0"/>
                              <w:marBottom w:val="0"/>
                              <w:divBdr>
                                <w:top w:val="none" w:sz="0" w:space="0" w:color="auto"/>
                                <w:left w:val="none" w:sz="0" w:space="0" w:color="auto"/>
                                <w:bottom w:val="none" w:sz="0" w:space="0" w:color="auto"/>
                                <w:right w:val="none" w:sz="0" w:space="0" w:color="auto"/>
                              </w:divBdr>
                              <w:divsChild>
                                <w:div w:id="226889083">
                                  <w:marLeft w:val="0"/>
                                  <w:marRight w:val="0"/>
                                  <w:marTop w:val="0"/>
                                  <w:marBottom w:val="0"/>
                                  <w:divBdr>
                                    <w:top w:val="none" w:sz="0" w:space="0" w:color="auto"/>
                                    <w:left w:val="none" w:sz="0" w:space="0" w:color="auto"/>
                                    <w:bottom w:val="none" w:sz="0" w:space="0" w:color="auto"/>
                                    <w:right w:val="none" w:sz="0" w:space="0" w:color="auto"/>
                                  </w:divBdr>
                                  <w:divsChild>
                                    <w:div w:id="1490294562">
                                      <w:marLeft w:val="0"/>
                                      <w:marRight w:val="0"/>
                                      <w:marTop w:val="0"/>
                                      <w:marBottom w:val="0"/>
                                      <w:divBdr>
                                        <w:top w:val="none" w:sz="0" w:space="0" w:color="auto"/>
                                        <w:left w:val="none" w:sz="0" w:space="0" w:color="auto"/>
                                        <w:bottom w:val="none" w:sz="0" w:space="0" w:color="auto"/>
                                        <w:right w:val="none" w:sz="0" w:space="0" w:color="auto"/>
                                      </w:divBdr>
                                      <w:divsChild>
                                        <w:div w:id="105544214">
                                          <w:marLeft w:val="0"/>
                                          <w:marRight w:val="0"/>
                                          <w:marTop w:val="0"/>
                                          <w:marBottom w:val="0"/>
                                          <w:divBdr>
                                            <w:top w:val="none" w:sz="0" w:space="0" w:color="auto"/>
                                            <w:left w:val="none" w:sz="0" w:space="0" w:color="auto"/>
                                            <w:bottom w:val="none" w:sz="0" w:space="0" w:color="auto"/>
                                            <w:right w:val="none" w:sz="0" w:space="0" w:color="auto"/>
                                          </w:divBdr>
                                          <w:divsChild>
                                            <w:div w:id="1059093326">
                                              <w:marLeft w:val="0"/>
                                              <w:marRight w:val="0"/>
                                              <w:marTop w:val="0"/>
                                              <w:marBottom w:val="0"/>
                                              <w:divBdr>
                                                <w:top w:val="none" w:sz="0" w:space="0" w:color="auto"/>
                                                <w:left w:val="none" w:sz="0" w:space="0" w:color="auto"/>
                                                <w:bottom w:val="none" w:sz="0" w:space="0" w:color="auto"/>
                                                <w:right w:val="none" w:sz="0" w:space="0" w:color="auto"/>
                                              </w:divBdr>
                                              <w:divsChild>
                                                <w:div w:id="1609702093">
                                                  <w:marLeft w:val="0"/>
                                                  <w:marRight w:val="0"/>
                                                  <w:marTop w:val="0"/>
                                                  <w:marBottom w:val="0"/>
                                                  <w:divBdr>
                                                    <w:top w:val="none" w:sz="0" w:space="0" w:color="auto"/>
                                                    <w:left w:val="none" w:sz="0" w:space="0" w:color="auto"/>
                                                    <w:bottom w:val="none" w:sz="0" w:space="0" w:color="auto"/>
                                                    <w:right w:val="none" w:sz="0" w:space="0" w:color="auto"/>
                                                  </w:divBdr>
                                                  <w:divsChild>
                                                    <w:div w:id="1528180868">
                                                      <w:marLeft w:val="0"/>
                                                      <w:marRight w:val="0"/>
                                                      <w:marTop w:val="0"/>
                                                      <w:marBottom w:val="0"/>
                                                      <w:divBdr>
                                                        <w:top w:val="none" w:sz="0" w:space="0" w:color="auto"/>
                                                        <w:left w:val="none" w:sz="0" w:space="0" w:color="auto"/>
                                                        <w:bottom w:val="none" w:sz="0" w:space="0" w:color="auto"/>
                                                        <w:right w:val="none" w:sz="0" w:space="0" w:color="auto"/>
                                                      </w:divBdr>
                                                      <w:divsChild>
                                                        <w:div w:id="12140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441986">
      <w:bodyDiv w:val="1"/>
      <w:marLeft w:val="0"/>
      <w:marRight w:val="0"/>
      <w:marTop w:val="0"/>
      <w:marBottom w:val="0"/>
      <w:divBdr>
        <w:top w:val="none" w:sz="0" w:space="0" w:color="auto"/>
        <w:left w:val="none" w:sz="0" w:space="0" w:color="auto"/>
        <w:bottom w:val="none" w:sz="0" w:space="0" w:color="auto"/>
        <w:right w:val="none" w:sz="0" w:space="0" w:color="auto"/>
      </w:divBdr>
    </w:div>
    <w:div w:id="2103527715">
      <w:bodyDiv w:val="1"/>
      <w:marLeft w:val="0"/>
      <w:marRight w:val="0"/>
      <w:marTop w:val="0"/>
      <w:marBottom w:val="0"/>
      <w:divBdr>
        <w:top w:val="none" w:sz="0" w:space="0" w:color="auto"/>
        <w:left w:val="none" w:sz="0" w:space="0" w:color="auto"/>
        <w:bottom w:val="none" w:sz="0" w:space="0" w:color="auto"/>
        <w:right w:val="none" w:sz="0" w:space="0" w:color="auto"/>
      </w:divBdr>
    </w:div>
    <w:div w:id="2109040174">
      <w:bodyDiv w:val="1"/>
      <w:marLeft w:val="0"/>
      <w:marRight w:val="0"/>
      <w:marTop w:val="0"/>
      <w:marBottom w:val="0"/>
      <w:divBdr>
        <w:top w:val="none" w:sz="0" w:space="0" w:color="auto"/>
        <w:left w:val="none" w:sz="0" w:space="0" w:color="auto"/>
        <w:bottom w:val="none" w:sz="0" w:space="0" w:color="auto"/>
        <w:right w:val="none" w:sz="0" w:space="0" w:color="auto"/>
      </w:divBdr>
      <w:divsChild>
        <w:div w:id="961570640">
          <w:marLeft w:val="0"/>
          <w:marRight w:val="0"/>
          <w:marTop w:val="0"/>
          <w:marBottom w:val="0"/>
          <w:divBdr>
            <w:top w:val="none" w:sz="0" w:space="0" w:color="auto"/>
            <w:left w:val="none" w:sz="0" w:space="0" w:color="auto"/>
            <w:bottom w:val="none" w:sz="0" w:space="0" w:color="auto"/>
            <w:right w:val="none" w:sz="0" w:space="0" w:color="auto"/>
          </w:divBdr>
          <w:divsChild>
            <w:div w:id="1693992082">
              <w:marLeft w:val="0"/>
              <w:marRight w:val="0"/>
              <w:marTop w:val="0"/>
              <w:marBottom w:val="0"/>
              <w:divBdr>
                <w:top w:val="none" w:sz="0" w:space="0" w:color="auto"/>
                <w:left w:val="none" w:sz="0" w:space="0" w:color="auto"/>
                <w:bottom w:val="none" w:sz="0" w:space="0" w:color="auto"/>
                <w:right w:val="none" w:sz="0" w:space="0" w:color="auto"/>
              </w:divBdr>
              <w:divsChild>
                <w:div w:id="2795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ssrn.com/sol3/cf_dev/AbsByAuth.cfm?per_id=1872261"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s://docs.jobs.gov.au/system/files/doc/other/participation_fund.docx" TargetMode="External"/><Relationship Id="rId13" Type="http://schemas.openxmlformats.org/officeDocument/2006/relationships/hyperlink" Target="https://docs.jobs.gov.au/documents/appointments-and-activities-guideline" TargetMode="External"/><Relationship Id="rId18" Type="http://schemas.openxmlformats.org/officeDocument/2006/relationships/hyperlink" Target="https://spcommreports.ohchr.org/TMResultsBase/DownLoadPublicCommunicationFile?gId=23386" TargetMode="External"/><Relationship Id="rId26" Type="http://schemas.openxmlformats.org/officeDocument/2006/relationships/hyperlink" Target="https://www.humanrights.gov.au/submissions/gender-segregation-workplace-and-its-impact-women-s-economic-equality" TargetMode="External"/><Relationship Id="rId3" Type="http://schemas.openxmlformats.org/officeDocument/2006/relationships/hyperlink" Target="https://www.humanservices.gov.au/individuals/services/centrelink/parenting-payment/how-much-you-can-get/income-and-assets-tests" TargetMode="External"/><Relationship Id="rId21" Type="http://schemas.openxmlformats.org/officeDocument/2006/relationships/hyperlink" Target="https://aicd.companydirectors.com.au/advocacy/board-diversity/30-per-cent-by-2018-gender-diversity-target-slipping-out-of-reach" TargetMode="External"/><Relationship Id="rId7" Type="http://schemas.openxmlformats.org/officeDocument/2006/relationships/hyperlink" Target="https://www.jobs.gov.au/2017-18-budget-employment-overview" TargetMode="External"/><Relationship Id="rId12" Type="http://schemas.openxmlformats.org/officeDocument/2006/relationships/hyperlink" Target="https://docs.jobs.gov.au/system/files/doc/other/targeted_compliance_framework.pdf" TargetMode="External"/><Relationship Id="rId17" Type="http://schemas.openxmlformats.org/officeDocument/2006/relationships/hyperlink" Target="https://www.aph.gov.au/About_Parliament/Parliamentary_Departments/Parliamentary_Library/pubs/rp/rp1819/2018HILDAStatisticalReport" TargetMode="External"/><Relationship Id="rId25" Type="http://schemas.openxmlformats.org/officeDocument/2006/relationships/hyperlink" Target="https://www.humanrights.gov.au/australia-s-implementation-convention-elimination-all-forms-discrimination-against-women-cedaw-2010" TargetMode="External"/><Relationship Id="rId33" Type="http://schemas.openxmlformats.org/officeDocument/2006/relationships/hyperlink" Target="https://www.jobs.gov.au/newsroom/explainer-parentsnext" TargetMode="External"/><Relationship Id="rId2" Type="http://schemas.openxmlformats.org/officeDocument/2006/relationships/hyperlink" Target="https://www.jobs.gov.au/newsroom/explainer-parentsnext" TargetMode="External"/><Relationship Id="rId16" Type="http://schemas.openxmlformats.org/officeDocument/2006/relationships/hyperlink" Target="https://www.theguardian.com/australia-news/2019/jan/28/parentsnext-single-mothers-say-they-were-forced-to-allow-sensitive-data-to-be-collected" TargetMode="External"/><Relationship Id="rId20" Type="http://schemas.openxmlformats.org/officeDocument/2006/relationships/hyperlink" Target="https://spcommreports.ohchr.org/TMResultsBase/DownLoadPublicCommunicationFile?gId=23386" TargetMode="External"/><Relationship Id="rId29" Type="http://schemas.openxmlformats.org/officeDocument/2006/relationships/hyperlink" Target="https://www.theguardian.com/australia-news/2018/nov/06/single-parents-forced-to-attend-story-time-or-lose-centrelink-payments" TargetMode="External"/><Relationship Id="rId1" Type="http://schemas.openxmlformats.org/officeDocument/2006/relationships/hyperlink" Target="https://www.jobs.gov.au/newsroom/explainer-parentsnext" TargetMode="External"/><Relationship Id="rId6" Type="http://schemas.openxmlformats.org/officeDocument/2006/relationships/hyperlink" Target="https://www.humanservices.gov.au/individuals/services/centrelink/parentsnext" TargetMode="External"/><Relationship Id="rId11" Type="http://schemas.openxmlformats.org/officeDocument/2006/relationships/hyperlink" Target="https://docs.jobs.gov.au/documents/appointments-and-activities-guideline" TargetMode="External"/><Relationship Id="rId24" Type="http://schemas.openxmlformats.org/officeDocument/2006/relationships/hyperlink" Target="http://www.pc.gov.au/inquiries/completed/parental-support/report" TargetMode="External"/><Relationship Id="rId32" Type="http://schemas.openxmlformats.org/officeDocument/2006/relationships/hyperlink" Target="https://docs.jobs.gov.au/system/files/doc/other/targeted_compliance_framework.pdf" TargetMode="External"/><Relationship Id="rId5" Type="http://schemas.openxmlformats.org/officeDocument/2006/relationships/hyperlink" Target="https://www.humanservices.gov.au/individuals/services/centrelink/parenting-payment/how-much-you-can-get" TargetMode="External"/><Relationship Id="rId15" Type="http://schemas.openxmlformats.org/officeDocument/2006/relationships/hyperlink" Target="https://www.jobs.gov.au/newsroom/faq-targeted-job-seeker-compliance-framework" TargetMode="External"/><Relationship Id="rId23" Type="http://schemas.openxmlformats.org/officeDocument/2006/relationships/hyperlink" Target="http://www.pc.gov.au/inquiries/completed/parental-support/report" TargetMode="External"/><Relationship Id="rId28" Type="http://schemas.openxmlformats.org/officeDocument/2006/relationships/hyperlink" Target="https://www.goodshep.org.au/media/1929/gsanz-submission-response-to-parents-next-discussion-paper-final.pdf" TargetMode="External"/><Relationship Id="rId10" Type="http://schemas.openxmlformats.org/officeDocument/2006/relationships/hyperlink" Target="https://www.jobs.gov.au/newsroom/faq-targeted-job-seeker-compliance-framework" TargetMode="External"/><Relationship Id="rId19" Type="http://schemas.openxmlformats.org/officeDocument/2006/relationships/hyperlink" Target="https://spcommreports.ohchr.org/TMResultsBase/DownLoadPublicCommunicationFile?gId=23386" TargetMode="External"/><Relationship Id="rId31" Type="http://schemas.openxmlformats.org/officeDocument/2006/relationships/hyperlink" Target="https://docs.jobs.gov.au/system/files/doc/other/capability_interview.pdf" TargetMode="External"/><Relationship Id="rId4" Type="http://schemas.openxmlformats.org/officeDocument/2006/relationships/hyperlink" Target="https://www.humanservices.gov.au/individuals/services/centrelink/parenting-payment/how-much-you-can-get/income-and-assets-tests" TargetMode="External"/><Relationship Id="rId9" Type="http://schemas.openxmlformats.org/officeDocument/2006/relationships/hyperlink" Target="https://docs.jobs.gov.au/system/files/doc/other/participation_fund.docx" TargetMode="External"/><Relationship Id="rId14" Type="http://schemas.openxmlformats.org/officeDocument/2006/relationships/hyperlink" Target="https://docs.jobs.gov.au/documents/appointments-and-activities-guideline" TargetMode="External"/><Relationship Id="rId22" Type="http://schemas.openxmlformats.org/officeDocument/2006/relationships/hyperlink" Target="https://cew.org.au/wp-content/uploads/2017/09/CEW-Executive-Census-2017.pdf" TargetMode="External"/><Relationship Id="rId27" Type="http://schemas.openxmlformats.org/officeDocument/2006/relationships/hyperlink" Target="https://www.humanrights.gov.au/our-work/age-discrimination/projects/willing-work-national-inquiry-employment-discrimination-against" TargetMode="External"/><Relationship Id="rId30" Type="http://schemas.openxmlformats.org/officeDocument/2006/relationships/hyperlink" Target="http://guides.dss.gov.au/guide-social-security-law/3/1/13/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BEC3-434A-4CE1-ABB0-DA836C57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121</TotalTime>
  <Pages>43</Pages>
  <Words>11619</Words>
  <Characters>66038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77502</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Edward Santow</dc:creator>
  <cp:keywords/>
  <cp:lastModifiedBy>Jennifer Lim</cp:lastModifiedBy>
  <cp:revision>56</cp:revision>
  <cp:lastPrinted>2019-01-31T23:39:00Z</cp:lastPrinted>
  <dcterms:created xsi:type="dcterms:W3CDTF">2019-02-01T00:48:00Z</dcterms:created>
  <dcterms:modified xsi:type="dcterms:W3CDTF">2019-02-01T04:00:00Z</dcterms:modified>
</cp:coreProperties>
</file>