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1250E" w14:textId="77777777" w:rsidR="00A95449" w:rsidRPr="00AA1A20" w:rsidRDefault="00A95449" w:rsidP="00252315">
      <w:pPr>
        <w:pStyle w:val="Subtitle"/>
        <w:tabs>
          <w:tab w:val="clear" w:pos="1134"/>
          <w:tab w:val="left" w:pos="1560"/>
        </w:tabs>
        <w:spacing w:before="240" w:after="240"/>
        <w:ind w:left="0"/>
        <w:jc w:val="right"/>
        <w:outlineLvl w:val="1"/>
        <w:rPr>
          <w:rFonts w:eastAsia="Times New Roman" w:cs="Open Sans"/>
          <w:bCs/>
          <w:color w:val="237BBC"/>
          <w:kern w:val="32"/>
          <w:sz w:val="46"/>
          <w:szCs w:val="46"/>
        </w:rPr>
      </w:pPr>
      <w:bookmarkStart w:id="0" w:name="_Toc523730786"/>
      <w:bookmarkStart w:id="1" w:name="_Toc523756211"/>
      <w:bookmarkStart w:id="2" w:name="_Toc523758552"/>
      <w:bookmarkStart w:id="3" w:name="_Toc523813814"/>
      <w:bookmarkStart w:id="4" w:name="_Toc523813843"/>
      <w:bookmarkStart w:id="5" w:name="_Toc523824251"/>
      <w:bookmarkStart w:id="6" w:name="_Toc523905227"/>
      <w:bookmarkStart w:id="7" w:name="_Toc523905332"/>
      <w:bookmarkStart w:id="8" w:name="_Toc524038365"/>
      <w:bookmarkStart w:id="9" w:name="_Toc524042095"/>
      <w:bookmarkStart w:id="10" w:name="_Toc524045100"/>
      <w:bookmarkStart w:id="11" w:name="_Toc524084348"/>
      <w:bookmarkStart w:id="12" w:name="_Toc515873204"/>
    </w:p>
    <w:p w14:paraId="61ADC231" w14:textId="409F7EFF" w:rsidR="00827850" w:rsidRPr="00AA1A20" w:rsidRDefault="00827850" w:rsidP="00252315">
      <w:pPr>
        <w:pStyle w:val="Subtitle"/>
        <w:tabs>
          <w:tab w:val="clear" w:pos="1134"/>
          <w:tab w:val="left" w:pos="1560"/>
        </w:tabs>
        <w:spacing w:before="240" w:after="240"/>
        <w:ind w:left="0"/>
        <w:jc w:val="right"/>
        <w:outlineLvl w:val="1"/>
        <w:rPr>
          <w:rFonts w:eastAsia="Times New Roman" w:cs="Open Sans"/>
          <w:bCs/>
          <w:color w:val="237BBC"/>
          <w:kern w:val="32"/>
          <w:sz w:val="46"/>
          <w:szCs w:val="46"/>
        </w:rPr>
      </w:pPr>
      <w:bookmarkStart w:id="13" w:name="_Toc524094957"/>
      <w:bookmarkStart w:id="14" w:name="_Toc524096160"/>
      <w:bookmarkStart w:id="15" w:name="_Toc524339598"/>
      <w:bookmarkStart w:id="16" w:name="_Toc524348323"/>
      <w:bookmarkStart w:id="17" w:name="_Toc524352489"/>
      <w:r w:rsidRPr="00AA1A20">
        <w:rPr>
          <w:rFonts w:eastAsia="Times New Roman" w:cs="Open Sans"/>
          <w:bCs/>
          <w:color w:val="237BBC"/>
          <w:kern w:val="32"/>
          <w:sz w:val="46"/>
          <w:szCs w:val="46"/>
        </w:rPr>
        <w:t xml:space="preserve">Telecommunications and </w:t>
      </w:r>
      <w:r w:rsidR="00762850" w:rsidRPr="00AA1A20">
        <w:rPr>
          <w:rFonts w:eastAsia="Times New Roman" w:cs="Open Sans"/>
          <w:bCs/>
          <w:color w:val="237BBC"/>
          <w:kern w:val="32"/>
          <w:sz w:val="46"/>
          <w:szCs w:val="46"/>
        </w:rPr>
        <w:t>O</w:t>
      </w:r>
      <w:r w:rsidR="00C112E0" w:rsidRPr="00AA1A20">
        <w:rPr>
          <w:rFonts w:eastAsia="Times New Roman" w:cs="Open Sans"/>
          <w:bCs/>
          <w:color w:val="237BBC"/>
          <w:kern w:val="32"/>
          <w:sz w:val="46"/>
          <w:szCs w:val="46"/>
        </w:rPr>
        <w:t>ther </w:t>
      </w:r>
      <w:r w:rsidRPr="00AA1A20">
        <w:rPr>
          <w:rFonts w:eastAsia="Times New Roman" w:cs="Open Sans"/>
          <w:bCs/>
          <w:color w:val="237BBC"/>
          <w:kern w:val="32"/>
          <w:sz w:val="46"/>
          <w:szCs w:val="46"/>
        </w:rPr>
        <w:t>Legislation Amendment (As</w:t>
      </w:r>
      <w:r w:rsidR="00C112E0" w:rsidRPr="00AA1A20">
        <w:rPr>
          <w:rFonts w:eastAsia="Times New Roman" w:cs="Open Sans"/>
          <w:bCs/>
          <w:color w:val="237BBC"/>
          <w:kern w:val="32"/>
          <w:sz w:val="46"/>
          <w:szCs w:val="46"/>
        </w:rPr>
        <w:t>sistance and Access) Bill </w:t>
      </w:r>
      <w:r w:rsidR="00182CB4" w:rsidRPr="00AA1A20">
        <w:rPr>
          <w:rFonts w:eastAsia="Times New Roman" w:cs="Open Sans"/>
          <w:bCs/>
          <w:color w:val="237BBC"/>
          <w:kern w:val="32"/>
          <w:sz w:val="46"/>
          <w:szCs w:val="46"/>
        </w:rPr>
        <w:br/>
        <w:t xml:space="preserve">exposure draft </w:t>
      </w:r>
      <w:r w:rsidRPr="00AA1A20">
        <w:rPr>
          <w:rFonts w:eastAsia="Times New Roman" w:cs="Open Sans"/>
          <w:bCs/>
          <w:color w:val="237BBC"/>
          <w:kern w:val="32"/>
          <w:sz w:val="46"/>
          <w:szCs w:val="46"/>
        </w:rPr>
        <w:t>2018</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p>
    <w:p w14:paraId="61FFC710" w14:textId="77777777" w:rsidR="00817C73" w:rsidRPr="00AA1A20" w:rsidRDefault="00817C73" w:rsidP="00C112E0">
      <w:pPr>
        <w:pStyle w:val="Subtitle"/>
        <w:tabs>
          <w:tab w:val="clear" w:pos="1134"/>
          <w:tab w:val="left" w:pos="1560"/>
        </w:tabs>
        <w:spacing w:before="240" w:after="240"/>
        <w:ind w:left="709" w:hanging="709"/>
        <w:jc w:val="right"/>
        <w:outlineLvl w:val="1"/>
        <w:rPr>
          <w:rFonts w:cs="Open Sans"/>
          <w:color w:val="237BBC"/>
          <w:sz w:val="28"/>
          <w:szCs w:val="24"/>
        </w:rPr>
      </w:pPr>
      <w:bookmarkStart w:id="18" w:name="_Toc523730787"/>
      <w:bookmarkStart w:id="19" w:name="_Toc523756212"/>
      <w:bookmarkStart w:id="20" w:name="_Toc523758553"/>
      <w:bookmarkStart w:id="21" w:name="_Toc523813815"/>
      <w:bookmarkStart w:id="22" w:name="_Toc523813844"/>
      <w:bookmarkStart w:id="23" w:name="_Toc523824252"/>
      <w:bookmarkStart w:id="24" w:name="_Toc523905228"/>
      <w:bookmarkStart w:id="25" w:name="_Toc523905333"/>
      <w:bookmarkStart w:id="26" w:name="_Toc524038366"/>
      <w:bookmarkStart w:id="27" w:name="_Toc524042096"/>
      <w:bookmarkStart w:id="28" w:name="_Toc524045101"/>
      <w:bookmarkStart w:id="29" w:name="_Toc524084349"/>
      <w:bookmarkStart w:id="30" w:name="_Toc524094958"/>
      <w:bookmarkStart w:id="31" w:name="_Toc524096161"/>
      <w:bookmarkStart w:id="32" w:name="_Toc524339599"/>
      <w:bookmarkStart w:id="33" w:name="_Toc524348324"/>
      <w:bookmarkStart w:id="34" w:name="_Toc524352490"/>
      <w:r w:rsidRPr="00AA1A20">
        <w:rPr>
          <w:rFonts w:cs="Open Sans"/>
          <w:color w:val="237BBC"/>
          <w:sz w:val="28"/>
          <w:szCs w:val="24"/>
        </w:rPr>
        <w:t>Australian Human Rights Commission</w:t>
      </w:r>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C8494EB" w14:textId="77777777" w:rsidR="00817C73" w:rsidRPr="00AA1A20" w:rsidRDefault="00817C73" w:rsidP="005B5913">
      <w:pPr>
        <w:pStyle w:val="Subtitle"/>
        <w:tabs>
          <w:tab w:val="clear" w:pos="1134"/>
          <w:tab w:val="left" w:pos="1560"/>
        </w:tabs>
        <w:spacing w:before="240" w:after="240"/>
        <w:ind w:left="709" w:hanging="709"/>
        <w:jc w:val="right"/>
        <w:outlineLvl w:val="1"/>
        <w:rPr>
          <w:rFonts w:cs="Open Sans"/>
          <w:color w:val="237BBC"/>
          <w:sz w:val="28"/>
          <w:szCs w:val="24"/>
        </w:rPr>
      </w:pPr>
      <w:bookmarkStart w:id="35" w:name="_Toc515873205"/>
      <w:bookmarkStart w:id="36" w:name="_Toc523730788"/>
      <w:bookmarkStart w:id="37" w:name="_Toc523756213"/>
      <w:bookmarkStart w:id="38" w:name="_Toc523758554"/>
      <w:bookmarkStart w:id="39" w:name="_Toc523813816"/>
      <w:bookmarkStart w:id="40" w:name="_Toc523813845"/>
      <w:bookmarkStart w:id="41" w:name="_Toc523824253"/>
      <w:bookmarkStart w:id="42" w:name="_Toc523905229"/>
      <w:bookmarkStart w:id="43" w:name="_Toc523905334"/>
      <w:bookmarkStart w:id="44" w:name="_Toc524038367"/>
      <w:bookmarkStart w:id="45" w:name="_Toc524042097"/>
      <w:bookmarkStart w:id="46" w:name="_Toc524045102"/>
      <w:bookmarkStart w:id="47" w:name="_Toc524084350"/>
      <w:bookmarkStart w:id="48" w:name="_Toc524094959"/>
      <w:bookmarkStart w:id="49" w:name="_Toc524096162"/>
      <w:bookmarkStart w:id="50" w:name="_Toc524339600"/>
      <w:bookmarkStart w:id="51" w:name="_Toc524348325"/>
      <w:bookmarkStart w:id="52" w:name="_Toc524352491"/>
      <w:r w:rsidRPr="00AA1A20">
        <w:rPr>
          <w:rFonts w:cs="Open Sans"/>
          <w:color w:val="237BBC"/>
          <w:sz w:val="28"/>
          <w:szCs w:val="24"/>
        </w:rPr>
        <w:t xml:space="preserve">Submission to </w:t>
      </w:r>
      <w:bookmarkEnd w:id="35"/>
      <w:r w:rsidR="00827850" w:rsidRPr="00AA1A20">
        <w:rPr>
          <w:rFonts w:cs="Open Sans"/>
          <w:color w:val="237BBC"/>
          <w:sz w:val="28"/>
          <w:szCs w:val="24"/>
        </w:rPr>
        <w:t>the Department of Home Affairs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551C89F" w14:textId="77777777" w:rsidR="00F220A5" w:rsidRPr="00AA1A20" w:rsidRDefault="00F41189" w:rsidP="00F220A5">
      <w:pPr>
        <w:pStyle w:val="Date"/>
        <w:rPr>
          <w:rFonts w:cs="Open Sans"/>
        </w:rPr>
      </w:pPr>
      <w:r w:rsidRPr="00AA1A20">
        <w:rPr>
          <w:rFonts w:cs="Open Sans"/>
        </w:rPr>
        <w:t>10 September 2018</w:t>
      </w:r>
    </w:p>
    <w:p w14:paraId="5D8A6004" w14:textId="77777777" w:rsidR="00AC636D" w:rsidRPr="00AA1A20" w:rsidRDefault="00AC636D" w:rsidP="00AC636D">
      <w:pPr>
        <w:rPr>
          <w:rFonts w:cs="Open Sans"/>
        </w:rPr>
      </w:pPr>
    </w:p>
    <w:p w14:paraId="209254CB" w14:textId="77777777" w:rsidR="009E4BD0" w:rsidRPr="00AA1A20" w:rsidRDefault="009E4BD0" w:rsidP="00AC636D">
      <w:pPr>
        <w:rPr>
          <w:rFonts w:cs="Open Sans"/>
        </w:rPr>
        <w:sectPr w:rsidR="009E4BD0" w:rsidRPr="00AA1A20" w:rsidSect="00AC636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1361" w:gutter="0"/>
          <w:pgNumType w:start="2"/>
          <w:cols w:space="708"/>
          <w:titlePg/>
          <w:docGrid w:linePitch="360"/>
        </w:sectPr>
      </w:pPr>
    </w:p>
    <w:p w14:paraId="5A86DDA5" w14:textId="442D98D9" w:rsidR="00B65B21" w:rsidRDefault="000B5B68" w:rsidP="00B65B21">
      <w:pPr>
        <w:pStyle w:val="TOC1"/>
        <w:rPr>
          <w:rFonts w:asciiTheme="minorHAnsi" w:eastAsiaTheme="minorEastAsia" w:hAnsiTheme="minorHAnsi" w:cstheme="minorBidi"/>
          <w:b w:val="0"/>
          <w:i/>
          <w:sz w:val="22"/>
          <w:szCs w:val="22"/>
        </w:rPr>
      </w:pPr>
      <w:bookmarkStart w:id="53" w:name="_Toc209316062"/>
      <w:bookmarkEnd w:id="53"/>
      <w:r w:rsidRPr="00AA1A20">
        <w:rPr>
          <w:rFonts w:cs="Open Sans"/>
        </w:rPr>
        <w:lastRenderedPageBreak/>
        <w:t>Contents</w:t>
      </w:r>
      <w:r w:rsidRPr="00AA1A20">
        <w:rPr>
          <w:rFonts w:cs="Open Sans"/>
        </w:rPr>
        <w:fldChar w:fldCharType="begin"/>
      </w:r>
      <w:r w:rsidRPr="00AA1A20">
        <w:rPr>
          <w:rFonts w:cs="Open Sans"/>
        </w:rPr>
        <w:instrText xml:space="preserve"> TOC \o "1-3" \h \z \u </w:instrText>
      </w:r>
      <w:r w:rsidRPr="00AA1A20">
        <w:rPr>
          <w:rFonts w:cs="Open Sans"/>
        </w:rPr>
        <w:fldChar w:fldCharType="separate"/>
      </w:r>
    </w:p>
    <w:p w14:paraId="064B86F1" w14:textId="0DCCE72C" w:rsidR="00B65B21" w:rsidRDefault="00B65B21">
      <w:pPr>
        <w:pStyle w:val="TOC2"/>
        <w:rPr>
          <w:rFonts w:asciiTheme="minorHAnsi" w:eastAsiaTheme="minorEastAsia" w:hAnsiTheme="minorHAnsi" w:cstheme="minorBidi"/>
          <w:b w:val="0"/>
          <w:i w:val="0"/>
          <w:sz w:val="22"/>
          <w:szCs w:val="22"/>
        </w:rPr>
      </w:pPr>
    </w:p>
    <w:p w14:paraId="1A84792F" w14:textId="011F3BAE" w:rsidR="00B65B21" w:rsidRDefault="00523FE1">
      <w:pPr>
        <w:pStyle w:val="TOC1"/>
        <w:rPr>
          <w:rFonts w:asciiTheme="minorHAnsi" w:eastAsiaTheme="minorEastAsia" w:hAnsiTheme="minorHAnsi" w:cstheme="minorBidi"/>
          <w:b w:val="0"/>
          <w:sz w:val="22"/>
          <w:szCs w:val="22"/>
        </w:rPr>
      </w:pPr>
      <w:hyperlink w:anchor="_Toc524352492" w:history="1">
        <w:r w:rsidR="00B65B21" w:rsidRPr="0025188C">
          <w:rPr>
            <w:rStyle w:val="Hyperlink"/>
            <w:rFonts w:cs="Open Sans"/>
          </w:rPr>
          <w:t>1</w:t>
        </w:r>
        <w:r w:rsidR="00B65B21">
          <w:rPr>
            <w:rFonts w:asciiTheme="minorHAnsi" w:eastAsiaTheme="minorEastAsia" w:hAnsiTheme="minorHAnsi" w:cstheme="minorBidi"/>
            <w:b w:val="0"/>
            <w:sz w:val="22"/>
            <w:szCs w:val="22"/>
          </w:rPr>
          <w:tab/>
        </w:r>
        <w:r w:rsidR="00B65B21" w:rsidRPr="0025188C">
          <w:rPr>
            <w:rStyle w:val="Hyperlink"/>
            <w:rFonts w:cs="Open Sans"/>
          </w:rPr>
          <w:t>Executive summary</w:t>
        </w:r>
        <w:r w:rsidR="00B65B21">
          <w:rPr>
            <w:webHidden/>
          </w:rPr>
          <w:tab/>
        </w:r>
        <w:r w:rsidR="00B65B21">
          <w:rPr>
            <w:webHidden/>
          </w:rPr>
          <w:fldChar w:fldCharType="begin"/>
        </w:r>
        <w:r w:rsidR="00B65B21">
          <w:rPr>
            <w:webHidden/>
          </w:rPr>
          <w:instrText xml:space="preserve"> PAGEREF _Toc524352492 \h </w:instrText>
        </w:r>
        <w:r w:rsidR="00B65B21">
          <w:rPr>
            <w:webHidden/>
          </w:rPr>
        </w:r>
        <w:r w:rsidR="00B65B21">
          <w:rPr>
            <w:webHidden/>
          </w:rPr>
          <w:fldChar w:fldCharType="separate"/>
        </w:r>
        <w:r>
          <w:rPr>
            <w:webHidden/>
          </w:rPr>
          <w:t>3</w:t>
        </w:r>
        <w:r w:rsidR="00B65B21">
          <w:rPr>
            <w:webHidden/>
          </w:rPr>
          <w:fldChar w:fldCharType="end"/>
        </w:r>
      </w:hyperlink>
    </w:p>
    <w:p w14:paraId="6729CB4D" w14:textId="762F8FE5" w:rsidR="00B65B21" w:rsidRDefault="00523FE1">
      <w:pPr>
        <w:pStyle w:val="TOC1"/>
        <w:rPr>
          <w:rFonts w:asciiTheme="minorHAnsi" w:eastAsiaTheme="minorEastAsia" w:hAnsiTheme="minorHAnsi" w:cstheme="minorBidi"/>
          <w:b w:val="0"/>
          <w:sz w:val="22"/>
          <w:szCs w:val="22"/>
        </w:rPr>
      </w:pPr>
      <w:hyperlink w:anchor="_Toc524352493" w:history="1">
        <w:r w:rsidR="00B65B21" w:rsidRPr="0025188C">
          <w:rPr>
            <w:rStyle w:val="Hyperlink"/>
            <w:rFonts w:cs="Open Sans"/>
          </w:rPr>
          <w:t>2</w:t>
        </w:r>
        <w:r w:rsidR="00B65B21">
          <w:rPr>
            <w:rFonts w:asciiTheme="minorHAnsi" w:eastAsiaTheme="minorEastAsia" w:hAnsiTheme="minorHAnsi" w:cstheme="minorBidi"/>
            <w:b w:val="0"/>
            <w:sz w:val="22"/>
            <w:szCs w:val="22"/>
          </w:rPr>
          <w:tab/>
        </w:r>
        <w:r w:rsidR="00B65B21" w:rsidRPr="0025188C">
          <w:rPr>
            <w:rStyle w:val="Hyperlink"/>
            <w:rFonts w:cs="Open Sans"/>
          </w:rPr>
          <w:t>Background</w:t>
        </w:r>
        <w:r w:rsidR="00B65B21">
          <w:rPr>
            <w:webHidden/>
          </w:rPr>
          <w:tab/>
        </w:r>
        <w:r w:rsidR="00B65B21">
          <w:rPr>
            <w:webHidden/>
          </w:rPr>
          <w:fldChar w:fldCharType="begin"/>
        </w:r>
        <w:r w:rsidR="00B65B21">
          <w:rPr>
            <w:webHidden/>
          </w:rPr>
          <w:instrText xml:space="preserve"> PAGEREF _Toc524352493 \h </w:instrText>
        </w:r>
        <w:r w:rsidR="00B65B21">
          <w:rPr>
            <w:webHidden/>
          </w:rPr>
        </w:r>
        <w:r w:rsidR="00B65B21">
          <w:rPr>
            <w:webHidden/>
          </w:rPr>
          <w:fldChar w:fldCharType="separate"/>
        </w:r>
        <w:r>
          <w:rPr>
            <w:webHidden/>
          </w:rPr>
          <w:t>4</w:t>
        </w:r>
        <w:r w:rsidR="00B65B21">
          <w:rPr>
            <w:webHidden/>
          </w:rPr>
          <w:fldChar w:fldCharType="end"/>
        </w:r>
      </w:hyperlink>
    </w:p>
    <w:p w14:paraId="496930E6" w14:textId="19E94C44" w:rsidR="00B65B21" w:rsidRDefault="00523FE1">
      <w:pPr>
        <w:pStyle w:val="TOC3"/>
        <w:rPr>
          <w:rFonts w:asciiTheme="minorHAnsi" w:eastAsiaTheme="minorEastAsia" w:hAnsiTheme="minorHAnsi" w:cstheme="minorBidi"/>
          <w:i w:val="0"/>
          <w:sz w:val="22"/>
          <w:szCs w:val="22"/>
        </w:rPr>
      </w:pPr>
      <w:hyperlink w:anchor="_Toc524352494" w:history="1">
        <w:r w:rsidR="00B65B21" w:rsidRPr="0025188C">
          <w:rPr>
            <w:rStyle w:val="Hyperlink"/>
            <w:rFonts w:cs="Open Sans"/>
          </w:rPr>
          <w:t>(a)</w:t>
        </w:r>
        <w:r w:rsidR="00B65B21">
          <w:rPr>
            <w:rFonts w:asciiTheme="minorHAnsi" w:eastAsiaTheme="minorEastAsia" w:hAnsiTheme="minorHAnsi" w:cstheme="minorBidi"/>
            <w:i w:val="0"/>
            <w:sz w:val="22"/>
            <w:szCs w:val="22"/>
          </w:rPr>
          <w:tab/>
        </w:r>
        <w:r w:rsidR="00B65B21" w:rsidRPr="0025188C">
          <w:rPr>
            <w:rStyle w:val="Hyperlink"/>
            <w:rFonts w:cs="Open Sans"/>
          </w:rPr>
          <w:t>Summary of the human rights impacts of the draft Bill</w:t>
        </w:r>
        <w:r w:rsidR="00B65B21">
          <w:rPr>
            <w:webHidden/>
          </w:rPr>
          <w:tab/>
        </w:r>
        <w:r w:rsidR="00B65B21">
          <w:rPr>
            <w:webHidden/>
          </w:rPr>
          <w:fldChar w:fldCharType="begin"/>
        </w:r>
        <w:r w:rsidR="00B65B21">
          <w:rPr>
            <w:webHidden/>
          </w:rPr>
          <w:instrText xml:space="preserve"> PAGEREF _Toc524352494 \h </w:instrText>
        </w:r>
        <w:r w:rsidR="00B65B21">
          <w:rPr>
            <w:webHidden/>
          </w:rPr>
        </w:r>
        <w:r w:rsidR="00B65B21">
          <w:rPr>
            <w:webHidden/>
          </w:rPr>
          <w:fldChar w:fldCharType="separate"/>
        </w:r>
        <w:r>
          <w:rPr>
            <w:webHidden/>
          </w:rPr>
          <w:t>6</w:t>
        </w:r>
        <w:r w:rsidR="00B65B21">
          <w:rPr>
            <w:webHidden/>
          </w:rPr>
          <w:fldChar w:fldCharType="end"/>
        </w:r>
      </w:hyperlink>
    </w:p>
    <w:p w14:paraId="6385BEEB" w14:textId="2434377A" w:rsidR="00B65B21" w:rsidRDefault="00523FE1">
      <w:pPr>
        <w:pStyle w:val="TOC1"/>
        <w:rPr>
          <w:rFonts w:asciiTheme="minorHAnsi" w:eastAsiaTheme="minorEastAsia" w:hAnsiTheme="minorHAnsi" w:cstheme="minorBidi"/>
          <w:b w:val="0"/>
          <w:sz w:val="22"/>
          <w:szCs w:val="22"/>
        </w:rPr>
      </w:pPr>
      <w:hyperlink w:anchor="_Toc524352495" w:history="1">
        <w:r w:rsidR="00B65B21" w:rsidRPr="0025188C">
          <w:rPr>
            <w:rStyle w:val="Hyperlink"/>
            <w:rFonts w:cs="Open Sans"/>
          </w:rPr>
          <w:t>3</w:t>
        </w:r>
        <w:r w:rsidR="00B65B21">
          <w:rPr>
            <w:rFonts w:asciiTheme="minorHAnsi" w:eastAsiaTheme="minorEastAsia" w:hAnsiTheme="minorHAnsi" w:cstheme="minorBidi"/>
            <w:b w:val="0"/>
            <w:sz w:val="22"/>
            <w:szCs w:val="22"/>
          </w:rPr>
          <w:tab/>
        </w:r>
        <w:r w:rsidR="00B65B21" w:rsidRPr="0025188C">
          <w:rPr>
            <w:rStyle w:val="Hyperlink"/>
            <w:rFonts w:cs="Open Sans"/>
          </w:rPr>
          <w:t>Human rights and digital law enforcement</w:t>
        </w:r>
        <w:r w:rsidR="00B65B21">
          <w:rPr>
            <w:webHidden/>
          </w:rPr>
          <w:tab/>
        </w:r>
        <w:r w:rsidR="00B65B21">
          <w:rPr>
            <w:webHidden/>
          </w:rPr>
          <w:fldChar w:fldCharType="begin"/>
        </w:r>
        <w:r w:rsidR="00B65B21">
          <w:rPr>
            <w:webHidden/>
          </w:rPr>
          <w:instrText xml:space="preserve"> PAGEREF _Toc524352495 \h </w:instrText>
        </w:r>
        <w:r w:rsidR="00B65B21">
          <w:rPr>
            <w:webHidden/>
          </w:rPr>
        </w:r>
        <w:r w:rsidR="00B65B21">
          <w:rPr>
            <w:webHidden/>
          </w:rPr>
          <w:fldChar w:fldCharType="separate"/>
        </w:r>
        <w:r>
          <w:rPr>
            <w:webHidden/>
          </w:rPr>
          <w:t>8</w:t>
        </w:r>
        <w:r w:rsidR="00B65B21">
          <w:rPr>
            <w:webHidden/>
          </w:rPr>
          <w:fldChar w:fldCharType="end"/>
        </w:r>
      </w:hyperlink>
    </w:p>
    <w:p w14:paraId="1CFA35A2" w14:textId="13178CF6" w:rsidR="00B65B21" w:rsidRDefault="00523FE1">
      <w:pPr>
        <w:pStyle w:val="TOC2"/>
        <w:rPr>
          <w:rFonts w:asciiTheme="minorHAnsi" w:eastAsiaTheme="minorEastAsia" w:hAnsiTheme="minorHAnsi" w:cstheme="minorBidi"/>
          <w:b w:val="0"/>
          <w:i w:val="0"/>
          <w:sz w:val="22"/>
          <w:szCs w:val="22"/>
        </w:rPr>
      </w:pPr>
      <w:hyperlink w:anchor="_Toc524352496" w:history="1">
        <w:r w:rsidR="00B65B21" w:rsidRPr="0025188C">
          <w:rPr>
            <w:rStyle w:val="Hyperlink"/>
            <w:rFonts w:cs="Open Sans"/>
          </w:rPr>
          <w:t>3.1</w:t>
        </w:r>
        <w:r w:rsidR="00B65B21">
          <w:rPr>
            <w:rFonts w:asciiTheme="minorHAnsi" w:eastAsiaTheme="minorEastAsia" w:hAnsiTheme="minorHAnsi" w:cstheme="minorBidi"/>
            <w:b w:val="0"/>
            <w:i w:val="0"/>
            <w:sz w:val="22"/>
            <w:szCs w:val="22"/>
          </w:rPr>
          <w:tab/>
        </w:r>
        <w:r w:rsidR="00B65B21" w:rsidRPr="0025188C">
          <w:rPr>
            <w:rStyle w:val="Hyperlink"/>
            <w:rFonts w:cs="Open Sans"/>
          </w:rPr>
          <w:t>Right to privacy</w:t>
        </w:r>
        <w:r w:rsidR="00B65B21">
          <w:rPr>
            <w:webHidden/>
          </w:rPr>
          <w:tab/>
        </w:r>
        <w:r w:rsidR="00B65B21">
          <w:rPr>
            <w:webHidden/>
          </w:rPr>
          <w:fldChar w:fldCharType="begin"/>
        </w:r>
        <w:r w:rsidR="00B65B21">
          <w:rPr>
            <w:webHidden/>
          </w:rPr>
          <w:instrText xml:space="preserve"> PAGEREF _Toc524352496 \h </w:instrText>
        </w:r>
        <w:r w:rsidR="00B65B21">
          <w:rPr>
            <w:webHidden/>
          </w:rPr>
        </w:r>
        <w:r w:rsidR="00B65B21">
          <w:rPr>
            <w:webHidden/>
          </w:rPr>
          <w:fldChar w:fldCharType="separate"/>
        </w:r>
        <w:r>
          <w:rPr>
            <w:webHidden/>
          </w:rPr>
          <w:t>10</w:t>
        </w:r>
        <w:r w:rsidR="00B65B21">
          <w:rPr>
            <w:webHidden/>
          </w:rPr>
          <w:fldChar w:fldCharType="end"/>
        </w:r>
      </w:hyperlink>
    </w:p>
    <w:p w14:paraId="45E84FC8" w14:textId="2F63F53C" w:rsidR="00B65B21" w:rsidRDefault="00523FE1">
      <w:pPr>
        <w:pStyle w:val="TOC2"/>
        <w:rPr>
          <w:rFonts w:asciiTheme="minorHAnsi" w:eastAsiaTheme="minorEastAsia" w:hAnsiTheme="minorHAnsi" w:cstheme="minorBidi"/>
          <w:b w:val="0"/>
          <w:i w:val="0"/>
          <w:sz w:val="22"/>
          <w:szCs w:val="22"/>
        </w:rPr>
      </w:pPr>
      <w:hyperlink w:anchor="_Toc524352497" w:history="1">
        <w:r w:rsidR="00B65B21" w:rsidRPr="0025188C">
          <w:rPr>
            <w:rStyle w:val="Hyperlink"/>
            <w:rFonts w:cs="Open Sans"/>
          </w:rPr>
          <w:t>3.2</w:t>
        </w:r>
        <w:r w:rsidR="00B65B21">
          <w:rPr>
            <w:rFonts w:asciiTheme="minorHAnsi" w:eastAsiaTheme="minorEastAsia" w:hAnsiTheme="minorHAnsi" w:cstheme="minorBidi"/>
            <w:b w:val="0"/>
            <w:i w:val="0"/>
            <w:sz w:val="22"/>
            <w:szCs w:val="22"/>
          </w:rPr>
          <w:tab/>
        </w:r>
        <w:r w:rsidR="00B65B21" w:rsidRPr="0025188C">
          <w:rPr>
            <w:rStyle w:val="Hyperlink"/>
            <w:rFonts w:cs="Open Sans"/>
          </w:rPr>
          <w:t>Right to freedom of expression</w:t>
        </w:r>
        <w:r w:rsidR="00B65B21">
          <w:rPr>
            <w:webHidden/>
          </w:rPr>
          <w:tab/>
        </w:r>
        <w:r w:rsidR="00B65B21">
          <w:rPr>
            <w:webHidden/>
          </w:rPr>
          <w:fldChar w:fldCharType="begin"/>
        </w:r>
        <w:r w:rsidR="00B65B21">
          <w:rPr>
            <w:webHidden/>
          </w:rPr>
          <w:instrText xml:space="preserve"> PAGEREF _Toc524352497 \h </w:instrText>
        </w:r>
        <w:r w:rsidR="00B65B21">
          <w:rPr>
            <w:webHidden/>
          </w:rPr>
        </w:r>
        <w:r w:rsidR="00B65B21">
          <w:rPr>
            <w:webHidden/>
          </w:rPr>
          <w:fldChar w:fldCharType="separate"/>
        </w:r>
        <w:r>
          <w:rPr>
            <w:webHidden/>
          </w:rPr>
          <w:t>11</w:t>
        </w:r>
        <w:r w:rsidR="00B65B21">
          <w:rPr>
            <w:webHidden/>
          </w:rPr>
          <w:fldChar w:fldCharType="end"/>
        </w:r>
      </w:hyperlink>
    </w:p>
    <w:p w14:paraId="7C4993E1" w14:textId="7A27503B" w:rsidR="00B65B21" w:rsidRDefault="00523FE1">
      <w:pPr>
        <w:pStyle w:val="TOC2"/>
        <w:rPr>
          <w:rFonts w:asciiTheme="minorHAnsi" w:eastAsiaTheme="minorEastAsia" w:hAnsiTheme="minorHAnsi" w:cstheme="minorBidi"/>
          <w:b w:val="0"/>
          <w:i w:val="0"/>
          <w:sz w:val="22"/>
          <w:szCs w:val="22"/>
        </w:rPr>
      </w:pPr>
      <w:hyperlink w:anchor="_Toc524352498" w:history="1">
        <w:r w:rsidR="00B65B21" w:rsidRPr="0025188C">
          <w:rPr>
            <w:rStyle w:val="Hyperlink"/>
            <w:rFonts w:cs="Open Sans"/>
          </w:rPr>
          <w:t>3.3</w:t>
        </w:r>
        <w:r w:rsidR="00B65B21">
          <w:rPr>
            <w:rFonts w:asciiTheme="minorHAnsi" w:eastAsiaTheme="minorEastAsia" w:hAnsiTheme="minorHAnsi" w:cstheme="minorBidi"/>
            <w:b w:val="0"/>
            <w:i w:val="0"/>
            <w:sz w:val="22"/>
            <w:szCs w:val="22"/>
          </w:rPr>
          <w:tab/>
        </w:r>
        <w:r w:rsidR="00B65B21" w:rsidRPr="0025188C">
          <w:rPr>
            <w:rStyle w:val="Hyperlink"/>
            <w:rFonts w:cs="Open Sans"/>
          </w:rPr>
          <w:t>Permissible limitations on human rights</w:t>
        </w:r>
        <w:r w:rsidR="00B65B21">
          <w:rPr>
            <w:webHidden/>
          </w:rPr>
          <w:tab/>
        </w:r>
        <w:r w:rsidR="00B65B21">
          <w:rPr>
            <w:webHidden/>
          </w:rPr>
          <w:fldChar w:fldCharType="begin"/>
        </w:r>
        <w:r w:rsidR="00B65B21">
          <w:rPr>
            <w:webHidden/>
          </w:rPr>
          <w:instrText xml:space="preserve"> PAGEREF _Toc524352498 \h </w:instrText>
        </w:r>
        <w:r w:rsidR="00B65B21">
          <w:rPr>
            <w:webHidden/>
          </w:rPr>
        </w:r>
        <w:r w:rsidR="00B65B21">
          <w:rPr>
            <w:webHidden/>
          </w:rPr>
          <w:fldChar w:fldCharType="separate"/>
        </w:r>
        <w:r>
          <w:rPr>
            <w:webHidden/>
          </w:rPr>
          <w:t>12</w:t>
        </w:r>
        <w:r w:rsidR="00B65B21">
          <w:rPr>
            <w:webHidden/>
          </w:rPr>
          <w:fldChar w:fldCharType="end"/>
        </w:r>
      </w:hyperlink>
    </w:p>
    <w:p w14:paraId="2DBB11FB" w14:textId="4F2B671E" w:rsidR="00B65B21" w:rsidRDefault="00523FE1">
      <w:pPr>
        <w:pStyle w:val="TOC3"/>
        <w:rPr>
          <w:rFonts w:asciiTheme="minorHAnsi" w:eastAsiaTheme="minorEastAsia" w:hAnsiTheme="minorHAnsi" w:cstheme="minorBidi"/>
          <w:i w:val="0"/>
          <w:sz w:val="22"/>
          <w:szCs w:val="22"/>
        </w:rPr>
      </w:pPr>
      <w:hyperlink w:anchor="_Toc524352499" w:history="1">
        <w:r w:rsidR="00B65B21" w:rsidRPr="0025188C">
          <w:rPr>
            <w:rStyle w:val="Hyperlink"/>
            <w:rFonts w:cs="Open Sans"/>
          </w:rPr>
          <w:t>(a)</w:t>
        </w:r>
        <w:r w:rsidR="00B65B21">
          <w:rPr>
            <w:rFonts w:asciiTheme="minorHAnsi" w:eastAsiaTheme="minorEastAsia" w:hAnsiTheme="minorHAnsi" w:cstheme="minorBidi"/>
            <w:i w:val="0"/>
            <w:sz w:val="22"/>
            <w:szCs w:val="22"/>
          </w:rPr>
          <w:tab/>
        </w:r>
        <w:r w:rsidR="00B65B21" w:rsidRPr="0025188C">
          <w:rPr>
            <w:rStyle w:val="Hyperlink"/>
            <w:rFonts w:cs="Open Sans"/>
          </w:rPr>
          <w:t>Legitimate aims</w:t>
        </w:r>
        <w:r w:rsidR="00B65B21">
          <w:rPr>
            <w:webHidden/>
          </w:rPr>
          <w:tab/>
        </w:r>
        <w:r w:rsidR="00B65B21">
          <w:rPr>
            <w:webHidden/>
          </w:rPr>
          <w:fldChar w:fldCharType="begin"/>
        </w:r>
        <w:r w:rsidR="00B65B21">
          <w:rPr>
            <w:webHidden/>
          </w:rPr>
          <w:instrText xml:space="preserve"> PAGEREF _Toc524352499 \h </w:instrText>
        </w:r>
        <w:r w:rsidR="00B65B21">
          <w:rPr>
            <w:webHidden/>
          </w:rPr>
        </w:r>
        <w:r w:rsidR="00B65B21">
          <w:rPr>
            <w:webHidden/>
          </w:rPr>
          <w:fldChar w:fldCharType="separate"/>
        </w:r>
        <w:r>
          <w:rPr>
            <w:webHidden/>
          </w:rPr>
          <w:t>12</w:t>
        </w:r>
        <w:r w:rsidR="00B65B21">
          <w:rPr>
            <w:webHidden/>
          </w:rPr>
          <w:fldChar w:fldCharType="end"/>
        </w:r>
      </w:hyperlink>
    </w:p>
    <w:p w14:paraId="7CAD8BBE" w14:textId="0F886823" w:rsidR="00B65B21" w:rsidRDefault="00523FE1">
      <w:pPr>
        <w:pStyle w:val="TOC3"/>
        <w:rPr>
          <w:rFonts w:asciiTheme="minorHAnsi" w:eastAsiaTheme="minorEastAsia" w:hAnsiTheme="minorHAnsi" w:cstheme="minorBidi"/>
          <w:i w:val="0"/>
          <w:sz w:val="22"/>
          <w:szCs w:val="22"/>
        </w:rPr>
      </w:pPr>
      <w:hyperlink w:anchor="_Toc524352500" w:history="1">
        <w:r w:rsidR="00B65B21" w:rsidRPr="0025188C">
          <w:rPr>
            <w:rStyle w:val="Hyperlink"/>
            <w:rFonts w:cs="Open Sans"/>
          </w:rPr>
          <w:t>(b)</w:t>
        </w:r>
        <w:r w:rsidR="00B65B21">
          <w:rPr>
            <w:rFonts w:asciiTheme="minorHAnsi" w:eastAsiaTheme="minorEastAsia" w:hAnsiTheme="minorHAnsi" w:cstheme="minorBidi"/>
            <w:i w:val="0"/>
            <w:sz w:val="22"/>
            <w:szCs w:val="22"/>
          </w:rPr>
          <w:tab/>
        </w:r>
        <w:r w:rsidR="00B65B21" w:rsidRPr="0025188C">
          <w:rPr>
            <w:rStyle w:val="Hyperlink"/>
            <w:rFonts w:cs="Open Sans"/>
          </w:rPr>
          <w:t>Necessity</w:t>
        </w:r>
        <w:r w:rsidR="00B65B21">
          <w:rPr>
            <w:webHidden/>
          </w:rPr>
          <w:tab/>
        </w:r>
        <w:r w:rsidR="00B65B21">
          <w:rPr>
            <w:webHidden/>
          </w:rPr>
          <w:fldChar w:fldCharType="begin"/>
        </w:r>
        <w:r w:rsidR="00B65B21">
          <w:rPr>
            <w:webHidden/>
          </w:rPr>
          <w:instrText xml:space="preserve"> PAGEREF _Toc524352500 \h </w:instrText>
        </w:r>
        <w:r w:rsidR="00B65B21">
          <w:rPr>
            <w:webHidden/>
          </w:rPr>
        </w:r>
        <w:r w:rsidR="00B65B21">
          <w:rPr>
            <w:webHidden/>
          </w:rPr>
          <w:fldChar w:fldCharType="separate"/>
        </w:r>
        <w:r>
          <w:rPr>
            <w:webHidden/>
          </w:rPr>
          <w:t>13</w:t>
        </w:r>
        <w:r w:rsidR="00B65B21">
          <w:rPr>
            <w:webHidden/>
          </w:rPr>
          <w:fldChar w:fldCharType="end"/>
        </w:r>
      </w:hyperlink>
    </w:p>
    <w:p w14:paraId="28D6F5C1" w14:textId="1CFBB238" w:rsidR="00B65B21" w:rsidRDefault="00523FE1">
      <w:pPr>
        <w:pStyle w:val="TOC3"/>
        <w:rPr>
          <w:rFonts w:asciiTheme="minorHAnsi" w:eastAsiaTheme="minorEastAsia" w:hAnsiTheme="minorHAnsi" w:cstheme="minorBidi"/>
          <w:i w:val="0"/>
          <w:sz w:val="22"/>
          <w:szCs w:val="22"/>
        </w:rPr>
      </w:pPr>
      <w:hyperlink w:anchor="_Toc524352501" w:history="1">
        <w:r w:rsidR="00B65B21" w:rsidRPr="0025188C">
          <w:rPr>
            <w:rStyle w:val="Hyperlink"/>
            <w:rFonts w:cs="Open Sans"/>
          </w:rPr>
          <w:t>(c)</w:t>
        </w:r>
        <w:r w:rsidR="00B65B21">
          <w:rPr>
            <w:rFonts w:asciiTheme="minorHAnsi" w:eastAsiaTheme="minorEastAsia" w:hAnsiTheme="minorHAnsi" w:cstheme="minorBidi"/>
            <w:i w:val="0"/>
            <w:sz w:val="22"/>
            <w:szCs w:val="22"/>
          </w:rPr>
          <w:tab/>
        </w:r>
        <w:r w:rsidR="00B65B21" w:rsidRPr="0025188C">
          <w:rPr>
            <w:rStyle w:val="Hyperlink"/>
            <w:rFonts w:cs="Open Sans"/>
          </w:rPr>
          <w:t>Proportionality</w:t>
        </w:r>
        <w:r w:rsidR="00B65B21">
          <w:rPr>
            <w:webHidden/>
          </w:rPr>
          <w:tab/>
        </w:r>
        <w:r w:rsidR="00B65B21">
          <w:rPr>
            <w:webHidden/>
          </w:rPr>
          <w:fldChar w:fldCharType="begin"/>
        </w:r>
        <w:r w:rsidR="00B65B21">
          <w:rPr>
            <w:webHidden/>
          </w:rPr>
          <w:instrText xml:space="preserve"> PAGEREF _Toc524352501 \h </w:instrText>
        </w:r>
        <w:r w:rsidR="00B65B21">
          <w:rPr>
            <w:webHidden/>
          </w:rPr>
        </w:r>
        <w:r w:rsidR="00B65B21">
          <w:rPr>
            <w:webHidden/>
          </w:rPr>
          <w:fldChar w:fldCharType="separate"/>
        </w:r>
        <w:r>
          <w:rPr>
            <w:webHidden/>
          </w:rPr>
          <w:t>13</w:t>
        </w:r>
        <w:r w:rsidR="00B65B21">
          <w:rPr>
            <w:webHidden/>
          </w:rPr>
          <w:fldChar w:fldCharType="end"/>
        </w:r>
      </w:hyperlink>
    </w:p>
    <w:p w14:paraId="599EBF29" w14:textId="796FF71B" w:rsidR="00B65B21" w:rsidRDefault="00523FE1">
      <w:pPr>
        <w:pStyle w:val="TOC1"/>
        <w:rPr>
          <w:rFonts w:asciiTheme="minorHAnsi" w:eastAsiaTheme="minorEastAsia" w:hAnsiTheme="minorHAnsi" w:cstheme="minorBidi"/>
          <w:b w:val="0"/>
          <w:sz w:val="22"/>
          <w:szCs w:val="22"/>
        </w:rPr>
      </w:pPr>
      <w:hyperlink w:anchor="_Toc524352502" w:history="1">
        <w:r w:rsidR="00B65B21" w:rsidRPr="0025188C">
          <w:rPr>
            <w:rStyle w:val="Hyperlink"/>
            <w:rFonts w:cs="Open Sans"/>
          </w:rPr>
          <w:t>4</w:t>
        </w:r>
        <w:r w:rsidR="00B65B21">
          <w:rPr>
            <w:rFonts w:asciiTheme="minorHAnsi" w:eastAsiaTheme="minorEastAsia" w:hAnsiTheme="minorHAnsi" w:cstheme="minorBidi"/>
            <w:b w:val="0"/>
            <w:sz w:val="22"/>
            <w:szCs w:val="22"/>
          </w:rPr>
          <w:tab/>
        </w:r>
        <w:r w:rsidR="00B65B21" w:rsidRPr="0025188C">
          <w:rPr>
            <w:rStyle w:val="Hyperlink"/>
            <w:rFonts w:cs="Open Sans"/>
          </w:rPr>
          <w:t>The draft Bill</w:t>
        </w:r>
        <w:r w:rsidR="00B65B21">
          <w:rPr>
            <w:webHidden/>
          </w:rPr>
          <w:tab/>
        </w:r>
        <w:r w:rsidR="00B65B21">
          <w:rPr>
            <w:webHidden/>
          </w:rPr>
          <w:fldChar w:fldCharType="begin"/>
        </w:r>
        <w:r w:rsidR="00B65B21">
          <w:rPr>
            <w:webHidden/>
          </w:rPr>
          <w:instrText xml:space="preserve"> PAGEREF _Toc524352502 \h </w:instrText>
        </w:r>
        <w:r w:rsidR="00B65B21">
          <w:rPr>
            <w:webHidden/>
          </w:rPr>
        </w:r>
        <w:r w:rsidR="00B65B21">
          <w:rPr>
            <w:webHidden/>
          </w:rPr>
          <w:fldChar w:fldCharType="separate"/>
        </w:r>
        <w:r>
          <w:rPr>
            <w:webHidden/>
          </w:rPr>
          <w:t>14</w:t>
        </w:r>
        <w:r w:rsidR="00B65B21">
          <w:rPr>
            <w:webHidden/>
          </w:rPr>
          <w:fldChar w:fldCharType="end"/>
        </w:r>
      </w:hyperlink>
    </w:p>
    <w:p w14:paraId="3A185DC3" w14:textId="44AEFFCD" w:rsidR="00B65B21" w:rsidRDefault="00523FE1">
      <w:pPr>
        <w:pStyle w:val="TOC2"/>
        <w:rPr>
          <w:rFonts w:asciiTheme="minorHAnsi" w:eastAsiaTheme="minorEastAsia" w:hAnsiTheme="minorHAnsi" w:cstheme="minorBidi"/>
          <w:b w:val="0"/>
          <w:i w:val="0"/>
          <w:sz w:val="22"/>
          <w:szCs w:val="22"/>
        </w:rPr>
      </w:pPr>
      <w:hyperlink w:anchor="_Toc524352503" w:history="1">
        <w:r w:rsidR="00B65B21" w:rsidRPr="0025188C">
          <w:rPr>
            <w:rStyle w:val="Hyperlink"/>
            <w:rFonts w:cs="Open Sans"/>
          </w:rPr>
          <w:t>4.1</w:t>
        </w:r>
        <w:r w:rsidR="00B65B21">
          <w:rPr>
            <w:rFonts w:asciiTheme="minorHAnsi" w:eastAsiaTheme="minorEastAsia" w:hAnsiTheme="minorHAnsi" w:cstheme="minorBidi"/>
            <w:b w:val="0"/>
            <w:i w:val="0"/>
            <w:sz w:val="22"/>
            <w:szCs w:val="22"/>
          </w:rPr>
          <w:tab/>
        </w:r>
        <w:r w:rsidR="00B65B21" w:rsidRPr="0025188C">
          <w:rPr>
            <w:rStyle w:val="Hyperlink"/>
            <w:rFonts w:cs="Open Sans"/>
          </w:rPr>
          <w:t>Provider assistance framework (Schedule 1)</w:t>
        </w:r>
        <w:r w:rsidR="00B65B21">
          <w:rPr>
            <w:webHidden/>
          </w:rPr>
          <w:tab/>
        </w:r>
        <w:r w:rsidR="00B65B21">
          <w:rPr>
            <w:webHidden/>
          </w:rPr>
          <w:fldChar w:fldCharType="begin"/>
        </w:r>
        <w:r w:rsidR="00B65B21">
          <w:rPr>
            <w:webHidden/>
          </w:rPr>
          <w:instrText xml:space="preserve"> PAGEREF _Toc524352503 \h </w:instrText>
        </w:r>
        <w:r w:rsidR="00B65B21">
          <w:rPr>
            <w:webHidden/>
          </w:rPr>
        </w:r>
        <w:r w:rsidR="00B65B21">
          <w:rPr>
            <w:webHidden/>
          </w:rPr>
          <w:fldChar w:fldCharType="separate"/>
        </w:r>
        <w:r>
          <w:rPr>
            <w:webHidden/>
          </w:rPr>
          <w:t>14</w:t>
        </w:r>
        <w:r w:rsidR="00B65B21">
          <w:rPr>
            <w:webHidden/>
          </w:rPr>
          <w:fldChar w:fldCharType="end"/>
        </w:r>
      </w:hyperlink>
    </w:p>
    <w:p w14:paraId="53D1E1D2" w14:textId="5164B9B1" w:rsidR="00B65B21" w:rsidRDefault="00523FE1">
      <w:pPr>
        <w:pStyle w:val="TOC2"/>
        <w:rPr>
          <w:rFonts w:asciiTheme="minorHAnsi" w:eastAsiaTheme="minorEastAsia" w:hAnsiTheme="minorHAnsi" w:cstheme="minorBidi"/>
          <w:b w:val="0"/>
          <w:i w:val="0"/>
          <w:sz w:val="22"/>
          <w:szCs w:val="22"/>
        </w:rPr>
      </w:pPr>
      <w:hyperlink w:anchor="_Toc524352504" w:history="1">
        <w:r w:rsidR="00B65B21" w:rsidRPr="0025188C">
          <w:rPr>
            <w:rStyle w:val="Hyperlink"/>
            <w:rFonts w:cs="Open Sans"/>
          </w:rPr>
          <w:t>4.2</w:t>
        </w:r>
        <w:r w:rsidR="00B65B21">
          <w:rPr>
            <w:rFonts w:asciiTheme="minorHAnsi" w:eastAsiaTheme="minorEastAsia" w:hAnsiTheme="minorHAnsi" w:cstheme="minorBidi"/>
            <w:b w:val="0"/>
            <w:i w:val="0"/>
            <w:sz w:val="22"/>
            <w:szCs w:val="22"/>
          </w:rPr>
          <w:tab/>
        </w:r>
        <w:r w:rsidR="00B65B21" w:rsidRPr="0025188C">
          <w:rPr>
            <w:rStyle w:val="Hyperlink"/>
            <w:rFonts w:cs="Open Sans"/>
          </w:rPr>
          <w:t>Warrant powers (Schedules 2–5)</w:t>
        </w:r>
        <w:r w:rsidR="00B65B21">
          <w:rPr>
            <w:webHidden/>
          </w:rPr>
          <w:tab/>
        </w:r>
        <w:r w:rsidR="00B65B21">
          <w:rPr>
            <w:webHidden/>
          </w:rPr>
          <w:fldChar w:fldCharType="begin"/>
        </w:r>
        <w:r w:rsidR="00B65B21">
          <w:rPr>
            <w:webHidden/>
          </w:rPr>
          <w:instrText xml:space="preserve"> PAGEREF _Toc524352504 \h </w:instrText>
        </w:r>
        <w:r w:rsidR="00B65B21">
          <w:rPr>
            <w:webHidden/>
          </w:rPr>
        </w:r>
        <w:r w:rsidR="00B65B21">
          <w:rPr>
            <w:webHidden/>
          </w:rPr>
          <w:fldChar w:fldCharType="separate"/>
        </w:r>
        <w:r>
          <w:rPr>
            <w:webHidden/>
          </w:rPr>
          <w:t>19</w:t>
        </w:r>
        <w:r w:rsidR="00B65B21">
          <w:rPr>
            <w:webHidden/>
          </w:rPr>
          <w:fldChar w:fldCharType="end"/>
        </w:r>
      </w:hyperlink>
    </w:p>
    <w:p w14:paraId="35D12947" w14:textId="1DC8A68D" w:rsidR="00B65B21" w:rsidRDefault="00523FE1">
      <w:pPr>
        <w:pStyle w:val="TOC1"/>
        <w:rPr>
          <w:rFonts w:asciiTheme="minorHAnsi" w:eastAsiaTheme="minorEastAsia" w:hAnsiTheme="minorHAnsi" w:cstheme="minorBidi"/>
          <w:b w:val="0"/>
          <w:sz w:val="22"/>
          <w:szCs w:val="22"/>
        </w:rPr>
      </w:pPr>
      <w:hyperlink w:anchor="_Toc524352505" w:history="1">
        <w:r w:rsidR="00B65B21" w:rsidRPr="0025188C">
          <w:rPr>
            <w:rStyle w:val="Hyperlink"/>
            <w:rFonts w:cs="Open Sans"/>
          </w:rPr>
          <w:t>5</w:t>
        </w:r>
        <w:r w:rsidR="00B65B21">
          <w:rPr>
            <w:rFonts w:asciiTheme="minorHAnsi" w:eastAsiaTheme="minorEastAsia" w:hAnsiTheme="minorHAnsi" w:cstheme="minorBidi"/>
            <w:b w:val="0"/>
            <w:sz w:val="22"/>
            <w:szCs w:val="22"/>
          </w:rPr>
          <w:tab/>
        </w:r>
        <w:r w:rsidR="00B65B21" w:rsidRPr="0025188C">
          <w:rPr>
            <w:rStyle w:val="Hyperlink"/>
            <w:rFonts w:cs="Open Sans"/>
          </w:rPr>
          <w:t>Key human rights concerns: assistance requests and notices</w:t>
        </w:r>
        <w:r w:rsidR="00B65B21">
          <w:rPr>
            <w:webHidden/>
          </w:rPr>
          <w:tab/>
        </w:r>
        <w:r w:rsidR="00B65B21">
          <w:rPr>
            <w:webHidden/>
          </w:rPr>
          <w:fldChar w:fldCharType="begin"/>
        </w:r>
        <w:r w:rsidR="00B65B21">
          <w:rPr>
            <w:webHidden/>
          </w:rPr>
          <w:instrText xml:space="preserve"> PAGEREF _Toc524352505 \h </w:instrText>
        </w:r>
        <w:r w:rsidR="00B65B21">
          <w:rPr>
            <w:webHidden/>
          </w:rPr>
        </w:r>
        <w:r w:rsidR="00B65B21">
          <w:rPr>
            <w:webHidden/>
          </w:rPr>
          <w:fldChar w:fldCharType="separate"/>
        </w:r>
        <w:r>
          <w:rPr>
            <w:webHidden/>
          </w:rPr>
          <w:t>19</w:t>
        </w:r>
        <w:r w:rsidR="00B65B21">
          <w:rPr>
            <w:webHidden/>
          </w:rPr>
          <w:fldChar w:fldCharType="end"/>
        </w:r>
      </w:hyperlink>
    </w:p>
    <w:p w14:paraId="34296987" w14:textId="5F09F045" w:rsidR="00B65B21" w:rsidRDefault="00523FE1">
      <w:pPr>
        <w:pStyle w:val="TOC2"/>
        <w:rPr>
          <w:rFonts w:asciiTheme="minorHAnsi" w:eastAsiaTheme="minorEastAsia" w:hAnsiTheme="minorHAnsi" w:cstheme="minorBidi"/>
          <w:b w:val="0"/>
          <w:i w:val="0"/>
          <w:sz w:val="22"/>
          <w:szCs w:val="22"/>
        </w:rPr>
      </w:pPr>
      <w:hyperlink w:anchor="_Toc524352506" w:history="1">
        <w:r w:rsidR="00B65B21" w:rsidRPr="0025188C">
          <w:rPr>
            <w:rStyle w:val="Hyperlink"/>
            <w:rFonts w:cs="Open Sans"/>
          </w:rPr>
          <w:t>5.1</w:t>
        </w:r>
        <w:r w:rsidR="00B65B21">
          <w:rPr>
            <w:rFonts w:asciiTheme="minorHAnsi" w:eastAsiaTheme="minorEastAsia" w:hAnsiTheme="minorHAnsi" w:cstheme="minorBidi"/>
            <w:b w:val="0"/>
            <w:i w:val="0"/>
            <w:sz w:val="22"/>
            <w:szCs w:val="22"/>
          </w:rPr>
          <w:tab/>
        </w:r>
        <w:r w:rsidR="00B65B21" w:rsidRPr="0025188C">
          <w:rPr>
            <w:rStyle w:val="Hyperlink"/>
            <w:rFonts w:cs="Open Sans"/>
          </w:rPr>
          <w:t>Scope of assistance scheme</w:t>
        </w:r>
        <w:r w:rsidR="00B65B21">
          <w:rPr>
            <w:webHidden/>
          </w:rPr>
          <w:tab/>
        </w:r>
        <w:r w:rsidR="00B65B21">
          <w:rPr>
            <w:webHidden/>
          </w:rPr>
          <w:fldChar w:fldCharType="begin"/>
        </w:r>
        <w:r w:rsidR="00B65B21">
          <w:rPr>
            <w:webHidden/>
          </w:rPr>
          <w:instrText xml:space="preserve"> PAGEREF _Toc524352506 \h </w:instrText>
        </w:r>
        <w:r w:rsidR="00B65B21">
          <w:rPr>
            <w:webHidden/>
          </w:rPr>
        </w:r>
        <w:r w:rsidR="00B65B21">
          <w:rPr>
            <w:webHidden/>
          </w:rPr>
          <w:fldChar w:fldCharType="separate"/>
        </w:r>
        <w:r>
          <w:rPr>
            <w:webHidden/>
          </w:rPr>
          <w:t>21</w:t>
        </w:r>
        <w:r w:rsidR="00B65B21">
          <w:rPr>
            <w:webHidden/>
          </w:rPr>
          <w:fldChar w:fldCharType="end"/>
        </w:r>
      </w:hyperlink>
    </w:p>
    <w:p w14:paraId="33C226A0" w14:textId="6B2939E3" w:rsidR="00B65B21" w:rsidRDefault="00523FE1">
      <w:pPr>
        <w:pStyle w:val="TOC3"/>
        <w:rPr>
          <w:rFonts w:asciiTheme="minorHAnsi" w:eastAsiaTheme="minorEastAsia" w:hAnsiTheme="minorHAnsi" w:cstheme="minorBidi"/>
          <w:i w:val="0"/>
          <w:sz w:val="22"/>
          <w:szCs w:val="22"/>
        </w:rPr>
      </w:pPr>
      <w:hyperlink w:anchor="_Toc524352507" w:history="1">
        <w:r w:rsidR="00B65B21" w:rsidRPr="0025188C">
          <w:rPr>
            <w:rStyle w:val="Hyperlink"/>
            <w:rFonts w:cs="Open Sans"/>
          </w:rPr>
          <w:t>(a)</w:t>
        </w:r>
        <w:r w:rsidR="00B65B21">
          <w:rPr>
            <w:rFonts w:asciiTheme="minorHAnsi" w:eastAsiaTheme="minorEastAsia" w:hAnsiTheme="minorHAnsi" w:cstheme="minorBidi"/>
            <w:i w:val="0"/>
            <w:sz w:val="22"/>
            <w:szCs w:val="22"/>
          </w:rPr>
          <w:tab/>
        </w:r>
        <w:r w:rsidR="00B65B21" w:rsidRPr="0025188C">
          <w:rPr>
            <w:rStyle w:val="Hyperlink"/>
            <w:rFonts w:cs="Open Sans"/>
          </w:rPr>
          <w:t>‘Acts or things’</w:t>
        </w:r>
        <w:r w:rsidR="00B65B21">
          <w:rPr>
            <w:webHidden/>
          </w:rPr>
          <w:tab/>
        </w:r>
        <w:r w:rsidR="00B65B21">
          <w:rPr>
            <w:webHidden/>
          </w:rPr>
          <w:fldChar w:fldCharType="begin"/>
        </w:r>
        <w:r w:rsidR="00B65B21">
          <w:rPr>
            <w:webHidden/>
          </w:rPr>
          <w:instrText xml:space="preserve"> PAGEREF _Toc524352507 \h </w:instrText>
        </w:r>
        <w:r w:rsidR="00B65B21">
          <w:rPr>
            <w:webHidden/>
          </w:rPr>
        </w:r>
        <w:r w:rsidR="00B65B21">
          <w:rPr>
            <w:webHidden/>
          </w:rPr>
          <w:fldChar w:fldCharType="separate"/>
        </w:r>
        <w:r>
          <w:rPr>
            <w:webHidden/>
          </w:rPr>
          <w:t>21</w:t>
        </w:r>
        <w:r w:rsidR="00B65B21">
          <w:rPr>
            <w:webHidden/>
          </w:rPr>
          <w:fldChar w:fldCharType="end"/>
        </w:r>
      </w:hyperlink>
    </w:p>
    <w:p w14:paraId="3A50A603" w14:textId="0D6B5C49" w:rsidR="00B65B21" w:rsidRDefault="00523FE1">
      <w:pPr>
        <w:pStyle w:val="TOC3"/>
        <w:rPr>
          <w:rFonts w:asciiTheme="minorHAnsi" w:eastAsiaTheme="minorEastAsia" w:hAnsiTheme="minorHAnsi" w:cstheme="minorBidi"/>
          <w:i w:val="0"/>
          <w:sz w:val="22"/>
          <w:szCs w:val="22"/>
        </w:rPr>
      </w:pPr>
      <w:hyperlink w:anchor="_Toc524352508" w:history="1">
        <w:r w:rsidR="00B65B21" w:rsidRPr="0025188C">
          <w:rPr>
            <w:rStyle w:val="Hyperlink"/>
            <w:rFonts w:cs="Open Sans"/>
          </w:rPr>
          <w:t>(b)</w:t>
        </w:r>
        <w:r w:rsidR="00B65B21">
          <w:rPr>
            <w:rFonts w:asciiTheme="minorHAnsi" w:eastAsiaTheme="minorEastAsia" w:hAnsiTheme="minorHAnsi" w:cstheme="minorBidi"/>
            <w:i w:val="0"/>
            <w:sz w:val="22"/>
            <w:szCs w:val="22"/>
          </w:rPr>
          <w:tab/>
        </w:r>
        <w:r w:rsidR="00B65B21" w:rsidRPr="0025188C">
          <w:rPr>
            <w:rStyle w:val="Hyperlink"/>
            <w:rFonts w:cs="Open Sans"/>
          </w:rPr>
          <w:t>‘Relevant objectives’</w:t>
        </w:r>
        <w:r w:rsidR="00B65B21">
          <w:rPr>
            <w:webHidden/>
          </w:rPr>
          <w:tab/>
        </w:r>
        <w:r w:rsidR="00B65B21">
          <w:rPr>
            <w:webHidden/>
          </w:rPr>
          <w:fldChar w:fldCharType="begin"/>
        </w:r>
        <w:r w:rsidR="00B65B21">
          <w:rPr>
            <w:webHidden/>
          </w:rPr>
          <w:instrText xml:space="preserve"> PAGEREF _Toc524352508 \h </w:instrText>
        </w:r>
        <w:r w:rsidR="00B65B21">
          <w:rPr>
            <w:webHidden/>
          </w:rPr>
        </w:r>
        <w:r w:rsidR="00B65B21">
          <w:rPr>
            <w:webHidden/>
          </w:rPr>
          <w:fldChar w:fldCharType="separate"/>
        </w:r>
        <w:r>
          <w:rPr>
            <w:webHidden/>
          </w:rPr>
          <w:t>23</w:t>
        </w:r>
        <w:r w:rsidR="00B65B21">
          <w:rPr>
            <w:webHidden/>
          </w:rPr>
          <w:fldChar w:fldCharType="end"/>
        </w:r>
      </w:hyperlink>
    </w:p>
    <w:p w14:paraId="42FD8B6B" w14:textId="65A29643" w:rsidR="00B65B21" w:rsidRDefault="00523FE1">
      <w:pPr>
        <w:pStyle w:val="TOC3"/>
        <w:rPr>
          <w:rFonts w:asciiTheme="minorHAnsi" w:eastAsiaTheme="minorEastAsia" w:hAnsiTheme="minorHAnsi" w:cstheme="minorBidi"/>
          <w:i w:val="0"/>
          <w:sz w:val="22"/>
          <w:szCs w:val="22"/>
        </w:rPr>
      </w:pPr>
      <w:hyperlink w:anchor="_Toc524352509" w:history="1">
        <w:r w:rsidR="00B65B21" w:rsidRPr="0025188C">
          <w:rPr>
            <w:rStyle w:val="Hyperlink"/>
            <w:rFonts w:cs="Open Sans"/>
          </w:rPr>
          <w:t>(c)</w:t>
        </w:r>
        <w:r w:rsidR="00B65B21">
          <w:rPr>
            <w:rFonts w:asciiTheme="minorHAnsi" w:eastAsiaTheme="minorEastAsia" w:hAnsiTheme="minorHAnsi" w:cstheme="minorBidi"/>
            <w:i w:val="0"/>
            <w:sz w:val="22"/>
            <w:szCs w:val="22"/>
          </w:rPr>
          <w:tab/>
        </w:r>
        <w:r w:rsidR="00B65B21" w:rsidRPr="0025188C">
          <w:rPr>
            <w:rStyle w:val="Hyperlink"/>
            <w:rFonts w:cs="Open Sans"/>
          </w:rPr>
          <w:t>‘Decision-making criteria’</w:t>
        </w:r>
        <w:r w:rsidR="00B65B21">
          <w:rPr>
            <w:webHidden/>
          </w:rPr>
          <w:tab/>
        </w:r>
        <w:r w:rsidR="00B65B21">
          <w:rPr>
            <w:webHidden/>
          </w:rPr>
          <w:fldChar w:fldCharType="begin"/>
        </w:r>
        <w:r w:rsidR="00B65B21">
          <w:rPr>
            <w:webHidden/>
          </w:rPr>
          <w:instrText xml:space="preserve"> PAGEREF _Toc524352509 \h </w:instrText>
        </w:r>
        <w:r w:rsidR="00B65B21">
          <w:rPr>
            <w:webHidden/>
          </w:rPr>
        </w:r>
        <w:r w:rsidR="00B65B21">
          <w:rPr>
            <w:webHidden/>
          </w:rPr>
          <w:fldChar w:fldCharType="separate"/>
        </w:r>
        <w:r>
          <w:rPr>
            <w:webHidden/>
          </w:rPr>
          <w:t>25</w:t>
        </w:r>
        <w:r w:rsidR="00B65B21">
          <w:rPr>
            <w:webHidden/>
          </w:rPr>
          <w:fldChar w:fldCharType="end"/>
        </w:r>
      </w:hyperlink>
    </w:p>
    <w:p w14:paraId="13DA68E8" w14:textId="1C39FB7E" w:rsidR="00B65B21" w:rsidRDefault="00523FE1">
      <w:pPr>
        <w:pStyle w:val="TOC2"/>
        <w:rPr>
          <w:rFonts w:asciiTheme="minorHAnsi" w:eastAsiaTheme="minorEastAsia" w:hAnsiTheme="minorHAnsi" w:cstheme="minorBidi"/>
          <w:b w:val="0"/>
          <w:i w:val="0"/>
          <w:sz w:val="22"/>
          <w:szCs w:val="22"/>
        </w:rPr>
      </w:pPr>
      <w:hyperlink w:anchor="_Toc524352510" w:history="1">
        <w:r w:rsidR="00B65B21" w:rsidRPr="0025188C">
          <w:rPr>
            <w:rStyle w:val="Hyperlink"/>
            <w:rFonts w:cs="Open Sans"/>
          </w:rPr>
          <w:t>5.2</w:t>
        </w:r>
        <w:r w:rsidR="00B65B21">
          <w:rPr>
            <w:rFonts w:asciiTheme="minorHAnsi" w:eastAsiaTheme="minorEastAsia" w:hAnsiTheme="minorHAnsi" w:cstheme="minorBidi"/>
            <w:b w:val="0"/>
            <w:i w:val="0"/>
            <w:sz w:val="22"/>
            <w:szCs w:val="22"/>
          </w:rPr>
          <w:tab/>
        </w:r>
        <w:r w:rsidR="00B65B21" w:rsidRPr="0025188C">
          <w:rPr>
            <w:rStyle w:val="Hyperlink"/>
            <w:rFonts w:cs="Open Sans"/>
          </w:rPr>
          <w:t>Boundaries of systemic and non-systemic effects</w:t>
        </w:r>
        <w:r w:rsidR="00B65B21">
          <w:rPr>
            <w:webHidden/>
          </w:rPr>
          <w:tab/>
        </w:r>
        <w:r w:rsidR="00B65B21">
          <w:rPr>
            <w:webHidden/>
          </w:rPr>
          <w:fldChar w:fldCharType="begin"/>
        </w:r>
        <w:r w:rsidR="00B65B21">
          <w:rPr>
            <w:webHidden/>
          </w:rPr>
          <w:instrText xml:space="preserve"> PAGEREF _Toc524352510 \h </w:instrText>
        </w:r>
        <w:r w:rsidR="00B65B21">
          <w:rPr>
            <w:webHidden/>
          </w:rPr>
        </w:r>
        <w:r w:rsidR="00B65B21">
          <w:rPr>
            <w:webHidden/>
          </w:rPr>
          <w:fldChar w:fldCharType="separate"/>
        </w:r>
        <w:r>
          <w:rPr>
            <w:webHidden/>
          </w:rPr>
          <w:t>28</w:t>
        </w:r>
        <w:r w:rsidR="00B65B21">
          <w:rPr>
            <w:webHidden/>
          </w:rPr>
          <w:fldChar w:fldCharType="end"/>
        </w:r>
      </w:hyperlink>
    </w:p>
    <w:p w14:paraId="3CF74860" w14:textId="62D0396E" w:rsidR="00B65B21" w:rsidRDefault="00523FE1">
      <w:pPr>
        <w:pStyle w:val="TOC2"/>
        <w:rPr>
          <w:rFonts w:asciiTheme="minorHAnsi" w:eastAsiaTheme="minorEastAsia" w:hAnsiTheme="minorHAnsi" w:cstheme="minorBidi"/>
          <w:b w:val="0"/>
          <w:i w:val="0"/>
          <w:sz w:val="22"/>
          <w:szCs w:val="22"/>
        </w:rPr>
      </w:pPr>
      <w:hyperlink w:anchor="_Toc524352511" w:history="1">
        <w:r w:rsidR="00B65B21" w:rsidRPr="0025188C">
          <w:rPr>
            <w:rStyle w:val="Hyperlink"/>
            <w:rFonts w:cs="Open Sans"/>
          </w:rPr>
          <w:t>5.3</w:t>
        </w:r>
        <w:r w:rsidR="00B65B21">
          <w:rPr>
            <w:rFonts w:asciiTheme="minorHAnsi" w:eastAsiaTheme="minorEastAsia" w:hAnsiTheme="minorHAnsi" w:cstheme="minorBidi"/>
            <w:b w:val="0"/>
            <w:i w:val="0"/>
            <w:sz w:val="22"/>
            <w:szCs w:val="22"/>
          </w:rPr>
          <w:tab/>
        </w:r>
        <w:r w:rsidR="00B65B21" w:rsidRPr="0025188C">
          <w:rPr>
            <w:rStyle w:val="Hyperlink"/>
            <w:rFonts w:cs="Open Sans"/>
          </w:rPr>
          <w:t>Interaction with warrants</w:t>
        </w:r>
        <w:r w:rsidR="00B65B21">
          <w:rPr>
            <w:webHidden/>
          </w:rPr>
          <w:tab/>
        </w:r>
        <w:r w:rsidR="00B65B21">
          <w:rPr>
            <w:webHidden/>
          </w:rPr>
          <w:fldChar w:fldCharType="begin"/>
        </w:r>
        <w:r w:rsidR="00B65B21">
          <w:rPr>
            <w:webHidden/>
          </w:rPr>
          <w:instrText xml:space="preserve"> PAGEREF _Toc524352511 \h </w:instrText>
        </w:r>
        <w:r w:rsidR="00B65B21">
          <w:rPr>
            <w:webHidden/>
          </w:rPr>
        </w:r>
        <w:r w:rsidR="00B65B21">
          <w:rPr>
            <w:webHidden/>
          </w:rPr>
          <w:fldChar w:fldCharType="separate"/>
        </w:r>
        <w:r>
          <w:rPr>
            <w:webHidden/>
          </w:rPr>
          <w:t>31</w:t>
        </w:r>
        <w:r w:rsidR="00B65B21">
          <w:rPr>
            <w:webHidden/>
          </w:rPr>
          <w:fldChar w:fldCharType="end"/>
        </w:r>
      </w:hyperlink>
    </w:p>
    <w:p w14:paraId="75A05846" w14:textId="26876633" w:rsidR="00B65B21" w:rsidRDefault="00523FE1">
      <w:pPr>
        <w:pStyle w:val="TOC2"/>
        <w:rPr>
          <w:rFonts w:asciiTheme="minorHAnsi" w:eastAsiaTheme="minorEastAsia" w:hAnsiTheme="minorHAnsi" w:cstheme="minorBidi"/>
          <w:b w:val="0"/>
          <w:i w:val="0"/>
          <w:sz w:val="22"/>
          <w:szCs w:val="22"/>
        </w:rPr>
      </w:pPr>
      <w:hyperlink w:anchor="_Toc524352512" w:history="1">
        <w:r w:rsidR="00B65B21" w:rsidRPr="0025188C">
          <w:rPr>
            <w:rStyle w:val="Hyperlink"/>
            <w:rFonts w:cs="Open Sans"/>
          </w:rPr>
          <w:t>5.4</w:t>
        </w:r>
        <w:r w:rsidR="00B65B21">
          <w:rPr>
            <w:rFonts w:asciiTheme="minorHAnsi" w:eastAsiaTheme="minorEastAsia" w:hAnsiTheme="minorHAnsi" w:cstheme="minorBidi"/>
            <w:b w:val="0"/>
            <w:i w:val="0"/>
            <w:sz w:val="22"/>
            <w:szCs w:val="22"/>
          </w:rPr>
          <w:tab/>
        </w:r>
        <w:r w:rsidR="00B65B21" w:rsidRPr="0025188C">
          <w:rPr>
            <w:rStyle w:val="Hyperlink"/>
            <w:rFonts w:cs="Open Sans"/>
          </w:rPr>
          <w:t>Voluntary nature of requests</w:t>
        </w:r>
        <w:r w:rsidR="00B65B21">
          <w:rPr>
            <w:webHidden/>
          </w:rPr>
          <w:tab/>
        </w:r>
        <w:r w:rsidR="00B65B21">
          <w:rPr>
            <w:webHidden/>
          </w:rPr>
          <w:fldChar w:fldCharType="begin"/>
        </w:r>
        <w:r w:rsidR="00B65B21">
          <w:rPr>
            <w:webHidden/>
          </w:rPr>
          <w:instrText xml:space="preserve"> PAGEREF _Toc524352512 \h </w:instrText>
        </w:r>
        <w:r w:rsidR="00B65B21">
          <w:rPr>
            <w:webHidden/>
          </w:rPr>
        </w:r>
        <w:r w:rsidR="00B65B21">
          <w:rPr>
            <w:webHidden/>
          </w:rPr>
          <w:fldChar w:fldCharType="separate"/>
        </w:r>
        <w:r>
          <w:rPr>
            <w:webHidden/>
          </w:rPr>
          <w:t>33</w:t>
        </w:r>
        <w:r w:rsidR="00B65B21">
          <w:rPr>
            <w:webHidden/>
          </w:rPr>
          <w:fldChar w:fldCharType="end"/>
        </w:r>
      </w:hyperlink>
    </w:p>
    <w:p w14:paraId="2367679F" w14:textId="476302EE" w:rsidR="00B65B21" w:rsidRDefault="00523FE1">
      <w:pPr>
        <w:pStyle w:val="TOC2"/>
        <w:rPr>
          <w:rFonts w:asciiTheme="minorHAnsi" w:eastAsiaTheme="minorEastAsia" w:hAnsiTheme="minorHAnsi" w:cstheme="minorBidi"/>
          <w:b w:val="0"/>
          <w:i w:val="0"/>
          <w:sz w:val="22"/>
          <w:szCs w:val="22"/>
        </w:rPr>
      </w:pPr>
      <w:hyperlink w:anchor="_Toc524352513" w:history="1">
        <w:r w:rsidR="00B65B21" w:rsidRPr="0025188C">
          <w:rPr>
            <w:rStyle w:val="Hyperlink"/>
            <w:rFonts w:cs="Open Sans"/>
          </w:rPr>
          <w:t>5.5</w:t>
        </w:r>
        <w:r w:rsidR="00B65B21">
          <w:rPr>
            <w:rFonts w:asciiTheme="minorHAnsi" w:eastAsiaTheme="minorEastAsia" w:hAnsiTheme="minorHAnsi" w:cstheme="minorBidi"/>
            <w:b w:val="0"/>
            <w:i w:val="0"/>
            <w:sz w:val="22"/>
            <w:szCs w:val="22"/>
          </w:rPr>
          <w:tab/>
        </w:r>
        <w:r w:rsidR="00B65B21" w:rsidRPr="0025188C">
          <w:rPr>
            <w:rStyle w:val="Hyperlink"/>
            <w:rFonts w:cs="Open Sans"/>
          </w:rPr>
          <w:t>Secrecy provision</w:t>
        </w:r>
        <w:r w:rsidR="00B65B21">
          <w:rPr>
            <w:webHidden/>
          </w:rPr>
          <w:tab/>
        </w:r>
        <w:r w:rsidR="00B65B21">
          <w:rPr>
            <w:webHidden/>
          </w:rPr>
          <w:fldChar w:fldCharType="begin"/>
        </w:r>
        <w:r w:rsidR="00B65B21">
          <w:rPr>
            <w:webHidden/>
          </w:rPr>
          <w:instrText xml:space="preserve"> PAGEREF _Toc524352513 \h </w:instrText>
        </w:r>
        <w:r w:rsidR="00B65B21">
          <w:rPr>
            <w:webHidden/>
          </w:rPr>
        </w:r>
        <w:r w:rsidR="00B65B21">
          <w:rPr>
            <w:webHidden/>
          </w:rPr>
          <w:fldChar w:fldCharType="separate"/>
        </w:r>
        <w:r>
          <w:rPr>
            <w:webHidden/>
          </w:rPr>
          <w:t>35</w:t>
        </w:r>
        <w:r w:rsidR="00B65B21">
          <w:rPr>
            <w:webHidden/>
          </w:rPr>
          <w:fldChar w:fldCharType="end"/>
        </w:r>
      </w:hyperlink>
    </w:p>
    <w:p w14:paraId="50FF11B5" w14:textId="54E2867C" w:rsidR="00B65B21" w:rsidRDefault="00523FE1">
      <w:pPr>
        <w:pStyle w:val="TOC2"/>
        <w:rPr>
          <w:rFonts w:asciiTheme="minorHAnsi" w:eastAsiaTheme="minorEastAsia" w:hAnsiTheme="minorHAnsi" w:cstheme="minorBidi"/>
          <w:b w:val="0"/>
          <w:i w:val="0"/>
          <w:sz w:val="22"/>
          <w:szCs w:val="22"/>
        </w:rPr>
      </w:pPr>
      <w:hyperlink w:anchor="_Toc524352514" w:history="1">
        <w:r w:rsidR="00B65B21" w:rsidRPr="0025188C">
          <w:rPr>
            <w:rStyle w:val="Hyperlink"/>
            <w:rFonts w:cs="Open Sans"/>
          </w:rPr>
          <w:t>5.6</w:t>
        </w:r>
        <w:r w:rsidR="00B65B21">
          <w:rPr>
            <w:rFonts w:asciiTheme="minorHAnsi" w:eastAsiaTheme="minorEastAsia" w:hAnsiTheme="minorHAnsi" w:cstheme="minorBidi"/>
            <w:b w:val="0"/>
            <w:i w:val="0"/>
            <w:sz w:val="22"/>
            <w:szCs w:val="22"/>
          </w:rPr>
          <w:tab/>
        </w:r>
        <w:r w:rsidR="00B65B21" w:rsidRPr="0025188C">
          <w:rPr>
            <w:rStyle w:val="Hyperlink"/>
            <w:rFonts w:cs="Open Sans"/>
          </w:rPr>
          <w:t>Safeguards, oversight and reporting of assistance scheme</w:t>
        </w:r>
        <w:r w:rsidR="00B65B21">
          <w:rPr>
            <w:webHidden/>
          </w:rPr>
          <w:tab/>
        </w:r>
        <w:r w:rsidR="00B65B21">
          <w:rPr>
            <w:webHidden/>
          </w:rPr>
          <w:fldChar w:fldCharType="begin"/>
        </w:r>
        <w:r w:rsidR="00B65B21">
          <w:rPr>
            <w:webHidden/>
          </w:rPr>
          <w:instrText xml:space="preserve"> PAGEREF _Toc524352514 \h </w:instrText>
        </w:r>
        <w:r w:rsidR="00B65B21">
          <w:rPr>
            <w:webHidden/>
          </w:rPr>
        </w:r>
        <w:r w:rsidR="00B65B21">
          <w:rPr>
            <w:webHidden/>
          </w:rPr>
          <w:fldChar w:fldCharType="separate"/>
        </w:r>
        <w:r>
          <w:rPr>
            <w:webHidden/>
          </w:rPr>
          <w:t>39</w:t>
        </w:r>
        <w:r w:rsidR="00B65B21">
          <w:rPr>
            <w:webHidden/>
          </w:rPr>
          <w:fldChar w:fldCharType="end"/>
        </w:r>
      </w:hyperlink>
    </w:p>
    <w:p w14:paraId="64572983" w14:textId="7F2F65AE" w:rsidR="00B65B21" w:rsidRDefault="00523FE1">
      <w:pPr>
        <w:pStyle w:val="TOC1"/>
        <w:rPr>
          <w:rFonts w:asciiTheme="minorHAnsi" w:eastAsiaTheme="minorEastAsia" w:hAnsiTheme="minorHAnsi" w:cstheme="minorBidi"/>
          <w:b w:val="0"/>
          <w:sz w:val="22"/>
          <w:szCs w:val="22"/>
        </w:rPr>
      </w:pPr>
      <w:hyperlink w:anchor="_Toc524352515" w:history="1">
        <w:r w:rsidR="00B65B21" w:rsidRPr="0025188C">
          <w:rPr>
            <w:rStyle w:val="Hyperlink"/>
            <w:rFonts w:cs="Open Sans"/>
          </w:rPr>
          <w:t>6</w:t>
        </w:r>
        <w:r w:rsidR="00B65B21">
          <w:rPr>
            <w:rFonts w:asciiTheme="minorHAnsi" w:eastAsiaTheme="minorEastAsia" w:hAnsiTheme="minorHAnsi" w:cstheme="minorBidi"/>
            <w:b w:val="0"/>
            <w:sz w:val="22"/>
            <w:szCs w:val="22"/>
          </w:rPr>
          <w:tab/>
        </w:r>
        <w:r w:rsidR="00B65B21" w:rsidRPr="0025188C">
          <w:rPr>
            <w:rStyle w:val="Hyperlink"/>
            <w:rFonts w:cs="Open Sans"/>
          </w:rPr>
          <w:t>Key human rights concerns: warrant powers</w:t>
        </w:r>
        <w:r w:rsidR="00B65B21">
          <w:rPr>
            <w:webHidden/>
          </w:rPr>
          <w:tab/>
        </w:r>
        <w:r w:rsidR="00B65B21">
          <w:rPr>
            <w:webHidden/>
          </w:rPr>
          <w:fldChar w:fldCharType="begin"/>
        </w:r>
        <w:r w:rsidR="00B65B21">
          <w:rPr>
            <w:webHidden/>
          </w:rPr>
          <w:instrText xml:space="preserve"> PAGEREF _Toc524352515 \h </w:instrText>
        </w:r>
        <w:r w:rsidR="00B65B21">
          <w:rPr>
            <w:webHidden/>
          </w:rPr>
        </w:r>
        <w:r w:rsidR="00B65B21">
          <w:rPr>
            <w:webHidden/>
          </w:rPr>
          <w:fldChar w:fldCharType="separate"/>
        </w:r>
        <w:r>
          <w:rPr>
            <w:webHidden/>
          </w:rPr>
          <w:t>44</w:t>
        </w:r>
        <w:r w:rsidR="00B65B21">
          <w:rPr>
            <w:webHidden/>
          </w:rPr>
          <w:fldChar w:fldCharType="end"/>
        </w:r>
      </w:hyperlink>
    </w:p>
    <w:p w14:paraId="7EE081D8" w14:textId="7BF310B7" w:rsidR="00B65B21" w:rsidRDefault="00523FE1">
      <w:pPr>
        <w:pStyle w:val="TOC2"/>
        <w:rPr>
          <w:rFonts w:asciiTheme="minorHAnsi" w:eastAsiaTheme="minorEastAsia" w:hAnsiTheme="minorHAnsi" w:cstheme="minorBidi"/>
          <w:b w:val="0"/>
          <w:i w:val="0"/>
          <w:sz w:val="22"/>
          <w:szCs w:val="22"/>
        </w:rPr>
      </w:pPr>
      <w:hyperlink w:anchor="_Toc524352516" w:history="1">
        <w:r w:rsidR="00B65B21" w:rsidRPr="0025188C">
          <w:rPr>
            <w:rStyle w:val="Hyperlink"/>
            <w:rFonts w:cs="Open Sans"/>
          </w:rPr>
          <w:t>6.1</w:t>
        </w:r>
        <w:r w:rsidR="00B65B21">
          <w:rPr>
            <w:rFonts w:asciiTheme="minorHAnsi" w:eastAsiaTheme="minorEastAsia" w:hAnsiTheme="minorHAnsi" w:cstheme="minorBidi"/>
            <w:b w:val="0"/>
            <w:i w:val="0"/>
            <w:sz w:val="22"/>
            <w:szCs w:val="22"/>
          </w:rPr>
          <w:tab/>
        </w:r>
        <w:r w:rsidR="00B65B21" w:rsidRPr="0025188C">
          <w:rPr>
            <w:rStyle w:val="Hyperlink"/>
            <w:rFonts w:cs="Open Sans"/>
          </w:rPr>
          <w:t>Computer access warrants</w:t>
        </w:r>
        <w:r w:rsidR="00B65B21">
          <w:rPr>
            <w:webHidden/>
          </w:rPr>
          <w:tab/>
        </w:r>
        <w:r w:rsidR="00B65B21">
          <w:rPr>
            <w:webHidden/>
          </w:rPr>
          <w:fldChar w:fldCharType="begin"/>
        </w:r>
        <w:r w:rsidR="00B65B21">
          <w:rPr>
            <w:webHidden/>
          </w:rPr>
          <w:instrText xml:space="preserve"> PAGEREF _Toc524352516 \h </w:instrText>
        </w:r>
        <w:r w:rsidR="00B65B21">
          <w:rPr>
            <w:webHidden/>
          </w:rPr>
        </w:r>
        <w:r w:rsidR="00B65B21">
          <w:rPr>
            <w:webHidden/>
          </w:rPr>
          <w:fldChar w:fldCharType="separate"/>
        </w:r>
        <w:r>
          <w:rPr>
            <w:webHidden/>
          </w:rPr>
          <w:t>44</w:t>
        </w:r>
        <w:r w:rsidR="00B65B21">
          <w:rPr>
            <w:webHidden/>
          </w:rPr>
          <w:fldChar w:fldCharType="end"/>
        </w:r>
      </w:hyperlink>
    </w:p>
    <w:p w14:paraId="05E233F5" w14:textId="2B555077" w:rsidR="00B65B21" w:rsidRDefault="00523FE1">
      <w:pPr>
        <w:pStyle w:val="TOC3"/>
        <w:rPr>
          <w:rFonts w:asciiTheme="minorHAnsi" w:eastAsiaTheme="minorEastAsia" w:hAnsiTheme="minorHAnsi" w:cstheme="minorBidi"/>
          <w:i w:val="0"/>
          <w:sz w:val="22"/>
          <w:szCs w:val="22"/>
        </w:rPr>
      </w:pPr>
      <w:hyperlink w:anchor="_Toc524352517" w:history="1">
        <w:r w:rsidR="00B65B21" w:rsidRPr="0025188C">
          <w:rPr>
            <w:rStyle w:val="Hyperlink"/>
            <w:rFonts w:cs="Open Sans"/>
          </w:rPr>
          <w:t>(a)</w:t>
        </w:r>
        <w:r w:rsidR="00B65B21">
          <w:rPr>
            <w:rFonts w:asciiTheme="minorHAnsi" w:eastAsiaTheme="minorEastAsia" w:hAnsiTheme="minorHAnsi" w:cstheme="minorBidi"/>
            <w:i w:val="0"/>
            <w:sz w:val="22"/>
            <w:szCs w:val="22"/>
          </w:rPr>
          <w:tab/>
        </w:r>
        <w:r w:rsidR="00B65B21" w:rsidRPr="0025188C">
          <w:rPr>
            <w:rStyle w:val="Hyperlink"/>
            <w:rFonts w:cs="Open Sans"/>
          </w:rPr>
          <w:t>Access to third party computers, communications and premises</w:t>
        </w:r>
        <w:r w:rsidR="00B65B21">
          <w:rPr>
            <w:webHidden/>
          </w:rPr>
          <w:tab/>
        </w:r>
        <w:r w:rsidR="00B65B21">
          <w:rPr>
            <w:webHidden/>
          </w:rPr>
          <w:fldChar w:fldCharType="begin"/>
        </w:r>
        <w:r w:rsidR="00B65B21">
          <w:rPr>
            <w:webHidden/>
          </w:rPr>
          <w:instrText xml:space="preserve"> PAGEREF _Toc524352517 \h </w:instrText>
        </w:r>
        <w:r w:rsidR="00B65B21">
          <w:rPr>
            <w:webHidden/>
          </w:rPr>
        </w:r>
        <w:r w:rsidR="00B65B21">
          <w:rPr>
            <w:webHidden/>
          </w:rPr>
          <w:fldChar w:fldCharType="separate"/>
        </w:r>
        <w:r>
          <w:rPr>
            <w:webHidden/>
          </w:rPr>
          <w:t>46</w:t>
        </w:r>
        <w:r w:rsidR="00B65B21">
          <w:rPr>
            <w:webHidden/>
          </w:rPr>
          <w:fldChar w:fldCharType="end"/>
        </w:r>
      </w:hyperlink>
    </w:p>
    <w:p w14:paraId="51EFF47A" w14:textId="34DC0B7B" w:rsidR="00B65B21" w:rsidRDefault="00523FE1">
      <w:pPr>
        <w:pStyle w:val="TOC2"/>
        <w:rPr>
          <w:rFonts w:asciiTheme="minorHAnsi" w:eastAsiaTheme="minorEastAsia" w:hAnsiTheme="minorHAnsi" w:cstheme="minorBidi"/>
          <w:b w:val="0"/>
          <w:i w:val="0"/>
          <w:sz w:val="22"/>
          <w:szCs w:val="22"/>
        </w:rPr>
      </w:pPr>
      <w:hyperlink w:anchor="_Toc524352518" w:history="1">
        <w:r w:rsidR="00B65B21" w:rsidRPr="0025188C">
          <w:rPr>
            <w:rStyle w:val="Hyperlink"/>
            <w:rFonts w:cs="Open Sans"/>
          </w:rPr>
          <w:t>6.2</w:t>
        </w:r>
        <w:r w:rsidR="00B65B21">
          <w:rPr>
            <w:rFonts w:asciiTheme="minorHAnsi" w:eastAsiaTheme="minorEastAsia" w:hAnsiTheme="minorHAnsi" w:cstheme="minorBidi"/>
            <w:b w:val="0"/>
            <w:i w:val="0"/>
            <w:sz w:val="22"/>
            <w:szCs w:val="22"/>
          </w:rPr>
          <w:tab/>
        </w:r>
        <w:r w:rsidR="00B65B21" w:rsidRPr="0025188C">
          <w:rPr>
            <w:rStyle w:val="Hyperlink"/>
            <w:rFonts w:cs="Open Sans"/>
          </w:rPr>
          <w:t>Concealment of access provisions</w:t>
        </w:r>
        <w:r w:rsidR="00B65B21">
          <w:rPr>
            <w:webHidden/>
          </w:rPr>
          <w:tab/>
        </w:r>
        <w:r w:rsidR="00B65B21">
          <w:rPr>
            <w:webHidden/>
          </w:rPr>
          <w:fldChar w:fldCharType="begin"/>
        </w:r>
        <w:r w:rsidR="00B65B21">
          <w:rPr>
            <w:webHidden/>
          </w:rPr>
          <w:instrText xml:space="preserve"> PAGEREF _Toc524352518 \h </w:instrText>
        </w:r>
        <w:r w:rsidR="00B65B21">
          <w:rPr>
            <w:webHidden/>
          </w:rPr>
        </w:r>
        <w:r w:rsidR="00B65B21">
          <w:rPr>
            <w:webHidden/>
          </w:rPr>
          <w:fldChar w:fldCharType="separate"/>
        </w:r>
        <w:r>
          <w:rPr>
            <w:webHidden/>
          </w:rPr>
          <w:t>49</w:t>
        </w:r>
        <w:r w:rsidR="00B65B21">
          <w:rPr>
            <w:webHidden/>
          </w:rPr>
          <w:fldChar w:fldCharType="end"/>
        </w:r>
      </w:hyperlink>
    </w:p>
    <w:p w14:paraId="7D82C82E" w14:textId="4162C743" w:rsidR="00B65B21" w:rsidRDefault="00523FE1">
      <w:pPr>
        <w:pStyle w:val="TOC2"/>
        <w:rPr>
          <w:rFonts w:asciiTheme="minorHAnsi" w:eastAsiaTheme="minorEastAsia" w:hAnsiTheme="minorHAnsi" w:cstheme="minorBidi"/>
          <w:b w:val="0"/>
          <w:i w:val="0"/>
          <w:sz w:val="22"/>
          <w:szCs w:val="22"/>
        </w:rPr>
      </w:pPr>
      <w:hyperlink w:anchor="_Toc524352519" w:history="1">
        <w:r w:rsidR="00B65B21" w:rsidRPr="0025188C">
          <w:rPr>
            <w:rStyle w:val="Hyperlink"/>
            <w:rFonts w:cs="Open Sans"/>
          </w:rPr>
          <w:t>6.3</w:t>
        </w:r>
        <w:r w:rsidR="00B65B21">
          <w:rPr>
            <w:rFonts w:asciiTheme="minorHAnsi" w:eastAsiaTheme="minorEastAsia" w:hAnsiTheme="minorHAnsi" w:cstheme="minorBidi"/>
            <w:b w:val="0"/>
            <w:i w:val="0"/>
            <w:sz w:val="22"/>
            <w:szCs w:val="22"/>
          </w:rPr>
          <w:tab/>
        </w:r>
        <w:r w:rsidR="00B65B21" w:rsidRPr="0025188C">
          <w:rPr>
            <w:rStyle w:val="Hyperlink"/>
            <w:rFonts w:cs="Open Sans"/>
          </w:rPr>
          <w:t>Ancillary interception powers</w:t>
        </w:r>
        <w:r w:rsidR="00B65B21">
          <w:rPr>
            <w:webHidden/>
          </w:rPr>
          <w:tab/>
        </w:r>
        <w:r w:rsidR="00B65B21">
          <w:rPr>
            <w:webHidden/>
          </w:rPr>
          <w:fldChar w:fldCharType="begin"/>
        </w:r>
        <w:r w:rsidR="00B65B21">
          <w:rPr>
            <w:webHidden/>
          </w:rPr>
          <w:instrText xml:space="preserve"> PAGEREF _Toc524352519 \h </w:instrText>
        </w:r>
        <w:r w:rsidR="00B65B21">
          <w:rPr>
            <w:webHidden/>
          </w:rPr>
        </w:r>
        <w:r w:rsidR="00B65B21">
          <w:rPr>
            <w:webHidden/>
          </w:rPr>
          <w:fldChar w:fldCharType="separate"/>
        </w:r>
        <w:r>
          <w:rPr>
            <w:webHidden/>
          </w:rPr>
          <w:t>51</w:t>
        </w:r>
        <w:r w:rsidR="00B65B21">
          <w:rPr>
            <w:webHidden/>
          </w:rPr>
          <w:fldChar w:fldCharType="end"/>
        </w:r>
      </w:hyperlink>
    </w:p>
    <w:p w14:paraId="1D468114" w14:textId="172E2CEF" w:rsidR="00B65B21" w:rsidRDefault="00523FE1">
      <w:pPr>
        <w:pStyle w:val="TOC2"/>
        <w:rPr>
          <w:rFonts w:asciiTheme="minorHAnsi" w:eastAsiaTheme="minorEastAsia" w:hAnsiTheme="minorHAnsi" w:cstheme="minorBidi"/>
          <w:b w:val="0"/>
          <w:i w:val="0"/>
          <w:sz w:val="22"/>
          <w:szCs w:val="22"/>
        </w:rPr>
      </w:pPr>
      <w:hyperlink w:anchor="_Toc524352520" w:history="1">
        <w:r w:rsidR="00B65B21" w:rsidRPr="0025188C">
          <w:rPr>
            <w:rStyle w:val="Hyperlink"/>
            <w:rFonts w:cs="Open Sans"/>
          </w:rPr>
          <w:t>6.4</w:t>
        </w:r>
        <w:r w:rsidR="00B65B21">
          <w:rPr>
            <w:rFonts w:asciiTheme="minorHAnsi" w:eastAsiaTheme="minorEastAsia" w:hAnsiTheme="minorHAnsi" w:cstheme="minorBidi"/>
            <w:b w:val="0"/>
            <w:i w:val="0"/>
            <w:sz w:val="22"/>
            <w:szCs w:val="22"/>
          </w:rPr>
          <w:tab/>
        </w:r>
        <w:r w:rsidR="00B65B21" w:rsidRPr="0025188C">
          <w:rPr>
            <w:rStyle w:val="Hyperlink"/>
            <w:rFonts w:cs="Open Sans"/>
          </w:rPr>
          <w:t>Assistance orders</w:t>
        </w:r>
        <w:r w:rsidR="00B65B21">
          <w:rPr>
            <w:webHidden/>
          </w:rPr>
          <w:tab/>
        </w:r>
        <w:r w:rsidR="00B65B21">
          <w:rPr>
            <w:webHidden/>
          </w:rPr>
          <w:fldChar w:fldCharType="begin"/>
        </w:r>
        <w:r w:rsidR="00B65B21">
          <w:rPr>
            <w:webHidden/>
          </w:rPr>
          <w:instrText xml:space="preserve"> PAGEREF _Toc524352520 \h </w:instrText>
        </w:r>
        <w:r w:rsidR="00B65B21">
          <w:rPr>
            <w:webHidden/>
          </w:rPr>
        </w:r>
        <w:r w:rsidR="00B65B21">
          <w:rPr>
            <w:webHidden/>
          </w:rPr>
          <w:fldChar w:fldCharType="separate"/>
        </w:r>
        <w:r>
          <w:rPr>
            <w:webHidden/>
          </w:rPr>
          <w:t>54</w:t>
        </w:r>
        <w:r w:rsidR="00B65B21">
          <w:rPr>
            <w:webHidden/>
          </w:rPr>
          <w:fldChar w:fldCharType="end"/>
        </w:r>
      </w:hyperlink>
    </w:p>
    <w:p w14:paraId="34D29330" w14:textId="4F18041B" w:rsidR="00B65B21" w:rsidRDefault="00523FE1">
      <w:pPr>
        <w:pStyle w:val="TOC3"/>
        <w:rPr>
          <w:rFonts w:asciiTheme="minorHAnsi" w:eastAsiaTheme="minorEastAsia" w:hAnsiTheme="minorHAnsi" w:cstheme="minorBidi"/>
          <w:i w:val="0"/>
          <w:sz w:val="22"/>
          <w:szCs w:val="22"/>
        </w:rPr>
      </w:pPr>
      <w:hyperlink w:anchor="_Toc524352521" w:history="1">
        <w:r w:rsidR="00B65B21" w:rsidRPr="0025188C">
          <w:rPr>
            <w:rStyle w:val="Hyperlink"/>
            <w:rFonts w:cs="Open Sans"/>
          </w:rPr>
          <w:t>(a)</w:t>
        </w:r>
        <w:r w:rsidR="00B65B21">
          <w:rPr>
            <w:rFonts w:asciiTheme="minorHAnsi" w:eastAsiaTheme="minorEastAsia" w:hAnsiTheme="minorHAnsi" w:cstheme="minorBidi"/>
            <w:i w:val="0"/>
            <w:sz w:val="22"/>
            <w:szCs w:val="22"/>
          </w:rPr>
          <w:tab/>
        </w:r>
        <w:r w:rsidR="00B65B21" w:rsidRPr="0025188C">
          <w:rPr>
            <w:rStyle w:val="Hyperlink"/>
            <w:rFonts w:cs="Open Sans"/>
          </w:rPr>
          <w:t>Disproportionality of increased penalty provisions</w:t>
        </w:r>
        <w:r w:rsidR="00B65B21">
          <w:rPr>
            <w:webHidden/>
          </w:rPr>
          <w:tab/>
        </w:r>
        <w:r w:rsidR="00B65B21">
          <w:rPr>
            <w:webHidden/>
          </w:rPr>
          <w:fldChar w:fldCharType="begin"/>
        </w:r>
        <w:r w:rsidR="00B65B21">
          <w:rPr>
            <w:webHidden/>
          </w:rPr>
          <w:instrText xml:space="preserve"> PAGEREF _Toc524352521 \h </w:instrText>
        </w:r>
        <w:r w:rsidR="00B65B21">
          <w:rPr>
            <w:webHidden/>
          </w:rPr>
        </w:r>
        <w:r w:rsidR="00B65B21">
          <w:rPr>
            <w:webHidden/>
          </w:rPr>
          <w:fldChar w:fldCharType="separate"/>
        </w:r>
        <w:r>
          <w:rPr>
            <w:webHidden/>
          </w:rPr>
          <w:t>56</w:t>
        </w:r>
        <w:r w:rsidR="00B65B21">
          <w:rPr>
            <w:webHidden/>
          </w:rPr>
          <w:fldChar w:fldCharType="end"/>
        </w:r>
      </w:hyperlink>
    </w:p>
    <w:p w14:paraId="0D6577C0" w14:textId="4599EA02" w:rsidR="00B65B21" w:rsidRDefault="00523FE1">
      <w:pPr>
        <w:pStyle w:val="TOC3"/>
        <w:rPr>
          <w:rFonts w:asciiTheme="minorHAnsi" w:eastAsiaTheme="minorEastAsia" w:hAnsiTheme="minorHAnsi" w:cstheme="minorBidi"/>
          <w:i w:val="0"/>
          <w:sz w:val="22"/>
          <w:szCs w:val="22"/>
        </w:rPr>
      </w:pPr>
      <w:hyperlink w:anchor="_Toc524352522" w:history="1">
        <w:r w:rsidR="00B65B21" w:rsidRPr="0025188C">
          <w:rPr>
            <w:rStyle w:val="Hyperlink"/>
            <w:rFonts w:cs="Open Sans"/>
          </w:rPr>
          <w:t>(b)</w:t>
        </w:r>
        <w:r w:rsidR="00B65B21">
          <w:rPr>
            <w:rFonts w:asciiTheme="minorHAnsi" w:eastAsiaTheme="minorEastAsia" w:hAnsiTheme="minorHAnsi" w:cstheme="minorBidi"/>
            <w:i w:val="0"/>
            <w:sz w:val="22"/>
            <w:szCs w:val="22"/>
          </w:rPr>
          <w:tab/>
        </w:r>
        <w:r w:rsidR="00B65B21" w:rsidRPr="0025188C">
          <w:rPr>
            <w:rStyle w:val="Hyperlink"/>
            <w:rFonts w:cs="Open Sans"/>
          </w:rPr>
          <w:t>Privilege against self-incrimination</w:t>
        </w:r>
        <w:r w:rsidR="00B65B21">
          <w:rPr>
            <w:webHidden/>
          </w:rPr>
          <w:tab/>
        </w:r>
        <w:r w:rsidR="00B65B21">
          <w:rPr>
            <w:webHidden/>
          </w:rPr>
          <w:fldChar w:fldCharType="begin"/>
        </w:r>
        <w:r w:rsidR="00B65B21">
          <w:rPr>
            <w:webHidden/>
          </w:rPr>
          <w:instrText xml:space="preserve"> PAGEREF _Toc524352522 \h </w:instrText>
        </w:r>
        <w:r w:rsidR="00B65B21">
          <w:rPr>
            <w:webHidden/>
          </w:rPr>
        </w:r>
        <w:r w:rsidR="00B65B21">
          <w:rPr>
            <w:webHidden/>
          </w:rPr>
          <w:fldChar w:fldCharType="separate"/>
        </w:r>
        <w:r>
          <w:rPr>
            <w:webHidden/>
          </w:rPr>
          <w:t>57</w:t>
        </w:r>
        <w:r w:rsidR="00B65B21">
          <w:rPr>
            <w:webHidden/>
          </w:rPr>
          <w:fldChar w:fldCharType="end"/>
        </w:r>
      </w:hyperlink>
    </w:p>
    <w:p w14:paraId="08AFB607" w14:textId="3FBAD943" w:rsidR="00B65B21" w:rsidRDefault="00523FE1">
      <w:pPr>
        <w:pStyle w:val="TOC1"/>
        <w:rPr>
          <w:rStyle w:val="Hyperlink"/>
        </w:rPr>
      </w:pPr>
      <w:hyperlink w:anchor="_Toc524352523" w:history="1">
        <w:r w:rsidR="00B65B21" w:rsidRPr="0025188C">
          <w:rPr>
            <w:rStyle w:val="Hyperlink"/>
            <w:rFonts w:cs="Open Sans"/>
          </w:rPr>
          <w:t>7</w:t>
        </w:r>
        <w:r w:rsidR="00B65B21">
          <w:rPr>
            <w:rFonts w:asciiTheme="minorHAnsi" w:eastAsiaTheme="minorEastAsia" w:hAnsiTheme="minorHAnsi" w:cstheme="minorBidi"/>
            <w:b w:val="0"/>
            <w:sz w:val="22"/>
            <w:szCs w:val="22"/>
          </w:rPr>
          <w:tab/>
        </w:r>
        <w:r w:rsidR="00B65B21" w:rsidRPr="0025188C">
          <w:rPr>
            <w:rStyle w:val="Hyperlink"/>
            <w:rFonts w:cs="Open Sans"/>
          </w:rPr>
          <w:t>List of recommendations</w:t>
        </w:r>
        <w:r w:rsidR="00B65B21">
          <w:rPr>
            <w:webHidden/>
          </w:rPr>
          <w:tab/>
        </w:r>
        <w:r w:rsidR="00B65B21">
          <w:rPr>
            <w:webHidden/>
          </w:rPr>
          <w:fldChar w:fldCharType="begin"/>
        </w:r>
        <w:r w:rsidR="00B65B21">
          <w:rPr>
            <w:webHidden/>
          </w:rPr>
          <w:instrText xml:space="preserve"> PAGEREF _Toc524352523 \h </w:instrText>
        </w:r>
        <w:r w:rsidR="00B65B21">
          <w:rPr>
            <w:webHidden/>
          </w:rPr>
        </w:r>
        <w:r w:rsidR="00B65B21">
          <w:rPr>
            <w:webHidden/>
          </w:rPr>
          <w:fldChar w:fldCharType="separate"/>
        </w:r>
        <w:r>
          <w:rPr>
            <w:webHidden/>
          </w:rPr>
          <w:t>60</w:t>
        </w:r>
        <w:r w:rsidR="00B65B21">
          <w:rPr>
            <w:webHidden/>
          </w:rPr>
          <w:fldChar w:fldCharType="end"/>
        </w:r>
      </w:hyperlink>
    </w:p>
    <w:p w14:paraId="528331EB" w14:textId="77777777" w:rsidR="00B65B21" w:rsidRDefault="00B65B21">
      <w:pPr>
        <w:rPr>
          <w:rStyle w:val="Hyperlink"/>
          <w:b/>
          <w:noProof/>
        </w:rPr>
      </w:pPr>
      <w:r>
        <w:rPr>
          <w:rStyle w:val="Hyperlink"/>
        </w:rPr>
        <w:br w:type="page"/>
      </w:r>
    </w:p>
    <w:p w14:paraId="1FD01CE4" w14:textId="1DC6FD34" w:rsidR="00510390" w:rsidRPr="00AA1A20" w:rsidRDefault="000B5B68" w:rsidP="00920BEA">
      <w:pPr>
        <w:pStyle w:val="Heading1"/>
        <w:rPr>
          <w:rFonts w:cs="Open Sans"/>
        </w:rPr>
      </w:pPr>
      <w:r w:rsidRPr="00AA1A20">
        <w:rPr>
          <w:rFonts w:cs="Open Sans"/>
        </w:rPr>
        <w:lastRenderedPageBreak/>
        <w:fldChar w:fldCharType="end"/>
      </w:r>
      <w:bookmarkStart w:id="54" w:name="_Toc524352492"/>
      <w:r w:rsidR="00920BEA" w:rsidRPr="00AA1A20">
        <w:rPr>
          <w:rFonts w:cs="Open Sans"/>
        </w:rPr>
        <w:t>Executive summary</w:t>
      </w:r>
      <w:bookmarkEnd w:id="54"/>
    </w:p>
    <w:p w14:paraId="0DF12522" w14:textId="77777777" w:rsidR="00FC1720" w:rsidRPr="00AA1A20" w:rsidRDefault="00FC1720" w:rsidP="00FC1720">
      <w:pPr>
        <w:pStyle w:val="ListNumber"/>
        <w:tabs>
          <w:tab w:val="clear" w:pos="360"/>
          <w:tab w:val="num" w:pos="993"/>
          <w:tab w:val="left" w:pos="1418"/>
        </w:tabs>
        <w:ind w:left="709" w:hanging="567"/>
        <w:rPr>
          <w:rFonts w:cs="Open Sans"/>
        </w:rPr>
      </w:pPr>
      <w:r w:rsidRPr="00AA1A20">
        <w:rPr>
          <w:rFonts w:cs="Open Sans"/>
        </w:rPr>
        <w:t>The Australian Human Right Commission (the Commission) makes this submission to the Department of Home Affairs (the Department), in response to the exposure draft of the Telecommunications and other Legislation Amendment (Assistance and Access) Bill 2018 (Cth) (the draft Bill).</w:t>
      </w:r>
    </w:p>
    <w:p w14:paraId="772A35B5" w14:textId="22A6BA07" w:rsidR="00CE04D1" w:rsidRPr="00AA1A20" w:rsidRDefault="00FC1720" w:rsidP="00FC1720">
      <w:pPr>
        <w:pStyle w:val="ListNumber"/>
        <w:tabs>
          <w:tab w:val="clear" w:pos="360"/>
          <w:tab w:val="num" w:pos="993"/>
          <w:tab w:val="left" w:pos="1418"/>
        </w:tabs>
        <w:ind w:left="709" w:hanging="567"/>
        <w:rPr>
          <w:rFonts w:cs="Open Sans"/>
        </w:rPr>
      </w:pPr>
      <w:r w:rsidRPr="00AA1A20">
        <w:rPr>
          <w:rFonts w:cs="Open Sans"/>
        </w:rPr>
        <w:t xml:space="preserve">The </w:t>
      </w:r>
      <w:r w:rsidR="00C81F56" w:rsidRPr="00AA1A20">
        <w:rPr>
          <w:rFonts w:cs="Open Sans"/>
        </w:rPr>
        <w:t xml:space="preserve">stated purpose of the </w:t>
      </w:r>
      <w:r w:rsidRPr="00AA1A20">
        <w:rPr>
          <w:rFonts w:cs="Open Sans"/>
        </w:rPr>
        <w:t xml:space="preserve">draft Bill </w:t>
      </w:r>
      <w:r w:rsidR="00C81F56" w:rsidRPr="00AA1A20">
        <w:rPr>
          <w:rFonts w:cs="Open Sans"/>
        </w:rPr>
        <w:t xml:space="preserve">is to </w:t>
      </w:r>
      <w:r w:rsidRPr="00AA1A20">
        <w:rPr>
          <w:rFonts w:cs="Open Sans"/>
        </w:rPr>
        <w:t>provi</w:t>
      </w:r>
      <w:r w:rsidR="00C81F56" w:rsidRPr="00AA1A20">
        <w:rPr>
          <w:rFonts w:cs="Open Sans"/>
        </w:rPr>
        <w:t>de</w:t>
      </w:r>
      <w:r w:rsidRPr="00AA1A20">
        <w:rPr>
          <w:rFonts w:cs="Open Sans"/>
        </w:rPr>
        <w:t xml:space="preserve"> national security and law enforcement agencies with powers to respond to </w:t>
      </w:r>
      <w:r w:rsidR="00E4310A" w:rsidRPr="00AA1A20">
        <w:rPr>
          <w:rFonts w:cs="Open Sans"/>
        </w:rPr>
        <w:t>the c</w:t>
      </w:r>
      <w:r w:rsidRPr="00AA1A20">
        <w:rPr>
          <w:rFonts w:cs="Open Sans"/>
        </w:rPr>
        <w:t xml:space="preserve">hallenges posed by </w:t>
      </w:r>
      <w:r w:rsidR="00E4310A" w:rsidRPr="00AA1A20">
        <w:rPr>
          <w:rFonts w:cs="Open Sans"/>
        </w:rPr>
        <w:t xml:space="preserve">the use of </w:t>
      </w:r>
      <w:r w:rsidRPr="00AA1A20">
        <w:rPr>
          <w:rFonts w:cs="Open Sans"/>
          <w:lang w:val="en-US"/>
        </w:rPr>
        <w:t>encrypted</w:t>
      </w:r>
      <w:r w:rsidR="00C81F56" w:rsidRPr="00AA1A20">
        <w:rPr>
          <w:rFonts w:cs="Open Sans"/>
        </w:rPr>
        <w:t xml:space="preserve"> communications </w:t>
      </w:r>
      <w:r w:rsidR="00E4310A" w:rsidRPr="00AA1A20">
        <w:rPr>
          <w:rFonts w:cs="Open Sans"/>
        </w:rPr>
        <w:t xml:space="preserve">and </w:t>
      </w:r>
      <w:r w:rsidR="00C81F56" w:rsidRPr="00AA1A20">
        <w:rPr>
          <w:rFonts w:cs="Open Sans"/>
        </w:rPr>
        <w:t>devices.</w:t>
      </w:r>
      <w:r w:rsidR="00CE04D1" w:rsidRPr="00E030D4">
        <w:rPr>
          <w:rStyle w:val="EndnoteReference"/>
          <w:vertAlign w:val="superscript"/>
        </w:rPr>
        <w:endnoteReference w:id="2"/>
      </w:r>
      <w:r w:rsidR="00CE04D1" w:rsidRPr="00AA1A20">
        <w:rPr>
          <w:rFonts w:cs="Open Sans"/>
        </w:rPr>
        <w:t xml:space="preserve"> To this end, the draft Bill creates a new scheme that compels communications providers to assist national security and law enforcement agencies, introduces a new covert computer access warrant, and strengthens existing search and seizure powers under warrant. </w:t>
      </w:r>
    </w:p>
    <w:p w14:paraId="295B4EFA" w14:textId="64A6241F" w:rsidR="00CE04D1" w:rsidRPr="00AA1A20" w:rsidRDefault="00CE04D1" w:rsidP="00FC1720">
      <w:pPr>
        <w:pStyle w:val="ListNumber"/>
        <w:tabs>
          <w:tab w:val="clear" w:pos="360"/>
          <w:tab w:val="num" w:pos="993"/>
          <w:tab w:val="left" w:pos="1418"/>
        </w:tabs>
        <w:ind w:left="709" w:hanging="567"/>
        <w:rPr>
          <w:rFonts w:cs="Open Sans"/>
        </w:rPr>
      </w:pPr>
      <w:r w:rsidRPr="00AA1A20">
        <w:rPr>
          <w:rFonts w:cs="Open Sans"/>
        </w:rPr>
        <w:t>The Commission welcomes the opportunity for public consultation on the exposure draft, and commends the detailed explanatory document provided by the Department to facilitate public comment.</w:t>
      </w:r>
      <w:r w:rsidRPr="00E030D4">
        <w:rPr>
          <w:rStyle w:val="EndnoteReference"/>
          <w:vertAlign w:val="superscript"/>
        </w:rPr>
        <w:endnoteReference w:id="3"/>
      </w:r>
      <w:r w:rsidRPr="00AA1A20">
        <w:rPr>
          <w:rFonts w:cs="Open Sans"/>
        </w:rPr>
        <w:t xml:space="preserve"> </w:t>
      </w:r>
    </w:p>
    <w:p w14:paraId="52D87690" w14:textId="72FA70F8" w:rsidR="00CE04D1" w:rsidRPr="00AA1A20" w:rsidRDefault="00CE04D1" w:rsidP="004F4835">
      <w:pPr>
        <w:pStyle w:val="ListNumber"/>
        <w:tabs>
          <w:tab w:val="clear" w:pos="360"/>
          <w:tab w:val="num" w:pos="993"/>
          <w:tab w:val="left" w:pos="1418"/>
        </w:tabs>
        <w:ind w:left="709" w:hanging="567"/>
        <w:rPr>
          <w:rFonts w:cs="Open Sans"/>
        </w:rPr>
      </w:pPr>
      <w:r w:rsidRPr="00AA1A20">
        <w:rPr>
          <w:rFonts w:cs="Open Sans"/>
        </w:rPr>
        <w:t>In light of the short timeframe for the preparation of submissions in this consultation process, and the length and complexity of the draft Bill, this submission is not exhaustive. Rather, it draws attention to the key human rights concerns identified by the Commission to date. The submission is based on the Commission’s understanding of the impacts of the draft Bill, noting that the Commission’s technological expertise is limited.</w:t>
      </w:r>
    </w:p>
    <w:p w14:paraId="02F3285A" w14:textId="29864B4B" w:rsidR="00CE04D1" w:rsidRPr="00AA1A20" w:rsidRDefault="00CE04D1" w:rsidP="00FC1720">
      <w:pPr>
        <w:pStyle w:val="ListNumber"/>
        <w:tabs>
          <w:tab w:val="clear" w:pos="360"/>
          <w:tab w:val="num" w:pos="993"/>
          <w:tab w:val="left" w:pos="1418"/>
        </w:tabs>
        <w:ind w:left="709" w:hanging="567"/>
        <w:rPr>
          <w:rFonts w:cs="Open Sans"/>
        </w:rPr>
      </w:pPr>
      <w:r w:rsidRPr="00AA1A20">
        <w:rPr>
          <w:rFonts w:cs="Open Sans"/>
        </w:rPr>
        <w:t xml:space="preserve">The Commission acknowledges the critical importance of law enforcement and national security agencies having appropriate powers to carry out their functions. Such powers </w:t>
      </w:r>
      <w:proofErr w:type="gramStart"/>
      <w:r w:rsidRPr="00AA1A20">
        <w:rPr>
          <w:rFonts w:cs="Open Sans"/>
        </w:rPr>
        <w:t>can be used</w:t>
      </w:r>
      <w:proofErr w:type="gramEnd"/>
      <w:r w:rsidRPr="00AA1A20">
        <w:rPr>
          <w:rFonts w:cs="Open Sans"/>
        </w:rPr>
        <w:t xml:space="preserve"> to protect human rights, including the right to life,</w:t>
      </w:r>
      <w:r w:rsidRPr="00E030D4">
        <w:rPr>
          <w:rStyle w:val="EndnoteReference"/>
          <w:vertAlign w:val="superscript"/>
        </w:rPr>
        <w:endnoteReference w:id="4"/>
      </w:r>
      <w:r w:rsidRPr="00AA1A20">
        <w:rPr>
          <w:rFonts w:cs="Open Sans"/>
        </w:rPr>
        <w:t xml:space="preserve"> and help fulfil Australia’s international law obligations.</w:t>
      </w:r>
      <w:r w:rsidRPr="00E030D4">
        <w:rPr>
          <w:rStyle w:val="EndnoteReference"/>
          <w:vertAlign w:val="superscript"/>
        </w:rPr>
        <w:endnoteReference w:id="5"/>
      </w:r>
      <w:r w:rsidRPr="00AA1A20">
        <w:rPr>
          <w:rFonts w:cs="Open Sans"/>
        </w:rPr>
        <w:t xml:space="preserve"> </w:t>
      </w:r>
    </w:p>
    <w:p w14:paraId="455FC19D" w14:textId="5C605CD0" w:rsidR="00CE04D1" w:rsidRPr="00AA1A20" w:rsidRDefault="00CE04D1" w:rsidP="00FC1720">
      <w:pPr>
        <w:pStyle w:val="ListNumber"/>
        <w:tabs>
          <w:tab w:val="clear" w:pos="360"/>
          <w:tab w:val="num" w:pos="993"/>
          <w:tab w:val="left" w:pos="1418"/>
        </w:tabs>
        <w:ind w:left="709" w:hanging="567"/>
        <w:rPr>
          <w:rFonts w:cs="Open Sans"/>
        </w:rPr>
      </w:pPr>
      <w:r w:rsidRPr="00AA1A20">
        <w:rPr>
          <w:rFonts w:cs="Open Sans"/>
        </w:rPr>
        <w:t xml:space="preserve">However, the proposed access and assistance measures also authorise intrusive and covert law enforcement powers that can significantly limit an individual’s rights to privacy and freedom of expression, among other rights. </w:t>
      </w:r>
    </w:p>
    <w:p w14:paraId="0593715E" w14:textId="67FA092C" w:rsidR="00CE04D1" w:rsidRPr="00AA1A20" w:rsidRDefault="00CE04D1" w:rsidP="00FC1720">
      <w:pPr>
        <w:pStyle w:val="ListNumber"/>
        <w:tabs>
          <w:tab w:val="clear" w:pos="360"/>
          <w:tab w:val="num" w:pos="993"/>
          <w:tab w:val="left" w:pos="1418"/>
        </w:tabs>
        <w:ind w:left="709" w:hanging="567"/>
        <w:rPr>
          <w:rFonts w:cs="Open Sans"/>
        </w:rPr>
      </w:pPr>
      <w:r w:rsidRPr="00AA1A20">
        <w:rPr>
          <w:rFonts w:cs="Open Sans"/>
        </w:rPr>
        <w:t xml:space="preserve">Given the interdependent and globalised nature of digital technologies, the reforms not only </w:t>
      </w:r>
      <w:proofErr w:type="gramStart"/>
      <w:r w:rsidRPr="00AA1A20">
        <w:rPr>
          <w:rFonts w:cs="Open Sans"/>
        </w:rPr>
        <w:t>impact</w:t>
      </w:r>
      <w:proofErr w:type="gramEnd"/>
      <w:r w:rsidRPr="00AA1A20">
        <w:rPr>
          <w:rFonts w:cs="Open Sans"/>
        </w:rPr>
        <w:t xml:space="preserve"> the human rights of potential law enforcement targets, but also the human rights of the Australian public at large. </w:t>
      </w:r>
    </w:p>
    <w:p w14:paraId="7ECAB178" w14:textId="416D064E" w:rsidR="00CE04D1" w:rsidRPr="00AA1A20" w:rsidRDefault="00CE04D1" w:rsidP="00BA6C35">
      <w:pPr>
        <w:pStyle w:val="ListNumber"/>
        <w:tabs>
          <w:tab w:val="clear" w:pos="360"/>
          <w:tab w:val="num" w:pos="993"/>
          <w:tab w:val="left" w:pos="1418"/>
        </w:tabs>
        <w:ind w:left="709" w:hanging="567"/>
        <w:rPr>
          <w:rFonts w:cs="Open Sans"/>
        </w:rPr>
      </w:pPr>
      <w:r w:rsidRPr="00AA1A20">
        <w:rPr>
          <w:rFonts w:cs="Open Sans"/>
        </w:rPr>
        <w:t xml:space="preserve">Legislation such as this must enable appropriate cyber intelligence capabilities for government, while at the same time preserving the ability </w:t>
      </w:r>
      <w:r w:rsidRPr="00AA1A20">
        <w:rPr>
          <w:rFonts w:cs="Open Sans"/>
        </w:rPr>
        <w:lastRenderedPageBreak/>
        <w:t xml:space="preserve">of individuals to lead their lives freely and privately. This is a complex challenge, and can involve an </w:t>
      </w:r>
      <w:proofErr w:type="gramStart"/>
      <w:r w:rsidRPr="00AA1A20">
        <w:rPr>
          <w:rFonts w:cs="Open Sans"/>
        </w:rPr>
        <w:t>often delicate</w:t>
      </w:r>
      <w:proofErr w:type="gramEnd"/>
      <w:r w:rsidRPr="00AA1A20">
        <w:rPr>
          <w:rFonts w:cs="Open Sans"/>
        </w:rPr>
        <w:t xml:space="preserve"> balancing process. </w:t>
      </w:r>
    </w:p>
    <w:p w14:paraId="6AAFE1C5" w14:textId="0E97C345" w:rsidR="00CE04D1" w:rsidRPr="00AA1A20" w:rsidRDefault="00CE04D1" w:rsidP="00BA6C35">
      <w:pPr>
        <w:pStyle w:val="ListNumber"/>
        <w:tabs>
          <w:tab w:val="clear" w:pos="360"/>
          <w:tab w:val="num" w:pos="993"/>
          <w:tab w:val="left" w:pos="1418"/>
        </w:tabs>
        <w:ind w:left="709" w:hanging="567"/>
        <w:rPr>
          <w:rFonts w:cs="Open Sans"/>
        </w:rPr>
      </w:pPr>
      <w:r w:rsidRPr="00AA1A20">
        <w:rPr>
          <w:rFonts w:cs="Open Sans"/>
        </w:rPr>
        <w:t xml:space="preserve">International human rights law provides a framework to assess whether this balance </w:t>
      </w:r>
      <w:proofErr w:type="gramStart"/>
      <w:r w:rsidRPr="00AA1A20">
        <w:rPr>
          <w:rFonts w:cs="Open Sans"/>
        </w:rPr>
        <w:t>has been appropriately struck</w:t>
      </w:r>
      <w:proofErr w:type="gramEnd"/>
      <w:r w:rsidRPr="00AA1A20">
        <w:rPr>
          <w:rFonts w:cs="Open Sans"/>
        </w:rPr>
        <w:t xml:space="preserve">. It provides significant scope for governments to provide security and law enforcement agencies with extensive powers, even where they impinge on individual rights and freedoms. However, to be permissible, any limitation on human rights must be clearly expressed, unambiguous in its terms, and a necessary and proportionate response to a legitimate objective. </w:t>
      </w:r>
    </w:p>
    <w:p w14:paraId="30965DE2" w14:textId="1EBCA1EB" w:rsidR="00CE04D1" w:rsidRPr="00AA1A20" w:rsidRDefault="00CE04D1" w:rsidP="00BA6C35">
      <w:pPr>
        <w:pStyle w:val="ListNumber"/>
        <w:tabs>
          <w:tab w:val="clear" w:pos="360"/>
          <w:tab w:val="num" w:pos="993"/>
          <w:tab w:val="left" w:pos="1418"/>
        </w:tabs>
        <w:ind w:left="709" w:hanging="567"/>
        <w:rPr>
          <w:rFonts w:cs="Open Sans"/>
        </w:rPr>
      </w:pPr>
      <w:r w:rsidRPr="00AA1A20">
        <w:rPr>
          <w:rFonts w:cs="Open Sans"/>
        </w:rPr>
        <w:t xml:space="preserve">The Commission holds serious concerns that numerous provisions of the draft Bill do not meet this test. Of particular concern are the proposed breadth of the powers, the ambiguity of certain provisions and the inadequacy of effective safeguards. </w:t>
      </w:r>
    </w:p>
    <w:p w14:paraId="13A1B80B" w14:textId="76902ACE" w:rsidR="00CE04D1" w:rsidRPr="00AA1A20" w:rsidRDefault="00CE04D1" w:rsidP="00E1172A">
      <w:pPr>
        <w:pStyle w:val="ListNumber"/>
        <w:tabs>
          <w:tab w:val="clear" w:pos="360"/>
          <w:tab w:val="num" w:pos="993"/>
          <w:tab w:val="left" w:pos="1418"/>
        </w:tabs>
        <w:ind w:left="709" w:hanging="567"/>
        <w:rPr>
          <w:rFonts w:cs="Open Sans"/>
        </w:rPr>
      </w:pPr>
      <w:r w:rsidRPr="00AA1A20">
        <w:rPr>
          <w:rFonts w:cs="Open Sans"/>
        </w:rPr>
        <w:t>This submission contains 39 recommendations made by the Commission to ameliorate the significant human rights concerns it has identified so far. The Commission’s recommendations are set out throughout the body of the submission, as w</w:t>
      </w:r>
      <w:r w:rsidR="001E0D06">
        <w:rPr>
          <w:rFonts w:cs="Open Sans"/>
        </w:rPr>
        <w:t>ell as in a complete list at P</w:t>
      </w:r>
      <w:r w:rsidRPr="00AA1A20">
        <w:rPr>
          <w:rFonts w:cs="Open Sans"/>
        </w:rPr>
        <w:t>t </w:t>
      </w:r>
      <w:r w:rsidRPr="00AA1A20">
        <w:rPr>
          <w:rFonts w:cs="Open Sans"/>
        </w:rPr>
        <w:fldChar w:fldCharType="begin"/>
      </w:r>
      <w:r w:rsidRPr="00AA1A20">
        <w:rPr>
          <w:rFonts w:cs="Open Sans"/>
        </w:rPr>
        <w:instrText xml:space="preserve"> REF _Ref524082324 \r \h </w:instrText>
      </w:r>
      <w:r>
        <w:rPr>
          <w:rFonts w:cs="Open Sans"/>
        </w:rPr>
        <w:instrText xml:space="preserve"> \* MERGEFORMAT </w:instrText>
      </w:r>
      <w:r w:rsidRPr="00AA1A20">
        <w:rPr>
          <w:rFonts w:cs="Open Sans"/>
        </w:rPr>
      </w:r>
      <w:r w:rsidRPr="00AA1A20">
        <w:rPr>
          <w:rFonts w:cs="Open Sans"/>
        </w:rPr>
        <w:fldChar w:fldCharType="separate"/>
      </w:r>
      <w:r w:rsidR="00523FE1">
        <w:rPr>
          <w:rFonts w:cs="Open Sans"/>
        </w:rPr>
        <w:t>7</w:t>
      </w:r>
      <w:r w:rsidRPr="00AA1A20">
        <w:rPr>
          <w:rFonts w:cs="Open Sans"/>
        </w:rPr>
        <w:fldChar w:fldCharType="end"/>
      </w:r>
      <w:r w:rsidRPr="00AA1A20">
        <w:rPr>
          <w:rFonts w:cs="Open Sans"/>
        </w:rPr>
        <w:t>.</w:t>
      </w:r>
    </w:p>
    <w:p w14:paraId="2F5A15AC" w14:textId="2A63F12A" w:rsidR="00CE04D1" w:rsidRPr="00AA1A20" w:rsidRDefault="00CE04D1" w:rsidP="00771D56">
      <w:pPr>
        <w:pStyle w:val="ListNumber"/>
        <w:tabs>
          <w:tab w:val="clear" w:pos="360"/>
          <w:tab w:val="num" w:pos="993"/>
          <w:tab w:val="left" w:pos="1418"/>
        </w:tabs>
        <w:ind w:left="709" w:hanging="567"/>
        <w:rPr>
          <w:rFonts w:cs="Open Sans"/>
        </w:rPr>
      </w:pPr>
      <w:r w:rsidRPr="00AA1A20">
        <w:rPr>
          <w:rFonts w:cs="Open Sans"/>
        </w:rPr>
        <w:t xml:space="preserve">The Commission considers that the draft Bill </w:t>
      </w:r>
      <w:proofErr w:type="gramStart"/>
      <w:r w:rsidRPr="00AA1A20">
        <w:rPr>
          <w:rFonts w:cs="Open Sans"/>
        </w:rPr>
        <w:t>should be reconsidered and redrafted in a way that strengthens the relevant human rights protections</w:t>
      </w:r>
      <w:proofErr w:type="gramEnd"/>
      <w:r w:rsidRPr="00AA1A20">
        <w:rPr>
          <w:rFonts w:cs="Open Sans"/>
        </w:rPr>
        <w:t xml:space="preserve">. </w:t>
      </w:r>
    </w:p>
    <w:p w14:paraId="7D6D0147" w14:textId="2852C17B" w:rsidR="00CE04D1" w:rsidRPr="00AA1A20" w:rsidRDefault="00CE04D1" w:rsidP="00BA6C35">
      <w:pPr>
        <w:pStyle w:val="ListNumber"/>
        <w:tabs>
          <w:tab w:val="clear" w:pos="360"/>
          <w:tab w:val="num" w:pos="993"/>
          <w:tab w:val="left" w:pos="1418"/>
        </w:tabs>
        <w:ind w:left="709" w:hanging="567"/>
        <w:rPr>
          <w:rFonts w:cs="Open Sans"/>
        </w:rPr>
      </w:pPr>
      <w:r w:rsidRPr="00AA1A20">
        <w:rPr>
          <w:rFonts w:cs="Open Sans"/>
        </w:rPr>
        <w:t xml:space="preserve">Given the complexity of the draft Bill, the Commission urges the Department to allow a further opportunity for public comment. It stresses the importance of further and adequate time </w:t>
      </w:r>
      <w:proofErr w:type="gramStart"/>
      <w:r w:rsidRPr="00AA1A20">
        <w:rPr>
          <w:rFonts w:cs="Open Sans"/>
        </w:rPr>
        <w:t>being provided</w:t>
      </w:r>
      <w:proofErr w:type="gramEnd"/>
      <w:r w:rsidRPr="00AA1A20">
        <w:rPr>
          <w:rFonts w:cs="Open Sans"/>
        </w:rPr>
        <w:t xml:space="preserve"> for revision of the proposed framework in response to public submissions that identify human rights concerns.</w:t>
      </w:r>
    </w:p>
    <w:p w14:paraId="1E6EC81C" w14:textId="67F9C54D" w:rsidR="00CE04D1" w:rsidRPr="00AA1A20" w:rsidRDefault="00CE04D1" w:rsidP="00BA6C35">
      <w:pPr>
        <w:pStyle w:val="ListNumber"/>
        <w:tabs>
          <w:tab w:val="clear" w:pos="360"/>
          <w:tab w:val="num" w:pos="993"/>
          <w:tab w:val="left" w:pos="1418"/>
        </w:tabs>
        <w:ind w:left="709" w:hanging="567"/>
        <w:rPr>
          <w:rFonts w:cs="Open Sans"/>
        </w:rPr>
      </w:pPr>
      <w:r w:rsidRPr="00AA1A20">
        <w:rPr>
          <w:rFonts w:cs="Open Sans"/>
        </w:rPr>
        <w:t>The Commission would welcome the opportunity to provide further input into the development of the legal framework contemplated by the draft Bill.</w:t>
      </w:r>
    </w:p>
    <w:p w14:paraId="6C636169" w14:textId="77777777" w:rsidR="00CE04D1" w:rsidRPr="00AA1A20" w:rsidRDefault="00CE04D1" w:rsidP="008F3148">
      <w:pPr>
        <w:pStyle w:val="Heading1"/>
        <w:tabs>
          <w:tab w:val="clear" w:pos="851"/>
          <w:tab w:val="num" w:pos="873"/>
        </w:tabs>
        <w:rPr>
          <w:rFonts w:cs="Open Sans"/>
        </w:rPr>
      </w:pPr>
      <w:bookmarkStart w:id="55" w:name="_Toc524352493"/>
      <w:r w:rsidRPr="00AA1A20">
        <w:rPr>
          <w:rFonts w:cs="Open Sans"/>
        </w:rPr>
        <w:t>Background</w:t>
      </w:r>
      <w:bookmarkEnd w:id="55"/>
    </w:p>
    <w:p w14:paraId="3B9CE4F8" w14:textId="77777777"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rPr>
        <w:t xml:space="preserve">The evolution of digital technology has offered individuals unprecedented connection, convenience and choice in their everyday lives. </w:t>
      </w:r>
    </w:p>
    <w:p w14:paraId="0D08C042" w14:textId="77777777" w:rsidR="00CE04D1" w:rsidRPr="00AA1A20" w:rsidRDefault="00CE04D1" w:rsidP="004D53BE">
      <w:pPr>
        <w:pStyle w:val="ListNumber"/>
        <w:tabs>
          <w:tab w:val="clear" w:pos="360"/>
          <w:tab w:val="num" w:pos="993"/>
          <w:tab w:val="left" w:pos="1418"/>
        </w:tabs>
        <w:ind w:left="709" w:hanging="567"/>
        <w:rPr>
          <w:rFonts w:cs="Open Sans"/>
        </w:rPr>
      </w:pPr>
      <w:r w:rsidRPr="00AA1A20">
        <w:rPr>
          <w:rFonts w:cs="Open Sans"/>
        </w:rPr>
        <w:t>In particular, information communication technologies have revolutionised our common modes of interaction. For example, messaging applications on smartphones allow users to exchange texts, photos, and other data instantaneously, forming ‘the backbone of digital life for tens of millions of individuals, [and] providing a popular means of communication and access to information’.</w:t>
      </w:r>
      <w:r w:rsidRPr="00E030D4">
        <w:rPr>
          <w:rStyle w:val="EndnoteReference"/>
          <w:vertAlign w:val="superscript"/>
        </w:rPr>
        <w:endnoteReference w:id="6"/>
      </w:r>
    </w:p>
    <w:p w14:paraId="23C4665D" w14:textId="5831F38B" w:rsidR="00CE04D1" w:rsidRPr="00AA1A20" w:rsidRDefault="00CE04D1" w:rsidP="00B03B63">
      <w:pPr>
        <w:pStyle w:val="ListNumber"/>
        <w:tabs>
          <w:tab w:val="clear" w:pos="360"/>
          <w:tab w:val="num" w:pos="993"/>
          <w:tab w:val="left" w:pos="1418"/>
        </w:tabs>
        <w:ind w:left="709" w:hanging="567"/>
        <w:rPr>
          <w:rFonts w:cs="Open Sans"/>
          <w:lang w:val="en"/>
        </w:rPr>
      </w:pPr>
      <w:r w:rsidRPr="00AA1A20">
        <w:rPr>
          <w:rFonts w:cs="Open Sans"/>
        </w:rPr>
        <w:lastRenderedPageBreak/>
        <w:t xml:space="preserve">As well as playing an important and valuable role in the lives of Australians, information communication technologies can be a means of realising the right to privacy and freedom of expression protected under articles 17 and 19 of the </w:t>
      </w:r>
      <w:r w:rsidRPr="00AA1A20">
        <w:rPr>
          <w:rFonts w:cs="Open Sans"/>
          <w:i/>
        </w:rPr>
        <w:t>International Covenant on Civil and Political Rights</w:t>
      </w:r>
      <w:r w:rsidRPr="00AA1A20">
        <w:rPr>
          <w:rFonts w:cs="Open Sans"/>
        </w:rPr>
        <w:t xml:space="preserve"> (ICCPR).</w:t>
      </w:r>
      <w:r w:rsidRPr="00E030D4">
        <w:rPr>
          <w:rStyle w:val="EndnoteReference"/>
          <w:vertAlign w:val="superscript"/>
        </w:rPr>
        <w:endnoteReference w:id="7"/>
      </w:r>
    </w:p>
    <w:p w14:paraId="4097D514" w14:textId="7DAE5776" w:rsidR="00CE04D1" w:rsidRPr="00AA1A20" w:rsidRDefault="00CE04D1" w:rsidP="00C76FB7">
      <w:pPr>
        <w:pStyle w:val="ListNumber"/>
        <w:tabs>
          <w:tab w:val="clear" w:pos="360"/>
          <w:tab w:val="num" w:pos="993"/>
          <w:tab w:val="left" w:pos="1418"/>
        </w:tabs>
        <w:ind w:left="709" w:hanging="567"/>
        <w:rPr>
          <w:rFonts w:cs="Open Sans"/>
        </w:rPr>
      </w:pPr>
      <w:r w:rsidRPr="00AA1A20">
        <w:rPr>
          <w:rFonts w:cs="Open Sans"/>
        </w:rPr>
        <w:t xml:space="preserve">Information communication technologies collect, store, use and analyse a vast amount of data, including personal information. Now more than ever, our communications, financial information, health and biometric data </w:t>
      </w:r>
      <w:proofErr w:type="gramStart"/>
      <w:r w:rsidRPr="00AA1A20">
        <w:rPr>
          <w:rFonts w:cs="Open Sans"/>
        </w:rPr>
        <w:t>are digitally created and held</w:t>
      </w:r>
      <w:proofErr w:type="gramEnd"/>
      <w:r w:rsidRPr="00AA1A20">
        <w:rPr>
          <w:rFonts w:cs="Open Sans"/>
        </w:rPr>
        <w:t xml:space="preserve">. </w:t>
      </w:r>
      <w:r w:rsidRPr="00AA1A20">
        <w:rPr>
          <w:rFonts w:cs="Open Sans"/>
          <w:lang w:val="en"/>
        </w:rPr>
        <w:t>Other</w:t>
      </w:r>
      <w:r w:rsidRPr="00AA1A20">
        <w:rPr>
          <w:rFonts w:cs="Open Sans"/>
        </w:rPr>
        <w:t xml:space="preserve"> private and sensitive online data can include information about a person’s political beliefs, sexual orientation and geographic location and movements.</w:t>
      </w:r>
    </w:p>
    <w:p w14:paraId="1BD62B32" w14:textId="520152A1"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rPr>
        <w:t>This digitisation of information increases the risk of unauthorised access, whether by deliberate hacking or other inadvertent data breaches. Recent high-profile hacking attacks and data breaches show the increasing difficulty of ensuring security online.</w:t>
      </w:r>
      <w:r w:rsidRPr="00E030D4">
        <w:rPr>
          <w:rStyle w:val="EndnoteReference"/>
          <w:vertAlign w:val="superscript"/>
        </w:rPr>
        <w:endnoteReference w:id="8"/>
      </w:r>
      <w:r w:rsidRPr="00AA1A20">
        <w:rPr>
          <w:rFonts w:cs="Open Sans"/>
        </w:rPr>
        <w:t xml:space="preserve"> </w:t>
      </w:r>
    </w:p>
    <w:p w14:paraId="0243E938" w14:textId="7E4EC6A9"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rPr>
        <w:t xml:space="preserve">Various cybersecurity measures </w:t>
      </w:r>
      <w:proofErr w:type="gramStart"/>
      <w:r w:rsidRPr="00AA1A20">
        <w:rPr>
          <w:rFonts w:cs="Open Sans"/>
        </w:rPr>
        <w:t>have been developed</w:t>
      </w:r>
      <w:proofErr w:type="gramEnd"/>
      <w:r w:rsidRPr="00AA1A20">
        <w:rPr>
          <w:rFonts w:cs="Open Sans"/>
        </w:rPr>
        <w:t xml:space="preserve"> in response to such risks, most notably the use of encryption. </w:t>
      </w:r>
    </w:p>
    <w:p w14:paraId="0256CAD6" w14:textId="77777777" w:rsidR="00CE04D1" w:rsidRPr="00AA1A20" w:rsidRDefault="00CE04D1" w:rsidP="00B03B63">
      <w:pPr>
        <w:pStyle w:val="ListNumber"/>
        <w:tabs>
          <w:tab w:val="clear" w:pos="360"/>
          <w:tab w:val="num" w:pos="993"/>
          <w:tab w:val="left" w:pos="1418"/>
        </w:tabs>
        <w:ind w:left="709" w:hanging="567"/>
        <w:rPr>
          <w:rFonts w:cs="Open Sans"/>
          <w:lang w:val="en"/>
        </w:rPr>
      </w:pPr>
      <w:r w:rsidRPr="00AA1A20">
        <w:rPr>
          <w:rFonts w:cs="Open Sans"/>
        </w:rPr>
        <w:t>‘Encryption’ has been defined as:</w:t>
      </w:r>
    </w:p>
    <w:p w14:paraId="56B01DC7" w14:textId="5898FCE8" w:rsidR="00CE04D1" w:rsidRPr="00AA1A20" w:rsidRDefault="00CE04D1" w:rsidP="00A07162">
      <w:pPr>
        <w:pStyle w:val="EndnoteText"/>
        <w:rPr>
          <w:rFonts w:cs="Open Sans"/>
        </w:rPr>
      </w:pPr>
      <w:r w:rsidRPr="00AA1A20">
        <w:rPr>
          <w:rFonts w:cs="Open Sans"/>
        </w:rPr>
        <w:t>A technique that attempts to secure data transmitted over computer networks from the point of interception to ensure its confidentiality. Encryption transforms data by the use of cryptography (complex mathematical algorithms) to produce unintelligible (encrypted) data.</w:t>
      </w:r>
      <w:r w:rsidRPr="00E030D4">
        <w:rPr>
          <w:rStyle w:val="EndnoteReference"/>
          <w:vertAlign w:val="superscript"/>
        </w:rPr>
        <w:endnoteReference w:id="9"/>
      </w:r>
    </w:p>
    <w:p w14:paraId="3D73484F" w14:textId="2F2835AF" w:rsidR="00CE04D1" w:rsidRPr="00AA1A20" w:rsidRDefault="00CE04D1" w:rsidP="00B03B63">
      <w:pPr>
        <w:pStyle w:val="ListNumber"/>
        <w:tabs>
          <w:tab w:val="clear" w:pos="360"/>
          <w:tab w:val="num" w:pos="993"/>
          <w:tab w:val="left" w:pos="1418"/>
        </w:tabs>
        <w:ind w:left="709" w:hanging="567"/>
        <w:rPr>
          <w:rFonts w:cs="Open Sans"/>
          <w:lang w:val="en"/>
        </w:rPr>
      </w:pPr>
      <w:r w:rsidRPr="00AA1A20">
        <w:rPr>
          <w:rFonts w:cs="Open Sans"/>
        </w:rPr>
        <w:t xml:space="preserve">Encryption works by, for example, ‘scrambling’ the ‘plain text’ of an original message into an unintelligible form of ‘cipher text’ during transmission, and ‘unscrambling’ the message back to readable plain text form once opened by the recipient. This technique aims to ensure that when a ‘data packet’ is sent by a sender to a recipient, whether it be a voice call, email, credit card number or other information, it is securely transmitted and accessed only by the person for whom receipt is intended. </w:t>
      </w:r>
    </w:p>
    <w:p w14:paraId="0AA9DBEA" w14:textId="34A050D1" w:rsidR="00CE04D1" w:rsidRPr="00AA1A20" w:rsidRDefault="00CE04D1" w:rsidP="00B66B2F">
      <w:pPr>
        <w:pStyle w:val="ListNumber"/>
        <w:tabs>
          <w:tab w:val="clear" w:pos="360"/>
          <w:tab w:val="num" w:pos="993"/>
          <w:tab w:val="left" w:pos="1418"/>
        </w:tabs>
        <w:ind w:left="709" w:hanging="567"/>
        <w:rPr>
          <w:rFonts w:cs="Open Sans"/>
        </w:rPr>
      </w:pPr>
      <w:r w:rsidRPr="00AA1A20">
        <w:rPr>
          <w:rFonts w:cs="Open Sans"/>
        </w:rPr>
        <w:t>Encryption is ubiquitous in our digital lives and has many common uses, including securing data and authenticating the identity of individuals in a wide range of fields. These fields include traditional and cloud computing, smart phones (including through device locking), banking transactions, web browsing, email traffic and virtual private networks. The use of encryption is likely to continue to grow through new technological advances such as block chain.</w:t>
      </w:r>
    </w:p>
    <w:p w14:paraId="316651FC" w14:textId="05493E64" w:rsidR="00CE04D1" w:rsidRPr="00AA1A20" w:rsidRDefault="00CE04D1" w:rsidP="000D509D">
      <w:pPr>
        <w:pStyle w:val="ListNumber"/>
        <w:tabs>
          <w:tab w:val="clear" w:pos="360"/>
          <w:tab w:val="num" w:pos="993"/>
          <w:tab w:val="left" w:pos="1418"/>
        </w:tabs>
        <w:ind w:left="709" w:hanging="567"/>
        <w:rPr>
          <w:rFonts w:cs="Open Sans"/>
        </w:rPr>
      </w:pPr>
      <w:r w:rsidRPr="00AA1A20">
        <w:rPr>
          <w:rFonts w:cs="Open Sans"/>
        </w:rPr>
        <w:t xml:space="preserve">The United Nations (UN) Special Rapporteur on the promotion and protection of the right to freedom of opinion and expression has said that encryption and anonymity, and the security concepts behind them, </w:t>
      </w:r>
      <w:r w:rsidRPr="00AA1A20">
        <w:rPr>
          <w:rFonts w:cs="Open Sans"/>
        </w:rPr>
        <w:lastRenderedPageBreak/>
        <w:t>provide the privacy and security necessary for the exercise of the right to freedom of opinion and expression in the digital age.</w:t>
      </w:r>
      <w:r w:rsidRPr="00E030D4">
        <w:rPr>
          <w:rStyle w:val="EndnoteReference"/>
          <w:vertAlign w:val="superscript"/>
        </w:rPr>
        <w:endnoteReference w:id="10"/>
      </w:r>
    </w:p>
    <w:p w14:paraId="3D64104E" w14:textId="65EB3B59" w:rsidR="00CE04D1" w:rsidRPr="00AA1A20" w:rsidRDefault="00CE04D1" w:rsidP="005D09F7">
      <w:pPr>
        <w:pStyle w:val="ListNumber"/>
        <w:tabs>
          <w:tab w:val="clear" w:pos="360"/>
          <w:tab w:val="num" w:pos="993"/>
          <w:tab w:val="left" w:pos="1418"/>
        </w:tabs>
        <w:ind w:left="709" w:hanging="567"/>
        <w:rPr>
          <w:rFonts w:cs="Open Sans"/>
        </w:rPr>
      </w:pPr>
      <w:r w:rsidRPr="00AA1A20">
        <w:rPr>
          <w:rFonts w:cs="Open Sans"/>
        </w:rPr>
        <w:t xml:space="preserve">However, the prevalence of encryption has also led to concerns about private, anonymous and untraceable cybertechnologies </w:t>
      </w:r>
      <w:proofErr w:type="gramStart"/>
      <w:r w:rsidRPr="00AA1A20">
        <w:rPr>
          <w:rFonts w:cs="Open Sans"/>
        </w:rPr>
        <w:t>being used</w:t>
      </w:r>
      <w:proofErr w:type="gramEnd"/>
      <w:r w:rsidRPr="00AA1A20">
        <w:rPr>
          <w:rFonts w:cs="Open Sans"/>
        </w:rPr>
        <w:t xml:space="preserve"> to facilitate serious crime. Termed ‘going dark’, law enforcement bodies are particularly concerned about the technical inability of investigators</w:t>
      </w:r>
      <w:r w:rsidRPr="00AA1A20">
        <w:rPr>
          <w:rFonts w:cs="Open Sans"/>
          <w:lang w:val="en"/>
        </w:rPr>
        <w:t xml:space="preserve"> to intercept and access communications that aid criminal activity in such circumstances, despite holding legal authority such as a warrant.</w:t>
      </w:r>
      <w:r w:rsidRPr="00E030D4">
        <w:rPr>
          <w:rStyle w:val="EndnoteReference"/>
          <w:vertAlign w:val="superscript"/>
        </w:rPr>
        <w:endnoteReference w:id="11"/>
      </w:r>
      <w:r w:rsidRPr="00AA1A20">
        <w:rPr>
          <w:rFonts w:cs="Open Sans"/>
          <w:lang w:val="en"/>
        </w:rPr>
        <w:t xml:space="preserve"> The explanatory document to the draft Bill states that 95% of the Australian Security Intelligence Organisation’s (ASIO) most dangerous counter-terrorism targets actively use encrypted messages to conceal their communications.</w:t>
      </w:r>
      <w:r w:rsidRPr="00E030D4">
        <w:rPr>
          <w:rStyle w:val="EndnoteReference"/>
          <w:vertAlign w:val="superscript"/>
        </w:rPr>
        <w:endnoteReference w:id="12"/>
      </w:r>
      <w:r w:rsidRPr="00AA1A20">
        <w:rPr>
          <w:rFonts w:cs="Open Sans"/>
          <w:lang w:val="en"/>
        </w:rPr>
        <w:t xml:space="preserve"> </w:t>
      </w:r>
    </w:p>
    <w:p w14:paraId="3EC2E474" w14:textId="413363CB" w:rsidR="00CE04D1" w:rsidRPr="00AA1A20" w:rsidRDefault="00CE04D1" w:rsidP="00FC0FD6">
      <w:pPr>
        <w:pStyle w:val="ListNumber"/>
        <w:tabs>
          <w:tab w:val="clear" w:pos="360"/>
          <w:tab w:val="num" w:pos="993"/>
          <w:tab w:val="left" w:pos="1418"/>
        </w:tabs>
        <w:ind w:left="709" w:hanging="567"/>
        <w:rPr>
          <w:rFonts w:cs="Open Sans"/>
          <w:lang w:val="en"/>
        </w:rPr>
      </w:pPr>
      <w:r w:rsidRPr="00AA1A20">
        <w:rPr>
          <w:rFonts w:cs="Open Sans"/>
          <w:lang w:val="en"/>
        </w:rPr>
        <w:t xml:space="preserve">While encryption might hamper law enforcement agencies’ access to some data, the digital era has also fundamentally transformed the ability of investigators to carry out their work. Unencrypted metadata and other such material are now increasingly available as actionable intelligence and evidence that </w:t>
      </w:r>
      <w:proofErr w:type="gramStart"/>
      <w:r w:rsidRPr="00AA1A20">
        <w:rPr>
          <w:rFonts w:cs="Open Sans"/>
          <w:lang w:val="en"/>
        </w:rPr>
        <w:t>can be used</w:t>
      </w:r>
      <w:proofErr w:type="gramEnd"/>
      <w:r w:rsidRPr="00AA1A20">
        <w:rPr>
          <w:rFonts w:cs="Open Sans"/>
          <w:lang w:val="en"/>
        </w:rPr>
        <w:t xml:space="preserve"> in legal proceedings. Such material </w:t>
      </w:r>
      <w:proofErr w:type="gramStart"/>
      <w:r w:rsidRPr="00AA1A20">
        <w:rPr>
          <w:rFonts w:cs="Open Sans"/>
          <w:lang w:val="en"/>
        </w:rPr>
        <w:t>can be contrasted</w:t>
      </w:r>
      <w:proofErr w:type="gramEnd"/>
      <w:r w:rsidRPr="00AA1A20">
        <w:rPr>
          <w:rFonts w:cs="Open Sans"/>
          <w:lang w:val="en"/>
        </w:rPr>
        <w:t xml:space="preserve"> with the content of certain communications, such as text messages, which might be encrypted. </w:t>
      </w:r>
    </w:p>
    <w:p w14:paraId="111865AD" w14:textId="6B8834CA" w:rsidR="00CE04D1" w:rsidRPr="00AA1A20" w:rsidRDefault="00CE04D1" w:rsidP="00FC0FD6">
      <w:pPr>
        <w:pStyle w:val="ListNumber"/>
        <w:tabs>
          <w:tab w:val="clear" w:pos="360"/>
          <w:tab w:val="num" w:pos="993"/>
          <w:tab w:val="left" w:pos="1418"/>
        </w:tabs>
        <w:ind w:left="709" w:hanging="567"/>
        <w:rPr>
          <w:rFonts w:cs="Open Sans"/>
        </w:rPr>
      </w:pPr>
      <w:r w:rsidRPr="00AA1A20">
        <w:rPr>
          <w:rFonts w:cs="Open Sans"/>
          <w:lang w:val="en"/>
        </w:rPr>
        <w:t xml:space="preserve">Some experts suggest that, </w:t>
      </w:r>
      <w:proofErr w:type="gramStart"/>
      <w:r w:rsidRPr="00AA1A20">
        <w:rPr>
          <w:rFonts w:cs="Open Sans"/>
          <w:lang w:val="en"/>
        </w:rPr>
        <w:t>overall,</w:t>
      </w:r>
      <w:proofErr w:type="gramEnd"/>
      <w:r w:rsidRPr="00AA1A20">
        <w:rPr>
          <w:rFonts w:cs="Open Sans"/>
          <w:lang w:val="en"/>
        </w:rPr>
        <w:t xml:space="preserve"> evidence gathering is now more efficient and cost-effective for investigators.</w:t>
      </w:r>
      <w:r w:rsidRPr="00E030D4">
        <w:rPr>
          <w:rStyle w:val="EndnoteReference"/>
          <w:vertAlign w:val="superscript"/>
        </w:rPr>
        <w:endnoteReference w:id="13"/>
      </w:r>
      <w:r w:rsidRPr="00AA1A20">
        <w:rPr>
          <w:rFonts w:cs="Open Sans"/>
          <w:lang w:val="en"/>
        </w:rPr>
        <w:t xml:space="preserve"> This </w:t>
      </w:r>
      <w:proofErr w:type="gramStart"/>
      <w:r w:rsidRPr="00AA1A20">
        <w:rPr>
          <w:rFonts w:cs="Open Sans"/>
          <w:lang w:val="en"/>
        </w:rPr>
        <w:t>should be kept</w:t>
      </w:r>
      <w:proofErr w:type="gramEnd"/>
      <w:r w:rsidRPr="00AA1A20">
        <w:rPr>
          <w:rFonts w:cs="Open Sans"/>
          <w:lang w:val="en"/>
        </w:rPr>
        <w:t xml:space="preserve"> in mind when considering the appropriateness of particularly intrusive digital law enforcement powers.</w:t>
      </w:r>
    </w:p>
    <w:p w14:paraId="56A4A8AE" w14:textId="5F8A86B3" w:rsidR="00CE04D1" w:rsidRPr="00AA1A20" w:rsidRDefault="00CE04D1" w:rsidP="0097205C">
      <w:pPr>
        <w:pStyle w:val="Header"/>
        <w:rPr>
          <w:rFonts w:cs="Open Sans"/>
        </w:rPr>
      </w:pPr>
      <w:bookmarkStart w:id="56" w:name="_Toc524352494"/>
      <w:r w:rsidRPr="00AA1A20">
        <w:rPr>
          <w:rFonts w:cs="Open Sans"/>
        </w:rPr>
        <w:t xml:space="preserve">Summary of </w:t>
      </w:r>
      <w:r>
        <w:rPr>
          <w:rFonts w:cs="Open Sans"/>
        </w:rPr>
        <w:t xml:space="preserve">the </w:t>
      </w:r>
      <w:r w:rsidRPr="00AA1A20">
        <w:rPr>
          <w:rFonts w:cs="Open Sans"/>
        </w:rPr>
        <w:t>human rights impacts of the draft Bill</w:t>
      </w:r>
      <w:bookmarkEnd w:id="56"/>
    </w:p>
    <w:p w14:paraId="1BA378F8" w14:textId="569C4D36"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lang w:val="en"/>
        </w:rPr>
        <w:t>The draft Bill seeks to provide national security and law enforcement agencies with powers to respond to the challenges posed by encrypted communications and devices through a range of measures.</w:t>
      </w:r>
      <w:r w:rsidRPr="00E030D4">
        <w:rPr>
          <w:rStyle w:val="EndnoteReference"/>
          <w:vertAlign w:val="superscript"/>
        </w:rPr>
        <w:endnoteReference w:id="14"/>
      </w:r>
      <w:r w:rsidRPr="00AA1A20">
        <w:rPr>
          <w:rFonts w:cs="Open Sans"/>
          <w:lang w:val="en"/>
        </w:rPr>
        <w:t xml:space="preserve"> Detailed consideration of the operation of the draft Bill is set out in Pt </w:t>
      </w:r>
      <w:r w:rsidRPr="00AA1A20">
        <w:rPr>
          <w:rFonts w:cs="Open Sans"/>
          <w:lang w:val="en"/>
        </w:rPr>
        <w:fldChar w:fldCharType="begin"/>
      </w:r>
      <w:r w:rsidRPr="00AA1A20">
        <w:rPr>
          <w:rFonts w:cs="Open Sans"/>
          <w:lang w:val="en"/>
        </w:rPr>
        <w:instrText xml:space="preserve"> REF _Ref524288743 \r \h </w:instrText>
      </w:r>
      <w:r>
        <w:rPr>
          <w:rFonts w:cs="Open Sans"/>
          <w:lang w:val="en"/>
        </w:rPr>
        <w:instrText xml:space="preserve"> \* MERGEFORMAT </w:instrText>
      </w:r>
      <w:r w:rsidRPr="00AA1A20">
        <w:rPr>
          <w:rFonts w:cs="Open Sans"/>
          <w:lang w:val="en"/>
        </w:rPr>
      </w:r>
      <w:r w:rsidRPr="00AA1A20">
        <w:rPr>
          <w:rFonts w:cs="Open Sans"/>
          <w:lang w:val="en"/>
        </w:rPr>
        <w:fldChar w:fldCharType="separate"/>
      </w:r>
      <w:r w:rsidR="00523FE1">
        <w:rPr>
          <w:rFonts w:cs="Open Sans"/>
          <w:lang w:val="en"/>
        </w:rPr>
        <w:t>4</w:t>
      </w:r>
      <w:r w:rsidRPr="00AA1A20">
        <w:rPr>
          <w:rFonts w:cs="Open Sans"/>
          <w:lang w:val="en"/>
        </w:rPr>
        <w:fldChar w:fldCharType="end"/>
      </w:r>
      <w:r w:rsidRPr="00AA1A20">
        <w:rPr>
          <w:rFonts w:cs="Open Sans"/>
          <w:lang w:val="en"/>
        </w:rPr>
        <w:t xml:space="preserve"> below</w:t>
      </w:r>
      <w:r w:rsidR="00FC6724">
        <w:rPr>
          <w:rFonts w:cs="Open Sans"/>
          <w:lang w:val="en"/>
        </w:rPr>
        <w:t>, and an analysis of the key human rights concerns identified in Pts 5 and 6</w:t>
      </w:r>
      <w:r w:rsidRPr="00AA1A20">
        <w:rPr>
          <w:rFonts w:cs="Open Sans"/>
          <w:lang w:val="en"/>
        </w:rPr>
        <w:t>.</w:t>
      </w:r>
    </w:p>
    <w:p w14:paraId="6964878D" w14:textId="429C3C61"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lang w:val="en"/>
        </w:rPr>
        <w:t xml:space="preserve">The draft Bill would introduce a new </w:t>
      </w:r>
      <w:proofErr w:type="gramStart"/>
      <w:r w:rsidRPr="00AA1A20">
        <w:rPr>
          <w:rFonts w:cs="Open Sans"/>
          <w:lang w:val="en"/>
        </w:rPr>
        <w:t>computer access warrant regime</w:t>
      </w:r>
      <w:proofErr w:type="gramEnd"/>
      <w:r w:rsidRPr="00AA1A20">
        <w:rPr>
          <w:rFonts w:cs="Open Sans"/>
          <w:lang w:val="en"/>
        </w:rPr>
        <w:t xml:space="preserve"> in the </w:t>
      </w:r>
      <w:r w:rsidRPr="00AA1A20">
        <w:rPr>
          <w:rFonts w:cs="Open Sans"/>
          <w:i/>
          <w:lang w:val="en"/>
        </w:rPr>
        <w:t>Surveillance Devices Act 2004</w:t>
      </w:r>
      <w:r w:rsidRPr="00AA1A20">
        <w:rPr>
          <w:rFonts w:cs="Open Sans"/>
          <w:lang w:val="en"/>
        </w:rPr>
        <w:t xml:space="preserve"> (Cth) (SD Act) that will allow law enforcement agencies to covertly access data on computers, sometimes remotely. </w:t>
      </w:r>
    </w:p>
    <w:p w14:paraId="50B114AC" w14:textId="564B827E"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lang w:val="en"/>
        </w:rPr>
        <w:t>Another key reform is the implementation of an assistance and access framework, which empowers certain agencies, by way of request or compulsory notice, to have a designated communications provider provide them with technical assistance.</w:t>
      </w:r>
      <w:r w:rsidRPr="00E030D4">
        <w:rPr>
          <w:rStyle w:val="EndnoteReference"/>
          <w:vertAlign w:val="superscript"/>
        </w:rPr>
        <w:endnoteReference w:id="15"/>
      </w:r>
    </w:p>
    <w:p w14:paraId="3472EC44" w14:textId="2C6ADA48"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lang w:val="en"/>
        </w:rPr>
        <w:lastRenderedPageBreak/>
        <w:t>An important legislative safeguard is that a compulsory notice cannot require a provider to implement or build a ‘systemic weakness, or a systemic vulnerability, into a form of electronic protection’.</w:t>
      </w:r>
      <w:r w:rsidRPr="00E030D4">
        <w:rPr>
          <w:rStyle w:val="EndnoteReference"/>
          <w:vertAlign w:val="superscript"/>
        </w:rPr>
        <w:endnoteReference w:id="16"/>
      </w:r>
      <w:r w:rsidRPr="00AA1A20">
        <w:rPr>
          <w:rFonts w:cs="Open Sans"/>
          <w:lang w:val="en"/>
        </w:rPr>
        <w:t xml:space="preserve"> </w:t>
      </w:r>
    </w:p>
    <w:p w14:paraId="37DEC81E" w14:textId="01E46D8B" w:rsidR="00CE04D1" w:rsidRPr="00AA1A20" w:rsidRDefault="00CE04D1" w:rsidP="00B663AF">
      <w:pPr>
        <w:pStyle w:val="ListNumber"/>
        <w:tabs>
          <w:tab w:val="clear" w:pos="360"/>
          <w:tab w:val="num" w:pos="993"/>
          <w:tab w:val="left" w:pos="1418"/>
        </w:tabs>
        <w:ind w:left="709" w:hanging="567"/>
        <w:rPr>
          <w:rFonts w:cs="Open Sans"/>
        </w:rPr>
      </w:pPr>
      <w:r w:rsidRPr="00AA1A20">
        <w:rPr>
          <w:rFonts w:cs="Open Sans"/>
          <w:lang w:val="en"/>
        </w:rPr>
        <w:t xml:space="preserve">The Commission endorses this principle, which recognises the inherent dangers of weakening technologies that </w:t>
      </w:r>
      <w:proofErr w:type="gramStart"/>
      <w:r w:rsidRPr="00AA1A20">
        <w:rPr>
          <w:rFonts w:cs="Open Sans"/>
          <w:lang w:val="en"/>
        </w:rPr>
        <w:t>are developed</w:t>
      </w:r>
      <w:proofErr w:type="gramEnd"/>
      <w:r w:rsidRPr="00AA1A20">
        <w:rPr>
          <w:rFonts w:cs="Open Sans"/>
          <w:lang w:val="en"/>
        </w:rPr>
        <w:t xml:space="preserve"> to secure electronic information, primarily encryption. That is, allowing third party access to encrypted data or services, even if designed for the use of law enforcement, risks weakening the security of an encryption measure across the board. </w:t>
      </w:r>
    </w:p>
    <w:p w14:paraId="581FFC5B" w14:textId="64EEFA1C"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lang w:val="en"/>
        </w:rPr>
        <w:t xml:space="preserve">A prime example, which appears </w:t>
      </w:r>
      <w:r w:rsidRPr="00AA1A20">
        <w:rPr>
          <w:rFonts w:cs="Open Sans"/>
          <w:i/>
          <w:lang w:val="en"/>
        </w:rPr>
        <w:t xml:space="preserve">not </w:t>
      </w:r>
      <w:r w:rsidRPr="00AA1A20">
        <w:rPr>
          <w:rFonts w:cs="Open Sans"/>
          <w:lang w:val="en"/>
        </w:rPr>
        <w:t xml:space="preserve">to </w:t>
      </w:r>
      <w:proofErr w:type="gramStart"/>
      <w:r w:rsidRPr="00AA1A20">
        <w:rPr>
          <w:rFonts w:cs="Open Sans"/>
          <w:lang w:val="en"/>
        </w:rPr>
        <w:t>be permitted</w:t>
      </w:r>
      <w:proofErr w:type="gramEnd"/>
      <w:r w:rsidRPr="00AA1A20">
        <w:rPr>
          <w:rFonts w:cs="Open Sans"/>
          <w:lang w:val="en"/>
        </w:rPr>
        <w:t xml:space="preserve"> under the framework, is requiring a company to modify a messaging application to include an independent port for law enforcement access.</w:t>
      </w:r>
      <w:r w:rsidRPr="00E030D4">
        <w:rPr>
          <w:rStyle w:val="EndnoteReference"/>
          <w:vertAlign w:val="superscript"/>
        </w:rPr>
        <w:endnoteReference w:id="17"/>
      </w:r>
      <w:r w:rsidRPr="00AA1A20">
        <w:rPr>
          <w:rFonts w:cs="Open Sans"/>
          <w:lang w:val="en"/>
        </w:rPr>
        <w:t xml:space="preserve"> The creation of such a port, sometimes termed an ‘encryption backdoor’,</w:t>
      </w:r>
      <w:r w:rsidRPr="00E030D4">
        <w:rPr>
          <w:rStyle w:val="EndnoteReference"/>
          <w:vertAlign w:val="superscript"/>
        </w:rPr>
        <w:endnoteReference w:id="18"/>
      </w:r>
      <w:r w:rsidRPr="00AA1A20">
        <w:rPr>
          <w:rFonts w:cs="Open Sans"/>
          <w:lang w:val="en"/>
        </w:rPr>
        <w:t xml:space="preserve"> can greatly increase the susceptibility of hacking by a malicious actor. </w:t>
      </w:r>
    </w:p>
    <w:p w14:paraId="7FF0D5FA" w14:textId="77777777" w:rsidR="00CE04D1" w:rsidRPr="00AA1A20" w:rsidRDefault="00CE04D1" w:rsidP="001267B3">
      <w:pPr>
        <w:pStyle w:val="ListNumber"/>
        <w:tabs>
          <w:tab w:val="clear" w:pos="360"/>
          <w:tab w:val="num" w:pos="993"/>
          <w:tab w:val="left" w:pos="1418"/>
        </w:tabs>
        <w:ind w:left="709" w:hanging="567"/>
        <w:rPr>
          <w:rFonts w:cs="Open Sans"/>
        </w:rPr>
      </w:pPr>
      <w:r w:rsidRPr="00AA1A20">
        <w:rPr>
          <w:rFonts w:cs="Open Sans"/>
          <w:lang w:val="en"/>
        </w:rPr>
        <w:t xml:space="preserve">If such a port is hacked, third parties could obtain a vast amount of personal information, possibly about every user of the application, not just the law enforcement target. The result could be an increase in levels of cyber and traditional crime, such as identity fraud, and large-scale interferences with the rights to privacy and freedom of expression. </w:t>
      </w:r>
    </w:p>
    <w:p w14:paraId="667748B9" w14:textId="3EFE019A" w:rsidR="00CE04D1" w:rsidRPr="00AA1A20" w:rsidRDefault="00CE04D1" w:rsidP="001267B3">
      <w:pPr>
        <w:pStyle w:val="ListNumber"/>
        <w:tabs>
          <w:tab w:val="clear" w:pos="360"/>
          <w:tab w:val="num" w:pos="993"/>
          <w:tab w:val="left" w:pos="1418"/>
        </w:tabs>
        <w:ind w:left="709" w:hanging="567"/>
        <w:rPr>
          <w:rFonts w:cs="Open Sans"/>
        </w:rPr>
      </w:pPr>
      <w:r w:rsidRPr="00AA1A20">
        <w:rPr>
          <w:rFonts w:cs="Open Sans"/>
          <w:lang w:val="en"/>
        </w:rPr>
        <w:t xml:space="preserve">Such scenarios highlight the highly interconnected nature of cybersecurity technologies, and potentially pervasive consequences of the Government requiring exceptional access. </w:t>
      </w:r>
    </w:p>
    <w:p w14:paraId="092DBDAC" w14:textId="33AE93F3"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lang w:val="en"/>
        </w:rPr>
        <w:t>However, the Commission is concerned that the proposed ‘systemic weakness’ provision is ambiguous and authorises certain exceptional access measures.</w:t>
      </w:r>
      <w:r w:rsidRPr="00E030D4">
        <w:rPr>
          <w:rStyle w:val="EndnoteReference"/>
          <w:vertAlign w:val="superscript"/>
        </w:rPr>
        <w:endnoteReference w:id="19"/>
      </w:r>
      <w:r w:rsidRPr="00AA1A20">
        <w:rPr>
          <w:rFonts w:cs="Open Sans"/>
          <w:lang w:val="en"/>
        </w:rPr>
        <w:t xml:space="preserve"> As a result, this important protection cannot be fully effective, because the draft Bill </w:t>
      </w:r>
      <w:proofErr w:type="gramStart"/>
      <w:r w:rsidRPr="00AA1A20">
        <w:rPr>
          <w:rFonts w:cs="Open Sans"/>
          <w:lang w:val="en"/>
        </w:rPr>
        <w:t>could still be used</w:t>
      </w:r>
      <w:proofErr w:type="gramEnd"/>
      <w:r w:rsidRPr="00AA1A20">
        <w:rPr>
          <w:rFonts w:cs="Open Sans"/>
          <w:lang w:val="en"/>
        </w:rPr>
        <w:t xml:space="preserve"> to enable the creation of certain systemic weaknesses. </w:t>
      </w:r>
    </w:p>
    <w:p w14:paraId="3AD22881" w14:textId="77777777" w:rsidR="00CE04D1" w:rsidRPr="00AA1A20" w:rsidRDefault="00CE04D1" w:rsidP="00B03B63">
      <w:pPr>
        <w:pStyle w:val="ListNumber"/>
        <w:tabs>
          <w:tab w:val="clear" w:pos="360"/>
          <w:tab w:val="num" w:pos="993"/>
          <w:tab w:val="left" w:pos="1418"/>
        </w:tabs>
        <w:ind w:left="709" w:hanging="567"/>
        <w:rPr>
          <w:rFonts w:cs="Open Sans"/>
          <w:lang w:val="en"/>
        </w:rPr>
      </w:pPr>
      <w:r w:rsidRPr="00AA1A20">
        <w:rPr>
          <w:rFonts w:cs="Open Sans"/>
          <w:lang w:val="en"/>
        </w:rPr>
        <w:t xml:space="preserve">A further overarching human rights issue raised by the draft Bill is the impact of enhanced surveillance powers on the way that individuals use technology to conduct their private lives. </w:t>
      </w:r>
    </w:p>
    <w:p w14:paraId="2B68BF78" w14:textId="4B6EB202" w:rsidR="00CE04D1" w:rsidRPr="00AA1A20" w:rsidRDefault="00CE04D1" w:rsidP="00CF4BC5">
      <w:pPr>
        <w:pStyle w:val="ListNumber"/>
        <w:tabs>
          <w:tab w:val="clear" w:pos="360"/>
          <w:tab w:val="num" w:pos="993"/>
          <w:tab w:val="left" w:pos="1418"/>
        </w:tabs>
        <w:ind w:left="709" w:hanging="567"/>
        <w:rPr>
          <w:rFonts w:cs="Open Sans"/>
          <w:lang w:val="en"/>
        </w:rPr>
      </w:pPr>
      <w:r w:rsidRPr="00AA1A20">
        <w:rPr>
          <w:rFonts w:cs="Open Sans"/>
          <w:lang w:val="en"/>
        </w:rPr>
        <w:t>Any improved ability of the Government to conduct digital surveillance, intercept digital communications and collect personal data in a manner that is disproportionate or unnecessary to a legitimate objective risks a ‘chilling effect’ on the enjoyment of human rights, in particular the rights to freedom of expression and privacy.</w:t>
      </w:r>
      <w:r w:rsidRPr="00AA1A20">
        <w:rPr>
          <w:rFonts w:cs="Open Sans"/>
          <w:highlight w:val="yellow"/>
          <w:lang w:val="en"/>
        </w:rPr>
        <w:t xml:space="preserve"> </w:t>
      </w:r>
    </w:p>
    <w:p w14:paraId="063214FE" w14:textId="57E4DD0F"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rPr>
        <w:t xml:space="preserve">The Commission considers that further consideration and refinement of the draft Bill are required to ensure its compatibility with human rights. </w:t>
      </w:r>
    </w:p>
    <w:p w14:paraId="0C8FC8EF" w14:textId="77777777" w:rsidR="005C273F" w:rsidRDefault="005C273F">
      <w:pPr>
        <w:rPr>
          <w:rFonts w:cs="Open Sans"/>
          <w:b/>
        </w:rPr>
      </w:pPr>
      <w:r>
        <w:rPr>
          <w:rFonts w:cs="Open Sans"/>
          <w:b/>
        </w:rPr>
        <w:br w:type="page"/>
      </w:r>
    </w:p>
    <w:p w14:paraId="35AA5CB6" w14:textId="604D324E" w:rsidR="00CE04D1" w:rsidRPr="00AA1A20" w:rsidRDefault="00CE04D1" w:rsidP="00C60FE5">
      <w:pPr>
        <w:pStyle w:val="ListNumber"/>
        <w:numPr>
          <w:ilvl w:val="0"/>
          <w:numId w:val="0"/>
        </w:numPr>
        <w:tabs>
          <w:tab w:val="left" w:pos="1418"/>
        </w:tabs>
        <w:ind w:left="709"/>
        <w:rPr>
          <w:rFonts w:cs="Open Sans"/>
          <w:b/>
        </w:rPr>
      </w:pPr>
      <w:r w:rsidRPr="00AA1A20">
        <w:rPr>
          <w:rFonts w:cs="Open Sans"/>
          <w:b/>
        </w:rPr>
        <w:lastRenderedPageBreak/>
        <w:t>Recommendation 1</w:t>
      </w:r>
    </w:p>
    <w:p w14:paraId="240CE186" w14:textId="22BC8796" w:rsidR="00CE04D1" w:rsidRPr="00AA1A20" w:rsidRDefault="00CE04D1" w:rsidP="00C60FE5">
      <w:pPr>
        <w:pStyle w:val="ListNumber"/>
        <w:numPr>
          <w:ilvl w:val="0"/>
          <w:numId w:val="0"/>
        </w:numPr>
        <w:tabs>
          <w:tab w:val="left" w:pos="1418"/>
        </w:tabs>
        <w:ind w:left="709"/>
        <w:rPr>
          <w:rFonts w:cs="Open Sans"/>
          <w:b/>
        </w:rPr>
      </w:pPr>
      <w:r w:rsidRPr="00AA1A20">
        <w:rPr>
          <w:rFonts w:cs="Open Sans"/>
        </w:rPr>
        <w:t xml:space="preserve">The Australian Government ensure that further and adequate time </w:t>
      </w:r>
      <w:proofErr w:type="gramStart"/>
      <w:r w:rsidRPr="00AA1A20">
        <w:rPr>
          <w:rFonts w:cs="Open Sans"/>
        </w:rPr>
        <w:t>is afforded</w:t>
      </w:r>
      <w:proofErr w:type="gramEnd"/>
      <w:r w:rsidRPr="00AA1A20">
        <w:rPr>
          <w:rFonts w:cs="Open Sans"/>
        </w:rPr>
        <w:t xml:space="preserve"> for public consultation, review and reform of the draft Bill, to enhance human rights compatibility.</w:t>
      </w:r>
    </w:p>
    <w:p w14:paraId="491D915A" w14:textId="77777777" w:rsidR="00CE04D1" w:rsidRPr="00AA1A20" w:rsidRDefault="00CE04D1" w:rsidP="008F3148">
      <w:pPr>
        <w:pStyle w:val="Heading1"/>
        <w:tabs>
          <w:tab w:val="clear" w:pos="851"/>
          <w:tab w:val="num" w:pos="1418"/>
        </w:tabs>
        <w:rPr>
          <w:rFonts w:cs="Open Sans"/>
        </w:rPr>
      </w:pPr>
      <w:bookmarkStart w:id="57" w:name="_Toc524352495"/>
      <w:r w:rsidRPr="00AA1A20">
        <w:rPr>
          <w:rFonts w:cs="Open Sans"/>
        </w:rPr>
        <w:t>Human rights and digital law enforcement</w:t>
      </w:r>
      <w:bookmarkEnd w:id="57"/>
    </w:p>
    <w:p w14:paraId="7265CEBB" w14:textId="03021E88" w:rsidR="00CE04D1" w:rsidRPr="00AA1A20" w:rsidRDefault="00CE04D1" w:rsidP="00E21642">
      <w:pPr>
        <w:pStyle w:val="ListNumber"/>
        <w:tabs>
          <w:tab w:val="clear" w:pos="360"/>
          <w:tab w:val="num" w:pos="993"/>
          <w:tab w:val="left" w:pos="1418"/>
        </w:tabs>
        <w:ind w:left="709" w:hanging="567"/>
        <w:rPr>
          <w:rFonts w:cs="Open Sans"/>
        </w:rPr>
      </w:pPr>
      <w:proofErr w:type="gramStart"/>
      <w:r w:rsidRPr="00AA1A20">
        <w:rPr>
          <w:rFonts w:cs="Open Sans"/>
        </w:rPr>
        <w:t>As a party to the ICCPR and other international human rights treaties,</w:t>
      </w:r>
      <w:proofErr w:type="gramEnd"/>
      <w:r w:rsidRPr="00AA1A20">
        <w:rPr>
          <w:rFonts w:cs="Open Sans"/>
        </w:rPr>
        <w:t xml:space="preserve"> </w:t>
      </w:r>
      <w:proofErr w:type="gramStart"/>
      <w:r w:rsidRPr="00AA1A20">
        <w:rPr>
          <w:rFonts w:cs="Open Sans"/>
        </w:rPr>
        <w:t>Australia</w:t>
      </w:r>
      <w:proofErr w:type="gramEnd"/>
      <w:r w:rsidRPr="00AA1A20">
        <w:rPr>
          <w:rFonts w:cs="Open Sans"/>
        </w:rPr>
        <w:t xml:space="preserve"> has undertaken to comply with their provisions in good faith and take necessary steps to give effect to those treaties under domestic law.</w:t>
      </w:r>
    </w:p>
    <w:p w14:paraId="46A0BD1D" w14:textId="7757F79A" w:rsidR="00CE04D1" w:rsidRPr="00AA1A20" w:rsidRDefault="00CE04D1" w:rsidP="00735E35">
      <w:pPr>
        <w:pStyle w:val="ListNumber"/>
        <w:tabs>
          <w:tab w:val="clear" w:pos="360"/>
          <w:tab w:val="num" w:pos="993"/>
          <w:tab w:val="left" w:pos="1418"/>
        </w:tabs>
        <w:ind w:left="709" w:hanging="567"/>
        <w:rPr>
          <w:rFonts w:cs="Open Sans"/>
        </w:rPr>
      </w:pPr>
      <w:r w:rsidRPr="00AA1A20">
        <w:rPr>
          <w:rFonts w:cs="Open Sans"/>
        </w:rPr>
        <w:t>Articles 17 and 19 of the ICCPR enumerate Australia’s obligations to protect, respect and fulfil the right to privacy and the right to freedom of expression. These rights are related and mutually reinforcing—an individual’s privacy facilitates their freedom of expression.</w:t>
      </w:r>
      <w:r w:rsidRPr="0029322D">
        <w:rPr>
          <w:rStyle w:val="EndnoteReference"/>
          <w:vertAlign w:val="superscript"/>
        </w:rPr>
        <w:endnoteReference w:id="20"/>
      </w:r>
      <w:r w:rsidRPr="00AA1A20">
        <w:rPr>
          <w:rFonts w:cs="Open Sans"/>
        </w:rPr>
        <w:t xml:space="preserve"> </w:t>
      </w:r>
    </w:p>
    <w:p w14:paraId="2A217EA7" w14:textId="001D22D0" w:rsidR="00CE04D1" w:rsidRPr="00AA1A20" w:rsidRDefault="00CE04D1" w:rsidP="00FB5BB9">
      <w:pPr>
        <w:pStyle w:val="ListNumber"/>
        <w:tabs>
          <w:tab w:val="clear" w:pos="360"/>
          <w:tab w:val="num" w:pos="993"/>
          <w:tab w:val="left" w:pos="1418"/>
        </w:tabs>
        <w:ind w:left="709" w:hanging="567"/>
        <w:rPr>
          <w:rFonts w:cs="Open Sans"/>
        </w:rPr>
      </w:pPr>
      <w:r w:rsidRPr="00AA1A20">
        <w:rPr>
          <w:rFonts w:cs="Open Sans"/>
        </w:rPr>
        <w:t>The draft Bill would create broad new powers enabling government agencies to gain access to information that would otherwise remain private—for example, by virtue of encryption.</w:t>
      </w:r>
      <w:r w:rsidRPr="0029322D">
        <w:rPr>
          <w:rStyle w:val="EndnoteReference"/>
          <w:vertAlign w:val="superscript"/>
        </w:rPr>
        <w:endnoteReference w:id="21"/>
      </w:r>
    </w:p>
    <w:p w14:paraId="1F83EF28" w14:textId="02017C98"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rPr>
        <w:t>The UN Office of the High Commissioner for Human Rights (OHCHR) has highlighted the fundamental importance, universal recognition and enduring relevance of the right to privacy, and the importance of ensuring proper safeguards in both law and practice.</w:t>
      </w:r>
      <w:r w:rsidRPr="00AA1A20">
        <w:rPr>
          <w:rFonts w:cs="Open Sans"/>
          <w:vertAlign w:val="superscript"/>
        </w:rPr>
        <w:endnoteReference w:id="22"/>
      </w:r>
    </w:p>
    <w:p w14:paraId="237AA168" w14:textId="683C8A99" w:rsidR="00CE04D1" w:rsidRPr="00AA1A20" w:rsidRDefault="00CE04D1" w:rsidP="00F264EC">
      <w:pPr>
        <w:pStyle w:val="ListNumber"/>
        <w:tabs>
          <w:tab w:val="clear" w:pos="360"/>
          <w:tab w:val="num" w:pos="993"/>
          <w:tab w:val="left" w:pos="1418"/>
        </w:tabs>
        <w:ind w:left="709" w:hanging="567"/>
        <w:rPr>
          <w:rFonts w:cs="Open Sans"/>
        </w:rPr>
      </w:pPr>
      <w:r w:rsidRPr="00AA1A20">
        <w:rPr>
          <w:rFonts w:cs="Open Sans"/>
        </w:rPr>
        <w:t>The right to freedom of expression and freedom of opinion have been described by the UN Human Rights Committee (HR Committee) as ‘indispensable conditions for the full development of the person’, ‘essential for any society’ and a ‘foundation stone for every free and democratic society’.</w:t>
      </w:r>
      <w:r w:rsidRPr="0029322D">
        <w:rPr>
          <w:rStyle w:val="EndnoteReference"/>
          <w:vertAlign w:val="superscript"/>
        </w:rPr>
        <w:endnoteReference w:id="23"/>
      </w:r>
      <w:r w:rsidRPr="00AA1A20">
        <w:rPr>
          <w:rFonts w:cs="Open Sans"/>
        </w:rPr>
        <w:t xml:space="preserve"> </w:t>
      </w:r>
    </w:p>
    <w:p w14:paraId="328EDE63" w14:textId="3C3A3FA9" w:rsidR="00CE04D1" w:rsidRPr="00AA1A20" w:rsidRDefault="00CE04D1" w:rsidP="00F264EC">
      <w:pPr>
        <w:pStyle w:val="ListNumber"/>
        <w:tabs>
          <w:tab w:val="clear" w:pos="360"/>
          <w:tab w:val="num" w:pos="993"/>
          <w:tab w:val="left" w:pos="1418"/>
        </w:tabs>
        <w:ind w:left="709" w:hanging="567"/>
        <w:rPr>
          <w:rFonts w:cs="Open Sans"/>
        </w:rPr>
      </w:pPr>
      <w:r w:rsidRPr="00AA1A20">
        <w:rPr>
          <w:rFonts w:cs="Open Sans"/>
        </w:rPr>
        <w:t>These rights are also an essential precondition for the proper protection of</w:t>
      </w:r>
      <w:r w:rsidRPr="00AA1A20">
        <w:rPr>
          <w:rFonts w:cs="Open Sans"/>
          <w:i/>
        </w:rPr>
        <w:t xml:space="preserve"> all</w:t>
      </w:r>
      <w:r w:rsidRPr="00AA1A20">
        <w:rPr>
          <w:rFonts w:cs="Open Sans"/>
        </w:rPr>
        <w:t xml:space="preserve"> human rights,</w:t>
      </w:r>
      <w:r w:rsidRPr="00AA1A20">
        <w:rPr>
          <w:rFonts w:cs="Open Sans"/>
          <w:vertAlign w:val="superscript"/>
        </w:rPr>
        <w:endnoteReference w:id="24"/>
      </w:r>
      <w:r w:rsidRPr="00AA1A20">
        <w:rPr>
          <w:rFonts w:cs="Open Sans"/>
        </w:rPr>
        <w:t xml:space="preserve"> as well as the robust and representative nature of Australian democracy. </w:t>
      </w:r>
    </w:p>
    <w:p w14:paraId="2DF63A02" w14:textId="18632E14" w:rsidR="00CE04D1" w:rsidRPr="00AA1A20" w:rsidRDefault="00CE04D1" w:rsidP="00F264EC">
      <w:pPr>
        <w:pStyle w:val="ListNumber"/>
        <w:tabs>
          <w:tab w:val="clear" w:pos="360"/>
          <w:tab w:val="num" w:pos="993"/>
          <w:tab w:val="left" w:pos="1418"/>
        </w:tabs>
        <w:ind w:left="709" w:hanging="567"/>
        <w:rPr>
          <w:rFonts w:cs="Open Sans"/>
        </w:rPr>
      </w:pPr>
      <w:r w:rsidRPr="00AA1A20">
        <w:rPr>
          <w:rFonts w:cs="Open Sans"/>
        </w:rPr>
        <w:t>By allowing individuals to monitor, discuss and expose the human rights abuses of governments and other actors, the right to freedom of expression is integral to ‘the realisation of the principles of transparency and accountability’.</w:t>
      </w:r>
      <w:r w:rsidRPr="0029322D">
        <w:rPr>
          <w:rStyle w:val="EndnoteReference"/>
          <w:vertAlign w:val="superscript"/>
        </w:rPr>
        <w:endnoteReference w:id="25"/>
      </w:r>
      <w:r w:rsidRPr="00AA1A20">
        <w:rPr>
          <w:rFonts w:cs="Open Sans"/>
        </w:rPr>
        <w:t xml:space="preserve"> It is also necessary for the effective exercise of the right to vote.</w:t>
      </w:r>
      <w:r w:rsidRPr="0029322D">
        <w:rPr>
          <w:rStyle w:val="EndnoteReference"/>
          <w:vertAlign w:val="superscript"/>
        </w:rPr>
        <w:endnoteReference w:id="26"/>
      </w:r>
    </w:p>
    <w:p w14:paraId="5A1C217D" w14:textId="0AA40BA4"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rPr>
        <w:t xml:space="preserve">With the advent of digital law enforcement, the rights to privacy and freedom of expression are newly resonant. </w:t>
      </w:r>
    </w:p>
    <w:p w14:paraId="043D8C2F" w14:textId="759E0537" w:rsidR="00CE04D1" w:rsidRPr="00AA1A20" w:rsidRDefault="00CE04D1" w:rsidP="00B03B63">
      <w:pPr>
        <w:pStyle w:val="ListNumber"/>
        <w:tabs>
          <w:tab w:val="clear" w:pos="360"/>
          <w:tab w:val="num" w:pos="993"/>
          <w:tab w:val="left" w:pos="1418"/>
        </w:tabs>
        <w:ind w:left="709" w:hanging="567"/>
        <w:rPr>
          <w:rFonts w:cs="Open Sans"/>
        </w:rPr>
      </w:pPr>
      <w:r w:rsidRPr="00AA1A20">
        <w:rPr>
          <w:rFonts w:cs="Open Sans"/>
        </w:rPr>
        <w:t xml:space="preserve">Most relevantly, the increasing ability of governments and others to conduct surveillance, intercept and decrypt the online activities of individuals can significantly limit these and other human rights. The </w:t>
      </w:r>
      <w:r w:rsidRPr="00AA1A20">
        <w:rPr>
          <w:rFonts w:cs="Open Sans"/>
        </w:rPr>
        <w:lastRenderedPageBreak/>
        <w:t>proposed access and assistance powers in the draft Bill facilitate digital surveillance and interception by law enforcement agencies, thereby engaging and limiting the same human rights.</w:t>
      </w:r>
    </w:p>
    <w:p w14:paraId="48379D66" w14:textId="2545241D" w:rsidR="00CE04D1" w:rsidRPr="00AA1A20" w:rsidRDefault="00CE04D1" w:rsidP="00B46854">
      <w:pPr>
        <w:pStyle w:val="ListNumber"/>
        <w:tabs>
          <w:tab w:val="clear" w:pos="360"/>
          <w:tab w:val="num" w:pos="993"/>
          <w:tab w:val="left" w:pos="1418"/>
        </w:tabs>
        <w:ind w:left="709" w:hanging="567"/>
        <w:rPr>
          <w:rFonts w:cs="Open Sans"/>
        </w:rPr>
      </w:pPr>
      <w:r w:rsidRPr="00AA1A20">
        <w:rPr>
          <w:rFonts w:cs="Open Sans"/>
        </w:rPr>
        <w:t>In Resolution 68/167 adopted in 2013, the United Nations General Assembly (UNGA) expressed deep concern at the negative impact that government surveillance and the interception of communications may have on the exercise and enjoyment of human rights.</w:t>
      </w:r>
      <w:r w:rsidRPr="0029322D">
        <w:rPr>
          <w:rStyle w:val="EndnoteReference"/>
          <w:vertAlign w:val="superscript"/>
        </w:rPr>
        <w:endnoteReference w:id="27"/>
      </w:r>
      <w:r w:rsidRPr="00AA1A20">
        <w:rPr>
          <w:rFonts w:cs="Open Sans"/>
        </w:rPr>
        <w:t xml:space="preserve"> </w:t>
      </w:r>
    </w:p>
    <w:p w14:paraId="189E1FFC" w14:textId="77777777" w:rsidR="00CE04D1" w:rsidRPr="00AA1A20" w:rsidRDefault="00CE04D1" w:rsidP="00B46854">
      <w:pPr>
        <w:pStyle w:val="ListNumber"/>
        <w:tabs>
          <w:tab w:val="clear" w:pos="360"/>
          <w:tab w:val="num" w:pos="993"/>
          <w:tab w:val="left" w:pos="1418"/>
        </w:tabs>
        <w:ind w:left="709" w:hanging="567"/>
        <w:rPr>
          <w:rFonts w:cs="Open Sans"/>
        </w:rPr>
      </w:pPr>
      <w:r w:rsidRPr="00AA1A20">
        <w:rPr>
          <w:rFonts w:cs="Open Sans"/>
        </w:rPr>
        <w:t xml:space="preserve">The UNGA called on all States to respect and protect the right to privacy in digital communication, and affirmed that human rights </w:t>
      </w:r>
      <w:proofErr w:type="gramStart"/>
      <w:r w:rsidRPr="00AA1A20">
        <w:rPr>
          <w:rFonts w:cs="Open Sans"/>
        </w:rPr>
        <w:t>must be protected</w:t>
      </w:r>
      <w:proofErr w:type="gramEnd"/>
      <w:r w:rsidRPr="00AA1A20">
        <w:rPr>
          <w:rFonts w:cs="Open Sans"/>
        </w:rPr>
        <w:t xml:space="preserve"> online.</w:t>
      </w:r>
      <w:r w:rsidRPr="0029322D">
        <w:rPr>
          <w:rStyle w:val="EndnoteReference"/>
          <w:vertAlign w:val="superscript"/>
        </w:rPr>
        <w:endnoteReference w:id="28"/>
      </w:r>
      <w:r w:rsidRPr="00AA1A20">
        <w:rPr>
          <w:rFonts w:cs="Open Sans"/>
        </w:rPr>
        <w:t xml:space="preserve"> It called on all States to review their procedures, practices and legislation related to communications surveillance, interception and collection of personal data, and emphasised the need to fulfil their obligations under international human rights law.</w:t>
      </w:r>
      <w:r w:rsidRPr="0029322D">
        <w:rPr>
          <w:rStyle w:val="EndnoteReference"/>
          <w:vertAlign w:val="superscript"/>
        </w:rPr>
        <w:endnoteReference w:id="29"/>
      </w:r>
    </w:p>
    <w:p w14:paraId="053DB66E" w14:textId="3C3E45CF" w:rsidR="00CE04D1" w:rsidRPr="00AA1A20" w:rsidRDefault="00CE04D1" w:rsidP="00B46854">
      <w:pPr>
        <w:pStyle w:val="ListNumber"/>
        <w:tabs>
          <w:tab w:val="clear" w:pos="360"/>
          <w:tab w:val="num" w:pos="993"/>
          <w:tab w:val="left" w:pos="1418"/>
        </w:tabs>
        <w:ind w:left="709" w:hanging="567"/>
        <w:rPr>
          <w:rFonts w:cs="Open Sans"/>
        </w:rPr>
      </w:pPr>
      <w:r w:rsidRPr="00AA1A20">
        <w:rPr>
          <w:rFonts w:cs="Open Sans"/>
        </w:rPr>
        <w:t>The OHCHR</w:t>
      </w:r>
      <w:r w:rsidRPr="00AA1A20" w:rsidDel="0090121E">
        <w:rPr>
          <w:rFonts w:cs="Open Sans"/>
        </w:rPr>
        <w:t xml:space="preserve"> </w:t>
      </w:r>
      <w:r w:rsidRPr="00AA1A20">
        <w:rPr>
          <w:rFonts w:cs="Open Sans"/>
        </w:rPr>
        <w:t xml:space="preserve">has stated that electronic surveillance, of both content and metadata, will amount to a </w:t>
      </w:r>
      <w:r w:rsidRPr="00AA1A20">
        <w:rPr>
          <w:rFonts w:cs="Open Sans"/>
          <w:i/>
        </w:rPr>
        <w:t>prima facie</w:t>
      </w:r>
      <w:r w:rsidRPr="00AA1A20">
        <w:rPr>
          <w:rFonts w:cs="Open Sans"/>
        </w:rPr>
        <w:t xml:space="preserve"> interference with privacy: </w:t>
      </w:r>
    </w:p>
    <w:p w14:paraId="2B8C5010" w14:textId="01FB1DE8" w:rsidR="00CE04D1" w:rsidRPr="00AA1A20" w:rsidRDefault="00CE04D1" w:rsidP="00B327AE">
      <w:pPr>
        <w:pStyle w:val="EndnoteText"/>
        <w:rPr>
          <w:rFonts w:cs="Open Sans"/>
        </w:rPr>
      </w:pPr>
      <w:r w:rsidRPr="00AA1A20">
        <w:rPr>
          <w:rFonts w:cs="Open Sans"/>
        </w:rPr>
        <w:t>[A]</w:t>
      </w:r>
      <w:proofErr w:type="spellStart"/>
      <w:r w:rsidRPr="00AA1A20">
        <w:rPr>
          <w:rFonts w:cs="Open Sans"/>
        </w:rPr>
        <w:t>ny</w:t>
      </w:r>
      <w:proofErr w:type="spellEnd"/>
      <w:r w:rsidRPr="00AA1A20">
        <w:rPr>
          <w:rFonts w:cs="Open Sans"/>
        </w:rPr>
        <w:t xml:space="preserve"> capture of communications data is potentially an interference with privacy and, further … the collection and retention of communications data amounts to an interference with privacy whether or not those data are subsequently consulted or used. Even the mere possibility of communications information </w:t>
      </w:r>
      <w:proofErr w:type="gramStart"/>
      <w:r w:rsidRPr="00AA1A20">
        <w:rPr>
          <w:rFonts w:cs="Open Sans"/>
        </w:rPr>
        <w:t>being captured</w:t>
      </w:r>
      <w:proofErr w:type="gramEnd"/>
      <w:r w:rsidRPr="00AA1A20">
        <w:rPr>
          <w:rFonts w:cs="Open Sans"/>
        </w:rPr>
        <w:t xml:space="preserve"> creates an interference with privacy, with a potential chilling effect on rights, including those to free expression and association.</w:t>
      </w:r>
      <w:r w:rsidRPr="0029322D">
        <w:rPr>
          <w:rStyle w:val="EndnoteReference"/>
          <w:vertAlign w:val="superscript"/>
        </w:rPr>
        <w:endnoteReference w:id="30"/>
      </w:r>
    </w:p>
    <w:p w14:paraId="40E82ED5" w14:textId="46C2D6CF" w:rsidR="00CE04D1" w:rsidRPr="00AA1A20" w:rsidRDefault="00CE04D1" w:rsidP="008300A4">
      <w:pPr>
        <w:pStyle w:val="ListNumber"/>
        <w:tabs>
          <w:tab w:val="clear" w:pos="360"/>
          <w:tab w:val="num" w:pos="993"/>
          <w:tab w:val="left" w:pos="1418"/>
        </w:tabs>
        <w:ind w:left="709" w:hanging="567"/>
        <w:rPr>
          <w:rFonts w:cs="Open Sans"/>
          <w:lang w:eastAsia="en-US"/>
        </w:rPr>
      </w:pPr>
      <w:r w:rsidRPr="00AA1A20">
        <w:rPr>
          <w:rFonts w:cs="Open Sans"/>
          <w:lang w:eastAsia="en-US"/>
        </w:rPr>
        <w:t>The ‘chilling effect’ of government surveillance on civil liberties has been described as the self-adjustment of behaviour by the community, even if their actions were not wrongful, in the knowledge that one’s interactions and communications may be recorded and judged by unknown others.</w:t>
      </w:r>
      <w:r w:rsidRPr="0029322D">
        <w:rPr>
          <w:rStyle w:val="EndnoteReference"/>
          <w:vertAlign w:val="superscript"/>
          <w:lang w:eastAsia="en-US"/>
        </w:rPr>
        <w:endnoteReference w:id="31"/>
      </w:r>
    </w:p>
    <w:p w14:paraId="265983FD" w14:textId="3ADFA47B" w:rsidR="00CE04D1" w:rsidRPr="00AA1A20" w:rsidRDefault="00CE04D1" w:rsidP="007210FD">
      <w:pPr>
        <w:pStyle w:val="ListNumber"/>
        <w:tabs>
          <w:tab w:val="clear" w:pos="360"/>
          <w:tab w:val="num" w:pos="993"/>
          <w:tab w:val="left" w:pos="1418"/>
        </w:tabs>
        <w:ind w:left="709" w:hanging="567"/>
        <w:rPr>
          <w:rFonts w:cs="Open Sans"/>
          <w:lang w:eastAsia="en-US"/>
        </w:rPr>
      </w:pPr>
      <w:r w:rsidRPr="00AA1A20">
        <w:rPr>
          <w:rFonts w:cs="Open Sans"/>
        </w:rPr>
        <w:t xml:space="preserve">Other human rights </w:t>
      </w:r>
      <w:proofErr w:type="gramStart"/>
      <w:r w:rsidRPr="00AA1A20">
        <w:rPr>
          <w:rFonts w:cs="Open Sans"/>
        </w:rPr>
        <w:t>may also be inappropriately limited</w:t>
      </w:r>
      <w:proofErr w:type="gramEnd"/>
      <w:r w:rsidRPr="00AA1A20">
        <w:rPr>
          <w:rFonts w:cs="Open Sans"/>
        </w:rPr>
        <w:t xml:space="preserve"> by the unnecessary or disproportionate exercise of digital surveillance and interception by law </w:t>
      </w:r>
      <w:r w:rsidRPr="00AA1A20">
        <w:rPr>
          <w:rFonts w:cs="Open Sans"/>
          <w:lang w:eastAsia="en-US"/>
        </w:rPr>
        <w:t>enforcement</w:t>
      </w:r>
      <w:r w:rsidRPr="00AA1A20">
        <w:rPr>
          <w:rFonts w:cs="Open Sans"/>
        </w:rPr>
        <w:t xml:space="preserve"> agencies. These include a person’s enjoyment of their rights to freedom of religion, a fair hearing and equality.</w:t>
      </w:r>
      <w:r w:rsidRPr="0029322D">
        <w:rPr>
          <w:rStyle w:val="EndnoteReference"/>
          <w:vertAlign w:val="superscript"/>
        </w:rPr>
        <w:endnoteReference w:id="32"/>
      </w:r>
      <w:r w:rsidRPr="00AA1A20">
        <w:rPr>
          <w:rFonts w:cs="Open Sans"/>
        </w:rPr>
        <w:t xml:space="preserve"> </w:t>
      </w:r>
    </w:p>
    <w:p w14:paraId="532935E2" w14:textId="460E6FB6" w:rsidR="00CE04D1" w:rsidRPr="00AA1A20" w:rsidRDefault="00CE04D1" w:rsidP="00874B56">
      <w:pPr>
        <w:pStyle w:val="ListNumber"/>
        <w:tabs>
          <w:tab w:val="clear" w:pos="360"/>
          <w:tab w:val="num" w:pos="993"/>
          <w:tab w:val="left" w:pos="1418"/>
        </w:tabs>
        <w:ind w:left="709" w:hanging="567"/>
        <w:rPr>
          <w:rFonts w:cs="Open Sans"/>
        </w:rPr>
      </w:pPr>
      <w:r w:rsidRPr="00AA1A20">
        <w:rPr>
          <w:rFonts w:cs="Open Sans"/>
        </w:rPr>
        <w:t xml:space="preserve">For example, there is a risk of digital surveillance powers being used to monitor persons inappropriately </w:t>
      </w:r>
      <w:proofErr w:type="gramStart"/>
      <w:r w:rsidRPr="00AA1A20">
        <w:rPr>
          <w:rFonts w:cs="Open Sans"/>
        </w:rPr>
        <w:t>on the basis of</w:t>
      </w:r>
      <w:proofErr w:type="gramEnd"/>
      <w:r w:rsidRPr="00AA1A20">
        <w:rPr>
          <w:rFonts w:cs="Open Sans"/>
        </w:rPr>
        <w:t xml:space="preserve"> their race, religion or political opinions. Also concerning is the potential for targeting of journalists, whistle-blowers, opposition politicians, human rights defenders</w:t>
      </w:r>
      <w:r w:rsidRPr="0029322D">
        <w:rPr>
          <w:rStyle w:val="EndnoteReference"/>
          <w:vertAlign w:val="superscript"/>
        </w:rPr>
        <w:endnoteReference w:id="33"/>
      </w:r>
      <w:r w:rsidRPr="00AA1A20">
        <w:rPr>
          <w:rFonts w:cs="Open Sans"/>
        </w:rPr>
        <w:t xml:space="preserve"> and persons exercising lawful public dissent. Children’s rights </w:t>
      </w:r>
      <w:proofErr w:type="gramStart"/>
      <w:r w:rsidRPr="00AA1A20">
        <w:rPr>
          <w:rFonts w:cs="Open Sans"/>
        </w:rPr>
        <w:t>may also be affected</w:t>
      </w:r>
      <w:proofErr w:type="gramEnd"/>
      <w:r w:rsidRPr="00AA1A20">
        <w:rPr>
          <w:rFonts w:cs="Open Sans"/>
        </w:rPr>
        <w:t xml:space="preserve"> by the use of the proposed coercive powers on underage providers, or to compel a minor to give access to a device. Such human rights impacts </w:t>
      </w:r>
      <w:proofErr w:type="gramStart"/>
      <w:r w:rsidRPr="00AA1A20">
        <w:rPr>
          <w:rFonts w:cs="Open Sans"/>
        </w:rPr>
        <w:t>are not addressed</w:t>
      </w:r>
      <w:proofErr w:type="gramEnd"/>
      <w:r w:rsidRPr="00AA1A20">
        <w:rPr>
          <w:rFonts w:cs="Open Sans"/>
        </w:rPr>
        <w:t xml:space="preserve"> in the present submission, but merit further consideration.</w:t>
      </w:r>
      <w:r w:rsidRPr="0029322D">
        <w:rPr>
          <w:rStyle w:val="EndnoteReference"/>
          <w:vertAlign w:val="superscript"/>
        </w:rPr>
        <w:endnoteReference w:id="34"/>
      </w:r>
    </w:p>
    <w:p w14:paraId="6F05090C" w14:textId="36E33432" w:rsidR="00CE04D1" w:rsidRPr="00AA1A20" w:rsidRDefault="00CE04D1" w:rsidP="007210FD">
      <w:pPr>
        <w:pStyle w:val="ListNumber"/>
        <w:tabs>
          <w:tab w:val="clear" w:pos="360"/>
          <w:tab w:val="num" w:pos="993"/>
          <w:tab w:val="left" w:pos="1418"/>
        </w:tabs>
        <w:ind w:left="709" w:hanging="567"/>
        <w:rPr>
          <w:rFonts w:cs="Open Sans"/>
        </w:rPr>
      </w:pPr>
      <w:r w:rsidRPr="00AA1A20">
        <w:rPr>
          <w:rFonts w:cs="Open Sans"/>
        </w:rPr>
        <w:lastRenderedPageBreak/>
        <w:t>Given the potentially significant and far-reaching consequences of the draft Bill on human rights, it is crucial to ensure that any rights limitations are necessary and proportionate. Part of achieving human rights compatibility is the provision of effective safeguards and oversight mechanisms.</w:t>
      </w:r>
    </w:p>
    <w:p w14:paraId="2F390B6B" w14:textId="77777777" w:rsidR="00CE04D1" w:rsidRPr="00AA1A20" w:rsidRDefault="00CE04D1" w:rsidP="008F3148">
      <w:pPr>
        <w:pStyle w:val="Heading2"/>
        <w:tabs>
          <w:tab w:val="clear" w:pos="851"/>
          <w:tab w:val="num" w:pos="1418"/>
        </w:tabs>
        <w:rPr>
          <w:rFonts w:cs="Open Sans"/>
        </w:rPr>
      </w:pPr>
      <w:bookmarkStart w:id="58" w:name="_Toc524352496"/>
      <w:r w:rsidRPr="00AA1A20">
        <w:rPr>
          <w:rFonts w:cs="Open Sans"/>
        </w:rPr>
        <w:t>Right to privacy</w:t>
      </w:r>
      <w:bookmarkEnd w:id="58"/>
    </w:p>
    <w:p w14:paraId="3A77DDAA" w14:textId="77777777" w:rsidR="00CE04D1" w:rsidRPr="00AA1A20" w:rsidRDefault="00CE04D1" w:rsidP="007210FD">
      <w:pPr>
        <w:pStyle w:val="ListNumber"/>
        <w:tabs>
          <w:tab w:val="clear" w:pos="360"/>
          <w:tab w:val="num" w:pos="993"/>
          <w:tab w:val="left" w:pos="1418"/>
        </w:tabs>
        <w:ind w:left="709" w:hanging="567"/>
        <w:rPr>
          <w:rFonts w:cs="Open Sans"/>
        </w:rPr>
      </w:pPr>
      <w:r w:rsidRPr="00AA1A20">
        <w:rPr>
          <w:rFonts w:cs="Open Sans"/>
        </w:rPr>
        <w:t>Article 17 of the ICCPR enumerates the right to privacy as follows:</w:t>
      </w:r>
    </w:p>
    <w:p w14:paraId="237F9BC6" w14:textId="53099C12" w:rsidR="00CE04D1" w:rsidRPr="00AA1A20" w:rsidRDefault="00CE04D1" w:rsidP="00A07162">
      <w:pPr>
        <w:pStyle w:val="EndnoteText"/>
        <w:ind w:left="1491" w:hanging="357"/>
        <w:rPr>
          <w:rFonts w:cs="Open Sans"/>
        </w:rPr>
      </w:pPr>
      <w:r w:rsidRPr="00AA1A20">
        <w:rPr>
          <w:rFonts w:cs="Open Sans"/>
        </w:rPr>
        <w:t xml:space="preserve">1. </w:t>
      </w:r>
      <w:r w:rsidR="00FC6724">
        <w:rPr>
          <w:rFonts w:cs="Open Sans"/>
        </w:rPr>
        <w:tab/>
      </w:r>
      <w:r w:rsidRPr="00AA1A20">
        <w:rPr>
          <w:rFonts w:cs="Open Sans"/>
        </w:rPr>
        <w:t xml:space="preserve">No one </w:t>
      </w:r>
      <w:proofErr w:type="gramStart"/>
      <w:r w:rsidRPr="00AA1A20">
        <w:rPr>
          <w:rFonts w:cs="Open Sans"/>
        </w:rPr>
        <w:t>shall be subjected</w:t>
      </w:r>
      <w:proofErr w:type="gramEnd"/>
      <w:r w:rsidRPr="00AA1A20">
        <w:rPr>
          <w:rFonts w:cs="Open Sans"/>
        </w:rPr>
        <w:t xml:space="preserve"> to arbitrary or unlawful interference with his privacy, family, home or correspondence, nor to unlawful attacks on his honour and reputation. </w:t>
      </w:r>
    </w:p>
    <w:p w14:paraId="7187CCAC" w14:textId="43BBED06" w:rsidR="00CE04D1" w:rsidRPr="00AA1A20" w:rsidRDefault="00CE04D1" w:rsidP="00A07162">
      <w:pPr>
        <w:pStyle w:val="EndnoteText"/>
        <w:tabs>
          <w:tab w:val="left" w:pos="1418"/>
        </w:tabs>
        <w:ind w:left="1491" w:hanging="357"/>
        <w:rPr>
          <w:rFonts w:cs="Open Sans"/>
        </w:rPr>
      </w:pPr>
      <w:r w:rsidRPr="00AA1A20">
        <w:rPr>
          <w:rFonts w:cs="Open Sans"/>
        </w:rPr>
        <w:t xml:space="preserve">2. </w:t>
      </w:r>
      <w:r w:rsidR="00FC6724">
        <w:rPr>
          <w:rFonts w:cs="Open Sans"/>
        </w:rPr>
        <w:tab/>
      </w:r>
      <w:r w:rsidR="00FC6724">
        <w:rPr>
          <w:rFonts w:cs="Open Sans"/>
        </w:rPr>
        <w:tab/>
      </w:r>
      <w:r w:rsidRPr="00AA1A20">
        <w:rPr>
          <w:rFonts w:cs="Open Sans"/>
        </w:rPr>
        <w:t xml:space="preserve">Everyone has the right to the protection of the law against such interference or attacks. </w:t>
      </w:r>
    </w:p>
    <w:p w14:paraId="01C3E936" w14:textId="77777777" w:rsidR="00CE04D1" w:rsidRPr="00AA1A20" w:rsidRDefault="00CE04D1" w:rsidP="007210FD">
      <w:pPr>
        <w:pStyle w:val="ListNumber"/>
        <w:tabs>
          <w:tab w:val="clear" w:pos="360"/>
          <w:tab w:val="num" w:pos="993"/>
          <w:tab w:val="left" w:pos="1418"/>
        </w:tabs>
        <w:ind w:left="709" w:hanging="567"/>
        <w:rPr>
          <w:rFonts w:cs="Open Sans"/>
        </w:rPr>
      </w:pPr>
      <w:r w:rsidRPr="00AA1A20">
        <w:rPr>
          <w:rFonts w:cs="Open Sans"/>
        </w:rPr>
        <w:t xml:space="preserve">The right to privacy protects communications made in private, and </w:t>
      </w:r>
      <w:proofErr w:type="gramStart"/>
      <w:r w:rsidRPr="00AA1A20">
        <w:rPr>
          <w:rFonts w:cs="Open Sans"/>
        </w:rPr>
        <w:t>is also</w:t>
      </w:r>
      <w:proofErr w:type="gramEnd"/>
      <w:r w:rsidRPr="00AA1A20">
        <w:rPr>
          <w:rFonts w:cs="Open Sans"/>
        </w:rPr>
        <w:t xml:space="preserve"> applicable to the collection and use of personal information by government.</w:t>
      </w:r>
    </w:p>
    <w:p w14:paraId="53D66082" w14:textId="01F1F2F2" w:rsidR="00CE04D1" w:rsidRPr="00AA1A20" w:rsidRDefault="00CE04D1" w:rsidP="00837AA5">
      <w:pPr>
        <w:pStyle w:val="ListNumber"/>
        <w:tabs>
          <w:tab w:val="clear" w:pos="360"/>
          <w:tab w:val="num" w:pos="993"/>
          <w:tab w:val="left" w:pos="1418"/>
        </w:tabs>
        <w:ind w:left="709" w:hanging="567"/>
        <w:rPr>
          <w:rFonts w:cs="Open Sans"/>
        </w:rPr>
      </w:pPr>
      <w:r w:rsidRPr="00AA1A20">
        <w:rPr>
          <w:rFonts w:cs="Open Sans"/>
        </w:rPr>
        <w:t xml:space="preserve">The right to privacy is especially important in the context of the draft Bill, given the narrow conception of privacy in Australian law and limited protection against invasion of privacy in our common law. Further, some intelligence agencies, including ASIO, are exempt from the operation of the </w:t>
      </w:r>
      <w:r w:rsidRPr="00AA1A20">
        <w:rPr>
          <w:rFonts w:cs="Open Sans"/>
          <w:i/>
        </w:rPr>
        <w:t>Privacy Act 1988</w:t>
      </w:r>
      <w:r w:rsidRPr="00AA1A20">
        <w:rPr>
          <w:rFonts w:cs="Open Sans"/>
        </w:rPr>
        <w:t xml:space="preserve"> (Cth). </w:t>
      </w:r>
    </w:p>
    <w:p w14:paraId="6241354A" w14:textId="77777777" w:rsidR="00CE04D1" w:rsidRPr="00AA1A20" w:rsidRDefault="00CE04D1" w:rsidP="00837AA5">
      <w:pPr>
        <w:pStyle w:val="ListNumber"/>
        <w:tabs>
          <w:tab w:val="clear" w:pos="360"/>
          <w:tab w:val="num" w:pos="993"/>
          <w:tab w:val="left" w:pos="1418"/>
        </w:tabs>
        <w:ind w:left="709" w:hanging="567"/>
        <w:rPr>
          <w:rFonts w:cs="Open Sans"/>
        </w:rPr>
      </w:pPr>
      <w:r w:rsidRPr="00AA1A20">
        <w:rPr>
          <w:rFonts w:cs="Open Sans"/>
        </w:rPr>
        <w:t xml:space="preserve">Under human rights law, any interference with the right to privacy must be lawful and non-arbitrary. </w:t>
      </w:r>
    </w:p>
    <w:p w14:paraId="7AA65576" w14:textId="32E06F36" w:rsidR="00CE04D1" w:rsidRPr="00AA1A20" w:rsidRDefault="00CE04D1" w:rsidP="009E5B62">
      <w:pPr>
        <w:pStyle w:val="ListNumber"/>
        <w:tabs>
          <w:tab w:val="clear" w:pos="360"/>
          <w:tab w:val="num" w:pos="993"/>
          <w:tab w:val="left" w:pos="1418"/>
        </w:tabs>
        <w:ind w:left="709" w:hanging="567"/>
        <w:rPr>
          <w:rFonts w:cs="Open Sans"/>
        </w:rPr>
      </w:pPr>
      <w:r w:rsidRPr="00AA1A20">
        <w:rPr>
          <w:rFonts w:cs="Open Sans"/>
        </w:rPr>
        <w:t xml:space="preserve">‘Lawful’ means that </w:t>
      </w:r>
      <w:proofErr w:type="gramStart"/>
      <w:r w:rsidRPr="00AA1A20">
        <w:rPr>
          <w:rFonts w:cs="Open Sans"/>
        </w:rPr>
        <w:t>limitations must be provided for by law</w:t>
      </w:r>
      <w:proofErr w:type="gramEnd"/>
      <w:r w:rsidRPr="00AA1A20">
        <w:rPr>
          <w:rFonts w:cs="Open Sans"/>
        </w:rPr>
        <w:t xml:space="preserve"> in a precise and clear manner to allow individuals to regulate their conduct. The UN HR Committee has explained the requirements of lawfulness as follows:</w:t>
      </w:r>
    </w:p>
    <w:p w14:paraId="5A297A30" w14:textId="7784CADF" w:rsidR="00CE04D1" w:rsidRPr="00AA1A20" w:rsidRDefault="00CE04D1" w:rsidP="00B327AE">
      <w:pPr>
        <w:pStyle w:val="EndnoteText"/>
        <w:rPr>
          <w:rFonts w:cs="Open Sans"/>
        </w:rPr>
      </w:pPr>
      <w:r w:rsidRPr="00AA1A20">
        <w:rPr>
          <w:rFonts w:cs="Open Sans"/>
        </w:rPr>
        <w:t xml:space="preserve">Relevant legislation must specify in detail the precise circumstances in which such interferences </w:t>
      </w:r>
      <w:proofErr w:type="gramStart"/>
      <w:r w:rsidRPr="00AA1A20">
        <w:rPr>
          <w:rFonts w:cs="Open Sans"/>
        </w:rPr>
        <w:t>may be permitted</w:t>
      </w:r>
      <w:proofErr w:type="gramEnd"/>
      <w:r w:rsidRPr="00AA1A20">
        <w:rPr>
          <w:rFonts w:cs="Open Sans"/>
        </w:rPr>
        <w:t xml:space="preserve">. A decision to make use of such </w:t>
      </w:r>
      <w:proofErr w:type="spellStart"/>
      <w:r w:rsidRPr="00AA1A20">
        <w:rPr>
          <w:rFonts w:cs="Open Sans"/>
        </w:rPr>
        <w:t>authorised</w:t>
      </w:r>
      <w:proofErr w:type="spellEnd"/>
      <w:r w:rsidRPr="00AA1A20">
        <w:rPr>
          <w:rFonts w:cs="Open Sans"/>
        </w:rPr>
        <w:t xml:space="preserve"> interference </w:t>
      </w:r>
      <w:proofErr w:type="gramStart"/>
      <w:r w:rsidRPr="00AA1A20">
        <w:rPr>
          <w:rFonts w:cs="Open Sans"/>
        </w:rPr>
        <w:t>must be made</w:t>
      </w:r>
      <w:proofErr w:type="gramEnd"/>
      <w:r w:rsidRPr="00AA1A20">
        <w:rPr>
          <w:rFonts w:cs="Open Sans"/>
        </w:rPr>
        <w:t xml:space="preserve"> only by the authority designated under the law, and on a case-by-case basis.</w:t>
      </w:r>
      <w:r w:rsidRPr="00102D26">
        <w:rPr>
          <w:rStyle w:val="EndnoteReference"/>
          <w:vertAlign w:val="superscript"/>
        </w:rPr>
        <w:endnoteReference w:id="35"/>
      </w:r>
    </w:p>
    <w:p w14:paraId="04417A0E" w14:textId="4566383F" w:rsidR="00CE04D1" w:rsidRPr="00AA1A20" w:rsidRDefault="00CE04D1" w:rsidP="009E5B62">
      <w:pPr>
        <w:pStyle w:val="ListNumber"/>
        <w:tabs>
          <w:tab w:val="clear" w:pos="360"/>
          <w:tab w:val="num" w:pos="993"/>
          <w:tab w:val="left" w:pos="1418"/>
        </w:tabs>
        <w:ind w:left="709" w:hanging="567"/>
        <w:rPr>
          <w:rFonts w:cs="Open Sans"/>
        </w:rPr>
      </w:pPr>
      <w:r w:rsidRPr="00AA1A20">
        <w:rPr>
          <w:rFonts w:cs="Open Sans"/>
        </w:rPr>
        <w:t>As stated by the OHCHR, ‘non-arbitrary’ means that any interference must be in accordance with the provisions, aims and objectives of the ICCPR and should be reasonable—that is, proportionate and necessary to achieve a legitimate objective—in the particular circumstances.</w:t>
      </w:r>
      <w:r w:rsidRPr="00102D26">
        <w:rPr>
          <w:rStyle w:val="EndnoteReference"/>
          <w:vertAlign w:val="superscript"/>
        </w:rPr>
        <w:endnoteReference w:id="36"/>
      </w:r>
      <w:r w:rsidRPr="00AA1A20">
        <w:rPr>
          <w:rFonts w:cs="Open Sans"/>
        </w:rPr>
        <w:t xml:space="preserve"> </w:t>
      </w:r>
    </w:p>
    <w:p w14:paraId="5EF40CCD" w14:textId="41932C2A" w:rsidR="00CE04D1" w:rsidRPr="00AA1A20" w:rsidRDefault="00CE04D1" w:rsidP="004441C1">
      <w:pPr>
        <w:pStyle w:val="ListNumber"/>
        <w:tabs>
          <w:tab w:val="clear" w:pos="360"/>
          <w:tab w:val="num" w:pos="993"/>
          <w:tab w:val="left" w:pos="1418"/>
        </w:tabs>
        <w:ind w:left="709" w:hanging="567"/>
        <w:rPr>
          <w:rFonts w:cs="Open Sans"/>
        </w:rPr>
      </w:pPr>
      <w:r w:rsidRPr="00AA1A20">
        <w:rPr>
          <w:rFonts w:cs="Open Sans"/>
        </w:rPr>
        <w:t>Further, for a limitation on the right to privacy to be compatible with human rights:</w:t>
      </w:r>
    </w:p>
    <w:p w14:paraId="539C0AA2" w14:textId="61E97A98" w:rsidR="00CE04D1" w:rsidRPr="00AA1A20" w:rsidRDefault="00CE04D1" w:rsidP="00B327AE">
      <w:pPr>
        <w:pStyle w:val="EndnoteText"/>
        <w:rPr>
          <w:rFonts w:cs="Open Sans"/>
        </w:rPr>
      </w:pPr>
      <w:r w:rsidRPr="00AA1A20">
        <w:rPr>
          <w:rFonts w:cs="Open Sans"/>
        </w:rPr>
        <w:t xml:space="preserve">The limitation must be necessary for reaching a legitimate aim, as well as in proportion to the aim and the least intrusive option available. Moreover, the limitation placed on the right (an interference with privacy, for example, for </w:t>
      </w:r>
      <w:r w:rsidRPr="00AA1A20">
        <w:rPr>
          <w:rFonts w:cs="Open Sans"/>
        </w:rPr>
        <w:lastRenderedPageBreak/>
        <w:t xml:space="preserve">the purposes of protecting national security or the right to life of others) must be shown to have some chance of achieving that goal. The onus is on the authorities seeking to limit the right to show that the limitation </w:t>
      </w:r>
      <w:proofErr w:type="gramStart"/>
      <w:r w:rsidRPr="00AA1A20">
        <w:rPr>
          <w:rFonts w:cs="Open Sans"/>
        </w:rPr>
        <w:t>is connected</w:t>
      </w:r>
      <w:proofErr w:type="gramEnd"/>
      <w:r w:rsidRPr="00AA1A20">
        <w:rPr>
          <w:rFonts w:cs="Open Sans"/>
        </w:rPr>
        <w:t xml:space="preserve"> to a legitimate aim. Furthermore, any limitation to the right to privacy must not render the essence of the right meaningless and must be consistent with other human rights, including the prohibition of discrimination. Where the limitation does not meet these criteria, the limitation would be unlawful and/or the interference with the right to privacy would be arbitrary.</w:t>
      </w:r>
      <w:r w:rsidRPr="00102D26">
        <w:rPr>
          <w:rStyle w:val="EndnoteReference"/>
          <w:vertAlign w:val="superscript"/>
        </w:rPr>
        <w:endnoteReference w:id="37"/>
      </w:r>
    </w:p>
    <w:p w14:paraId="2450D3DA" w14:textId="77777777" w:rsidR="00CE04D1" w:rsidRPr="00AA1A20" w:rsidRDefault="00CE04D1" w:rsidP="008F3148">
      <w:pPr>
        <w:pStyle w:val="Heading2"/>
        <w:tabs>
          <w:tab w:val="clear" w:pos="851"/>
          <w:tab w:val="num" w:pos="1418"/>
        </w:tabs>
        <w:rPr>
          <w:rFonts w:cs="Open Sans"/>
        </w:rPr>
      </w:pPr>
      <w:bookmarkStart w:id="59" w:name="_Toc524352497"/>
      <w:r w:rsidRPr="00AA1A20">
        <w:rPr>
          <w:rFonts w:cs="Open Sans"/>
        </w:rPr>
        <w:t>Right to freedom of expression</w:t>
      </w:r>
      <w:bookmarkEnd w:id="59"/>
    </w:p>
    <w:p w14:paraId="4BDC145B" w14:textId="77777777" w:rsidR="00CE04D1" w:rsidRPr="00AA1A20" w:rsidRDefault="00CE04D1" w:rsidP="004441C1">
      <w:pPr>
        <w:pStyle w:val="ListNumber"/>
        <w:tabs>
          <w:tab w:val="clear" w:pos="360"/>
          <w:tab w:val="num" w:pos="993"/>
          <w:tab w:val="left" w:pos="1418"/>
        </w:tabs>
        <w:ind w:left="709" w:hanging="567"/>
        <w:rPr>
          <w:rFonts w:cs="Open Sans"/>
          <w:sz w:val="23"/>
          <w:szCs w:val="23"/>
        </w:rPr>
      </w:pPr>
      <w:r w:rsidRPr="00AA1A20">
        <w:rPr>
          <w:rFonts w:cs="Open Sans"/>
        </w:rPr>
        <w:t xml:space="preserve">Article 19 of the ICCPR protects the right to freedom of expression: </w:t>
      </w:r>
    </w:p>
    <w:p w14:paraId="5505CFCF" w14:textId="77777777" w:rsidR="00CE04D1" w:rsidRPr="00AA1A20" w:rsidRDefault="00CE04D1" w:rsidP="00B327AE">
      <w:pPr>
        <w:pStyle w:val="EndnoteText"/>
        <w:rPr>
          <w:rFonts w:cs="Open Sans"/>
        </w:rPr>
      </w:pPr>
      <w:r w:rsidRPr="00AA1A20">
        <w:rPr>
          <w:rFonts w:cs="Open Sans"/>
        </w:rPr>
        <w:t xml:space="preserve">1. Everyone shall have the right to hold opinions without interference. </w:t>
      </w:r>
    </w:p>
    <w:p w14:paraId="5B020F7D" w14:textId="77777777" w:rsidR="00CE04D1" w:rsidRPr="00AA1A20" w:rsidRDefault="00CE04D1" w:rsidP="00221CEF">
      <w:pPr>
        <w:pStyle w:val="EndnoteText"/>
        <w:ind w:left="1418" w:hanging="284"/>
        <w:rPr>
          <w:rFonts w:cs="Open Sans"/>
        </w:rPr>
      </w:pPr>
      <w:r w:rsidRPr="00AA1A20">
        <w:rPr>
          <w:rFonts w:cs="Open Sans"/>
        </w:rPr>
        <w:t xml:space="preserve">2. Everyone shall have the right to freedom of expression; this right shall include freedom to seek, receive and impart information and ideas of all kinds, regardless of frontiers, </w:t>
      </w:r>
      <w:proofErr w:type="gramStart"/>
      <w:r w:rsidRPr="00AA1A20">
        <w:rPr>
          <w:rFonts w:cs="Open Sans"/>
        </w:rPr>
        <w:t>either orally,</w:t>
      </w:r>
      <w:proofErr w:type="gramEnd"/>
      <w:r w:rsidRPr="00AA1A20">
        <w:rPr>
          <w:rFonts w:cs="Open Sans"/>
        </w:rPr>
        <w:t xml:space="preserve"> in writing or in print, in the form of art, or through any other media of his choice. </w:t>
      </w:r>
    </w:p>
    <w:p w14:paraId="79191FB3" w14:textId="77777777" w:rsidR="00CE04D1" w:rsidRPr="00AA1A20" w:rsidRDefault="00CE04D1" w:rsidP="00221CEF">
      <w:pPr>
        <w:pStyle w:val="EndnoteText"/>
        <w:ind w:left="1418" w:hanging="284"/>
        <w:rPr>
          <w:rFonts w:cs="Open Sans"/>
        </w:rPr>
      </w:pPr>
      <w:r w:rsidRPr="00AA1A20">
        <w:rPr>
          <w:rFonts w:cs="Open Sans"/>
        </w:rPr>
        <w:t xml:space="preserve">3. The exercise of the rights provided for in paragraph 2 of this article carries with it special duties and responsibilities. It may therefore be subject to certain restrictions, but these shall only be such as </w:t>
      </w:r>
      <w:proofErr w:type="gramStart"/>
      <w:r w:rsidRPr="00AA1A20">
        <w:rPr>
          <w:rFonts w:cs="Open Sans"/>
        </w:rPr>
        <w:t>are provided</w:t>
      </w:r>
      <w:proofErr w:type="gramEnd"/>
      <w:r w:rsidRPr="00AA1A20">
        <w:rPr>
          <w:rFonts w:cs="Open Sans"/>
        </w:rPr>
        <w:t xml:space="preserve"> by law and are necessary: </w:t>
      </w:r>
    </w:p>
    <w:p w14:paraId="53E20871" w14:textId="77777777" w:rsidR="00CE04D1" w:rsidRPr="00AA1A20" w:rsidRDefault="00CE04D1" w:rsidP="00221CEF">
      <w:pPr>
        <w:pStyle w:val="EndnoteText"/>
        <w:ind w:left="1418"/>
        <w:rPr>
          <w:rFonts w:cs="Open Sans"/>
        </w:rPr>
      </w:pPr>
      <w:r w:rsidRPr="00AA1A20">
        <w:rPr>
          <w:rFonts w:cs="Open Sans"/>
        </w:rPr>
        <w:t xml:space="preserve">(a) For respect of the rights or reputations of others; </w:t>
      </w:r>
    </w:p>
    <w:p w14:paraId="216ABEFA" w14:textId="77777777" w:rsidR="00CE04D1" w:rsidRPr="00AA1A20" w:rsidRDefault="00CE04D1" w:rsidP="00221CEF">
      <w:pPr>
        <w:pStyle w:val="EndnoteText"/>
        <w:ind w:left="1418"/>
        <w:rPr>
          <w:rFonts w:cs="Open Sans"/>
        </w:rPr>
      </w:pPr>
      <w:r w:rsidRPr="00AA1A20">
        <w:rPr>
          <w:rFonts w:cs="Open Sans"/>
        </w:rPr>
        <w:t>(b) For the protection of national security or of public order (</w:t>
      </w:r>
      <w:r w:rsidRPr="00AA1A20">
        <w:rPr>
          <w:rFonts w:cs="Open Sans"/>
          <w:i/>
        </w:rPr>
        <w:t>ordre public</w:t>
      </w:r>
      <w:r w:rsidRPr="00AA1A20">
        <w:rPr>
          <w:rFonts w:cs="Open Sans"/>
        </w:rPr>
        <w:t>), or of public health or morals.</w:t>
      </w:r>
    </w:p>
    <w:p w14:paraId="172D5431" w14:textId="7E1F6F32" w:rsidR="00CE04D1" w:rsidRPr="00AA1A20" w:rsidRDefault="00CE04D1" w:rsidP="00C0620D">
      <w:pPr>
        <w:pStyle w:val="ListNumber"/>
        <w:tabs>
          <w:tab w:val="clear" w:pos="360"/>
          <w:tab w:val="num" w:pos="993"/>
          <w:tab w:val="left" w:pos="1418"/>
        </w:tabs>
        <w:ind w:left="709" w:hanging="567"/>
        <w:rPr>
          <w:rFonts w:cs="Open Sans"/>
        </w:rPr>
      </w:pPr>
      <w:r w:rsidRPr="00AA1A20">
        <w:rPr>
          <w:rFonts w:cs="Open Sans"/>
        </w:rPr>
        <w:t>The right to freedom of expression protects all forms of communication, including ‘political discourse, commentary on one’s own and on public affairs, canvassing, discussion of human rights, journalism, cultural and artistic expression, teaching and religious discourse’.</w:t>
      </w:r>
      <w:r w:rsidRPr="00102D26">
        <w:rPr>
          <w:rStyle w:val="EndnoteReference"/>
          <w:vertAlign w:val="superscript"/>
        </w:rPr>
        <w:endnoteReference w:id="38"/>
      </w:r>
      <w:r w:rsidRPr="00AA1A20">
        <w:rPr>
          <w:rFonts w:cs="Open Sans"/>
        </w:rPr>
        <w:t xml:space="preserve"> It also protects the freedom to seek, receive and impart information and ideas of all kinds, free from unlawful interference.</w:t>
      </w:r>
    </w:p>
    <w:p w14:paraId="41038756" w14:textId="67C5CC15" w:rsidR="00CE04D1" w:rsidRPr="00AA1A20" w:rsidRDefault="00CE04D1" w:rsidP="00612FA1">
      <w:pPr>
        <w:pStyle w:val="ListNumber"/>
        <w:tabs>
          <w:tab w:val="clear" w:pos="360"/>
          <w:tab w:val="num" w:pos="993"/>
          <w:tab w:val="left" w:pos="1418"/>
        </w:tabs>
        <w:ind w:left="709" w:hanging="567"/>
        <w:rPr>
          <w:rFonts w:cs="Open Sans"/>
        </w:rPr>
      </w:pPr>
      <w:r w:rsidRPr="00AA1A20">
        <w:rPr>
          <w:rFonts w:cs="Open Sans"/>
        </w:rPr>
        <w:t xml:space="preserve">However, free speech is not an absolute right and can be limited, as indicated in article 19(3). Any limitation must be lawful, necessary and proportionate to achieve a legitimate objective within the scope of article 19(3). This includes limitations for the protection </w:t>
      </w:r>
      <w:proofErr w:type="gramStart"/>
      <w:r w:rsidRPr="00AA1A20">
        <w:rPr>
          <w:rFonts w:cs="Open Sans"/>
        </w:rPr>
        <w:t>of national security or to protect the rights of others, meaning human rights under international human rights law, including the ICCPR</w:t>
      </w:r>
      <w:proofErr w:type="gramEnd"/>
      <w:r w:rsidRPr="00AA1A20">
        <w:rPr>
          <w:rFonts w:cs="Open Sans"/>
        </w:rPr>
        <w:t>.</w:t>
      </w:r>
      <w:r w:rsidRPr="00102D26">
        <w:rPr>
          <w:rStyle w:val="EndnoteReference"/>
          <w:vertAlign w:val="superscript"/>
        </w:rPr>
        <w:endnoteReference w:id="39"/>
      </w:r>
      <w:r w:rsidRPr="00AA1A20">
        <w:rPr>
          <w:rFonts w:cs="Open Sans"/>
        </w:rPr>
        <w:t xml:space="preserve"> </w:t>
      </w:r>
    </w:p>
    <w:p w14:paraId="3F6BB62C" w14:textId="46123002" w:rsidR="00CE04D1" w:rsidRPr="00AA1A20" w:rsidRDefault="00CE04D1" w:rsidP="00AA1A20">
      <w:pPr>
        <w:pStyle w:val="ListNumber"/>
        <w:tabs>
          <w:tab w:val="clear" w:pos="360"/>
          <w:tab w:val="num" w:pos="993"/>
          <w:tab w:val="left" w:pos="1418"/>
        </w:tabs>
        <w:spacing w:before="0"/>
        <w:ind w:left="709" w:hanging="567"/>
        <w:rPr>
          <w:rFonts w:cs="Open Sans"/>
        </w:rPr>
      </w:pPr>
      <w:r w:rsidRPr="00AA1A20">
        <w:rPr>
          <w:rFonts w:cs="Open Sans"/>
        </w:rPr>
        <w:t xml:space="preserve">As set out by the UN Economic and Social Council in the </w:t>
      </w:r>
      <w:r w:rsidRPr="00AA1A20">
        <w:rPr>
          <w:rFonts w:cs="Open Sans"/>
          <w:i/>
        </w:rPr>
        <w:t xml:space="preserve">Siracusa Principles on the Limitation and Derogation Provisions in the International Covenant on Civil and Political Rights </w:t>
      </w:r>
      <w:r w:rsidRPr="00425059">
        <w:rPr>
          <w:rFonts w:cs="Open Sans"/>
          <w:i/>
        </w:rPr>
        <w:t>(</w:t>
      </w:r>
      <w:r w:rsidRPr="00580F29">
        <w:rPr>
          <w:rFonts w:cs="Open Sans"/>
          <w:i/>
        </w:rPr>
        <w:t>Siracusa Principles</w:t>
      </w:r>
      <w:r w:rsidRPr="00425059">
        <w:rPr>
          <w:rFonts w:cs="Open Sans"/>
          <w:i/>
        </w:rPr>
        <w:t>)</w:t>
      </w:r>
      <w:r w:rsidRPr="00AA1A20">
        <w:rPr>
          <w:rFonts w:cs="Open Sans"/>
        </w:rPr>
        <w:t xml:space="preserve">, the term ‘national security’ relates to </w:t>
      </w:r>
      <w:proofErr w:type="gramStart"/>
      <w:r w:rsidRPr="00AA1A20">
        <w:rPr>
          <w:rFonts w:cs="Open Sans"/>
        </w:rPr>
        <w:t>matters which</w:t>
      </w:r>
      <w:proofErr w:type="gramEnd"/>
      <w:r w:rsidRPr="00AA1A20">
        <w:rPr>
          <w:rFonts w:cs="Open Sans"/>
        </w:rPr>
        <w:t xml:space="preserve"> threaten the existence of the State, its territorial </w:t>
      </w:r>
      <w:r w:rsidRPr="00AA1A20">
        <w:rPr>
          <w:rFonts w:cs="Open Sans"/>
        </w:rPr>
        <w:lastRenderedPageBreak/>
        <w:t>integrity or political independence.</w:t>
      </w:r>
      <w:r w:rsidRPr="00102D26">
        <w:rPr>
          <w:rStyle w:val="EndnoteReference"/>
          <w:vertAlign w:val="superscript"/>
        </w:rPr>
        <w:endnoteReference w:id="40"/>
      </w:r>
      <w:r w:rsidRPr="00AA1A20">
        <w:rPr>
          <w:rFonts w:cs="Open Sans"/>
        </w:rPr>
        <w:t xml:space="preserve"> This is a high threshold and not every law criminalising conduct </w:t>
      </w:r>
      <w:proofErr w:type="gramStart"/>
      <w:r w:rsidRPr="00AA1A20">
        <w:rPr>
          <w:rFonts w:cs="Open Sans"/>
        </w:rPr>
        <w:t>can properly be described</w:t>
      </w:r>
      <w:proofErr w:type="gramEnd"/>
      <w:r w:rsidRPr="00AA1A20">
        <w:rPr>
          <w:rFonts w:cs="Open Sans"/>
        </w:rPr>
        <w:t xml:space="preserve"> as protecting national security. </w:t>
      </w:r>
    </w:p>
    <w:p w14:paraId="22389E36" w14:textId="2BEEF788" w:rsidR="00CE04D1" w:rsidRPr="00AA1A20" w:rsidRDefault="00CE04D1" w:rsidP="00612FA1">
      <w:pPr>
        <w:pStyle w:val="ListNumber"/>
        <w:tabs>
          <w:tab w:val="clear" w:pos="360"/>
          <w:tab w:val="num" w:pos="993"/>
          <w:tab w:val="left" w:pos="1418"/>
        </w:tabs>
        <w:ind w:left="709" w:hanging="567"/>
        <w:rPr>
          <w:rFonts w:cs="Open Sans"/>
        </w:rPr>
      </w:pPr>
      <w:r w:rsidRPr="00AA1A20">
        <w:rPr>
          <w:rFonts w:cs="Open Sans"/>
        </w:rPr>
        <w:t xml:space="preserve">Relevantly, the </w:t>
      </w:r>
      <w:r w:rsidRPr="00AA1A20">
        <w:rPr>
          <w:rFonts w:cs="Open Sans"/>
          <w:i/>
        </w:rPr>
        <w:t xml:space="preserve">Siracusa Principles </w:t>
      </w:r>
      <w:r w:rsidRPr="00AA1A20">
        <w:rPr>
          <w:rFonts w:cs="Open Sans"/>
        </w:rPr>
        <w:t xml:space="preserve">state that: </w:t>
      </w:r>
    </w:p>
    <w:p w14:paraId="711A4A7E" w14:textId="77777777" w:rsidR="00CE04D1" w:rsidRPr="00AA1A20" w:rsidRDefault="00CE04D1" w:rsidP="00612FA1">
      <w:pPr>
        <w:pStyle w:val="EndnoteText"/>
        <w:rPr>
          <w:rFonts w:cs="Open Sans"/>
        </w:rPr>
      </w:pPr>
      <w:r w:rsidRPr="00AA1A20">
        <w:rPr>
          <w:rFonts w:cs="Open Sans"/>
        </w:rPr>
        <w:t xml:space="preserve">29. National security </w:t>
      </w:r>
      <w:proofErr w:type="gramStart"/>
      <w:r w:rsidRPr="00AA1A20">
        <w:rPr>
          <w:rFonts w:cs="Open Sans"/>
        </w:rPr>
        <w:t>may be invoked</w:t>
      </w:r>
      <w:proofErr w:type="gramEnd"/>
      <w:r w:rsidRPr="00AA1A20">
        <w:rPr>
          <w:rFonts w:cs="Open Sans"/>
        </w:rPr>
        <w:t xml:space="preserve"> to justify measures limiting certain rights only when they are taken to protect the existence of the nation or its territorial integrity or political independence against force or threat of force. </w:t>
      </w:r>
    </w:p>
    <w:p w14:paraId="18A8AB8D" w14:textId="77777777" w:rsidR="00CE04D1" w:rsidRPr="00AA1A20" w:rsidRDefault="00CE04D1" w:rsidP="00612FA1">
      <w:pPr>
        <w:pStyle w:val="EndnoteText"/>
        <w:rPr>
          <w:rFonts w:cs="Open Sans"/>
        </w:rPr>
      </w:pPr>
      <w:r w:rsidRPr="00AA1A20">
        <w:rPr>
          <w:rFonts w:cs="Open Sans"/>
        </w:rPr>
        <w:t xml:space="preserve">30. National security </w:t>
      </w:r>
      <w:proofErr w:type="gramStart"/>
      <w:r w:rsidRPr="00AA1A20">
        <w:rPr>
          <w:rFonts w:cs="Open Sans"/>
        </w:rPr>
        <w:t>cannot be invoked</w:t>
      </w:r>
      <w:proofErr w:type="gramEnd"/>
      <w:r w:rsidRPr="00AA1A20">
        <w:rPr>
          <w:rFonts w:cs="Open Sans"/>
        </w:rPr>
        <w:t xml:space="preserve"> as a reason for imposing limitations to prevent merely local or relatively isolated threats to law and order. </w:t>
      </w:r>
    </w:p>
    <w:p w14:paraId="34FD3B78" w14:textId="496286B1" w:rsidR="00CE04D1" w:rsidRPr="00AA1A20" w:rsidRDefault="00CE04D1" w:rsidP="00E87BD3">
      <w:pPr>
        <w:pStyle w:val="EndnoteText"/>
        <w:rPr>
          <w:rFonts w:cs="Open Sans"/>
        </w:rPr>
      </w:pPr>
      <w:r w:rsidRPr="00AA1A20">
        <w:rPr>
          <w:rFonts w:cs="Open Sans"/>
        </w:rPr>
        <w:t xml:space="preserve">31. National security </w:t>
      </w:r>
      <w:proofErr w:type="gramStart"/>
      <w:r w:rsidRPr="00AA1A20">
        <w:rPr>
          <w:rFonts w:cs="Open Sans"/>
        </w:rPr>
        <w:t>cannot be used</w:t>
      </w:r>
      <w:proofErr w:type="gramEnd"/>
      <w:r w:rsidRPr="00AA1A20">
        <w:rPr>
          <w:rFonts w:cs="Open Sans"/>
        </w:rPr>
        <w:t xml:space="preserve"> as a pretext for imposing vague or arbitrary limitations and may only be invoked when there exists adequate safeguards and effective remedies against abuse.</w:t>
      </w:r>
      <w:r w:rsidRPr="00102D26">
        <w:rPr>
          <w:rStyle w:val="EndnoteReference"/>
          <w:vertAlign w:val="superscript"/>
        </w:rPr>
        <w:endnoteReference w:id="41"/>
      </w:r>
    </w:p>
    <w:p w14:paraId="71DF2F00" w14:textId="77777777" w:rsidR="00CE04D1" w:rsidRPr="00AA1A20" w:rsidRDefault="00CE04D1" w:rsidP="00C9486D">
      <w:pPr>
        <w:pStyle w:val="ListNumber"/>
        <w:tabs>
          <w:tab w:val="clear" w:pos="360"/>
          <w:tab w:val="num" w:pos="993"/>
          <w:tab w:val="left" w:pos="1418"/>
        </w:tabs>
        <w:ind w:left="709" w:hanging="567"/>
        <w:rPr>
          <w:rFonts w:cs="Open Sans"/>
        </w:rPr>
      </w:pPr>
      <w:r w:rsidRPr="00AA1A20">
        <w:rPr>
          <w:rFonts w:cs="Open Sans"/>
        </w:rPr>
        <w:t xml:space="preserve">Consistently with these principles, the UN High Commissioner for Human Rights has stated that whistle-blowers who disclose human rights violations </w:t>
      </w:r>
      <w:proofErr w:type="gramStart"/>
      <w:r w:rsidRPr="00AA1A20">
        <w:rPr>
          <w:rFonts w:cs="Open Sans"/>
        </w:rPr>
        <w:t>should be protected</w:t>
      </w:r>
      <w:proofErr w:type="gramEnd"/>
      <w:r w:rsidRPr="00AA1A20">
        <w:rPr>
          <w:rFonts w:cs="Open Sans"/>
        </w:rPr>
        <w:t>.</w:t>
      </w:r>
      <w:r w:rsidRPr="00102D26">
        <w:rPr>
          <w:rStyle w:val="EndnoteReference"/>
          <w:vertAlign w:val="superscript"/>
        </w:rPr>
        <w:endnoteReference w:id="42"/>
      </w:r>
    </w:p>
    <w:p w14:paraId="1A1B0CFC" w14:textId="77777777" w:rsidR="00CE04D1" w:rsidRPr="00AA1A20" w:rsidRDefault="00CE04D1" w:rsidP="009F435F">
      <w:pPr>
        <w:pStyle w:val="Heading2"/>
        <w:tabs>
          <w:tab w:val="clear" w:pos="851"/>
          <w:tab w:val="num" w:pos="1418"/>
        </w:tabs>
        <w:rPr>
          <w:rFonts w:cs="Open Sans"/>
        </w:rPr>
      </w:pPr>
      <w:bookmarkStart w:id="60" w:name="_Toc524352498"/>
      <w:r w:rsidRPr="00AA1A20">
        <w:rPr>
          <w:rFonts w:cs="Open Sans"/>
        </w:rPr>
        <w:t>Permissible limitations on human rights</w:t>
      </w:r>
      <w:bookmarkEnd w:id="60"/>
    </w:p>
    <w:p w14:paraId="1ACDEE4D" w14:textId="4E3FC950" w:rsidR="00CE04D1" w:rsidRPr="00AA1A20" w:rsidRDefault="00CE04D1" w:rsidP="00542AC4">
      <w:pPr>
        <w:pStyle w:val="ListNumber"/>
        <w:tabs>
          <w:tab w:val="clear" w:pos="360"/>
          <w:tab w:val="num" w:pos="993"/>
          <w:tab w:val="left" w:pos="1418"/>
        </w:tabs>
        <w:ind w:left="709" w:hanging="567"/>
        <w:rPr>
          <w:rFonts w:cs="Open Sans"/>
        </w:rPr>
      </w:pPr>
      <w:r w:rsidRPr="00AA1A20">
        <w:rPr>
          <w:rFonts w:cs="Open Sans"/>
        </w:rPr>
        <w:t>Some human rights cannot legitimately be subject to any limitation—such as the f</w:t>
      </w:r>
      <w:r w:rsidRPr="00AA1A20">
        <w:rPr>
          <w:rFonts w:cs="Open Sans"/>
          <w:color w:val="111111"/>
        </w:rPr>
        <w:t>reedom from torture and other cruel, inhuman or degrading treatment or punishment</w:t>
      </w:r>
      <w:r w:rsidRPr="00AA1A20">
        <w:rPr>
          <w:rFonts w:cs="Open Sans"/>
        </w:rPr>
        <w:t>.</w:t>
      </w:r>
      <w:r w:rsidRPr="00102D26">
        <w:rPr>
          <w:rStyle w:val="EndnoteReference"/>
          <w:vertAlign w:val="superscript"/>
        </w:rPr>
        <w:endnoteReference w:id="43"/>
      </w:r>
      <w:r w:rsidRPr="00AA1A20">
        <w:rPr>
          <w:rFonts w:cs="Open Sans"/>
        </w:rPr>
        <w:t xml:space="preserve"> However, most human rights, including the rights to privacy and freedom of expression, may be limited where the limitation is: expressed in clear and unambiguous terms; directed towards a legitimate aim; necessary to achieve that aim; and is proportionate. A </w:t>
      </w:r>
      <w:proofErr w:type="gramStart"/>
      <w:r w:rsidRPr="00AA1A20">
        <w:rPr>
          <w:rFonts w:cs="Open Sans"/>
        </w:rPr>
        <w:t>measure which limits a human right</w:t>
      </w:r>
      <w:proofErr w:type="gramEnd"/>
      <w:r w:rsidRPr="00AA1A20">
        <w:rPr>
          <w:rFonts w:cs="Open Sans"/>
        </w:rPr>
        <w:t xml:space="preserve"> must not be arbitrary or jeopardise the essence of the right. </w:t>
      </w:r>
    </w:p>
    <w:p w14:paraId="693BAFC6" w14:textId="77777777" w:rsidR="00CE04D1" w:rsidRPr="00AA1A20" w:rsidRDefault="00CE04D1" w:rsidP="002C4E89">
      <w:pPr>
        <w:pStyle w:val="ListNumber"/>
        <w:tabs>
          <w:tab w:val="clear" w:pos="360"/>
          <w:tab w:val="num" w:pos="993"/>
          <w:tab w:val="left" w:pos="1418"/>
        </w:tabs>
        <w:ind w:left="709" w:hanging="567"/>
        <w:rPr>
          <w:rFonts w:cs="Open Sans"/>
        </w:rPr>
      </w:pPr>
      <w:r w:rsidRPr="00AA1A20">
        <w:rPr>
          <w:rFonts w:cs="Open Sans"/>
        </w:rPr>
        <w:t xml:space="preserve">There is some overlap between a </w:t>
      </w:r>
      <w:proofErr w:type="gramStart"/>
      <w:r w:rsidRPr="00AA1A20">
        <w:rPr>
          <w:rFonts w:cs="Open Sans"/>
        </w:rPr>
        <w:t>number</w:t>
      </w:r>
      <w:proofErr w:type="gramEnd"/>
      <w:r w:rsidRPr="00AA1A20">
        <w:rPr>
          <w:rFonts w:cs="Open Sans"/>
        </w:rPr>
        <w:t xml:space="preserve"> of these criteria.</w:t>
      </w:r>
      <w:r w:rsidRPr="00102D26">
        <w:rPr>
          <w:rStyle w:val="EndnoteReference"/>
          <w:vertAlign w:val="superscript"/>
        </w:rPr>
        <w:endnoteReference w:id="44"/>
      </w:r>
      <w:r w:rsidRPr="00AA1A20">
        <w:rPr>
          <w:rFonts w:cs="Open Sans"/>
        </w:rPr>
        <w:t xml:space="preserve"> In particular, the concept of ‘arbitrariness’ in human rights law includes notions of ‘inappropriateness, injustice, lack of predictability and due process of law, as well as elements of reasonableness, necessity and proportionality’.</w:t>
      </w:r>
      <w:r w:rsidRPr="00102D26">
        <w:rPr>
          <w:rStyle w:val="EndnoteReference"/>
          <w:vertAlign w:val="superscript"/>
        </w:rPr>
        <w:endnoteReference w:id="45"/>
      </w:r>
      <w:r w:rsidRPr="00AA1A20">
        <w:rPr>
          <w:rFonts w:cs="Open Sans"/>
        </w:rPr>
        <w:t xml:space="preserve"> </w:t>
      </w:r>
    </w:p>
    <w:p w14:paraId="31D33ACA" w14:textId="77777777" w:rsidR="00CE04D1" w:rsidRPr="00AA1A20" w:rsidRDefault="00CE04D1" w:rsidP="002C4E89">
      <w:pPr>
        <w:pStyle w:val="ListNumber"/>
        <w:tabs>
          <w:tab w:val="clear" w:pos="360"/>
          <w:tab w:val="num" w:pos="993"/>
          <w:tab w:val="left" w:pos="1418"/>
        </w:tabs>
        <w:ind w:left="709" w:hanging="567"/>
        <w:rPr>
          <w:rFonts w:cs="Open Sans"/>
        </w:rPr>
      </w:pPr>
      <w:r w:rsidRPr="00AA1A20">
        <w:rPr>
          <w:rFonts w:cs="Open Sans"/>
        </w:rPr>
        <w:t xml:space="preserve">Any assessment as to the necessity of a limitation is to </w:t>
      </w:r>
      <w:proofErr w:type="gramStart"/>
      <w:r w:rsidRPr="00AA1A20">
        <w:rPr>
          <w:rFonts w:cs="Open Sans"/>
        </w:rPr>
        <w:t>be made</w:t>
      </w:r>
      <w:proofErr w:type="gramEnd"/>
      <w:r w:rsidRPr="00AA1A20">
        <w:rPr>
          <w:rFonts w:cs="Open Sans"/>
        </w:rPr>
        <w:t xml:space="preserve"> on objective considerations. The burden of justifying a limitation of a human right lies with the State.</w:t>
      </w:r>
      <w:r w:rsidRPr="00102D26">
        <w:rPr>
          <w:rStyle w:val="EndnoteReference"/>
          <w:vertAlign w:val="superscript"/>
        </w:rPr>
        <w:endnoteReference w:id="46"/>
      </w:r>
      <w:r w:rsidRPr="00AA1A20">
        <w:rPr>
          <w:rFonts w:cs="Open Sans"/>
        </w:rPr>
        <w:t xml:space="preserve"> </w:t>
      </w:r>
    </w:p>
    <w:p w14:paraId="0F831487" w14:textId="77777777" w:rsidR="00CE04D1" w:rsidRPr="00AA1A20" w:rsidRDefault="00CE04D1" w:rsidP="003B082D">
      <w:pPr>
        <w:pStyle w:val="Heading3"/>
        <w:rPr>
          <w:rFonts w:cs="Open Sans"/>
          <w:i/>
        </w:rPr>
      </w:pPr>
      <w:bookmarkStart w:id="61" w:name="_Toc497477034"/>
      <w:bookmarkStart w:id="62" w:name="_Toc524352499"/>
      <w:r w:rsidRPr="00AA1A20">
        <w:rPr>
          <w:rFonts w:cs="Open Sans"/>
          <w:i/>
        </w:rPr>
        <w:t>Legitimate aims</w:t>
      </w:r>
      <w:bookmarkEnd w:id="61"/>
      <w:bookmarkEnd w:id="62"/>
    </w:p>
    <w:p w14:paraId="32B73AE9" w14:textId="3EA3AA4E" w:rsidR="00CE04D1" w:rsidRPr="00AA1A20" w:rsidRDefault="00CE04D1" w:rsidP="002C4E89">
      <w:pPr>
        <w:pStyle w:val="ListNumber"/>
        <w:tabs>
          <w:tab w:val="clear" w:pos="360"/>
          <w:tab w:val="num" w:pos="993"/>
          <w:tab w:val="left" w:pos="1418"/>
        </w:tabs>
        <w:ind w:left="709" w:hanging="567"/>
        <w:rPr>
          <w:rFonts w:cs="Open Sans"/>
        </w:rPr>
      </w:pPr>
      <w:r w:rsidRPr="00AA1A20">
        <w:rPr>
          <w:rFonts w:cs="Open Sans"/>
        </w:rPr>
        <w:t xml:space="preserve">Human rights may be limited where the limitation is necessary and proportionate to achieving a legitimate aim. The Commission has long accepted that protecting the human rights of individuals endangered by serious criminal activity, such as the </w:t>
      </w:r>
      <w:proofErr w:type="gramStart"/>
      <w:r w:rsidRPr="00AA1A20">
        <w:rPr>
          <w:rFonts w:cs="Open Sans"/>
        </w:rPr>
        <w:t>general public</w:t>
      </w:r>
      <w:proofErr w:type="gramEnd"/>
      <w:r w:rsidRPr="00AA1A20">
        <w:rPr>
          <w:rFonts w:cs="Open Sans"/>
        </w:rPr>
        <w:t xml:space="preserve">, is a legitimate aim. </w:t>
      </w:r>
    </w:p>
    <w:p w14:paraId="3A5BDB81" w14:textId="71D2C1B9" w:rsidR="00CE04D1" w:rsidRPr="00AA1A20" w:rsidRDefault="00CE04D1" w:rsidP="000D4174">
      <w:pPr>
        <w:pStyle w:val="ListNumber"/>
        <w:tabs>
          <w:tab w:val="clear" w:pos="360"/>
          <w:tab w:val="num" w:pos="993"/>
          <w:tab w:val="left" w:pos="1418"/>
        </w:tabs>
        <w:ind w:left="709" w:hanging="567"/>
        <w:rPr>
          <w:rFonts w:cs="Open Sans"/>
        </w:rPr>
      </w:pPr>
      <w:r w:rsidRPr="00AA1A20">
        <w:rPr>
          <w:rFonts w:cs="Open Sans"/>
        </w:rPr>
        <w:lastRenderedPageBreak/>
        <w:t xml:space="preserve">The </w:t>
      </w:r>
      <w:r w:rsidR="006C5149">
        <w:rPr>
          <w:rFonts w:cs="Open Sans"/>
        </w:rPr>
        <w:t>OHCHR</w:t>
      </w:r>
      <w:r w:rsidRPr="00AA1A20">
        <w:rPr>
          <w:rFonts w:cs="Open Sans"/>
        </w:rPr>
        <w:t xml:space="preserve"> has stated that surveillance on the grounds of national security or for the prevention of terrorism or other crime may be a measure that serves a ‘legitimate aim’, but the degree of interference must be assessed against the necessity of the measure to achieve that aim, and the actual benefit it yields towards such a purpose.</w:t>
      </w:r>
      <w:r w:rsidRPr="00102D26">
        <w:rPr>
          <w:rStyle w:val="EndnoteReference"/>
          <w:vertAlign w:val="superscript"/>
        </w:rPr>
        <w:endnoteReference w:id="47"/>
      </w:r>
    </w:p>
    <w:p w14:paraId="7100BC0D" w14:textId="77777777" w:rsidR="00CE04D1" w:rsidRPr="00AA1A20" w:rsidRDefault="00CE04D1" w:rsidP="0029321B">
      <w:pPr>
        <w:pStyle w:val="Heading3"/>
        <w:rPr>
          <w:rFonts w:cs="Open Sans"/>
          <w:i/>
        </w:rPr>
      </w:pPr>
      <w:bookmarkStart w:id="63" w:name="_Toc497477036"/>
      <w:bookmarkStart w:id="64" w:name="_Toc524352500"/>
      <w:r w:rsidRPr="00AA1A20">
        <w:rPr>
          <w:rFonts w:cs="Open Sans"/>
          <w:i/>
        </w:rPr>
        <w:t>Necessity</w:t>
      </w:r>
      <w:bookmarkEnd w:id="63"/>
      <w:bookmarkEnd w:id="64"/>
    </w:p>
    <w:p w14:paraId="2EB6499C" w14:textId="7F95140F" w:rsidR="00CE04D1" w:rsidRPr="00AA1A20" w:rsidRDefault="00CE04D1" w:rsidP="005F28FC">
      <w:pPr>
        <w:pStyle w:val="ListNumber"/>
        <w:tabs>
          <w:tab w:val="clear" w:pos="360"/>
          <w:tab w:val="num" w:pos="993"/>
          <w:tab w:val="left" w:pos="1418"/>
        </w:tabs>
        <w:ind w:left="709" w:hanging="567"/>
        <w:rPr>
          <w:rFonts w:cs="Open Sans"/>
        </w:rPr>
      </w:pPr>
      <w:r w:rsidRPr="00AA1A20">
        <w:rPr>
          <w:rFonts w:cs="Open Sans"/>
        </w:rPr>
        <w:t xml:space="preserve">A </w:t>
      </w:r>
      <w:proofErr w:type="gramStart"/>
      <w:r w:rsidRPr="00AA1A20">
        <w:rPr>
          <w:rFonts w:cs="Open Sans"/>
        </w:rPr>
        <w:t>measure which restricts human rights</w:t>
      </w:r>
      <w:proofErr w:type="gramEnd"/>
      <w:r w:rsidRPr="00AA1A20">
        <w:rPr>
          <w:rFonts w:cs="Open Sans"/>
        </w:rPr>
        <w:t xml:space="preserve"> cannot be justified unless it is necessary. This is a vital consideration in the law enforcement </w:t>
      </w:r>
      <w:proofErr w:type="gramStart"/>
      <w:r w:rsidRPr="00AA1A20">
        <w:rPr>
          <w:rFonts w:cs="Open Sans"/>
        </w:rPr>
        <w:t>context,</w:t>
      </w:r>
      <w:proofErr w:type="gramEnd"/>
      <w:r w:rsidRPr="00AA1A20">
        <w:rPr>
          <w:rFonts w:cs="Open Sans"/>
        </w:rPr>
        <w:t xml:space="preserve"> given that there may be numerous methods of gathering evidence. </w:t>
      </w:r>
    </w:p>
    <w:p w14:paraId="7E84AF60" w14:textId="175B9DC4" w:rsidR="00CE04D1" w:rsidRPr="00AA1A20" w:rsidRDefault="00CE04D1" w:rsidP="00FD6179">
      <w:pPr>
        <w:pStyle w:val="ListNumber"/>
        <w:tabs>
          <w:tab w:val="clear" w:pos="360"/>
          <w:tab w:val="num" w:pos="993"/>
          <w:tab w:val="left" w:pos="1418"/>
        </w:tabs>
        <w:ind w:left="709" w:hanging="567"/>
        <w:rPr>
          <w:rFonts w:cs="Open Sans"/>
        </w:rPr>
      </w:pPr>
      <w:r w:rsidRPr="00AA1A20">
        <w:rPr>
          <w:rFonts w:cs="Open Sans"/>
        </w:rPr>
        <w:t>To be ‘necessary’, a measure must be based on one of the grounds justifying limitation that: are recognised in the ICCPR; respond to a pressing public or social need; pursue a legitimate aim; and are proportionate to that aim.</w:t>
      </w:r>
      <w:r w:rsidRPr="00102D26">
        <w:rPr>
          <w:rStyle w:val="EndnoteReference"/>
          <w:vertAlign w:val="superscript"/>
        </w:rPr>
        <w:endnoteReference w:id="48"/>
      </w:r>
      <w:r w:rsidRPr="00AA1A20">
        <w:rPr>
          <w:rFonts w:cs="Open Sans"/>
        </w:rPr>
        <w:t xml:space="preserve"> </w:t>
      </w:r>
    </w:p>
    <w:p w14:paraId="0CF01889" w14:textId="0951245D" w:rsidR="00CE04D1" w:rsidRPr="00AA1A20" w:rsidRDefault="00CE04D1" w:rsidP="00FD6179">
      <w:pPr>
        <w:pStyle w:val="ListNumber"/>
        <w:tabs>
          <w:tab w:val="clear" w:pos="360"/>
          <w:tab w:val="num" w:pos="993"/>
          <w:tab w:val="left" w:pos="1418"/>
        </w:tabs>
        <w:ind w:left="709" w:hanging="567"/>
        <w:rPr>
          <w:rFonts w:cs="Open Sans"/>
        </w:rPr>
      </w:pPr>
      <w:r w:rsidRPr="00AA1A20">
        <w:rPr>
          <w:rFonts w:cs="Open Sans"/>
        </w:rPr>
        <w:t xml:space="preserve">A measure is not necessary if the aim of that measure </w:t>
      </w:r>
      <w:proofErr w:type="gramStart"/>
      <w:r w:rsidRPr="00AA1A20">
        <w:rPr>
          <w:rFonts w:cs="Open Sans"/>
        </w:rPr>
        <w:t>could be achieved</w:t>
      </w:r>
      <w:proofErr w:type="gramEnd"/>
      <w:r w:rsidRPr="00AA1A20">
        <w:rPr>
          <w:rFonts w:cs="Open Sans"/>
        </w:rPr>
        <w:t xml:space="preserve"> through less rights-intrusive means. Similarly, a restrictive measure </w:t>
      </w:r>
      <w:proofErr w:type="gramStart"/>
      <w:r w:rsidRPr="00AA1A20">
        <w:rPr>
          <w:rFonts w:cs="Open Sans"/>
        </w:rPr>
        <w:t>cannot be said</w:t>
      </w:r>
      <w:proofErr w:type="gramEnd"/>
      <w:r w:rsidRPr="00AA1A20">
        <w:rPr>
          <w:rFonts w:cs="Open Sans"/>
        </w:rPr>
        <w:t xml:space="preserve"> to be necessary if it essentially duplicates existing measures. </w:t>
      </w:r>
    </w:p>
    <w:p w14:paraId="71EA04B3" w14:textId="6C511E56" w:rsidR="00CE04D1" w:rsidRPr="00AA1A20" w:rsidRDefault="00CE04D1" w:rsidP="00FD6179">
      <w:pPr>
        <w:pStyle w:val="ListNumber"/>
        <w:tabs>
          <w:tab w:val="clear" w:pos="360"/>
          <w:tab w:val="num" w:pos="993"/>
          <w:tab w:val="left" w:pos="1418"/>
        </w:tabs>
        <w:ind w:left="709" w:hanging="567"/>
        <w:rPr>
          <w:rFonts w:cs="Open Sans"/>
        </w:rPr>
      </w:pPr>
      <w:r w:rsidRPr="00AA1A20">
        <w:rPr>
          <w:rFonts w:cs="Open Sans"/>
        </w:rPr>
        <w:t xml:space="preserve">There is a real risk that law enforcement powers will limit human rights to a greater degree than is necessary through ‘legislative creep’. That is, intrusive and previously extraordinary law enforcement powers can quickly become normalised through successive legislation and practice, and </w:t>
      </w:r>
      <w:proofErr w:type="gramStart"/>
      <w:r w:rsidRPr="00AA1A20">
        <w:rPr>
          <w:rFonts w:cs="Open Sans"/>
        </w:rPr>
        <w:t>used</w:t>
      </w:r>
      <w:proofErr w:type="gramEnd"/>
      <w:r w:rsidRPr="00AA1A20">
        <w:rPr>
          <w:rFonts w:cs="Open Sans"/>
        </w:rPr>
        <w:t xml:space="preserve"> as a precedent to justify even more invasive future measures.</w:t>
      </w:r>
      <w:r w:rsidRPr="00102D26">
        <w:rPr>
          <w:rStyle w:val="EndnoteReference"/>
          <w:vertAlign w:val="superscript"/>
        </w:rPr>
        <w:endnoteReference w:id="49"/>
      </w:r>
      <w:r w:rsidRPr="00AA1A20">
        <w:rPr>
          <w:rFonts w:cs="Open Sans"/>
        </w:rPr>
        <w:t xml:space="preserve"> </w:t>
      </w:r>
    </w:p>
    <w:p w14:paraId="273CAD00" w14:textId="57B5D3C5" w:rsidR="00CE04D1" w:rsidRPr="00AA1A20" w:rsidRDefault="00CE04D1" w:rsidP="00EF2EF9">
      <w:pPr>
        <w:pStyle w:val="ListNumber"/>
        <w:tabs>
          <w:tab w:val="clear" w:pos="360"/>
          <w:tab w:val="num" w:pos="993"/>
          <w:tab w:val="left" w:pos="1418"/>
        </w:tabs>
        <w:ind w:left="709" w:hanging="567"/>
        <w:rPr>
          <w:rFonts w:cs="Open Sans"/>
        </w:rPr>
      </w:pPr>
      <w:r w:rsidRPr="00AA1A20">
        <w:rPr>
          <w:rFonts w:cs="Open Sans"/>
        </w:rPr>
        <w:t>To establish necessity, the proposed reforms in the draft Bill must be closely scrutinised to determine whether they go beyond what is potentially useful to law enforcement.</w:t>
      </w:r>
    </w:p>
    <w:p w14:paraId="5DC59FBB" w14:textId="77777777" w:rsidR="00CE04D1" w:rsidRPr="00AA1A20" w:rsidRDefault="00CE04D1" w:rsidP="009064CF">
      <w:pPr>
        <w:pStyle w:val="Heading3"/>
        <w:rPr>
          <w:rFonts w:cs="Open Sans"/>
          <w:i/>
        </w:rPr>
      </w:pPr>
      <w:bookmarkStart w:id="65" w:name="_Toc497477037"/>
      <w:bookmarkStart w:id="66" w:name="_Ref524084141"/>
      <w:bookmarkStart w:id="67" w:name="_Toc524352501"/>
      <w:r w:rsidRPr="00AA1A20">
        <w:rPr>
          <w:rFonts w:cs="Open Sans"/>
          <w:i/>
        </w:rPr>
        <w:t>Proportionality</w:t>
      </w:r>
      <w:bookmarkEnd w:id="65"/>
      <w:bookmarkEnd w:id="66"/>
      <w:bookmarkEnd w:id="67"/>
    </w:p>
    <w:p w14:paraId="018DB4C2" w14:textId="68140010" w:rsidR="00CE04D1" w:rsidRPr="00AA1A20" w:rsidRDefault="00CE04D1" w:rsidP="00EF2EF9">
      <w:pPr>
        <w:pStyle w:val="ListNumber"/>
        <w:tabs>
          <w:tab w:val="clear" w:pos="360"/>
          <w:tab w:val="num" w:pos="993"/>
          <w:tab w:val="left" w:pos="1418"/>
        </w:tabs>
        <w:ind w:left="709" w:hanging="567"/>
        <w:rPr>
          <w:rFonts w:cs="Open Sans"/>
        </w:rPr>
      </w:pPr>
      <w:r w:rsidRPr="00AA1A20">
        <w:rPr>
          <w:rFonts w:cs="Open Sans"/>
        </w:rPr>
        <w:t xml:space="preserve">Assessing whether limitations on human rights are proportionate to the pursuit of a legitimate objective requires an assessment of the nature and extent of each limitation, the urgency of the objective, and the degree to which the rights-limiting measure is likely to achieve the objective. </w:t>
      </w:r>
    </w:p>
    <w:p w14:paraId="345C3890" w14:textId="7EA95B34" w:rsidR="00CE04D1" w:rsidRPr="00AA1A20" w:rsidRDefault="00CE04D1" w:rsidP="00EF2EF9">
      <w:pPr>
        <w:pStyle w:val="ListNumber"/>
        <w:tabs>
          <w:tab w:val="clear" w:pos="360"/>
          <w:tab w:val="num" w:pos="993"/>
          <w:tab w:val="left" w:pos="1418"/>
        </w:tabs>
        <w:ind w:left="709" w:hanging="567"/>
        <w:rPr>
          <w:rFonts w:cs="Open Sans"/>
          <w:lang w:val="en-US"/>
        </w:rPr>
      </w:pPr>
      <w:r w:rsidRPr="00AA1A20">
        <w:rPr>
          <w:rFonts w:cs="Open Sans"/>
          <w:lang w:val="en-US"/>
        </w:rPr>
        <w:t>The UN HR Committee has provided the following guidance on proportionality:</w:t>
      </w:r>
    </w:p>
    <w:p w14:paraId="50F2CE18" w14:textId="77777777" w:rsidR="00CE04D1" w:rsidRPr="00AA1A20" w:rsidRDefault="00CE04D1" w:rsidP="00EF2EF9">
      <w:pPr>
        <w:pStyle w:val="EndnoteText"/>
        <w:rPr>
          <w:rFonts w:cs="Open Sans"/>
        </w:rPr>
      </w:pPr>
      <w:r w:rsidRPr="00AA1A20">
        <w:rPr>
          <w:rFonts w:cs="Open Sans"/>
        </w:rPr>
        <w:t xml:space="preserve">Restrictive measures must conform to the principle of proportionality; they must be appropriate to achieve their protective function; they must be the least intrusive instrument amongst </w:t>
      </w:r>
      <w:proofErr w:type="gramStart"/>
      <w:r w:rsidRPr="00AA1A20">
        <w:rPr>
          <w:rFonts w:cs="Open Sans"/>
        </w:rPr>
        <w:t>those which</w:t>
      </w:r>
      <w:proofErr w:type="gramEnd"/>
      <w:r w:rsidRPr="00AA1A20">
        <w:rPr>
          <w:rFonts w:cs="Open Sans"/>
        </w:rPr>
        <w:t xml:space="preserve"> might achieve the desired result; and they must be proportionate to the interest to be protected. The principle of proportionality has to </w:t>
      </w:r>
      <w:proofErr w:type="gramStart"/>
      <w:r w:rsidRPr="00AA1A20">
        <w:rPr>
          <w:rFonts w:cs="Open Sans"/>
        </w:rPr>
        <w:t>be respected</w:t>
      </w:r>
      <w:proofErr w:type="gramEnd"/>
      <w:r w:rsidRPr="00AA1A20">
        <w:rPr>
          <w:rFonts w:cs="Open Sans"/>
        </w:rPr>
        <w:t xml:space="preserve"> not only in the law that </w:t>
      </w:r>
      <w:r w:rsidRPr="00AA1A20">
        <w:rPr>
          <w:rFonts w:cs="Open Sans"/>
        </w:rPr>
        <w:lastRenderedPageBreak/>
        <w:t>frames the restrictions, but also by the administrative and judicial authorities in applying the law.</w:t>
      </w:r>
      <w:r w:rsidRPr="00102D26">
        <w:rPr>
          <w:rStyle w:val="EndnoteReference"/>
          <w:vertAlign w:val="superscript"/>
          <w:lang w:val="en-US"/>
        </w:rPr>
        <w:endnoteReference w:id="50"/>
      </w:r>
    </w:p>
    <w:p w14:paraId="65935249" w14:textId="421CD5F9" w:rsidR="00CE04D1" w:rsidRPr="00AA1A20" w:rsidRDefault="00CE04D1" w:rsidP="00B43658">
      <w:pPr>
        <w:pStyle w:val="ListNumber"/>
        <w:tabs>
          <w:tab w:val="clear" w:pos="360"/>
          <w:tab w:val="num" w:pos="993"/>
          <w:tab w:val="left" w:pos="1418"/>
        </w:tabs>
        <w:ind w:left="709" w:hanging="567"/>
        <w:rPr>
          <w:rFonts w:cs="Open Sans"/>
        </w:rPr>
      </w:pPr>
      <w:r w:rsidRPr="00AA1A20">
        <w:rPr>
          <w:rFonts w:cs="Open Sans"/>
        </w:rPr>
        <w:t xml:space="preserve">The UN Economic and Social Council has said that, even </w:t>
      </w:r>
      <w:r w:rsidRPr="00AA1A20">
        <w:rPr>
          <w:rFonts w:cs="Open Sans"/>
          <w:lang w:val="en-US"/>
        </w:rPr>
        <w:t>during</w:t>
      </w:r>
      <w:r w:rsidRPr="00AA1A20">
        <w:rPr>
          <w:rFonts w:cs="Open Sans"/>
        </w:rPr>
        <w:t xml:space="preserve"> a public emergency that threatens the life of a nation, derogation from a State’s ICCPR obligations must be strictly necessary to deal with the threat, and proportionate to the nature and extent of the threat.</w:t>
      </w:r>
      <w:r w:rsidRPr="00102D26">
        <w:rPr>
          <w:rStyle w:val="EndnoteReference"/>
          <w:vertAlign w:val="superscript"/>
        </w:rPr>
        <w:endnoteReference w:id="51"/>
      </w:r>
    </w:p>
    <w:p w14:paraId="0DD955A3" w14:textId="05BAB246" w:rsidR="00CE04D1" w:rsidRPr="00AA1A20" w:rsidRDefault="00CE04D1" w:rsidP="0089702C">
      <w:pPr>
        <w:pStyle w:val="ListNumber"/>
        <w:tabs>
          <w:tab w:val="clear" w:pos="360"/>
          <w:tab w:val="num" w:pos="993"/>
          <w:tab w:val="left" w:pos="1418"/>
        </w:tabs>
        <w:ind w:left="709" w:hanging="567"/>
        <w:rPr>
          <w:rFonts w:cs="Open Sans"/>
        </w:rPr>
      </w:pPr>
      <w:r w:rsidRPr="00AA1A20">
        <w:rPr>
          <w:rFonts w:cs="Open Sans"/>
        </w:rPr>
        <w:t xml:space="preserve">A fully informed assessment of these issues </w:t>
      </w:r>
      <w:proofErr w:type="gramStart"/>
      <w:r w:rsidRPr="00AA1A20">
        <w:rPr>
          <w:rFonts w:cs="Open Sans"/>
        </w:rPr>
        <w:t>may, in some circumstances, depend</w:t>
      </w:r>
      <w:proofErr w:type="gramEnd"/>
      <w:r w:rsidRPr="00AA1A20">
        <w:rPr>
          <w:rFonts w:cs="Open Sans"/>
        </w:rPr>
        <w:t xml:space="preserve"> on the consideration of classified security material. Therefore, relevant decision makers empowered to give notices or to obtain warrants under the draft Bill </w:t>
      </w:r>
      <w:proofErr w:type="gramStart"/>
      <w:r w:rsidRPr="00AA1A20">
        <w:rPr>
          <w:rFonts w:cs="Open Sans"/>
        </w:rPr>
        <w:t>are uniquely placed</w:t>
      </w:r>
      <w:proofErr w:type="gramEnd"/>
      <w:r w:rsidRPr="00AA1A20">
        <w:rPr>
          <w:rFonts w:cs="Open Sans"/>
        </w:rPr>
        <w:t xml:space="preserve"> to assess proportionality. In the Commission’s view, it is accordingly crucial that human right</w:t>
      </w:r>
      <w:r w:rsidR="00B8450F">
        <w:rPr>
          <w:rFonts w:cs="Open Sans"/>
        </w:rPr>
        <w:t>s</w:t>
      </w:r>
      <w:r w:rsidRPr="00AA1A20">
        <w:rPr>
          <w:rFonts w:cs="Open Sans"/>
        </w:rPr>
        <w:t xml:space="preserve"> protections </w:t>
      </w:r>
      <w:proofErr w:type="gramStart"/>
      <w:r w:rsidRPr="00AA1A20">
        <w:rPr>
          <w:rFonts w:cs="Open Sans"/>
        </w:rPr>
        <w:t>are built</w:t>
      </w:r>
      <w:proofErr w:type="gramEnd"/>
      <w:r w:rsidRPr="00AA1A20">
        <w:rPr>
          <w:rFonts w:cs="Open Sans"/>
        </w:rPr>
        <w:t xml:space="preserve"> into the decision-making process, to ensure proper consideration of human rights by decision makers in all the relevant circumstances.</w:t>
      </w:r>
    </w:p>
    <w:p w14:paraId="65B70104" w14:textId="77777777" w:rsidR="00CE04D1" w:rsidRPr="00AA1A20" w:rsidRDefault="00CE04D1" w:rsidP="008F3148">
      <w:pPr>
        <w:pStyle w:val="Heading1"/>
        <w:tabs>
          <w:tab w:val="clear" w:pos="851"/>
          <w:tab w:val="num" w:pos="1418"/>
        </w:tabs>
        <w:rPr>
          <w:rFonts w:cs="Open Sans"/>
        </w:rPr>
      </w:pPr>
      <w:bookmarkStart w:id="68" w:name="_Ref524288743"/>
      <w:bookmarkStart w:id="69" w:name="_Toc524352502"/>
      <w:r w:rsidRPr="00AA1A20">
        <w:rPr>
          <w:rFonts w:cs="Open Sans"/>
        </w:rPr>
        <w:t>The draft Bill</w:t>
      </w:r>
      <w:bookmarkEnd w:id="68"/>
      <w:bookmarkEnd w:id="69"/>
    </w:p>
    <w:p w14:paraId="5F46BA3B" w14:textId="77777777" w:rsidR="00CE04D1" w:rsidRPr="00AA1A20" w:rsidRDefault="00CE04D1" w:rsidP="00BA6294">
      <w:pPr>
        <w:pStyle w:val="ListNumber"/>
        <w:tabs>
          <w:tab w:val="clear" w:pos="360"/>
          <w:tab w:val="num" w:pos="993"/>
          <w:tab w:val="left" w:pos="1418"/>
        </w:tabs>
        <w:ind w:left="709" w:hanging="567"/>
        <w:rPr>
          <w:rFonts w:cs="Open Sans"/>
        </w:rPr>
      </w:pPr>
      <w:r w:rsidRPr="00AA1A20">
        <w:rPr>
          <w:rFonts w:cs="Open Sans"/>
        </w:rPr>
        <w:t xml:space="preserve">The key changes introduced by the draft Bill are: </w:t>
      </w:r>
    </w:p>
    <w:p w14:paraId="376354E2" w14:textId="77777777" w:rsidR="00CE04D1" w:rsidRPr="00AA1A20" w:rsidRDefault="00CE04D1" w:rsidP="008B0046">
      <w:pPr>
        <w:pStyle w:val="Bullet"/>
        <w:numPr>
          <w:ilvl w:val="0"/>
          <w:numId w:val="16"/>
        </w:numPr>
        <w:rPr>
          <w:rFonts w:cs="Open Sans"/>
        </w:rPr>
      </w:pPr>
      <w:r w:rsidRPr="00AA1A20">
        <w:rPr>
          <w:rFonts w:cs="Open Sans"/>
        </w:rPr>
        <w:t xml:space="preserve">enhanced obligations of designated communications providers, including both onshore and offshore providers, to assist national security and law enforcement agencies </w:t>
      </w:r>
    </w:p>
    <w:p w14:paraId="78BC27B5" w14:textId="77777777" w:rsidR="00CE04D1" w:rsidRPr="00AA1A20" w:rsidRDefault="00CE04D1" w:rsidP="008B0046">
      <w:pPr>
        <w:pStyle w:val="Bullet"/>
        <w:numPr>
          <w:ilvl w:val="0"/>
          <w:numId w:val="16"/>
        </w:numPr>
        <w:tabs>
          <w:tab w:val="num" w:pos="2127"/>
        </w:tabs>
        <w:rPr>
          <w:rFonts w:cs="Open Sans"/>
        </w:rPr>
      </w:pPr>
      <w:r w:rsidRPr="00AA1A20">
        <w:rPr>
          <w:rFonts w:cs="Open Sans"/>
        </w:rPr>
        <w:t>introduction of a new computer access warrant that will enable covert gathering of evidence directly from a device</w:t>
      </w:r>
    </w:p>
    <w:p w14:paraId="654C4123" w14:textId="578302EA" w:rsidR="00CE04D1" w:rsidRPr="00AA1A20" w:rsidRDefault="00CE04D1" w:rsidP="008B0046">
      <w:pPr>
        <w:pStyle w:val="Bullet"/>
        <w:numPr>
          <w:ilvl w:val="0"/>
          <w:numId w:val="16"/>
        </w:numPr>
        <w:tabs>
          <w:tab w:val="num" w:pos="2127"/>
        </w:tabs>
        <w:rPr>
          <w:rFonts w:cs="Open Sans"/>
        </w:rPr>
      </w:pPr>
      <w:proofErr w:type="gramStart"/>
      <w:r w:rsidRPr="00AA1A20">
        <w:rPr>
          <w:rFonts w:cs="Open Sans"/>
        </w:rPr>
        <w:t>the</w:t>
      </w:r>
      <w:proofErr w:type="gramEnd"/>
      <w:r w:rsidRPr="00AA1A20">
        <w:rPr>
          <w:rFonts w:cs="Open Sans"/>
        </w:rPr>
        <w:t xml:space="preserve"> strengthened ability of law enforcement and national security authorities to access data overtly through existing search and seizure warrants. </w:t>
      </w:r>
    </w:p>
    <w:p w14:paraId="396BDB9E" w14:textId="6A5E4178" w:rsidR="00CE04D1" w:rsidRPr="00AA1A20" w:rsidRDefault="00CE04D1" w:rsidP="008F3148">
      <w:pPr>
        <w:pStyle w:val="Heading2"/>
        <w:tabs>
          <w:tab w:val="clear" w:pos="851"/>
          <w:tab w:val="num" w:pos="1418"/>
        </w:tabs>
        <w:rPr>
          <w:rFonts w:cs="Open Sans"/>
        </w:rPr>
      </w:pPr>
      <w:bookmarkStart w:id="70" w:name="_Toc524352503"/>
      <w:r w:rsidRPr="00AA1A20">
        <w:rPr>
          <w:rFonts w:cs="Open Sans"/>
        </w:rPr>
        <w:t>Provider assistance framework (Schedule 1)</w:t>
      </w:r>
      <w:bookmarkEnd w:id="70"/>
    </w:p>
    <w:p w14:paraId="79D5188F" w14:textId="08931D5F" w:rsidR="00CE04D1" w:rsidRPr="00AA1A20" w:rsidRDefault="00CE04D1" w:rsidP="00A91437">
      <w:pPr>
        <w:pStyle w:val="ListNumber"/>
        <w:tabs>
          <w:tab w:val="clear" w:pos="360"/>
          <w:tab w:val="num" w:pos="993"/>
          <w:tab w:val="left" w:pos="1418"/>
        </w:tabs>
        <w:ind w:left="709" w:hanging="567"/>
        <w:rPr>
          <w:rFonts w:cs="Open Sans"/>
        </w:rPr>
      </w:pPr>
      <w:r w:rsidRPr="00AA1A20">
        <w:rPr>
          <w:rFonts w:cs="Open Sans"/>
        </w:rPr>
        <w:t xml:space="preserve">The draft Bill proposes a new Pt 15 of the </w:t>
      </w:r>
      <w:r w:rsidRPr="00AA1A20">
        <w:rPr>
          <w:rFonts w:cs="Open Sans"/>
          <w:i/>
        </w:rPr>
        <w:t>Telecommunications Act 1997</w:t>
      </w:r>
      <w:r w:rsidRPr="00AA1A20">
        <w:rPr>
          <w:rFonts w:cs="Open Sans"/>
        </w:rPr>
        <w:t xml:space="preserve"> (Cth), which establishes an ‘industry assistance framework’.</w:t>
      </w:r>
      <w:r w:rsidRPr="00102D26">
        <w:rPr>
          <w:rStyle w:val="EndnoteReference"/>
          <w:vertAlign w:val="superscript"/>
        </w:rPr>
        <w:endnoteReference w:id="52"/>
      </w:r>
      <w:r w:rsidRPr="00AA1A20">
        <w:rPr>
          <w:rFonts w:cs="Open Sans"/>
        </w:rPr>
        <w:t xml:space="preserve"> The framework empowers certain law enforcement and national security agencies to request or compel ‘designated communications providers’ to do a range of ‘acts or things’ to provide technical assistance to prescribed agencies in prescribed circumstances.</w:t>
      </w:r>
      <w:r w:rsidRPr="00102D26">
        <w:rPr>
          <w:rStyle w:val="EndnoteReference"/>
          <w:vertAlign w:val="superscript"/>
        </w:rPr>
        <w:endnoteReference w:id="53"/>
      </w:r>
      <w:r w:rsidRPr="00AA1A20">
        <w:rPr>
          <w:rFonts w:cs="Open Sans"/>
        </w:rPr>
        <w:t xml:space="preserve"> </w:t>
      </w:r>
    </w:p>
    <w:p w14:paraId="26CB5576" w14:textId="713D529A" w:rsidR="00CE04D1" w:rsidRPr="00AA1A20" w:rsidRDefault="00CE04D1" w:rsidP="005F28FC">
      <w:pPr>
        <w:pStyle w:val="ListNumber"/>
        <w:tabs>
          <w:tab w:val="clear" w:pos="360"/>
          <w:tab w:val="num" w:pos="993"/>
          <w:tab w:val="left" w:pos="1418"/>
        </w:tabs>
        <w:ind w:left="709" w:hanging="567"/>
        <w:rPr>
          <w:rFonts w:cs="Open Sans"/>
        </w:rPr>
      </w:pPr>
      <w:r w:rsidRPr="00AA1A20">
        <w:rPr>
          <w:rFonts w:cs="Open Sans"/>
        </w:rPr>
        <w:t xml:space="preserve">The explanatory document states that the purpose of the framework is to facilitate agencies’ </w:t>
      </w:r>
      <w:r w:rsidRPr="00AA1A20">
        <w:rPr>
          <w:rFonts w:cs="Open Sans"/>
          <w:i/>
        </w:rPr>
        <w:t>access</w:t>
      </w:r>
      <w:r w:rsidRPr="00AA1A20">
        <w:rPr>
          <w:rFonts w:cs="Open Sans"/>
        </w:rPr>
        <w:t xml:space="preserve"> to services or systems, without changing the existing mechanisms that agencies must use </w:t>
      </w:r>
      <w:proofErr w:type="gramStart"/>
      <w:r w:rsidRPr="00AA1A20">
        <w:rPr>
          <w:rFonts w:cs="Open Sans"/>
        </w:rPr>
        <w:t>to lawfully access</w:t>
      </w:r>
      <w:proofErr w:type="gramEnd"/>
      <w:r w:rsidRPr="00AA1A20">
        <w:rPr>
          <w:rFonts w:cs="Open Sans"/>
        </w:rPr>
        <w:t xml:space="preserve"> telecommunications content and data for investigations.</w:t>
      </w:r>
      <w:r w:rsidRPr="00102D26">
        <w:rPr>
          <w:rStyle w:val="EndnoteReference"/>
          <w:vertAlign w:val="superscript"/>
        </w:rPr>
        <w:endnoteReference w:id="54"/>
      </w:r>
      <w:r w:rsidRPr="00AA1A20">
        <w:rPr>
          <w:rFonts w:cs="Open Sans"/>
        </w:rPr>
        <w:t xml:space="preserve"> The assistance powers under proposed new Pt 15 of the </w:t>
      </w:r>
      <w:r w:rsidRPr="00AA1A20">
        <w:rPr>
          <w:rFonts w:cs="Open Sans"/>
          <w:i/>
        </w:rPr>
        <w:t>Telecommunications Act 1997</w:t>
      </w:r>
      <w:r w:rsidRPr="00AA1A20">
        <w:rPr>
          <w:rFonts w:cs="Open Sans"/>
        </w:rPr>
        <w:t xml:space="preserve"> </w:t>
      </w:r>
      <w:r w:rsidRPr="00AA1A20">
        <w:rPr>
          <w:rFonts w:cs="Open Sans"/>
        </w:rPr>
        <w:lastRenderedPageBreak/>
        <w:t>(Cth) will not in themselves require or authorise the interception or retention of data, which will remain subject to existing warrants regimes.</w:t>
      </w:r>
      <w:r w:rsidRPr="00102D26">
        <w:rPr>
          <w:rStyle w:val="EndnoteReference"/>
          <w:vertAlign w:val="superscript"/>
        </w:rPr>
        <w:endnoteReference w:id="55"/>
      </w:r>
    </w:p>
    <w:p w14:paraId="7297DE73" w14:textId="06B1D566" w:rsidR="00CE04D1" w:rsidRPr="00AA1A20" w:rsidRDefault="00CE04D1" w:rsidP="00D84D83">
      <w:pPr>
        <w:pStyle w:val="ListNumber"/>
        <w:tabs>
          <w:tab w:val="clear" w:pos="360"/>
          <w:tab w:val="num" w:pos="993"/>
          <w:tab w:val="left" w:pos="1418"/>
        </w:tabs>
        <w:ind w:left="709" w:hanging="567"/>
        <w:rPr>
          <w:rFonts w:cs="Open Sans"/>
        </w:rPr>
      </w:pPr>
      <w:r w:rsidRPr="00AA1A20">
        <w:rPr>
          <w:rFonts w:cs="Open Sans"/>
        </w:rPr>
        <w:t>However, as will be discussed below, the breadth of the proposed powers under the industry assistance framework, and how it interacts with established warrants processes, is unclear, making it uncertain as to what exact actions can lawfully be required of providers.</w:t>
      </w:r>
    </w:p>
    <w:p w14:paraId="473DE906" w14:textId="6F54635F" w:rsidR="00CE04D1" w:rsidRPr="00AA1A20" w:rsidRDefault="00CE04D1" w:rsidP="005D3187">
      <w:pPr>
        <w:pStyle w:val="ListNumber"/>
        <w:tabs>
          <w:tab w:val="clear" w:pos="360"/>
          <w:tab w:val="num" w:pos="993"/>
          <w:tab w:val="left" w:pos="1418"/>
        </w:tabs>
        <w:ind w:left="709" w:hanging="567"/>
        <w:rPr>
          <w:rFonts w:cs="Open Sans"/>
        </w:rPr>
      </w:pPr>
      <w:r w:rsidRPr="00AA1A20">
        <w:rPr>
          <w:rFonts w:cs="Open Sans"/>
        </w:rPr>
        <w:t>The draft Bill establishes three tiers of mechanisms to facilitate or compel ‘industry assistance’, with each tier providing progressively more onerous obligations as follows:</w:t>
      </w:r>
    </w:p>
    <w:p w14:paraId="2D215FC6" w14:textId="07786EE0" w:rsidR="00CE04D1" w:rsidRPr="00AA1A20" w:rsidRDefault="00CE04D1" w:rsidP="0063399F">
      <w:pPr>
        <w:pStyle w:val="Bullet"/>
        <w:numPr>
          <w:ilvl w:val="0"/>
          <w:numId w:val="17"/>
        </w:numPr>
        <w:tabs>
          <w:tab w:val="num" w:pos="2127"/>
        </w:tabs>
        <w:ind w:hanging="357"/>
        <w:rPr>
          <w:rFonts w:cs="Open Sans"/>
        </w:rPr>
      </w:pPr>
      <w:r w:rsidRPr="00AA1A20">
        <w:rPr>
          <w:rFonts w:cs="Open Sans"/>
        </w:rPr>
        <w:t>Technical assistance request (TAR): Under a TAR, the Director-General of Security,</w:t>
      </w:r>
      <w:r w:rsidRPr="00102D26">
        <w:rPr>
          <w:rStyle w:val="EndnoteReference"/>
          <w:vertAlign w:val="superscript"/>
        </w:rPr>
        <w:endnoteReference w:id="56"/>
      </w:r>
      <w:r w:rsidRPr="00AA1A20">
        <w:rPr>
          <w:rFonts w:cs="Open Sans"/>
        </w:rPr>
        <w:t xml:space="preserve"> the Director-General of </w:t>
      </w:r>
      <w:r w:rsidR="00B8450F">
        <w:rPr>
          <w:rFonts w:cs="Open Sans"/>
        </w:rPr>
        <w:t xml:space="preserve">the </w:t>
      </w:r>
      <w:r w:rsidRPr="00AA1A20">
        <w:rPr>
          <w:rFonts w:cs="Open Sans"/>
        </w:rPr>
        <w:t xml:space="preserve">Australian Secret Intelligence Service (ASIS), the Director-General of the Australian Signals Directorate (ASD) or the chief officer of an ‘interception agency’ can request that a provider </w:t>
      </w:r>
      <w:r w:rsidRPr="00AA1A20">
        <w:rPr>
          <w:rFonts w:cs="Open Sans"/>
          <w:i/>
        </w:rPr>
        <w:t>voluntarily</w:t>
      </w:r>
      <w:r w:rsidRPr="00AA1A20">
        <w:rPr>
          <w:rFonts w:cs="Open Sans"/>
        </w:rPr>
        <w:t xml:space="preserve"> assist ASIO, ASIS, </w:t>
      </w:r>
      <w:proofErr w:type="gramStart"/>
      <w:r w:rsidRPr="00AA1A20">
        <w:rPr>
          <w:rFonts w:cs="Open Sans"/>
        </w:rPr>
        <w:t>the</w:t>
      </w:r>
      <w:proofErr w:type="gramEnd"/>
      <w:r w:rsidRPr="00AA1A20">
        <w:rPr>
          <w:rFonts w:cs="Open Sans"/>
        </w:rPr>
        <w:t xml:space="preserve"> ASD and interception agencies.</w:t>
      </w:r>
      <w:r w:rsidRPr="00102D26">
        <w:rPr>
          <w:rStyle w:val="EndnoteReference"/>
          <w:vertAlign w:val="superscript"/>
        </w:rPr>
        <w:endnoteReference w:id="57"/>
      </w:r>
      <w:r w:rsidRPr="00AA1A20">
        <w:rPr>
          <w:rFonts w:cs="Open Sans"/>
        </w:rPr>
        <w:t xml:space="preserve"> </w:t>
      </w:r>
    </w:p>
    <w:p w14:paraId="74640B8A" w14:textId="28E43682" w:rsidR="00CE04D1" w:rsidRPr="00AA1A20" w:rsidRDefault="00CE04D1" w:rsidP="0063399F">
      <w:pPr>
        <w:pStyle w:val="Bullet"/>
        <w:numPr>
          <w:ilvl w:val="0"/>
          <w:numId w:val="17"/>
        </w:numPr>
        <w:tabs>
          <w:tab w:val="num" w:pos="2127"/>
        </w:tabs>
        <w:ind w:hanging="357"/>
        <w:rPr>
          <w:rFonts w:cs="Open Sans"/>
        </w:rPr>
      </w:pPr>
      <w:r w:rsidRPr="00AA1A20">
        <w:rPr>
          <w:rFonts w:cs="Open Sans"/>
        </w:rPr>
        <w:t xml:space="preserve">Technical assistance notice (TAN): Under a TAN, the Director-General of Security, or the head of an ‘interception agency’, can </w:t>
      </w:r>
      <w:r w:rsidRPr="00AA1A20">
        <w:rPr>
          <w:rFonts w:cs="Open Sans"/>
          <w:i/>
        </w:rPr>
        <w:t>require</w:t>
      </w:r>
      <w:r w:rsidRPr="00AA1A20">
        <w:rPr>
          <w:rFonts w:cs="Open Sans"/>
        </w:rPr>
        <w:t xml:space="preserve"> a provider to give assistance that it is already capable of providing, if the relevant decision maker is satisfied that the requirements are ‘reasonable and proportionate’ and that compliance is ‘practicable and technically feasible’.</w:t>
      </w:r>
      <w:r w:rsidRPr="00102D26">
        <w:rPr>
          <w:rStyle w:val="EndnoteReference"/>
          <w:vertAlign w:val="superscript"/>
        </w:rPr>
        <w:endnoteReference w:id="58"/>
      </w:r>
    </w:p>
    <w:p w14:paraId="3D1B9A74" w14:textId="304FF0F4" w:rsidR="00CE04D1" w:rsidRPr="00AA1A20" w:rsidRDefault="00CE04D1" w:rsidP="0063399F">
      <w:pPr>
        <w:pStyle w:val="Bullet"/>
        <w:numPr>
          <w:ilvl w:val="0"/>
          <w:numId w:val="17"/>
        </w:numPr>
        <w:tabs>
          <w:tab w:val="num" w:pos="2127"/>
        </w:tabs>
        <w:ind w:hanging="357"/>
        <w:rPr>
          <w:rFonts w:cs="Open Sans"/>
        </w:rPr>
      </w:pPr>
      <w:r w:rsidRPr="00AA1A20">
        <w:rPr>
          <w:rFonts w:cs="Open Sans"/>
        </w:rPr>
        <w:t xml:space="preserve">Technical capability notice (TCN): Under a TCN, the Attorney-General can </w:t>
      </w:r>
      <w:r w:rsidRPr="00AA1A20">
        <w:rPr>
          <w:rFonts w:cs="Open Sans"/>
          <w:i/>
        </w:rPr>
        <w:t>require</w:t>
      </w:r>
      <w:r w:rsidRPr="00AA1A20">
        <w:rPr>
          <w:rFonts w:cs="Open Sans"/>
        </w:rPr>
        <w:t xml:space="preserve"> a provider to build a new capability that will enable them to give assistance to ASIO and ‘interception agencies’, where the Attorney-General is satisfied that the requirements are ‘reasonable and proportionate’ and that compliance is ‘practicable and technically feasible’.</w:t>
      </w:r>
      <w:r w:rsidRPr="00102D26">
        <w:rPr>
          <w:rStyle w:val="EndnoteReference"/>
          <w:vertAlign w:val="superscript"/>
        </w:rPr>
        <w:endnoteReference w:id="59"/>
      </w:r>
    </w:p>
    <w:p w14:paraId="6D0162C8" w14:textId="69DFD055" w:rsidR="00CE04D1" w:rsidRPr="00AA1A20" w:rsidRDefault="00CE04D1" w:rsidP="005D3187">
      <w:pPr>
        <w:pStyle w:val="ListNumber"/>
        <w:tabs>
          <w:tab w:val="clear" w:pos="360"/>
          <w:tab w:val="num" w:pos="993"/>
          <w:tab w:val="left" w:pos="1418"/>
        </w:tabs>
        <w:ind w:left="709" w:hanging="567"/>
        <w:rPr>
          <w:rFonts w:cs="Open Sans"/>
        </w:rPr>
      </w:pPr>
      <w:r w:rsidRPr="00AA1A20">
        <w:rPr>
          <w:rFonts w:cs="Open Sans"/>
        </w:rPr>
        <w:t xml:space="preserve">Despite the name ‘technical assistance </w:t>
      </w:r>
      <w:r w:rsidRPr="00AA1A20">
        <w:rPr>
          <w:rFonts w:cs="Open Sans"/>
          <w:i/>
        </w:rPr>
        <w:t>requests</w:t>
      </w:r>
      <w:r w:rsidRPr="00AA1A20">
        <w:rPr>
          <w:rFonts w:cs="Open Sans"/>
        </w:rPr>
        <w:t xml:space="preserve">’, and the explanatory document stating that TARs are voluntary, the Commission considers that their voluntary nature is not made explicit enough in proposed s 317G. This issue </w:t>
      </w:r>
      <w:proofErr w:type="gramStart"/>
      <w:r w:rsidRPr="00AA1A20">
        <w:rPr>
          <w:rFonts w:cs="Open Sans"/>
        </w:rPr>
        <w:t>is discussed</w:t>
      </w:r>
      <w:proofErr w:type="gramEnd"/>
      <w:r w:rsidRPr="00AA1A20">
        <w:rPr>
          <w:rFonts w:cs="Open Sans"/>
        </w:rPr>
        <w:t xml:space="preserve"> further below at Pt </w:t>
      </w:r>
      <w:r w:rsidRPr="00AA1A20">
        <w:rPr>
          <w:rFonts w:cs="Open Sans"/>
        </w:rPr>
        <w:fldChar w:fldCharType="begin"/>
      </w:r>
      <w:r w:rsidRPr="00AA1A20">
        <w:rPr>
          <w:rFonts w:cs="Open Sans"/>
        </w:rPr>
        <w:instrText xml:space="preserve"> REF _Ref524083729 \r \h </w:instrText>
      </w:r>
      <w:r>
        <w:rPr>
          <w:rFonts w:cs="Open Sans"/>
        </w:rPr>
        <w:instrText xml:space="preserve"> \* MERGEFORMAT </w:instrText>
      </w:r>
      <w:r w:rsidRPr="00AA1A20">
        <w:rPr>
          <w:rFonts w:cs="Open Sans"/>
        </w:rPr>
      </w:r>
      <w:r w:rsidRPr="00AA1A20">
        <w:rPr>
          <w:rFonts w:cs="Open Sans"/>
        </w:rPr>
        <w:fldChar w:fldCharType="separate"/>
      </w:r>
      <w:r w:rsidR="00523FE1">
        <w:rPr>
          <w:rFonts w:cs="Open Sans"/>
        </w:rPr>
        <w:t>5.4</w:t>
      </w:r>
      <w:r w:rsidRPr="00AA1A20">
        <w:rPr>
          <w:rFonts w:cs="Open Sans"/>
        </w:rPr>
        <w:fldChar w:fldCharType="end"/>
      </w:r>
      <w:r w:rsidRPr="00AA1A20">
        <w:rPr>
          <w:rFonts w:cs="Open Sans"/>
        </w:rPr>
        <w:t xml:space="preserve">. </w:t>
      </w:r>
    </w:p>
    <w:p w14:paraId="67012E94" w14:textId="6D78ACF1" w:rsidR="00CE04D1" w:rsidRPr="00AA1A20" w:rsidRDefault="00CE04D1" w:rsidP="005D3187">
      <w:pPr>
        <w:pStyle w:val="ListNumber"/>
        <w:tabs>
          <w:tab w:val="clear" w:pos="360"/>
          <w:tab w:val="num" w:pos="993"/>
          <w:tab w:val="left" w:pos="1418"/>
        </w:tabs>
        <w:ind w:left="709" w:hanging="567"/>
        <w:rPr>
          <w:rFonts w:cs="Open Sans"/>
        </w:rPr>
      </w:pPr>
      <w:r w:rsidRPr="00AA1A20">
        <w:rPr>
          <w:rFonts w:cs="Open Sans"/>
        </w:rPr>
        <w:t xml:space="preserve">‘Interception agencies’ are defined as agencies with interception powers under the </w:t>
      </w:r>
      <w:r w:rsidRPr="00AA1A20">
        <w:rPr>
          <w:rFonts w:cs="Open Sans"/>
          <w:i/>
        </w:rPr>
        <w:t xml:space="preserve">Telecommunications (Interception and Access) Act 1979 </w:t>
      </w:r>
      <w:r w:rsidRPr="00AA1A20">
        <w:rPr>
          <w:rFonts w:cs="Open Sans"/>
        </w:rPr>
        <w:t>(Cth) (TIA Act), being the Australian Federal Police, the Australian Commission for Law Enforcement Integrity, the Australian Criminal Intelligence Commission, state and territory police agencies and anti-corruption commissions.</w:t>
      </w:r>
      <w:r w:rsidRPr="00102D26">
        <w:rPr>
          <w:rStyle w:val="EndnoteReference"/>
          <w:vertAlign w:val="superscript"/>
        </w:rPr>
        <w:endnoteReference w:id="60"/>
      </w:r>
    </w:p>
    <w:p w14:paraId="3364C6D2" w14:textId="4B81B03F" w:rsidR="00CE04D1" w:rsidRPr="00AA1A20" w:rsidRDefault="00CE04D1" w:rsidP="005D3187">
      <w:pPr>
        <w:pStyle w:val="ListNumber"/>
        <w:tabs>
          <w:tab w:val="clear" w:pos="360"/>
          <w:tab w:val="num" w:pos="993"/>
          <w:tab w:val="left" w:pos="1418"/>
        </w:tabs>
        <w:ind w:left="709" w:hanging="567"/>
        <w:rPr>
          <w:rFonts w:cs="Open Sans"/>
        </w:rPr>
      </w:pPr>
      <w:r w:rsidRPr="00AA1A20">
        <w:rPr>
          <w:rFonts w:cs="Open Sans"/>
        </w:rPr>
        <w:t xml:space="preserve">The definition of a ‘designated communications provider’ in proposed s 317C is broad and includes: </w:t>
      </w:r>
    </w:p>
    <w:p w14:paraId="3C2C4513" w14:textId="56EB9624" w:rsidR="00CE04D1" w:rsidRPr="00AA1A20" w:rsidRDefault="00CE04D1" w:rsidP="0077267A">
      <w:pPr>
        <w:pStyle w:val="Bullet"/>
        <w:numPr>
          <w:ilvl w:val="0"/>
          <w:numId w:val="18"/>
        </w:numPr>
        <w:ind w:hanging="357"/>
        <w:rPr>
          <w:rFonts w:cs="Open Sans"/>
        </w:rPr>
      </w:pPr>
      <w:r w:rsidRPr="00AA1A20">
        <w:rPr>
          <w:rFonts w:cs="Open Sans"/>
        </w:rPr>
        <w:lastRenderedPageBreak/>
        <w:t xml:space="preserve">a person that ‘is a carrier or carriage service provider’ or ‘a carriage service intermediary’ </w:t>
      </w:r>
    </w:p>
    <w:p w14:paraId="0962BB21" w14:textId="54C280E5" w:rsidR="00CE04D1" w:rsidRPr="00AA1A20" w:rsidRDefault="00CE04D1" w:rsidP="0077267A">
      <w:pPr>
        <w:pStyle w:val="Bullet"/>
        <w:numPr>
          <w:ilvl w:val="0"/>
          <w:numId w:val="18"/>
        </w:numPr>
        <w:tabs>
          <w:tab w:val="num" w:pos="2127"/>
        </w:tabs>
        <w:ind w:hanging="357"/>
        <w:rPr>
          <w:rFonts w:cs="Open Sans"/>
        </w:rPr>
      </w:pPr>
      <w:r w:rsidRPr="00AA1A20">
        <w:rPr>
          <w:rFonts w:cs="Open Sans"/>
        </w:rPr>
        <w:t>a person that ‘provides an electronic service that has one or more end-users in Australia’</w:t>
      </w:r>
    </w:p>
    <w:p w14:paraId="2BB19092" w14:textId="4DAB21FB" w:rsidR="00CE04D1" w:rsidRPr="00AA1A20" w:rsidRDefault="00CE04D1" w:rsidP="0077267A">
      <w:pPr>
        <w:pStyle w:val="Bullet"/>
        <w:numPr>
          <w:ilvl w:val="0"/>
          <w:numId w:val="18"/>
        </w:numPr>
        <w:tabs>
          <w:tab w:val="num" w:pos="2127"/>
        </w:tabs>
        <w:ind w:hanging="357"/>
        <w:rPr>
          <w:rFonts w:cs="Open Sans"/>
        </w:rPr>
      </w:pPr>
      <w:r w:rsidRPr="00AA1A20">
        <w:rPr>
          <w:rFonts w:cs="Open Sans"/>
        </w:rPr>
        <w:t>a person that ‘develops, supplies or updates software used, for use, or likely to be used, in connection a listed carriage or an electronic service …’</w:t>
      </w:r>
    </w:p>
    <w:p w14:paraId="5603F1A0" w14:textId="1AAB94D5" w:rsidR="00CE04D1" w:rsidRPr="00AA1A20" w:rsidRDefault="00CE04D1" w:rsidP="0077267A">
      <w:pPr>
        <w:pStyle w:val="Bullet"/>
        <w:numPr>
          <w:ilvl w:val="0"/>
          <w:numId w:val="18"/>
        </w:numPr>
        <w:ind w:hanging="357"/>
        <w:rPr>
          <w:rFonts w:cs="Open Sans"/>
        </w:rPr>
      </w:pPr>
      <w:r w:rsidRPr="00AA1A20">
        <w:rPr>
          <w:rFonts w:cs="Open Sans"/>
        </w:rPr>
        <w:t>a person that ‘manufactures or supplies components for use … in the manufacture of a facility’</w:t>
      </w:r>
    </w:p>
    <w:p w14:paraId="705976FE" w14:textId="0CBBD09B" w:rsidR="00CE04D1" w:rsidRPr="00AA1A20" w:rsidRDefault="00CE04D1" w:rsidP="0077267A">
      <w:pPr>
        <w:pStyle w:val="Bullet"/>
        <w:numPr>
          <w:ilvl w:val="0"/>
          <w:numId w:val="18"/>
        </w:numPr>
        <w:ind w:hanging="357"/>
        <w:rPr>
          <w:rFonts w:cs="Open Sans"/>
        </w:rPr>
      </w:pPr>
      <w:r w:rsidRPr="00AA1A20">
        <w:rPr>
          <w:rFonts w:cs="Open Sans"/>
        </w:rPr>
        <w:t>a person that ‘connects a facility to a telecommunications network in Australia’</w:t>
      </w:r>
    </w:p>
    <w:p w14:paraId="3336CF62" w14:textId="34308F77" w:rsidR="00CE04D1" w:rsidRPr="00AA1A20" w:rsidRDefault="00CE04D1" w:rsidP="0077267A">
      <w:pPr>
        <w:pStyle w:val="Bullet"/>
        <w:numPr>
          <w:ilvl w:val="0"/>
          <w:numId w:val="18"/>
        </w:numPr>
        <w:ind w:hanging="357"/>
        <w:rPr>
          <w:rFonts w:cs="Open Sans"/>
        </w:rPr>
      </w:pPr>
      <w:r w:rsidRPr="00AA1A20">
        <w:rPr>
          <w:rFonts w:cs="Open Sans"/>
        </w:rPr>
        <w:t>a person that ‘manufactures or supplies customer equipment for use … in Australia’</w:t>
      </w:r>
    </w:p>
    <w:p w14:paraId="58BEA5A9" w14:textId="01D66115" w:rsidR="00CE04D1" w:rsidRPr="00AA1A20" w:rsidRDefault="00CE04D1" w:rsidP="0077267A">
      <w:pPr>
        <w:pStyle w:val="Bullet"/>
        <w:numPr>
          <w:ilvl w:val="0"/>
          <w:numId w:val="18"/>
        </w:numPr>
        <w:ind w:hanging="357"/>
        <w:rPr>
          <w:rFonts w:cs="Open Sans"/>
        </w:rPr>
      </w:pPr>
      <w:r w:rsidRPr="00AA1A20">
        <w:rPr>
          <w:rFonts w:cs="Open Sans"/>
        </w:rPr>
        <w:t>a ‘constitutional corporation’ who ‘manufactures or supplies or installs or maintains data processing devices’</w:t>
      </w:r>
    </w:p>
    <w:p w14:paraId="24E6340A" w14:textId="1F7E1C3D" w:rsidR="00CE04D1" w:rsidRPr="00AA1A20" w:rsidRDefault="00CE04D1" w:rsidP="0077267A">
      <w:pPr>
        <w:pStyle w:val="Bullet"/>
        <w:numPr>
          <w:ilvl w:val="0"/>
          <w:numId w:val="18"/>
        </w:numPr>
        <w:ind w:hanging="357"/>
        <w:rPr>
          <w:rFonts w:cs="Open Sans"/>
        </w:rPr>
      </w:pPr>
      <w:r w:rsidRPr="00AA1A20">
        <w:rPr>
          <w:rFonts w:cs="Open Sans"/>
        </w:rPr>
        <w:t>a ‘constitutional corporation’ who ‘develops or supplies or updates software that is capable of being installed on a computer, or other equipment that is or is likely to be connected to a telecommunications network in Australia’.</w:t>
      </w:r>
    </w:p>
    <w:p w14:paraId="2E672FD6" w14:textId="17B56758" w:rsidR="00CE04D1" w:rsidRPr="00AA1A20" w:rsidRDefault="00CE04D1" w:rsidP="000E3E9B">
      <w:pPr>
        <w:pStyle w:val="ListNumber"/>
        <w:tabs>
          <w:tab w:val="clear" w:pos="360"/>
          <w:tab w:val="num" w:pos="993"/>
          <w:tab w:val="left" w:pos="1418"/>
        </w:tabs>
        <w:ind w:left="709" w:hanging="567"/>
        <w:rPr>
          <w:rFonts w:cs="Open Sans"/>
        </w:rPr>
      </w:pPr>
      <w:r w:rsidRPr="00AA1A20">
        <w:rPr>
          <w:rFonts w:cs="Open Sans"/>
        </w:rPr>
        <w:t xml:space="preserve">The explanatory document states that the choice to define a ‘designated communications </w:t>
      </w:r>
      <w:proofErr w:type="gramStart"/>
      <w:r w:rsidRPr="00AA1A20">
        <w:rPr>
          <w:rFonts w:cs="Open Sans"/>
        </w:rPr>
        <w:t>provider‘ so</w:t>
      </w:r>
      <w:proofErr w:type="gramEnd"/>
      <w:r w:rsidRPr="00AA1A20">
        <w:rPr>
          <w:rFonts w:cs="Open Sans"/>
        </w:rPr>
        <w:t xml:space="preserve"> broadly is deliberate, to capture ‘the full range of companies in the communications supply chain both within and outside Australia’.</w:t>
      </w:r>
      <w:r w:rsidRPr="00102D26">
        <w:rPr>
          <w:rStyle w:val="EndnoteReference"/>
          <w:vertAlign w:val="superscript"/>
        </w:rPr>
        <w:endnoteReference w:id="61"/>
      </w:r>
      <w:r w:rsidRPr="00AA1A20">
        <w:rPr>
          <w:rFonts w:cs="Open Sans"/>
        </w:rPr>
        <w:t xml:space="preserve"> Notably, proposed s 317C extends to offshore entities that have a role in the provision of communications and related services in Australia.</w:t>
      </w:r>
    </w:p>
    <w:p w14:paraId="47A2F42B" w14:textId="3292D057" w:rsidR="00CE04D1" w:rsidRPr="00AA1A20" w:rsidRDefault="00CE04D1" w:rsidP="000E3E9B">
      <w:pPr>
        <w:pStyle w:val="ListNumber"/>
        <w:tabs>
          <w:tab w:val="clear" w:pos="360"/>
          <w:tab w:val="num" w:pos="993"/>
          <w:tab w:val="left" w:pos="1418"/>
        </w:tabs>
        <w:ind w:left="709" w:hanging="567"/>
        <w:rPr>
          <w:rFonts w:cs="Open Sans"/>
        </w:rPr>
      </w:pPr>
      <w:r w:rsidRPr="00AA1A20">
        <w:rPr>
          <w:rFonts w:cs="Open Sans"/>
        </w:rPr>
        <w:t>By way of example of the breadth of providers subject to the assistance framework, the obligations apply to the provider of an ‘electronic service’ as defined by proposed s </w:t>
      </w:r>
      <w:proofErr w:type="gramStart"/>
      <w:r w:rsidRPr="00AA1A20">
        <w:rPr>
          <w:rFonts w:cs="Open Sans"/>
        </w:rPr>
        <w:t>317D(</w:t>
      </w:r>
      <w:proofErr w:type="gramEnd"/>
      <w:r w:rsidRPr="00AA1A20">
        <w:rPr>
          <w:rFonts w:cs="Open Sans"/>
        </w:rPr>
        <w:t>1)–(2) of the draft Bill.</w:t>
      </w:r>
      <w:r w:rsidRPr="00DF3B57">
        <w:rPr>
          <w:rStyle w:val="EndnoteReference"/>
          <w:vertAlign w:val="superscript"/>
        </w:rPr>
        <w:endnoteReference w:id="62"/>
      </w:r>
      <w:r w:rsidRPr="00AA1A20">
        <w:rPr>
          <w:rFonts w:cs="Open Sans"/>
        </w:rPr>
        <w:t xml:space="preserve"> The explanatory document states that an ‘electronic service’ covers websites, chat fora, cloud and web hosting, peer-to-peer sharing platforms and email distribution lists.</w:t>
      </w:r>
      <w:r w:rsidRPr="00DF3B57">
        <w:rPr>
          <w:rStyle w:val="EndnoteReference"/>
          <w:vertAlign w:val="superscript"/>
        </w:rPr>
        <w:endnoteReference w:id="63"/>
      </w:r>
      <w:r w:rsidRPr="00AA1A20">
        <w:rPr>
          <w:rFonts w:cs="Open Sans"/>
        </w:rPr>
        <w:t xml:space="preserve"> The explanatory document further states that this definition </w:t>
      </w:r>
      <w:proofErr w:type="gramStart"/>
      <w:r w:rsidRPr="00AA1A20">
        <w:rPr>
          <w:rFonts w:cs="Open Sans"/>
        </w:rPr>
        <w:t>is intended</w:t>
      </w:r>
      <w:proofErr w:type="gramEnd"/>
      <w:r w:rsidRPr="00AA1A20">
        <w:rPr>
          <w:rFonts w:cs="Open Sans"/>
        </w:rPr>
        <w:t xml:space="preserve"> to capture ‘a range of existing and future technologies, including hardware and software’.</w:t>
      </w:r>
      <w:r w:rsidRPr="00DF3B57">
        <w:rPr>
          <w:rStyle w:val="EndnoteReference"/>
          <w:vertAlign w:val="superscript"/>
        </w:rPr>
        <w:endnoteReference w:id="64"/>
      </w:r>
      <w:r w:rsidRPr="00AA1A20">
        <w:rPr>
          <w:rFonts w:cs="Open Sans"/>
        </w:rPr>
        <w:t xml:space="preserve"> </w:t>
      </w:r>
    </w:p>
    <w:p w14:paraId="517DDDC7" w14:textId="231706D3" w:rsidR="00CE04D1" w:rsidRPr="00AA1A20" w:rsidRDefault="00CE04D1" w:rsidP="00C24784">
      <w:pPr>
        <w:pStyle w:val="ListNumber"/>
        <w:tabs>
          <w:tab w:val="clear" w:pos="360"/>
          <w:tab w:val="num" w:pos="993"/>
          <w:tab w:val="left" w:pos="1418"/>
        </w:tabs>
        <w:ind w:left="709" w:hanging="567"/>
        <w:rPr>
          <w:rFonts w:cs="Open Sans"/>
        </w:rPr>
      </w:pPr>
      <w:r w:rsidRPr="00AA1A20">
        <w:rPr>
          <w:rFonts w:cs="Open Sans"/>
        </w:rPr>
        <w:t xml:space="preserve">The Commission notes that the definition of ‘designated communications provider’ applies to organisations as well as natural persons. While it is easy to imagine a scenario where industry leaders such as Google or Facebook </w:t>
      </w:r>
      <w:proofErr w:type="gramStart"/>
      <w:r w:rsidRPr="00AA1A20">
        <w:rPr>
          <w:rFonts w:cs="Open Sans"/>
        </w:rPr>
        <w:t>are asked</w:t>
      </w:r>
      <w:proofErr w:type="gramEnd"/>
      <w:r w:rsidRPr="00AA1A20">
        <w:rPr>
          <w:rFonts w:cs="Open Sans"/>
        </w:rPr>
        <w:t xml:space="preserve"> to provide technical assistance to law enforcement, the framework extends to individuals—for example, programmers, app </w:t>
      </w:r>
      <w:r w:rsidRPr="00AA1A20">
        <w:rPr>
          <w:rFonts w:cs="Open Sans"/>
        </w:rPr>
        <w:lastRenderedPageBreak/>
        <w:t xml:space="preserve">developers and webmasters—who may have lower levels of corporate and legal sophistication. Additionally, such individuals may not have access to legal advice to inform their understanding of the framework proposed by the draft Bill. </w:t>
      </w:r>
    </w:p>
    <w:p w14:paraId="64B1F20F" w14:textId="3DA9F9B8" w:rsidR="00CE04D1" w:rsidRPr="00AA1A20" w:rsidRDefault="00CE04D1" w:rsidP="00C24784">
      <w:pPr>
        <w:pStyle w:val="ListNumber"/>
        <w:tabs>
          <w:tab w:val="clear" w:pos="360"/>
          <w:tab w:val="num" w:pos="993"/>
          <w:tab w:val="left" w:pos="1418"/>
        </w:tabs>
        <w:ind w:left="709" w:hanging="567"/>
        <w:rPr>
          <w:rFonts w:cs="Open Sans"/>
        </w:rPr>
      </w:pPr>
      <w:bookmarkStart w:id="71" w:name="_Ref524083841"/>
      <w:r w:rsidRPr="00AA1A20">
        <w:rPr>
          <w:rFonts w:cs="Open Sans"/>
        </w:rPr>
        <w:t>Proposed s 317E sets out the forms of assistance that a provider can be requested or compelled to provide, defined as ‘listed acts or things’, including:</w:t>
      </w:r>
      <w:bookmarkEnd w:id="71"/>
    </w:p>
    <w:p w14:paraId="19A01054" w14:textId="77777777" w:rsidR="00CE04D1" w:rsidRPr="00AA1A20" w:rsidRDefault="00CE04D1" w:rsidP="0077267A">
      <w:pPr>
        <w:pStyle w:val="Bullet"/>
        <w:numPr>
          <w:ilvl w:val="0"/>
          <w:numId w:val="19"/>
        </w:numPr>
        <w:ind w:hanging="357"/>
        <w:rPr>
          <w:rFonts w:cs="Open Sans"/>
        </w:rPr>
      </w:pPr>
      <w:r w:rsidRPr="00AA1A20">
        <w:rPr>
          <w:rFonts w:cs="Open Sans"/>
        </w:rPr>
        <w:t>removing one or more forms of electronic protection that are or were applied by, or on behalf of, the provider</w:t>
      </w:r>
    </w:p>
    <w:p w14:paraId="2C9F290E" w14:textId="77777777" w:rsidR="00CE04D1" w:rsidRPr="00AA1A20" w:rsidRDefault="00CE04D1" w:rsidP="0077267A">
      <w:pPr>
        <w:pStyle w:val="Bullet"/>
        <w:numPr>
          <w:ilvl w:val="0"/>
          <w:numId w:val="19"/>
        </w:numPr>
        <w:ind w:hanging="357"/>
        <w:rPr>
          <w:rFonts w:cs="Open Sans"/>
        </w:rPr>
      </w:pPr>
      <w:r w:rsidRPr="00AA1A20">
        <w:rPr>
          <w:rFonts w:cs="Open Sans"/>
        </w:rPr>
        <w:t>providing technical information</w:t>
      </w:r>
    </w:p>
    <w:p w14:paraId="70F6BCF3" w14:textId="77777777" w:rsidR="00CE04D1" w:rsidRPr="00AA1A20" w:rsidRDefault="00CE04D1" w:rsidP="0077267A">
      <w:pPr>
        <w:pStyle w:val="Bullet"/>
        <w:numPr>
          <w:ilvl w:val="0"/>
          <w:numId w:val="19"/>
        </w:numPr>
        <w:ind w:hanging="357"/>
        <w:rPr>
          <w:rFonts w:cs="Open Sans"/>
        </w:rPr>
      </w:pPr>
      <w:r w:rsidRPr="00AA1A20">
        <w:rPr>
          <w:rFonts w:cs="Open Sans"/>
        </w:rPr>
        <w:t>installing, maintaining, testing or using software or equipment</w:t>
      </w:r>
    </w:p>
    <w:p w14:paraId="44BB9F54" w14:textId="77777777" w:rsidR="00CE04D1" w:rsidRPr="00AA1A20" w:rsidRDefault="00CE04D1" w:rsidP="0077267A">
      <w:pPr>
        <w:pStyle w:val="Bullet"/>
        <w:numPr>
          <w:ilvl w:val="0"/>
          <w:numId w:val="19"/>
        </w:numPr>
        <w:ind w:hanging="357"/>
        <w:rPr>
          <w:rFonts w:cs="Open Sans"/>
        </w:rPr>
      </w:pPr>
      <w:r w:rsidRPr="00AA1A20">
        <w:rPr>
          <w:rFonts w:cs="Open Sans"/>
        </w:rPr>
        <w:t>facilitating or assisting access to, among other things, a facility, customer equipment, data processing device or listed carriage service</w:t>
      </w:r>
    </w:p>
    <w:p w14:paraId="6CDC2677" w14:textId="77777777" w:rsidR="00CE04D1" w:rsidRPr="00AA1A20" w:rsidRDefault="00CE04D1" w:rsidP="0077267A">
      <w:pPr>
        <w:pStyle w:val="Bullet"/>
        <w:numPr>
          <w:ilvl w:val="0"/>
          <w:numId w:val="19"/>
        </w:numPr>
        <w:ind w:hanging="357"/>
        <w:rPr>
          <w:rFonts w:cs="Open Sans"/>
        </w:rPr>
      </w:pPr>
      <w:r w:rsidRPr="00AA1A20">
        <w:rPr>
          <w:rFonts w:cs="Open Sans"/>
        </w:rPr>
        <w:t xml:space="preserve">assisting with the testing, modification, development or maintenance of a technology or capability </w:t>
      </w:r>
    </w:p>
    <w:p w14:paraId="54BC91F9" w14:textId="77777777" w:rsidR="00CE04D1" w:rsidRPr="00AA1A20" w:rsidRDefault="00CE04D1" w:rsidP="0077267A">
      <w:pPr>
        <w:pStyle w:val="Bullet"/>
        <w:numPr>
          <w:ilvl w:val="0"/>
          <w:numId w:val="19"/>
        </w:numPr>
        <w:ind w:hanging="357"/>
        <w:rPr>
          <w:rFonts w:cs="Open Sans"/>
        </w:rPr>
      </w:pPr>
      <w:r w:rsidRPr="00AA1A20">
        <w:rPr>
          <w:rFonts w:cs="Open Sans"/>
        </w:rPr>
        <w:t>notifying changes affecting the activities of the provider</w:t>
      </w:r>
    </w:p>
    <w:p w14:paraId="6138E947" w14:textId="77777777" w:rsidR="00CE04D1" w:rsidRPr="00AA1A20" w:rsidRDefault="00CE04D1" w:rsidP="0077267A">
      <w:pPr>
        <w:pStyle w:val="Bullet"/>
        <w:numPr>
          <w:ilvl w:val="0"/>
          <w:numId w:val="19"/>
        </w:numPr>
        <w:ind w:hanging="357"/>
        <w:rPr>
          <w:rFonts w:cs="Open Sans"/>
        </w:rPr>
      </w:pPr>
      <w:r w:rsidRPr="00AA1A20">
        <w:rPr>
          <w:rFonts w:cs="Open Sans"/>
        </w:rPr>
        <w:t>modifying a characteristic of a service</w:t>
      </w:r>
    </w:p>
    <w:p w14:paraId="5F5A313E" w14:textId="77777777" w:rsidR="00CE04D1" w:rsidRPr="00AA1A20" w:rsidRDefault="00CE04D1" w:rsidP="0077267A">
      <w:pPr>
        <w:pStyle w:val="Bullet"/>
        <w:numPr>
          <w:ilvl w:val="0"/>
          <w:numId w:val="19"/>
        </w:numPr>
        <w:ind w:hanging="357"/>
        <w:rPr>
          <w:rFonts w:cs="Open Sans"/>
        </w:rPr>
      </w:pPr>
      <w:r w:rsidRPr="00AA1A20">
        <w:rPr>
          <w:rFonts w:cs="Open Sans"/>
        </w:rPr>
        <w:t>substituting a service for another service</w:t>
      </w:r>
    </w:p>
    <w:p w14:paraId="221FF94F" w14:textId="696B939B" w:rsidR="00CE04D1" w:rsidRPr="00AA1A20" w:rsidRDefault="00CE04D1" w:rsidP="0077267A">
      <w:pPr>
        <w:pStyle w:val="Bullet"/>
        <w:numPr>
          <w:ilvl w:val="0"/>
          <w:numId w:val="19"/>
        </w:numPr>
        <w:ind w:hanging="357"/>
        <w:rPr>
          <w:rFonts w:cs="Open Sans"/>
        </w:rPr>
      </w:pPr>
      <w:proofErr w:type="gramStart"/>
      <w:r w:rsidRPr="00AA1A20">
        <w:rPr>
          <w:rFonts w:cs="Open Sans"/>
        </w:rPr>
        <w:t>concealing</w:t>
      </w:r>
      <w:proofErr w:type="gramEnd"/>
      <w:r w:rsidRPr="00AA1A20">
        <w:rPr>
          <w:rFonts w:cs="Open Sans"/>
        </w:rPr>
        <w:t xml:space="preserve"> the fact that covert action has occurred.</w:t>
      </w:r>
      <w:r w:rsidRPr="00DF3B57">
        <w:rPr>
          <w:rStyle w:val="EndnoteReference"/>
          <w:vertAlign w:val="superscript"/>
        </w:rPr>
        <w:endnoteReference w:id="65"/>
      </w:r>
      <w:r w:rsidRPr="00AA1A20">
        <w:rPr>
          <w:rFonts w:cs="Open Sans"/>
        </w:rPr>
        <w:t xml:space="preserve"> </w:t>
      </w:r>
    </w:p>
    <w:p w14:paraId="3FAC00C0" w14:textId="6558C663" w:rsidR="00CE04D1" w:rsidRPr="00AA1A20" w:rsidRDefault="00CE04D1" w:rsidP="00180C58">
      <w:pPr>
        <w:pStyle w:val="ListNumber"/>
        <w:tabs>
          <w:tab w:val="clear" w:pos="360"/>
          <w:tab w:val="num" w:pos="993"/>
          <w:tab w:val="left" w:pos="1418"/>
        </w:tabs>
        <w:ind w:left="709" w:hanging="567"/>
        <w:rPr>
          <w:rFonts w:cs="Open Sans"/>
        </w:rPr>
      </w:pPr>
      <w:bookmarkStart w:id="72" w:name="_Ref524083917"/>
      <w:proofErr w:type="gramStart"/>
      <w:r w:rsidRPr="00AA1A20">
        <w:rPr>
          <w:rFonts w:cs="Open Sans"/>
        </w:rPr>
        <w:t>The explanatory document states that the assistance requested or compelled from providers can include: the decryption of a communication or device; the provision of design specifications including source code; the installation or deployment of software provided by an agency; the formatting of information obtained under a warrant; the facilitation of access to a device or service; helping agencies test their own systems; notifying agencies of major changes to services or systems; and the blocking of delivery of service to a target.</w:t>
      </w:r>
      <w:r w:rsidRPr="00DF3B57">
        <w:rPr>
          <w:rStyle w:val="EndnoteReference"/>
          <w:vertAlign w:val="superscript"/>
        </w:rPr>
        <w:endnoteReference w:id="66"/>
      </w:r>
      <w:bookmarkEnd w:id="72"/>
      <w:proofErr w:type="gramEnd"/>
      <w:r w:rsidRPr="00AA1A20">
        <w:rPr>
          <w:rFonts w:cs="Open Sans"/>
        </w:rPr>
        <w:t xml:space="preserve"> </w:t>
      </w:r>
    </w:p>
    <w:p w14:paraId="0C9DC26F" w14:textId="50421F92" w:rsidR="00CE04D1" w:rsidRPr="00AA1A20" w:rsidRDefault="00CE04D1" w:rsidP="00AE2CB0">
      <w:pPr>
        <w:pStyle w:val="ListNumber"/>
        <w:tabs>
          <w:tab w:val="clear" w:pos="360"/>
          <w:tab w:val="num" w:pos="993"/>
          <w:tab w:val="left" w:pos="1418"/>
        </w:tabs>
        <w:ind w:left="709" w:hanging="567"/>
        <w:rPr>
          <w:rFonts w:cs="Open Sans"/>
        </w:rPr>
      </w:pPr>
      <w:r w:rsidRPr="00AA1A20">
        <w:rPr>
          <w:rFonts w:cs="Open Sans"/>
        </w:rPr>
        <w:t>A provider that fails to comply with a notice ‘to the extent that the provider is capable of doing so’, is liable to a civil penalty.</w:t>
      </w:r>
      <w:r w:rsidRPr="00DF3B57">
        <w:rPr>
          <w:rStyle w:val="EndnoteReference"/>
          <w:vertAlign w:val="superscript"/>
        </w:rPr>
        <w:endnoteReference w:id="67"/>
      </w:r>
      <w:r w:rsidRPr="00AA1A20">
        <w:rPr>
          <w:rFonts w:cs="Open Sans"/>
        </w:rPr>
        <w:t xml:space="preserve"> A body corporate, whether onshore or offshore, can be liable to a penalty of up to $10 million and an individual of up to $50,000.</w:t>
      </w:r>
      <w:r w:rsidRPr="00DF3B57">
        <w:rPr>
          <w:rStyle w:val="EndnoteReference"/>
          <w:vertAlign w:val="superscript"/>
        </w:rPr>
        <w:endnoteReference w:id="68"/>
      </w:r>
    </w:p>
    <w:p w14:paraId="44A5904E" w14:textId="17B4591B" w:rsidR="00CE04D1" w:rsidRPr="00AA1A20" w:rsidRDefault="00CE04D1" w:rsidP="00884FA1">
      <w:pPr>
        <w:pStyle w:val="ListNumber"/>
        <w:tabs>
          <w:tab w:val="clear" w:pos="360"/>
          <w:tab w:val="num" w:pos="993"/>
          <w:tab w:val="left" w:pos="1418"/>
        </w:tabs>
        <w:ind w:left="709" w:hanging="567"/>
        <w:rPr>
          <w:rFonts w:cs="Open Sans"/>
        </w:rPr>
      </w:pPr>
      <w:bookmarkStart w:id="73" w:name="_Ref524083984"/>
      <w:r w:rsidRPr="00AA1A20">
        <w:rPr>
          <w:rFonts w:cs="Open Sans"/>
        </w:rPr>
        <w:t>Proposed s 317ZG(1) prohibits TANs or TCNs from having the effect of either ‘requiring a designated communications provider to implement or build a systemic weakness, or a systemic vulnerability, into a form of electronic protection’ or ‘preventing a designated communications provider from rectifying a systemic weakness, or a systemic vulnerability, in a form of electronic protection’.</w:t>
      </w:r>
      <w:bookmarkEnd w:id="73"/>
    </w:p>
    <w:p w14:paraId="1E9DCFEA" w14:textId="504C6C9F" w:rsidR="00CE04D1" w:rsidRPr="00AA1A20" w:rsidRDefault="00CE04D1" w:rsidP="00884FA1">
      <w:pPr>
        <w:pStyle w:val="ListNumber"/>
        <w:tabs>
          <w:tab w:val="clear" w:pos="360"/>
          <w:tab w:val="num" w:pos="993"/>
          <w:tab w:val="left" w:pos="1418"/>
        </w:tabs>
        <w:ind w:left="709" w:hanging="567"/>
        <w:rPr>
          <w:rFonts w:cs="Open Sans"/>
        </w:rPr>
      </w:pPr>
      <w:bookmarkStart w:id="74" w:name="_Ref524083996"/>
      <w:r w:rsidRPr="00AA1A20">
        <w:rPr>
          <w:rFonts w:cs="Open Sans"/>
        </w:rPr>
        <w:lastRenderedPageBreak/>
        <w:t>This limitation includes a prohibition on requiring providers to build a new decryption capability in relation to a form of electronic protection, or to take action that would ‘render systemic methods of authentication or encryption less effective’.</w:t>
      </w:r>
      <w:r w:rsidRPr="00DF3B57">
        <w:rPr>
          <w:rStyle w:val="EndnoteReference"/>
          <w:vertAlign w:val="superscript"/>
        </w:rPr>
        <w:endnoteReference w:id="69"/>
      </w:r>
      <w:r w:rsidRPr="00AA1A20">
        <w:rPr>
          <w:rFonts w:cs="Open Sans"/>
        </w:rPr>
        <w:t xml:space="preserve"> As discussed below in Pt </w:t>
      </w:r>
      <w:r w:rsidRPr="00AA1A20">
        <w:rPr>
          <w:rFonts w:cs="Open Sans"/>
        </w:rPr>
        <w:fldChar w:fldCharType="begin"/>
      </w:r>
      <w:r w:rsidRPr="00AA1A20">
        <w:rPr>
          <w:rFonts w:cs="Open Sans"/>
        </w:rPr>
        <w:instrText xml:space="preserve"> REF _Ref524019769 \r \h  \* MERGEFORMAT </w:instrText>
      </w:r>
      <w:r w:rsidRPr="00AA1A20">
        <w:rPr>
          <w:rFonts w:cs="Open Sans"/>
        </w:rPr>
      </w:r>
      <w:r w:rsidRPr="00AA1A20">
        <w:rPr>
          <w:rFonts w:cs="Open Sans"/>
        </w:rPr>
        <w:fldChar w:fldCharType="separate"/>
      </w:r>
      <w:r w:rsidR="00523FE1">
        <w:rPr>
          <w:rFonts w:cs="Open Sans"/>
        </w:rPr>
        <w:t>5.2</w:t>
      </w:r>
      <w:r w:rsidRPr="00AA1A20">
        <w:rPr>
          <w:rFonts w:cs="Open Sans"/>
        </w:rPr>
        <w:fldChar w:fldCharType="end"/>
      </w:r>
      <w:r w:rsidRPr="00AA1A20">
        <w:rPr>
          <w:rFonts w:cs="Open Sans"/>
        </w:rPr>
        <w:t xml:space="preserve"> of the submission, the terms ‘systemic weakness’ or ‘systemic vulnerability’ are not defined in the draft Bill.</w:t>
      </w:r>
      <w:bookmarkEnd w:id="74"/>
      <w:r w:rsidRPr="00AA1A20">
        <w:rPr>
          <w:rFonts w:cs="Open Sans"/>
        </w:rPr>
        <w:t xml:space="preserve"> </w:t>
      </w:r>
    </w:p>
    <w:p w14:paraId="0FE03F6B" w14:textId="38FBB25C" w:rsidR="00CE04D1" w:rsidRPr="00AA1A20" w:rsidRDefault="00CE04D1" w:rsidP="00555D05">
      <w:pPr>
        <w:pStyle w:val="ListNumber"/>
        <w:tabs>
          <w:tab w:val="clear" w:pos="360"/>
          <w:tab w:val="num" w:pos="993"/>
          <w:tab w:val="left" w:pos="1418"/>
        </w:tabs>
        <w:ind w:left="709" w:hanging="567"/>
        <w:rPr>
          <w:rFonts w:cs="Open Sans"/>
        </w:rPr>
      </w:pPr>
      <w:r w:rsidRPr="00AA1A20">
        <w:rPr>
          <w:rFonts w:cs="Open Sans"/>
        </w:rPr>
        <w:t xml:space="preserve">The explanatory document refers to a number of other safeguards and oversight mechanisms in the draft Bill, including: </w:t>
      </w:r>
    </w:p>
    <w:p w14:paraId="28ED98D4" w14:textId="0B312023" w:rsidR="00CE04D1" w:rsidRPr="00AA1A20" w:rsidRDefault="00CE04D1" w:rsidP="0077267A">
      <w:pPr>
        <w:pStyle w:val="Bullet"/>
        <w:numPr>
          <w:ilvl w:val="0"/>
          <w:numId w:val="20"/>
        </w:numPr>
        <w:ind w:hanging="357"/>
        <w:rPr>
          <w:rFonts w:cs="Open Sans"/>
        </w:rPr>
      </w:pPr>
      <w:r w:rsidRPr="00AA1A20">
        <w:rPr>
          <w:rFonts w:cs="Open Sans"/>
        </w:rPr>
        <w:t>before giving or varying a TAN or TCN, the decision maker must be satisfied that the notice is reasonable and proportionate and that compliance is practicable and technically feasible</w:t>
      </w:r>
      <w:r w:rsidRPr="00DF3B57">
        <w:rPr>
          <w:rStyle w:val="EndnoteReference"/>
          <w:vertAlign w:val="superscript"/>
        </w:rPr>
        <w:endnoteReference w:id="70"/>
      </w:r>
      <w:r w:rsidRPr="00AA1A20">
        <w:rPr>
          <w:rFonts w:cs="Open Sans"/>
        </w:rPr>
        <w:t xml:space="preserve"> </w:t>
      </w:r>
    </w:p>
    <w:p w14:paraId="3E0CD641" w14:textId="77777777" w:rsidR="00CE04D1" w:rsidRPr="00AA1A20" w:rsidRDefault="00CE04D1" w:rsidP="0077267A">
      <w:pPr>
        <w:pStyle w:val="Bullet"/>
        <w:numPr>
          <w:ilvl w:val="0"/>
          <w:numId w:val="20"/>
        </w:numPr>
        <w:ind w:hanging="357"/>
        <w:rPr>
          <w:rFonts w:cs="Open Sans"/>
        </w:rPr>
      </w:pPr>
      <w:r w:rsidRPr="00AA1A20">
        <w:rPr>
          <w:rFonts w:cs="Open Sans"/>
        </w:rPr>
        <w:t>before giving a TCN, the Attorney-General must give the provider the opportunity to consult through making a submission, noting that this requirement does not apply where it is urgent or impracticable</w:t>
      </w:r>
      <w:r w:rsidRPr="00DF3B57">
        <w:rPr>
          <w:rStyle w:val="EndnoteReference"/>
          <w:vertAlign w:val="superscript"/>
        </w:rPr>
        <w:endnoteReference w:id="71"/>
      </w:r>
      <w:r w:rsidRPr="00AA1A20">
        <w:rPr>
          <w:rFonts w:cs="Open Sans"/>
        </w:rPr>
        <w:t xml:space="preserve"> </w:t>
      </w:r>
    </w:p>
    <w:p w14:paraId="0D846245" w14:textId="148FD69A" w:rsidR="00CE04D1" w:rsidRPr="00AA1A20" w:rsidRDefault="00CE04D1" w:rsidP="0077267A">
      <w:pPr>
        <w:pStyle w:val="Bullet"/>
        <w:numPr>
          <w:ilvl w:val="0"/>
          <w:numId w:val="20"/>
        </w:numPr>
        <w:ind w:hanging="357"/>
        <w:rPr>
          <w:rFonts w:cs="Open Sans"/>
        </w:rPr>
      </w:pPr>
      <w:r w:rsidRPr="00AA1A20">
        <w:rPr>
          <w:rFonts w:cs="Open Sans"/>
        </w:rPr>
        <w:t>revocation of a TAN or TCN must occur if a decision maker is satisfied that the requirements are not reasonable and proportionate or that compliance is not practicable and technically feasible</w:t>
      </w:r>
      <w:r w:rsidRPr="00DF3B57">
        <w:rPr>
          <w:rStyle w:val="EndnoteReference"/>
          <w:vertAlign w:val="superscript"/>
        </w:rPr>
        <w:endnoteReference w:id="72"/>
      </w:r>
    </w:p>
    <w:p w14:paraId="2ABA9EB3" w14:textId="77777777" w:rsidR="00CE04D1" w:rsidRPr="00AA1A20" w:rsidRDefault="00CE04D1" w:rsidP="0077267A">
      <w:pPr>
        <w:pStyle w:val="Bullet"/>
        <w:numPr>
          <w:ilvl w:val="0"/>
          <w:numId w:val="20"/>
        </w:numPr>
        <w:ind w:hanging="357"/>
        <w:rPr>
          <w:rFonts w:cs="Open Sans"/>
        </w:rPr>
      </w:pPr>
      <w:r w:rsidRPr="00AA1A20">
        <w:rPr>
          <w:rFonts w:cs="Open Sans"/>
        </w:rPr>
        <w:t>core data retention and interception capability obligations remain subject to existing legislative arrangements in the TIA Act</w:t>
      </w:r>
      <w:r w:rsidRPr="00DF3B57">
        <w:rPr>
          <w:rStyle w:val="EndnoteReference"/>
          <w:vertAlign w:val="superscript"/>
        </w:rPr>
        <w:endnoteReference w:id="73"/>
      </w:r>
    </w:p>
    <w:p w14:paraId="54670441" w14:textId="2AF63A3B" w:rsidR="00CE04D1" w:rsidRPr="00AA1A20" w:rsidRDefault="00CE04D1" w:rsidP="0077267A">
      <w:pPr>
        <w:pStyle w:val="Bullet"/>
        <w:numPr>
          <w:ilvl w:val="0"/>
          <w:numId w:val="20"/>
        </w:numPr>
        <w:ind w:hanging="357"/>
        <w:rPr>
          <w:rFonts w:cs="Open Sans"/>
        </w:rPr>
      </w:pPr>
      <w:r w:rsidRPr="00AA1A20">
        <w:rPr>
          <w:rFonts w:cs="Open Sans"/>
        </w:rPr>
        <w:t>the reforms will not alter the need for agencies to seek a warrant or authorisation under the TIA Act or the SD Act to undertake activities permitted by those Acts; however, if a warrant is already issued, provider assistance can be directed towards facilitating execution of the warrant</w:t>
      </w:r>
      <w:r w:rsidRPr="00DF3B57">
        <w:rPr>
          <w:rStyle w:val="EndnoteReference"/>
          <w:vertAlign w:val="superscript"/>
        </w:rPr>
        <w:endnoteReference w:id="74"/>
      </w:r>
    </w:p>
    <w:p w14:paraId="0F1B198B" w14:textId="452714D2" w:rsidR="00CE04D1" w:rsidRPr="00AA1A20" w:rsidRDefault="00CE04D1" w:rsidP="0077267A">
      <w:pPr>
        <w:pStyle w:val="Bullet"/>
        <w:numPr>
          <w:ilvl w:val="0"/>
          <w:numId w:val="20"/>
        </w:numPr>
        <w:ind w:hanging="357"/>
        <w:rPr>
          <w:rFonts w:cs="Open Sans"/>
        </w:rPr>
      </w:pPr>
      <w:r w:rsidRPr="00AA1A20">
        <w:rPr>
          <w:rFonts w:cs="Open Sans"/>
        </w:rPr>
        <w:t>the purposes for which a provider can be requested or compelled to assist an agency are limited to objectives deemed ‘relevant objectives’, including purposes related to criminal law enforcement, national security or the protection of public revenue</w:t>
      </w:r>
      <w:r w:rsidRPr="00DF3B57">
        <w:rPr>
          <w:rStyle w:val="EndnoteReference"/>
          <w:vertAlign w:val="superscript"/>
        </w:rPr>
        <w:endnoteReference w:id="75"/>
      </w:r>
      <w:r w:rsidRPr="00DF3B57">
        <w:rPr>
          <w:rFonts w:cs="Open Sans"/>
          <w:vertAlign w:val="superscript"/>
        </w:rPr>
        <w:t xml:space="preserve"> </w:t>
      </w:r>
    </w:p>
    <w:p w14:paraId="1DAF9A80" w14:textId="5E1ECCB8" w:rsidR="00CE04D1" w:rsidRPr="00AA1A20" w:rsidRDefault="00CE04D1" w:rsidP="0077267A">
      <w:pPr>
        <w:pStyle w:val="Bullet"/>
        <w:numPr>
          <w:ilvl w:val="0"/>
          <w:numId w:val="20"/>
        </w:numPr>
        <w:ind w:hanging="357"/>
        <w:rPr>
          <w:rFonts w:cs="Open Sans"/>
        </w:rPr>
      </w:pPr>
      <w:r w:rsidRPr="00AA1A20">
        <w:rPr>
          <w:rFonts w:cs="Open Sans"/>
        </w:rPr>
        <w:t>the requested or compelled assistance must be in connection with an ‘eligible activity’ of a provider and must relate to the performance of a function or exercise of a power conferred on a relevant agency, so far as it relates to a ‘relevant objective’</w:t>
      </w:r>
      <w:r w:rsidRPr="00DF3B57">
        <w:rPr>
          <w:rStyle w:val="EndnoteReference"/>
          <w:vertAlign w:val="superscript"/>
        </w:rPr>
        <w:endnoteReference w:id="76"/>
      </w:r>
    </w:p>
    <w:p w14:paraId="74C6F265" w14:textId="3FB27BEB" w:rsidR="00CE04D1" w:rsidRPr="00AA1A20" w:rsidRDefault="00CE04D1" w:rsidP="0077267A">
      <w:pPr>
        <w:pStyle w:val="Bullet"/>
        <w:numPr>
          <w:ilvl w:val="0"/>
          <w:numId w:val="20"/>
        </w:numPr>
        <w:ind w:hanging="357"/>
        <w:rPr>
          <w:rFonts w:cs="Open Sans"/>
        </w:rPr>
      </w:pPr>
      <w:r w:rsidRPr="00AA1A20">
        <w:rPr>
          <w:rFonts w:cs="Open Sans"/>
        </w:rPr>
        <w:t>the ability to issue notices is reserved to ‘senior decision-makers’, although delegation is possible in certain instances</w:t>
      </w:r>
      <w:r w:rsidRPr="00DF3B57">
        <w:rPr>
          <w:rStyle w:val="EndnoteReference"/>
          <w:vertAlign w:val="superscript"/>
        </w:rPr>
        <w:endnoteReference w:id="77"/>
      </w:r>
    </w:p>
    <w:p w14:paraId="0F4DFAFD" w14:textId="77777777" w:rsidR="00CE04D1" w:rsidRPr="00AA1A20" w:rsidRDefault="00CE04D1" w:rsidP="0077267A">
      <w:pPr>
        <w:pStyle w:val="Bullet"/>
        <w:numPr>
          <w:ilvl w:val="0"/>
          <w:numId w:val="20"/>
        </w:numPr>
        <w:ind w:hanging="357"/>
        <w:rPr>
          <w:rFonts w:cs="Open Sans"/>
        </w:rPr>
      </w:pPr>
      <w:r w:rsidRPr="00AA1A20">
        <w:rPr>
          <w:rFonts w:cs="Open Sans"/>
        </w:rPr>
        <w:t>judicial review is available to challenge a decision to issue a notice</w:t>
      </w:r>
    </w:p>
    <w:p w14:paraId="3DA27DC6" w14:textId="6824342A" w:rsidR="00CE04D1" w:rsidRPr="00AA1A20" w:rsidRDefault="00CE04D1" w:rsidP="0077267A">
      <w:pPr>
        <w:pStyle w:val="Bullet"/>
        <w:numPr>
          <w:ilvl w:val="0"/>
          <w:numId w:val="20"/>
        </w:numPr>
        <w:ind w:hanging="357"/>
        <w:rPr>
          <w:rFonts w:cs="Open Sans"/>
        </w:rPr>
      </w:pPr>
      <w:r w:rsidRPr="00AA1A20">
        <w:rPr>
          <w:rFonts w:cs="Open Sans"/>
        </w:rPr>
        <w:t xml:space="preserve">unauthorised disclosure of information obtained about or under a notice is an offence, punishable by five </w:t>
      </w:r>
      <w:proofErr w:type="spellStart"/>
      <w:r w:rsidRPr="00AA1A20">
        <w:rPr>
          <w:rFonts w:cs="Open Sans"/>
        </w:rPr>
        <w:t>years</w:t>
      </w:r>
      <w:proofErr w:type="spellEnd"/>
      <w:r w:rsidRPr="00AA1A20">
        <w:rPr>
          <w:rFonts w:cs="Open Sans"/>
        </w:rPr>
        <w:t xml:space="preserve"> imprisonment</w:t>
      </w:r>
      <w:r w:rsidRPr="00DF3B57">
        <w:rPr>
          <w:rStyle w:val="EndnoteReference"/>
          <w:vertAlign w:val="superscript"/>
        </w:rPr>
        <w:endnoteReference w:id="78"/>
      </w:r>
    </w:p>
    <w:p w14:paraId="1DBFE1CF" w14:textId="55B0E180" w:rsidR="00CE04D1" w:rsidRPr="00AA1A20" w:rsidRDefault="00CE04D1" w:rsidP="0077267A">
      <w:pPr>
        <w:pStyle w:val="Bullet"/>
        <w:numPr>
          <w:ilvl w:val="0"/>
          <w:numId w:val="20"/>
        </w:numPr>
        <w:ind w:hanging="357"/>
        <w:rPr>
          <w:rFonts w:cs="Open Sans"/>
        </w:rPr>
      </w:pPr>
      <w:r w:rsidRPr="00AA1A20">
        <w:rPr>
          <w:rFonts w:cs="Open Sans"/>
        </w:rPr>
        <w:lastRenderedPageBreak/>
        <w:t>the Minister is required to table a report every financial year setting out the number of TANs and TCNs given</w:t>
      </w:r>
      <w:r w:rsidRPr="00DF3B57">
        <w:rPr>
          <w:rStyle w:val="EndnoteReference"/>
          <w:vertAlign w:val="superscript"/>
        </w:rPr>
        <w:endnoteReference w:id="79"/>
      </w:r>
    </w:p>
    <w:p w14:paraId="6546839C" w14:textId="4324B5DC" w:rsidR="00CE04D1" w:rsidRPr="00AA1A20" w:rsidRDefault="00CE04D1" w:rsidP="0077267A">
      <w:pPr>
        <w:pStyle w:val="Bullet"/>
        <w:numPr>
          <w:ilvl w:val="0"/>
          <w:numId w:val="20"/>
        </w:numPr>
        <w:ind w:hanging="357"/>
        <w:rPr>
          <w:rFonts w:cs="Open Sans"/>
        </w:rPr>
      </w:pPr>
      <w:proofErr w:type="gramStart"/>
      <w:r w:rsidRPr="00AA1A20">
        <w:rPr>
          <w:rFonts w:cs="Open Sans"/>
        </w:rPr>
        <w:t>arbitration</w:t>
      </w:r>
      <w:proofErr w:type="gramEnd"/>
      <w:r w:rsidRPr="00AA1A20">
        <w:rPr>
          <w:rFonts w:cs="Open Sans"/>
        </w:rPr>
        <w:t xml:space="preserve"> is available to resolve disputes between the Government and providers regarding the terms and conditions of a notice.</w:t>
      </w:r>
      <w:r w:rsidRPr="00DF3B57">
        <w:rPr>
          <w:rStyle w:val="EndnoteReference"/>
          <w:vertAlign w:val="superscript"/>
        </w:rPr>
        <w:endnoteReference w:id="80"/>
      </w:r>
      <w:r w:rsidRPr="00AA1A20">
        <w:rPr>
          <w:rFonts w:cs="Open Sans"/>
        </w:rPr>
        <w:t xml:space="preserve"> </w:t>
      </w:r>
    </w:p>
    <w:p w14:paraId="4544FFCE" w14:textId="37CB1C66" w:rsidR="00CE04D1" w:rsidRPr="00AA1A20" w:rsidRDefault="00CE04D1" w:rsidP="0060281B">
      <w:pPr>
        <w:pStyle w:val="ListNumber"/>
        <w:tabs>
          <w:tab w:val="clear" w:pos="360"/>
          <w:tab w:val="num" w:pos="993"/>
          <w:tab w:val="left" w:pos="1418"/>
        </w:tabs>
        <w:ind w:left="709" w:hanging="567"/>
        <w:rPr>
          <w:rFonts w:cs="Open Sans"/>
        </w:rPr>
      </w:pPr>
      <w:r w:rsidRPr="00AA1A20">
        <w:rPr>
          <w:rFonts w:cs="Open Sans"/>
        </w:rPr>
        <w:t xml:space="preserve">The Commission is concerned that some of these safeguards are either not fully embodied in the draft Bill, or are insufficient to ensure that human rights are </w:t>
      </w:r>
      <w:proofErr w:type="gramStart"/>
      <w:r w:rsidRPr="00AA1A20">
        <w:rPr>
          <w:rFonts w:cs="Open Sans"/>
        </w:rPr>
        <w:t>not impermissibly</w:t>
      </w:r>
      <w:proofErr w:type="gramEnd"/>
      <w:r w:rsidRPr="00AA1A20">
        <w:rPr>
          <w:rFonts w:cs="Open Sans"/>
        </w:rPr>
        <w:t xml:space="preserve"> limited. A discussion of the adequacy of certain of these proposed safeguards to protect human</w:t>
      </w:r>
      <w:r w:rsidR="001E0D06">
        <w:rPr>
          <w:rFonts w:cs="Open Sans"/>
        </w:rPr>
        <w:t xml:space="preserve"> rights </w:t>
      </w:r>
      <w:proofErr w:type="gramStart"/>
      <w:r w:rsidR="001E0D06">
        <w:rPr>
          <w:rFonts w:cs="Open Sans"/>
        </w:rPr>
        <w:t>is provided</w:t>
      </w:r>
      <w:proofErr w:type="gramEnd"/>
      <w:r w:rsidR="001E0D06">
        <w:rPr>
          <w:rFonts w:cs="Open Sans"/>
        </w:rPr>
        <w:t xml:space="preserve"> below in P</w:t>
      </w:r>
      <w:r w:rsidRPr="00AA1A20">
        <w:rPr>
          <w:rFonts w:cs="Open Sans"/>
        </w:rPr>
        <w:t xml:space="preserve">ts </w:t>
      </w:r>
      <w:r w:rsidRPr="00AA1A20">
        <w:rPr>
          <w:rFonts w:cs="Open Sans"/>
        </w:rPr>
        <w:fldChar w:fldCharType="begin"/>
      </w:r>
      <w:r w:rsidRPr="00AA1A20">
        <w:rPr>
          <w:rFonts w:cs="Open Sans"/>
        </w:rPr>
        <w:instrText xml:space="preserve"> REF _Ref524022304 \r \h  \* MERGEFORMAT </w:instrText>
      </w:r>
      <w:r w:rsidRPr="00AA1A20">
        <w:rPr>
          <w:rFonts w:cs="Open Sans"/>
        </w:rPr>
      </w:r>
      <w:r w:rsidRPr="00AA1A20">
        <w:rPr>
          <w:rFonts w:cs="Open Sans"/>
        </w:rPr>
        <w:fldChar w:fldCharType="separate"/>
      </w:r>
      <w:r w:rsidR="00523FE1">
        <w:rPr>
          <w:rFonts w:cs="Open Sans"/>
        </w:rPr>
        <w:t>5</w:t>
      </w:r>
      <w:r w:rsidRPr="00AA1A20">
        <w:rPr>
          <w:rFonts w:cs="Open Sans"/>
        </w:rPr>
        <w:fldChar w:fldCharType="end"/>
      </w:r>
      <w:r w:rsidRPr="00AA1A20">
        <w:rPr>
          <w:rFonts w:cs="Open Sans"/>
        </w:rPr>
        <w:t xml:space="preserve"> and 6 of this submission. </w:t>
      </w:r>
    </w:p>
    <w:p w14:paraId="2B439A5F" w14:textId="65E99B98" w:rsidR="00CE04D1" w:rsidRPr="00AA1A20" w:rsidRDefault="00CE04D1" w:rsidP="00A20164">
      <w:pPr>
        <w:pStyle w:val="Heading2"/>
        <w:rPr>
          <w:rFonts w:cs="Open Sans"/>
        </w:rPr>
      </w:pPr>
      <w:bookmarkStart w:id="75" w:name="_Toc524352504"/>
      <w:r w:rsidRPr="00AA1A20">
        <w:rPr>
          <w:rFonts w:cs="Open Sans"/>
        </w:rPr>
        <w:t>Warrant powers (Schedules 2–5)</w:t>
      </w:r>
      <w:bookmarkEnd w:id="75"/>
    </w:p>
    <w:p w14:paraId="71F624FD" w14:textId="6D84FBC7" w:rsidR="00CE04D1" w:rsidRPr="00AA1A20" w:rsidRDefault="00CE04D1" w:rsidP="003202BA">
      <w:pPr>
        <w:pStyle w:val="ListNumber"/>
        <w:tabs>
          <w:tab w:val="clear" w:pos="360"/>
          <w:tab w:val="num" w:pos="993"/>
          <w:tab w:val="left" w:pos="1418"/>
        </w:tabs>
        <w:ind w:left="709" w:hanging="567"/>
        <w:rPr>
          <w:rFonts w:cs="Open Sans"/>
        </w:rPr>
      </w:pPr>
      <w:r w:rsidRPr="00AA1A20">
        <w:rPr>
          <w:rFonts w:cs="Open Sans"/>
        </w:rPr>
        <w:t>Key features of Schedules 2–5 of the draft Bill include:</w:t>
      </w:r>
    </w:p>
    <w:p w14:paraId="0AF5E59D" w14:textId="4AC9A7D2" w:rsidR="00CE04D1" w:rsidRPr="00AA1A20" w:rsidRDefault="00CE04D1" w:rsidP="0077267A">
      <w:pPr>
        <w:pStyle w:val="Bullet"/>
        <w:numPr>
          <w:ilvl w:val="0"/>
          <w:numId w:val="20"/>
        </w:numPr>
        <w:ind w:hanging="357"/>
        <w:rPr>
          <w:rFonts w:cs="Open Sans"/>
        </w:rPr>
      </w:pPr>
      <w:r w:rsidRPr="00AA1A20">
        <w:rPr>
          <w:rFonts w:cs="Open Sans"/>
        </w:rPr>
        <w:t xml:space="preserve">provisions that would insert a new ‘computer access warrant’ regime into the SD Act to allow law enforcement agencies to access data in computing devices covertly and, in some cases, remotely, in investigations relating to relevant offences, recovery orders, mutual assistance investigations, integrity operations and control orders </w:t>
      </w:r>
    </w:p>
    <w:p w14:paraId="16767A80" w14:textId="35380D8A" w:rsidR="00CE04D1" w:rsidRPr="00AA1A20" w:rsidRDefault="00CE04D1" w:rsidP="0077267A">
      <w:pPr>
        <w:pStyle w:val="Bullet"/>
        <w:numPr>
          <w:ilvl w:val="0"/>
          <w:numId w:val="20"/>
        </w:numPr>
        <w:ind w:hanging="357"/>
        <w:rPr>
          <w:rFonts w:cs="Open Sans"/>
        </w:rPr>
      </w:pPr>
      <w:r w:rsidRPr="00AA1A20">
        <w:rPr>
          <w:rFonts w:cs="Open Sans"/>
        </w:rPr>
        <w:t xml:space="preserve">provisions that would attach ancillary interception powers to computer access warrants issued under the new computer access warrant regime in the SD Act and also under the ASIO Act </w:t>
      </w:r>
    </w:p>
    <w:p w14:paraId="52EE67DC" w14:textId="426C3057" w:rsidR="00CE04D1" w:rsidRPr="00AA1A20" w:rsidRDefault="00CE04D1" w:rsidP="0077267A">
      <w:pPr>
        <w:pStyle w:val="Bullet"/>
        <w:numPr>
          <w:ilvl w:val="0"/>
          <w:numId w:val="20"/>
        </w:numPr>
        <w:ind w:hanging="357"/>
        <w:rPr>
          <w:rFonts w:cs="Open Sans"/>
        </w:rPr>
      </w:pPr>
      <w:proofErr w:type="gramStart"/>
      <w:r w:rsidRPr="00AA1A20">
        <w:rPr>
          <w:rFonts w:cs="Open Sans"/>
        </w:rPr>
        <w:t>provisions</w:t>
      </w:r>
      <w:proofErr w:type="gramEnd"/>
      <w:r w:rsidRPr="00AA1A20">
        <w:rPr>
          <w:rFonts w:cs="Open Sans"/>
        </w:rPr>
        <w:t xml:space="preserve"> that would increase the penalties for non-compliance with ‘assistance orders’ issued under the SD Act, the </w:t>
      </w:r>
      <w:r w:rsidRPr="00AA1A20">
        <w:rPr>
          <w:rFonts w:cs="Open Sans"/>
          <w:i/>
        </w:rPr>
        <w:t>Crimes Act 1914</w:t>
      </w:r>
      <w:r w:rsidRPr="00AA1A20">
        <w:rPr>
          <w:rFonts w:cs="Open Sans"/>
        </w:rPr>
        <w:t xml:space="preserve"> (Cth) (Crimes Act), the </w:t>
      </w:r>
      <w:r w:rsidRPr="00AA1A20">
        <w:rPr>
          <w:rFonts w:cs="Open Sans"/>
          <w:i/>
        </w:rPr>
        <w:t>Customs Act 1901</w:t>
      </w:r>
      <w:r w:rsidRPr="00AA1A20">
        <w:rPr>
          <w:rFonts w:cs="Open Sans"/>
        </w:rPr>
        <w:t xml:space="preserve"> (Cth) (Customs Act) and the ASIO Act. </w:t>
      </w:r>
    </w:p>
    <w:p w14:paraId="1F1355B7" w14:textId="4B873ED7" w:rsidR="00CE04D1" w:rsidRPr="00AA1A20" w:rsidRDefault="00CE04D1" w:rsidP="003202BA">
      <w:pPr>
        <w:pStyle w:val="ListNumber"/>
        <w:tabs>
          <w:tab w:val="clear" w:pos="360"/>
          <w:tab w:val="num" w:pos="993"/>
          <w:tab w:val="left" w:pos="1418"/>
        </w:tabs>
        <w:ind w:left="709" w:hanging="567"/>
        <w:rPr>
          <w:rFonts w:cs="Open Sans"/>
        </w:rPr>
      </w:pPr>
      <w:r w:rsidRPr="00AA1A20">
        <w:rPr>
          <w:rFonts w:cs="Open Sans"/>
        </w:rPr>
        <w:t xml:space="preserve">Schedules 2–5 of the draft Bill propose to amend over 10 pieces of existing Commonwealth legislation to enhance existing warrant powers. Again, in light of the short timeframe provided for public consultation on the exposure draft, it is beyond the scope of the present submission </w:t>
      </w:r>
      <w:proofErr w:type="gramStart"/>
      <w:r w:rsidRPr="00AA1A20">
        <w:rPr>
          <w:rFonts w:cs="Open Sans"/>
        </w:rPr>
        <w:t>to comprehensively address</w:t>
      </w:r>
      <w:proofErr w:type="gramEnd"/>
      <w:r w:rsidRPr="00AA1A20">
        <w:rPr>
          <w:rFonts w:cs="Open Sans"/>
        </w:rPr>
        <w:t xml:space="preserve"> all of these changes. Rather, this submission focuses on a number of impacts that the draft Bill would have, primarily on the rights to privacy and the freedom of expression.</w:t>
      </w:r>
    </w:p>
    <w:p w14:paraId="3D2F7692" w14:textId="603D187B" w:rsidR="00CE04D1" w:rsidRPr="00AA1A20" w:rsidRDefault="00CE04D1" w:rsidP="00A81A7D">
      <w:pPr>
        <w:pStyle w:val="Heading1"/>
        <w:rPr>
          <w:rFonts w:cs="Open Sans"/>
        </w:rPr>
      </w:pPr>
      <w:bookmarkStart w:id="76" w:name="_Ref524022304"/>
      <w:bookmarkStart w:id="77" w:name="_Toc524352505"/>
      <w:r w:rsidRPr="00AA1A20">
        <w:rPr>
          <w:rFonts w:cs="Open Sans"/>
        </w:rPr>
        <w:t>Key human rights concerns: assistance requests and notices</w:t>
      </w:r>
      <w:bookmarkEnd w:id="76"/>
      <w:bookmarkEnd w:id="77"/>
    </w:p>
    <w:p w14:paraId="59A40B45" w14:textId="2354A0BE" w:rsidR="00CE04D1" w:rsidRPr="00AA1A20" w:rsidRDefault="00CE04D1" w:rsidP="001C39A4">
      <w:pPr>
        <w:pStyle w:val="ListNumber"/>
        <w:tabs>
          <w:tab w:val="clear" w:pos="360"/>
          <w:tab w:val="num" w:pos="993"/>
          <w:tab w:val="left" w:pos="1418"/>
        </w:tabs>
        <w:ind w:left="709" w:hanging="567"/>
        <w:rPr>
          <w:rFonts w:cs="Open Sans"/>
        </w:rPr>
      </w:pPr>
      <w:r w:rsidRPr="00AA1A20">
        <w:rPr>
          <w:rFonts w:cs="Open Sans"/>
        </w:rPr>
        <w:t xml:space="preserve">As an overarching comment, the Commission is concerned about the wide scope of operation of the proposed assistance scheme. </w:t>
      </w:r>
    </w:p>
    <w:p w14:paraId="5E8C27F9" w14:textId="121A7B74" w:rsidR="00CE04D1" w:rsidRPr="00AA1A20" w:rsidRDefault="00CE04D1" w:rsidP="00734748">
      <w:pPr>
        <w:pStyle w:val="ListNumber"/>
        <w:tabs>
          <w:tab w:val="clear" w:pos="360"/>
          <w:tab w:val="num" w:pos="993"/>
          <w:tab w:val="left" w:pos="1418"/>
        </w:tabs>
        <w:ind w:left="709" w:hanging="567"/>
        <w:rPr>
          <w:rFonts w:cs="Open Sans"/>
        </w:rPr>
      </w:pPr>
      <w:r w:rsidRPr="00AA1A20">
        <w:rPr>
          <w:rFonts w:cs="Open Sans"/>
        </w:rPr>
        <w:lastRenderedPageBreak/>
        <w:t xml:space="preserve">The Commission considers that certain provisions in Schedule 1 of the draft Bill limit human rights to a significant degree, without demonstrating that such limitations are necessary and proportionate. </w:t>
      </w:r>
    </w:p>
    <w:p w14:paraId="2DB7C8E5" w14:textId="27F651C7" w:rsidR="00CE04D1" w:rsidRPr="00AA1A20" w:rsidRDefault="00CE04D1" w:rsidP="008A5466">
      <w:pPr>
        <w:pStyle w:val="ListNumber"/>
        <w:tabs>
          <w:tab w:val="clear" w:pos="360"/>
          <w:tab w:val="num" w:pos="993"/>
          <w:tab w:val="left" w:pos="1418"/>
        </w:tabs>
        <w:ind w:left="709" w:hanging="567"/>
        <w:rPr>
          <w:rFonts w:cs="Open Sans"/>
        </w:rPr>
      </w:pPr>
      <w:r w:rsidRPr="00AA1A20">
        <w:rPr>
          <w:rFonts w:cs="Open Sans"/>
        </w:rPr>
        <w:t>The Commission is especially concerned about the following features of the assistance framework:</w:t>
      </w:r>
    </w:p>
    <w:p w14:paraId="63782B7C" w14:textId="2FABFEC2" w:rsidR="00CE04D1" w:rsidRPr="00AA1A20" w:rsidRDefault="00CE04D1" w:rsidP="0077267A">
      <w:pPr>
        <w:pStyle w:val="Bullet"/>
        <w:numPr>
          <w:ilvl w:val="0"/>
          <w:numId w:val="20"/>
        </w:numPr>
        <w:ind w:hanging="357"/>
        <w:rPr>
          <w:rFonts w:cs="Open Sans"/>
        </w:rPr>
      </w:pPr>
      <w:r w:rsidRPr="00AA1A20">
        <w:rPr>
          <w:rFonts w:cs="Open Sans"/>
        </w:rPr>
        <w:t>it contains overbroad powers that are not appropriately limited to ensure that they are only available when necessary and proportionate</w:t>
      </w:r>
    </w:p>
    <w:p w14:paraId="7E923F77" w14:textId="1C0EC90F" w:rsidR="00CE04D1" w:rsidRPr="00AA1A20" w:rsidRDefault="00CE04D1" w:rsidP="0077267A">
      <w:pPr>
        <w:pStyle w:val="Bullet"/>
        <w:numPr>
          <w:ilvl w:val="0"/>
          <w:numId w:val="20"/>
        </w:numPr>
        <w:ind w:hanging="357"/>
        <w:rPr>
          <w:rFonts w:cs="Open Sans"/>
        </w:rPr>
      </w:pPr>
      <w:r w:rsidRPr="00AA1A20">
        <w:rPr>
          <w:rFonts w:cs="Open Sans"/>
          <w:lang w:val="en"/>
        </w:rPr>
        <w:t>certain powers can be broadened by the executive once the law is enacted</w:t>
      </w:r>
    </w:p>
    <w:p w14:paraId="3446C032" w14:textId="7E4401F6" w:rsidR="00CE04D1" w:rsidRPr="00AA1A20" w:rsidRDefault="00CE04D1" w:rsidP="0077267A">
      <w:pPr>
        <w:pStyle w:val="Bullet"/>
        <w:numPr>
          <w:ilvl w:val="0"/>
          <w:numId w:val="20"/>
        </w:numPr>
        <w:ind w:hanging="357"/>
        <w:rPr>
          <w:rFonts w:cs="Open Sans"/>
        </w:rPr>
      </w:pPr>
      <w:proofErr w:type="gramStart"/>
      <w:r w:rsidRPr="00AA1A20">
        <w:rPr>
          <w:rFonts w:cs="Open Sans"/>
          <w:lang w:val="en"/>
        </w:rPr>
        <w:t>the</w:t>
      </w:r>
      <w:proofErr w:type="gramEnd"/>
      <w:r w:rsidRPr="00AA1A20">
        <w:rPr>
          <w:rFonts w:cs="Open Sans"/>
          <w:lang w:val="en"/>
        </w:rPr>
        <w:t xml:space="preserve"> proposed safeguards, to mitigate unlawful interferences with human rights, are inadequate. </w:t>
      </w:r>
    </w:p>
    <w:p w14:paraId="2D2E9C2C" w14:textId="7AEA9C4D" w:rsidR="00CE04D1" w:rsidRPr="00AA1A20" w:rsidRDefault="00CE04D1" w:rsidP="000C0CB8">
      <w:pPr>
        <w:pStyle w:val="ListNumber"/>
        <w:tabs>
          <w:tab w:val="clear" w:pos="360"/>
          <w:tab w:val="num" w:pos="993"/>
          <w:tab w:val="left" w:pos="1418"/>
        </w:tabs>
        <w:ind w:left="709" w:hanging="567"/>
        <w:rPr>
          <w:rFonts w:cs="Open Sans"/>
          <w:lang w:val="en"/>
        </w:rPr>
      </w:pPr>
      <w:r w:rsidRPr="00AA1A20">
        <w:rPr>
          <w:rFonts w:cs="Open Sans"/>
        </w:rPr>
        <w:t xml:space="preserve">As law enforcement powers have the potential to be extremely rights-intrusive, they must be subject to </w:t>
      </w:r>
      <w:proofErr w:type="gramStart"/>
      <w:r w:rsidRPr="00AA1A20">
        <w:rPr>
          <w:rFonts w:cs="Open Sans"/>
        </w:rPr>
        <w:t>close scrutiny</w:t>
      </w:r>
      <w:proofErr w:type="gramEnd"/>
      <w:r w:rsidRPr="00AA1A20">
        <w:rPr>
          <w:rFonts w:cs="Open Sans"/>
        </w:rPr>
        <w:t xml:space="preserve">. Compelling evidence will be required before the rights limitations </w:t>
      </w:r>
      <w:proofErr w:type="gramStart"/>
      <w:r w:rsidRPr="00AA1A20">
        <w:rPr>
          <w:rFonts w:cs="Open Sans"/>
        </w:rPr>
        <w:t>can be demonstrated</w:t>
      </w:r>
      <w:proofErr w:type="gramEnd"/>
      <w:r w:rsidRPr="00AA1A20">
        <w:rPr>
          <w:rFonts w:cs="Open Sans"/>
        </w:rPr>
        <w:t xml:space="preserve"> to be necessary and proportionate. Further, it is important that such laws </w:t>
      </w:r>
      <w:proofErr w:type="gramStart"/>
      <w:r w:rsidRPr="00AA1A20">
        <w:rPr>
          <w:rFonts w:cs="Open Sans"/>
        </w:rPr>
        <w:t>are</w:t>
      </w:r>
      <w:proofErr w:type="gramEnd"/>
      <w:r w:rsidRPr="00AA1A20">
        <w:rPr>
          <w:rFonts w:cs="Open Sans"/>
        </w:rPr>
        <w:t xml:space="preserve"> drafted with precision, to ensure that they impinge on human rights no more than is strictly necessary to achieve their purpose. </w:t>
      </w:r>
    </w:p>
    <w:p w14:paraId="3F664672" w14:textId="157B3667" w:rsidR="00CE04D1" w:rsidRPr="00AA1A20" w:rsidRDefault="00CE04D1" w:rsidP="000C0CB8">
      <w:pPr>
        <w:pStyle w:val="ListNumber"/>
        <w:tabs>
          <w:tab w:val="clear" w:pos="360"/>
          <w:tab w:val="num" w:pos="993"/>
          <w:tab w:val="left" w:pos="1418"/>
        </w:tabs>
        <w:ind w:left="709" w:hanging="567"/>
        <w:rPr>
          <w:rFonts w:cs="Open Sans"/>
          <w:lang w:val="en"/>
        </w:rPr>
      </w:pPr>
      <w:r w:rsidRPr="00AA1A20">
        <w:rPr>
          <w:rFonts w:cs="Open Sans"/>
        </w:rPr>
        <w:t xml:space="preserve">In the law enforcement and national security context, it is also particularly important to ensure that legislative authority for exercises of power </w:t>
      </w:r>
      <w:proofErr w:type="gramStart"/>
      <w:r w:rsidRPr="00AA1A20">
        <w:rPr>
          <w:rFonts w:cs="Open Sans"/>
        </w:rPr>
        <w:t>is clearly articulated</w:t>
      </w:r>
      <w:proofErr w:type="gramEnd"/>
      <w:r w:rsidRPr="00AA1A20">
        <w:rPr>
          <w:rFonts w:cs="Open Sans"/>
        </w:rPr>
        <w:t xml:space="preserve">, to ensure their lawful exercise in often complex, difficult and time-critical circumstances where a balancing of competing considerations is required. </w:t>
      </w:r>
    </w:p>
    <w:p w14:paraId="2D6A08A7" w14:textId="32E2CDC8" w:rsidR="00CE04D1" w:rsidRPr="00AA1A20" w:rsidRDefault="00CE04D1" w:rsidP="00C23E81">
      <w:pPr>
        <w:pStyle w:val="ListNumber"/>
        <w:tabs>
          <w:tab w:val="clear" w:pos="360"/>
          <w:tab w:val="num" w:pos="993"/>
          <w:tab w:val="left" w:pos="1418"/>
        </w:tabs>
        <w:ind w:left="709" w:hanging="567"/>
        <w:rPr>
          <w:rFonts w:cs="Open Sans"/>
        </w:rPr>
      </w:pPr>
      <w:r w:rsidRPr="00AA1A20">
        <w:rPr>
          <w:rFonts w:cs="Open Sans"/>
        </w:rPr>
        <w:t xml:space="preserve">Additionally, relevant law enforcement officials are often the only persons with access to the full range of relevant intelligence and information to make a decision, and with the necessary expertise to assess the relevant risks and benefits of an exercise of power. It is therefore important that human rights protections </w:t>
      </w:r>
      <w:proofErr w:type="gramStart"/>
      <w:r w:rsidRPr="00AA1A20">
        <w:rPr>
          <w:rFonts w:cs="Open Sans"/>
        </w:rPr>
        <w:t>are</w:t>
      </w:r>
      <w:proofErr w:type="gramEnd"/>
      <w:r w:rsidRPr="00AA1A20">
        <w:rPr>
          <w:rFonts w:cs="Open Sans"/>
        </w:rPr>
        <w:t xml:space="preserve"> built into the decision-making process, to ensure adequate consideration and protection in all the circumstances. </w:t>
      </w:r>
    </w:p>
    <w:p w14:paraId="51A96A97" w14:textId="77DE7CE3" w:rsidR="00CE04D1" w:rsidRPr="00AA1A20" w:rsidRDefault="00CE04D1" w:rsidP="00C23E81">
      <w:pPr>
        <w:pStyle w:val="ListNumber"/>
        <w:tabs>
          <w:tab w:val="clear" w:pos="360"/>
          <w:tab w:val="num" w:pos="993"/>
          <w:tab w:val="left" w:pos="1418"/>
        </w:tabs>
        <w:ind w:left="709" w:hanging="567"/>
        <w:rPr>
          <w:rFonts w:cs="Open Sans"/>
        </w:rPr>
      </w:pPr>
      <w:r w:rsidRPr="00AA1A20">
        <w:rPr>
          <w:rFonts w:cs="Open Sans"/>
        </w:rPr>
        <w:t xml:space="preserve">Further, given the proposed secrecy provisions in the draft Bill, it is also important to </w:t>
      </w:r>
      <w:r w:rsidRPr="00AA1A20">
        <w:rPr>
          <w:rFonts w:cs="Open Sans"/>
          <w:lang w:val="en"/>
        </w:rPr>
        <w:t xml:space="preserve">ensure that the law sets out publicly </w:t>
      </w:r>
      <w:r w:rsidRPr="00AA1A20">
        <w:rPr>
          <w:rFonts w:cs="Open Sans"/>
        </w:rPr>
        <w:t xml:space="preserve">accessible, precise and clear criteria for decision making, given that public scrutiny will be limited in practice. </w:t>
      </w:r>
    </w:p>
    <w:p w14:paraId="6B6B0143" w14:textId="1BCB7DCB" w:rsidR="00CE04D1" w:rsidRPr="00AA1A20" w:rsidRDefault="00CE04D1" w:rsidP="007F47B3">
      <w:pPr>
        <w:pStyle w:val="ListNumber"/>
        <w:tabs>
          <w:tab w:val="clear" w:pos="360"/>
          <w:tab w:val="num" w:pos="993"/>
          <w:tab w:val="left" w:pos="1418"/>
        </w:tabs>
        <w:ind w:left="709" w:hanging="567"/>
        <w:rPr>
          <w:rFonts w:cs="Open Sans"/>
        </w:rPr>
      </w:pPr>
      <w:r w:rsidRPr="00AA1A20">
        <w:rPr>
          <w:rFonts w:cs="Open Sans"/>
        </w:rPr>
        <w:t xml:space="preserve">In light of these concerns, the Commission draws attention to the following instances where the proposed powers </w:t>
      </w:r>
      <w:proofErr w:type="gramStart"/>
      <w:r w:rsidRPr="00AA1A20">
        <w:rPr>
          <w:rFonts w:cs="Open Sans"/>
        </w:rPr>
        <w:t>have not been shown</w:t>
      </w:r>
      <w:proofErr w:type="gramEnd"/>
      <w:r w:rsidRPr="00AA1A20">
        <w:rPr>
          <w:rFonts w:cs="Open Sans"/>
        </w:rPr>
        <w:t xml:space="preserve"> to be </w:t>
      </w:r>
      <w:r w:rsidRPr="00AA1A20">
        <w:rPr>
          <w:rFonts w:cs="Open Sans"/>
          <w:lang w:val="en"/>
        </w:rPr>
        <w:t>necessary and proportionate in accordance with human rights law.</w:t>
      </w:r>
    </w:p>
    <w:p w14:paraId="68A5993A" w14:textId="55BB9D34" w:rsidR="00CE04D1" w:rsidRPr="00AA1A20" w:rsidRDefault="00CE04D1" w:rsidP="00C23E81">
      <w:pPr>
        <w:pStyle w:val="Heading2"/>
        <w:tabs>
          <w:tab w:val="clear" w:pos="851"/>
          <w:tab w:val="num" w:pos="1418"/>
        </w:tabs>
        <w:rPr>
          <w:rFonts w:cs="Open Sans"/>
        </w:rPr>
      </w:pPr>
      <w:bookmarkStart w:id="78" w:name="_Ref523847125"/>
      <w:bookmarkStart w:id="79" w:name="_Toc524352506"/>
      <w:r w:rsidRPr="00AA1A20">
        <w:rPr>
          <w:rFonts w:cs="Open Sans"/>
        </w:rPr>
        <w:lastRenderedPageBreak/>
        <w:t>Scope of assistance scheme</w:t>
      </w:r>
      <w:bookmarkEnd w:id="78"/>
      <w:bookmarkEnd w:id="79"/>
    </w:p>
    <w:p w14:paraId="031C6273" w14:textId="77777777" w:rsidR="00CE04D1" w:rsidRPr="00AA1A20" w:rsidRDefault="00CE04D1" w:rsidP="00780E93">
      <w:pPr>
        <w:pStyle w:val="Heading3"/>
        <w:rPr>
          <w:rFonts w:cs="Open Sans"/>
          <w:i/>
        </w:rPr>
      </w:pPr>
      <w:bookmarkStart w:id="80" w:name="_Toc524352507"/>
      <w:r w:rsidRPr="00AA1A20">
        <w:rPr>
          <w:rFonts w:cs="Open Sans"/>
          <w:i/>
        </w:rPr>
        <w:t>‘Acts or things’</w:t>
      </w:r>
      <w:bookmarkEnd w:id="80"/>
    </w:p>
    <w:p w14:paraId="72F99A09" w14:textId="3045C27D" w:rsidR="00CE04D1" w:rsidRPr="00AA1A20" w:rsidRDefault="00CE04D1" w:rsidP="007F47B3">
      <w:pPr>
        <w:pStyle w:val="ListNumber"/>
        <w:tabs>
          <w:tab w:val="clear" w:pos="360"/>
          <w:tab w:val="num" w:pos="993"/>
          <w:tab w:val="left" w:pos="1418"/>
        </w:tabs>
        <w:ind w:left="709" w:hanging="567"/>
        <w:rPr>
          <w:rFonts w:cs="Open Sans"/>
        </w:rPr>
      </w:pPr>
      <w:r w:rsidRPr="00AA1A20">
        <w:rPr>
          <w:rFonts w:cs="Open Sans"/>
        </w:rPr>
        <w:t>The assistance scheme empowers agencies to request or compel the provision of a wide range of assistance from a designated communications provider, under the ‘listed acts or things’ designated in proposed s 317E.</w:t>
      </w:r>
      <w:r w:rsidRPr="00DF3B57">
        <w:rPr>
          <w:rStyle w:val="EndnoteReference"/>
          <w:vertAlign w:val="superscript"/>
        </w:rPr>
        <w:endnoteReference w:id="81"/>
      </w:r>
    </w:p>
    <w:p w14:paraId="6C973751" w14:textId="41FD4C9F" w:rsidR="00CE04D1" w:rsidRPr="00AA1A20" w:rsidRDefault="00CE04D1" w:rsidP="00757958">
      <w:pPr>
        <w:pStyle w:val="ListNumber"/>
        <w:tabs>
          <w:tab w:val="clear" w:pos="360"/>
          <w:tab w:val="num" w:pos="993"/>
          <w:tab w:val="left" w:pos="1418"/>
        </w:tabs>
        <w:ind w:left="709" w:hanging="567"/>
        <w:rPr>
          <w:rFonts w:cs="Open Sans"/>
        </w:rPr>
      </w:pPr>
      <w:r w:rsidRPr="00AA1A20">
        <w:rPr>
          <w:rFonts w:cs="Open Sans"/>
        </w:rPr>
        <w:t xml:space="preserve">The explanatory document appears to suggest that the primary purpose of the industry assistance provisions is to facilitate access to data, devices or systems that are already the subject of a warrant, where such material would otherwise be inaccessible or unintelligible.  </w:t>
      </w:r>
    </w:p>
    <w:p w14:paraId="197828FC" w14:textId="0153DE27" w:rsidR="00CE04D1" w:rsidRPr="00AA1A20" w:rsidRDefault="00CE04D1" w:rsidP="00757958">
      <w:pPr>
        <w:pStyle w:val="ListNumber"/>
        <w:tabs>
          <w:tab w:val="clear" w:pos="360"/>
          <w:tab w:val="num" w:pos="993"/>
          <w:tab w:val="left" w:pos="1418"/>
        </w:tabs>
        <w:ind w:left="709" w:hanging="567"/>
        <w:rPr>
          <w:rFonts w:cs="Open Sans"/>
        </w:rPr>
      </w:pPr>
      <w:r w:rsidRPr="00AA1A20">
        <w:rPr>
          <w:rFonts w:cs="Open Sans"/>
        </w:rPr>
        <w:t xml:space="preserve">However, the definition of ‘acts or things’ in the draft Bill is so vague as to potentially permit almost limitless forms of assistance to be requested or required, possibly including assistance that is unconnected to a warrant. </w:t>
      </w:r>
    </w:p>
    <w:p w14:paraId="19EB43F4" w14:textId="2D7136DF" w:rsidR="00CE04D1" w:rsidRPr="00AA1A20" w:rsidRDefault="00CE04D1" w:rsidP="00A32AD9">
      <w:pPr>
        <w:pStyle w:val="ListNumber"/>
        <w:tabs>
          <w:tab w:val="clear" w:pos="360"/>
          <w:tab w:val="num" w:pos="993"/>
          <w:tab w:val="left" w:pos="1418"/>
        </w:tabs>
        <w:ind w:left="709" w:hanging="567"/>
        <w:rPr>
          <w:rFonts w:cs="Open Sans"/>
        </w:rPr>
      </w:pPr>
      <w:r w:rsidRPr="00AA1A20">
        <w:rPr>
          <w:rFonts w:cs="Open Sans"/>
        </w:rPr>
        <w:t xml:space="preserve">The Commission considers that the language used to define ‘listed acts or things’ is inappropriately ambiguous and overbroad. For example, proposed s 317E(c) allows an agency to require a provider to assist with ‘using’ ‘software or equipment’. The Commission considers that it is unclear on the face of this provision exactly what may constitute ‘use’ of software. Further, ‘equipment’ is an extremely broad term that could encompass almost anything. </w:t>
      </w:r>
    </w:p>
    <w:p w14:paraId="719AB736" w14:textId="6B52CAF2" w:rsidR="00CE04D1" w:rsidRPr="00AA1A20" w:rsidRDefault="00CE04D1" w:rsidP="00960A83">
      <w:pPr>
        <w:pStyle w:val="ListNumber"/>
        <w:tabs>
          <w:tab w:val="clear" w:pos="360"/>
          <w:tab w:val="num" w:pos="993"/>
          <w:tab w:val="left" w:pos="1418"/>
        </w:tabs>
        <w:ind w:left="709" w:hanging="567"/>
        <w:rPr>
          <w:rFonts w:cs="Open Sans"/>
        </w:rPr>
      </w:pPr>
      <w:r w:rsidRPr="00AA1A20">
        <w:rPr>
          <w:rFonts w:cs="Open Sans"/>
        </w:rPr>
        <w:t>Further, in the case of TARs and TANs, the listed ‘acts or things’ in the definition in proposed s 317E are non-exhaustive.</w:t>
      </w:r>
      <w:r w:rsidRPr="00DF3B57">
        <w:rPr>
          <w:rStyle w:val="EndnoteReference"/>
          <w:vertAlign w:val="superscript"/>
        </w:rPr>
        <w:endnoteReference w:id="82"/>
      </w:r>
      <w:r w:rsidRPr="00AA1A20">
        <w:rPr>
          <w:rFonts w:cs="Open Sans"/>
        </w:rPr>
        <w:t xml:space="preserve"> </w:t>
      </w:r>
    </w:p>
    <w:p w14:paraId="57738F12" w14:textId="604CC6AC" w:rsidR="00CE04D1" w:rsidRPr="00AA1A20" w:rsidRDefault="00CE04D1" w:rsidP="00960A83">
      <w:pPr>
        <w:pStyle w:val="ListNumber"/>
        <w:tabs>
          <w:tab w:val="clear" w:pos="360"/>
          <w:tab w:val="num" w:pos="993"/>
          <w:tab w:val="left" w:pos="1418"/>
        </w:tabs>
        <w:ind w:left="709" w:hanging="567"/>
        <w:rPr>
          <w:rFonts w:cs="Open Sans"/>
        </w:rPr>
      </w:pPr>
      <w:r w:rsidRPr="00AA1A20">
        <w:rPr>
          <w:rFonts w:cs="Open Sans"/>
        </w:rPr>
        <w:t xml:space="preserve">For TCNs, the list of ‘acts or things’ in the draft Bill is exhaustive, and excludes any act or things covered by proposed paragraph </w:t>
      </w:r>
      <w:proofErr w:type="gramStart"/>
      <w:r w:rsidRPr="00AA1A20">
        <w:rPr>
          <w:rFonts w:cs="Open Sans"/>
        </w:rPr>
        <w:t>317E(</w:t>
      </w:r>
      <w:proofErr w:type="gramEnd"/>
      <w:r w:rsidRPr="00AA1A20">
        <w:rPr>
          <w:rFonts w:cs="Open Sans"/>
        </w:rPr>
        <w:t>1)(a).</w:t>
      </w:r>
      <w:r w:rsidRPr="00DF3B57">
        <w:rPr>
          <w:rStyle w:val="EndnoteReference"/>
          <w:vertAlign w:val="superscript"/>
        </w:rPr>
        <w:endnoteReference w:id="83"/>
      </w:r>
      <w:r w:rsidRPr="00AA1A20">
        <w:rPr>
          <w:rFonts w:cs="Open Sans"/>
        </w:rPr>
        <w:t xml:space="preserve"> That is, a provider </w:t>
      </w:r>
      <w:proofErr w:type="gramStart"/>
      <w:r w:rsidRPr="00AA1A20">
        <w:rPr>
          <w:rFonts w:cs="Open Sans"/>
        </w:rPr>
        <w:t>cannot be compelled</w:t>
      </w:r>
      <w:proofErr w:type="gramEnd"/>
      <w:r w:rsidRPr="00AA1A20">
        <w:rPr>
          <w:rFonts w:cs="Open Sans"/>
        </w:rPr>
        <w:t xml:space="preserve"> by a TCN to remove electronic protection that was applied by or on behalf of a provider. </w:t>
      </w:r>
    </w:p>
    <w:p w14:paraId="07449A82" w14:textId="5460C089" w:rsidR="00CE04D1" w:rsidRPr="00AA1A20" w:rsidRDefault="00CE04D1" w:rsidP="007F47B3">
      <w:pPr>
        <w:pStyle w:val="ListNumber"/>
        <w:tabs>
          <w:tab w:val="clear" w:pos="360"/>
          <w:tab w:val="num" w:pos="993"/>
          <w:tab w:val="left" w:pos="1418"/>
        </w:tabs>
        <w:ind w:left="709" w:hanging="567"/>
        <w:rPr>
          <w:rFonts w:cs="Open Sans"/>
        </w:rPr>
      </w:pPr>
      <w:r w:rsidRPr="00AA1A20">
        <w:rPr>
          <w:rFonts w:cs="Open Sans"/>
        </w:rPr>
        <w:t xml:space="preserve">However, the Minister </w:t>
      </w:r>
      <w:proofErr w:type="gramStart"/>
      <w:r w:rsidRPr="00AA1A20">
        <w:rPr>
          <w:rFonts w:cs="Open Sans"/>
        </w:rPr>
        <w:t>may, by way of legislative instrument, determine</w:t>
      </w:r>
      <w:proofErr w:type="gramEnd"/>
      <w:r w:rsidRPr="00AA1A20">
        <w:rPr>
          <w:rFonts w:cs="Open Sans"/>
        </w:rPr>
        <w:t xml:space="preserve"> further ‘acts or things’ that can be compelled under a TCN.</w:t>
      </w:r>
      <w:r w:rsidRPr="00DF3B57">
        <w:rPr>
          <w:rStyle w:val="EndnoteReference"/>
          <w:vertAlign w:val="superscript"/>
        </w:rPr>
        <w:endnoteReference w:id="84"/>
      </w:r>
      <w:r w:rsidRPr="00AA1A20">
        <w:rPr>
          <w:rFonts w:cs="Open Sans"/>
        </w:rPr>
        <w:t xml:space="preserve"> It is not clear that the legislative safeguard that prevents the removal of electronic protection </w:t>
      </w:r>
      <w:proofErr w:type="gramStart"/>
      <w:r w:rsidRPr="00AA1A20">
        <w:rPr>
          <w:rFonts w:cs="Open Sans"/>
        </w:rPr>
        <w:t>being requested</w:t>
      </w:r>
      <w:proofErr w:type="gramEnd"/>
      <w:r w:rsidRPr="00AA1A20">
        <w:rPr>
          <w:rFonts w:cs="Open Sans"/>
        </w:rPr>
        <w:t xml:space="preserve"> of a provider under an initial TCN applies to this Ministerial determination power. </w:t>
      </w:r>
    </w:p>
    <w:p w14:paraId="20FE65D3" w14:textId="77777777" w:rsidR="00CE04D1" w:rsidRPr="00AA1A20" w:rsidRDefault="00CE04D1" w:rsidP="000C5594">
      <w:pPr>
        <w:pStyle w:val="ListNumber"/>
        <w:tabs>
          <w:tab w:val="clear" w:pos="360"/>
          <w:tab w:val="num" w:pos="993"/>
          <w:tab w:val="left" w:pos="1418"/>
        </w:tabs>
        <w:ind w:left="709" w:hanging="567"/>
        <w:rPr>
          <w:rFonts w:cs="Open Sans"/>
        </w:rPr>
      </w:pPr>
      <w:r w:rsidRPr="00AA1A20">
        <w:rPr>
          <w:rFonts w:cs="Open Sans"/>
        </w:rPr>
        <w:t>Before making such a determination, the Minister must consider the interests of law enforcement, national security, the objects of the Act, the likely impact of the determination on designated communications providers, and such other matters as the Minister considers relevant.</w:t>
      </w:r>
      <w:r w:rsidRPr="00DF3B57">
        <w:rPr>
          <w:rStyle w:val="EndnoteReference"/>
          <w:vertAlign w:val="superscript"/>
        </w:rPr>
        <w:endnoteReference w:id="85"/>
      </w:r>
      <w:r w:rsidRPr="00AA1A20">
        <w:rPr>
          <w:rFonts w:cs="Open Sans"/>
        </w:rPr>
        <w:t xml:space="preserve"> While the consideration of human rights impacts could fall under the last criterion, most relevantly how the right to privacy might be limited, this is not explicitly mandated. </w:t>
      </w:r>
    </w:p>
    <w:p w14:paraId="6DE80F17" w14:textId="7FCD2398" w:rsidR="00CE04D1" w:rsidRPr="00AA1A20" w:rsidRDefault="00CE04D1" w:rsidP="000C5594">
      <w:pPr>
        <w:pStyle w:val="ListNumber"/>
        <w:tabs>
          <w:tab w:val="clear" w:pos="360"/>
          <w:tab w:val="num" w:pos="993"/>
          <w:tab w:val="left" w:pos="1418"/>
        </w:tabs>
        <w:ind w:left="709" w:hanging="567"/>
        <w:rPr>
          <w:rFonts w:cs="Open Sans"/>
        </w:rPr>
      </w:pPr>
      <w:r w:rsidRPr="00AA1A20">
        <w:rPr>
          <w:rFonts w:cs="Open Sans"/>
        </w:rPr>
        <w:lastRenderedPageBreak/>
        <w:t xml:space="preserve">The Commission considers that, rather than by way of Ministerial determination, it would be more appropriate for further acts and things only to </w:t>
      </w:r>
      <w:proofErr w:type="gramStart"/>
      <w:r w:rsidRPr="00AA1A20">
        <w:rPr>
          <w:rFonts w:cs="Open Sans"/>
        </w:rPr>
        <w:t>be added</w:t>
      </w:r>
      <w:proofErr w:type="gramEnd"/>
      <w:r w:rsidRPr="00AA1A20">
        <w:rPr>
          <w:rFonts w:cs="Open Sans"/>
        </w:rPr>
        <w:t xml:space="preserve"> by way of legislative amendment. This approach would allow for full parliamentary and public scrutiny, including of the necessity and proportionality of likely further significant human rights limitations.</w:t>
      </w:r>
    </w:p>
    <w:p w14:paraId="7A97E973" w14:textId="30D82C9A" w:rsidR="00CE04D1" w:rsidRPr="00AA1A20" w:rsidRDefault="00CE04D1" w:rsidP="007F47B3">
      <w:pPr>
        <w:pStyle w:val="ListNumber"/>
        <w:tabs>
          <w:tab w:val="clear" w:pos="360"/>
          <w:tab w:val="num" w:pos="993"/>
          <w:tab w:val="left" w:pos="1418"/>
        </w:tabs>
        <w:ind w:left="709" w:hanging="567"/>
        <w:rPr>
          <w:rFonts w:cs="Open Sans"/>
        </w:rPr>
      </w:pPr>
      <w:r w:rsidRPr="00AA1A20">
        <w:rPr>
          <w:rFonts w:cs="Open Sans"/>
        </w:rPr>
        <w:t xml:space="preserve">Further, the Attorney-General’s power to vary a TCN, once issued, appears to allow the inclusion of </w:t>
      </w:r>
      <w:r w:rsidRPr="00AA1A20">
        <w:rPr>
          <w:rFonts w:cs="Open Sans"/>
          <w:i/>
        </w:rPr>
        <w:t>any</w:t>
      </w:r>
      <w:r w:rsidRPr="00AA1A20">
        <w:rPr>
          <w:rFonts w:cs="Open Sans"/>
        </w:rPr>
        <w:t xml:space="preserve"> listed act or thing, including the removal of electronic protection.</w:t>
      </w:r>
      <w:r w:rsidRPr="00DF3B57">
        <w:rPr>
          <w:rStyle w:val="EndnoteReference"/>
          <w:vertAlign w:val="superscript"/>
        </w:rPr>
        <w:endnoteReference w:id="86"/>
      </w:r>
      <w:r w:rsidRPr="00AA1A20">
        <w:rPr>
          <w:rFonts w:cs="Open Sans"/>
        </w:rPr>
        <w:t xml:space="preserve"> This power would make the listed acts and things </w:t>
      </w:r>
      <w:r w:rsidRPr="00AA1A20">
        <w:rPr>
          <w:rFonts w:cs="Open Sans"/>
          <w:i/>
        </w:rPr>
        <w:t>non-exhaustive</w:t>
      </w:r>
      <w:r w:rsidRPr="00AA1A20">
        <w:rPr>
          <w:rFonts w:cs="Open Sans"/>
        </w:rPr>
        <w:t xml:space="preserve"> for varied TCNs, in contrast with the initial issue of a TCN. </w:t>
      </w:r>
    </w:p>
    <w:p w14:paraId="30E3E9F9" w14:textId="6240A01F" w:rsidR="00CE04D1" w:rsidRPr="00AA1A20" w:rsidRDefault="00CE04D1" w:rsidP="007F47B3">
      <w:pPr>
        <w:pStyle w:val="ListNumber"/>
        <w:tabs>
          <w:tab w:val="clear" w:pos="360"/>
          <w:tab w:val="num" w:pos="993"/>
          <w:tab w:val="left" w:pos="1418"/>
        </w:tabs>
        <w:ind w:left="709" w:hanging="567"/>
        <w:rPr>
          <w:rFonts w:cs="Open Sans"/>
        </w:rPr>
      </w:pPr>
      <w:r w:rsidRPr="00AA1A20">
        <w:rPr>
          <w:rFonts w:cs="Open Sans"/>
        </w:rPr>
        <w:t>This potential loophole raises concerns that providers could, in fact, be compelled to implement or build a capability that removes electronic protection by a TCN variation (noting that the proposed prohibition in s 317ZG on a notice requiring a provider to create a systemic weakness would still apply).</w:t>
      </w:r>
      <w:r w:rsidRPr="00DF3B57">
        <w:rPr>
          <w:rStyle w:val="EndnoteReference"/>
          <w:vertAlign w:val="superscript"/>
        </w:rPr>
        <w:endnoteReference w:id="87"/>
      </w:r>
      <w:r w:rsidRPr="00AA1A20">
        <w:rPr>
          <w:rFonts w:cs="Open Sans"/>
        </w:rPr>
        <w:t xml:space="preserve"> This is inconsistent with the intention expressed in the explanatory document, that ‘agencies may not require providers to build a capability to remove electronic protection under a TCN’.</w:t>
      </w:r>
      <w:r w:rsidRPr="00DF3B57">
        <w:rPr>
          <w:rStyle w:val="EndnoteReference"/>
          <w:vertAlign w:val="superscript"/>
        </w:rPr>
        <w:endnoteReference w:id="88"/>
      </w:r>
    </w:p>
    <w:p w14:paraId="3293BF6A" w14:textId="644BA8FD" w:rsidR="00CE04D1" w:rsidRPr="00AA1A20" w:rsidRDefault="00CE04D1" w:rsidP="00757958">
      <w:pPr>
        <w:pStyle w:val="ListNumber"/>
        <w:tabs>
          <w:tab w:val="clear" w:pos="360"/>
          <w:tab w:val="num" w:pos="993"/>
          <w:tab w:val="left" w:pos="1418"/>
        </w:tabs>
        <w:ind w:left="709" w:hanging="567"/>
        <w:rPr>
          <w:rFonts w:cs="Open Sans"/>
        </w:rPr>
      </w:pPr>
      <w:proofErr w:type="gramStart"/>
      <w:r w:rsidRPr="00AA1A20">
        <w:rPr>
          <w:rFonts w:cs="Open Sans"/>
        </w:rPr>
        <w:t>It is possible that the broad drafting of proposed s 317E might</w:t>
      </w:r>
      <w:proofErr w:type="gramEnd"/>
      <w:r w:rsidRPr="00AA1A20">
        <w:rPr>
          <w:rFonts w:cs="Open Sans"/>
        </w:rPr>
        <w:t xml:space="preserve"> be intended to ‘future-proof’ the scheme. However, the Commission considers that its breadth and ambiguity may not satisfy the requirements of necessity and proportionality. The explanatory document does not demonstrate that such a broad definition is required to achieve the objectives of the draft Bill. </w:t>
      </w:r>
    </w:p>
    <w:p w14:paraId="692303B2" w14:textId="54F7D955" w:rsidR="00CE04D1" w:rsidRPr="00AA1A20" w:rsidRDefault="00CE04D1" w:rsidP="00A51A05">
      <w:pPr>
        <w:pStyle w:val="ListNumber"/>
        <w:tabs>
          <w:tab w:val="clear" w:pos="360"/>
          <w:tab w:val="num" w:pos="993"/>
          <w:tab w:val="left" w:pos="1418"/>
        </w:tabs>
        <w:ind w:left="709" w:hanging="567"/>
        <w:rPr>
          <w:rFonts w:cs="Open Sans"/>
        </w:rPr>
      </w:pPr>
      <w:r w:rsidRPr="00AA1A20">
        <w:rPr>
          <w:rFonts w:cs="Open Sans"/>
        </w:rPr>
        <w:t xml:space="preserve">Having such a large potential suite of ‘assistance measures’ also increases the risk of agencies choosing the most rights-intrusive form of assistance as a matter of convenience, when a less restrictive measure would suffice. </w:t>
      </w:r>
    </w:p>
    <w:p w14:paraId="19888B93" w14:textId="528F780B" w:rsidR="00CE04D1" w:rsidRPr="00AA1A20" w:rsidRDefault="00CE04D1" w:rsidP="00757958">
      <w:pPr>
        <w:pStyle w:val="ListNumber"/>
        <w:tabs>
          <w:tab w:val="clear" w:pos="360"/>
          <w:tab w:val="num" w:pos="993"/>
          <w:tab w:val="left" w:pos="1418"/>
        </w:tabs>
        <w:ind w:left="709" w:hanging="567"/>
        <w:rPr>
          <w:rFonts w:cs="Open Sans"/>
        </w:rPr>
      </w:pPr>
      <w:proofErr w:type="gramStart"/>
      <w:r w:rsidRPr="00AA1A20">
        <w:rPr>
          <w:rFonts w:cs="Open Sans"/>
        </w:rPr>
        <w:t>The Commission considers that, given the significant potential limitation on human rights, in particular the right to privacy, the draft Bill should be redrafted so that: the ‘listed acts or things’ in s 317E are as confined as possible; the definition of ‘listed acts or things’ is exhaustive in relation to all kinds of assistance requests and notices; and so that the definition of ‘acts or things’ cannot be expanded by legislative instrument.</w:t>
      </w:r>
      <w:proofErr w:type="gramEnd"/>
      <w:r w:rsidRPr="00AA1A20">
        <w:rPr>
          <w:rFonts w:cs="Open Sans"/>
        </w:rPr>
        <w:t xml:space="preserve"> </w:t>
      </w:r>
    </w:p>
    <w:p w14:paraId="7D753D18" w14:textId="0BCF09A1" w:rsidR="00CE04D1" w:rsidRPr="00AA1A20" w:rsidRDefault="00CE04D1" w:rsidP="007F47B3">
      <w:pPr>
        <w:pStyle w:val="ListNumber"/>
        <w:tabs>
          <w:tab w:val="clear" w:pos="360"/>
          <w:tab w:val="num" w:pos="993"/>
          <w:tab w:val="left" w:pos="1418"/>
        </w:tabs>
        <w:ind w:left="709" w:hanging="567"/>
        <w:rPr>
          <w:rFonts w:cs="Open Sans"/>
        </w:rPr>
      </w:pPr>
      <w:r w:rsidRPr="00AA1A20">
        <w:rPr>
          <w:rFonts w:cs="Open Sans"/>
        </w:rPr>
        <w:t>The Commission recommends that:</w:t>
      </w:r>
    </w:p>
    <w:p w14:paraId="28B1C8A5" w14:textId="77777777" w:rsidR="00CE04D1" w:rsidRPr="00AA1A20" w:rsidRDefault="00CE04D1" w:rsidP="00C60FE5">
      <w:pPr>
        <w:pStyle w:val="ListNumber"/>
        <w:numPr>
          <w:ilvl w:val="0"/>
          <w:numId w:val="0"/>
        </w:numPr>
        <w:tabs>
          <w:tab w:val="left" w:pos="1418"/>
        </w:tabs>
        <w:ind w:left="709"/>
        <w:rPr>
          <w:rFonts w:cs="Open Sans"/>
          <w:b/>
        </w:rPr>
      </w:pPr>
      <w:r w:rsidRPr="00AA1A20">
        <w:rPr>
          <w:rFonts w:cs="Open Sans"/>
          <w:b/>
        </w:rPr>
        <w:t>Recommendation 2</w:t>
      </w:r>
    </w:p>
    <w:p w14:paraId="405089DE" w14:textId="377543AB" w:rsidR="00CE04D1" w:rsidRPr="00AA1A20" w:rsidRDefault="00CE04D1" w:rsidP="00C60FE5">
      <w:pPr>
        <w:pStyle w:val="ListNumber"/>
        <w:numPr>
          <w:ilvl w:val="0"/>
          <w:numId w:val="0"/>
        </w:numPr>
        <w:tabs>
          <w:tab w:val="left" w:pos="1418"/>
        </w:tabs>
        <w:ind w:left="709"/>
        <w:rPr>
          <w:rFonts w:cs="Open Sans"/>
        </w:rPr>
      </w:pPr>
      <w:r w:rsidRPr="00AA1A20">
        <w:rPr>
          <w:rFonts w:cs="Open Sans"/>
        </w:rPr>
        <w:t xml:space="preserve">Proposed s 317E of the </w:t>
      </w:r>
      <w:r w:rsidRPr="00AA1A20">
        <w:rPr>
          <w:rFonts w:cs="Open Sans"/>
          <w:i/>
        </w:rPr>
        <w:t xml:space="preserve">Telecommunications Act 1997 </w:t>
      </w:r>
      <w:r w:rsidRPr="00AA1A20">
        <w:rPr>
          <w:rFonts w:cs="Open Sans"/>
        </w:rPr>
        <w:t>(Cth) be redrafted in narrower terms, to ensure that the ‘acts or things’ that can be requested or required under TARs, TANs and TCNs are restricted to those that are strictly necessary for law enforcement and national security agencies to carry out their functions.</w:t>
      </w:r>
    </w:p>
    <w:p w14:paraId="047D7B15" w14:textId="77777777" w:rsidR="005C273F" w:rsidRDefault="005C273F">
      <w:pPr>
        <w:rPr>
          <w:rFonts w:cs="Open Sans"/>
          <w:b/>
        </w:rPr>
      </w:pPr>
      <w:r>
        <w:rPr>
          <w:rFonts w:cs="Open Sans"/>
          <w:b/>
        </w:rPr>
        <w:br w:type="page"/>
      </w:r>
    </w:p>
    <w:p w14:paraId="3A957C69" w14:textId="406BD955" w:rsidR="00CE04D1" w:rsidRPr="00AA1A20" w:rsidRDefault="00CE04D1" w:rsidP="00FD3855">
      <w:pPr>
        <w:pStyle w:val="ListNumber"/>
        <w:numPr>
          <w:ilvl w:val="0"/>
          <w:numId w:val="0"/>
        </w:numPr>
        <w:tabs>
          <w:tab w:val="left" w:pos="1418"/>
        </w:tabs>
        <w:ind w:left="709"/>
        <w:rPr>
          <w:rFonts w:cs="Open Sans"/>
          <w:b/>
        </w:rPr>
      </w:pPr>
      <w:r w:rsidRPr="00AA1A20">
        <w:rPr>
          <w:rFonts w:cs="Open Sans"/>
          <w:b/>
        </w:rPr>
        <w:lastRenderedPageBreak/>
        <w:t>Recommendation 3</w:t>
      </w:r>
    </w:p>
    <w:p w14:paraId="6CC5CE48" w14:textId="67156375" w:rsidR="00CE04D1" w:rsidRPr="00AA1A20" w:rsidRDefault="00CE04D1" w:rsidP="00FD3855">
      <w:pPr>
        <w:pStyle w:val="ListNumber"/>
        <w:numPr>
          <w:ilvl w:val="0"/>
          <w:numId w:val="0"/>
        </w:numPr>
        <w:tabs>
          <w:tab w:val="left" w:pos="1418"/>
        </w:tabs>
        <w:ind w:left="709"/>
        <w:rPr>
          <w:rFonts w:cs="Open Sans"/>
        </w:rPr>
      </w:pPr>
      <w:r w:rsidRPr="00AA1A20">
        <w:rPr>
          <w:rFonts w:cs="Open Sans"/>
        </w:rPr>
        <w:t xml:space="preserve">Proposed ss </w:t>
      </w:r>
      <w:proofErr w:type="gramStart"/>
      <w:r w:rsidRPr="00AA1A20">
        <w:rPr>
          <w:rFonts w:cs="Open Sans"/>
        </w:rPr>
        <w:t>317G(</w:t>
      </w:r>
      <w:proofErr w:type="gramEnd"/>
      <w:r w:rsidRPr="00AA1A20">
        <w:rPr>
          <w:rFonts w:cs="Open Sans"/>
        </w:rPr>
        <w:t xml:space="preserve">6), 317L(3) and 317X(3) of the </w:t>
      </w:r>
      <w:r w:rsidRPr="00AA1A20">
        <w:rPr>
          <w:rFonts w:cs="Open Sans"/>
          <w:i/>
        </w:rPr>
        <w:t xml:space="preserve">Telecommunications Act 1997 </w:t>
      </w:r>
      <w:r w:rsidRPr="00AA1A20">
        <w:rPr>
          <w:rFonts w:cs="Open Sans"/>
        </w:rPr>
        <w:t xml:space="preserve">(Cth) be amended so that the only ‘acts or things’ permissible under a TAR, TAN or TCN are those specified in s 317E (that is, the list of ‘acts or things’ in s 317E should be exhaustive in all cases). </w:t>
      </w:r>
    </w:p>
    <w:p w14:paraId="726A3147" w14:textId="77777777" w:rsidR="00CE04D1" w:rsidRPr="00AA1A20" w:rsidRDefault="00CE04D1" w:rsidP="00FD3855">
      <w:pPr>
        <w:pStyle w:val="ListNumber"/>
        <w:numPr>
          <w:ilvl w:val="0"/>
          <w:numId w:val="0"/>
        </w:numPr>
        <w:tabs>
          <w:tab w:val="left" w:pos="1418"/>
        </w:tabs>
        <w:ind w:left="709"/>
        <w:rPr>
          <w:rFonts w:cs="Open Sans"/>
          <w:b/>
        </w:rPr>
      </w:pPr>
      <w:r w:rsidRPr="00AA1A20">
        <w:rPr>
          <w:rFonts w:cs="Open Sans"/>
          <w:b/>
        </w:rPr>
        <w:t>Recommendation 4</w:t>
      </w:r>
    </w:p>
    <w:p w14:paraId="7B8788AE" w14:textId="02903C69" w:rsidR="00CE04D1" w:rsidRPr="00AA1A20" w:rsidRDefault="00CE04D1" w:rsidP="00FD3855">
      <w:pPr>
        <w:pStyle w:val="ListNumber"/>
        <w:numPr>
          <w:ilvl w:val="0"/>
          <w:numId w:val="0"/>
        </w:numPr>
        <w:tabs>
          <w:tab w:val="left" w:pos="1418"/>
        </w:tabs>
        <w:ind w:left="709"/>
        <w:rPr>
          <w:rFonts w:cs="Open Sans"/>
        </w:rPr>
      </w:pPr>
      <w:r w:rsidRPr="00AA1A20">
        <w:rPr>
          <w:rFonts w:cs="Open Sans"/>
        </w:rPr>
        <w:t xml:space="preserve">Proposed s 317(X) of the </w:t>
      </w:r>
      <w:r w:rsidRPr="00AA1A20">
        <w:rPr>
          <w:rFonts w:cs="Open Sans"/>
          <w:i/>
        </w:rPr>
        <w:t xml:space="preserve">Telecommunications Act 1997 </w:t>
      </w:r>
      <w:r w:rsidRPr="00AA1A20">
        <w:rPr>
          <w:rFonts w:cs="Open Sans"/>
        </w:rPr>
        <w:t xml:space="preserve">(Cth) be amended to make clear that a varied TCN cannot compel a provider to remove electronic protection, by excluding the applicability of s </w:t>
      </w:r>
      <w:proofErr w:type="gramStart"/>
      <w:r w:rsidRPr="00AA1A20">
        <w:rPr>
          <w:rFonts w:cs="Open Sans"/>
        </w:rPr>
        <w:t>317E(</w:t>
      </w:r>
      <w:proofErr w:type="gramEnd"/>
      <w:r w:rsidRPr="00AA1A20">
        <w:rPr>
          <w:rFonts w:cs="Open Sans"/>
        </w:rPr>
        <w:t xml:space="preserve">1)(a).  </w:t>
      </w:r>
    </w:p>
    <w:p w14:paraId="5DBDE2DC" w14:textId="77777777" w:rsidR="00CE04D1" w:rsidRPr="00AA1A20" w:rsidRDefault="00CE04D1" w:rsidP="005A385C">
      <w:pPr>
        <w:pStyle w:val="ListNumber"/>
        <w:numPr>
          <w:ilvl w:val="0"/>
          <w:numId w:val="0"/>
        </w:numPr>
        <w:tabs>
          <w:tab w:val="left" w:pos="1418"/>
        </w:tabs>
        <w:ind w:left="709"/>
        <w:rPr>
          <w:rFonts w:cs="Open Sans"/>
          <w:b/>
        </w:rPr>
      </w:pPr>
      <w:r w:rsidRPr="00AA1A20">
        <w:rPr>
          <w:rFonts w:cs="Open Sans"/>
          <w:b/>
        </w:rPr>
        <w:t>Recommendation 5</w:t>
      </w:r>
    </w:p>
    <w:p w14:paraId="5988FE99" w14:textId="1DBC4019" w:rsidR="00CE04D1" w:rsidRPr="00AA1A20" w:rsidRDefault="00CE04D1" w:rsidP="005A385C">
      <w:pPr>
        <w:pStyle w:val="ListNumber"/>
        <w:numPr>
          <w:ilvl w:val="0"/>
          <w:numId w:val="0"/>
        </w:numPr>
        <w:tabs>
          <w:tab w:val="left" w:pos="1418"/>
        </w:tabs>
        <w:ind w:left="709"/>
        <w:rPr>
          <w:rFonts w:cs="Open Sans"/>
        </w:rPr>
      </w:pPr>
      <w:r w:rsidRPr="00AA1A20">
        <w:rPr>
          <w:rFonts w:cs="Open Sans"/>
        </w:rPr>
        <w:t xml:space="preserve">Proposed s </w:t>
      </w:r>
      <w:proofErr w:type="gramStart"/>
      <w:r w:rsidRPr="00AA1A20">
        <w:rPr>
          <w:rFonts w:cs="Open Sans"/>
        </w:rPr>
        <w:t>317T(</w:t>
      </w:r>
      <w:proofErr w:type="gramEnd"/>
      <w:r w:rsidRPr="00AA1A20">
        <w:rPr>
          <w:rFonts w:cs="Open Sans"/>
        </w:rPr>
        <w:t xml:space="preserve">5) of the </w:t>
      </w:r>
      <w:r w:rsidRPr="00AA1A20">
        <w:rPr>
          <w:rFonts w:cs="Open Sans"/>
          <w:i/>
        </w:rPr>
        <w:t xml:space="preserve">Telecommunications Act 1997 </w:t>
      </w:r>
      <w:r w:rsidRPr="00AA1A20">
        <w:rPr>
          <w:rFonts w:cs="Open Sans"/>
        </w:rPr>
        <w:t>(Cth) be removed, to prevent the ability of the Minister to expand the definition of ‘acts or things’ for the purposes of a TCN by way of legislative instrument.</w:t>
      </w:r>
    </w:p>
    <w:p w14:paraId="5B037735" w14:textId="3675E07C" w:rsidR="00CE04D1" w:rsidRPr="00AA1A20" w:rsidRDefault="00CE04D1" w:rsidP="005A385C">
      <w:pPr>
        <w:pStyle w:val="ListNumber"/>
        <w:numPr>
          <w:ilvl w:val="0"/>
          <w:numId w:val="0"/>
        </w:numPr>
        <w:tabs>
          <w:tab w:val="left" w:pos="1418"/>
        </w:tabs>
        <w:ind w:left="709"/>
        <w:rPr>
          <w:rFonts w:cs="Open Sans"/>
          <w:b/>
        </w:rPr>
      </w:pPr>
      <w:r w:rsidRPr="00AA1A20">
        <w:rPr>
          <w:rFonts w:cs="Open Sans"/>
          <w:b/>
        </w:rPr>
        <w:t>Recommendation 6</w:t>
      </w:r>
    </w:p>
    <w:p w14:paraId="1993640A" w14:textId="36EFE999" w:rsidR="00CE04D1" w:rsidRPr="00AA1A20" w:rsidRDefault="00CE04D1" w:rsidP="005A385C">
      <w:pPr>
        <w:pStyle w:val="ListNumber"/>
        <w:numPr>
          <w:ilvl w:val="0"/>
          <w:numId w:val="0"/>
        </w:numPr>
        <w:tabs>
          <w:tab w:val="left" w:pos="1418"/>
        </w:tabs>
        <w:ind w:left="709"/>
        <w:rPr>
          <w:rFonts w:cs="Open Sans"/>
        </w:rPr>
      </w:pPr>
      <w:proofErr w:type="gramStart"/>
      <w:r w:rsidRPr="00AA1A20">
        <w:rPr>
          <w:rFonts w:cs="Open Sans"/>
        </w:rPr>
        <w:t xml:space="preserve">In the event that Recommendation 5 is not accepted, that the decision-making criteria in proposed s 317T(6) of the </w:t>
      </w:r>
      <w:r w:rsidRPr="00AA1A20">
        <w:rPr>
          <w:rFonts w:cs="Open Sans"/>
          <w:i/>
        </w:rPr>
        <w:t xml:space="preserve">Telecommunications Act 1997 </w:t>
      </w:r>
      <w:r w:rsidRPr="00AA1A20">
        <w:rPr>
          <w:rFonts w:cs="Open Sans"/>
        </w:rPr>
        <w:t>(Cth) be amended to require the Minister to consider the right to privacy and other human rights before making a legislative instrument that will expand the definition of ‘acts or things’ for the purpose of a TCN, and only allow the exercise of power if the Minister is satisfied that the limitation of the right to privacy and other human rights is necessary and proportionate in all of the circumstances of a particular case.</w:t>
      </w:r>
      <w:proofErr w:type="gramEnd"/>
      <w:r w:rsidRPr="00AA1A20">
        <w:rPr>
          <w:rFonts w:cs="Open Sans"/>
        </w:rPr>
        <w:t xml:space="preserve"> </w:t>
      </w:r>
    </w:p>
    <w:p w14:paraId="707BB996" w14:textId="77777777" w:rsidR="00CE04D1" w:rsidRPr="00AA1A20" w:rsidRDefault="00CE04D1" w:rsidP="005A385C">
      <w:pPr>
        <w:pStyle w:val="ListNumber"/>
        <w:numPr>
          <w:ilvl w:val="0"/>
          <w:numId w:val="0"/>
        </w:numPr>
        <w:tabs>
          <w:tab w:val="left" w:pos="1418"/>
        </w:tabs>
        <w:ind w:left="709"/>
        <w:rPr>
          <w:rFonts w:cs="Open Sans"/>
          <w:b/>
        </w:rPr>
      </w:pPr>
      <w:r w:rsidRPr="00AA1A20">
        <w:rPr>
          <w:rFonts w:cs="Open Sans"/>
          <w:b/>
        </w:rPr>
        <w:t>Recommendation 7</w:t>
      </w:r>
    </w:p>
    <w:p w14:paraId="46718B9B" w14:textId="7B9A7B5E" w:rsidR="00CE04D1" w:rsidRPr="00AA1A20" w:rsidRDefault="00CE04D1" w:rsidP="005A385C">
      <w:pPr>
        <w:pStyle w:val="ListNumber"/>
        <w:numPr>
          <w:ilvl w:val="0"/>
          <w:numId w:val="0"/>
        </w:numPr>
        <w:tabs>
          <w:tab w:val="left" w:pos="1418"/>
        </w:tabs>
        <w:ind w:left="709"/>
        <w:rPr>
          <w:rFonts w:cs="Open Sans"/>
        </w:rPr>
      </w:pPr>
      <w:r w:rsidRPr="00AA1A20">
        <w:rPr>
          <w:rFonts w:cs="Open Sans"/>
        </w:rPr>
        <w:t xml:space="preserve">In the event that Recommendation 5 is not accepted, proposed s </w:t>
      </w:r>
      <w:proofErr w:type="gramStart"/>
      <w:r w:rsidRPr="00AA1A20">
        <w:rPr>
          <w:rFonts w:cs="Open Sans"/>
        </w:rPr>
        <w:t>317T(</w:t>
      </w:r>
      <w:proofErr w:type="gramEnd"/>
      <w:r w:rsidRPr="00AA1A20">
        <w:rPr>
          <w:rFonts w:cs="Open Sans"/>
        </w:rPr>
        <w:t xml:space="preserve">5) of the </w:t>
      </w:r>
      <w:r w:rsidRPr="00AA1A20">
        <w:rPr>
          <w:rFonts w:cs="Open Sans"/>
          <w:i/>
        </w:rPr>
        <w:t xml:space="preserve">Telecommunications Act 1997 </w:t>
      </w:r>
      <w:r w:rsidRPr="00AA1A20">
        <w:rPr>
          <w:rFonts w:cs="Open Sans"/>
        </w:rPr>
        <w:t xml:space="preserve">(Cth) be amended to make clear that a legislative instrument that expands the definition of ‘acts or things’ for the purpose of a TCN is a disallowable instrument. </w:t>
      </w:r>
    </w:p>
    <w:p w14:paraId="21CC0327" w14:textId="459EE90C" w:rsidR="00CE04D1" w:rsidRPr="00AA1A20" w:rsidRDefault="00CE04D1" w:rsidP="00757958">
      <w:pPr>
        <w:pStyle w:val="Heading3"/>
        <w:rPr>
          <w:rFonts w:cs="Open Sans"/>
          <w:i/>
        </w:rPr>
      </w:pPr>
      <w:bookmarkStart w:id="81" w:name="_Ref524025287"/>
      <w:bookmarkStart w:id="82" w:name="_Toc524352508"/>
      <w:r w:rsidRPr="00AA1A20">
        <w:rPr>
          <w:rFonts w:cs="Open Sans"/>
          <w:i/>
        </w:rPr>
        <w:t>‘Relevant objectives’</w:t>
      </w:r>
      <w:bookmarkEnd w:id="81"/>
      <w:bookmarkEnd w:id="82"/>
    </w:p>
    <w:p w14:paraId="2AA1A305" w14:textId="785F0348" w:rsidR="00CE04D1" w:rsidRPr="00AA1A20" w:rsidRDefault="00CE04D1" w:rsidP="006253F3">
      <w:pPr>
        <w:pStyle w:val="ListNumber"/>
        <w:tabs>
          <w:tab w:val="clear" w:pos="360"/>
          <w:tab w:val="num" w:pos="993"/>
          <w:tab w:val="left" w:pos="1418"/>
        </w:tabs>
        <w:ind w:left="709" w:hanging="567"/>
        <w:rPr>
          <w:rFonts w:cs="Open Sans"/>
        </w:rPr>
      </w:pPr>
      <w:r w:rsidRPr="00AA1A20">
        <w:rPr>
          <w:rFonts w:cs="Open Sans"/>
        </w:rPr>
        <w:t>The Commission is concerned that the relevant objectives that enliven the giving of requests or notices for assistance are overly broad.</w:t>
      </w:r>
    </w:p>
    <w:p w14:paraId="15F7C4F8" w14:textId="6B8C2AD7" w:rsidR="00CE04D1" w:rsidRPr="00AA1A20" w:rsidRDefault="00CE04D1" w:rsidP="006253F3">
      <w:pPr>
        <w:pStyle w:val="ListNumber"/>
        <w:tabs>
          <w:tab w:val="clear" w:pos="360"/>
          <w:tab w:val="num" w:pos="993"/>
          <w:tab w:val="left" w:pos="1418"/>
        </w:tabs>
        <w:ind w:left="709" w:hanging="567"/>
        <w:rPr>
          <w:rFonts w:cs="Open Sans"/>
        </w:rPr>
      </w:pPr>
      <w:r w:rsidRPr="00AA1A20">
        <w:rPr>
          <w:rFonts w:cs="Open Sans"/>
        </w:rPr>
        <w:t>A decision maker can issue a voluntary TAR to ensure that a provider is capable of giving help or can help the relevant agency in relation to the performance of a function or exercise of a power conferred by or under law ‘so far as the function or power relates to a relevant objective’, or matters ancillary or incidental.</w:t>
      </w:r>
      <w:r w:rsidRPr="00DF3B57">
        <w:rPr>
          <w:rStyle w:val="EndnoteReference"/>
          <w:vertAlign w:val="superscript"/>
        </w:rPr>
        <w:endnoteReference w:id="89"/>
      </w:r>
      <w:r w:rsidRPr="00AA1A20">
        <w:rPr>
          <w:rFonts w:cs="Open Sans"/>
        </w:rPr>
        <w:t xml:space="preserve"> </w:t>
      </w:r>
    </w:p>
    <w:p w14:paraId="5D4C22E0" w14:textId="77777777" w:rsidR="00CE04D1" w:rsidRPr="00AA1A20" w:rsidRDefault="00CE04D1" w:rsidP="006253F3">
      <w:pPr>
        <w:pStyle w:val="ListNumber"/>
        <w:tabs>
          <w:tab w:val="clear" w:pos="360"/>
          <w:tab w:val="num" w:pos="993"/>
          <w:tab w:val="left" w:pos="1418"/>
        </w:tabs>
        <w:ind w:left="709" w:hanging="567"/>
        <w:rPr>
          <w:rFonts w:cs="Open Sans"/>
        </w:rPr>
      </w:pPr>
      <w:r w:rsidRPr="00AA1A20">
        <w:rPr>
          <w:rFonts w:cs="Open Sans"/>
        </w:rPr>
        <w:t>Proposed s 317G(5) defines ‘relevant objective’ for TARs to mean:</w:t>
      </w:r>
    </w:p>
    <w:p w14:paraId="4CE2E1D6" w14:textId="77777777" w:rsidR="00CE04D1" w:rsidRPr="00AA1A20" w:rsidRDefault="00CE04D1" w:rsidP="006253F3">
      <w:pPr>
        <w:pStyle w:val="EndnoteText"/>
        <w:rPr>
          <w:rFonts w:cs="Open Sans"/>
        </w:rPr>
      </w:pPr>
      <w:r w:rsidRPr="00AA1A20">
        <w:rPr>
          <w:rFonts w:cs="Open Sans"/>
        </w:rPr>
        <w:lastRenderedPageBreak/>
        <w:t xml:space="preserve">(a) </w:t>
      </w:r>
      <w:proofErr w:type="gramStart"/>
      <w:r w:rsidRPr="00AA1A20">
        <w:rPr>
          <w:rFonts w:cs="Open Sans"/>
        </w:rPr>
        <w:t>enforcing</w:t>
      </w:r>
      <w:proofErr w:type="gramEnd"/>
      <w:r w:rsidRPr="00AA1A20">
        <w:rPr>
          <w:rFonts w:cs="Open Sans"/>
        </w:rPr>
        <w:t xml:space="preserve"> the criminal law and laws imposing pecuniary penalties; or</w:t>
      </w:r>
    </w:p>
    <w:p w14:paraId="36FEAF40" w14:textId="77777777" w:rsidR="00CE04D1" w:rsidRPr="00AA1A20" w:rsidRDefault="00CE04D1" w:rsidP="006253F3">
      <w:pPr>
        <w:pStyle w:val="EndnoteText"/>
        <w:rPr>
          <w:rFonts w:cs="Open Sans"/>
        </w:rPr>
      </w:pPr>
      <w:r w:rsidRPr="00AA1A20">
        <w:rPr>
          <w:rFonts w:cs="Open Sans"/>
        </w:rPr>
        <w:t>(b)</w:t>
      </w:r>
      <w:r w:rsidRPr="00AA1A20">
        <w:rPr>
          <w:rFonts w:cs="Open Sans"/>
        </w:rPr>
        <w:tab/>
      </w:r>
      <w:proofErr w:type="gramStart"/>
      <w:r w:rsidRPr="00AA1A20">
        <w:rPr>
          <w:rFonts w:cs="Open Sans"/>
        </w:rPr>
        <w:t>assisting</w:t>
      </w:r>
      <w:proofErr w:type="gramEnd"/>
      <w:r w:rsidRPr="00AA1A20">
        <w:rPr>
          <w:rFonts w:cs="Open Sans"/>
        </w:rPr>
        <w:t xml:space="preserve"> the enforcement of the criminal laws in force in a foreign country; or</w:t>
      </w:r>
    </w:p>
    <w:p w14:paraId="6396024A" w14:textId="77777777" w:rsidR="00CE04D1" w:rsidRPr="00AA1A20" w:rsidRDefault="00CE04D1" w:rsidP="006253F3">
      <w:pPr>
        <w:pStyle w:val="EndnoteText"/>
        <w:rPr>
          <w:rFonts w:cs="Open Sans"/>
        </w:rPr>
      </w:pPr>
      <w:r w:rsidRPr="00AA1A20">
        <w:rPr>
          <w:rFonts w:cs="Open Sans"/>
        </w:rPr>
        <w:t>(c)</w:t>
      </w:r>
      <w:r w:rsidRPr="00AA1A20">
        <w:rPr>
          <w:rFonts w:cs="Open Sans"/>
        </w:rPr>
        <w:tab/>
      </w:r>
      <w:proofErr w:type="gramStart"/>
      <w:r w:rsidRPr="00AA1A20">
        <w:rPr>
          <w:rFonts w:cs="Open Sans"/>
        </w:rPr>
        <w:t>protecting</w:t>
      </w:r>
      <w:proofErr w:type="gramEnd"/>
      <w:r w:rsidRPr="00AA1A20">
        <w:rPr>
          <w:rFonts w:cs="Open Sans"/>
        </w:rPr>
        <w:t xml:space="preserve"> the public revenue; or </w:t>
      </w:r>
    </w:p>
    <w:p w14:paraId="0CE2BB22" w14:textId="77777777" w:rsidR="00CE04D1" w:rsidRPr="00AA1A20" w:rsidRDefault="00CE04D1" w:rsidP="006253F3">
      <w:pPr>
        <w:pStyle w:val="EndnoteText"/>
        <w:rPr>
          <w:rFonts w:cs="Open Sans"/>
        </w:rPr>
      </w:pPr>
      <w:r w:rsidRPr="00AA1A20">
        <w:rPr>
          <w:rFonts w:cs="Open Sans"/>
        </w:rPr>
        <w:t>(d)</w:t>
      </w:r>
      <w:r w:rsidRPr="00AA1A20">
        <w:rPr>
          <w:rFonts w:cs="Open Sans"/>
        </w:rPr>
        <w:tab/>
      </w:r>
      <w:proofErr w:type="gramStart"/>
      <w:r w:rsidRPr="00AA1A20">
        <w:rPr>
          <w:rFonts w:cs="Open Sans"/>
        </w:rPr>
        <w:t>the</w:t>
      </w:r>
      <w:proofErr w:type="gramEnd"/>
      <w:r w:rsidRPr="00AA1A20">
        <w:rPr>
          <w:rFonts w:cs="Open Sans"/>
        </w:rPr>
        <w:t xml:space="preserve"> interests of Australia’s national security, the interests of Australia’s foreign relations or the interests of Australia’s national economic well-being.</w:t>
      </w:r>
    </w:p>
    <w:p w14:paraId="7131D08E" w14:textId="77777777" w:rsidR="00CE04D1" w:rsidRPr="00AA1A20" w:rsidRDefault="00CE04D1" w:rsidP="006253F3">
      <w:pPr>
        <w:pStyle w:val="ListNumber"/>
        <w:tabs>
          <w:tab w:val="clear" w:pos="360"/>
          <w:tab w:val="num" w:pos="993"/>
          <w:tab w:val="left" w:pos="1418"/>
        </w:tabs>
        <w:ind w:left="709" w:hanging="567"/>
        <w:rPr>
          <w:rFonts w:cs="Open Sans"/>
        </w:rPr>
      </w:pPr>
      <w:r w:rsidRPr="00AA1A20">
        <w:rPr>
          <w:rFonts w:cs="Open Sans"/>
        </w:rPr>
        <w:t>Similarly, proposed s 317L(2)(c) provides that relevant objectives for TANs are:</w:t>
      </w:r>
    </w:p>
    <w:p w14:paraId="1F1AC32F" w14:textId="77777777" w:rsidR="00CE04D1" w:rsidRPr="00AA1A20" w:rsidRDefault="00CE04D1" w:rsidP="006253F3">
      <w:pPr>
        <w:pStyle w:val="EndnoteText"/>
        <w:rPr>
          <w:rFonts w:cs="Open Sans"/>
        </w:rPr>
      </w:pPr>
      <w:r w:rsidRPr="00AA1A20">
        <w:rPr>
          <w:rFonts w:cs="Open Sans"/>
        </w:rPr>
        <w:t>(</w:t>
      </w:r>
      <w:proofErr w:type="spellStart"/>
      <w:r w:rsidRPr="00AA1A20">
        <w:rPr>
          <w:rFonts w:cs="Open Sans"/>
        </w:rPr>
        <w:t>i</w:t>
      </w:r>
      <w:proofErr w:type="spellEnd"/>
      <w:r w:rsidRPr="00AA1A20">
        <w:rPr>
          <w:rFonts w:cs="Open Sans"/>
        </w:rPr>
        <w:t xml:space="preserve">) </w:t>
      </w:r>
      <w:proofErr w:type="gramStart"/>
      <w:r w:rsidRPr="00AA1A20">
        <w:rPr>
          <w:rFonts w:cs="Open Sans"/>
        </w:rPr>
        <w:t>enforcing</w:t>
      </w:r>
      <w:proofErr w:type="gramEnd"/>
      <w:r w:rsidRPr="00AA1A20">
        <w:rPr>
          <w:rFonts w:cs="Open Sans"/>
        </w:rPr>
        <w:t xml:space="preserve"> the criminal law and laws imposing pecuniary penalties; or </w:t>
      </w:r>
    </w:p>
    <w:p w14:paraId="60BEB59E" w14:textId="1C02F8FB" w:rsidR="00CE04D1" w:rsidRPr="00AA1A20" w:rsidRDefault="00CE04D1" w:rsidP="006253F3">
      <w:pPr>
        <w:pStyle w:val="EndnoteText"/>
        <w:rPr>
          <w:rFonts w:cs="Open Sans"/>
        </w:rPr>
      </w:pPr>
      <w:r w:rsidRPr="00AA1A20">
        <w:rPr>
          <w:rFonts w:cs="Open Sans"/>
        </w:rPr>
        <w:t xml:space="preserve">(ii) </w:t>
      </w:r>
      <w:proofErr w:type="gramStart"/>
      <w:r w:rsidRPr="00AA1A20">
        <w:rPr>
          <w:rFonts w:cs="Open Sans"/>
        </w:rPr>
        <w:t>assisting</w:t>
      </w:r>
      <w:proofErr w:type="gramEnd"/>
      <w:r w:rsidRPr="00AA1A20">
        <w:rPr>
          <w:rFonts w:cs="Open Sans"/>
        </w:rPr>
        <w:t xml:space="preserve"> the enforcement of the criminal laws in force in a foreign country; or </w:t>
      </w:r>
    </w:p>
    <w:p w14:paraId="0F4A5C8C" w14:textId="77777777" w:rsidR="00CE04D1" w:rsidRPr="00AA1A20" w:rsidRDefault="00CE04D1" w:rsidP="006253F3">
      <w:pPr>
        <w:pStyle w:val="EndnoteText"/>
        <w:rPr>
          <w:rFonts w:cs="Open Sans"/>
        </w:rPr>
      </w:pPr>
      <w:r w:rsidRPr="00AA1A20">
        <w:rPr>
          <w:rFonts w:cs="Open Sans"/>
        </w:rPr>
        <w:t xml:space="preserve">(iii) </w:t>
      </w:r>
      <w:proofErr w:type="gramStart"/>
      <w:r w:rsidRPr="00AA1A20">
        <w:rPr>
          <w:rFonts w:cs="Open Sans"/>
        </w:rPr>
        <w:t>protecting</w:t>
      </w:r>
      <w:proofErr w:type="gramEnd"/>
      <w:r w:rsidRPr="00AA1A20">
        <w:rPr>
          <w:rFonts w:cs="Open Sans"/>
        </w:rPr>
        <w:t xml:space="preserve"> the public revenue; or </w:t>
      </w:r>
    </w:p>
    <w:p w14:paraId="32CD1AC9" w14:textId="77777777" w:rsidR="00CE04D1" w:rsidRPr="00AA1A20" w:rsidRDefault="00CE04D1" w:rsidP="006253F3">
      <w:pPr>
        <w:pStyle w:val="EndnoteText"/>
        <w:rPr>
          <w:rFonts w:cs="Open Sans"/>
        </w:rPr>
      </w:pPr>
      <w:r w:rsidRPr="00AA1A20">
        <w:rPr>
          <w:rFonts w:cs="Open Sans"/>
        </w:rPr>
        <w:t xml:space="preserve">(iv) </w:t>
      </w:r>
      <w:proofErr w:type="gramStart"/>
      <w:r w:rsidRPr="00AA1A20">
        <w:rPr>
          <w:rFonts w:cs="Open Sans"/>
        </w:rPr>
        <w:t>safeguarding</w:t>
      </w:r>
      <w:proofErr w:type="gramEnd"/>
      <w:r w:rsidRPr="00AA1A20">
        <w:rPr>
          <w:rFonts w:cs="Open Sans"/>
        </w:rPr>
        <w:t xml:space="preserve"> national security …</w:t>
      </w:r>
    </w:p>
    <w:p w14:paraId="01896624" w14:textId="77777777" w:rsidR="00CE04D1" w:rsidRPr="00AA1A20" w:rsidRDefault="00CE04D1" w:rsidP="006253F3">
      <w:pPr>
        <w:pStyle w:val="ListNumber"/>
        <w:tabs>
          <w:tab w:val="clear" w:pos="360"/>
          <w:tab w:val="num" w:pos="993"/>
          <w:tab w:val="left" w:pos="1418"/>
        </w:tabs>
        <w:ind w:left="709" w:hanging="567"/>
        <w:rPr>
          <w:rFonts w:cs="Open Sans"/>
          <w:sz w:val="20"/>
          <w:szCs w:val="20"/>
        </w:rPr>
      </w:pPr>
      <w:r w:rsidRPr="00AA1A20">
        <w:rPr>
          <w:rFonts w:cs="Open Sans"/>
        </w:rPr>
        <w:t>Proposed s 317T(3) defines ‘relevant objective’ for TCNs to mean:</w:t>
      </w:r>
    </w:p>
    <w:p w14:paraId="0F2033BF" w14:textId="77777777" w:rsidR="00CE04D1" w:rsidRPr="00AA1A20" w:rsidRDefault="00CE04D1" w:rsidP="006253F3">
      <w:pPr>
        <w:pStyle w:val="EndnoteText"/>
        <w:rPr>
          <w:rFonts w:cs="Open Sans"/>
        </w:rPr>
      </w:pPr>
      <w:r w:rsidRPr="00AA1A20">
        <w:rPr>
          <w:rFonts w:cs="Open Sans"/>
        </w:rPr>
        <w:t xml:space="preserve">(a) </w:t>
      </w:r>
      <w:proofErr w:type="gramStart"/>
      <w:r w:rsidRPr="00AA1A20">
        <w:rPr>
          <w:rFonts w:cs="Open Sans"/>
        </w:rPr>
        <w:t>enforcing</w:t>
      </w:r>
      <w:proofErr w:type="gramEnd"/>
      <w:r w:rsidRPr="00AA1A20">
        <w:rPr>
          <w:rFonts w:cs="Open Sans"/>
        </w:rPr>
        <w:t xml:space="preserve"> the criminal law and laws imposing pecuniary penalties; or </w:t>
      </w:r>
    </w:p>
    <w:p w14:paraId="616DD07F" w14:textId="77777777" w:rsidR="00CE04D1" w:rsidRPr="00AA1A20" w:rsidRDefault="00CE04D1" w:rsidP="006253F3">
      <w:pPr>
        <w:pStyle w:val="EndnoteText"/>
        <w:rPr>
          <w:rFonts w:cs="Open Sans"/>
        </w:rPr>
      </w:pPr>
      <w:r w:rsidRPr="00AA1A20">
        <w:rPr>
          <w:rFonts w:cs="Open Sans"/>
        </w:rPr>
        <w:t xml:space="preserve">(b) </w:t>
      </w:r>
      <w:proofErr w:type="gramStart"/>
      <w:r w:rsidRPr="00AA1A20">
        <w:rPr>
          <w:rFonts w:cs="Open Sans"/>
        </w:rPr>
        <w:t>assisting</w:t>
      </w:r>
      <w:proofErr w:type="gramEnd"/>
      <w:r w:rsidRPr="00AA1A20">
        <w:rPr>
          <w:rFonts w:cs="Open Sans"/>
        </w:rPr>
        <w:t xml:space="preserve"> the enforcement of the criminal laws in force in a foreign country; or </w:t>
      </w:r>
    </w:p>
    <w:p w14:paraId="4CE480A0" w14:textId="77777777" w:rsidR="00CE04D1" w:rsidRPr="00AA1A20" w:rsidRDefault="00CE04D1" w:rsidP="006253F3">
      <w:pPr>
        <w:pStyle w:val="EndnoteText"/>
        <w:rPr>
          <w:rFonts w:cs="Open Sans"/>
        </w:rPr>
      </w:pPr>
      <w:r w:rsidRPr="00AA1A20">
        <w:rPr>
          <w:rFonts w:cs="Open Sans"/>
        </w:rPr>
        <w:t xml:space="preserve">(c) </w:t>
      </w:r>
      <w:proofErr w:type="gramStart"/>
      <w:r w:rsidRPr="00AA1A20">
        <w:rPr>
          <w:rFonts w:cs="Open Sans"/>
        </w:rPr>
        <w:t>protecting</w:t>
      </w:r>
      <w:proofErr w:type="gramEnd"/>
      <w:r w:rsidRPr="00AA1A20">
        <w:rPr>
          <w:rFonts w:cs="Open Sans"/>
        </w:rPr>
        <w:t xml:space="preserve"> the public revenue; or</w:t>
      </w:r>
    </w:p>
    <w:p w14:paraId="75274C3E" w14:textId="77777777" w:rsidR="00CE04D1" w:rsidRPr="00AA1A20" w:rsidRDefault="00CE04D1" w:rsidP="006253F3">
      <w:pPr>
        <w:pStyle w:val="EndnoteText"/>
        <w:rPr>
          <w:rFonts w:cs="Open Sans"/>
        </w:rPr>
      </w:pPr>
      <w:r w:rsidRPr="00AA1A20">
        <w:rPr>
          <w:rFonts w:cs="Open Sans"/>
        </w:rPr>
        <w:t xml:space="preserve">(d) </w:t>
      </w:r>
      <w:proofErr w:type="gramStart"/>
      <w:r w:rsidRPr="00AA1A20">
        <w:rPr>
          <w:rFonts w:cs="Open Sans"/>
        </w:rPr>
        <w:t>safeguarding</w:t>
      </w:r>
      <w:proofErr w:type="gramEnd"/>
      <w:r w:rsidRPr="00AA1A20">
        <w:rPr>
          <w:rFonts w:cs="Open Sans"/>
        </w:rPr>
        <w:t xml:space="preserve"> national security.</w:t>
      </w:r>
    </w:p>
    <w:p w14:paraId="7FA4E9B8" w14:textId="633D67F6"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 xml:space="preserve">The explanatory document highlights that the assistance powers </w:t>
      </w:r>
      <w:proofErr w:type="gramStart"/>
      <w:r w:rsidRPr="00AA1A20">
        <w:rPr>
          <w:rFonts w:cs="Open Sans"/>
        </w:rPr>
        <w:t>will be used</w:t>
      </w:r>
      <w:proofErr w:type="gramEnd"/>
      <w:r w:rsidRPr="00AA1A20">
        <w:rPr>
          <w:rFonts w:cs="Open Sans"/>
        </w:rPr>
        <w:t xml:space="preserve"> for national security and law enforcement purposes. However, the Commission notes that the relevant objectives for assistance requests cover a large range of contexts that do not appear to relate to serious crime, including ‘the interests of Australia’s national economic well-being’. Further, ‘protecting the public revenue’ is a relevant objective for TARs, TANs and TCNs. This term </w:t>
      </w:r>
      <w:proofErr w:type="gramStart"/>
      <w:r w:rsidRPr="00AA1A20">
        <w:rPr>
          <w:rFonts w:cs="Open Sans"/>
        </w:rPr>
        <w:t>is not defined</w:t>
      </w:r>
      <w:proofErr w:type="gramEnd"/>
      <w:r w:rsidRPr="00AA1A20">
        <w:rPr>
          <w:rFonts w:cs="Open Sans"/>
        </w:rPr>
        <w:t xml:space="preserve"> in the draft Bill. The explanatory document states that these objectives cover matters such as tax evasion, corporate misconduct and debt recovery actions.</w:t>
      </w:r>
      <w:r w:rsidRPr="00DF3B57">
        <w:rPr>
          <w:rStyle w:val="EndnoteReference"/>
          <w:vertAlign w:val="superscript"/>
        </w:rPr>
        <w:endnoteReference w:id="90"/>
      </w:r>
      <w:r w:rsidRPr="00AA1A20">
        <w:rPr>
          <w:rFonts w:cs="Open Sans"/>
        </w:rPr>
        <w:t xml:space="preserve"> </w:t>
      </w:r>
    </w:p>
    <w:p w14:paraId="27D4B822" w14:textId="06151F7E" w:rsidR="00CE04D1" w:rsidRPr="00AA1A20" w:rsidRDefault="00CE04D1" w:rsidP="006F3486">
      <w:pPr>
        <w:pStyle w:val="ListNumber"/>
        <w:tabs>
          <w:tab w:val="clear" w:pos="360"/>
          <w:tab w:val="num" w:pos="993"/>
          <w:tab w:val="left" w:pos="1418"/>
        </w:tabs>
        <w:ind w:left="709" w:hanging="567"/>
        <w:rPr>
          <w:rFonts w:cs="Open Sans"/>
        </w:rPr>
      </w:pPr>
      <w:r w:rsidRPr="00AA1A20">
        <w:rPr>
          <w:rFonts w:cs="Open Sans"/>
        </w:rPr>
        <w:t xml:space="preserve">Restrictions on human rights are only permissible when they are proportionate to achieving a legitimate objective. While measures that significantly limit human rights may be permissible to protect national security, it is much more difficult to establish that they will be proportionate to achieving comparatively less important and pressing objectives such as debt recovery. The Commission considers that ‘the interests of Australia’s national economic well-being’, and ‘protecting the public revenue’, are so broad that they could be said to include matters that are of less importance than the protection of basic human rights. </w:t>
      </w:r>
      <w:r w:rsidRPr="00AA1A20">
        <w:rPr>
          <w:rFonts w:cs="Open Sans"/>
        </w:rPr>
        <w:lastRenderedPageBreak/>
        <w:t xml:space="preserve">They </w:t>
      </w:r>
      <w:proofErr w:type="gramStart"/>
      <w:r w:rsidRPr="00AA1A20">
        <w:rPr>
          <w:rFonts w:cs="Open Sans"/>
        </w:rPr>
        <w:t>have not been demonstrated</w:t>
      </w:r>
      <w:proofErr w:type="gramEnd"/>
      <w:r w:rsidRPr="00AA1A20">
        <w:rPr>
          <w:rFonts w:cs="Open Sans"/>
        </w:rPr>
        <w:t xml:space="preserve"> to require the significant restrictions on human rights entailed by assistance request and notices.</w:t>
      </w:r>
    </w:p>
    <w:p w14:paraId="7E2ADF2D" w14:textId="7365D7A6"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 xml:space="preserve">Further, insufficient justification </w:t>
      </w:r>
      <w:proofErr w:type="gramStart"/>
      <w:r w:rsidRPr="00AA1A20">
        <w:rPr>
          <w:rFonts w:cs="Open Sans"/>
        </w:rPr>
        <w:t>has been given</w:t>
      </w:r>
      <w:proofErr w:type="gramEnd"/>
      <w:r w:rsidRPr="00AA1A20">
        <w:rPr>
          <w:rFonts w:cs="Open Sans"/>
        </w:rPr>
        <w:t xml:space="preserve"> for having a broader list of ‘relevant objectives’ that are applicable to TARs, as compared with compulsory notices. </w:t>
      </w:r>
    </w:p>
    <w:p w14:paraId="77102D11" w14:textId="5F732F8B" w:rsidR="00CE04D1" w:rsidRPr="00AA1A20" w:rsidRDefault="00CE04D1" w:rsidP="00B01B87">
      <w:pPr>
        <w:pStyle w:val="ListNumber"/>
        <w:tabs>
          <w:tab w:val="clear" w:pos="360"/>
          <w:tab w:val="num" w:pos="993"/>
          <w:tab w:val="left" w:pos="1418"/>
        </w:tabs>
        <w:ind w:left="709" w:hanging="567"/>
        <w:rPr>
          <w:rFonts w:cs="Open Sans"/>
        </w:rPr>
      </w:pPr>
      <w:r w:rsidRPr="00AA1A20">
        <w:rPr>
          <w:rFonts w:cs="Open Sans"/>
        </w:rPr>
        <w:t xml:space="preserve">The human rights impacts on those whose data is accessed, in particular the significant intrusions into their privacy, is the same regardless of whether an assistance measure is voluntary or mandatory as regards the entity that holds this data. In the Commission’s view, it is appropriate for the same thresholds to be applicable to both requests and notices. </w:t>
      </w:r>
    </w:p>
    <w:p w14:paraId="420DE4CA" w14:textId="77777777" w:rsidR="00CE04D1" w:rsidRPr="00AA1A20" w:rsidRDefault="00CE04D1" w:rsidP="00195434">
      <w:pPr>
        <w:pStyle w:val="ListNumber"/>
        <w:tabs>
          <w:tab w:val="clear" w:pos="360"/>
          <w:tab w:val="num" w:pos="993"/>
          <w:tab w:val="left" w:pos="1418"/>
        </w:tabs>
        <w:ind w:left="709" w:hanging="567"/>
        <w:rPr>
          <w:rFonts w:cs="Open Sans"/>
        </w:rPr>
      </w:pPr>
      <w:r w:rsidRPr="00AA1A20">
        <w:rPr>
          <w:rFonts w:cs="Open Sans"/>
        </w:rPr>
        <w:t>The Commission recommends that:</w:t>
      </w:r>
    </w:p>
    <w:p w14:paraId="34B032C9" w14:textId="77777777" w:rsidR="00CE04D1" w:rsidRPr="00AA1A20" w:rsidRDefault="00CE04D1" w:rsidP="00C92A33">
      <w:pPr>
        <w:pStyle w:val="ListNumber"/>
        <w:numPr>
          <w:ilvl w:val="0"/>
          <w:numId w:val="0"/>
        </w:numPr>
        <w:tabs>
          <w:tab w:val="left" w:pos="1418"/>
        </w:tabs>
        <w:ind w:left="709"/>
        <w:rPr>
          <w:rFonts w:cs="Open Sans"/>
          <w:b/>
        </w:rPr>
      </w:pPr>
      <w:r w:rsidRPr="00AA1A20">
        <w:rPr>
          <w:rFonts w:cs="Open Sans"/>
          <w:b/>
        </w:rPr>
        <w:t xml:space="preserve">Recommendation 8 </w:t>
      </w:r>
    </w:p>
    <w:p w14:paraId="655D67EF" w14:textId="17F1DCCC" w:rsidR="00CE04D1" w:rsidRPr="00AA1A20" w:rsidRDefault="00CE04D1" w:rsidP="00C92A33">
      <w:pPr>
        <w:pStyle w:val="ListNumber"/>
        <w:numPr>
          <w:ilvl w:val="0"/>
          <w:numId w:val="0"/>
        </w:numPr>
        <w:tabs>
          <w:tab w:val="left" w:pos="1418"/>
        </w:tabs>
        <w:ind w:left="709"/>
        <w:rPr>
          <w:rFonts w:cs="Open Sans"/>
        </w:rPr>
      </w:pPr>
      <w:r w:rsidRPr="00AA1A20">
        <w:rPr>
          <w:rFonts w:cs="Open Sans"/>
        </w:rPr>
        <w:t>Proposed ss 317G(5)(a), 317L(2)(c)(</w:t>
      </w:r>
      <w:proofErr w:type="spellStart"/>
      <w:r w:rsidRPr="00AA1A20">
        <w:rPr>
          <w:rFonts w:cs="Open Sans"/>
        </w:rPr>
        <w:t>i</w:t>
      </w:r>
      <w:proofErr w:type="spellEnd"/>
      <w:r w:rsidRPr="00AA1A20">
        <w:rPr>
          <w:rFonts w:cs="Open Sans"/>
        </w:rPr>
        <w:t xml:space="preserve">), 317T(3)(a) of the </w:t>
      </w:r>
      <w:r w:rsidRPr="00AA1A20">
        <w:rPr>
          <w:rFonts w:cs="Open Sans"/>
          <w:i/>
        </w:rPr>
        <w:t xml:space="preserve">Telecommunications Act 1997 </w:t>
      </w:r>
      <w:r w:rsidRPr="00AA1A20">
        <w:rPr>
          <w:rFonts w:cs="Open Sans"/>
        </w:rPr>
        <w:t>(Cth) be amended to limit the relevant objectives that permit the giving or varying of a TAR, TAN or TCN to those related to serious crimes under Australian law.</w:t>
      </w:r>
    </w:p>
    <w:p w14:paraId="6C3A7FFF" w14:textId="77777777" w:rsidR="00CE04D1" w:rsidRPr="00AA1A20" w:rsidRDefault="00CE04D1" w:rsidP="00C92A33">
      <w:pPr>
        <w:pStyle w:val="ListNumber"/>
        <w:numPr>
          <w:ilvl w:val="0"/>
          <w:numId w:val="0"/>
        </w:numPr>
        <w:tabs>
          <w:tab w:val="left" w:pos="1418"/>
        </w:tabs>
        <w:ind w:left="709"/>
        <w:rPr>
          <w:rFonts w:cs="Open Sans"/>
          <w:b/>
        </w:rPr>
      </w:pPr>
      <w:r w:rsidRPr="00AA1A20">
        <w:rPr>
          <w:rFonts w:cs="Open Sans"/>
          <w:b/>
        </w:rPr>
        <w:t xml:space="preserve">Recommendation 9 </w:t>
      </w:r>
    </w:p>
    <w:p w14:paraId="1DB53B4A" w14:textId="1C89C440" w:rsidR="00CE04D1" w:rsidRPr="00AA1A20" w:rsidRDefault="00CE04D1" w:rsidP="00C92A33">
      <w:pPr>
        <w:pStyle w:val="ListNumber"/>
        <w:numPr>
          <w:ilvl w:val="0"/>
          <w:numId w:val="0"/>
        </w:numPr>
        <w:tabs>
          <w:tab w:val="left" w:pos="1418"/>
        </w:tabs>
        <w:ind w:left="709"/>
        <w:rPr>
          <w:rFonts w:cs="Open Sans"/>
        </w:rPr>
      </w:pPr>
      <w:r w:rsidRPr="00AA1A20">
        <w:rPr>
          <w:rFonts w:cs="Open Sans"/>
        </w:rPr>
        <w:t>Proposed s </w:t>
      </w:r>
      <w:proofErr w:type="gramStart"/>
      <w:r w:rsidRPr="00AA1A20">
        <w:rPr>
          <w:rFonts w:cs="Open Sans"/>
        </w:rPr>
        <w:t>317G(</w:t>
      </w:r>
      <w:proofErr w:type="gramEnd"/>
      <w:r w:rsidRPr="00AA1A20">
        <w:rPr>
          <w:rFonts w:cs="Open Sans"/>
        </w:rPr>
        <w:t xml:space="preserve">5) of the </w:t>
      </w:r>
      <w:r w:rsidRPr="00AA1A20">
        <w:rPr>
          <w:rFonts w:cs="Open Sans"/>
          <w:i/>
        </w:rPr>
        <w:t xml:space="preserve">Telecommunications Act 1997 </w:t>
      </w:r>
      <w:r w:rsidRPr="00AA1A20">
        <w:rPr>
          <w:rFonts w:cs="Open Sans"/>
        </w:rPr>
        <w:t>(Cth) be amended to align the ‘relevant objectives’ applicable to TARs with those applicable to TANs and TCNs.</w:t>
      </w:r>
    </w:p>
    <w:p w14:paraId="716BE8DC" w14:textId="250EE1F5" w:rsidR="00CE04D1" w:rsidRPr="00AA1A20" w:rsidRDefault="00CE04D1" w:rsidP="00195434">
      <w:pPr>
        <w:pStyle w:val="Heading3"/>
        <w:rPr>
          <w:rFonts w:cs="Open Sans"/>
          <w:i/>
        </w:rPr>
      </w:pPr>
      <w:bookmarkStart w:id="83" w:name="_Toc524352509"/>
      <w:r w:rsidRPr="00AA1A20">
        <w:rPr>
          <w:rFonts w:cs="Open Sans"/>
          <w:i/>
        </w:rPr>
        <w:t>‘Decision-making criteria’</w:t>
      </w:r>
      <w:bookmarkEnd w:id="83"/>
    </w:p>
    <w:p w14:paraId="53D1291F" w14:textId="6F907B51" w:rsidR="00CE04D1" w:rsidRPr="00AA1A20" w:rsidRDefault="00CE04D1" w:rsidP="00695FBB">
      <w:pPr>
        <w:pStyle w:val="ListNumber"/>
        <w:tabs>
          <w:tab w:val="clear" w:pos="360"/>
          <w:tab w:val="num" w:pos="993"/>
          <w:tab w:val="left" w:pos="1418"/>
        </w:tabs>
        <w:ind w:left="709" w:hanging="567"/>
        <w:rPr>
          <w:rFonts w:cs="Open Sans"/>
        </w:rPr>
      </w:pPr>
      <w:r w:rsidRPr="00AA1A20">
        <w:rPr>
          <w:rFonts w:cs="Open Sans"/>
        </w:rPr>
        <w:t>Proposed ss 317P, 317Q(10), 317V and 317X(4) provide that, before giving or varying a TAN or TCN, a decision maker must be ‘satisfied’ that certain criteria are met as follows:</w:t>
      </w:r>
    </w:p>
    <w:p w14:paraId="1A236501" w14:textId="77777777" w:rsidR="00CE04D1" w:rsidRPr="00AA1A20" w:rsidRDefault="00CE04D1" w:rsidP="00032D23">
      <w:pPr>
        <w:pStyle w:val="Bullet"/>
        <w:tabs>
          <w:tab w:val="clear" w:pos="360"/>
          <w:tab w:val="num" w:pos="1560"/>
        </w:tabs>
        <w:ind w:left="1287" w:hanging="567"/>
        <w:rPr>
          <w:rFonts w:cs="Open Sans"/>
        </w:rPr>
      </w:pPr>
      <w:r w:rsidRPr="00AA1A20">
        <w:rPr>
          <w:rFonts w:cs="Open Sans"/>
        </w:rPr>
        <w:t>the requirements imposed are reasonable and proportionate</w:t>
      </w:r>
    </w:p>
    <w:p w14:paraId="5AE68990" w14:textId="77777777" w:rsidR="00CE04D1" w:rsidRPr="00AA1A20" w:rsidRDefault="00CE04D1" w:rsidP="00032D23">
      <w:pPr>
        <w:pStyle w:val="Bullet"/>
        <w:tabs>
          <w:tab w:val="clear" w:pos="360"/>
          <w:tab w:val="num" w:pos="1560"/>
        </w:tabs>
        <w:ind w:left="1287" w:hanging="567"/>
        <w:rPr>
          <w:rFonts w:cs="Open Sans"/>
        </w:rPr>
      </w:pPr>
      <w:proofErr w:type="gramStart"/>
      <w:r w:rsidRPr="00AA1A20">
        <w:rPr>
          <w:rFonts w:cs="Open Sans"/>
        </w:rPr>
        <w:t>compliance</w:t>
      </w:r>
      <w:proofErr w:type="gramEnd"/>
      <w:r w:rsidRPr="00AA1A20">
        <w:rPr>
          <w:rFonts w:cs="Open Sans"/>
        </w:rPr>
        <w:t xml:space="preserve"> is practicable and technically feasible.</w:t>
      </w:r>
    </w:p>
    <w:p w14:paraId="59384DFA" w14:textId="3B929CAF"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The explanatory document states that relevant considerations under these criteria include:</w:t>
      </w:r>
    </w:p>
    <w:p w14:paraId="6014428A" w14:textId="400766CF" w:rsidR="00CE04D1" w:rsidRPr="00AA1A20" w:rsidRDefault="00CE04D1" w:rsidP="00347E07">
      <w:pPr>
        <w:pStyle w:val="EndnoteText"/>
        <w:rPr>
          <w:rFonts w:cs="Open Sans"/>
        </w:rPr>
      </w:pPr>
      <w:r w:rsidRPr="00AA1A20">
        <w:rPr>
          <w:rFonts w:cs="Open Sans"/>
        </w:rPr>
        <w:t>[That] the decision-maker must evaluate the individual circumstances of each notice. In deciding whether a notice is reasonable and proportionate, it is necessary for the decision-maker to consider both the interests of the agency and the interests of the provider. This includes the objectives of the agency, the availability of other means to reach those objectives, the likely benefits to an investigation and the likely business impact on the provider …</w:t>
      </w:r>
    </w:p>
    <w:p w14:paraId="0449965B" w14:textId="77777777" w:rsidR="00CE04D1" w:rsidRPr="00AA1A20" w:rsidRDefault="00CE04D1" w:rsidP="00347E07">
      <w:pPr>
        <w:pStyle w:val="EndnoteText"/>
        <w:rPr>
          <w:rFonts w:cs="Open Sans"/>
        </w:rPr>
      </w:pPr>
      <w:r w:rsidRPr="00AA1A20">
        <w:rPr>
          <w:rFonts w:cs="Open Sans"/>
        </w:rPr>
        <w:t xml:space="preserve">The decision-maker must also consider wider public interests, such as any impact on privacy, cyber security and innocent third parties. In deciding whether compliance with the notice is practicable and technically feasible, </w:t>
      </w:r>
      <w:r w:rsidRPr="00AA1A20">
        <w:rPr>
          <w:rFonts w:cs="Open Sans"/>
        </w:rPr>
        <w:lastRenderedPageBreak/>
        <w:t xml:space="preserve">the decision-maker must consider the systems utilised by a provider and provider expertise. To be satisfied, the decision-maker would need to consider material information given to the agency by the provider. It </w:t>
      </w:r>
      <w:proofErr w:type="gramStart"/>
      <w:r w:rsidRPr="00AA1A20">
        <w:rPr>
          <w:rFonts w:cs="Open Sans"/>
        </w:rPr>
        <w:t>is expected</w:t>
      </w:r>
      <w:proofErr w:type="gramEnd"/>
      <w:r w:rsidRPr="00AA1A20">
        <w:rPr>
          <w:rFonts w:cs="Open Sans"/>
        </w:rPr>
        <w:t xml:space="preserve"> that the agency would be engaged in a dialogue with the provider prior to issuing a notice. The decision-maker may also make inquiries with other persons who have relevant experience and technical knowledge.</w:t>
      </w:r>
      <w:r w:rsidRPr="00DF3B57">
        <w:rPr>
          <w:rStyle w:val="EndnoteReference"/>
          <w:vertAlign w:val="superscript"/>
        </w:rPr>
        <w:endnoteReference w:id="91"/>
      </w:r>
    </w:p>
    <w:p w14:paraId="61A78877" w14:textId="51151519" w:rsidR="00CE04D1" w:rsidRPr="00AA1A20" w:rsidRDefault="00CE04D1" w:rsidP="003A0A7F">
      <w:pPr>
        <w:pStyle w:val="ListNumber"/>
        <w:tabs>
          <w:tab w:val="clear" w:pos="360"/>
          <w:tab w:val="num" w:pos="993"/>
          <w:tab w:val="left" w:pos="1418"/>
        </w:tabs>
        <w:ind w:left="709" w:hanging="567"/>
        <w:rPr>
          <w:rFonts w:cs="Open Sans"/>
        </w:rPr>
      </w:pPr>
      <w:r w:rsidRPr="00AA1A20">
        <w:rPr>
          <w:rFonts w:cs="Open Sans"/>
        </w:rPr>
        <w:t>However, the draft Bill itself does not set out such considerations as part of the decision-making criteria, in particular the impacts on privacy and other human rights, cyber security and innocent third parties. Such factors are critical to ensuring appropriate considerat</w:t>
      </w:r>
      <w:r w:rsidR="00B65B21">
        <w:rPr>
          <w:rFonts w:cs="Open Sans"/>
        </w:rPr>
        <w:t>ion of human rights in decision-</w:t>
      </w:r>
      <w:r w:rsidRPr="00AA1A20">
        <w:rPr>
          <w:rFonts w:cs="Open Sans"/>
        </w:rPr>
        <w:t xml:space="preserve">making, and should form part of the decision-making criteria that is required under the legislation rather than mere inclusion in explanatory material. </w:t>
      </w:r>
    </w:p>
    <w:p w14:paraId="1619DBF5" w14:textId="0291C93C" w:rsidR="00CE04D1" w:rsidRPr="00AA1A20" w:rsidRDefault="00CE04D1" w:rsidP="003A0A7F">
      <w:pPr>
        <w:pStyle w:val="ListNumber"/>
        <w:tabs>
          <w:tab w:val="clear" w:pos="360"/>
          <w:tab w:val="num" w:pos="993"/>
          <w:tab w:val="left" w:pos="1418"/>
        </w:tabs>
        <w:ind w:left="709" w:hanging="567"/>
        <w:rPr>
          <w:rFonts w:cs="Open Sans"/>
        </w:rPr>
      </w:pPr>
      <w:r w:rsidRPr="00AA1A20">
        <w:rPr>
          <w:rFonts w:cs="Open Sans"/>
        </w:rPr>
        <w:t xml:space="preserve">Legislative entrenchment of decision-making criteria is far more rights protective than its inclusion in extraneous guidance. Even assuming that the passages from the explanatory document set out above were to </w:t>
      </w:r>
      <w:proofErr w:type="gramStart"/>
      <w:r w:rsidRPr="00AA1A20">
        <w:rPr>
          <w:rFonts w:cs="Open Sans"/>
        </w:rPr>
        <w:t>be reproduced</w:t>
      </w:r>
      <w:proofErr w:type="gramEnd"/>
      <w:r w:rsidRPr="00AA1A20">
        <w:rPr>
          <w:rFonts w:cs="Open Sans"/>
        </w:rPr>
        <w:t xml:space="preserve"> in an explanatory memorandum, explanatory memoranda do not form part of the legislation. They are not binding, and indeed </w:t>
      </w:r>
      <w:proofErr w:type="gramStart"/>
      <w:r w:rsidRPr="00AA1A20">
        <w:rPr>
          <w:rFonts w:cs="Open Sans"/>
        </w:rPr>
        <w:t>may only be referred</w:t>
      </w:r>
      <w:proofErr w:type="gramEnd"/>
      <w:r w:rsidRPr="00AA1A20">
        <w:rPr>
          <w:rFonts w:cs="Open Sans"/>
        </w:rPr>
        <w:t xml:space="preserve"> to by courts interpreting legislation where the meaning of a particular provision is considered ambiguous.</w:t>
      </w:r>
    </w:p>
    <w:p w14:paraId="7917F0A3" w14:textId="2DE1A63D"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 xml:space="preserve">Further, while the explanatory document states that safeguards will </w:t>
      </w:r>
      <w:r w:rsidRPr="00AA1A20">
        <w:rPr>
          <w:rFonts w:cs="Open Sans"/>
          <w:lang w:val="en-US"/>
        </w:rPr>
        <w:t xml:space="preserve">ensure that ‘agency powers are utilised only where </w:t>
      </w:r>
      <w:r w:rsidRPr="00AA1A20">
        <w:rPr>
          <w:rFonts w:cs="Open Sans"/>
          <w:i/>
          <w:lang w:val="en-US"/>
        </w:rPr>
        <w:t xml:space="preserve">necessary </w:t>
      </w:r>
      <w:r w:rsidRPr="00AA1A20">
        <w:rPr>
          <w:rFonts w:cs="Open Sans"/>
          <w:lang w:val="en-US"/>
        </w:rPr>
        <w:t>for core law enforcement and security functions’</w:t>
      </w:r>
      <w:r w:rsidRPr="00AA1A20">
        <w:rPr>
          <w:rFonts w:cs="Open Sans"/>
        </w:rPr>
        <w:t>,</w:t>
      </w:r>
      <w:r w:rsidRPr="00DF3B57">
        <w:rPr>
          <w:rStyle w:val="EndnoteReference"/>
          <w:vertAlign w:val="superscript"/>
        </w:rPr>
        <w:endnoteReference w:id="92"/>
      </w:r>
      <w:r w:rsidRPr="00AA1A20">
        <w:rPr>
          <w:rFonts w:cs="Open Sans"/>
        </w:rPr>
        <w:t xml:space="preserve"> the </w:t>
      </w:r>
      <w:r w:rsidRPr="00AA1A20">
        <w:rPr>
          <w:rFonts w:cs="Open Sans"/>
          <w:i/>
        </w:rPr>
        <w:t xml:space="preserve">necessity </w:t>
      </w:r>
      <w:r w:rsidRPr="00AA1A20">
        <w:rPr>
          <w:rFonts w:cs="Open Sans"/>
        </w:rPr>
        <w:t>of a notice is not a specified mandatory consideration for the issue of that notice. As discussed above, a measure that limits human rights cannot be justified unless it is necessary.</w:t>
      </w:r>
      <w:r w:rsidRPr="00DF3B57">
        <w:rPr>
          <w:rStyle w:val="EndnoteReference"/>
          <w:vertAlign w:val="superscript"/>
        </w:rPr>
        <w:endnoteReference w:id="93"/>
      </w:r>
    </w:p>
    <w:p w14:paraId="2677849E" w14:textId="44B348C8" w:rsidR="00CE04D1" w:rsidRPr="00AA1A20" w:rsidRDefault="00CE04D1" w:rsidP="00C56EB4">
      <w:pPr>
        <w:pStyle w:val="ListNumber"/>
        <w:tabs>
          <w:tab w:val="clear" w:pos="360"/>
          <w:tab w:val="num" w:pos="993"/>
          <w:tab w:val="left" w:pos="1418"/>
        </w:tabs>
        <w:ind w:left="709" w:hanging="567"/>
        <w:rPr>
          <w:rFonts w:cs="Open Sans"/>
        </w:rPr>
      </w:pPr>
      <w:r w:rsidRPr="00AA1A20">
        <w:rPr>
          <w:rFonts w:cs="Open Sans"/>
        </w:rPr>
        <w:t>Inclusion of necessity in the decision-making criteria will substantially enhance the compliance of the scheme with Australia’s international human rights law obligations, especially if combined with a complementary requirement to consider the impact on the human rights of affected persons, such as their right to privacy.</w:t>
      </w:r>
    </w:p>
    <w:p w14:paraId="001B925D" w14:textId="0EE941C5" w:rsidR="00CE04D1" w:rsidRPr="00AA1A20" w:rsidRDefault="00CE04D1" w:rsidP="00C56EB4">
      <w:pPr>
        <w:pStyle w:val="ListNumber"/>
        <w:tabs>
          <w:tab w:val="clear" w:pos="360"/>
          <w:tab w:val="num" w:pos="993"/>
          <w:tab w:val="left" w:pos="1418"/>
        </w:tabs>
        <w:ind w:left="709" w:hanging="567"/>
        <w:rPr>
          <w:rFonts w:cs="Open Sans"/>
        </w:rPr>
      </w:pPr>
      <w:r w:rsidRPr="00AA1A20">
        <w:rPr>
          <w:rFonts w:cs="Open Sans"/>
        </w:rPr>
        <w:t xml:space="preserve">Another issue with the decision-making criteria is a potential gap in their interaction with the ‘systemic weakness’ limitation in proposed s 317ZG. As discussed above, this limitation provides that a notice cannot have the effect of requiring a provider to build or implement a systemic weakness or systemic vulnerability into a form of electronic protection. This </w:t>
      </w:r>
      <w:proofErr w:type="gramStart"/>
      <w:r w:rsidRPr="00AA1A20">
        <w:rPr>
          <w:rFonts w:cs="Open Sans"/>
        </w:rPr>
        <w:t>is a key cybersecurity safeguard that</w:t>
      </w:r>
      <w:proofErr w:type="gramEnd"/>
      <w:r w:rsidRPr="00AA1A20">
        <w:rPr>
          <w:rFonts w:cs="Open Sans"/>
        </w:rPr>
        <w:t xml:space="preserve"> seeks to prevent the weakening of encryption at a systemic level, and thereby reduce the risk of large-scale data breaches. This will</w:t>
      </w:r>
      <w:r w:rsidR="007579CC">
        <w:rPr>
          <w:rFonts w:cs="Open Sans"/>
        </w:rPr>
        <w:t xml:space="preserve"> commensurately reduce the risk</w:t>
      </w:r>
      <w:r w:rsidRPr="00AA1A20">
        <w:rPr>
          <w:rFonts w:cs="Open Sans"/>
        </w:rPr>
        <w:t xml:space="preserve"> of far-reaching </w:t>
      </w:r>
      <w:r w:rsidR="007579CC">
        <w:rPr>
          <w:rFonts w:cs="Open Sans"/>
        </w:rPr>
        <w:t xml:space="preserve">and </w:t>
      </w:r>
      <w:r w:rsidRPr="00AA1A20">
        <w:rPr>
          <w:rFonts w:cs="Open Sans"/>
        </w:rPr>
        <w:t xml:space="preserve">detrimental impacts on the right to privacy.  </w:t>
      </w:r>
    </w:p>
    <w:p w14:paraId="66C18689" w14:textId="5755E7DF" w:rsidR="00CE04D1" w:rsidRPr="00AA1A20" w:rsidRDefault="00CE04D1" w:rsidP="00C56EB4">
      <w:pPr>
        <w:pStyle w:val="ListNumber"/>
        <w:tabs>
          <w:tab w:val="clear" w:pos="360"/>
          <w:tab w:val="num" w:pos="993"/>
          <w:tab w:val="left" w:pos="1418"/>
        </w:tabs>
        <w:ind w:left="709" w:hanging="567"/>
        <w:rPr>
          <w:rFonts w:cs="Open Sans"/>
        </w:rPr>
      </w:pPr>
      <w:r w:rsidRPr="00AA1A20">
        <w:rPr>
          <w:rFonts w:cs="Open Sans"/>
        </w:rPr>
        <w:lastRenderedPageBreak/>
        <w:t xml:space="preserve">However, the decision-making criteria in proposed ss 317P, </w:t>
      </w:r>
      <w:proofErr w:type="gramStart"/>
      <w:r w:rsidRPr="00AA1A20">
        <w:rPr>
          <w:rFonts w:cs="Open Sans"/>
        </w:rPr>
        <w:t>317Q(</w:t>
      </w:r>
      <w:proofErr w:type="gramEnd"/>
      <w:r w:rsidRPr="00AA1A20">
        <w:rPr>
          <w:rFonts w:cs="Open Sans"/>
        </w:rPr>
        <w:t xml:space="preserve">10), 317V and 317X(4) do not explicitly require a decision maker to consider the systemic weakness limitation at the time that a notice is given or varied. </w:t>
      </w:r>
    </w:p>
    <w:p w14:paraId="44EA4616" w14:textId="0DFCEB7F" w:rsidR="00CE04D1" w:rsidRPr="00AA1A20" w:rsidRDefault="00CE04D1" w:rsidP="00C56EB4">
      <w:pPr>
        <w:pStyle w:val="ListNumber"/>
        <w:tabs>
          <w:tab w:val="clear" w:pos="360"/>
          <w:tab w:val="num" w:pos="993"/>
          <w:tab w:val="left" w:pos="1418"/>
        </w:tabs>
        <w:ind w:left="709" w:hanging="567"/>
        <w:rPr>
          <w:rFonts w:cs="Open Sans"/>
        </w:rPr>
      </w:pPr>
      <w:r w:rsidRPr="00AA1A20">
        <w:rPr>
          <w:rFonts w:cs="Open Sans"/>
        </w:rPr>
        <w:t xml:space="preserve">The Commission considers that, in order to enhance the effectiveness of the proposed s 317ZG safeguard, the decision maker should need to be satisfied that a notice </w:t>
      </w:r>
      <w:proofErr w:type="gramStart"/>
      <w:r w:rsidRPr="00AA1A20">
        <w:rPr>
          <w:rFonts w:cs="Open Sans"/>
        </w:rPr>
        <w:t>will</w:t>
      </w:r>
      <w:proofErr w:type="gramEnd"/>
      <w:r w:rsidRPr="00AA1A20">
        <w:rPr>
          <w:rFonts w:cs="Open Sans"/>
        </w:rPr>
        <w:t xml:space="preserve"> not violate the systemic weakness limitation before an exercise of the power to give or vary a notice.  This would also enhance the overall coherence of the draft Bill. </w:t>
      </w:r>
    </w:p>
    <w:p w14:paraId="2DAAD1BB" w14:textId="35867616" w:rsidR="00CE04D1" w:rsidRPr="00AA1A20" w:rsidRDefault="00CE04D1" w:rsidP="00C56EB4">
      <w:pPr>
        <w:pStyle w:val="ListNumber"/>
        <w:tabs>
          <w:tab w:val="clear" w:pos="360"/>
          <w:tab w:val="num" w:pos="993"/>
          <w:tab w:val="left" w:pos="1418"/>
        </w:tabs>
        <w:ind w:left="709" w:hanging="567"/>
        <w:rPr>
          <w:rFonts w:cs="Open Sans"/>
        </w:rPr>
      </w:pPr>
      <w:r w:rsidRPr="00AA1A20">
        <w:rPr>
          <w:rFonts w:cs="Open Sans"/>
        </w:rPr>
        <w:t xml:space="preserve">Further, while the draft Bill requires the relevant decision maker to be satisfied of the proposed decision-making criteria before giving or varying a coercive TAN or TCN, the same requirement does not apply to TARs. As previously stated, the Commission considers that it is appropriate for the same thresholds to apply to both requests and notices. </w:t>
      </w:r>
    </w:p>
    <w:p w14:paraId="09043394" w14:textId="35E82696" w:rsidR="00CE04D1" w:rsidRPr="00AA1A20" w:rsidRDefault="00CE04D1" w:rsidP="00195434">
      <w:pPr>
        <w:pStyle w:val="ListNumber"/>
        <w:tabs>
          <w:tab w:val="clear" w:pos="360"/>
          <w:tab w:val="num" w:pos="993"/>
          <w:tab w:val="left" w:pos="1418"/>
        </w:tabs>
        <w:ind w:left="709" w:hanging="567"/>
        <w:rPr>
          <w:rFonts w:cs="Open Sans"/>
        </w:rPr>
      </w:pPr>
      <w:r w:rsidRPr="00AA1A20">
        <w:rPr>
          <w:rFonts w:cs="Open Sans"/>
        </w:rPr>
        <w:t>The Commission recommends that:</w:t>
      </w:r>
    </w:p>
    <w:p w14:paraId="10FF0004" w14:textId="77777777" w:rsidR="00CE04D1" w:rsidRPr="00AA1A20" w:rsidRDefault="00CE04D1" w:rsidP="000A2914">
      <w:pPr>
        <w:pStyle w:val="ListNumber"/>
        <w:numPr>
          <w:ilvl w:val="0"/>
          <w:numId w:val="0"/>
        </w:numPr>
        <w:tabs>
          <w:tab w:val="left" w:pos="1418"/>
        </w:tabs>
        <w:ind w:left="709"/>
        <w:rPr>
          <w:rFonts w:cs="Open Sans"/>
          <w:b/>
        </w:rPr>
      </w:pPr>
      <w:r w:rsidRPr="00AA1A20">
        <w:rPr>
          <w:rFonts w:cs="Open Sans"/>
          <w:b/>
        </w:rPr>
        <w:t>Recommendation 10</w:t>
      </w:r>
    </w:p>
    <w:p w14:paraId="17A1C814" w14:textId="43543841" w:rsidR="00CE04D1" w:rsidRPr="00AA1A20" w:rsidRDefault="00CE04D1" w:rsidP="000A2914">
      <w:pPr>
        <w:pStyle w:val="ListNumber"/>
        <w:numPr>
          <w:ilvl w:val="0"/>
          <w:numId w:val="0"/>
        </w:numPr>
        <w:tabs>
          <w:tab w:val="left" w:pos="1418"/>
        </w:tabs>
        <w:ind w:left="709"/>
        <w:rPr>
          <w:rFonts w:cs="Open Sans"/>
        </w:rPr>
      </w:pPr>
      <w:r w:rsidRPr="00AA1A20">
        <w:rPr>
          <w:rFonts w:cs="Open Sans"/>
        </w:rPr>
        <w:t xml:space="preserve">The decision-making criteria in proposed ss 317P, </w:t>
      </w:r>
      <w:proofErr w:type="gramStart"/>
      <w:r w:rsidRPr="00AA1A20">
        <w:rPr>
          <w:rFonts w:cs="Open Sans"/>
        </w:rPr>
        <w:t>317Q(</w:t>
      </w:r>
      <w:proofErr w:type="gramEnd"/>
      <w:r w:rsidRPr="00AA1A20">
        <w:rPr>
          <w:rFonts w:cs="Open Sans"/>
        </w:rPr>
        <w:t xml:space="preserve">10), 317V and 317X(4) of the </w:t>
      </w:r>
      <w:r w:rsidRPr="00AA1A20">
        <w:rPr>
          <w:rFonts w:cs="Open Sans"/>
          <w:i/>
        </w:rPr>
        <w:t xml:space="preserve">Telecommunications Act 1997 </w:t>
      </w:r>
      <w:r w:rsidRPr="00AA1A20">
        <w:rPr>
          <w:rFonts w:cs="Open Sans"/>
        </w:rPr>
        <w:t>(Cth) be amended to include ‘necessity’ as a mandatory consideration.</w:t>
      </w:r>
    </w:p>
    <w:p w14:paraId="42C20FB3" w14:textId="77777777" w:rsidR="00CE04D1" w:rsidRPr="00AA1A20" w:rsidRDefault="00CE04D1" w:rsidP="000A2914">
      <w:pPr>
        <w:pStyle w:val="ListNumber"/>
        <w:numPr>
          <w:ilvl w:val="0"/>
          <w:numId w:val="0"/>
        </w:numPr>
        <w:tabs>
          <w:tab w:val="left" w:pos="1418"/>
        </w:tabs>
        <w:ind w:left="709"/>
        <w:rPr>
          <w:rFonts w:cs="Open Sans"/>
          <w:b/>
        </w:rPr>
      </w:pPr>
      <w:r w:rsidRPr="00AA1A20">
        <w:rPr>
          <w:rFonts w:cs="Open Sans"/>
          <w:b/>
        </w:rPr>
        <w:t>Recommendation 11</w:t>
      </w:r>
    </w:p>
    <w:p w14:paraId="34855F8A" w14:textId="45AAC12F" w:rsidR="00CE04D1" w:rsidRPr="00AA1A20" w:rsidRDefault="00CE04D1" w:rsidP="000A2914">
      <w:pPr>
        <w:pStyle w:val="ListNumber"/>
        <w:numPr>
          <w:ilvl w:val="0"/>
          <w:numId w:val="0"/>
        </w:numPr>
        <w:tabs>
          <w:tab w:val="left" w:pos="1418"/>
        </w:tabs>
        <w:ind w:left="709"/>
        <w:rPr>
          <w:rFonts w:cs="Open Sans"/>
        </w:rPr>
      </w:pPr>
      <w:r w:rsidRPr="00AA1A20">
        <w:rPr>
          <w:rFonts w:cs="Open Sans"/>
        </w:rPr>
        <w:t xml:space="preserve">The decision-making criteria in proposed ss 317P, </w:t>
      </w:r>
      <w:proofErr w:type="gramStart"/>
      <w:r w:rsidRPr="00AA1A20">
        <w:rPr>
          <w:rFonts w:cs="Open Sans"/>
        </w:rPr>
        <w:t>317Q(</w:t>
      </w:r>
      <w:proofErr w:type="gramEnd"/>
      <w:r w:rsidRPr="00AA1A20">
        <w:rPr>
          <w:rFonts w:cs="Open Sans"/>
        </w:rPr>
        <w:t xml:space="preserve">10), 317V and 317X(4) of the </w:t>
      </w:r>
      <w:r w:rsidRPr="00AA1A20">
        <w:rPr>
          <w:rFonts w:cs="Open Sans"/>
          <w:i/>
        </w:rPr>
        <w:t xml:space="preserve">Telecommunications Act 1997 </w:t>
      </w:r>
      <w:r w:rsidRPr="00AA1A20">
        <w:rPr>
          <w:rFonts w:cs="Open Sans"/>
        </w:rPr>
        <w:t>(Cth) be amended to require the decision maker to be satisfied that the giving or varying of a notice would not require the recipient to breach the s 317ZG systemic weakness limitation.</w:t>
      </w:r>
    </w:p>
    <w:p w14:paraId="0C3BF6B3" w14:textId="77777777" w:rsidR="00CE04D1" w:rsidRPr="00AA1A20" w:rsidRDefault="00CE04D1" w:rsidP="000A2914">
      <w:pPr>
        <w:pStyle w:val="ListNumber"/>
        <w:numPr>
          <w:ilvl w:val="0"/>
          <w:numId w:val="0"/>
        </w:numPr>
        <w:tabs>
          <w:tab w:val="left" w:pos="1418"/>
        </w:tabs>
        <w:ind w:left="709"/>
        <w:rPr>
          <w:rFonts w:cs="Open Sans"/>
          <w:b/>
        </w:rPr>
      </w:pPr>
      <w:r w:rsidRPr="00AA1A20">
        <w:rPr>
          <w:rFonts w:cs="Open Sans"/>
          <w:b/>
        </w:rPr>
        <w:t>Recommendation 12</w:t>
      </w:r>
    </w:p>
    <w:p w14:paraId="16ED75DA" w14:textId="2919A3D0" w:rsidR="00CE04D1" w:rsidRPr="00AA1A20" w:rsidRDefault="00CE04D1" w:rsidP="000A2914">
      <w:pPr>
        <w:pStyle w:val="ListNumber"/>
        <w:numPr>
          <w:ilvl w:val="0"/>
          <w:numId w:val="0"/>
        </w:numPr>
        <w:tabs>
          <w:tab w:val="left" w:pos="1418"/>
        </w:tabs>
        <w:ind w:left="709"/>
        <w:rPr>
          <w:rFonts w:cs="Open Sans"/>
        </w:rPr>
      </w:pPr>
      <w:proofErr w:type="gramStart"/>
      <w:r w:rsidRPr="00AA1A20">
        <w:rPr>
          <w:rFonts w:cs="Open Sans"/>
        </w:rPr>
        <w:t xml:space="preserve">The decision-making criteria in proposed ss 317P, 317Q(10), 317V and 317X(4) of the </w:t>
      </w:r>
      <w:r w:rsidRPr="00AA1A20">
        <w:rPr>
          <w:rFonts w:cs="Open Sans"/>
          <w:i/>
        </w:rPr>
        <w:t xml:space="preserve">Telecommunications Act 1997 </w:t>
      </w:r>
      <w:r w:rsidRPr="00AA1A20">
        <w:rPr>
          <w:rFonts w:cs="Open Sans"/>
        </w:rPr>
        <w:t>(Cth) be amended to require the decision maker to consider the impacts of the giving or varying of a notice on human rights especially privacy, on cyber security and on innocent third parties, and only allow the exercise of power if the decision maker is satisfied that the limitation of the right to privacy</w:t>
      </w:r>
      <w:r>
        <w:rPr>
          <w:rFonts w:cs="Open Sans"/>
        </w:rPr>
        <w:t xml:space="preserve"> and other human rights</w:t>
      </w:r>
      <w:r w:rsidRPr="00AA1A20">
        <w:rPr>
          <w:rFonts w:cs="Open Sans"/>
        </w:rPr>
        <w:t xml:space="preserve"> is necessary and proportionate in all of the circumstances of a particular case.</w:t>
      </w:r>
      <w:proofErr w:type="gramEnd"/>
      <w:r w:rsidRPr="00AA1A20">
        <w:rPr>
          <w:rFonts w:cs="Open Sans"/>
        </w:rPr>
        <w:t xml:space="preserve"> </w:t>
      </w:r>
    </w:p>
    <w:p w14:paraId="3F6A4D79" w14:textId="4E6D0C57" w:rsidR="00CE04D1" w:rsidRPr="00AA1A20" w:rsidRDefault="00CE04D1" w:rsidP="000A2914">
      <w:pPr>
        <w:pStyle w:val="ListNumber"/>
        <w:numPr>
          <w:ilvl w:val="0"/>
          <w:numId w:val="0"/>
        </w:numPr>
        <w:tabs>
          <w:tab w:val="left" w:pos="1418"/>
        </w:tabs>
        <w:ind w:left="709"/>
        <w:rPr>
          <w:rFonts w:cs="Open Sans"/>
          <w:b/>
        </w:rPr>
      </w:pPr>
      <w:r w:rsidRPr="00AA1A20">
        <w:rPr>
          <w:rFonts w:cs="Open Sans"/>
          <w:b/>
        </w:rPr>
        <w:t>Recommendation 13</w:t>
      </w:r>
    </w:p>
    <w:p w14:paraId="115A7E5E" w14:textId="2727DD87" w:rsidR="00CE04D1" w:rsidRPr="00AA1A20" w:rsidRDefault="00CE04D1" w:rsidP="000A2914">
      <w:pPr>
        <w:pStyle w:val="ListNumber"/>
        <w:numPr>
          <w:ilvl w:val="0"/>
          <w:numId w:val="0"/>
        </w:numPr>
        <w:tabs>
          <w:tab w:val="left" w:pos="1418"/>
        </w:tabs>
        <w:ind w:left="709"/>
        <w:rPr>
          <w:rFonts w:cs="Open Sans"/>
        </w:rPr>
      </w:pPr>
      <w:r w:rsidRPr="00AA1A20">
        <w:rPr>
          <w:rFonts w:cs="Open Sans"/>
        </w:rPr>
        <w:t xml:space="preserve">Proposed s 317G of the </w:t>
      </w:r>
      <w:r w:rsidRPr="00AA1A20">
        <w:rPr>
          <w:rFonts w:cs="Open Sans"/>
          <w:i/>
        </w:rPr>
        <w:t xml:space="preserve">Telecommunications Act 1997 </w:t>
      </w:r>
      <w:r w:rsidRPr="00AA1A20">
        <w:rPr>
          <w:rFonts w:cs="Open Sans"/>
        </w:rPr>
        <w:t>(Cth) be amended to insert a provision setting out the decision-making criteria applicable to the issue of TARs, in the same terms as those applicable to TANs and TCNs.</w:t>
      </w:r>
    </w:p>
    <w:p w14:paraId="34E7F39C" w14:textId="77777777" w:rsidR="00CE04D1" w:rsidRPr="00AA1A20" w:rsidRDefault="00CE04D1" w:rsidP="00BA6738">
      <w:pPr>
        <w:pStyle w:val="Heading2"/>
        <w:rPr>
          <w:rFonts w:cs="Open Sans"/>
        </w:rPr>
      </w:pPr>
      <w:bookmarkStart w:id="84" w:name="_Ref524019769"/>
      <w:bookmarkStart w:id="85" w:name="_Toc524352510"/>
      <w:r w:rsidRPr="00AA1A20">
        <w:rPr>
          <w:rFonts w:cs="Open Sans"/>
        </w:rPr>
        <w:lastRenderedPageBreak/>
        <w:t>Boundaries of systemic and non-systemic effects</w:t>
      </w:r>
      <w:bookmarkEnd w:id="84"/>
      <w:bookmarkEnd w:id="85"/>
    </w:p>
    <w:p w14:paraId="7D2B0186" w14:textId="313B69E2"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 xml:space="preserve">As discussed, proposed s 317ZG is a legislative safeguard that prohibits notices from having the effect of either requiring a provider to implement or build a systemic weakness or a systemic vulnerability into a form of electronic protection, or preventing providers from rectifying a systemic weakness or vulnerability. </w:t>
      </w:r>
    </w:p>
    <w:p w14:paraId="75E66272" w14:textId="4E7E7167"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Under this limitation, providers cannot be compelled to build a capability that would render systemic methods of authentication or encryption less effective.</w:t>
      </w:r>
      <w:r w:rsidRPr="00DF3B57">
        <w:rPr>
          <w:rStyle w:val="EndnoteReference"/>
          <w:vertAlign w:val="superscript"/>
        </w:rPr>
        <w:endnoteReference w:id="94"/>
      </w:r>
      <w:r w:rsidRPr="00AA1A20">
        <w:rPr>
          <w:rFonts w:cs="Open Sans"/>
        </w:rPr>
        <w:t xml:space="preserve"> Further, agencies cannot prevent providers from fixing existing systemic weaknesses, such as a security flaw in their product.</w:t>
      </w:r>
      <w:r w:rsidRPr="00DF3B57">
        <w:rPr>
          <w:rStyle w:val="EndnoteReference"/>
          <w:vertAlign w:val="superscript"/>
        </w:rPr>
        <w:endnoteReference w:id="95"/>
      </w:r>
    </w:p>
    <w:p w14:paraId="2D7DF3BF" w14:textId="4F59CD21" w:rsidR="00CE04D1" w:rsidRPr="00AA1A20" w:rsidRDefault="00CE04D1" w:rsidP="00E8593D">
      <w:pPr>
        <w:pStyle w:val="ListNumber"/>
        <w:tabs>
          <w:tab w:val="clear" w:pos="360"/>
          <w:tab w:val="num" w:pos="993"/>
          <w:tab w:val="left" w:pos="1418"/>
        </w:tabs>
        <w:ind w:left="709" w:hanging="567"/>
        <w:rPr>
          <w:rFonts w:cs="Open Sans"/>
        </w:rPr>
      </w:pPr>
      <w:r w:rsidRPr="00AA1A20">
        <w:rPr>
          <w:rFonts w:cs="Open Sans"/>
        </w:rPr>
        <w:t xml:space="preserve">The explanatory document states that ‘[t]he Australian Government has no interest in undermining systems that protect the fundamental security of communications. The new powers will have no effect to the extent that requirements would reasonably make electronic services, devices or software vulnerable to interference by malicious </w:t>
      </w:r>
      <w:proofErr w:type="gramStart"/>
      <w:r w:rsidRPr="00AA1A20">
        <w:rPr>
          <w:rFonts w:cs="Open Sans"/>
        </w:rPr>
        <w:t>actors’</w:t>
      </w:r>
      <w:proofErr w:type="gramEnd"/>
      <w:r w:rsidRPr="00AA1A20">
        <w:rPr>
          <w:rFonts w:cs="Open Sans"/>
        </w:rPr>
        <w:t>.</w:t>
      </w:r>
      <w:r w:rsidRPr="00DF3B57">
        <w:rPr>
          <w:rStyle w:val="EndnoteReference"/>
          <w:vertAlign w:val="superscript"/>
        </w:rPr>
        <w:endnoteReference w:id="96"/>
      </w:r>
      <w:r w:rsidRPr="00AA1A20">
        <w:rPr>
          <w:rFonts w:cs="Open Sans"/>
        </w:rPr>
        <w:t xml:space="preserve"> </w:t>
      </w:r>
    </w:p>
    <w:p w14:paraId="620D51EE" w14:textId="431F5683" w:rsidR="00CE04D1" w:rsidRPr="00AA1A20" w:rsidRDefault="00CE04D1" w:rsidP="00804E65">
      <w:pPr>
        <w:pStyle w:val="ListNumber"/>
        <w:tabs>
          <w:tab w:val="clear" w:pos="360"/>
          <w:tab w:val="num" w:pos="993"/>
          <w:tab w:val="left" w:pos="1418"/>
        </w:tabs>
        <w:ind w:left="709" w:hanging="567"/>
        <w:rPr>
          <w:rFonts w:cs="Open Sans"/>
        </w:rPr>
      </w:pPr>
      <w:r w:rsidRPr="00AA1A20">
        <w:rPr>
          <w:rFonts w:cs="Open Sans"/>
        </w:rPr>
        <w:t xml:space="preserve">While the Commission welcomes the government’s intention as set out in the explanatory document not to permit ‘backdoors’, it is concerned that the limitation in proposed s 317ZG may not achieve its intended effect. This is so for a number of reasons. </w:t>
      </w:r>
    </w:p>
    <w:p w14:paraId="2ECF7BCA" w14:textId="2446AC2B"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 xml:space="preserve">‘Systemic vulnerability’ and ‘systemic </w:t>
      </w:r>
      <w:proofErr w:type="gramStart"/>
      <w:r w:rsidRPr="00AA1A20">
        <w:rPr>
          <w:rFonts w:cs="Open Sans"/>
        </w:rPr>
        <w:t>weakness’</w:t>
      </w:r>
      <w:proofErr w:type="gramEnd"/>
      <w:r w:rsidRPr="00AA1A20">
        <w:rPr>
          <w:rFonts w:cs="Open Sans"/>
        </w:rPr>
        <w:t xml:space="preserve"> are not defined in the draft Bill. It is therefore unclear how these terms are to </w:t>
      </w:r>
      <w:proofErr w:type="gramStart"/>
      <w:r w:rsidRPr="00AA1A20">
        <w:rPr>
          <w:rFonts w:cs="Open Sans"/>
        </w:rPr>
        <w:t>be interpreted</w:t>
      </w:r>
      <w:proofErr w:type="gramEnd"/>
      <w:r w:rsidRPr="00AA1A20">
        <w:rPr>
          <w:rFonts w:cs="Open Sans"/>
        </w:rPr>
        <w:t xml:space="preserve">, and exactly where a line can be drawn between a ‘weakness’ or ‘vulnerability’ that is ‘systemic’ opposed to non-systemic. </w:t>
      </w:r>
    </w:p>
    <w:p w14:paraId="6A79AE34" w14:textId="4647B986" w:rsidR="00CE04D1" w:rsidRPr="00AA1A20" w:rsidRDefault="00CE04D1" w:rsidP="00E8593D">
      <w:pPr>
        <w:pStyle w:val="ListNumber"/>
        <w:tabs>
          <w:tab w:val="clear" w:pos="360"/>
          <w:tab w:val="num" w:pos="993"/>
          <w:tab w:val="left" w:pos="1418"/>
        </w:tabs>
        <w:ind w:left="709" w:hanging="567"/>
        <w:rPr>
          <w:rFonts w:cs="Open Sans"/>
        </w:rPr>
      </w:pPr>
      <w:r w:rsidRPr="00AA1A20">
        <w:rPr>
          <w:rFonts w:cs="Open Sans"/>
        </w:rPr>
        <w:t>The meaning of ‘systemic’ is addressed in the explanatory document as follows:</w:t>
      </w:r>
    </w:p>
    <w:p w14:paraId="591D00F1" w14:textId="77777777" w:rsidR="00CE04D1" w:rsidRPr="00AA1A20" w:rsidRDefault="00CE04D1" w:rsidP="00E8593D">
      <w:pPr>
        <w:pStyle w:val="EndnoteText"/>
        <w:rPr>
          <w:rFonts w:cs="Open Sans"/>
        </w:rPr>
      </w:pPr>
      <w:r w:rsidRPr="00AA1A20">
        <w:rPr>
          <w:rFonts w:cs="Open Sans"/>
        </w:rPr>
        <w:t xml:space="preserve">For the avoidance of doubt, this includes a prohibition on building a new decryption capability or actions that would render systemic methods of authentication or encryption less effective. The reference to systemic methods of authentication or encryption does not apply to actions that weaken methods of encryption or authentication on a particular device/s. As above, the term systemic refers to actions that impact a broader range of devices and service utilised by </w:t>
      </w:r>
      <w:proofErr w:type="gramStart"/>
      <w:r w:rsidRPr="00AA1A20">
        <w:rPr>
          <w:rFonts w:cs="Open Sans"/>
        </w:rPr>
        <w:t>third-parties</w:t>
      </w:r>
      <w:proofErr w:type="gramEnd"/>
      <w:r w:rsidRPr="00AA1A20">
        <w:rPr>
          <w:rFonts w:cs="Open Sans"/>
        </w:rPr>
        <w:t xml:space="preserve"> with no connection to an investigation and for whom law enforcement have no underlying lawful authority by which to access their personal data. </w:t>
      </w:r>
    </w:p>
    <w:p w14:paraId="48BA07A6" w14:textId="77777777" w:rsidR="00CE04D1" w:rsidRPr="00AA1A20" w:rsidRDefault="00CE04D1" w:rsidP="00E8593D">
      <w:pPr>
        <w:pStyle w:val="EndnoteText"/>
        <w:rPr>
          <w:rFonts w:cs="Open Sans"/>
        </w:rPr>
      </w:pPr>
      <w:r w:rsidRPr="00AA1A20">
        <w:rPr>
          <w:rFonts w:cs="Open Sans"/>
        </w:rPr>
        <w:t xml:space="preserve">The prohibition clearly limits the ability of a notice to compel a provider to re-design services that feature end-to-end encryption. If a proposed </w:t>
      </w:r>
      <w:proofErr w:type="gramStart"/>
      <w:r w:rsidRPr="00AA1A20">
        <w:rPr>
          <w:rFonts w:cs="Open Sans"/>
        </w:rPr>
        <w:t>re-design</w:t>
      </w:r>
      <w:proofErr w:type="gramEnd"/>
      <w:r w:rsidRPr="00AA1A20">
        <w:rPr>
          <w:rFonts w:cs="Open Sans"/>
        </w:rPr>
        <w:t xml:space="preserve"> had the effect of removing the default protection that all users of end-to-end encrypted services benefit from and, consequently, made their communications less secure, it would be categorised as requiring a provider </w:t>
      </w:r>
      <w:r w:rsidRPr="00AA1A20">
        <w:rPr>
          <w:rFonts w:cs="Open Sans"/>
        </w:rPr>
        <w:lastRenderedPageBreak/>
        <w:t>to build a systemic weakness or vulnerability into a form of electronic protection.</w:t>
      </w:r>
      <w:r w:rsidRPr="00DF3B57">
        <w:rPr>
          <w:rStyle w:val="EndnoteReference"/>
          <w:vertAlign w:val="superscript"/>
        </w:rPr>
        <w:endnoteReference w:id="97"/>
      </w:r>
    </w:p>
    <w:p w14:paraId="68CCC501" w14:textId="48A52398" w:rsidR="00CE04D1" w:rsidRPr="00AA1A20" w:rsidRDefault="00CE04D1" w:rsidP="00804E65">
      <w:pPr>
        <w:pStyle w:val="ListNumber"/>
        <w:tabs>
          <w:tab w:val="clear" w:pos="360"/>
          <w:tab w:val="num" w:pos="993"/>
          <w:tab w:val="left" w:pos="1418"/>
        </w:tabs>
        <w:ind w:left="709" w:hanging="567"/>
        <w:rPr>
          <w:rFonts w:cs="Open Sans"/>
        </w:rPr>
      </w:pPr>
      <w:r w:rsidRPr="00AA1A20">
        <w:rPr>
          <w:rFonts w:cs="Open Sans"/>
        </w:rPr>
        <w:t xml:space="preserve">However, this guidance </w:t>
      </w:r>
      <w:proofErr w:type="gramStart"/>
      <w:r w:rsidRPr="00AA1A20">
        <w:rPr>
          <w:rFonts w:cs="Open Sans"/>
        </w:rPr>
        <w:t>is not embodied</w:t>
      </w:r>
      <w:proofErr w:type="gramEnd"/>
      <w:r w:rsidRPr="00AA1A20">
        <w:rPr>
          <w:rFonts w:cs="Open Sans"/>
        </w:rPr>
        <w:t xml:space="preserve"> in the draft Bill, and still does not allow precise identification of what constitutes a systemic or non-systemic weakness or vulnerability. Further, as outlined above, a document such as the explanatory document cannot conclude the meaning of a term used in legislation, though in some circumstances it </w:t>
      </w:r>
      <w:proofErr w:type="gramStart"/>
      <w:r w:rsidRPr="00AA1A20">
        <w:rPr>
          <w:rFonts w:cs="Open Sans"/>
        </w:rPr>
        <w:t>may be used</w:t>
      </w:r>
      <w:proofErr w:type="gramEnd"/>
      <w:r w:rsidRPr="00AA1A20">
        <w:rPr>
          <w:rFonts w:cs="Open Sans"/>
        </w:rPr>
        <w:t xml:space="preserve"> to provide some guidance about that meaning.</w:t>
      </w:r>
    </w:p>
    <w:p w14:paraId="672592EF" w14:textId="38101A1B" w:rsidR="00CE04D1" w:rsidRPr="00AA1A20" w:rsidRDefault="00CE04D1" w:rsidP="00804E65">
      <w:pPr>
        <w:pStyle w:val="ListNumber"/>
        <w:tabs>
          <w:tab w:val="clear" w:pos="360"/>
          <w:tab w:val="num" w:pos="993"/>
          <w:tab w:val="left" w:pos="1418"/>
        </w:tabs>
        <w:ind w:left="709" w:hanging="567"/>
        <w:rPr>
          <w:rFonts w:cs="Open Sans"/>
        </w:rPr>
      </w:pPr>
      <w:r w:rsidRPr="00AA1A20">
        <w:rPr>
          <w:rFonts w:cs="Open Sans"/>
        </w:rPr>
        <w:t xml:space="preserve">By way of example of the lack of clarity of the meaning of ‘systemic’, the draft Bill appears to permit the government to compel a provider to send (or ‘push’) a notification to an individual person through an application already installed on their phone such as Facebook Messenger, suggesting that the person download software to update the application. However, the downloaded software may not be an application update, but technology that allows a law enforcement agency to access the individual’s phone messages. </w:t>
      </w:r>
    </w:p>
    <w:p w14:paraId="12AEA24A" w14:textId="4B122567"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If a large number of persons became concerned about downloading application updates because of such potential access by law enforcement, and stopped updating relevant software, this would have the likely consequence of weakening the overall cybersecurity of the application.</w:t>
      </w:r>
      <w:r w:rsidRPr="00DF3B57">
        <w:rPr>
          <w:rStyle w:val="EndnoteReference"/>
          <w:vertAlign w:val="superscript"/>
        </w:rPr>
        <w:endnoteReference w:id="98"/>
      </w:r>
      <w:r w:rsidRPr="00AA1A20">
        <w:rPr>
          <w:rFonts w:cs="Open Sans"/>
        </w:rPr>
        <w:t xml:space="preserve"> </w:t>
      </w:r>
    </w:p>
    <w:p w14:paraId="10FC51E4" w14:textId="77777777" w:rsidR="00CE04D1" w:rsidRPr="00AA1A20" w:rsidRDefault="00CE04D1" w:rsidP="00F15D80">
      <w:pPr>
        <w:pStyle w:val="ListNumber"/>
        <w:tabs>
          <w:tab w:val="clear" w:pos="360"/>
          <w:tab w:val="num" w:pos="993"/>
          <w:tab w:val="left" w:pos="1418"/>
        </w:tabs>
        <w:ind w:left="709" w:hanging="567"/>
        <w:rPr>
          <w:rFonts w:cs="Open Sans"/>
        </w:rPr>
      </w:pPr>
      <w:r w:rsidRPr="00AA1A20">
        <w:rPr>
          <w:rFonts w:cs="Open Sans"/>
        </w:rPr>
        <w:t xml:space="preserve">Accordingly, while the initial decryption measure appears to be authorised by the draft Bill, it could ultimately, in a practical sense, lead to a ‘systemic’ weakness, which proposed s 317ZG </w:t>
      </w:r>
      <w:proofErr w:type="gramStart"/>
      <w:r w:rsidRPr="00AA1A20">
        <w:rPr>
          <w:rFonts w:cs="Open Sans"/>
        </w:rPr>
        <w:t>is intended</w:t>
      </w:r>
      <w:proofErr w:type="gramEnd"/>
      <w:r w:rsidRPr="00AA1A20">
        <w:rPr>
          <w:rFonts w:cs="Open Sans"/>
        </w:rPr>
        <w:t xml:space="preserve"> to prevent.</w:t>
      </w:r>
    </w:p>
    <w:p w14:paraId="36042C11" w14:textId="0CD046EA" w:rsidR="00CE04D1" w:rsidRPr="00AA1A20" w:rsidRDefault="00CE04D1" w:rsidP="00804E65">
      <w:pPr>
        <w:pStyle w:val="ListNumber"/>
        <w:tabs>
          <w:tab w:val="clear" w:pos="360"/>
          <w:tab w:val="num" w:pos="993"/>
          <w:tab w:val="left" w:pos="1418"/>
        </w:tabs>
        <w:ind w:left="709" w:hanging="567"/>
        <w:rPr>
          <w:rFonts w:cs="Open Sans"/>
        </w:rPr>
      </w:pPr>
      <w:r w:rsidRPr="00AA1A20">
        <w:rPr>
          <w:rFonts w:cs="Open Sans"/>
        </w:rPr>
        <w:t>The Commission considers that more clearly defining the meaning of ‘systemic vulnerability’ and ‘systemic weakness’ in the draft Bill will enhance the efficacy of the safeguard, as well as provide greater certainty about the extent to which the draft Bill may impinge on the rights of users of technology.</w:t>
      </w:r>
    </w:p>
    <w:p w14:paraId="25049649" w14:textId="62FF3817"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 xml:space="preserve">The potential ambiguity of the meaning of the word ‘systemic’ in the draft Bill raises another serious concern flowing from the fact that the validity of a coercive notice depends on the relevant assistance not violating the limitation in proposed s 317ZG. </w:t>
      </w:r>
    </w:p>
    <w:p w14:paraId="2109325E" w14:textId="19923E57" w:rsidR="00CE04D1" w:rsidRPr="00AA1A20" w:rsidRDefault="00CE04D1" w:rsidP="00804E65">
      <w:pPr>
        <w:pStyle w:val="ListNumber"/>
        <w:tabs>
          <w:tab w:val="clear" w:pos="360"/>
          <w:tab w:val="num" w:pos="993"/>
          <w:tab w:val="left" w:pos="1418"/>
        </w:tabs>
        <w:ind w:left="709" w:hanging="567"/>
        <w:rPr>
          <w:rFonts w:cs="Open Sans"/>
        </w:rPr>
      </w:pPr>
      <w:bookmarkStart w:id="86" w:name="_Ref524084261"/>
      <w:r w:rsidRPr="00AA1A20">
        <w:rPr>
          <w:rFonts w:cs="Open Sans"/>
        </w:rPr>
        <w:t>A provider could be uncertain of the validity of a notice on its face, because they are unsure of whether the requirements imposed by the purported notice would have a prohibited ‘systemic’ effect. However, regardless of being uncertain of their obligations, a provider faces a significant civil penalty for non-compliance. This may cause a provider either not to comply with a valid notice, because of an incorrect belief that the s 317ZG limitation applies, or to comply with an invalid notice because of a fear of the consequences.</w:t>
      </w:r>
      <w:r w:rsidRPr="00DF3B57">
        <w:rPr>
          <w:rStyle w:val="EndnoteReference"/>
          <w:vertAlign w:val="superscript"/>
        </w:rPr>
        <w:endnoteReference w:id="99"/>
      </w:r>
      <w:bookmarkEnd w:id="86"/>
      <w:r w:rsidRPr="00AA1A20">
        <w:rPr>
          <w:rFonts w:cs="Open Sans"/>
        </w:rPr>
        <w:t xml:space="preserve"> </w:t>
      </w:r>
    </w:p>
    <w:p w14:paraId="3FD2259E" w14:textId="637644B8" w:rsidR="00CE04D1" w:rsidRPr="00AA1A20" w:rsidRDefault="00CE04D1" w:rsidP="00804E65">
      <w:pPr>
        <w:pStyle w:val="ListNumber"/>
        <w:tabs>
          <w:tab w:val="clear" w:pos="360"/>
          <w:tab w:val="num" w:pos="993"/>
          <w:tab w:val="left" w:pos="1418"/>
        </w:tabs>
        <w:ind w:left="709" w:hanging="567"/>
        <w:rPr>
          <w:rFonts w:cs="Open Sans"/>
        </w:rPr>
      </w:pPr>
      <w:r w:rsidRPr="00AA1A20">
        <w:rPr>
          <w:rFonts w:cs="Open Sans"/>
        </w:rPr>
        <w:lastRenderedPageBreak/>
        <w:t xml:space="preserve">Further, this lack of clarity brings into question the lawfulness of any interference with privacy or other human right under a purportedly valid notice, given that </w:t>
      </w:r>
      <w:proofErr w:type="gramStart"/>
      <w:r w:rsidRPr="00AA1A20">
        <w:rPr>
          <w:rFonts w:cs="Open Sans"/>
        </w:rPr>
        <w:t>any limitation on a human right must be provided for by law</w:t>
      </w:r>
      <w:proofErr w:type="gramEnd"/>
      <w:r w:rsidRPr="00AA1A20">
        <w:rPr>
          <w:rFonts w:cs="Open Sans"/>
        </w:rPr>
        <w:t xml:space="preserve"> in a clear and precise manner.</w:t>
      </w:r>
    </w:p>
    <w:p w14:paraId="5358998A" w14:textId="63DC1CBE"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 xml:space="preserve">Academic commentators and the </w:t>
      </w:r>
      <w:r w:rsidRPr="00AA1A20">
        <w:rPr>
          <w:rFonts w:cs="Open Sans"/>
          <w:lang w:val="en-US"/>
        </w:rPr>
        <w:t>Australian Law Reform Commission (</w:t>
      </w:r>
      <w:r w:rsidRPr="00AA1A20">
        <w:rPr>
          <w:rFonts w:cs="Open Sans"/>
        </w:rPr>
        <w:t>ALRC) have stated that the requirement that criminal laws be sufficiently clear, and not operate retrospectively, may be breached where the scope of an offence is uncertain until it has been interpreted by the courts.</w:t>
      </w:r>
      <w:r w:rsidRPr="00DF3B57">
        <w:rPr>
          <w:rStyle w:val="EndnoteReference"/>
          <w:vertAlign w:val="superscript"/>
        </w:rPr>
        <w:endnoteReference w:id="100"/>
      </w:r>
      <w:r w:rsidRPr="00AA1A20">
        <w:rPr>
          <w:rFonts w:cs="Open Sans"/>
        </w:rPr>
        <w:t xml:space="preserve"> The Commission considers that the same risk may apply where the scope of provisions that can lead to the imposition of a substantial civil penalty is unclear.</w:t>
      </w:r>
    </w:p>
    <w:p w14:paraId="09072525" w14:textId="467905CC"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Given the serious consequences of non-compliance, it is important for providers to be able to seek review of the validity of a notice in an accessible and efficient forum.</w:t>
      </w:r>
      <w:r w:rsidRPr="00AC5658">
        <w:rPr>
          <w:rStyle w:val="EndnoteReference"/>
          <w:vertAlign w:val="superscript"/>
        </w:rPr>
        <w:endnoteReference w:id="101"/>
      </w:r>
      <w:r w:rsidRPr="00AA1A20">
        <w:rPr>
          <w:rFonts w:cs="Open Sans"/>
        </w:rPr>
        <w:t xml:space="preserve"> The Commission considers, as discussed at</w:t>
      </w:r>
      <w:r w:rsidR="007579CC">
        <w:rPr>
          <w:rFonts w:cs="Open Sans"/>
        </w:rPr>
        <w:t xml:space="preserve"> Pt</w:t>
      </w:r>
      <w:r w:rsidRPr="00AA1A20">
        <w:rPr>
          <w:rFonts w:cs="Open Sans"/>
        </w:rPr>
        <w:t xml:space="preserve"> </w:t>
      </w:r>
      <w:r w:rsidRPr="00AA1A20">
        <w:rPr>
          <w:rFonts w:cs="Open Sans"/>
          <w:highlight w:val="cyan"/>
        </w:rPr>
        <w:fldChar w:fldCharType="begin"/>
      </w:r>
      <w:r w:rsidRPr="00AA1A20">
        <w:rPr>
          <w:rFonts w:cs="Open Sans"/>
        </w:rPr>
        <w:instrText xml:space="preserve"> REF _Ref523846933 \r \h </w:instrText>
      </w:r>
      <w:r>
        <w:rPr>
          <w:rFonts w:cs="Open Sans"/>
          <w:highlight w:val="cyan"/>
        </w:rPr>
        <w:instrText xml:space="preserve"> \* MERGEFORMAT </w:instrText>
      </w:r>
      <w:r w:rsidRPr="00AA1A20">
        <w:rPr>
          <w:rFonts w:cs="Open Sans"/>
          <w:highlight w:val="cyan"/>
        </w:rPr>
      </w:r>
      <w:r w:rsidRPr="00AA1A20">
        <w:rPr>
          <w:rFonts w:cs="Open Sans"/>
          <w:highlight w:val="cyan"/>
        </w:rPr>
        <w:fldChar w:fldCharType="separate"/>
      </w:r>
      <w:r w:rsidR="00523FE1">
        <w:rPr>
          <w:rFonts w:cs="Open Sans"/>
        </w:rPr>
        <w:t>5.6</w:t>
      </w:r>
      <w:r w:rsidRPr="00AA1A20">
        <w:rPr>
          <w:rFonts w:cs="Open Sans"/>
          <w:highlight w:val="cyan"/>
        </w:rPr>
        <w:fldChar w:fldCharType="end"/>
      </w:r>
      <w:r w:rsidRPr="00AA1A20">
        <w:rPr>
          <w:rFonts w:cs="Open Sans"/>
        </w:rPr>
        <w:t xml:space="preserve"> below, that it is appropriate to afford a form of administrative review as well as potentially make </w:t>
      </w:r>
      <w:r w:rsidRPr="00AA1A20">
        <w:rPr>
          <w:rFonts w:cs="Open Sans"/>
          <w:i/>
          <w:lang w:val="en-US"/>
        </w:rPr>
        <w:t xml:space="preserve">Administrative Decisions (Judicial Review) Act 1977 </w:t>
      </w:r>
      <w:r w:rsidRPr="00AA1A20">
        <w:rPr>
          <w:rFonts w:cs="Open Sans"/>
          <w:lang w:val="en-US"/>
        </w:rPr>
        <w:t>(Cth) (</w:t>
      </w:r>
      <w:r w:rsidRPr="00AA1A20">
        <w:rPr>
          <w:rFonts w:cs="Open Sans"/>
        </w:rPr>
        <w:t xml:space="preserve">ADJR Act) review available to decisions made under proposed new Pt 15 of the </w:t>
      </w:r>
      <w:r w:rsidRPr="00AA1A20">
        <w:rPr>
          <w:rFonts w:cs="Open Sans"/>
          <w:i/>
        </w:rPr>
        <w:t>Telecommunications Act 1997</w:t>
      </w:r>
      <w:r w:rsidRPr="00AA1A20">
        <w:rPr>
          <w:rFonts w:cs="Open Sans"/>
        </w:rPr>
        <w:t xml:space="preserve"> (Cth). </w:t>
      </w:r>
    </w:p>
    <w:p w14:paraId="734E5440" w14:textId="02266778"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Further</w:t>
      </w:r>
      <w:r w:rsidRPr="00AA1A20">
        <w:rPr>
          <w:rFonts w:cs="Open Sans"/>
          <w:lang w:eastAsia="en-US"/>
        </w:rPr>
        <w:t>, the Commission is concerned about the human rights impacts of the Bill’s authorisation of other measures that permit access to otherwise private communications, including the breaking of encryption, even where the effects do not lead to a systemic weakening.</w:t>
      </w:r>
    </w:p>
    <w:p w14:paraId="7228A008" w14:textId="35BEB297" w:rsidR="00CE04D1" w:rsidRPr="00AA1A20" w:rsidRDefault="00CE04D1" w:rsidP="00A044DE">
      <w:pPr>
        <w:pStyle w:val="ListNumber"/>
        <w:tabs>
          <w:tab w:val="clear" w:pos="360"/>
          <w:tab w:val="num" w:pos="993"/>
          <w:tab w:val="left" w:pos="1418"/>
        </w:tabs>
        <w:ind w:left="709" w:hanging="567"/>
        <w:rPr>
          <w:rFonts w:cs="Open Sans"/>
        </w:rPr>
      </w:pPr>
      <w:r w:rsidRPr="00AA1A20">
        <w:rPr>
          <w:rFonts w:cs="Open Sans"/>
          <w:lang w:eastAsia="en-US"/>
        </w:rPr>
        <w:t xml:space="preserve">For example, the framework allows an agency to compel a provider to disclose a decryption key, or to provide targeted decryption assistance (for example, of certain communications). While </w:t>
      </w:r>
      <w:r w:rsidRPr="00AA1A20">
        <w:rPr>
          <w:rFonts w:cs="Open Sans"/>
          <w:i/>
          <w:lang w:eastAsia="en-US"/>
        </w:rPr>
        <w:t xml:space="preserve">prima facie </w:t>
      </w:r>
      <w:r w:rsidRPr="00AA1A20">
        <w:rPr>
          <w:rFonts w:cs="Open Sans"/>
          <w:lang w:eastAsia="en-US"/>
        </w:rPr>
        <w:t>a more proportionate interference than the building of ‘backdoor’ ports for law enforcement, such measures still seriously interfere with the right to privacy among other rights and must be justified as lawful, necessary and proportionate.</w:t>
      </w:r>
    </w:p>
    <w:p w14:paraId="1B903776" w14:textId="2D66F161" w:rsidR="00CE04D1" w:rsidRPr="00AA1A20" w:rsidRDefault="00CE04D1" w:rsidP="00A044DE">
      <w:pPr>
        <w:pStyle w:val="ListNumber"/>
        <w:tabs>
          <w:tab w:val="clear" w:pos="360"/>
          <w:tab w:val="num" w:pos="993"/>
          <w:tab w:val="left" w:pos="1418"/>
        </w:tabs>
        <w:ind w:left="709" w:hanging="567"/>
        <w:rPr>
          <w:rFonts w:cs="Open Sans"/>
        </w:rPr>
      </w:pPr>
      <w:r w:rsidRPr="00AA1A20">
        <w:rPr>
          <w:rFonts w:cs="Open Sans"/>
          <w:lang w:eastAsia="en-US"/>
        </w:rPr>
        <w:t xml:space="preserve">For example, disclosure of an encryption key by a provider could allow an agency to scrutinise a person’s complete set of digital communications on a device or service, whether past or future, not just those relevant to an investigation. Further, as with backdoor ports, the very existence of mandatory key disclosure powers could have a chilling effect on the use of information communication technologies to exercise the right to freedom of expression.  </w:t>
      </w:r>
    </w:p>
    <w:p w14:paraId="06AC7AB8" w14:textId="77777777"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 xml:space="preserve">The UN Special Rapporteur on the promotion and protection of the right to freedom of </w:t>
      </w:r>
      <w:r w:rsidRPr="00AA1A20">
        <w:rPr>
          <w:rFonts w:cs="Open Sans"/>
          <w:lang w:eastAsia="en-US"/>
        </w:rPr>
        <w:t>opinion</w:t>
      </w:r>
      <w:r w:rsidRPr="00AA1A20">
        <w:rPr>
          <w:rFonts w:cs="Open Sans"/>
        </w:rPr>
        <w:t xml:space="preserve"> and expression has stated that all restrictions on encryption should be ‘precise, public and transparent, and avoid providing State authorities with unbounded discretion to apply the limitation’.</w:t>
      </w:r>
      <w:r w:rsidRPr="00AC5658">
        <w:rPr>
          <w:rStyle w:val="EndnoteReference"/>
          <w:vertAlign w:val="superscript"/>
        </w:rPr>
        <w:endnoteReference w:id="102"/>
      </w:r>
      <w:r w:rsidRPr="00AA1A20">
        <w:rPr>
          <w:rFonts w:cs="Open Sans"/>
        </w:rPr>
        <w:t xml:space="preserve"> </w:t>
      </w:r>
    </w:p>
    <w:p w14:paraId="21EC97F2" w14:textId="604D9725" w:rsidR="00CE04D1" w:rsidRPr="00AA1A20" w:rsidRDefault="00CE04D1" w:rsidP="00CC5A9D">
      <w:pPr>
        <w:pStyle w:val="ListNumber"/>
        <w:tabs>
          <w:tab w:val="clear" w:pos="360"/>
          <w:tab w:val="num" w:pos="993"/>
          <w:tab w:val="left" w:pos="1418"/>
        </w:tabs>
        <w:ind w:left="709" w:hanging="567"/>
        <w:rPr>
          <w:rFonts w:cs="Open Sans"/>
        </w:rPr>
      </w:pPr>
      <w:bookmarkStart w:id="87" w:name="_Ref524094919"/>
      <w:r w:rsidRPr="00AA1A20">
        <w:rPr>
          <w:rFonts w:cs="Open Sans"/>
        </w:rPr>
        <w:lastRenderedPageBreak/>
        <w:t>The UN Special Rapporteur further stated that any restrictions on encryption, including mandatory key disclosure or targeted decryption, should be supervised by a court, tribunal or other independent adjudicatory body,</w:t>
      </w:r>
      <w:r w:rsidRPr="00AC5658">
        <w:rPr>
          <w:rStyle w:val="EndnoteReference"/>
          <w:vertAlign w:val="superscript"/>
        </w:rPr>
        <w:endnoteReference w:id="103"/>
      </w:r>
      <w:r w:rsidRPr="00AA1A20">
        <w:rPr>
          <w:rFonts w:cs="Open Sans"/>
        </w:rPr>
        <w:t xml:space="preserve"> and meet the following requirements:</w:t>
      </w:r>
      <w:bookmarkEnd w:id="87"/>
    </w:p>
    <w:p w14:paraId="0C8DF41C" w14:textId="7B9F79EE" w:rsidR="00CE04D1" w:rsidRPr="00AA1A20" w:rsidRDefault="00CE04D1" w:rsidP="00CC5A9D">
      <w:pPr>
        <w:pStyle w:val="EndnoteText"/>
        <w:rPr>
          <w:rFonts w:cs="Open Sans"/>
        </w:rPr>
      </w:pPr>
      <w:r w:rsidRPr="00AA1A20">
        <w:rPr>
          <w:rFonts w:cs="Open Sans"/>
        </w:rPr>
        <w:t xml:space="preserve">Court-ordered decryption, subject to domestic and international law, may only be </w:t>
      </w:r>
      <w:r w:rsidRPr="00AA1A20">
        <w:rPr>
          <w:rFonts w:cs="Open Sans"/>
          <w:lang w:eastAsia="en-US"/>
        </w:rPr>
        <w:t>permissible</w:t>
      </w:r>
      <w:r w:rsidRPr="00AA1A20">
        <w:rPr>
          <w:rFonts w:cs="Open Sans"/>
        </w:rPr>
        <w:t xml:space="preserve"> when it results from transparent and publicly accessible laws applied solely on a targeted, case-by-case basis to individuals (i.e., not to a mass of people) and subject to judicial warrant and the protection of due process rights of individuals.</w:t>
      </w:r>
      <w:r w:rsidRPr="00AC5658">
        <w:rPr>
          <w:rStyle w:val="EndnoteReference"/>
          <w:vertAlign w:val="superscript"/>
        </w:rPr>
        <w:endnoteReference w:id="104"/>
      </w:r>
    </w:p>
    <w:p w14:paraId="7CA4F47F" w14:textId="6B1F3052" w:rsidR="00CE04D1" w:rsidRPr="00AA1A20" w:rsidRDefault="00CE04D1" w:rsidP="00202561">
      <w:pPr>
        <w:pStyle w:val="ListNumber"/>
        <w:tabs>
          <w:tab w:val="clear" w:pos="360"/>
          <w:tab w:val="num" w:pos="993"/>
          <w:tab w:val="left" w:pos="1418"/>
        </w:tabs>
        <w:ind w:left="709" w:hanging="567"/>
        <w:rPr>
          <w:rFonts w:cs="Open Sans"/>
        </w:rPr>
      </w:pPr>
      <w:r w:rsidRPr="00AA1A20">
        <w:rPr>
          <w:rFonts w:cs="Open Sans"/>
        </w:rPr>
        <w:t xml:space="preserve">The Commission considers that the decryption powers authorised under the assistance scheme do not meet these requirements. In particular, the scope of the powers is unclear, they are not subject to judicial warrant or other independent judicial authorisation, and are also potentially not sufficiently targeted on a case-by-case basis. </w:t>
      </w:r>
    </w:p>
    <w:p w14:paraId="301595B3" w14:textId="3A52085D" w:rsidR="00CE04D1" w:rsidRPr="00AA1A20" w:rsidRDefault="00CE04D1" w:rsidP="00202561">
      <w:pPr>
        <w:pStyle w:val="ListNumber"/>
        <w:tabs>
          <w:tab w:val="clear" w:pos="360"/>
          <w:tab w:val="num" w:pos="993"/>
          <w:tab w:val="left" w:pos="1418"/>
        </w:tabs>
        <w:ind w:left="709" w:hanging="567"/>
        <w:rPr>
          <w:rFonts w:cs="Open Sans"/>
        </w:rPr>
      </w:pPr>
      <w:r w:rsidRPr="00AA1A20">
        <w:rPr>
          <w:rFonts w:cs="Open Sans"/>
        </w:rPr>
        <w:t>This concern further strengthens the Commission’s r</w:t>
      </w:r>
      <w:r w:rsidR="001E0D06">
        <w:rPr>
          <w:rFonts w:cs="Open Sans"/>
        </w:rPr>
        <w:t>ecommendations made above in P</w:t>
      </w:r>
      <w:r w:rsidRPr="00AA1A20">
        <w:rPr>
          <w:rFonts w:cs="Open Sans"/>
        </w:rPr>
        <w:t xml:space="preserve">t </w:t>
      </w:r>
      <w:r w:rsidRPr="00AA1A20">
        <w:rPr>
          <w:rFonts w:cs="Open Sans"/>
        </w:rPr>
        <w:fldChar w:fldCharType="begin"/>
      </w:r>
      <w:r w:rsidRPr="00AA1A20">
        <w:rPr>
          <w:rFonts w:cs="Open Sans"/>
        </w:rPr>
        <w:instrText xml:space="preserve"> REF _Ref523847125 \n \h  \* MERGEFORMAT </w:instrText>
      </w:r>
      <w:r w:rsidRPr="00AA1A20">
        <w:rPr>
          <w:rFonts w:cs="Open Sans"/>
        </w:rPr>
      </w:r>
      <w:r w:rsidRPr="00AA1A20">
        <w:rPr>
          <w:rFonts w:cs="Open Sans"/>
        </w:rPr>
        <w:fldChar w:fldCharType="separate"/>
      </w:r>
      <w:r w:rsidR="00523FE1">
        <w:rPr>
          <w:rFonts w:cs="Open Sans"/>
        </w:rPr>
        <w:t>5.1</w:t>
      </w:r>
      <w:r w:rsidRPr="00AA1A20">
        <w:rPr>
          <w:rFonts w:cs="Open Sans"/>
        </w:rPr>
        <w:fldChar w:fldCharType="end"/>
      </w:r>
      <w:r w:rsidRPr="00AA1A20">
        <w:rPr>
          <w:rFonts w:cs="Open Sans"/>
        </w:rPr>
        <w:t xml:space="preserve"> of this submission concerning the scope of the</w:t>
      </w:r>
      <w:r w:rsidR="001E0D06">
        <w:rPr>
          <w:rFonts w:cs="Open Sans"/>
        </w:rPr>
        <w:t xml:space="preserve"> access scheme, and below in P</w:t>
      </w:r>
      <w:r w:rsidRPr="00AA1A20">
        <w:rPr>
          <w:rFonts w:cs="Open Sans"/>
        </w:rPr>
        <w:t xml:space="preserve">t </w:t>
      </w:r>
      <w:r w:rsidRPr="00AA1A20">
        <w:rPr>
          <w:rFonts w:cs="Open Sans"/>
          <w:highlight w:val="yellow"/>
        </w:rPr>
        <w:fldChar w:fldCharType="begin"/>
      </w:r>
      <w:r w:rsidRPr="00AA1A20">
        <w:rPr>
          <w:rFonts w:cs="Open Sans"/>
        </w:rPr>
        <w:instrText xml:space="preserve"> REF _Ref523846933 \n \h </w:instrText>
      </w:r>
      <w:r w:rsidRPr="00AA1A20">
        <w:rPr>
          <w:rFonts w:cs="Open Sans"/>
          <w:highlight w:val="yellow"/>
        </w:rPr>
        <w:instrText xml:space="preserve"> \* MERGEFORMAT </w:instrText>
      </w:r>
      <w:r w:rsidRPr="00AA1A20">
        <w:rPr>
          <w:rFonts w:cs="Open Sans"/>
          <w:highlight w:val="yellow"/>
        </w:rPr>
      </w:r>
      <w:r w:rsidRPr="00AA1A20">
        <w:rPr>
          <w:rFonts w:cs="Open Sans"/>
          <w:highlight w:val="yellow"/>
        </w:rPr>
        <w:fldChar w:fldCharType="separate"/>
      </w:r>
      <w:r w:rsidR="00523FE1">
        <w:rPr>
          <w:rFonts w:cs="Open Sans"/>
        </w:rPr>
        <w:t>5.6</w:t>
      </w:r>
      <w:r w:rsidRPr="00AA1A20">
        <w:rPr>
          <w:rFonts w:cs="Open Sans"/>
          <w:highlight w:val="yellow"/>
        </w:rPr>
        <w:fldChar w:fldCharType="end"/>
      </w:r>
      <w:r w:rsidRPr="00AA1A20">
        <w:rPr>
          <w:rFonts w:cs="Open Sans"/>
        </w:rPr>
        <w:t xml:space="preserve"> of this submission concerning the adequacy of the proposed safeguards, including that judicial authorisation for the giving or varying of notices be required in the first instance.</w:t>
      </w:r>
    </w:p>
    <w:p w14:paraId="45E172CC" w14:textId="0EAD22BD"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Lastly, the Commission queries why the systemic weakness limitation in proposed s 317ZG has not explicitly been applied to TARs, and considers that the effectiveness of the limitation will be severely compromised should it no</w:t>
      </w:r>
      <w:r w:rsidR="007579CC">
        <w:rPr>
          <w:rFonts w:cs="Open Sans"/>
        </w:rPr>
        <w:t>t apply to voluntary assistance</w:t>
      </w:r>
      <w:r w:rsidRPr="00AA1A20">
        <w:rPr>
          <w:rFonts w:cs="Open Sans"/>
        </w:rPr>
        <w:t xml:space="preserve"> requests. </w:t>
      </w:r>
    </w:p>
    <w:p w14:paraId="74FDE262" w14:textId="77777777" w:rsidR="00CE04D1" w:rsidRPr="00AA1A20" w:rsidRDefault="00CE04D1" w:rsidP="00CC5A9D">
      <w:pPr>
        <w:pStyle w:val="ListNumber"/>
        <w:tabs>
          <w:tab w:val="clear" w:pos="360"/>
          <w:tab w:val="num" w:pos="993"/>
          <w:tab w:val="left" w:pos="1418"/>
        </w:tabs>
        <w:ind w:left="709" w:hanging="567"/>
        <w:rPr>
          <w:rFonts w:cs="Open Sans"/>
        </w:rPr>
      </w:pPr>
      <w:r w:rsidRPr="00AA1A20">
        <w:rPr>
          <w:rFonts w:cs="Open Sans"/>
        </w:rPr>
        <w:t>The Commission recommends that:</w:t>
      </w:r>
    </w:p>
    <w:p w14:paraId="20B0F16A" w14:textId="77777777" w:rsidR="00CE04D1" w:rsidRPr="00AA1A20" w:rsidRDefault="00CE04D1" w:rsidP="00D46CB0">
      <w:pPr>
        <w:pStyle w:val="ListNumber"/>
        <w:numPr>
          <w:ilvl w:val="0"/>
          <w:numId w:val="0"/>
        </w:numPr>
        <w:tabs>
          <w:tab w:val="left" w:pos="1418"/>
        </w:tabs>
        <w:ind w:left="709"/>
        <w:rPr>
          <w:rFonts w:cs="Open Sans"/>
          <w:b/>
        </w:rPr>
      </w:pPr>
      <w:r w:rsidRPr="00AA1A20">
        <w:rPr>
          <w:rFonts w:cs="Open Sans"/>
          <w:b/>
        </w:rPr>
        <w:t>Recommendation 14</w:t>
      </w:r>
    </w:p>
    <w:p w14:paraId="172D8D40" w14:textId="50AD3AAD" w:rsidR="00CE04D1" w:rsidRPr="00AA1A20" w:rsidRDefault="00CE04D1" w:rsidP="00D46CB0">
      <w:pPr>
        <w:pStyle w:val="ListNumber"/>
        <w:numPr>
          <w:ilvl w:val="0"/>
          <w:numId w:val="0"/>
        </w:numPr>
        <w:tabs>
          <w:tab w:val="left" w:pos="1418"/>
        </w:tabs>
        <w:ind w:left="709"/>
        <w:rPr>
          <w:rFonts w:cs="Open Sans"/>
        </w:rPr>
      </w:pPr>
      <w:r w:rsidRPr="00AA1A20">
        <w:rPr>
          <w:rFonts w:cs="Open Sans"/>
        </w:rPr>
        <w:t xml:space="preserve">Proposed s 317ZG of the </w:t>
      </w:r>
      <w:r w:rsidRPr="00AA1A20">
        <w:rPr>
          <w:rFonts w:cs="Open Sans"/>
          <w:i/>
        </w:rPr>
        <w:t xml:space="preserve">Telecommunications Act 1997 </w:t>
      </w:r>
      <w:r w:rsidRPr="00AA1A20">
        <w:rPr>
          <w:rFonts w:cs="Open Sans"/>
        </w:rPr>
        <w:t>(Cth) be amended to provide precise and clear definitions of ‘systemic vulnerability’ and ‘systemic weakness’.</w:t>
      </w:r>
    </w:p>
    <w:p w14:paraId="48B0AAFA" w14:textId="77777777" w:rsidR="00CE04D1" w:rsidRPr="00AA1A20" w:rsidRDefault="00CE04D1" w:rsidP="00F25E69">
      <w:pPr>
        <w:pStyle w:val="ListNumber"/>
        <w:numPr>
          <w:ilvl w:val="0"/>
          <w:numId w:val="0"/>
        </w:numPr>
        <w:tabs>
          <w:tab w:val="left" w:pos="1418"/>
        </w:tabs>
        <w:ind w:left="709"/>
        <w:rPr>
          <w:rFonts w:cs="Open Sans"/>
          <w:b/>
        </w:rPr>
      </w:pPr>
      <w:r w:rsidRPr="00AA1A20">
        <w:rPr>
          <w:rFonts w:cs="Open Sans"/>
          <w:b/>
        </w:rPr>
        <w:t>Recommendation 15</w:t>
      </w:r>
    </w:p>
    <w:p w14:paraId="49908F90" w14:textId="122C4DC8" w:rsidR="00CE04D1" w:rsidRPr="00AA1A20" w:rsidRDefault="00CE04D1" w:rsidP="00F25E69">
      <w:pPr>
        <w:pStyle w:val="ListNumber"/>
        <w:numPr>
          <w:ilvl w:val="0"/>
          <w:numId w:val="0"/>
        </w:numPr>
        <w:tabs>
          <w:tab w:val="left" w:pos="1418"/>
        </w:tabs>
        <w:ind w:left="709"/>
        <w:rPr>
          <w:rFonts w:cs="Open Sans"/>
        </w:rPr>
      </w:pPr>
      <w:r w:rsidRPr="00AA1A20">
        <w:rPr>
          <w:rFonts w:cs="Open Sans"/>
        </w:rPr>
        <w:t xml:space="preserve">Proposed s 317ZG of the </w:t>
      </w:r>
      <w:r w:rsidRPr="00AA1A20">
        <w:rPr>
          <w:rFonts w:cs="Open Sans"/>
          <w:i/>
        </w:rPr>
        <w:t xml:space="preserve">Telecommunications Act 1997 </w:t>
      </w:r>
      <w:r w:rsidRPr="00AA1A20">
        <w:rPr>
          <w:rFonts w:cs="Open Sans"/>
        </w:rPr>
        <w:t xml:space="preserve">(Cth) be amended to apply the systemic weakness limitation to technical assistance requests. </w:t>
      </w:r>
    </w:p>
    <w:p w14:paraId="431E2F71" w14:textId="77777777" w:rsidR="00CE04D1" w:rsidRPr="00AA1A20" w:rsidRDefault="00CE04D1" w:rsidP="0033273E">
      <w:pPr>
        <w:pStyle w:val="Heading2"/>
        <w:tabs>
          <w:tab w:val="clear" w:pos="851"/>
          <w:tab w:val="num" w:pos="1418"/>
        </w:tabs>
        <w:rPr>
          <w:rFonts w:cs="Open Sans"/>
        </w:rPr>
      </w:pPr>
      <w:bookmarkStart w:id="88" w:name="_Toc524352511"/>
      <w:r w:rsidRPr="00AA1A20">
        <w:rPr>
          <w:rFonts w:cs="Open Sans"/>
        </w:rPr>
        <w:t>Interaction with warrants</w:t>
      </w:r>
      <w:bookmarkEnd w:id="88"/>
    </w:p>
    <w:p w14:paraId="15DF5A23" w14:textId="17B29C81" w:rsidR="00CE04D1" w:rsidRPr="00AA1A20" w:rsidRDefault="00CE04D1" w:rsidP="00A044DE">
      <w:pPr>
        <w:pStyle w:val="ListNumber"/>
        <w:tabs>
          <w:tab w:val="clear" w:pos="360"/>
          <w:tab w:val="num" w:pos="993"/>
          <w:tab w:val="left" w:pos="1418"/>
        </w:tabs>
        <w:ind w:left="709" w:hanging="567"/>
        <w:rPr>
          <w:rFonts w:cs="Open Sans"/>
        </w:rPr>
      </w:pPr>
      <w:r w:rsidRPr="00AA1A20">
        <w:rPr>
          <w:rFonts w:cs="Open Sans"/>
        </w:rPr>
        <w:t>The explanatory document states that the new assistance scheme will facilitate industry assistance, rather than serve as an independent channel to obtain private communications.</w:t>
      </w:r>
      <w:r w:rsidRPr="00AC5658">
        <w:rPr>
          <w:rStyle w:val="EndnoteReference"/>
          <w:vertAlign w:val="superscript"/>
        </w:rPr>
        <w:endnoteReference w:id="105"/>
      </w:r>
      <w:r w:rsidRPr="00AA1A20">
        <w:rPr>
          <w:rFonts w:cs="Open Sans"/>
        </w:rPr>
        <w:t xml:space="preserve"> It states that the reforms do not change the existing mechanisms that agencies must use to lawfully access telecommunications content and data for investigations.</w:t>
      </w:r>
      <w:r w:rsidRPr="00AC5658">
        <w:rPr>
          <w:rStyle w:val="EndnoteReference"/>
          <w:vertAlign w:val="superscript"/>
        </w:rPr>
        <w:endnoteReference w:id="106"/>
      </w:r>
      <w:r w:rsidRPr="00AA1A20">
        <w:rPr>
          <w:rFonts w:cs="Open Sans"/>
        </w:rPr>
        <w:t xml:space="preserve"> However, it is </w:t>
      </w:r>
      <w:r w:rsidRPr="00AA1A20">
        <w:rPr>
          <w:rFonts w:cs="Open Sans"/>
        </w:rPr>
        <w:lastRenderedPageBreak/>
        <w:t xml:space="preserve">unclear on several fronts exactly how requested or compelled assistance will interact with warrants. </w:t>
      </w:r>
    </w:p>
    <w:p w14:paraId="6B44E073" w14:textId="3A2AC161"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 xml:space="preserve">Proposed s 317ZH provides that a TAN and TCN have no effect to the extent they require a provider to do an act or thing which would require a warrant or authorisation under the TIA Act, the SD Act, the Crimes Act, the ASIO Act or the </w:t>
      </w:r>
      <w:r w:rsidRPr="00AA1A20">
        <w:rPr>
          <w:rFonts w:cs="Open Sans"/>
          <w:i/>
        </w:rPr>
        <w:t>Intelligence Services Act 2001</w:t>
      </w:r>
      <w:r w:rsidRPr="00AA1A20">
        <w:rPr>
          <w:rFonts w:cs="Open Sans"/>
        </w:rPr>
        <w:t xml:space="preserve"> (Cth). The explanatory document states that: </w:t>
      </w:r>
    </w:p>
    <w:p w14:paraId="4C63849A" w14:textId="77777777" w:rsidR="00CE04D1" w:rsidRPr="00AA1A20" w:rsidRDefault="00CE04D1" w:rsidP="00347E07">
      <w:pPr>
        <w:pStyle w:val="EndnoteText"/>
        <w:rPr>
          <w:rFonts w:cs="Open Sans"/>
        </w:rPr>
      </w:pPr>
      <w:r w:rsidRPr="00AA1A20">
        <w:rPr>
          <w:rFonts w:cs="Open Sans"/>
        </w:rPr>
        <w:t xml:space="preserve">This ensures that a technical assistance notice or technical capability notice </w:t>
      </w:r>
      <w:proofErr w:type="gramStart"/>
      <w:r w:rsidRPr="00AA1A20">
        <w:rPr>
          <w:rFonts w:cs="Open Sans"/>
        </w:rPr>
        <w:t>cannot be used</w:t>
      </w:r>
      <w:proofErr w:type="gramEnd"/>
      <w:r w:rsidRPr="00AA1A20">
        <w:rPr>
          <w:rFonts w:cs="Open Sans"/>
        </w:rPr>
        <w:t xml:space="preserve"> as an alternative to a warrant or authorisation under any of those acts. For example, a technical assistance notice or technical capability notice cannot require a provider to intercept communications; an interception warrant under the TIA Act would need to </w:t>
      </w:r>
      <w:proofErr w:type="gramStart"/>
      <w:r w:rsidRPr="00AA1A20">
        <w:rPr>
          <w:rFonts w:cs="Open Sans"/>
        </w:rPr>
        <w:t>be sought</w:t>
      </w:r>
      <w:proofErr w:type="gramEnd"/>
      <w:r w:rsidRPr="00AA1A20">
        <w:rPr>
          <w:rFonts w:cs="Open Sans"/>
        </w:rPr>
        <w:t xml:space="preserve">. However, a notice may require a provider to assist with the access of information or communications that </w:t>
      </w:r>
      <w:proofErr w:type="gramStart"/>
      <w:r w:rsidRPr="00AA1A20">
        <w:rPr>
          <w:rFonts w:cs="Open Sans"/>
        </w:rPr>
        <w:t>have been lawfully intercepted</w:t>
      </w:r>
      <w:proofErr w:type="gramEnd"/>
      <w:r w:rsidRPr="00AA1A20">
        <w:rPr>
          <w:rFonts w:cs="Open Sans"/>
        </w:rPr>
        <w:t>.</w:t>
      </w:r>
      <w:r w:rsidRPr="00AC5658">
        <w:rPr>
          <w:rStyle w:val="EndnoteReference"/>
          <w:vertAlign w:val="superscript"/>
          <w:lang w:val="en-US"/>
        </w:rPr>
        <w:endnoteReference w:id="107"/>
      </w:r>
      <w:r w:rsidRPr="00AA1A20">
        <w:rPr>
          <w:rFonts w:cs="Open Sans"/>
        </w:rPr>
        <w:t xml:space="preserve"> </w:t>
      </w:r>
    </w:p>
    <w:p w14:paraId="20E2E648" w14:textId="03337199"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 xml:space="preserve">If the intention of the framework is to facilitate assistance to access or make intelligible information that </w:t>
      </w:r>
      <w:proofErr w:type="gramStart"/>
      <w:r w:rsidRPr="00AA1A20">
        <w:rPr>
          <w:rFonts w:cs="Open Sans"/>
        </w:rPr>
        <w:t>has already been obtained</w:t>
      </w:r>
      <w:proofErr w:type="gramEnd"/>
      <w:r w:rsidRPr="00AA1A20">
        <w:rPr>
          <w:rFonts w:cs="Open Sans"/>
        </w:rPr>
        <w:t xml:space="preserve"> under a warrant, the Commission considers that the existence of a warrant should be made a precondition for the issue of a TAR, TAN or TCN. This will help confine the powers to the obtaining of technical assistance rather than the exercise of investigatory powers.</w:t>
      </w:r>
    </w:p>
    <w:p w14:paraId="3BA925EF" w14:textId="77777777"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 xml:space="preserve">Such a provision would also strengthen the nexus of the assistance framework to law enforcement and national security activities concerning serious crime, thereby enhancing its proportionality overall. </w:t>
      </w:r>
    </w:p>
    <w:p w14:paraId="7BD65C88" w14:textId="0790D983" w:rsidR="00CE04D1" w:rsidRPr="00AA1A20" w:rsidRDefault="00CE04D1" w:rsidP="00AA70A2">
      <w:pPr>
        <w:pStyle w:val="ListNumber"/>
        <w:tabs>
          <w:tab w:val="clear" w:pos="360"/>
          <w:tab w:val="num" w:pos="993"/>
          <w:tab w:val="left" w:pos="1418"/>
        </w:tabs>
        <w:ind w:left="709" w:hanging="567"/>
        <w:rPr>
          <w:rFonts w:cs="Open Sans"/>
        </w:rPr>
      </w:pPr>
      <w:r w:rsidRPr="00AA1A20">
        <w:rPr>
          <w:rFonts w:cs="Open Sans"/>
        </w:rPr>
        <w:t xml:space="preserve">Further, proposed s 317ZH only explicitly applies to TANs and TCNs, leaving open the question whether a TAR could somehow </w:t>
      </w:r>
      <w:r w:rsidR="007579CC">
        <w:rPr>
          <w:rFonts w:cs="Open Sans"/>
        </w:rPr>
        <w:t>permit</w:t>
      </w:r>
      <w:r w:rsidRPr="00AA1A20">
        <w:rPr>
          <w:rFonts w:cs="Open Sans"/>
        </w:rPr>
        <w:t xml:space="preserve"> assistance measures that would </w:t>
      </w:r>
      <w:r w:rsidR="007579CC">
        <w:rPr>
          <w:rFonts w:cs="Open Sans"/>
        </w:rPr>
        <w:t>otherwise</w:t>
      </w:r>
      <w:r w:rsidRPr="00AA1A20">
        <w:rPr>
          <w:rFonts w:cs="Open Sans"/>
        </w:rPr>
        <w:t xml:space="preserve"> require a warrant</w:t>
      </w:r>
      <w:r w:rsidR="007579CC">
        <w:rPr>
          <w:rFonts w:cs="Open Sans"/>
        </w:rPr>
        <w:t xml:space="preserve"> or authorisation</w:t>
      </w:r>
      <w:r w:rsidRPr="00AA1A20">
        <w:rPr>
          <w:rFonts w:cs="Open Sans"/>
        </w:rPr>
        <w:t xml:space="preserve">. The Commission considers that it would be appropriate for the draft Bill to make clear that a TAR also has no effect to the extent that an ‘act or thing’ requested to </w:t>
      </w:r>
      <w:proofErr w:type="gramStart"/>
      <w:r w:rsidRPr="00AA1A20">
        <w:rPr>
          <w:rFonts w:cs="Open Sans"/>
        </w:rPr>
        <w:t>be done</w:t>
      </w:r>
      <w:proofErr w:type="gramEnd"/>
      <w:r w:rsidRPr="00AA1A20">
        <w:rPr>
          <w:rFonts w:cs="Open Sans"/>
        </w:rPr>
        <w:t xml:space="preserve"> in the notice would otherwise require a warrant or authorisation.</w:t>
      </w:r>
    </w:p>
    <w:p w14:paraId="058E78B2" w14:textId="72F84744"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 xml:space="preserve">It is also problematic that the effective operation of proposed s 317ZH requires that, to some degree, a provider understands what act or things require a warrant. In the event that a provider does not have such knowledge, they may perform an act or thing despite the notice being invalid and having no effect. </w:t>
      </w:r>
    </w:p>
    <w:p w14:paraId="40BA517C" w14:textId="77777777" w:rsidR="00CE04D1" w:rsidRPr="00AA1A20" w:rsidRDefault="00CE04D1" w:rsidP="00AA70A2">
      <w:pPr>
        <w:pStyle w:val="ListNumber"/>
        <w:tabs>
          <w:tab w:val="clear" w:pos="360"/>
          <w:tab w:val="num" w:pos="993"/>
          <w:tab w:val="left" w:pos="1418"/>
        </w:tabs>
        <w:ind w:left="709" w:hanging="567"/>
        <w:rPr>
          <w:rFonts w:cs="Open Sans"/>
        </w:rPr>
      </w:pPr>
      <w:r w:rsidRPr="00AA1A20">
        <w:rPr>
          <w:rFonts w:cs="Open Sans"/>
        </w:rPr>
        <w:t xml:space="preserve">To avoid this circumstance arising, the Commission considers that providers should be made aware of whether a relevant warrant has been issued, and </w:t>
      </w:r>
      <w:proofErr w:type="gramStart"/>
      <w:r w:rsidRPr="00AA1A20">
        <w:rPr>
          <w:rFonts w:cs="Open Sans"/>
        </w:rPr>
        <w:t>broadly</w:t>
      </w:r>
      <w:proofErr w:type="gramEnd"/>
      <w:r w:rsidRPr="00AA1A20">
        <w:rPr>
          <w:rFonts w:cs="Open Sans"/>
        </w:rPr>
        <w:t xml:space="preserve"> what it permits. Providers </w:t>
      </w:r>
      <w:proofErr w:type="gramStart"/>
      <w:r w:rsidRPr="00AA1A20">
        <w:rPr>
          <w:rFonts w:cs="Open Sans"/>
        </w:rPr>
        <w:t>should also be provided</w:t>
      </w:r>
      <w:proofErr w:type="gramEnd"/>
      <w:r w:rsidRPr="00AA1A20">
        <w:rPr>
          <w:rFonts w:cs="Open Sans"/>
        </w:rPr>
        <w:t>, at the time a notice is issued to them, with general information about what actions are only permitted under a warrant.</w:t>
      </w:r>
    </w:p>
    <w:p w14:paraId="0D9563EB" w14:textId="06DBB73F" w:rsidR="00CE04D1" w:rsidRPr="00AA1A20" w:rsidRDefault="00CE04D1" w:rsidP="00347E07">
      <w:pPr>
        <w:pStyle w:val="ListNumber"/>
        <w:tabs>
          <w:tab w:val="clear" w:pos="360"/>
          <w:tab w:val="num" w:pos="993"/>
          <w:tab w:val="left" w:pos="1418"/>
        </w:tabs>
        <w:ind w:left="709" w:hanging="567"/>
        <w:rPr>
          <w:rFonts w:cs="Open Sans"/>
        </w:rPr>
      </w:pPr>
      <w:proofErr w:type="gramStart"/>
      <w:r w:rsidRPr="00AA1A20">
        <w:rPr>
          <w:rFonts w:cs="Open Sans"/>
        </w:rPr>
        <w:lastRenderedPageBreak/>
        <w:t>The Commission considers that, especially to assist the understanding of unsophisticated providers of their obligations, it is appropriate for the draft Bill to require that the form of a request or notice further include: a clear statement of whether compliance with a notice is voluntary or compelled; the legislative provisions which authorise the request or notice including which provision of s 317E (‘listed acts or things’) is relied upon; and the methods of review available to the provider.</w:t>
      </w:r>
      <w:proofErr w:type="gramEnd"/>
    </w:p>
    <w:p w14:paraId="0BB86E25" w14:textId="3655DA39" w:rsidR="00CE04D1" w:rsidRPr="00AA1A20" w:rsidRDefault="00CE04D1" w:rsidP="00347E07">
      <w:pPr>
        <w:pStyle w:val="ListNumber"/>
        <w:tabs>
          <w:tab w:val="clear" w:pos="360"/>
          <w:tab w:val="num" w:pos="993"/>
          <w:tab w:val="left" w:pos="1418"/>
        </w:tabs>
        <w:ind w:left="709" w:hanging="567"/>
        <w:rPr>
          <w:rFonts w:cs="Open Sans"/>
        </w:rPr>
      </w:pPr>
      <w:r w:rsidRPr="00AA1A20">
        <w:rPr>
          <w:rFonts w:cs="Open Sans"/>
        </w:rPr>
        <w:t>The Commission recommends that:</w:t>
      </w:r>
    </w:p>
    <w:p w14:paraId="59DA7D2A" w14:textId="77777777" w:rsidR="00CE04D1" w:rsidRPr="00AA1A20" w:rsidRDefault="00CE04D1" w:rsidP="00A74FCB">
      <w:pPr>
        <w:pStyle w:val="ListNumber"/>
        <w:numPr>
          <w:ilvl w:val="0"/>
          <w:numId w:val="0"/>
        </w:numPr>
        <w:tabs>
          <w:tab w:val="left" w:pos="1418"/>
        </w:tabs>
        <w:ind w:left="709"/>
        <w:rPr>
          <w:rFonts w:cs="Open Sans"/>
          <w:b/>
        </w:rPr>
      </w:pPr>
      <w:r w:rsidRPr="00AA1A20">
        <w:rPr>
          <w:rFonts w:cs="Open Sans"/>
          <w:b/>
        </w:rPr>
        <w:t>Recommendation 16</w:t>
      </w:r>
    </w:p>
    <w:p w14:paraId="1868EACC" w14:textId="30236B5C" w:rsidR="00CE04D1" w:rsidRPr="00AA1A20" w:rsidRDefault="00CE04D1" w:rsidP="00A74FCB">
      <w:pPr>
        <w:pStyle w:val="ListNumber"/>
        <w:numPr>
          <w:ilvl w:val="0"/>
          <w:numId w:val="0"/>
        </w:numPr>
        <w:tabs>
          <w:tab w:val="left" w:pos="1418"/>
        </w:tabs>
        <w:ind w:left="709"/>
        <w:rPr>
          <w:rFonts w:cs="Open Sans"/>
        </w:rPr>
      </w:pPr>
      <w:r w:rsidRPr="00AA1A20">
        <w:rPr>
          <w:rFonts w:cs="Open Sans"/>
        </w:rPr>
        <w:t xml:space="preserve">Serious consideration be given to redrafting proposed new Pt 15 of the </w:t>
      </w:r>
      <w:r w:rsidRPr="00AA1A20">
        <w:rPr>
          <w:rFonts w:cs="Open Sans"/>
          <w:i/>
        </w:rPr>
        <w:t>Telecommunications Act 1997</w:t>
      </w:r>
      <w:r w:rsidRPr="00AA1A20">
        <w:rPr>
          <w:rFonts w:cs="Open Sans"/>
        </w:rPr>
        <w:t xml:space="preserve"> (Cth), to require a warrant to be a precondition of the giving of a request or notice.</w:t>
      </w:r>
    </w:p>
    <w:p w14:paraId="704E1DD4" w14:textId="610FC8CD" w:rsidR="00CE04D1" w:rsidRPr="00AA1A20" w:rsidRDefault="00CE04D1" w:rsidP="00A74FCB">
      <w:pPr>
        <w:pStyle w:val="ListNumber"/>
        <w:numPr>
          <w:ilvl w:val="0"/>
          <w:numId w:val="0"/>
        </w:numPr>
        <w:tabs>
          <w:tab w:val="left" w:pos="1418"/>
        </w:tabs>
        <w:ind w:left="709"/>
        <w:rPr>
          <w:rFonts w:cs="Open Sans"/>
          <w:b/>
        </w:rPr>
      </w:pPr>
      <w:r w:rsidRPr="00AA1A20">
        <w:rPr>
          <w:rFonts w:cs="Open Sans"/>
          <w:b/>
        </w:rPr>
        <w:t>Recommendation 17</w:t>
      </w:r>
    </w:p>
    <w:p w14:paraId="0C04609D" w14:textId="05FCF8F9" w:rsidR="00CE04D1" w:rsidRPr="00AA1A20" w:rsidRDefault="00CE04D1" w:rsidP="00A74FCB">
      <w:pPr>
        <w:pStyle w:val="ListNumber"/>
        <w:numPr>
          <w:ilvl w:val="0"/>
          <w:numId w:val="0"/>
        </w:numPr>
        <w:tabs>
          <w:tab w:val="left" w:pos="1418"/>
        </w:tabs>
        <w:ind w:left="709"/>
        <w:rPr>
          <w:rFonts w:cs="Open Sans"/>
        </w:rPr>
      </w:pPr>
      <w:r w:rsidRPr="00AA1A20">
        <w:rPr>
          <w:rFonts w:cs="Open Sans"/>
        </w:rPr>
        <w:t xml:space="preserve">Proposed s 317ZH of the </w:t>
      </w:r>
      <w:r w:rsidRPr="00AA1A20">
        <w:rPr>
          <w:rFonts w:cs="Open Sans"/>
          <w:i/>
        </w:rPr>
        <w:t xml:space="preserve">Telecommunications Act 1997 </w:t>
      </w:r>
      <w:r w:rsidRPr="00AA1A20">
        <w:rPr>
          <w:rFonts w:cs="Open Sans"/>
        </w:rPr>
        <w:t>(Cth) be amended to include references to TARs as well as TANs and TCNS, to provide that a TAR has no effect to the extent to which it requests the doing of ‘acts or things’ for which a warrant or authorisation is required.</w:t>
      </w:r>
    </w:p>
    <w:p w14:paraId="213CC70C" w14:textId="77777777" w:rsidR="00CE04D1" w:rsidRPr="00AA1A20" w:rsidRDefault="00CE04D1" w:rsidP="00A74FCB">
      <w:pPr>
        <w:pStyle w:val="ListNumber"/>
        <w:numPr>
          <w:ilvl w:val="0"/>
          <w:numId w:val="0"/>
        </w:numPr>
        <w:tabs>
          <w:tab w:val="left" w:pos="1418"/>
        </w:tabs>
        <w:ind w:left="709"/>
        <w:rPr>
          <w:rFonts w:cs="Open Sans"/>
          <w:b/>
        </w:rPr>
      </w:pPr>
      <w:r w:rsidRPr="00AA1A20">
        <w:rPr>
          <w:rFonts w:cs="Open Sans"/>
          <w:b/>
        </w:rPr>
        <w:t>Recommendation 18</w:t>
      </w:r>
    </w:p>
    <w:p w14:paraId="1EFB2BF9" w14:textId="5D47A975" w:rsidR="00CE04D1" w:rsidRPr="00AA1A20" w:rsidRDefault="00CE04D1" w:rsidP="00A74FCB">
      <w:pPr>
        <w:pStyle w:val="ListNumber"/>
        <w:numPr>
          <w:ilvl w:val="0"/>
          <w:numId w:val="0"/>
        </w:numPr>
        <w:tabs>
          <w:tab w:val="left" w:pos="1418"/>
        </w:tabs>
        <w:ind w:left="709"/>
        <w:rPr>
          <w:rFonts w:cs="Open Sans"/>
        </w:rPr>
      </w:pPr>
      <w:r w:rsidRPr="00AA1A20">
        <w:rPr>
          <w:rFonts w:cs="Open Sans"/>
        </w:rPr>
        <w:t xml:space="preserve">Proposed ss 317H, 317JA, 317M, 317Q, 317T and 317X of the </w:t>
      </w:r>
      <w:r w:rsidRPr="00AA1A20">
        <w:rPr>
          <w:rFonts w:cs="Open Sans"/>
          <w:i/>
        </w:rPr>
        <w:t xml:space="preserve">Telecommunications Act 1997 </w:t>
      </w:r>
      <w:r w:rsidRPr="00AA1A20">
        <w:rPr>
          <w:rFonts w:cs="Open Sans"/>
        </w:rPr>
        <w:t xml:space="preserve">(Cth) be amended to require that the form of request or notice or a varied request or notice given to a provider include: </w:t>
      </w:r>
    </w:p>
    <w:p w14:paraId="3308B681" w14:textId="6F48D08D" w:rsidR="00CE04D1" w:rsidRPr="00AA1A20" w:rsidRDefault="00CE04D1" w:rsidP="000A117B">
      <w:pPr>
        <w:pStyle w:val="Bullet"/>
        <w:tabs>
          <w:tab w:val="clear" w:pos="360"/>
          <w:tab w:val="num" w:pos="1560"/>
        </w:tabs>
        <w:ind w:left="1287" w:hanging="567"/>
        <w:rPr>
          <w:rFonts w:cs="Open Sans"/>
        </w:rPr>
      </w:pPr>
      <w:r w:rsidRPr="00AA1A20">
        <w:rPr>
          <w:rFonts w:cs="Open Sans"/>
        </w:rPr>
        <w:t xml:space="preserve">a statement about whether a relevant warrant has been issued and what it broadly permits </w:t>
      </w:r>
    </w:p>
    <w:p w14:paraId="704E420F" w14:textId="77777777" w:rsidR="00CE04D1" w:rsidRPr="00AA1A20" w:rsidRDefault="00CE04D1" w:rsidP="000A117B">
      <w:pPr>
        <w:pStyle w:val="Bullet"/>
        <w:tabs>
          <w:tab w:val="clear" w:pos="360"/>
          <w:tab w:val="num" w:pos="1560"/>
        </w:tabs>
        <w:ind w:left="1287" w:hanging="567"/>
        <w:rPr>
          <w:rFonts w:cs="Open Sans"/>
        </w:rPr>
      </w:pPr>
      <w:r w:rsidRPr="00AA1A20">
        <w:rPr>
          <w:rFonts w:cs="Open Sans"/>
        </w:rPr>
        <w:t>general information about what actions are only permitted under a warrant</w:t>
      </w:r>
    </w:p>
    <w:p w14:paraId="0549396E" w14:textId="6EBAF25B" w:rsidR="00CE04D1" w:rsidRPr="00AA1A20" w:rsidRDefault="00CE04D1" w:rsidP="000A117B">
      <w:pPr>
        <w:pStyle w:val="Bullet"/>
        <w:tabs>
          <w:tab w:val="clear" w:pos="360"/>
          <w:tab w:val="num" w:pos="1560"/>
        </w:tabs>
        <w:ind w:left="1287" w:hanging="567"/>
        <w:rPr>
          <w:rFonts w:cs="Open Sans"/>
        </w:rPr>
      </w:pPr>
      <w:r w:rsidRPr="00AA1A20">
        <w:rPr>
          <w:rFonts w:cs="Open Sans"/>
        </w:rPr>
        <w:t xml:space="preserve">whether compliance is voluntary or mandatory </w:t>
      </w:r>
    </w:p>
    <w:p w14:paraId="652CEDBA" w14:textId="5290180D" w:rsidR="00CE04D1" w:rsidRPr="00AA1A20" w:rsidRDefault="00CE04D1" w:rsidP="000A117B">
      <w:pPr>
        <w:pStyle w:val="Bullet"/>
        <w:tabs>
          <w:tab w:val="clear" w:pos="360"/>
          <w:tab w:val="num" w:pos="1560"/>
        </w:tabs>
        <w:ind w:left="1287" w:hanging="567"/>
        <w:rPr>
          <w:rFonts w:cs="Open Sans"/>
        </w:rPr>
      </w:pPr>
      <w:r w:rsidRPr="00AA1A20">
        <w:rPr>
          <w:rFonts w:cs="Open Sans"/>
        </w:rPr>
        <w:t>the legislative provisions which authorise the request or notice including which provision of s 317E (‘listed acts or things’) is relied upon</w:t>
      </w:r>
    </w:p>
    <w:p w14:paraId="07A8DE54" w14:textId="77777777" w:rsidR="00CE04D1" w:rsidRPr="00AA1A20" w:rsidRDefault="00CE04D1" w:rsidP="000A117B">
      <w:pPr>
        <w:pStyle w:val="Bullet"/>
        <w:tabs>
          <w:tab w:val="clear" w:pos="360"/>
          <w:tab w:val="num" w:pos="1560"/>
        </w:tabs>
        <w:ind w:left="1287" w:hanging="567"/>
        <w:rPr>
          <w:rFonts w:cs="Open Sans"/>
        </w:rPr>
      </w:pPr>
      <w:r w:rsidRPr="00AA1A20">
        <w:rPr>
          <w:rFonts w:cs="Open Sans"/>
        </w:rPr>
        <w:t xml:space="preserve"> </w:t>
      </w:r>
      <w:proofErr w:type="gramStart"/>
      <w:r w:rsidRPr="00AA1A20">
        <w:rPr>
          <w:rFonts w:cs="Open Sans"/>
        </w:rPr>
        <w:t>the</w:t>
      </w:r>
      <w:proofErr w:type="gramEnd"/>
      <w:r w:rsidRPr="00AA1A20">
        <w:rPr>
          <w:rFonts w:cs="Open Sans"/>
        </w:rPr>
        <w:t xml:space="preserve"> methods of review available to the provider.</w:t>
      </w:r>
    </w:p>
    <w:p w14:paraId="568B70DC" w14:textId="4E5C9ECE" w:rsidR="00CE04D1" w:rsidRPr="00AA1A20" w:rsidRDefault="00CE04D1" w:rsidP="002C5361">
      <w:pPr>
        <w:pStyle w:val="Heading2"/>
        <w:tabs>
          <w:tab w:val="clear" w:pos="851"/>
          <w:tab w:val="num" w:pos="1418"/>
        </w:tabs>
        <w:rPr>
          <w:rFonts w:cs="Open Sans"/>
        </w:rPr>
      </w:pPr>
      <w:bookmarkStart w:id="89" w:name="_Ref524083729"/>
      <w:bookmarkStart w:id="90" w:name="_Toc524352512"/>
      <w:r w:rsidRPr="00AA1A20">
        <w:rPr>
          <w:rFonts w:cs="Open Sans"/>
        </w:rPr>
        <w:t>Voluntary nature of requests</w:t>
      </w:r>
      <w:bookmarkEnd w:id="89"/>
      <w:bookmarkEnd w:id="90"/>
    </w:p>
    <w:p w14:paraId="3E757DDD" w14:textId="77777777" w:rsidR="00CE04D1" w:rsidRPr="00AA1A20" w:rsidRDefault="00CE04D1" w:rsidP="00A3700F">
      <w:pPr>
        <w:pStyle w:val="ListNumber"/>
        <w:tabs>
          <w:tab w:val="clear" w:pos="360"/>
          <w:tab w:val="num" w:pos="993"/>
          <w:tab w:val="left" w:pos="1418"/>
        </w:tabs>
        <w:ind w:left="709" w:hanging="567"/>
        <w:rPr>
          <w:rFonts w:cs="Open Sans"/>
        </w:rPr>
      </w:pPr>
      <w:r w:rsidRPr="00AA1A20">
        <w:rPr>
          <w:rFonts w:cs="Open Sans"/>
        </w:rPr>
        <w:t xml:space="preserve">Proposed s 317G provides for the giving of a TAR. Proposed s 317H provides for the form of a TAR. </w:t>
      </w:r>
    </w:p>
    <w:p w14:paraId="3C6A6E3D" w14:textId="39D2EF9E" w:rsidR="00CE04D1" w:rsidRPr="00AA1A20" w:rsidRDefault="00CE04D1" w:rsidP="00AA03D0">
      <w:pPr>
        <w:pStyle w:val="ListNumber"/>
        <w:tabs>
          <w:tab w:val="clear" w:pos="360"/>
          <w:tab w:val="num" w:pos="993"/>
          <w:tab w:val="left" w:pos="1418"/>
        </w:tabs>
        <w:ind w:left="709" w:hanging="567"/>
        <w:rPr>
          <w:rFonts w:cs="Open Sans"/>
        </w:rPr>
      </w:pPr>
      <w:r w:rsidRPr="00AA1A20">
        <w:rPr>
          <w:rFonts w:cs="Open Sans"/>
        </w:rPr>
        <w:t xml:space="preserve">The heading of Division 2 of proposed new Pt 15 is ‘Voluntary technical assistance’. The heading of proposed s 317G is ‘Voluntary technical assistance provided to ASIO, the Australian Secret Intelligence Service, the </w:t>
      </w:r>
      <w:r w:rsidRPr="00AA1A20">
        <w:rPr>
          <w:rFonts w:cs="Open Sans"/>
        </w:rPr>
        <w:lastRenderedPageBreak/>
        <w:t xml:space="preserve">Australian Signals Directorate or an interception agency’. While these aspects of the legislation, as well as the explanatory document, state that a TAR is voluntary, the Commission is concerned that providers may not properly understand their optional nature. </w:t>
      </w:r>
    </w:p>
    <w:p w14:paraId="5A13E3AA" w14:textId="2C8C9887" w:rsidR="00CE04D1" w:rsidRPr="00AA1A20" w:rsidRDefault="00CE04D1" w:rsidP="00A3700F">
      <w:pPr>
        <w:pStyle w:val="ListNumber"/>
        <w:tabs>
          <w:tab w:val="clear" w:pos="360"/>
          <w:tab w:val="num" w:pos="993"/>
          <w:tab w:val="left" w:pos="1418"/>
        </w:tabs>
        <w:ind w:left="709" w:hanging="567"/>
        <w:rPr>
          <w:rFonts w:cs="Open Sans"/>
        </w:rPr>
      </w:pPr>
      <w:r w:rsidRPr="00AA1A20">
        <w:rPr>
          <w:rFonts w:cs="Open Sans"/>
        </w:rPr>
        <w:t xml:space="preserve">The receipt of a TAR from a government agency, especially if in writing and, for example, from the Director-General of ASIS, may take on a level of formality and pressure for a provider to comply despite being under no lawful compulsion. Again, this is particularly a concern with respect to less sophisticated providers. </w:t>
      </w:r>
    </w:p>
    <w:p w14:paraId="4811D1DD" w14:textId="77777777" w:rsidR="00CE04D1" w:rsidRPr="00AA1A20" w:rsidRDefault="00CE04D1" w:rsidP="00A3700F">
      <w:pPr>
        <w:pStyle w:val="ListNumber"/>
        <w:tabs>
          <w:tab w:val="clear" w:pos="360"/>
          <w:tab w:val="num" w:pos="993"/>
          <w:tab w:val="left" w:pos="1418"/>
        </w:tabs>
        <w:ind w:left="709" w:hanging="567"/>
        <w:rPr>
          <w:rFonts w:cs="Open Sans"/>
        </w:rPr>
      </w:pPr>
      <w:r w:rsidRPr="00AA1A20">
        <w:rPr>
          <w:rFonts w:cs="Open Sans"/>
        </w:rPr>
        <w:t xml:space="preserve">The Commission considers that proposed s 317G should explicitly provide that a TAR is voluntary. Further, proposed s 317H should require that the form of a TAR include notification that the request is voluntary and that there is no penalty for non-compliance. </w:t>
      </w:r>
    </w:p>
    <w:p w14:paraId="6EACF4B5" w14:textId="77777777" w:rsidR="00CE04D1" w:rsidRPr="00AA1A20" w:rsidRDefault="00CE04D1" w:rsidP="00A3700F">
      <w:pPr>
        <w:pStyle w:val="ListNumber"/>
        <w:tabs>
          <w:tab w:val="clear" w:pos="360"/>
          <w:tab w:val="num" w:pos="993"/>
          <w:tab w:val="left" w:pos="1418"/>
        </w:tabs>
        <w:ind w:left="709" w:hanging="567"/>
        <w:rPr>
          <w:rFonts w:cs="Open Sans"/>
        </w:rPr>
      </w:pPr>
      <w:r w:rsidRPr="00AA1A20">
        <w:rPr>
          <w:rFonts w:cs="Open Sans"/>
        </w:rPr>
        <w:t xml:space="preserve">The Commission further considers that it is generally appropriate for voluntary requests </w:t>
      </w:r>
      <w:proofErr w:type="gramStart"/>
      <w:r w:rsidRPr="00AA1A20">
        <w:rPr>
          <w:rFonts w:cs="Open Sans"/>
        </w:rPr>
        <w:t>to mandatorily precede</w:t>
      </w:r>
      <w:proofErr w:type="gramEnd"/>
      <w:r w:rsidRPr="00AA1A20">
        <w:rPr>
          <w:rFonts w:cs="Open Sans"/>
        </w:rPr>
        <w:t xml:space="preserve"> compelled assistance. </w:t>
      </w:r>
    </w:p>
    <w:p w14:paraId="7C34B365" w14:textId="77777777" w:rsidR="00CE04D1" w:rsidRPr="00AA1A20" w:rsidRDefault="00CE04D1" w:rsidP="00A3700F">
      <w:pPr>
        <w:pStyle w:val="ListNumber"/>
        <w:tabs>
          <w:tab w:val="clear" w:pos="360"/>
          <w:tab w:val="num" w:pos="993"/>
          <w:tab w:val="left" w:pos="1418"/>
        </w:tabs>
        <w:ind w:left="709" w:hanging="567"/>
        <w:rPr>
          <w:rFonts w:cs="Open Sans"/>
        </w:rPr>
      </w:pPr>
      <w:r w:rsidRPr="00AA1A20">
        <w:rPr>
          <w:rFonts w:cs="Open Sans"/>
        </w:rPr>
        <w:t xml:space="preserve">Given that TARs are </w:t>
      </w:r>
      <w:proofErr w:type="gramStart"/>
      <w:r w:rsidRPr="00AA1A20">
        <w:rPr>
          <w:rFonts w:cs="Open Sans"/>
        </w:rPr>
        <w:t>less</w:t>
      </w:r>
      <w:proofErr w:type="gramEnd"/>
      <w:r w:rsidRPr="00AA1A20">
        <w:rPr>
          <w:rFonts w:cs="Open Sans"/>
        </w:rPr>
        <w:t xml:space="preserve"> rights restrictive, in the absence of evidence that compulsion is required in the first instance, it is preferable for the framework to operate in a graduated manner. </w:t>
      </w:r>
    </w:p>
    <w:p w14:paraId="0CD31C69" w14:textId="3B1048E3" w:rsidR="00CE04D1" w:rsidRPr="00AA1A20" w:rsidRDefault="00CE04D1" w:rsidP="00A3700F">
      <w:pPr>
        <w:pStyle w:val="ListNumber"/>
        <w:tabs>
          <w:tab w:val="clear" w:pos="360"/>
          <w:tab w:val="num" w:pos="993"/>
          <w:tab w:val="left" w:pos="1418"/>
        </w:tabs>
        <w:ind w:left="709" w:hanging="567"/>
        <w:rPr>
          <w:rFonts w:cs="Open Sans"/>
        </w:rPr>
      </w:pPr>
      <w:r w:rsidRPr="00AA1A20">
        <w:rPr>
          <w:rFonts w:cs="Open Sans"/>
        </w:rPr>
        <w:t xml:space="preserve">Mandating the giving of a TAR before any notice </w:t>
      </w:r>
      <w:proofErr w:type="gramStart"/>
      <w:r w:rsidRPr="00AA1A20">
        <w:rPr>
          <w:rFonts w:cs="Open Sans"/>
        </w:rPr>
        <w:t>is issued</w:t>
      </w:r>
      <w:proofErr w:type="gramEnd"/>
      <w:r w:rsidRPr="00AA1A20">
        <w:rPr>
          <w:rFonts w:cs="Open Sans"/>
        </w:rPr>
        <w:t xml:space="preserve">, unless exceptional and urgent circumstances exist, will enhance the proportionality of the giving of notices in the event that a TAR is insufficient. </w:t>
      </w:r>
    </w:p>
    <w:p w14:paraId="19F59F38" w14:textId="77777777" w:rsidR="00CE04D1" w:rsidRPr="00AA1A20" w:rsidRDefault="00CE04D1" w:rsidP="005D333B">
      <w:pPr>
        <w:pStyle w:val="ListNumber"/>
        <w:tabs>
          <w:tab w:val="clear" w:pos="360"/>
          <w:tab w:val="num" w:pos="993"/>
          <w:tab w:val="left" w:pos="1418"/>
        </w:tabs>
        <w:ind w:left="709" w:hanging="567"/>
        <w:rPr>
          <w:rFonts w:cs="Open Sans"/>
        </w:rPr>
      </w:pPr>
      <w:r w:rsidRPr="00AA1A20">
        <w:rPr>
          <w:rFonts w:cs="Open Sans"/>
        </w:rPr>
        <w:t>The Commission recommends that:</w:t>
      </w:r>
    </w:p>
    <w:p w14:paraId="2DE24683" w14:textId="77777777" w:rsidR="00CE04D1" w:rsidRPr="00AA1A20" w:rsidRDefault="00CE04D1" w:rsidP="00BA2999">
      <w:pPr>
        <w:pStyle w:val="ListNumber"/>
        <w:numPr>
          <w:ilvl w:val="0"/>
          <w:numId w:val="0"/>
        </w:numPr>
        <w:ind w:left="720"/>
        <w:rPr>
          <w:rFonts w:cs="Open Sans"/>
          <w:b/>
        </w:rPr>
      </w:pPr>
      <w:r w:rsidRPr="00AA1A20">
        <w:rPr>
          <w:rFonts w:cs="Open Sans"/>
          <w:b/>
        </w:rPr>
        <w:t>Recommendation 19</w:t>
      </w:r>
    </w:p>
    <w:p w14:paraId="01AAFF72" w14:textId="5B282362" w:rsidR="00CE04D1" w:rsidRPr="00AA1A20" w:rsidRDefault="00CE04D1" w:rsidP="00BA2999">
      <w:pPr>
        <w:pStyle w:val="ListNumber"/>
        <w:numPr>
          <w:ilvl w:val="0"/>
          <w:numId w:val="0"/>
        </w:numPr>
        <w:ind w:left="720"/>
        <w:rPr>
          <w:rFonts w:cs="Open Sans"/>
        </w:rPr>
      </w:pPr>
      <w:r w:rsidRPr="00AA1A20">
        <w:rPr>
          <w:rFonts w:cs="Open Sans"/>
        </w:rPr>
        <w:t xml:space="preserve">Proposed s 317G of the </w:t>
      </w:r>
      <w:r w:rsidRPr="00AA1A20">
        <w:rPr>
          <w:rFonts w:cs="Open Sans"/>
          <w:i/>
        </w:rPr>
        <w:t xml:space="preserve">Telecommunications Act 1997 </w:t>
      </w:r>
      <w:r w:rsidRPr="00AA1A20">
        <w:rPr>
          <w:rFonts w:cs="Open Sans"/>
        </w:rPr>
        <w:t xml:space="preserve">(Cth) be amended to explicitly provide, whether by provision or explanatory note, that compliance with a TAR is voluntary. </w:t>
      </w:r>
    </w:p>
    <w:p w14:paraId="6F0E3425" w14:textId="407B8B34" w:rsidR="00CE04D1" w:rsidRPr="00AA1A20" w:rsidRDefault="00CE04D1" w:rsidP="00BA2999">
      <w:pPr>
        <w:pStyle w:val="ListNumber"/>
        <w:numPr>
          <w:ilvl w:val="0"/>
          <w:numId w:val="0"/>
        </w:numPr>
        <w:ind w:left="720"/>
        <w:rPr>
          <w:rFonts w:cs="Open Sans"/>
          <w:b/>
        </w:rPr>
      </w:pPr>
      <w:r w:rsidRPr="00AA1A20">
        <w:rPr>
          <w:rFonts w:cs="Open Sans"/>
          <w:b/>
        </w:rPr>
        <w:t>Recommendation 20</w:t>
      </w:r>
    </w:p>
    <w:p w14:paraId="18166DEA" w14:textId="075BFD39" w:rsidR="00CE04D1" w:rsidRPr="00AA1A20" w:rsidRDefault="00CE04D1" w:rsidP="00BA2999">
      <w:pPr>
        <w:pStyle w:val="ListNumber"/>
        <w:numPr>
          <w:ilvl w:val="0"/>
          <w:numId w:val="0"/>
        </w:numPr>
        <w:ind w:left="720"/>
        <w:rPr>
          <w:rFonts w:cs="Open Sans"/>
        </w:rPr>
      </w:pPr>
      <w:r w:rsidRPr="00AA1A20">
        <w:rPr>
          <w:rFonts w:cs="Open Sans"/>
        </w:rPr>
        <w:t xml:space="preserve">Proposed s 317H of the </w:t>
      </w:r>
      <w:r w:rsidRPr="00AA1A20">
        <w:rPr>
          <w:rFonts w:cs="Open Sans"/>
          <w:i/>
        </w:rPr>
        <w:t xml:space="preserve">Telecommunications Act 1997 </w:t>
      </w:r>
      <w:r w:rsidRPr="00AA1A20">
        <w:rPr>
          <w:rFonts w:cs="Open Sans"/>
        </w:rPr>
        <w:t xml:space="preserve">(Cth) be amended to require that the form of a TAR include notification to the provider that the request is voluntary and that there is no penalty for non-compliance. </w:t>
      </w:r>
    </w:p>
    <w:p w14:paraId="72831A76" w14:textId="77777777" w:rsidR="00CE04D1" w:rsidRPr="00AA1A20" w:rsidRDefault="00CE04D1" w:rsidP="00BA2999">
      <w:pPr>
        <w:pStyle w:val="ListNumber"/>
        <w:numPr>
          <w:ilvl w:val="0"/>
          <w:numId w:val="0"/>
        </w:numPr>
        <w:ind w:left="720"/>
        <w:rPr>
          <w:rFonts w:cs="Open Sans"/>
          <w:b/>
        </w:rPr>
      </w:pPr>
      <w:r w:rsidRPr="00AA1A20">
        <w:rPr>
          <w:rFonts w:cs="Open Sans"/>
          <w:b/>
        </w:rPr>
        <w:t>Recommendation 21</w:t>
      </w:r>
    </w:p>
    <w:p w14:paraId="2F837803" w14:textId="1A05FB37" w:rsidR="00CE04D1" w:rsidRPr="00AA1A20" w:rsidRDefault="00CE04D1" w:rsidP="00BA2999">
      <w:pPr>
        <w:pStyle w:val="ListNumber"/>
        <w:numPr>
          <w:ilvl w:val="0"/>
          <w:numId w:val="0"/>
        </w:numPr>
        <w:ind w:left="720"/>
        <w:rPr>
          <w:rFonts w:cs="Open Sans"/>
        </w:rPr>
      </w:pPr>
      <w:r w:rsidRPr="00AA1A20">
        <w:rPr>
          <w:rFonts w:cs="Open Sans"/>
        </w:rPr>
        <w:t xml:space="preserve">Proposed Pt 15 of the </w:t>
      </w:r>
      <w:r w:rsidRPr="00AA1A20">
        <w:rPr>
          <w:rFonts w:cs="Open Sans"/>
          <w:i/>
        </w:rPr>
        <w:t xml:space="preserve">Telecommunications Act 1997 </w:t>
      </w:r>
      <w:r w:rsidRPr="00AA1A20">
        <w:rPr>
          <w:rFonts w:cs="Open Sans"/>
        </w:rPr>
        <w:t>(Cth) be amended to require the giving of a TAR before a compulsory TAN or TCN can be given, unless exceptional and urgent circumstances exist which warrant otherwise.</w:t>
      </w:r>
    </w:p>
    <w:p w14:paraId="0D00962B" w14:textId="29F8C844" w:rsidR="00CE04D1" w:rsidRPr="00AA1A20" w:rsidRDefault="00CE04D1" w:rsidP="00BA6738">
      <w:pPr>
        <w:pStyle w:val="Heading2"/>
        <w:tabs>
          <w:tab w:val="clear" w:pos="851"/>
          <w:tab w:val="num" w:pos="1418"/>
        </w:tabs>
        <w:rPr>
          <w:rFonts w:cs="Open Sans"/>
        </w:rPr>
      </w:pPr>
      <w:bookmarkStart w:id="91" w:name="_Toc524352513"/>
      <w:r w:rsidRPr="00AA1A20">
        <w:rPr>
          <w:rFonts w:cs="Open Sans"/>
        </w:rPr>
        <w:lastRenderedPageBreak/>
        <w:t>Secrecy provision</w:t>
      </w:r>
      <w:bookmarkEnd w:id="91"/>
    </w:p>
    <w:p w14:paraId="6A8DA079" w14:textId="455E4706" w:rsidR="00CE04D1" w:rsidRPr="00AA1A20" w:rsidRDefault="00CE04D1" w:rsidP="00AA3E4F">
      <w:pPr>
        <w:pStyle w:val="ListNumber"/>
        <w:tabs>
          <w:tab w:val="clear" w:pos="360"/>
          <w:tab w:val="num" w:pos="993"/>
          <w:tab w:val="left" w:pos="1418"/>
        </w:tabs>
        <w:ind w:left="709" w:hanging="567"/>
        <w:rPr>
          <w:rFonts w:cs="Open Sans"/>
        </w:rPr>
      </w:pPr>
      <w:proofErr w:type="gramStart"/>
      <w:r w:rsidRPr="00AA1A20">
        <w:rPr>
          <w:rFonts w:cs="Open Sans"/>
        </w:rPr>
        <w:t>Under proposed s 317ZF(1), it is an offence for a provider (including its employees and contractors), entrusted ASIO, ASIS or ASD persons, officers of an interception agency, an officer or employee of the Commonwealth, a State or Territory or an arbitrator appointed under s 317ZK, to disclose TAR, TAN or TCN information, or information obtained in accordance with a request or notice.</w:t>
      </w:r>
      <w:proofErr w:type="gramEnd"/>
      <w:r w:rsidRPr="00AA1A20">
        <w:rPr>
          <w:rFonts w:cs="Open Sans"/>
        </w:rPr>
        <w:t xml:space="preserve"> Such information </w:t>
      </w:r>
      <w:proofErr w:type="gramStart"/>
      <w:r w:rsidRPr="00AA1A20">
        <w:rPr>
          <w:rFonts w:cs="Open Sans"/>
        </w:rPr>
        <w:t>is broadly defined</w:t>
      </w:r>
      <w:proofErr w:type="gramEnd"/>
      <w:r w:rsidRPr="00AA1A20">
        <w:rPr>
          <w:rFonts w:cs="Open Sans"/>
        </w:rPr>
        <w:t xml:space="preserve"> and includes the very existence or non-existence of a request or notice, and the ‘acts or things’ done in compliance.</w:t>
      </w:r>
      <w:r w:rsidRPr="00AC5658">
        <w:rPr>
          <w:rStyle w:val="EndnoteReference"/>
          <w:vertAlign w:val="superscript"/>
        </w:rPr>
        <w:endnoteReference w:id="108"/>
      </w:r>
    </w:p>
    <w:p w14:paraId="56522C47" w14:textId="6C3F5A3C" w:rsidR="00CE04D1" w:rsidRPr="00AA1A20" w:rsidRDefault="00CE04D1" w:rsidP="00AA3E4F">
      <w:pPr>
        <w:pStyle w:val="ListNumber"/>
        <w:tabs>
          <w:tab w:val="clear" w:pos="360"/>
          <w:tab w:val="num" w:pos="993"/>
          <w:tab w:val="left" w:pos="1418"/>
        </w:tabs>
        <w:ind w:left="709" w:hanging="567"/>
        <w:rPr>
          <w:rFonts w:cs="Open Sans"/>
        </w:rPr>
      </w:pPr>
      <w:r w:rsidRPr="00AA1A20">
        <w:rPr>
          <w:rFonts w:cs="Open Sans"/>
          <w:lang w:val="en-US"/>
        </w:rPr>
        <w:t>The explanatory document states that the offence does not include an express requirement of harm, because ‘there is a high risk that the release of sensitive information contrary to this section will cause significant harm to essential public interests, including national security and protection of public safety’.</w:t>
      </w:r>
      <w:r w:rsidRPr="00AC5658">
        <w:rPr>
          <w:rStyle w:val="EndnoteReference"/>
          <w:vertAlign w:val="superscript"/>
          <w:lang w:val="en-US"/>
        </w:rPr>
        <w:endnoteReference w:id="109"/>
      </w:r>
    </w:p>
    <w:p w14:paraId="29799655" w14:textId="78085947" w:rsidR="00CE04D1" w:rsidRPr="00AA1A20" w:rsidRDefault="00CE04D1" w:rsidP="00AA3E4F">
      <w:pPr>
        <w:pStyle w:val="ListNumber"/>
        <w:tabs>
          <w:tab w:val="clear" w:pos="360"/>
          <w:tab w:val="num" w:pos="993"/>
          <w:tab w:val="left" w:pos="1418"/>
        </w:tabs>
        <w:ind w:left="709" w:hanging="567"/>
        <w:rPr>
          <w:rFonts w:cs="Open Sans"/>
        </w:rPr>
      </w:pPr>
      <w:r w:rsidRPr="00AA1A20">
        <w:rPr>
          <w:rFonts w:cs="Open Sans"/>
        </w:rPr>
        <w:t xml:space="preserve">Proposed s </w:t>
      </w:r>
      <w:proofErr w:type="gramStart"/>
      <w:r w:rsidRPr="00AA1A20">
        <w:rPr>
          <w:rFonts w:cs="Open Sans"/>
        </w:rPr>
        <w:t>317ZF(</w:t>
      </w:r>
      <w:proofErr w:type="gramEnd"/>
      <w:r w:rsidRPr="00AA1A20">
        <w:rPr>
          <w:rFonts w:cs="Open Sans"/>
        </w:rPr>
        <w:t xml:space="preserve">3) creates general exceptions to the secrecy provision. </w:t>
      </w:r>
      <w:proofErr w:type="gramStart"/>
      <w:r w:rsidRPr="00AA1A20">
        <w:rPr>
          <w:rFonts w:cs="Open Sans"/>
        </w:rPr>
        <w:t xml:space="preserve">It provides that information can be disclosed in connection with: the administration or execution of the </w:t>
      </w:r>
      <w:r w:rsidRPr="00AA1A20">
        <w:rPr>
          <w:rFonts w:cs="Open Sans"/>
          <w:lang w:val="en-US"/>
        </w:rPr>
        <w:t>Part</w:t>
      </w:r>
      <w:r w:rsidRPr="00AA1A20">
        <w:rPr>
          <w:rFonts w:cs="Open Sans"/>
        </w:rPr>
        <w:t xml:space="preserve"> and related provisions; for the purpose of any legal proceedings or reports of such proceedings; in accordance with any requirement imposed by law; for the purpose of obtaining legal advice in relation to the Part; or in connection with the performance of functions or the exercise of powers by ASIO, ASIS, the ASD or an interception agency.</w:t>
      </w:r>
      <w:proofErr w:type="gramEnd"/>
      <w:r w:rsidRPr="00AA1A20">
        <w:rPr>
          <w:rFonts w:cs="Open Sans"/>
        </w:rPr>
        <w:t xml:space="preserve"> </w:t>
      </w:r>
    </w:p>
    <w:p w14:paraId="3888FBFE" w14:textId="51C8FDC8" w:rsidR="00CE04D1" w:rsidRPr="00AA1A20" w:rsidRDefault="00CE04D1" w:rsidP="00AA3E4F">
      <w:pPr>
        <w:pStyle w:val="ListNumber"/>
        <w:tabs>
          <w:tab w:val="clear" w:pos="360"/>
          <w:tab w:val="num" w:pos="993"/>
          <w:tab w:val="left" w:pos="1418"/>
        </w:tabs>
        <w:ind w:left="709" w:hanging="567"/>
        <w:rPr>
          <w:rFonts w:cs="Open Sans"/>
        </w:rPr>
      </w:pPr>
      <w:r w:rsidRPr="00AA1A20">
        <w:rPr>
          <w:rFonts w:cs="Open Sans"/>
        </w:rPr>
        <w:t xml:space="preserve">Disclosures </w:t>
      </w:r>
      <w:proofErr w:type="gramStart"/>
      <w:r w:rsidRPr="00AA1A20">
        <w:rPr>
          <w:rFonts w:cs="Open Sans"/>
        </w:rPr>
        <w:t>can also be made</w:t>
      </w:r>
      <w:proofErr w:type="gramEnd"/>
      <w:r w:rsidRPr="00AA1A20">
        <w:rPr>
          <w:rFonts w:cs="Open Sans"/>
        </w:rPr>
        <w:t xml:space="preserve"> to an Inspector-General of Intelligence and Security (IGIS) official. An IGIS official may further disclose information in connection with their exercise of powers or performance </w:t>
      </w:r>
      <w:r w:rsidRPr="00AA1A20">
        <w:rPr>
          <w:rFonts w:cs="Open Sans"/>
          <w:lang w:val="en-US"/>
        </w:rPr>
        <w:t>of</w:t>
      </w:r>
      <w:r w:rsidRPr="00AA1A20">
        <w:rPr>
          <w:rFonts w:cs="Open Sans"/>
        </w:rPr>
        <w:t xml:space="preserve"> functions and duties.</w:t>
      </w:r>
      <w:r w:rsidRPr="00AC5658">
        <w:rPr>
          <w:rStyle w:val="EndnoteReference"/>
          <w:vertAlign w:val="superscript"/>
        </w:rPr>
        <w:endnoteReference w:id="110"/>
      </w:r>
      <w:r w:rsidRPr="00AA1A20">
        <w:rPr>
          <w:rFonts w:cs="Open Sans"/>
        </w:rPr>
        <w:t xml:space="preserve"> </w:t>
      </w:r>
    </w:p>
    <w:p w14:paraId="7A381331" w14:textId="481D7299" w:rsidR="00CE04D1" w:rsidRPr="00AA1A20" w:rsidRDefault="00CE04D1" w:rsidP="00AA3E4F">
      <w:pPr>
        <w:pStyle w:val="ListNumber"/>
        <w:tabs>
          <w:tab w:val="clear" w:pos="360"/>
          <w:tab w:val="num" w:pos="993"/>
          <w:tab w:val="left" w:pos="1418"/>
        </w:tabs>
        <w:ind w:left="709" w:hanging="567"/>
        <w:rPr>
          <w:rFonts w:cs="Open Sans"/>
        </w:rPr>
      </w:pPr>
      <w:r w:rsidRPr="00AA1A20">
        <w:rPr>
          <w:rFonts w:cs="Open Sans"/>
        </w:rPr>
        <w:t xml:space="preserve">Further specific exceptions authorise disclosure for information sharing between the Director-General of ASIS, the Director-General of the ASD Director-General of Security, the </w:t>
      </w:r>
      <w:r w:rsidRPr="00AA1A20">
        <w:rPr>
          <w:rFonts w:cs="Open Sans"/>
          <w:lang w:val="en-US"/>
        </w:rPr>
        <w:t>Communications</w:t>
      </w:r>
      <w:r w:rsidRPr="00AA1A20">
        <w:rPr>
          <w:rFonts w:cs="Open Sans"/>
        </w:rPr>
        <w:t xml:space="preserve"> Access Co-ordinator and the chief officer of an interception agency, for practical assistance purposes.</w:t>
      </w:r>
      <w:r w:rsidRPr="00AC5658">
        <w:rPr>
          <w:rStyle w:val="EndnoteReference"/>
          <w:vertAlign w:val="superscript"/>
        </w:rPr>
        <w:endnoteReference w:id="111"/>
      </w:r>
      <w:r w:rsidRPr="00AA1A20">
        <w:rPr>
          <w:rFonts w:cs="Open Sans"/>
        </w:rPr>
        <w:t xml:space="preserve"> </w:t>
      </w:r>
    </w:p>
    <w:p w14:paraId="5445296C" w14:textId="77777777" w:rsidR="00CE04D1" w:rsidRPr="00AA1A20" w:rsidRDefault="00CE04D1" w:rsidP="00AA3E4F">
      <w:pPr>
        <w:pStyle w:val="ListNumber"/>
        <w:tabs>
          <w:tab w:val="clear" w:pos="360"/>
          <w:tab w:val="num" w:pos="993"/>
          <w:tab w:val="left" w:pos="1418"/>
        </w:tabs>
        <w:ind w:left="709" w:hanging="567"/>
        <w:rPr>
          <w:rFonts w:cs="Open Sans"/>
        </w:rPr>
      </w:pPr>
      <w:r w:rsidRPr="00AA1A20">
        <w:rPr>
          <w:rFonts w:cs="Open Sans"/>
        </w:rPr>
        <w:t xml:space="preserve">Disclosures by providers are also permitted </w:t>
      </w:r>
      <w:proofErr w:type="gramStart"/>
      <w:r w:rsidRPr="00AA1A20">
        <w:rPr>
          <w:rFonts w:cs="Open Sans"/>
        </w:rPr>
        <w:t>for the purpose of</w:t>
      </w:r>
      <w:proofErr w:type="gramEnd"/>
      <w:r w:rsidRPr="00AA1A20">
        <w:rPr>
          <w:rFonts w:cs="Open Sans"/>
        </w:rPr>
        <w:t xml:space="preserve"> disaggregated statistical reporting on the number of TARs, TANs and TCNs given to the provider.</w:t>
      </w:r>
      <w:r w:rsidRPr="00AC5658">
        <w:rPr>
          <w:rStyle w:val="EndnoteReference"/>
          <w:vertAlign w:val="superscript"/>
        </w:rPr>
        <w:endnoteReference w:id="112"/>
      </w:r>
    </w:p>
    <w:p w14:paraId="7C53005A" w14:textId="6B5C11AB" w:rsidR="00CE04D1" w:rsidRPr="00AA1A20" w:rsidRDefault="00CE04D1" w:rsidP="00AA3E4F">
      <w:pPr>
        <w:pStyle w:val="ListNumber"/>
        <w:tabs>
          <w:tab w:val="clear" w:pos="360"/>
          <w:tab w:val="num" w:pos="993"/>
          <w:tab w:val="left" w:pos="1418"/>
        </w:tabs>
        <w:ind w:left="709" w:hanging="567"/>
        <w:rPr>
          <w:rFonts w:cs="Open Sans"/>
        </w:rPr>
      </w:pPr>
      <w:r w:rsidRPr="00AA1A20">
        <w:rPr>
          <w:rFonts w:cs="Open Sans"/>
        </w:rPr>
        <w:t xml:space="preserve">The penalty for disclosure of confidential information in contravention of proposed s 317ZF is up to five years imprisonment. </w:t>
      </w:r>
    </w:p>
    <w:p w14:paraId="17418106" w14:textId="49E09D05" w:rsidR="00CE04D1" w:rsidRPr="00AA1A20" w:rsidRDefault="00CE04D1" w:rsidP="00AA3E4F">
      <w:pPr>
        <w:pStyle w:val="ListNumber"/>
        <w:tabs>
          <w:tab w:val="clear" w:pos="360"/>
          <w:tab w:val="num" w:pos="993"/>
          <w:tab w:val="left" w:pos="1418"/>
        </w:tabs>
        <w:ind w:left="709" w:hanging="567"/>
        <w:rPr>
          <w:rFonts w:cs="Open Sans"/>
          <w:lang w:val="en-US"/>
        </w:rPr>
      </w:pPr>
      <w:r w:rsidRPr="00AA1A20">
        <w:rPr>
          <w:rFonts w:cs="Open Sans"/>
        </w:rPr>
        <w:t xml:space="preserve">Despite the general and specific exceptions, the Commission is concerned that this sweeping criminal secrecy provision is a disproportionate and unnecessary limit on the right to freedom of expression. </w:t>
      </w:r>
      <w:r w:rsidRPr="00AA1A20">
        <w:rPr>
          <w:rFonts w:cs="Open Sans"/>
          <w:lang w:val="en-US"/>
        </w:rPr>
        <w:t xml:space="preserve">It also potentially </w:t>
      </w:r>
      <w:r w:rsidRPr="00AA1A20">
        <w:rPr>
          <w:rFonts w:cs="Open Sans"/>
          <w:lang w:val="en-US"/>
        </w:rPr>
        <w:lastRenderedPageBreak/>
        <w:t xml:space="preserve">limits the right of citizens to take part in the conduct of public affairs, under art 25 of the ICCPR. Further, freedom of political communication </w:t>
      </w:r>
      <w:proofErr w:type="gramStart"/>
      <w:r w:rsidRPr="00AA1A20">
        <w:rPr>
          <w:rFonts w:cs="Open Sans"/>
          <w:lang w:val="en-US"/>
        </w:rPr>
        <w:t>is constitutionally protected</w:t>
      </w:r>
      <w:proofErr w:type="gramEnd"/>
      <w:r w:rsidRPr="00AA1A20">
        <w:rPr>
          <w:rFonts w:cs="Open Sans"/>
          <w:lang w:val="en-US"/>
        </w:rPr>
        <w:t xml:space="preserve"> under Australian law. </w:t>
      </w:r>
    </w:p>
    <w:p w14:paraId="46FF6E43" w14:textId="7ACD5D4D" w:rsidR="00CE04D1" w:rsidRPr="00AA1A20" w:rsidRDefault="00CE04D1" w:rsidP="00EF60A2">
      <w:pPr>
        <w:pStyle w:val="ListNumber"/>
        <w:tabs>
          <w:tab w:val="clear" w:pos="360"/>
          <w:tab w:val="num" w:pos="993"/>
          <w:tab w:val="left" w:pos="1418"/>
        </w:tabs>
        <w:ind w:left="709" w:hanging="567"/>
        <w:rPr>
          <w:rFonts w:cs="Open Sans"/>
          <w:lang w:val="en-US"/>
        </w:rPr>
      </w:pPr>
      <w:r w:rsidRPr="00AA1A20">
        <w:rPr>
          <w:rFonts w:cs="Open Sans"/>
          <w:lang w:val="en-US"/>
        </w:rPr>
        <w:t xml:space="preserve">On one hand, the secrecy provisions </w:t>
      </w:r>
      <w:proofErr w:type="gramStart"/>
      <w:r w:rsidRPr="00AA1A20">
        <w:rPr>
          <w:rFonts w:cs="Open Sans"/>
          <w:lang w:val="en-US"/>
        </w:rPr>
        <w:t>can be viewed</w:t>
      </w:r>
      <w:proofErr w:type="gramEnd"/>
      <w:r w:rsidRPr="00AA1A20">
        <w:rPr>
          <w:rFonts w:cs="Open Sans"/>
          <w:lang w:val="en-US"/>
        </w:rPr>
        <w:t xml:space="preserve"> as a legislative measure intended, at least in part, to protect individuals from unlawful or arbitrary </w:t>
      </w:r>
      <w:r w:rsidRPr="00AA1A20">
        <w:rPr>
          <w:rFonts w:cs="Open Sans"/>
        </w:rPr>
        <w:t>interference</w:t>
      </w:r>
      <w:r w:rsidRPr="00AA1A20">
        <w:rPr>
          <w:rFonts w:cs="Open Sans"/>
          <w:lang w:val="en-US"/>
        </w:rPr>
        <w:t xml:space="preserve"> with their privacy rights. A key concern of providers is also likely to be the handling of their commercially confidential information, including valuable intellectual property such as source code.</w:t>
      </w:r>
    </w:p>
    <w:p w14:paraId="5035EB30" w14:textId="7355EBE1" w:rsidR="00CE04D1" w:rsidRPr="00AA1A20" w:rsidRDefault="00CE04D1" w:rsidP="00EF60A2">
      <w:pPr>
        <w:pStyle w:val="ListNumber"/>
        <w:tabs>
          <w:tab w:val="clear" w:pos="360"/>
          <w:tab w:val="num" w:pos="993"/>
          <w:tab w:val="left" w:pos="1418"/>
        </w:tabs>
        <w:ind w:left="709" w:hanging="567"/>
        <w:rPr>
          <w:rFonts w:cs="Open Sans"/>
          <w:lang w:val="en-US"/>
        </w:rPr>
      </w:pPr>
      <w:r w:rsidRPr="00AA1A20">
        <w:rPr>
          <w:rFonts w:cs="Open Sans"/>
          <w:lang w:val="en-US"/>
        </w:rPr>
        <w:t xml:space="preserve">The Commission acknowledges that criminal penalties have deterrent value and accepts that, where demonstrated to be necessary and proportionate, they can be appropriate and effective. The agencies empowered under the assistance framework </w:t>
      </w:r>
      <w:proofErr w:type="gramStart"/>
      <w:r w:rsidRPr="00AA1A20">
        <w:rPr>
          <w:rFonts w:cs="Open Sans"/>
          <w:lang w:val="en-US"/>
        </w:rPr>
        <w:t>are entrusted</w:t>
      </w:r>
      <w:proofErr w:type="gramEnd"/>
      <w:r w:rsidRPr="00AA1A20">
        <w:rPr>
          <w:rFonts w:cs="Open Sans"/>
          <w:lang w:val="en-US"/>
        </w:rPr>
        <w:t xml:space="preserve"> with highly sensitive information, including information regarding national security as well as information about law enforcement capabilities. </w:t>
      </w:r>
    </w:p>
    <w:p w14:paraId="3F8C6B07" w14:textId="77777777" w:rsidR="00CE04D1" w:rsidRPr="00AA1A20" w:rsidRDefault="00CE04D1" w:rsidP="00EF60A2">
      <w:pPr>
        <w:pStyle w:val="ListNumber"/>
        <w:tabs>
          <w:tab w:val="clear" w:pos="360"/>
          <w:tab w:val="num" w:pos="993"/>
          <w:tab w:val="left" w:pos="1418"/>
        </w:tabs>
        <w:ind w:left="709" w:hanging="567"/>
        <w:rPr>
          <w:rFonts w:cs="Open Sans"/>
          <w:lang w:val="en-US"/>
        </w:rPr>
      </w:pPr>
      <w:r w:rsidRPr="00AA1A20">
        <w:rPr>
          <w:rFonts w:cs="Open Sans"/>
          <w:lang w:val="en-US"/>
        </w:rPr>
        <w:t xml:space="preserve">Criminal penalties act as an assurance to the community, both domestic and international, that private information obtained under the assistance scheme </w:t>
      </w:r>
      <w:proofErr w:type="gramStart"/>
      <w:r w:rsidRPr="00AA1A20">
        <w:rPr>
          <w:rFonts w:cs="Open Sans"/>
          <w:lang w:val="en-US"/>
        </w:rPr>
        <w:t>will be adequately protected</w:t>
      </w:r>
      <w:proofErr w:type="gramEnd"/>
      <w:r w:rsidRPr="00AA1A20">
        <w:rPr>
          <w:rFonts w:cs="Open Sans"/>
          <w:lang w:val="en-US"/>
        </w:rPr>
        <w:t xml:space="preserve">. </w:t>
      </w:r>
    </w:p>
    <w:p w14:paraId="08F2B62D" w14:textId="424716F1" w:rsidR="00CE04D1" w:rsidRPr="00AA1A20" w:rsidRDefault="00CE04D1" w:rsidP="00A55B5B">
      <w:pPr>
        <w:pStyle w:val="ListNumber"/>
        <w:tabs>
          <w:tab w:val="clear" w:pos="360"/>
          <w:tab w:val="num" w:pos="993"/>
          <w:tab w:val="left" w:pos="1418"/>
        </w:tabs>
        <w:ind w:left="709" w:hanging="567"/>
        <w:rPr>
          <w:rFonts w:cs="Open Sans"/>
          <w:lang w:val="en-US"/>
        </w:rPr>
      </w:pPr>
      <w:r w:rsidRPr="00AA1A20">
        <w:rPr>
          <w:rFonts w:cs="Open Sans"/>
          <w:lang w:val="en-US"/>
        </w:rPr>
        <w:t xml:space="preserve">On the other hand, such a legislative measure </w:t>
      </w:r>
      <w:proofErr w:type="gramStart"/>
      <w:r w:rsidRPr="00AA1A20">
        <w:rPr>
          <w:rFonts w:cs="Open Sans"/>
          <w:lang w:val="en-US"/>
        </w:rPr>
        <w:t>must be assessed</w:t>
      </w:r>
      <w:proofErr w:type="gramEnd"/>
      <w:r w:rsidRPr="00AA1A20">
        <w:rPr>
          <w:rFonts w:cs="Open Sans"/>
          <w:lang w:val="en-US"/>
        </w:rPr>
        <w:t xml:space="preserve"> for proportionality. The UN HR Committee considered the intersection of national security and the right to freedom of expression in General Comment 34 as follows:</w:t>
      </w:r>
    </w:p>
    <w:p w14:paraId="62438C86" w14:textId="77777777" w:rsidR="00CE04D1" w:rsidRPr="00AA1A20" w:rsidRDefault="00CE04D1" w:rsidP="00EF60A2">
      <w:pPr>
        <w:pStyle w:val="EndnoteText"/>
        <w:rPr>
          <w:rFonts w:cs="Open Sans"/>
          <w:lang w:val="en-US"/>
        </w:rPr>
      </w:pPr>
      <w:r w:rsidRPr="00AA1A20">
        <w:rPr>
          <w:rFonts w:cs="Open Sans"/>
        </w:rPr>
        <w:t>Extreme care must be taken by States parties to ensure that treason laws and similar provisions relating to national security, whether described as official secrets or sedition laws or otherwise, are crafted and applied in a manner that conforms to the strict requirements of paragraph 3 [of article 19]. It is not compatible with paragraph 3, for instance, to invoke such laws to suppress or withhold from the public information of legitimate public interest that does not harm national security or to prosecute journalists, researchers, environmental activists, human rights defenders, or others, for having disseminated such information. Nor is it generally appropriate to include in the remit of such laws such categories of information as those relating to the commercial sector, banking and scientific progress.</w:t>
      </w:r>
      <w:r w:rsidRPr="00543C35">
        <w:rPr>
          <w:rStyle w:val="EndnoteReference"/>
          <w:vertAlign w:val="superscript"/>
        </w:rPr>
        <w:endnoteReference w:id="113"/>
      </w:r>
    </w:p>
    <w:p w14:paraId="5472E903" w14:textId="33B95102"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lang w:val="en-US"/>
        </w:rPr>
        <w:t xml:space="preserve">In 2010, the ALRC published a report, </w:t>
      </w:r>
      <w:r w:rsidRPr="00AA1A20">
        <w:rPr>
          <w:rFonts w:cs="Open Sans"/>
          <w:i/>
          <w:lang w:val="en-US"/>
        </w:rPr>
        <w:t>Secrecy Laws and Open Government in Australia</w:t>
      </w:r>
      <w:r w:rsidRPr="00AA1A20">
        <w:rPr>
          <w:rFonts w:cs="Open Sans"/>
          <w:lang w:val="en-US"/>
        </w:rPr>
        <w:t xml:space="preserve">. The ALRC found that secrecy laws that expose government employees to criminal liability for the </w:t>
      </w:r>
      <w:proofErr w:type="spellStart"/>
      <w:r w:rsidRPr="00AA1A20">
        <w:rPr>
          <w:rFonts w:cs="Open Sans"/>
          <w:lang w:val="en-US"/>
        </w:rPr>
        <w:t>unauthorised</w:t>
      </w:r>
      <w:proofErr w:type="spellEnd"/>
      <w:r w:rsidRPr="00AA1A20">
        <w:rPr>
          <w:rFonts w:cs="Open Sans"/>
          <w:lang w:val="en-US"/>
        </w:rPr>
        <w:t xml:space="preserve"> disclosure of official information can ‘sit uneasily’ with open and accountable government.</w:t>
      </w:r>
      <w:r w:rsidRPr="00543C35">
        <w:rPr>
          <w:rStyle w:val="EndnoteReference"/>
          <w:vertAlign w:val="superscript"/>
        </w:rPr>
        <w:endnoteReference w:id="114"/>
      </w:r>
      <w:r w:rsidRPr="00AA1A20">
        <w:rPr>
          <w:rFonts w:cs="Open Sans"/>
          <w:lang w:val="en-US"/>
        </w:rPr>
        <w:t xml:space="preserve"> </w:t>
      </w:r>
    </w:p>
    <w:p w14:paraId="57620D5A" w14:textId="466E2E54"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lang w:val="en-US"/>
        </w:rPr>
        <w:t xml:space="preserve">After canvassing international approaches to secrecy laws, and exploring various options for protecting official information, the ALRC formed the view that, subject to a few narrow exceptions, an approach based on harm </w:t>
      </w:r>
      <w:r w:rsidRPr="00AA1A20">
        <w:rPr>
          <w:rFonts w:cs="Open Sans"/>
          <w:lang w:val="en-US"/>
        </w:rPr>
        <w:lastRenderedPageBreak/>
        <w:t>to essential public interests should underpin the secrecy laws carrying criminal liability in Australia.</w:t>
      </w:r>
      <w:r w:rsidRPr="00543C35">
        <w:rPr>
          <w:rStyle w:val="EndnoteReference"/>
          <w:vertAlign w:val="superscript"/>
        </w:rPr>
        <w:endnoteReference w:id="115"/>
      </w:r>
    </w:p>
    <w:p w14:paraId="67A719CC" w14:textId="77777777"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lang w:val="en-US"/>
        </w:rPr>
        <w:t xml:space="preserve">Applying this approach to specific secrecy offences, the ALRC recommended that: </w:t>
      </w:r>
    </w:p>
    <w:p w14:paraId="10959ABA" w14:textId="77777777" w:rsidR="00CE04D1" w:rsidRPr="00AA1A20" w:rsidRDefault="00CE04D1" w:rsidP="00BD01E4">
      <w:pPr>
        <w:pStyle w:val="EndnoteText"/>
        <w:rPr>
          <w:rFonts w:cs="Open Sans"/>
        </w:rPr>
      </w:pPr>
      <w:r w:rsidRPr="00AA1A20">
        <w:rPr>
          <w:rFonts w:cs="Open Sans"/>
        </w:rPr>
        <w:t xml:space="preserve">Recommendation 8–1 Specific secrecy offences </w:t>
      </w:r>
      <w:proofErr w:type="gramStart"/>
      <w:r w:rsidRPr="00AA1A20">
        <w:rPr>
          <w:rFonts w:cs="Open Sans"/>
        </w:rPr>
        <w:t>are only warranted</w:t>
      </w:r>
      <w:proofErr w:type="gramEnd"/>
      <w:r w:rsidRPr="00AA1A20">
        <w:rPr>
          <w:rFonts w:cs="Open Sans"/>
        </w:rPr>
        <w:t xml:space="preserve"> where they are necessary and proportionate to the protection of essential public interests of sufficient importance to justify criminal sanctions. </w:t>
      </w:r>
    </w:p>
    <w:p w14:paraId="565D8F76" w14:textId="77777777" w:rsidR="00CE04D1" w:rsidRPr="00AA1A20" w:rsidRDefault="00CE04D1" w:rsidP="00BD01E4">
      <w:pPr>
        <w:pStyle w:val="EndnoteText"/>
        <w:rPr>
          <w:rFonts w:cs="Open Sans"/>
        </w:rPr>
      </w:pPr>
      <w:r w:rsidRPr="00AA1A20">
        <w:rPr>
          <w:rFonts w:cs="Open Sans"/>
        </w:rPr>
        <w:t xml:space="preserve">Recommendation 8–2 Specific secrecy offences should include an express requirement that, for an offence to be committed, the </w:t>
      </w:r>
      <w:proofErr w:type="spellStart"/>
      <w:r w:rsidRPr="00AA1A20">
        <w:rPr>
          <w:rFonts w:cs="Open Sans"/>
        </w:rPr>
        <w:t>unauthorised</w:t>
      </w:r>
      <w:proofErr w:type="spellEnd"/>
      <w:r w:rsidRPr="00AA1A20">
        <w:rPr>
          <w:rFonts w:cs="Open Sans"/>
        </w:rPr>
        <w:t xml:space="preserve"> disclosure caused, or was likely or intended to cause, harm to an identified essential public interest, except where: </w:t>
      </w:r>
    </w:p>
    <w:p w14:paraId="5E557D0E" w14:textId="2483B4A7" w:rsidR="00CE04D1" w:rsidRPr="00AA1A20" w:rsidRDefault="00CE04D1" w:rsidP="00396CA5">
      <w:pPr>
        <w:pStyle w:val="EndnoteText"/>
        <w:ind w:left="1418"/>
        <w:rPr>
          <w:rFonts w:cs="Open Sans"/>
        </w:rPr>
      </w:pPr>
      <w:r w:rsidRPr="00AA1A20">
        <w:rPr>
          <w:rFonts w:cs="Open Sans"/>
        </w:rPr>
        <w:tab/>
        <w:t xml:space="preserve">(a) </w:t>
      </w:r>
      <w:proofErr w:type="gramStart"/>
      <w:r w:rsidRPr="00AA1A20">
        <w:rPr>
          <w:rFonts w:cs="Open Sans"/>
        </w:rPr>
        <w:t>the</w:t>
      </w:r>
      <w:proofErr w:type="gramEnd"/>
      <w:r w:rsidRPr="00AA1A20">
        <w:rPr>
          <w:rFonts w:cs="Open Sans"/>
        </w:rPr>
        <w:t xml:space="preserve"> offence covers a narrowly defined category of information and the harm to an essential public interest is implicit; or </w:t>
      </w:r>
    </w:p>
    <w:p w14:paraId="10AB5E1A" w14:textId="7B048D2A" w:rsidR="00CE04D1" w:rsidRPr="00AA1A20" w:rsidRDefault="00CE04D1" w:rsidP="00396CA5">
      <w:pPr>
        <w:pStyle w:val="EndnoteText"/>
        <w:ind w:left="1418"/>
        <w:rPr>
          <w:rFonts w:cs="Open Sans"/>
        </w:rPr>
      </w:pPr>
      <w:r w:rsidRPr="00AA1A20">
        <w:rPr>
          <w:rFonts w:cs="Open Sans"/>
        </w:rPr>
        <w:tab/>
        <w:t xml:space="preserve">(b) </w:t>
      </w:r>
      <w:proofErr w:type="gramStart"/>
      <w:r w:rsidRPr="00AA1A20">
        <w:rPr>
          <w:rFonts w:cs="Open Sans"/>
        </w:rPr>
        <w:t>the</w:t>
      </w:r>
      <w:proofErr w:type="gramEnd"/>
      <w:r w:rsidRPr="00AA1A20">
        <w:rPr>
          <w:rFonts w:cs="Open Sans"/>
        </w:rPr>
        <w:t xml:space="preserve"> harm is to the relationship of trust between individuals and the Australian Government integral to the regulatory functions of government. </w:t>
      </w:r>
    </w:p>
    <w:p w14:paraId="1945C106" w14:textId="77777777" w:rsidR="00CE04D1" w:rsidRPr="00AA1A20" w:rsidRDefault="00CE04D1" w:rsidP="00BD01E4">
      <w:pPr>
        <w:pStyle w:val="EndnoteText"/>
        <w:rPr>
          <w:rFonts w:cs="Open Sans"/>
        </w:rPr>
      </w:pPr>
      <w:r w:rsidRPr="00AA1A20">
        <w:rPr>
          <w:rFonts w:cs="Open Sans"/>
        </w:rPr>
        <w:tab/>
        <w:t>…</w:t>
      </w:r>
    </w:p>
    <w:p w14:paraId="240AB1CA" w14:textId="77777777" w:rsidR="00CE04D1" w:rsidRPr="00AA1A20" w:rsidRDefault="00CE04D1" w:rsidP="00BD01E4">
      <w:pPr>
        <w:pStyle w:val="EndnoteText"/>
        <w:rPr>
          <w:rFonts w:cs="Open Sans"/>
        </w:rPr>
      </w:pPr>
      <w:r w:rsidRPr="00AA1A20">
        <w:rPr>
          <w:rFonts w:cs="Open Sans"/>
        </w:rPr>
        <w:t xml:space="preserve">Recommendation 9–4 Specific secrecy offences should generally require intention as the fault element for the physical element consisting of conduct. Strict liability should not attach to the conduct element of any specific secrecy offence. </w:t>
      </w:r>
    </w:p>
    <w:p w14:paraId="4953451C" w14:textId="0BF436EB" w:rsidR="00CE04D1" w:rsidRPr="00AA1A20" w:rsidRDefault="00CE04D1" w:rsidP="00436091">
      <w:pPr>
        <w:pStyle w:val="ListNumber"/>
        <w:tabs>
          <w:tab w:val="clear" w:pos="360"/>
          <w:tab w:val="num" w:pos="993"/>
          <w:tab w:val="left" w:pos="1418"/>
        </w:tabs>
        <w:ind w:left="709" w:hanging="567"/>
        <w:rPr>
          <w:rFonts w:cs="Open Sans"/>
          <w:lang w:val="en-US"/>
        </w:rPr>
      </w:pPr>
      <w:r w:rsidRPr="00AA1A20">
        <w:rPr>
          <w:rFonts w:cs="Open Sans"/>
        </w:rPr>
        <w:t xml:space="preserve">The Commission considers that the explanatory material, especially in instances connected to purposes or matters other than national security and law enforcement, has not demonstrated that all notice or request information or information </w:t>
      </w:r>
      <w:r w:rsidRPr="00AA1A20">
        <w:rPr>
          <w:rFonts w:cs="Open Sans"/>
          <w:lang w:val="en-US"/>
        </w:rPr>
        <w:t>obtained</w:t>
      </w:r>
      <w:r w:rsidRPr="00AA1A20">
        <w:rPr>
          <w:rFonts w:cs="Open Sans"/>
        </w:rPr>
        <w:t xml:space="preserve"> under a notice or request is of sufficient importance to justify a requirement of secrecy, let alone criminal sanctions for disclosure. The Commission is concerned that the </w:t>
      </w:r>
      <w:proofErr w:type="gramStart"/>
      <w:r w:rsidRPr="00AA1A20">
        <w:rPr>
          <w:rFonts w:cs="Open Sans"/>
        </w:rPr>
        <w:t>provision of blanket immunity is informed by the commercial interests of providers</w:t>
      </w:r>
      <w:proofErr w:type="gramEnd"/>
      <w:r w:rsidRPr="00AA1A20">
        <w:rPr>
          <w:rFonts w:cs="Open Sans"/>
        </w:rPr>
        <w:t xml:space="preserve">, without adequately balancing the importance of government transparency and accountability. </w:t>
      </w:r>
    </w:p>
    <w:p w14:paraId="1A8F1BE4" w14:textId="3919DB61" w:rsidR="00CE04D1" w:rsidRPr="00AA1A20" w:rsidRDefault="00CE04D1" w:rsidP="00C161A8">
      <w:pPr>
        <w:pStyle w:val="ListNumber"/>
        <w:tabs>
          <w:tab w:val="clear" w:pos="360"/>
          <w:tab w:val="num" w:pos="993"/>
          <w:tab w:val="left" w:pos="1418"/>
        </w:tabs>
        <w:ind w:left="709" w:hanging="567"/>
        <w:rPr>
          <w:rFonts w:cs="Open Sans"/>
          <w:lang w:val="en-US"/>
        </w:rPr>
      </w:pPr>
      <w:r w:rsidRPr="00AA1A20">
        <w:rPr>
          <w:rFonts w:cs="Open Sans"/>
        </w:rPr>
        <w:t xml:space="preserve">There may be further instances where the public interest in disclosure of certain information </w:t>
      </w:r>
      <w:proofErr w:type="gramStart"/>
      <w:r w:rsidRPr="00AA1A20">
        <w:rPr>
          <w:rFonts w:cs="Open Sans"/>
        </w:rPr>
        <w:t>is warranted</w:t>
      </w:r>
      <w:proofErr w:type="gramEnd"/>
      <w:r w:rsidRPr="00AA1A20">
        <w:rPr>
          <w:rFonts w:cs="Open Sans"/>
        </w:rPr>
        <w:t xml:space="preserve">, </w:t>
      </w:r>
      <w:r w:rsidRPr="00AA1A20">
        <w:rPr>
          <w:rFonts w:cs="Open Sans"/>
          <w:lang w:val="en-US"/>
        </w:rPr>
        <w:t>where the essential public interest is not harmed.</w:t>
      </w:r>
    </w:p>
    <w:p w14:paraId="7F2DAFB3" w14:textId="11AC4200" w:rsidR="00CE04D1" w:rsidRPr="00AA1A20" w:rsidRDefault="00CE04D1" w:rsidP="00C161A8">
      <w:pPr>
        <w:pStyle w:val="ListNumber"/>
        <w:tabs>
          <w:tab w:val="clear" w:pos="360"/>
          <w:tab w:val="num" w:pos="993"/>
          <w:tab w:val="left" w:pos="1418"/>
        </w:tabs>
        <w:ind w:left="709" w:hanging="567"/>
        <w:rPr>
          <w:rFonts w:cs="Open Sans"/>
          <w:lang w:val="en-US"/>
        </w:rPr>
      </w:pPr>
      <w:r w:rsidRPr="00AA1A20">
        <w:rPr>
          <w:rFonts w:cs="Open Sans"/>
        </w:rPr>
        <w:t>For example, it is not clear that it is appropriate to keep government contracting arrangements with providers in relation to ‘acts or things’ under TARs, wholly subject to secrecy.</w:t>
      </w:r>
      <w:r w:rsidRPr="00543C35">
        <w:rPr>
          <w:rStyle w:val="EndnoteReference"/>
          <w:vertAlign w:val="superscript"/>
        </w:rPr>
        <w:endnoteReference w:id="116"/>
      </w:r>
    </w:p>
    <w:p w14:paraId="16BA56DF" w14:textId="77777777" w:rsidR="00CE04D1" w:rsidRPr="00AA1A20" w:rsidRDefault="00CE04D1" w:rsidP="009A4A0B">
      <w:pPr>
        <w:pStyle w:val="ListNumber"/>
        <w:tabs>
          <w:tab w:val="clear" w:pos="360"/>
          <w:tab w:val="num" w:pos="993"/>
          <w:tab w:val="left" w:pos="1418"/>
        </w:tabs>
        <w:ind w:left="709" w:hanging="567"/>
        <w:rPr>
          <w:rFonts w:cs="Open Sans"/>
        </w:rPr>
      </w:pPr>
      <w:r w:rsidRPr="00AA1A20">
        <w:rPr>
          <w:rFonts w:cs="Open Sans"/>
        </w:rPr>
        <w:t xml:space="preserve">There may also be instances where there is information that is relevant to political or electoral choices to </w:t>
      </w:r>
      <w:proofErr w:type="gramStart"/>
      <w:r w:rsidRPr="00AA1A20">
        <w:rPr>
          <w:rFonts w:cs="Open Sans"/>
        </w:rPr>
        <w:t>be made</w:t>
      </w:r>
      <w:proofErr w:type="gramEnd"/>
      <w:r w:rsidRPr="00AA1A20">
        <w:rPr>
          <w:rFonts w:cs="Open Sans"/>
        </w:rPr>
        <w:t xml:space="preserve"> by the Australian public</w:t>
      </w:r>
      <w:r w:rsidRPr="00AA1A20">
        <w:rPr>
          <w:rFonts w:cs="Open Sans"/>
          <w:lang w:val="en-US"/>
        </w:rPr>
        <w:t>,</w:t>
      </w:r>
      <w:r w:rsidRPr="00AA1A20">
        <w:rPr>
          <w:rFonts w:cs="Open Sans"/>
        </w:rPr>
        <w:t xml:space="preserve"> and disclosure would not harm any essential public interest. </w:t>
      </w:r>
    </w:p>
    <w:p w14:paraId="05A371C5" w14:textId="20EB992C" w:rsidR="00CE04D1" w:rsidRPr="00AA1A20" w:rsidRDefault="00CE04D1" w:rsidP="00C161A8">
      <w:pPr>
        <w:pStyle w:val="ListNumber"/>
        <w:tabs>
          <w:tab w:val="clear" w:pos="360"/>
          <w:tab w:val="num" w:pos="993"/>
          <w:tab w:val="left" w:pos="1418"/>
        </w:tabs>
        <w:ind w:left="709" w:hanging="567"/>
        <w:rPr>
          <w:rFonts w:cs="Open Sans"/>
          <w:lang w:val="en-US"/>
        </w:rPr>
      </w:pPr>
      <w:r w:rsidRPr="00AA1A20">
        <w:rPr>
          <w:rFonts w:cs="Open Sans"/>
          <w:lang w:val="en-US"/>
        </w:rPr>
        <w:lastRenderedPageBreak/>
        <w:t xml:space="preserve">This includes the ability of the public to </w:t>
      </w:r>
      <w:proofErr w:type="gramStart"/>
      <w:r w:rsidRPr="00AA1A20">
        <w:rPr>
          <w:rFonts w:cs="Open Sans"/>
          <w:lang w:val="en-US"/>
        </w:rPr>
        <w:t>be made</w:t>
      </w:r>
      <w:proofErr w:type="gramEnd"/>
      <w:r w:rsidRPr="00AA1A20">
        <w:rPr>
          <w:rFonts w:cs="Open Sans"/>
          <w:lang w:val="en-US"/>
        </w:rPr>
        <w:t xml:space="preserve"> aware of inappropriate use of law enforcement powers, for example in a discriminatory or arbitrary manner. </w:t>
      </w:r>
      <w:r w:rsidRPr="00AA1A20">
        <w:rPr>
          <w:rFonts w:cs="Open Sans"/>
        </w:rPr>
        <w:t xml:space="preserve">As stated by the UN High Commissioner for Human Rights, whistle-blowers who disclose human rights violations </w:t>
      </w:r>
      <w:proofErr w:type="gramStart"/>
      <w:r w:rsidRPr="00AA1A20">
        <w:rPr>
          <w:rFonts w:cs="Open Sans"/>
        </w:rPr>
        <w:t>should be protected</w:t>
      </w:r>
      <w:proofErr w:type="gramEnd"/>
      <w:r w:rsidRPr="00AA1A20">
        <w:rPr>
          <w:rFonts w:cs="Open Sans"/>
        </w:rPr>
        <w:t>.</w:t>
      </w:r>
      <w:r w:rsidRPr="00543C35">
        <w:rPr>
          <w:rStyle w:val="EndnoteReference"/>
          <w:vertAlign w:val="superscript"/>
        </w:rPr>
        <w:endnoteReference w:id="117"/>
      </w:r>
    </w:p>
    <w:p w14:paraId="6A50545A" w14:textId="77777777"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rPr>
        <w:t xml:space="preserve">There may also be instances where the potential harm of disclosure of information </w:t>
      </w:r>
      <w:proofErr w:type="gramStart"/>
      <w:r w:rsidRPr="00AA1A20">
        <w:rPr>
          <w:rFonts w:cs="Open Sans"/>
        </w:rPr>
        <w:t>is decreased or entirely removed by the passage of time</w:t>
      </w:r>
      <w:proofErr w:type="gramEnd"/>
      <w:r w:rsidRPr="00AA1A20">
        <w:rPr>
          <w:rFonts w:cs="Open Sans"/>
        </w:rPr>
        <w:t xml:space="preserve">. </w:t>
      </w:r>
    </w:p>
    <w:p w14:paraId="26C0ECF8" w14:textId="6E206D78"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rPr>
        <w:t xml:space="preserve">While the Commission welcomes the exception that permits disclosure of information to IGIS officials, as well as the fact that the secrecy provisions do not extend to third parties such as journalists, government accountability depends on </w:t>
      </w:r>
      <w:r w:rsidRPr="00AA1A20">
        <w:rPr>
          <w:rFonts w:cs="Open Sans"/>
          <w:lang w:val="en-US"/>
        </w:rPr>
        <w:t>regular public scrutiny of government actions to the greatest extent possible. The broad secrecy provision has the opposite effect.</w:t>
      </w:r>
    </w:p>
    <w:p w14:paraId="6D147F4A" w14:textId="755D9E49"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lang w:val="en-US"/>
        </w:rPr>
        <w:t xml:space="preserve">Further, the Commission notes that the role of IGIS is to monitor the activities </w:t>
      </w:r>
      <w:proofErr w:type="gramStart"/>
      <w:r w:rsidRPr="00AA1A20">
        <w:rPr>
          <w:rFonts w:cs="Open Sans"/>
          <w:lang w:val="en-US"/>
        </w:rPr>
        <w:t>of Australia’s ‘intelligence agencies’, including by receiving public interest disclosures in relation to those agencies.</w:t>
      </w:r>
      <w:proofErr w:type="gramEnd"/>
      <w:r w:rsidRPr="00AA1A20">
        <w:rPr>
          <w:rFonts w:cs="Open Sans"/>
          <w:lang w:val="en-US"/>
        </w:rPr>
        <w:t xml:space="preserve"> However, the </w:t>
      </w:r>
      <w:proofErr w:type="gramStart"/>
      <w:r w:rsidRPr="00AA1A20">
        <w:rPr>
          <w:rFonts w:cs="Open Sans"/>
          <w:lang w:val="en-US"/>
        </w:rPr>
        <w:t>agencies which may issue requests and notices under Schedule 1 of the draft Bill</w:t>
      </w:r>
      <w:proofErr w:type="gramEnd"/>
      <w:r w:rsidRPr="00AA1A20">
        <w:rPr>
          <w:rFonts w:cs="Open Sans"/>
          <w:lang w:val="en-US"/>
        </w:rPr>
        <w:t xml:space="preserve"> include ‘law enforcement agencies’, which are not intelligence agencies for the purposes of the IGIS Act. It is important that an avenue for lawful public interest disclosures exist in relation to activities of agencies that do not fall within the ambit of the IGIS Act.  </w:t>
      </w:r>
    </w:p>
    <w:p w14:paraId="5578088B" w14:textId="77C03825"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rPr>
        <w:t xml:space="preserve">The Commission further considers it more appropriate that criminal penalties only attach to the intentional unauthorised disclosure of information that harms, or that is reasonably likely to harm, an essential public interest. This is consistent with the application of a proportionality analysis as embodied in the </w:t>
      </w:r>
      <w:r w:rsidRPr="00AA1A20">
        <w:rPr>
          <w:rFonts w:cs="Open Sans"/>
          <w:i/>
        </w:rPr>
        <w:t xml:space="preserve">Siracusa Principles </w:t>
      </w:r>
      <w:r w:rsidRPr="00AA1A20">
        <w:rPr>
          <w:rFonts w:cs="Open Sans"/>
        </w:rPr>
        <w:t xml:space="preserve">and the recommendations of the ALRC. </w:t>
      </w:r>
    </w:p>
    <w:p w14:paraId="78EC9A27" w14:textId="28FEEDF0" w:rsidR="00CE04D1" w:rsidRPr="00AA1A20" w:rsidRDefault="00CE04D1" w:rsidP="00986D46">
      <w:pPr>
        <w:pStyle w:val="ListNumber"/>
        <w:tabs>
          <w:tab w:val="clear" w:pos="360"/>
          <w:tab w:val="num" w:pos="993"/>
          <w:tab w:val="left" w:pos="1418"/>
        </w:tabs>
        <w:ind w:left="709" w:hanging="567"/>
        <w:rPr>
          <w:rFonts w:cs="Open Sans"/>
          <w:lang w:val="en-US"/>
        </w:rPr>
      </w:pPr>
      <w:r w:rsidRPr="00AA1A20">
        <w:rPr>
          <w:rFonts w:cs="Open Sans"/>
        </w:rPr>
        <w:t xml:space="preserve">The Commission considers that less serious conduct </w:t>
      </w:r>
      <w:proofErr w:type="gramStart"/>
      <w:r w:rsidRPr="00AA1A20">
        <w:rPr>
          <w:rFonts w:cs="Open Sans"/>
        </w:rPr>
        <w:t>can be addressed</w:t>
      </w:r>
      <w:proofErr w:type="gramEnd"/>
      <w:r w:rsidRPr="00AA1A20">
        <w:rPr>
          <w:rFonts w:cs="Open Sans"/>
        </w:rPr>
        <w:t xml:space="preserve"> by less restrictive measures. For example, for misconduct that is not reasonably likely to harm essential public interests, administrative or contractual remedies could apply.</w:t>
      </w:r>
      <w:r w:rsidRPr="00543C35">
        <w:rPr>
          <w:rStyle w:val="EndnoteReference"/>
          <w:vertAlign w:val="superscript"/>
        </w:rPr>
        <w:endnoteReference w:id="118"/>
      </w:r>
    </w:p>
    <w:p w14:paraId="27E2CC52" w14:textId="77777777" w:rsidR="00CE04D1" w:rsidRPr="00AA1A20" w:rsidRDefault="00CE04D1" w:rsidP="00BD01E4">
      <w:pPr>
        <w:pStyle w:val="ListNumber"/>
        <w:tabs>
          <w:tab w:val="clear" w:pos="360"/>
          <w:tab w:val="num" w:pos="993"/>
          <w:tab w:val="left" w:pos="1418"/>
        </w:tabs>
        <w:ind w:left="709" w:hanging="567"/>
        <w:rPr>
          <w:rFonts w:cs="Open Sans"/>
        </w:rPr>
      </w:pPr>
      <w:r w:rsidRPr="00AA1A20">
        <w:rPr>
          <w:rFonts w:cs="Open Sans"/>
        </w:rPr>
        <w:t>The Commission recommends that:</w:t>
      </w:r>
    </w:p>
    <w:p w14:paraId="7BA40B5F" w14:textId="77777777" w:rsidR="00CE04D1" w:rsidRPr="00AA1A20" w:rsidRDefault="00CE04D1" w:rsidP="00556BA8">
      <w:pPr>
        <w:pStyle w:val="ListNumber"/>
        <w:numPr>
          <w:ilvl w:val="0"/>
          <w:numId w:val="0"/>
        </w:numPr>
        <w:ind w:left="720"/>
        <w:rPr>
          <w:rFonts w:cs="Open Sans"/>
          <w:b/>
        </w:rPr>
      </w:pPr>
      <w:r w:rsidRPr="00AA1A20">
        <w:rPr>
          <w:rFonts w:cs="Open Sans"/>
          <w:b/>
        </w:rPr>
        <w:t>Recommendation 22</w:t>
      </w:r>
    </w:p>
    <w:p w14:paraId="1FF73A2A" w14:textId="32EB8627" w:rsidR="00CE04D1" w:rsidRPr="00AA1A20" w:rsidRDefault="00CE04D1" w:rsidP="00556BA8">
      <w:pPr>
        <w:pStyle w:val="ListNumber"/>
        <w:numPr>
          <w:ilvl w:val="0"/>
          <w:numId w:val="0"/>
        </w:numPr>
        <w:ind w:left="720"/>
        <w:rPr>
          <w:rFonts w:cs="Open Sans"/>
        </w:rPr>
      </w:pPr>
      <w:r w:rsidRPr="00AA1A20">
        <w:rPr>
          <w:rFonts w:cs="Open Sans"/>
        </w:rPr>
        <w:t xml:space="preserve">Serious consideration be given to amending proposed s 317ZF(1) of the </w:t>
      </w:r>
      <w:r w:rsidRPr="00AA1A20">
        <w:rPr>
          <w:rFonts w:cs="Open Sans"/>
          <w:i/>
        </w:rPr>
        <w:t xml:space="preserve">Telecommunications Act 1997 </w:t>
      </w:r>
      <w:r w:rsidRPr="00AA1A20">
        <w:rPr>
          <w:rFonts w:cs="Open Sans"/>
        </w:rPr>
        <w:t>(Cth) to include a fault element and express requirement of harm, to provide that it is an offence to intentionally make an unauthorised disclosure of information that harms, or that is reasonably likely to harm, an essential public interest.</w:t>
      </w:r>
    </w:p>
    <w:p w14:paraId="0AB6FD38" w14:textId="77777777" w:rsidR="005C273F" w:rsidRDefault="005C273F">
      <w:pPr>
        <w:rPr>
          <w:rFonts w:cs="Open Sans"/>
          <w:b/>
        </w:rPr>
      </w:pPr>
      <w:r>
        <w:rPr>
          <w:rFonts w:cs="Open Sans"/>
          <w:b/>
        </w:rPr>
        <w:br w:type="page"/>
      </w:r>
    </w:p>
    <w:p w14:paraId="2124C365" w14:textId="2DC8C840" w:rsidR="00CE04D1" w:rsidRPr="00AA1A20" w:rsidRDefault="00CE04D1" w:rsidP="00E9381C">
      <w:pPr>
        <w:pStyle w:val="ListNumber"/>
        <w:numPr>
          <w:ilvl w:val="0"/>
          <w:numId w:val="0"/>
        </w:numPr>
        <w:ind w:left="720"/>
        <w:rPr>
          <w:rFonts w:cs="Open Sans"/>
          <w:b/>
        </w:rPr>
      </w:pPr>
      <w:r w:rsidRPr="00AA1A20">
        <w:rPr>
          <w:rFonts w:cs="Open Sans"/>
          <w:b/>
        </w:rPr>
        <w:lastRenderedPageBreak/>
        <w:t>Recommendation 23</w:t>
      </w:r>
    </w:p>
    <w:p w14:paraId="52972B46" w14:textId="1086432A" w:rsidR="00CE04D1" w:rsidRPr="00AA1A20" w:rsidRDefault="00CE04D1" w:rsidP="00E9381C">
      <w:pPr>
        <w:pStyle w:val="ListNumber"/>
        <w:numPr>
          <w:ilvl w:val="0"/>
          <w:numId w:val="0"/>
        </w:numPr>
        <w:ind w:left="720"/>
        <w:rPr>
          <w:rFonts w:cs="Open Sans"/>
        </w:rPr>
      </w:pPr>
      <w:r w:rsidRPr="00AA1A20">
        <w:rPr>
          <w:rFonts w:cs="Open Sans"/>
        </w:rPr>
        <w:t xml:space="preserve">Serious consideration be given to amending proposed s 317ZF(2)–(3) of the </w:t>
      </w:r>
      <w:r w:rsidRPr="00AA1A20">
        <w:rPr>
          <w:rFonts w:cs="Open Sans"/>
          <w:i/>
        </w:rPr>
        <w:t xml:space="preserve">Telecommunications Act 1997 </w:t>
      </w:r>
      <w:r w:rsidRPr="00AA1A20">
        <w:rPr>
          <w:rFonts w:cs="Open Sans"/>
        </w:rPr>
        <w:t>(Cth) to authorise the disclosure of human rights violations made in good faith in the public interest.</w:t>
      </w:r>
    </w:p>
    <w:p w14:paraId="43BE6658" w14:textId="77777777" w:rsidR="00CE04D1" w:rsidRPr="00AA1A20" w:rsidRDefault="00CE04D1" w:rsidP="00E9381C">
      <w:pPr>
        <w:pStyle w:val="ListNumber"/>
        <w:numPr>
          <w:ilvl w:val="0"/>
          <w:numId w:val="0"/>
        </w:numPr>
        <w:ind w:left="720"/>
        <w:rPr>
          <w:rFonts w:cs="Open Sans"/>
          <w:b/>
        </w:rPr>
      </w:pPr>
      <w:r w:rsidRPr="00AA1A20">
        <w:rPr>
          <w:rFonts w:cs="Open Sans"/>
          <w:b/>
        </w:rPr>
        <w:t>Recommendations 24</w:t>
      </w:r>
    </w:p>
    <w:p w14:paraId="26E0992F" w14:textId="09CB5031" w:rsidR="00CE04D1" w:rsidRPr="00AA1A20" w:rsidRDefault="00CE04D1" w:rsidP="00E9381C">
      <w:pPr>
        <w:pStyle w:val="ListNumber"/>
        <w:numPr>
          <w:ilvl w:val="0"/>
          <w:numId w:val="0"/>
        </w:numPr>
        <w:ind w:left="720"/>
        <w:rPr>
          <w:rFonts w:cs="Open Sans"/>
        </w:rPr>
      </w:pPr>
      <w:r w:rsidRPr="00AA1A20">
        <w:rPr>
          <w:rFonts w:cs="Open Sans"/>
        </w:rPr>
        <w:t xml:space="preserve">Serious consideration be given to amending proposed s 317ZF of the </w:t>
      </w:r>
      <w:r w:rsidRPr="00AA1A20">
        <w:rPr>
          <w:rFonts w:cs="Open Sans"/>
          <w:i/>
        </w:rPr>
        <w:t xml:space="preserve">Telecommunications Act 1997 </w:t>
      </w:r>
      <w:r w:rsidRPr="00AA1A20">
        <w:rPr>
          <w:rFonts w:cs="Open Sans"/>
        </w:rPr>
        <w:t xml:space="preserve">(Cth), to allow for lawful public interest disclosures in relation to activities of agencies that do not fall within the ambit of the IGIS Act.  </w:t>
      </w:r>
    </w:p>
    <w:p w14:paraId="5008F69E" w14:textId="77777777" w:rsidR="00CE04D1" w:rsidRPr="00AA1A20" w:rsidRDefault="00CE04D1" w:rsidP="00112A52">
      <w:pPr>
        <w:pStyle w:val="Heading2"/>
        <w:tabs>
          <w:tab w:val="clear" w:pos="851"/>
          <w:tab w:val="num" w:pos="1418"/>
        </w:tabs>
        <w:rPr>
          <w:rFonts w:cs="Open Sans"/>
        </w:rPr>
      </w:pPr>
      <w:bookmarkStart w:id="92" w:name="_Ref523846933"/>
      <w:bookmarkStart w:id="93" w:name="_Toc524352514"/>
      <w:r w:rsidRPr="00AA1A20">
        <w:rPr>
          <w:rFonts w:cs="Open Sans"/>
        </w:rPr>
        <w:t>Safeguards, oversight and reporting of assistance scheme</w:t>
      </w:r>
      <w:bookmarkEnd w:id="92"/>
      <w:bookmarkEnd w:id="93"/>
    </w:p>
    <w:p w14:paraId="02E9EF0F" w14:textId="21C646BE" w:rsidR="00CE04D1" w:rsidRPr="00AA1A20" w:rsidRDefault="00CE04D1" w:rsidP="00BD01E4">
      <w:pPr>
        <w:pStyle w:val="ListNumber"/>
        <w:tabs>
          <w:tab w:val="clear" w:pos="360"/>
          <w:tab w:val="num" w:pos="993"/>
          <w:tab w:val="left" w:pos="1418"/>
        </w:tabs>
        <w:ind w:left="709" w:hanging="567"/>
        <w:rPr>
          <w:rFonts w:cs="Open Sans"/>
          <w:lang w:val="en-US"/>
        </w:rPr>
      </w:pPr>
      <w:r w:rsidRPr="00AA1A20">
        <w:rPr>
          <w:rFonts w:cs="Open Sans"/>
          <w:lang w:val="en-US"/>
        </w:rPr>
        <w:t xml:space="preserve">The </w:t>
      </w:r>
      <w:r w:rsidRPr="00AA1A20">
        <w:rPr>
          <w:rFonts w:cs="Open Sans"/>
        </w:rPr>
        <w:t>Commission</w:t>
      </w:r>
      <w:r w:rsidRPr="00AA1A20">
        <w:rPr>
          <w:rFonts w:cs="Open Sans"/>
          <w:lang w:val="en-US"/>
        </w:rPr>
        <w:t xml:space="preserve"> holds serious concerns about the effectiveness of the safeguards, oversight and reporting procedures of the proposed assistance scheme. </w:t>
      </w:r>
    </w:p>
    <w:p w14:paraId="6384B5E3" w14:textId="51F9B493" w:rsidR="00CE04D1" w:rsidRPr="00AA1A20" w:rsidRDefault="00CE04D1" w:rsidP="002A389F">
      <w:pPr>
        <w:pStyle w:val="ListNumber"/>
        <w:tabs>
          <w:tab w:val="clear" w:pos="360"/>
          <w:tab w:val="num" w:pos="993"/>
          <w:tab w:val="left" w:pos="1418"/>
        </w:tabs>
        <w:ind w:left="709" w:hanging="567"/>
        <w:rPr>
          <w:rFonts w:cs="Open Sans"/>
          <w:lang w:val="en-US"/>
        </w:rPr>
      </w:pPr>
      <w:r w:rsidRPr="00AA1A20">
        <w:rPr>
          <w:rFonts w:cs="Open Sans"/>
        </w:rPr>
        <w:t>Under</w:t>
      </w:r>
      <w:r w:rsidRPr="00AA1A20">
        <w:rPr>
          <w:rFonts w:cs="Open Sans"/>
          <w:lang w:val="en-US"/>
        </w:rPr>
        <w:t xml:space="preserve"> proposed s </w:t>
      </w:r>
      <w:proofErr w:type="gramStart"/>
      <w:r w:rsidRPr="00AA1A20">
        <w:rPr>
          <w:rFonts w:cs="Open Sans"/>
          <w:lang w:val="en-US"/>
        </w:rPr>
        <w:t>317G(</w:t>
      </w:r>
      <w:proofErr w:type="gramEnd"/>
      <w:r w:rsidRPr="00AA1A20">
        <w:rPr>
          <w:rFonts w:cs="Open Sans"/>
          <w:lang w:val="en-US"/>
        </w:rPr>
        <w:t>1), the Director-General of Security, the Director-General of ASIS, the Director-General of the ASD or the chief officer of an interception agency may give a TAR.</w:t>
      </w:r>
    </w:p>
    <w:p w14:paraId="7542C272" w14:textId="77777777" w:rsidR="00CE04D1" w:rsidRPr="00AA1A20" w:rsidRDefault="00CE04D1" w:rsidP="002A389F">
      <w:pPr>
        <w:pStyle w:val="ListNumber"/>
        <w:tabs>
          <w:tab w:val="clear" w:pos="360"/>
          <w:tab w:val="num" w:pos="993"/>
          <w:tab w:val="left" w:pos="1418"/>
        </w:tabs>
        <w:ind w:left="709" w:hanging="567"/>
        <w:rPr>
          <w:rFonts w:cs="Open Sans"/>
          <w:lang w:val="en-US"/>
        </w:rPr>
      </w:pPr>
      <w:r w:rsidRPr="00AA1A20">
        <w:rPr>
          <w:rFonts w:cs="Open Sans"/>
          <w:lang w:val="en-US"/>
        </w:rPr>
        <w:t xml:space="preserve">Under proposed s </w:t>
      </w:r>
      <w:proofErr w:type="gramStart"/>
      <w:r w:rsidRPr="00AA1A20">
        <w:rPr>
          <w:rFonts w:cs="Open Sans"/>
          <w:lang w:val="en-US"/>
        </w:rPr>
        <w:t>317L(</w:t>
      </w:r>
      <w:proofErr w:type="gramEnd"/>
      <w:r w:rsidRPr="00AA1A20">
        <w:rPr>
          <w:rFonts w:cs="Open Sans"/>
          <w:lang w:val="en-US"/>
        </w:rPr>
        <w:t xml:space="preserve">1), the Director-General of Security or the chief officer of an </w:t>
      </w:r>
      <w:r w:rsidRPr="00AA1A20">
        <w:rPr>
          <w:rFonts w:cs="Open Sans"/>
        </w:rPr>
        <w:t>interception</w:t>
      </w:r>
      <w:r w:rsidRPr="00AA1A20">
        <w:rPr>
          <w:rFonts w:cs="Open Sans"/>
          <w:lang w:val="en-US"/>
        </w:rPr>
        <w:t xml:space="preserve"> agency may give a TAN.</w:t>
      </w:r>
    </w:p>
    <w:p w14:paraId="1D2A7F5C" w14:textId="167313A0" w:rsidR="00CE04D1" w:rsidRPr="00AA1A20" w:rsidRDefault="00CE04D1" w:rsidP="002A389F">
      <w:pPr>
        <w:pStyle w:val="ListNumber"/>
        <w:tabs>
          <w:tab w:val="clear" w:pos="360"/>
          <w:tab w:val="num" w:pos="993"/>
          <w:tab w:val="left" w:pos="1418"/>
        </w:tabs>
        <w:ind w:left="709" w:hanging="567"/>
        <w:rPr>
          <w:rFonts w:cs="Open Sans"/>
          <w:lang w:val="en-US"/>
        </w:rPr>
      </w:pPr>
      <w:r w:rsidRPr="00AA1A20">
        <w:rPr>
          <w:rFonts w:cs="Open Sans"/>
        </w:rPr>
        <w:t>Proposed</w:t>
      </w:r>
      <w:r w:rsidRPr="00AA1A20">
        <w:rPr>
          <w:rFonts w:cs="Open Sans"/>
          <w:lang w:val="en-US"/>
        </w:rPr>
        <w:t xml:space="preserve"> ss 317ZN–ZR allow the delegation of powers by the Director-General of Security, the Director-General of ASIS, </w:t>
      </w:r>
      <w:proofErr w:type="gramStart"/>
      <w:r w:rsidRPr="00AA1A20">
        <w:rPr>
          <w:rFonts w:cs="Open Sans"/>
          <w:lang w:val="en-US"/>
        </w:rPr>
        <w:t>the</w:t>
      </w:r>
      <w:proofErr w:type="gramEnd"/>
      <w:r w:rsidRPr="00AA1A20">
        <w:rPr>
          <w:rFonts w:cs="Open Sans"/>
          <w:lang w:val="en-US"/>
        </w:rPr>
        <w:t xml:space="preserve"> Director-General of the ASD or the chief officer of an interception agency. A delegate must comply with any written directions of the delegator. </w:t>
      </w:r>
    </w:p>
    <w:p w14:paraId="0264AE4A" w14:textId="6297DC7C" w:rsidR="00CE04D1" w:rsidRPr="00AA1A20" w:rsidRDefault="00CE04D1" w:rsidP="002A389F">
      <w:pPr>
        <w:pStyle w:val="ListNumber"/>
        <w:tabs>
          <w:tab w:val="clear" w:pos="360"/>
          <w:tab w:val="num" w:pos="993"/>
          <w:tab w:val="left" w:pos="1418"/>
        </w:tabs>
        <w:ind w:left="709" w:hanging="567"/>
        <w:rPr>
          <w:rFonts w:cs="Open Sans"/>
          <w:lang w:val="en-US"/>
        </w:rPr>
      </w:pPr>
      <w:r w:rsidRPr="00AA1A20">
        <w:rPr>
          <w:rFonts w:cs="Open Sans"/>
          <w:lang w:val="en-US"/>
        </w:rPr>
        <w:t xml:space="preserve">In broad brush, delegation </w:t>
      </w:r>
      <w:proofErr w:type="gramStart"/>
      <w:r w:rsidRPr="00AA1A20">
        <w:rPr>
          <w:rFonts w:cs="Open Sans"/>
          <w:lang w:val="en-US"/>
        </w:rPr>
        <w:t>is usually permitted</w:t>
      </w:r>
      <w:proofErr w:type="gramEnd"/>
      <w:r w:rsidRPr="00AA1A20">
        <w:rPr>
          <w:rFonts w:cs="Open Sans"/>
          <w:lang w:val="en-US"/>
        </w:rPr>
        <w:t xml:space="preserve"> where the delegate is at the senior executive level of an agency, or with respect to police </w:t>
      </w:r>
      <w:r w:rsidRPr="00AA1A20">
        <w:rPr>
          <w:rFonts w:cs="Open Sans"/>
        </w:rPr>
        <w:t>forces</w:t>
      </w:r>
      <w:r w:rsidRPr="00AA1A20">
        <w:rPr>
          <w:rFonts w:cs="Open Sans"/>
          <w:lang w:val="en-US"/>
        </w:rPr>
        <w:t xml:space="preserve"> of a state or territory, at an Assistant Commissioner or a Superintendent level. Delegates are empowered to, among other things, give, vary or revoke a TAR or TAN.</w:t>
      </w:r>
    </w:p>
    <w:p w14:paraId="6B7EF365" w14:textId="76F26898" w:rsidR="00CE04D1" w:rsidRPr="00AA1A20" w:rsidRDefault="00CE04D1" w:rsidP="002A389F">
      <w:pPr>
        <w:pStyle w:val="ListNumber"/>
        <w:tabs>
          <w:tab w:val="clear" w:pos="360"/>
          <w:tab w:val="num" w:pos="993"/>
          <w:tab w:val="left" w:pos="1418"/>
        </w:tabs>
        <w:ind w:left="709" w:hanging="567"/>
        <w:rPr>
          <w:rFonts w:cs="Open Sans"/>
          <w:lang w:val="en-US"/>
        </w:rPr>
      </w:pPr>
      <w:r w:rsidRPr="00AA1A20">
        <w:rPr>
          <w:rFonts w:cs="Open Sans"/>
        </w:rPr>
        <w:t xml:space="preserve">Under proposed s 317T, the Attorney-General is empowered to give a TCN, </w:t>
      </w:r>
      <w:r w:rsidRPr="00AA1A20">
        <w:rPr>
          <w:rFonts w:cs="Open Sans"/>
          <w:lang w:val="en-US"/>
        </w:rPr>
        <w:t xml:space="preserve">in </w:t>
      </w:r>
      <w:r w:rsidRPr="00AA1A20">
        <w:rPr>
          <w:rFonts w:cs="Open Sans"/>
        </w:rPr>
        <w:t>accordance</w:t>
      </w:r>
      <w:r w:rsidRPr="00AA1A20">
        <w:rPr>
          <w:rFonts w:cs="Open Sans"/>
          <w:lang w:val="en-US"/>
        </w:rPr>
        <w:t xml:space="preserve"> with a request made by the Director-General of Security or the chief officer of an interception agency. The</w:t>
      </w:r>
      <w:r w:rsidRPr="00AA1A20">
        <w:rPr>
          <w:rFonts w:cs="Open Sans"/>
        </w:rPr>
        <w:t xml:space="preserve"> Attorney-General’s powers with respect to a TCN, including giving, varying and revocation, do not appear to be delegable. </w:t>
      </w:r>
    </w:p>
    <w:p w14:paraId="004C5179" w14:textId="57D0288A" w:rsidR="00CE04D1" w:rsidRPr="00AA1A20" w:rsidRDefault="00CE04D1" w:rsidP="002A389F">
      <w:pPr>
        <w:pStyle w:val="ListNumber"/>
        <w:tabs>
          <w:tab w:val="clear" w:pos="360"/>
          <w:tab w:val="num" w:pos="993"/>
          <w:tab w:val="left" w:pos="1418"/>
        </w:tabs>
        <w:ind w:left="709" w:hanging="567"/>
        <w:rPr>
          <w:rFonts w:cs="Open Sans"/>
          <w:lang w:val="en-US"/>
        </w:rPr>
      </w:pPr>
      <w:r w:rsidRPr="00AA1A20">
        <w:rPr>
          <w:rFonts w:cs="Open Sans"/>
        </w:rPr>
        <w:t xml:space="preserve">The explanatory document states that </w:t>
      </w:r>
      <w:r w:rsidRPr="00AA1A20">
        <w:rPr>
          <w:rFonts w:cs="Open Sans"/>
          <w:lang w:val="en-US"/>
        </w:rPr>
        <w:t>the delegation provisions operate to ensure that powers are ‘restricted to the highest levels of Government … The people who occupy these positions are trusted to exercise suitable judgment about the propriety of requests and well equipped to consider the reasonableness and proportionality of any requirements’.</w:t>
      </w:r>
      <w:r w:rsidRPr="00543C35">
        <w:rPr>
          <w:rStyle w:val="EndnoteReference"/>
          <w:vertAlign w:val="superscript"/>
          <w:lang w:val="en-US"/>
        </w:rPr>
        <w:endnoteReference w:id="119"/>
      </w:r>
      <w:r w:rsidRPr="00AA1A20">
        <w:rPr>
          <w:rFonts w:cs="Open Sans"/>
          <w:lang w:val="en-US"/>
        </w:rPr>
        <w:t xml:space="preserve"> As </w:t>
      </w:r>
      <w:r w:rsidRPr="00AA1A20">
        <w:rPr>
          <w:rFonts w:cs="Open Sans"/>
          <w:lang w:val="en-US"/>
        </w:rPr>
        <w:lastRenderedPageBreak/>
        <w:t>discussed further below, the Commission considers that the powers of delegation are too broad.</w:t>
      </w:r>
    </w:p>
    <w:p w14:paraId="0ADE4908" w14:textId="67B00D92"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val="en-US"/>
        </w:rPr>
        <w:t>explanatory document</w:t>
      </w:r>
      <w:r w:rsidRPr="00AA1A20">
        <w:rPr>
          <w:rFonts w:cs="Open Sans"/>
        </w:rPr>
        <w:t xml:space="preserve"> states that </w:t>
      </w:r>
      <w:r w:rsidRPr="00AA1A20">
        <w:rPr>
          <w:rFonts w:cs="Open Sans"/>
          <w:lang w:val="en-US"/>
        </w:rPr>
        <w:t>courts will retain their inherent powers of judicial review, allowing affected persons to challenge the lawfulness of a decision under the framework, including the giving of a notice.</w:t>
      </w:r>
      <w:r w:rsidRPr="00543C35">
        <w:rPr>
          <w:rStyle w:val="EndnoteReference"/>
          <w:vertAlign w:val="superscript"/>
          <w:lang w:val="en-US"/>
        </w:rPr>
        <w:endnoteReference w:id="120"/>
      </w:r>
      <w:r w:rsidRPr="00AA1A20">
        <w:rPr>
          <w:rFonts w:cs="Open Sans"/>
          <w:lang w:val="en-US"/>
        </w:rPr>
        <w:t xml:space="preserve"> Notably, the assistance framework excludes decisions made under proposed Pt 15 from review under the ADJR Act.</w:t>
      </w:r>
      <w:r w:rsidRPr="00543C35">
        <w:rPr>
          <w:rStyle w:val="EndnoteReference"/>
          <w:vertAlign w:val="superscript"/>
          <w:lang w:val="en-US"/>
        </w:rPr>
        <w:endnoteReference w:id="121"/>
      </w:r>
    </w:p>
    <w:p w14:paraId="0CA4629F" w14:textId="2C006AA6" w:rsidR="00CE04D1" w:rsidRPr="00AA1A20" w:rsidRDefault="00CE04D1" w:rsidP="002A389F">
      <w:pPr>
        <w:pStyle w:val="ListNumber"/>
        <w:tabs>
          <w:tab w:val="clear" w:pos="360"/>
          <w:tab w:val="num" w:pos="993"/>
          <w:tab w:val="left" w:pos="1418"/>
        </w:tabs>
        <w:ind w:left="709" w:hanging="567"/>
        <w:rPr>
          <w:rFonts w:cs="Open Sans"/>
          <w:lang w:val="en-US"/>
        </w:rPr>
      </w:pPr>
      <w:r w:rsidRPr="00AA1A20">
        <w:rPr>
          <w:rFonts w:cs="Open Sans"/>
        </w:rPr>
        <w:t xml:space="preserve">Before giving or varying a TCN, the Attorney-General must give the provider the </w:t>
      </w:r>
      <w:r w:rsidRPr="00AA1A20">
        <w:rPr>
          <w:rFonts w:cs="Open Sans"/>
          <w:lang w:val="en-US"/>
        </w:rPr>
        <w:t>opportunity</w:t>
      </w:r>
      <w:r w:rsidRPr="00AA1A20">
        <w:rPr>
          <w:rFonts w:cs="Open Sans"/>
        </w:rPr>
        <w:t xml:space="preserve"> to consult, unless consultation is impracticable, the TCN </w:t>
      </w:r>
      <w:proofErr w:type="gramStart"/>
      <w:r w:rsidRPr="00AA1A20">
        <w:rPr>
          <w:rFonts w:cs="Open Sans"/>
        </w:rPr>
        <w:t>must be given</w:t>
      </w:r>
      <w:proofErr w:type="gramEnd"/>
      <w:r w:rsidRPr="00AA1A20">
        <w:rPr>
          <w:rFonts w:cs="Open Sans"/>
        </w:rPr>
        <w:t xml:space="preserve"> as a matter of urgency, or consultation is waived.</w:t>
      </w:r>
      <w:r w:rsidRPr="00543C35">
        <w:rPr>
          <w:rStyle w:val="EndnoteReference"/>
          <w:vertAlign w:val="superscript"/>
        </w:rPr>
        <w:endnoteReference w:id="122"/>
      </w:r>
      <w:r w:rsidRPr="00AA1A20">
        <w:rPr>
          <w:rFonts w:cs="Open Sans"/>
        </w:rPr>
        <w:t xml:space="preserve"> While this requirement adds a safeguard to protect the interests of the provider, the Commission notes that it is not absolute, </w:t>
      </w:r>
      <w:proofErr w:type="gramStart"/>
      <w:r w:rsidRPr="00AA1A20">
        <w:rPr>
          <w:rFonts w:cs="Open Sans"/>
        </w:rPr>
        <w:t>and also</w:t>
      </w:r>
      <w:proofErr w:type="gramEnd"/>
      <w:r w:rsidRPr="00AA1A20">
        <w:rPr>
          <w:rFonts w:cs="Open Sans"/>
        </w:rPr>
        <w:t xml:space="preserve"> does not serve to protect the broader public interest or human rights.</w:t>
      </w:r>
    </w:p>
    <w:p w14:paraId="19681DC9" w14:textId="77777777"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lang w:val="en-US"/>
        </w:rPr>
        <w:t xml:space="preserve">Proposed s 317ZS provides that the Minister must write and table a report every financial year that sets out the number of TANs and TCNs given in that year. </w:t>
      </w:r>
    </w:p>
    <w:p w14:paraId="4A4B5CCC" w14:textId="4CA39078" w:rsidR="00CE04D1" w:rsidRPr="00AA1A20" w:rsidRDefault="00CE04D1" w:rsidP="002A389F">
      <w:pPr>
        <w:pStyle w:val="ListNumber"/>
        <w:tabs>
          <w:tab w:val="clear" w:pos="360"/>
          <w:tab w:val="num" w:pos="993"/>
          <w:tab w:val="left" w:pos="1418"/>
        </w:tabs>
        <w:ind w:left="709" w:hanging="567"/>
        <w:rPr>
          <w:rFonts w:cs="Open Sans"/>
          <w:lang w:eastAsia="en-US"/>
        </w:rPr>
      </w:pPr>
      <w:r w:rsidRPr="00AA1A20">
        <w:rPr>
          <w:rFonts w:cs="Open Sans"/>
          <w:lang w:eastAsia="en-US"/>
        </w:rPr>
        <w:t xml:space="preserve">The </w:t>
      </w:r>
      <w:r w:rsidRPr="00AA1A20">
        <w:rPr>
          <w:rFonts w:cs="Open Sans"/>
          <w:lang w:val="en-US"/>
        </w:rPr>
        <w:t>Commission</w:t>
      </w:r>
      <w:r w:rsidRPr="00AA1A20">
        <w:rPr>
          <w:rFonts w:cs="Open Sans"/>
          <w:lang w:eastAsia="en-US"/>
        </w:rPr>
        <w:t xml:space="preserve"> is concerned about the appropriateness of notice giving powers </w:t>
      </w:r>
      <w:proofErr w:type="gramStart"/>
      <w:r w:rsidRPr="00AA1A20">
        <w:rPr>
          <w:rFonts w:cs="Open Sans"/>
          <w:lang w:eastAsia="en-US"/>
        </w:rPr>
        <w:t>being solely afforded</w:t>
      </w:r>
      <w:proofErr w:type="gramEnd"/>
      <w:r w:rsidRPr="00AA1A20">
        <w:rPr>
          <w:rFonts w:cs="Open Sans"/>
          <w:lang w:eastAsia="en-US"/>
        </w:rPr>
        <w:t xml:space="preserve"> to decision makers within the agencies that seek to obtain the relevant industry assistance, again noting the significant human rights interferences and the potential civil and criminal penalty implications. This self-regulating approach raises questions about how </w:t>
      </w:r>
      <w:r w:rsidRPr="00AA1A20">
        <w:rPr>
          <w:rFonts w:cs="Open Sans"/>
          <w:lang w:val="en-US"/>
        </w:rPr>
        <w:t>effectively</w:t>
      </w:r>
      <w:r w:rsidRPr="00AA1A20">
        <w:rPr>
          <w:rFonts w:cs="Open Sans"/>
          <w:lang w:eastAsia="en-US"/>
        </w:rPr>
        <w:t xml:space="preserve"> transparency and accountability </w:t>
      </w:r>
      <w:proofErr w:type="gramStart"/>
      <w:r w:rsidRPr="00AA1A20">
        <w:rPr>
          <w:rFonts w:cs="Open Sans"/>
          <w:lang w:eastAsia="en-US"/>
        </w:rPr>
        <w:t>can be achieved</w:t>
      </w:r>
      <w:proofErr w:type="gramEnd"/>
      <w:r w:rsidRPr="00AA1A20">
        <w:rPr>
          <w:rFonts w:cs="Open Sans"/>
          <w:lang w:eastAsia="en-US"/>
        </w:rPr>
        <w:t>.</w:t>
      </w:r>
    </w:p>
    <w:p w14:paraId="4833DA92" w14:textId="68059944" w:rsidR="00CE04D1" w:rsidRPr="00AA1A20" w:rsidRDefault="00CE04D1" w:rsidP="002A389F">
      <w:pPr>
        <w:pStyle w:val="ListNumber"/>
        <w:tabs>
          <w:tab w:val="clear" w:pos="360"/>
          <w:tab w:val="num" w:pos="993"/>
          <w:tab w:val="left" w:pos="1418"/>
        </w:tabs>
        <w:ind w:left="709" w:hanging="567"/>
        <w:rPr>
          <w:rFonts w:eastAsia="Times New Roman" w:cs="Open Sans"/>
          <w:sz w:val="20"/>
          <w:szCs w:val="20"/>
          <w:lang w:eastAsia="en-US"/>
        </w:rPr>
      </w:pPr>
      <w:r w:rsidRPr="00AA1A20">
        <w:rPr>
          <w:rFonts w:cs="Open Sans"/>
        </w:rPr>
        <w:t xml:space="preserve">The </w:t>
      </w:r>
      <w:r w:rsidRPr="00AA1A20">
        <w:rPr>
          <w:rFonts w:cs="Open Sans"/>
          <w:lang w:eastAsia="en-US"/>
        </w:rPr>
        <w:t>Commission</w:t>
      </w:r>
      <w:r w:rsidRPr="00AA1A20">
        <w:rPr>
          <w:rFonts w:cs="Open Sans"/>
        </w:rPr>
        <w:t xml:space="preserve"> notes that similar technical capability notice-giving powers under the</w:t>
      </w:r>
      <w:r w:rsidRPr="00AA1A20">
        <w:rPr>
          <w:rFonts w:cs="Open Sans"/>
          <w:i/>
        </w:rPr>
        <w:t xml:space="preserve"> Investigatory Powers Act 2016 </w:t>
      </w:r>
      <w:r w:rsidRPr="00AA1A20">
        <w:rPr>
          <w:rFonts w:cs="Open Sans"/>
        </w:rPr>
        <w:t>(UK) are subject to approval by a judicial commissioner of the Investigatory Powers Tribunal,</w:t>
      </w:r>
      <w:r w:rsidRPr="00543C35">
        <w:rPr>
          <w:rStyle w:val="EndnoteReference"/>
          <w:vertAlign w:val="superscript"/>
        </w:rPr>
        <w:endnoteReference w:id="123"/>
      </w:r>
      <w:r w:rsidRPr="00AA1A20">
        <w:rPr>
          <w:rFonts w:cs="Open Sans"/>
        </w:rPr>
        <w:t xml:space="preserve"> being an independent statutory agency exercising judicial functions. In considering whether to approve the giving of a notice, the judicial commissioner must apply the same principles as would be applied by a court on an application for judicial review.</w:t>
      </w:r>
      <w:r w:rsidRPr="00543C35">
        <w:rPr>
          <w:rStyle w:val="EndnoteReference"/>
          <w:vertAlign w:val="superscript"/>
        </w:rPr>
        <w:endnoteReference w:id="124"/>
      </w:r>
      <w:r w:rsidRPr="00AA1A20">
        <w:rPr>
          <w:rFonts w:cs="Open Sans"/>
        </w:rPr>
        <w:t xml:space="preserve"> </w:t>
      </w:r>
    </w:p>
    <w:p w14:paraId="0854F26D" w14:textId="1CA8C23E" w:rsidR="00CE04D1" w:rsidRPr="00AA1A20" w:rsidRDefault="00CE04D1" w:rsidP="002A389F">
      <w:pPr>
        <w:pStyle w:val="ListNumber"/>
        <w:tabs>
          <w:tab w:val="clear" w:pos="360"/>
          <w:tab w:val="num" w:pos="993"/>
          <w:tab w:val="left" w:pos="1418"/>
        </w:tabs>
        <w:ind w:left="709" w:hanging="567"/>
        <w:rPr>
          <w:rFonts w:eastAsia="Times New Roman" w:cs="Open Sans"/>
          <w:sz w:val="20"/>
          <w:szCs w:val="20"/>
          <w:lang w:eastAsia="en-US"/>
        </w:rPr>
      </w:pPr>
      <w:r w:rsidRPr="00AA1A20">
        <w:rPr>
          <w:rFonts w:cs="Open Sans"/>
        </w:rPr>
        <w:t>The UK scheme also permits a provider</w:t>
      </w:r>
      <w:r w:rsidRPr="00AA1A20">
        <w:rPr>
          <w:rFonts w:cs="Open Sans"/>
          <w:lang w:eastAsia="en-US"/>
        </w:rPr>
        <w:t xml:space="preserve"> to refer a notice back to the </w:t>
      </w:r>
      <w:r w:rsidRPr="00AA1A20">
        <w:rPr>
          <w:rFonts w:cs="Open Sans"/>
        </w:rPr>
        <w:t>Secretary</w:t>
      </w:r>
      <w:r w:rsidRPr="00AA1A20">
        <w:rPr>
          <w:rFonts w:cs="Open Sans"/>
          <w:lang w:eastAsia="en-US"/>
        </w:rPr>
        <w:t xml:space="preserve"> of State for review.</w:t>
      </w:r>
      <w:r w:rsidRPr="00543C35">
        <w:rPr>
          <w:rStyle w:val="EndnoteReference"/>
          <w:vertAlign w:val="superscript"/>
        </w:rPr>
        <w:endnoteReference w:id="125"/>
      </w:r>
      <w:r w:rsidRPr="00AA1A20">
        <w:rPr>
          <w:rFonts w:cs="Open Sans"/>
          <w:lang w:eastAsia="en-US"/>
        </w:rPr>
        <w:t xml:space="preserve"> This is in addition to a ‘double-lock’ warrants approval process, whereby the Secretary of State and judicial commissioner must both approve the granting of certain warrants, including an interception warrant.</w:t>
      </w:r>
    </w:p>
    <w:p w14:paraId="5E72A5B9" w14:textId="39D5AFE1" w:rsidR="00CE04D1" w:rsidRPr="00AA1A20" w:rsidRDefault="00CE04D1" w:rsidP="0090557B">
      <w:pPr>
        <w:pStyle w:val="ListNumber"/>
        <w:tabs>
          <w:tab w:val="clear" w:pos="360"/>
          <w:tab w:val="num" w:pos="993"/>
          <w:tab w:val="left" w:pos="1418"/>
        </w:tabs>
        <w:ind w:left="709" w:hanging="567"/>
        <w:rPr>
          <w:rFonts w:cs="Open Sans"/>
          <w:lang w:eastAsia="en-US"/>
        </w:rPr>
      </w:pPr>
      <w:r w:rsidRPr="00AA1A20">
        <w:rPr>
          <w:rFonts w:cs="Open Sans"/>
        </w:rPr>
        <w:t xml:space="preserve">The Commission also draws attention to the </w:t>
      </w:r>
      <w:r w:rsidRPr="00AA1A20">
        <w:rPr>
          <w:rFonts w:cs="Open Sans"/>
          <w:lang w:eastAsia="en-US"/>
        </w:rPr>
        <w:t>UN Special Rapporteur on the promotion and protection of human rights and fundamental freedoms while countering terrorism’s</w:t>
      </w:r>
      <w:r w:rsidRPr="00AA1A20">
        <w:rPr>
          <w:rFonts w:cs="Open Sans"/>
          <w:bCs/>
          <w:lang w:eastAsia="en-US"/>
        </w:rPr>
        <w:t xml:space="preserve"> statement</w:t>
      </w:r>
      <w:r w:rsidRPr="00AA1A20">
        <w:rPr>
          <w:rFonts w:cs="Open Sans"/>
          <w:lang w:eastAsia="en-US"/>
        </w:rPr>
        <w:t xml:space="preserve"> that, without effective and </w:t>
      </w:r>
      <w:r w:rsidRPr="00AA1A20">
        <w:rPr>
          <w:rFonts w:cs="Open Sans"/>
        </w:rPr>
        <w:t>independent</w:t>
      </w:r>
      <w:r w:rsidRPr="00AA1A20">
        <w:rPr>
          <w:rFonts w:cs="Open Sans"/>
          <w:lang w:eastAsia="en-US"/>
        </w:rPr>
        <w:t xml:space="preserve"> oversight and reporting of surveillance practices and techniques, the lawfulness and necessity of resulting human rights </w:t>
      </w:r>
      <w:r w:rsidRPr="00AA1A20">
        <w:rPr>
          <w:rFonts w:cs="Open Sans"/>
          <w:lang w:eastAsia="en-US"/>
        </w:rPr>
        <w:lastRenderedPageBreak/>
        <w:t xml:space="preserve">interferences </w:t>
      </w:r>
      <w:proofErr w:type="gramStart"/>
      <w:r w:rsidRPr="00AA1A20">
        <w:rPr>
          <w:rFonts w:cs="Open Sans"/>
          <w:lang w:eastAsia="en-US"/>
        </w:rPr>
        <w:t>are called</w:t>
      </w:r>
      <w:proofErr w:type="gramEnd"/>
      <w:r w:rsidRPr="00AA1A20">
        <w:rPr>
          <w:rFonts w:cs="Open Sans"/>
          <w:lang w:eastAsia="en-US"/>
        </w:rPr>
        <w:t xml:space="preserve"> into question.</w:t>
      </w:r>
      <w:r w:rsidRPr="00543C35">
        <w:rPr>
          <w:rStyle w:val="EndnoteReference"/>
          <w:vertAlign w:val="superscript"/>
          <w:lang w:eastAsia="en-US"/>
        </w:rPr>
        <w:endnoteReference w:id="126"/>
      </w:r>
      <w:r w:rsidRPr="00AA1A20">
        <w:rPr>
          <w:rFonts w:cs="Open Sans"/>
          <w:lang w:eastAsia="en-US"/>
        </w:rPr>
        <w:t xml:space="preserve"> The UN Special Rapporteur further stated that all secret surveillance systems should be under the review of an effective oversight body, and all interferences authorised through an independent body.</w:t>
      </w:r>
      <w:r w:rsidRPr="00543C35">
        <w:rPr>
          <w:rStyle w:val="EndnoteReference"/>
          <w:vertAlign w:val="superscript"/>
          <w:lang w:eastAsia="en-US"/>
        </w:rPr>
        <w:endnoteReference w:id="127"/>
      </w:r>
      <w:r w:rsidRPr="00AA1A20">
        <w:rPr>
          <w:rFonts w:cs="Open Sans"/>
          <w:b/>
          <w:bCs/>
          <w:lang w:eastAsia="en-US"/>
        </w:rPr>
        <w:t xml:space="preserve"> </w:t>
      </w:r>
    </w:p>
    <w:p w14:paraId="3DE4FBD7" w14:textId="1CE4007F" w:rsidR="00CE04D1" w:rsidRPr="00AA1A20" w:rsidRDefault="00CE04D1" w:rsidP="0090557B">
      <w:pPr>
        <w:pStyle w:val="ListNumber"/>
        <w:tabs>
          <w:tab w:val="clear" w:pos="360"/>
          <w:tab w:val="num" w:pos="993"/>
          <w:tab w:val="left" w:pos="1418"/>
        </w:tabs>
        <w:ind w:left="709" w:hanging="567"/>
        <w:rPr>
          <w:rFonts w:cs="Open Sans"/>
          <w:lang w:eastAsia="en-US"/>
        </w:rPr>
      </w:pPr>
      <w:r w:rsidRPr="00AA1A20">
        <w:rPr>
          <w:rFonts w:cs="Open Sans"/>
          <w:bCs/>
          <w:lang w:eastAsia="en-US"/>
        </w:rPr>
        <w:t xml:space="preserve">This accords with the view of the </w:t>
      </w:r>
      <w:r w:rsidR="00CB3293">
        <w:rPr>
          <w:rFonts w:cs="Open Sans"/>
          <w:bCs/>
          <w:lang w:eastAsia="en-US"/>
        </w:rPr>
        <w:t>OHCHR</w:t>
      </w:r>
      <w:r w:rsidRPr="00AA1A20">
        <w:rPr>
          <w:rFonts w:cs="Open Sans"/>
          <w:bCs/>
          <w:lang w:eastAsia="en-US"/>
        </w:rPr>
        <w:t>, who has stated that ‘[</w:t>
      </w:r>
      <w:proofErr w:type="spellStart"/>
      <w:r w:rsidRPr="00AA1A20">
        <w:rPr>
          <w:rFonts w:cs="Open Sans"/>
          <w:bCs/>
          <w:lang w:eastAsia="en-US"/>
        </w:rPr>
        <w:t>i</w:t>
      </w:r>
      <w:proofErr w:type="spellEnd"/>
      <w:r w:rsidRPr="00AA1A20">
        <w:rPr>
          <w:rFonts w:cs="Open Sans"/>
          <w:bCs/>
          <w:lang w:eastAsia="en-US"/>
        </w:rPr>
        <w:t>]</w:t>
      </w:r>
      <w:proofErr w:type="spellStart"/>
      <w:r w:rsidRPr="00AA1A20">
        <w:rPr>
          <w:rFonts w:cs="Open Sans"/>
          <w:bCs/>
          <w:lang w:eastAsia="en-US"/>
        </w:rPr>
        <w:t>nternal</w:t>
      </w:r>
      <w:proofErr w:type="spellEnd"/>
      <w:r w:rsidRPr="00AA1A20">
        <w:rPr>
          <w:rFonts w:cs="Open Sans"/>
          <w:bCs/>
          <w:lang w:eastAsia="en-US"/>
        </w:rPr>
        <w:t xml:space="preserve"> safeguards without independent, external monitoring in particular have proven ineffective against unlawful or arbitrary surveillance methods … Attention is therefore turning increasingly towards mixed models of administrative, judicial and parliamentary oversight’.</w:t>
      </w:r>
      <w:r w:rsidRPr="00543C35">
        <w:rPr>
          <w:rStyle w:val="EndnoteReference"/>
          <w:bCs/>
          <w:vertAlign w:val="superscript"/>
          <w:lang w:eastAsia="en-US"/>
        </w:rPr>
        <w:endnoteReference w:id="128"/>
      </w:r>
    </w:p>
    <w:p w14:paraId="149E4272" w14:textId="77777777"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The Commission considers that insufficient justification </w:t>
      </w:r>
      <w:proofErr w:type="gramStart"/>
      <w:r w:rsidRPr="00AA1A20">
        <w:rPr>
          <w:rFonts w:cs="Open Sans"/>
        </w:rPr>
        <w:t>has been provided</w:t>
      </w:r>
      <w:proofErr w:type="gramEnd"/>
      <w:r w:rsidRPr="00AA1A20">
        <w:rPr>
          <w:rFonts w:cs="Open Sans"/>
        </w:rPr>
        <w:t xml:space="preserve"> for the lack of independent authorisation or oversight of notice giving powers. </w:t>
      </w:r>
    </w:p>
    <w:p w14:paraId="1667D301" w14:textId="17B245BD"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If the intention of the assistance scheme is to supplement existing powers under warrants, it is unclear why the assistance framework </w:t>
      </w:r>
      <w:proofErr w:type="gramStart"/>
      <w:r w:rsidRPr="00AA1A20">
        <w:rPr>
          <w:rFonts w:cs="Open Sans"/>
        </w:rPr>
        <w:t>cannot be subsumed</w:t>
      </w:r>
      <w:proofErr w:type="gramEnd"/>
      <w:r w:rsidRPr="00AA1A20">
        <w:rPr>
          <w:rFonts w:cs="Open Sans"/>
        </w:rPr>
        <w:t xml:space="preserve"> into the regular warrant processes. That is, assistance powers </w:t>
      </w:r>
      <w:r w:rsidRPr="00AA1A20">
        <w:rPr>
          <w:rFonts w:cs="Open Sans"/>
          <w:lang w:eastAsia="en-US"/>
        </w:rPr>
        <w:t>could</w:t>
      </w:r>
      <w:r w:rsidRPr="00AA1A20">
        <w:rPr>
          <w:rFonts w:cs="Open Sans"/>
        </w:rPr>
        <w:t xml:space="preserve"> be authorised under a warrant. The UK model further demonstrates how judicial oversight might operate.</w:t>
      </w:r>
    </w:p>
    <w:p w14:paraId="28167AB2" w14:textId="77777777"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If the </w:t>
      </w:r>
      <w:r w:rsidRPr="00AA1A20">
        <w:rPr>
          <w:rFonts w:cs="Open Sans"/>
          <w:lang w:eastAsia="en-US"/>
        </w:rPr>
        <w:t>draft</w:t>
      </w:r>
      <w:r w:rsidRPr="00AA1A20">
        <w:rPr>
          <w:rFonts w:cs="Open Sans"/>
        </w:rPr>
        <w:t xml:space="preserve"> Bill is to </w:t>
      </w:r>
      <w:proofErr w:type="gramStart"/>
      <w:r w:rsidRPr="00AA1A20">
        <w:rPr>
          <w:rFonts w:cs="Open Sans"/>
        </w:rPr>
        <w:t>be passed</w:t>
      </w:r>
      <w:proofErr w:type="gramEnd"/>
      <w:r w:rsidRPr="00AA1A20">
        <w:rPr>
          <w:rFonts w:cs="Open Sans"/>
        </w:rPr>
        <w:t xml:space="preserve"> with approval mechanisms similar to its current form, the Commission considers that further restricting the delegation of assistance powers is a measure that could enhance proportionality. </w:t>
      </w:r>
    </w:p>
    <w:p w14:paraId="016DD463" w14:textId="2BD9B64B"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Given the significant human rights impacts, wide discretion and finely balanced considerations involved in deciding to issue a notice, reserving this power to Ministers or a more limited cohort of the highest senior members of the public service would enhance accountability and proportionality. It would also likely limit the number of notices given to only necessary instances. </w:t>
      </w:r>
    </w:p>
    <w:p w14:paraId="6D7985A5" w14:textId="788B6A0B" w:rsidR="00CE04D1" w:rsidRPr="00AA1A20" w:rsidRDefault="00CE04D1" w:rsidP="00776AE9">
      <w:pPr>
        <w:pStyle w:val="ListNumber"/>
        <w:tabs>
          <w:tab w:val="clear" w:pos="360"/>
          <w:tab w:val="num" w:pos="993"/>
          <w:tab w:val="left" w:pos="1418"/>
        </w:tabs>
        <w:ind w:left="709" w:hanging="567"/>
        <w:rPr>
          <w:rFonts w:cs="Open Sans"/>
        </w:rPr>
      </w:pPr>
      <w:r w:rsidRPr="00AA1A20">
        <w:rPr>
          <w:rFonts w:cs="Open Sans"/>
        </w:rPr>
        <w:t xml:space="preserve">The Commission is further concerned about the exclusion of the ADJR Act and the sweeping immunities offered to providers under proposed s 317ZJ. These proposals engage and potentially limit an individual’s rights to a fair hearing and an effective remedy under articles 14(1) and 2(3) of the ICCPR respectively. </w:t>
      </w:r>
    </w:p>
    <w:p w14:paraId="6A09072C" w14:textId="1A9BEB3F"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While judicial review is still available through other means, such as the High Court’s jurisdiction under s 75(v) of the Australian Constitution or the Federal Court’s jurisdiction under s 39B(1) of the </w:t>
      </w:r>
      <w:r w:rsidRPr="00AA1A20">
        <w:rPr>
          <w:rFonts w:cs="Open Sans"/>
          <w:i/>
          <w:iCs/>
        </w:rPr>
        <w:t xml:space="preserve">Judiciary Act 1903 </w:t>
      </w:r>
      <w:r w:rsidRPr="00AA1A20">
        <w:rPr>
          <w:rFonts w:cs="Open Sans"/>
          <w:iCs/>
        </w:rPr>
        <w:t>(Cth)</w:t>
      </w:r>
      <w:r w:rsidRPr="00AA1A20">
        <w:rPr>
          <w:rFonts w:cs="Open Sans"/>
        </w:rPr>
        <w:t>, judicial review under the ADJR Act is comparatively more clear, straightforward and accessible.</w:t>
      </w:r>
      <w:r w:rsidRPr="00543C35">
        <w:rPr>
          <w:rStyle w:val="EndnoteReference"/>
          <w:vertAlign w:val="superscript"/>
        </w:rPr>
        <w:endnoteReference w:id="129"/>
      </w:r>
    </w:p>
    <w:p w14:paraId="77650E81" w14:textId="41C0C4E2"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As discussed in paragraph [</w:t>
      </w:r>
      <w:r w:rsidRPr="00AA1A20">
        <w:rPr>
          <w:rFonts w:cs="Open Sans"/>
        </w:rPr>
        <w:fldChar w:fldCharType="begin"/>
      </w:r>
      <w:r w:rsidRPr="00AA1A20">
        <w:rPr>
          <w:rFonts w:cs="Open Sans"/>
        </w:rPr>
        <w:instrText xml:space="preserve"> REF _Ref524084261 \r \h </w:instrText>
      </w:r>
      <w:r>
        <w:rPr>
          <w:rFonts w:cs="Open Sans"/>
        </w:rPr>
        <w:instrText xml:space="preserve"> \* MERGEFORMAT </w:instrText>
      </w:r>
      <w:r w:rsidRPr="00AA1A20">
        <w:rPr>
          <w:rFonts w:cs="Open Sans"/>
        </w:rPr>
      </w:r>
      <w:r w:rsidRPr="00AA1A20">
        <w:rPr>
          <w:rFonts w:cs="Open Sans"/>
        </w:rPr>
        <w:fldChar w:fldCharType="separate"/>
      </w:r>
      <w:r w:rsidR="00523FE1">
        <w:rPr>
          <w:rFonts w:cs="Open Sans"/>
        </w:rPr>
        <w:t>159</w:t>
      </w:r>
      <w:r w:rsidRPr="00AA1A20">
        <w:rPr>
          <w:rFonts w:cs="Open Sans"/>
        </w:rPr>
        <w:fldChar w:fldCharType="end"/>
      </w:r>
      <w:r w:rsidRPr="00AA1A20">
        <w:rPr>
          <w:rFonts w:cs="Open Sans"/>
        </w:rPr>
        <w:t xml:space="preserve">] of this submission, the various ambiguities contained in the draft </w:t>
      </w:r>
      <w:r w:rsidRPr="00AA1A20">
        <w:rPr>
          <w:rFonts w:cs="Open Sans"/>
          <w:lang w:eastAsia="en-US"/>
        </w:rPr>
        <w:t>Bill</w:t>
      </w:r>
      <w:r w:rsidRPr="00AA1A20">
        <w:rPr>
          <w:rFonts w:cs="Open Sans"/>
        </w:rPr>
        <w:t xml:space="preserve"> could lead to real questions about </w:t>
      </w:r>
      <w:r w:rsidRPr="00AA1A20">
        <w:rPr>
          <w:rFonts w:cs="Open Sans"/>
        </w:rPr>
        <w:lastRenderedPageBreak/>
        <w:t xml:space="preserve">whether or not a notice is within power and therefore valid. Given the potential ambiguity of a provider’s legal obligations, yet the serious implications of non-compliance, the Commission considers that it is vital to have an accessible and efficient mechanism of review available. </w:t>
      </w:r>
    </w:p>
    <w:p w14:paraId="7AEA5DCD" w14:textId="55D5BCE2" w:rsidR="00CE04D1" w:rsidRPr="00AA1A20" w:rsidRDefault="00CE04D1" w:rsidP="00E50199">
      <w:pPr>
        <w:pStyle w:val="ListNumber"/>
        <w:tabs>
          <w:tab w:val="clear" w:pos="360"/>
          <w:tab w:val="num" w:pos="993"/>
          <w:tab w:val="left" w:pos="1418"/>
        </w:tabs>
        <w:ind w:left="709" w:hanging="567"/>
        <w:rPr>
          <w:rFonts w:cs="Open Sans"/>
        </w:rPr>
      </w:pPr>
      <w:r w:rsidRPr="00AA1A20">
        <w:rPr>
          <w:rFonts w:cs="Open Sans"/>
        </w:rPr>
        <w:t xml:space="preserve">Such a review process could operate at both the administrative and judicial level. For example, the draft Bill </w:t>
      </w:r>
      <w:proofErr w:type="gramStart"/>
      <w:r w:rsidRPr="00AA1A20">
        <w:rPr>
          <w:rFonts w:cs="Open Sans"/>
        </w:rPr>
        <w:t>could be amended</w:t>
      </w:r>
      <w:proofErr w:type="gramEnd"/>
      <w:r w:rsidRPr="00AA1A20">
        <w:rPr>
          <w:rFonts w:cs="Open Sans"/>
        </w:rPr>
        <w:t xml:space="preserve"> to permit merits </w:t>
      </w:r>
      <w:r w:rsidRPr="00AA1A20">
        <w:rPr>
          <w:rFonts w:cs="Open Sans"/>
          <w:lang w:eastAsia="en-US"/>
        </w:rPr>
        <w:t>review</w:t>
      </w:r>
      <w:r w:rsidRPr="00AA1A20">
        <w:rPr>
          <w:rFonts w:cs="Open Sans"/>
        </w:rPr>
        <w:t xml:space="preserve"> of a notice, as well as make judicial review available under the ADJR Act. Generally, the Commission considers that external merits review, as distinct from internal merits review, will enhance the independence and quality of a decision-making process.</w:t>
      </w:r>
    </w:p>
    <w:p w14:paraId="0C1D73E4" w14:textId="79E6E8A5"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also queries whether the protection of providers from civil liability for ‘acts or things’ done in compliance, or in good faith in purported compliance, with a TAN or TCN, is proportionate. The proposed immunity </w:t>
      </w:r>
      <w:r w:rsidRPr="00AA1A20">
        <w:rPr>
          <w:rFonts w:cs="Open Sans"/>
          <w:lang w:eastAsia="en-US"/>
        </w:rPr>
        <w:t>operates</w:t>
      </w:r>
      <w:r w:rsidRPr="00AA1A20">
        <w:rPr>
          <w:rFonts w:cs="Open Sans"/>
        </w:rPr>
        <w:t xml:space="preserve"> to prevent the ability of any person (not just the target of an investigation but also innocent third parties who </w:t>
      </w:r>
      <w:proofErr w:type="gramStart"/>
      <w:r w:rsidRPr="00AA1A20">
        <w:rPr>
          <w:rFonts w:cs="Open Sans"/>
        </w:rPr>
        <w:t>might be harmed</w:t>
      </w:r>
      <w:proofErr w:type="gramEnd"/>
      <w:r w:rsidRPr="00AA1A20">
        <w:rPr>
          <w:rFonts w:cs="Open Sans"/>
        </w:rPr>
        <w:t xml:space="preserve"> by a civil wrong) from bringing a civil proceeding against a provider who has complied or purported to comply with a notice in good faith.</w:t>
      </w:r>
    </w:p>
    <w:p w14:paraId="60F3B364" w14:textId="188A7530" w:rsidR="00CE04D1" w:rsidRPr="00AA1A20" w:rsidRDefault="00CE04D1" w:rsidP="003C2A12">
      <w:pPr>
        <w:pStyle w:val="ListNumber"/>
        <w:tabs>
          <w:tab w:val="clear" w:pos="360"/>
          <w:tab w:val="num" w:pos="993"/>
          <w:tab w:val="left" w:pos="1418"/>
        </w:tabs>
        <w:ind w:left="709" w:hanging="567"/>
        <w:rPr>
          <w:rFonts w:cs="Open Sans"/>
        </w:rPr>
      </w:pPr>
      <w:r w:rsidRPr="00AA1A20">
        <w:rPr>
          <w:rFonts w:cs="Open Sans"/>
        </w:rPr>
        <w:t>As stated by the ALRC, any law that authorises what would otherwise constitute a tort should be subject to careful justification.</w:t>
      </w:r>
      <w:r w:rsidRPr="00543C35">
        <w:rPr>
          <w:rStyle w:val="EndnoteReference"/>
          <w:vertAlign w:val="superscript"/>
        </w:rPr>
        <w:endnoteReference w:id="130"/>
      </w:r>
      <w:r w:rsidRPr="00AA1A20">
        <w:rPr>
          <w:rFonts w:cs="Open Sans"/>
        </w:rPr>
        <w:t xml:space="preserve"> The Law Council of Australia has highlighted the declining use of executive immunities in Australian law,</w:t>
      </w:r>
      <w:r w:rsidRPr="00543C35">
        <w:rPr>
          <w:rStyle w:val="EndnoteReference"/>
          <w:vertAlign w:val="superscript"/>
        </w:rPr>
        <w:endnoteReference w:id="131"/>
      </w:r>
      <w:r w:rsidRPr="00AA1A20">
        <w:rPr>
          <w:rFonts w:cs="Open Sans"/>
        </w:rPr>
        <w:t xml:space="preserve"> reflecting the core tenet that government and those acting on its behalf should be subject to the same legal liabilities as any individual.</w:t>
      </w:r>
      <w:r w:rsidRPr="00543C35">
        <w:rPr>
          <w:rStyle w:val="EndnoteReference"/>
          <w:vertAlign w:val="superscript"/>
        </w:rPr>
        <w:endnoteReference w:id="132"/>
      </w:r>
      <w:r w:rsidRPr="00AA1A20">
        <w:rPr>
          <w:rFonts w:cs="Open Sans"/>
        </w:rPr>
        <w:t xml:space="preserve"> Further, when interpreting a statute</w:t>
      </w:r>
      <w:r>
        <w:rPr>
          <w:rFonts w:cs="Open Sans"/>
        </w:rPr>
        <w:t>,</w:t>
      </w:r>
      <w:r w:rsidRPr="00AA1A20">
        <w:rPr>
          <w:rFonts w:cs="Open Sans"/>
        </w:rPr>
        <w:t xml:space="preserve"> courts will presume that the Parliament did not intend to grant a wide immunity or authorise what would otherwise be a tort</w:t>
      </w:r>
      <w:r>
        <w:rPr>
          <w:rFonts w:cs="Open Sans"/>
        </w:rPr>
        <w:t xml:space="preserve"> </w:t>
      </w:r>
      <w:r w:rsidRPr="00AA1A20">
        <w:rPr>
          <w:rFonts w:cs="Open Sans"/>
        </w:rPr>
        <w:t>in the absence of clear language</w:t>
      </w:r>
      <w:r w:rsidRPr="00543C35">
        <w:rPr>
          <w:rStyle w:val="EndnoteReference"/>
          <w:vertAlign w:val="superscript"/>
        </w:rPr>
        <w:endnoteReference w:id="133"/>
      </w:r>
      <w:r w:rsidRPr="00AA1A20">
        <w:rPr>
          <w:rFonts w:cs="Open Sans"/>
        </w:rPr>
        <w:t xml:space="preserve">—an ambiguous provision </w:t>
      </w:r>
      <w:proofErr w:type="gramStart"/>
      <w:r w:rsidRPr="00AA1A20">
        <w:rPr>
          <w:rFonts w:cs="Open Sans"/>
        </w:rPr>
        <w:t>will be narrowly construed</w:t>
      </w:r>
      <w:proofErr w:type="gramEnd"/>
      <w:r w:rsidRPr="00AA1A20">
        <w:rPr>
          <w:rFonts w:cs="Open Sans"/>
        </w:rPr>
        <w:t xml:space="preserve">. </w:t>
      </w:r>
    </w:p>
    <w:p w14:paraId="0035DAB3" w14:textId="3BA0B3A6" w:rsidR="00CE04D1" w:rsidRPr="00AA1A20" w:rsidRDefault="00CE04D1" w:rsidP="003C2A12">
      <w:pPr>
        <w:pStyle w:val="ListNumber"/>
        <w:tabs>
          <w:tab w:val="clear" w:pos="360"/>
          <w:tab w:val="num" w:pos="993"/>
          <w:tab w:val="left" w:pos="1418"/>
        </w:tabs>
        <w:ind w:left="709" w:hanging="567"/>
        <w:rPr>
          <w:rFonts w:cs="Open Sans"/>
        </w:rPr>
      </w:pPr>
      <w:r w:rsidRPr="00AA1A20">
        <w:rPr>
          <w:rFonts w:cs="Open Sans"/>
        </w:rPr>
        <w:t xml:space="preserve">This potentially overbroad immunity </w:t>
      </w:r>
      <w:proofErr w:type="gramStart"/>
      <w:r w:rsidRPr="00AA1A20">
        <w:rPr>
          <w:rFonts w:cs="Open Sans"/>
        </w:rPr>
        <w:t>is also afforded</w:t>
      </w:r>
      <w:proofErr w:type="gramEnd"/>
      <w:r w:rsidRPr="00AA1A20">
        <w:rPr>
          <w:rFonts w:cs="Open Sans"/>
        </w:rPr>
        <w:t xml:space="preserve"> to private companies and individuals. While Crown immunities can often be justified by allowing the executive to perform a public good that might otherwise be prohibitively costly or difficult,</w:t>
      </w:r>
      <w:r w:rsidRPr="00543C35">
        <w:rPr>
          <w:rStyle w:val="EndnoteReference"/>
          <w:vertAlign w:val="superscript"/>
        </w:rPr>
        <w:endnoteReference w:id="134"/>
      </w:r>
      <w:r w:rsidRPr="00AA1A20">
        <w:rPr>
          <w:rFonts w:cs="Open Sans"/>
        </w:rPr>
        <w:t xml:space="preserve"> the corporate interests of for-profit providers or individuals might not always align with the public interest. </w:t>
      </w:r>
    </w:p>
    <w:p w14:paraId="2D13B090" w14:textId="68334A5E"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While such a blanket immunity will likely incentivise providers to comply with requests and notices, it may commensurately also lessen the attention providers pay to </w:t>
      </w:r>
      <w:r w:rsidRPr="00AA1A20">
        <w:rPr>
          <w:rFonts w:cs="Open Sans"/>
          <w:lang w:eastAsia="en-US"/>
        </w:rPr>
        <w:t>the</w:t>
      </w:r>
      <w:r w:rsidRPr="00AA1A20">
        <w:rPr>
          <w:rFonts w:cs="Open Sans"/>
        </w:rPr>
        <w:t xml:space="preserve"> legality of their actions, and therefore increase the impact of their actions on the privacy of third parties. This risks removing an additional check and balance in the assistance process. </w:t>
      </w:r>
    </w:p>
    <w:p w14:paraId="67694C3E" w14:textId="0C646E3E"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Further, in the event that there are different acts that </w:t>
      </w:r>
      <w:proofErr w:type="gramStart"/>
      <w:r w:rsidRPr="00AA1A20">
        <w:rPr>
          <w:rFonts w:cs="Open Sans"/>
        </w:rPr>
        <w:t>could be undertaken</w:t>
      </w:r>
      <w:proofErr w:type="gramEnd"/>
      <w:r w:rsidRPr="00AA1A20">
        <w:rPr>
          <w:rFonts w:cs="Open Sans"/>
        </w:rPr>
        <w:t xml:space="preserve"> to fulfil an assistance obligation, a broad immunity heightens the likelihood of a provider opting for the most rights-intrusive option when a less restrictive measure might suffice. </w:t>
      </w:r>
    </w:p>
    <w:p w14:paraId="4D9EDD22" w14:textId="113444D5"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lastRenderedPageBreak/>
        <w:t xml:space="preserve">Lastly, the </w:t>
      </w:r>
      <w:r w:rsidRPr="00AA1A20">
        <w:rPr>
          <w:rFonts w:cs="Open Sans"/>
          <w:lang w:eastAsia="en-US"/>
        </w:rPr>
        <w:t>Commission</w:t>
      </w:r>
      <w:r w:rsidRPr="00AA1A20">
        <w:rPr>
          <w:rFonts w:cs="Open Sans"/>
        </w:rPr>
        <w:t xml:space="preserve"> considers that public reporting of the number of TANs and TCNs given every financial year under proposed s 317ZS offers little effective accountability. Those metrics would provide no useful information to assess whether these TANs and TCNs </w:t>
      </w:r>
      <w:proofErr w:type="gramStart"/>
      <w:r w:rsidRPr="00AA1A20">
        <w:rPr>
          <w:rFonts w:cs="Open Sans"/>
        </w:rPr>
        <w:t>were issued</w:t>
      </w:r>
      <w:proofErr w:type="gramEnd"/>
      <w:r w:rsidRPr="00AA1A20">
        <w:rPr>
          <w:rFonts w:cs="Open Sans"/>
        </w:rPr>
        <w:t xml:space="preserve"> appropriate – either in aggregate or individually. Stronger reporting requirements would enhance the proportionality of the powers. </w:t>
      </w:r>
    </w:p>
    <w:p w14:paraId="62964FCB" w14:textId="77777777"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The Commission queries why more detailed reporting requirements are not feasible, such as a disaggregated summary of notices that </w:t>
      </w:r>
      <w:proofErr w:type="gramStart"/>
      <w:r w:rsidRPr="00AA1A20">
        <w:rPr>
          <w:rFonts w:cs="Open Sans"/>
        </w:rPr>
        <w:t>is sanitised or redacted as necessary</w:t>
      </w:r>
      <w:proofErr w:type="gramEnd"/>
      <w:r w:rsidRPr="00AA1A20">
        <w:rPr>
          <w:rFonts w:cs="Open Sans"/>
        </w:rPr>
        <w:t xml:space="preserve">. Further, it sees no reason why certain disaggregated statistical </w:t>
      </w:r>
      <w:r w:rsidRPr="00AA1A20">
        <w:rPr>
          <w:rFonts w:cs="Open Sans"/>
          <w:lang w:eastAsia="en-US"/>
        </w:rPr>
        <w:t>information</w:t>
      </w:r>
      <w:r w:rsidRPr="00AA1A20">
        <w:rPr>
          <w:rFonts w:cs="Open Sans"/>
        </w:rPr>
        <w:t xml:space="preserve"> could not be provided, such as whether notices are active or expired, how many have been varied, and whether any are subject to legal challenge. Such information could increase transparency without </w:t>
      </w:r>
      <w:proofErr w:type="gramStart"/>
      <w:r w:rsidRPr="00AA1A20">
        <w:rPr>
          <w:rFonts w:cs="Open Sans"/>
        </w:rPr>
        <w:t>impacting</w:t>
      </w:r>
      <w:proofErr w:type="gramEnd"/>
      <w:r w:rsidRPr="00AA1A20">
        <w:rPr>
          <w:rFonts w:cs="Open Sans"/>
        </w:rPr>
        <w:t xml:space="preserve"> operations. </w:t>
      </w:r>
    </w:p>
    <w:p w14:paraId="3B8014E9" w14:textId="77777777"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The Commission also considers that it is appropriate to report on the giving of TARs as well as notices.</w:t>
      </w:r>
    </w:p>
    <w:p w14:paraId="3BAEF348" w14:textId="77777777" w:rsidR="00CE04D1" w:rsidRPr="00AA1A20" w:rsidRDefault="00CE04D1" w:rsidP="002A389F">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601A9698" w14:textId="77777777" w:rsidR="00CE04D1" w:rsidRPr="00AA1A20" w:rsidRDefault="00CE04D1" w:rsidP="004A7EC2">
      <w:pPr>
        <w:pStyle w:val="ListNumber"/>
        <w:numPr>
          <w:ilvl w:val="0"/>
          <w:numId w:val="0"/>
        </w:numPr>
        <w:ind w:left="720"/>
        <w:rPr>
          <w:rFonts w:cs="Open Sans"/>
          <w:b/>
        </w:rPr>
      </w:pPr>
      <w:r w:rsidRPr="00AA1A20">
        <w:rPr>
          <w:rFonts w:cs="Open Sans"/>
          <w:b/>
        </w:rPr>
        <w:t>Recommendation 25</w:t>
      </w:r>
    </w:p>
    <w:p w14:paraId="6A05E932" w14:textId="0F80ED41" w:rsidR="00CE04D1" w:rsidRPr="00AA1A20" w:rsidRDefault="00CE04D1" w:rsidP="004A7EC2">
      <w:pPr>
        <w:pStyle w:val="ListNumber"/>
        <w:numPr>
          <w:ilvl w:val="0"/>
          <w:numId w:val="0"/>
        </w:numPr>
        <w:ind w:left="720"/>
        <w:rPr>
          <w:rFonts w:cs="Open Sans"/>
        </w:rPr>
      </w:pPr>
      <w:r w:rsidRPr="00AA1A20">
        <w:rPr>
          <w:rFonts w:cs="Open Sans"/>
        </w:rPr>
        <w:t xml:space="preserve">Proposed new Pt 15 of the </w:t>
      </w:r>
      <w:r w:rsidRPr="00AA1A20">
        <w:rPr>
          <w:rFonts w:cs="Open Sans"/>
          <w:i/>
        </w:rPr>
        <w:t xml:space="preserve">Telecommunications Act 1997 </w:t>
      </w:r>
      <w:r w:rsidRPr="00AA1A20">
        <w:rPr>
          <w:rFonts w:cs="Open Sans"/>
        </w:rPr>
        <w:t>(Cth) be amended to require judicial authorisation for the giving or varying of notices, potentially through existing warrant processes or otherwise through another form of independent judicial oversight.</w:t>
      </w:r>
    </w:p>
    <w:p w14:paraId="2F3A6CE7" w14:textId="77777777" w:rsidR="00CE04D1" w:rsidRPr="00AA1A20" w:rsidRDefault="00CE04D1" w:rsidP="004A7EC2">
      <w:pPr>
        <w:pStyle w:val="ListNumber"/>
        <w:numPr>
          <w:ilvl w:val="0"/>
          <w:numId w:val="0"/>
        </w:numPr>
        <w:ind w:left="720"/>
        <w:rPr>
          <w:rFonts w:cs="Open Sans"/>
          <w:b/>
        </w:rPr>
      </w:pPr>
      <w:r w:rsidRPr="00AA1A20">
        <w:rPr>
          <w:rFonts w:cs="Open Sans"/>
          <w:b/>
        </w:rPr>
        <w:t>Recommendation 26</w:t>
      </w:r>
    </w:p>
    <w:p w14:paraId="7FD0240A" w14:textId="29B8BD14" w:rsidR="00CE04D1" w:rsidRPr="00AA1A20" w:rsidRDefault="00CE04D1" w:rsidP="004A7EC2">
      <w:pPr>
        <w:pStyle w:val="ListNumber"/>
        <w:numPr>
          <w:ilvl w:val="0"/>
          <w:numId w:val="0"/>
        </w:numPr>
        <w:ind w:left="720"/>
        <w:rPr>
          <w:rFonts w:cs="Open Sans"/>
        </w:rPr>
      </w:pPr>
      <w:r w:rsidRPr="00AA1A20">
        <w:rPr>
          <w:rFonts w:cs="Open Sans"/>
        </w:rPr>
        <w:t xml:space="preserve">Serious consideration be given to amending proposed ss 317ZN–ZR of the </w:t>
      </w:r>
      <w:r w:rsidRPr="00AA1A20">
        <w:rPr>
          <w:rFonts w:cs="Open Sans"/>
          <w:i/>
        </w:rPr>
        <w:t xml:space="preserve">Telecommunications Act 1997 </w:t>
      </w:r>
      <w:r w:rsidRPr="00AA1A20">
        <w:rPr>
          <w:rFonts w:cs="Open Sans"/>
        </w:rPr>
        <w:t>(Cth) to restrict delegations of power to a further limited range of senior executives, for example persons who are directly responsible to the relevant chief officer.</w:t>
      </w:r>
    </w:p>
    <w:p w14:paraId="2527F4F9" w14:textId="77777777" w:rsidR="00CE04D1" w:rsidRPr="00AA1A20" w:rsidRDefault="00CE04D1" w:rsidP="004A7EC2">
      <w:pPr>
        <w:pStyle w:val="ListNumber"/>
        <w:numPr>
          <w:ilvl w:val="0"/>
          <w:numId w:val="0"/>
        </w:numPr>
        <w:ind w:left="720"/>
        <w:rPr>
          <w:rFonts w:cs="Open Sans"/>
          <w:b/>
        </w:rPr>
      </w:pPr>
      <w:r w:rsidRPr="00AA1A20">
        <w:rPr>
          <w:rFonts w:cs="Open Sans"/>
          <w:b/>
        </w:rPr>
        <w:t>Recommendation 27</w:t>
      </w:r>
    </w:p>
    <w:p w14:paraId="6F037DA7" w14:textId="5FEB8AF1" w:rsidR="00CE04D1" w:rsidRPr="00AA1A20" w:rsidRDefault="00CE04D1" w:rsidP="004A7EC2">
      <w:pPr>
        <w:pStyle w:val="ListNumber"/>
        <w:numPr>
          <w:ilvl w:val="0"/>
          <w:numId w:val="0"/>
        </w:numPr>
        <w:ind w:left="720"/>
        <w:rPr>
          <w:rFonts w:cs="Open Sans"/>
        </w:rPr>
      </w:pPr>
      <w:r w:rsidRPr="00AA1A20">
        <w:rPr>
          <w:rFonts w:cs="Open Sans"/>
        </w:rPr>
        <w:t xml:space="preserve">The draft Bill should be amended to allow </w:t>
      </w:r>
      <w:r w:rsidRPr="00AA1A20">
        <w:rPr>
          <w:rFonts w:cs="Open Sans"/>
          <w:i/>
        </w:rPr>
        <w:t xml:space="preserve">Administrative Decisions (Judicial Review) Act 1977 </w:t>
      </w:r>
      <w:r w:rsidRPr="00AA1A20">
        <w:rPr>
          <w:rFonts w:cs="Open Sans"/>
        </w:rPr>
        <w:t xml:space="preserve">(Cth) review of all or some decisions made under proposed Pt 15 of the </w:t>
      </w:r>
      <w:r w:rsidRPr="00AA1A20">
        <w:rPr>
          <w:rFonts w:cs="Open Sans"/>
          <w:i/>
        </w:rPr>
        <w:t xml:space="preserve">Telecommunications Act 1997 </w:t>
      </w:r>
      <w:r w:rsidRPr="00AA1A20">
        <w:rPr>
          <w:rFonts w:cs="Open Sans"/>
        </w:rPr>
        <w:t>(Cth).</w:t>
      </w:r>
    </w:p>
    <w:p w14:paraId="5BAE837E" w14:textId="77777777" w:rsidR="00CE04D1" w:rsidRPr="00AA1A20" w:rsidRDefault="00CE04D1" w:rsidP="004A7EC2">
      <w:pPr>
        <w:pStyle w:val="ListNumber"/>
        <w:numPr>
          <w:ilvl w:val="0"/>
          <w:numId w:val="0"/>
        </w:numPr>
        <w:ind w:left="720"/>
        <w:rPr>
          <w:rFonts w:cs="Open Sans"/>
          <w:b/>
        </w:rPr>
      </w:pPr>
      <w:r w:rsidRPr="00AA1A20">
        <w:rPr>
          <w:rFonts w:cs="Open Sans"/>
          <w:b/>
        </w:rPr>
        <w:t>Recommendation 28</w:t>
      </w:r>
    </w:p>
    <w:p w14:paraId="73F870C4" w14:textId="6CAA488F" w:rsidR="00CE04D1" w:rsidRPr="00AA1A20" w:rsidRDefault="00CE04D1" w:rsidP="004A7EC2">
      <w:pPr>
        <w:pStyle w:val="ListNumber"/>
        <w:numPr>
          <w:ilvl w:val="0"/>
          <w:numId w:val="0"/>
        </w:numPr>
        <w:ind w:left="720"/>
        <w:rPr>
          <w:rFonts w:cs="Open Sans"/>
        </w:rPr>
      </w:pPr>
      <w:r w:rsidRPr="00AA1A20">
        <w:rPr>
          <w:rFonts w:cs="Open Sans"/>
        </w:rPr>
        <w:t xml:space="preserve">Proposed Pt 15 of the </w:t>
      </w:r>
      <w:r w:rsidRPr="00AA1A20">
        <w:rPr>
          <w:rFonts w:cs="Open Sans"/>
          <w:i/>
        </w:rPr>
        <w:t xml:space="preserve">Telecommunications Act 1997 </w:t>
      </w:r>
      <w:r w:rsidRPr="00AA1A20">
        <w:rPr>
          <w:rFonts w:cs="Open Sans"/>
        </w:rPr>
        <w:t>(Cth) be amended to provide an avenue or mechanism for the administrative review of decisions made under Pt 15.</w:t>
      </w:r>
    </w:p>
    <w:p w14:paraId="2D28071B" w14:textId="77777777" w:rsidR="00CE04D1" w:rsidRPr="00AA1A20" w:rsidRDefault="00CE04D1" w:rsidP="00FB4E1D">
      <w:pPr>
        <w:pStyle w:val="ListNumber"/>
        <w:numPr>
          <w:ilvl w:val="0"/>
          <w:numId w:val="0"/>
        </w:numPr>
        <w:ind w:left="720"/>
        <w:rPr>
          <w:rFonts w:cs="Open Sans"/>
          <w:b/>
        </w:rPr>
      </w:pPr>
      <w:r w:rsidRPr="00AA1A20">
        <w:rPr>
          <w:rFonts w:cs="Open Sans"/>
          <w:b/>
        </w:rPr>
        <w:t>Recommendation 29</w:t>
      </w:r>
    </w:p>
    <w:p w14:paraId="1D0B0E36" w14:textId="1260F873" w:rsidR="00CE04D1" w:rsidRPr="00AA1A20" w:rsidRDefault="00CE04D1" w:rsidP="00FB4E1D">
      <w:pPr>
        <w:pStyle w:val="ListNumber"/>
        <w:numPr>
          <w:ilvl w:val="0"/>
          <w:numId w:val="0"/>
        </w:numPr>
        <w:ind w:left="720"/>
        <w:rPr>
          <w:rFonts w:cs="Open Sans"/>
        </w:rPr>
      </w:pPr>
      <w:r w:rsidRPr="00AA1A20">
        <w:rPr>
          <w:rFonts w:cs="Open Sans"/>
        </w:rPr>
        <w:t xml:space="preserve">Proposed s 317ZJ of the </w:t>
      </w:r>
      <w:r w:rsidRPr="00AA1A20">
        <w:rPr>
          <w:rFonts w:cs="Open Sans"/>
          <w:i/>
        </w:rPr>
        <w:t xml:space="preserve">Telecommunications Act 1997 </w:t>
      </w:r>
      <w:r w:rsidRPr="00AA1A20">
        <w:rPr>
          <w:rFonts w:cs="Open Sans"/>
        </w:rPr>
        <w:t xml:space="preserve">(Cth) be amended to narrow the scope of civil liability afforded to providers. </w:t>
      </w:r>
    </w:p>
    <w:p w14:paraId="5DBDBC09" w14:textId="77777777" w:rsidR="00CE04D1" w:rsidRPr="00AA1A20" w:rsidRDefault="00CE04D1" w:rsidP="004E1619">
      <w:pPr>
        <w:pStyle w:val="ListNumber"/>
        <w:numPr>
          <w:ilvl w:val="0"/>
          <w:numId w:val="0"/>
        </w:numPr>
        <w:ind w:left="720"/>
        <w:rPr>
          <w:rFonts w:cs="Open Sans"/>
          <w:b/>
        </w:rPr>
      </w:pPr>
      <w:r w:rsidRPr="00AA1A20">
        <w:rPr>
          <w:rFonts w:cs="Open Sans"/>
          <w:b/>
        </w:rPr>
        <w:lastRenderedPageBreak/>
        <w:t>Recommendation 30</w:t>
      </w:r>
    </w:p>
    <w:p w14:paraId="4C2CDC99" w14:textId="5D068233" w:rsidR="00CE04D1" w:rsidRPr="00AA1A20" w:rsidRDefault="00CE04D1" w:rsidP="004E1619">
      <w:pPr>
        <w:pStyle w:val="ListNumber"/>
        <w:numPr>
          <w:ilvl w:val="0"/>
          <w:numId w:val="0"/>
        </w:numPr>
        <w:ind w:left="720"/>
        <w:rPr>
          <w:rFonts w:cs="Open Sans"/>
        </w:rPr>
      </w:pPr>
      <w:r w:rsidRPr="00AA1A20">
        <w:rPr>
          <w:rFonts w:cs="Open Sans"/>
        </w:rPr>
        <w:t xml:space="preserve">Proposed s 317ZS of the </w:t>
      </w:r>
      <w:r w:rsidRPr="00AA1A20">
        <w:rPr>
          <w:rFonts w:cs="Open Sans"/>
          <w:i/>
        </w:rPr>
        <w:t xml:space="preserve">Telecommunications Act 1997 </w:t>
      </w:r>
      <w:r w:rsidRPr="00AA1A20">
        <w:rPr>
          <w:rFonts w:cs="Open Sans"/>
        </w:rPr>
        <w:t xml:space="preserve">(Cth) be amended to require reporting on TARs, and to require public reporting of as much information as is possible about requests and notices given under proposed new Pt 15 of the </w:t>
      </w:r>
      <w:r w:rsidRPr="00AA1A20">
        <w:rPr>
          <w:rFonts w:cs="Open Sans"/>
          <w:i/>
        </w:rPr>
        <w:t xml:space="preserve">Telecommunications Act 1997 </w:t>
      </w:r>
      <w:r w:rsidRPr="00AA1A20">
        <w:rPr>
          <w:rFonts w:cs="Open Sans"/>
        </w:rPr>
        <w:t>(Cth), without impacting the integrity of law enforcement operations.</w:t>
      </w:r>
    </w:p>
    <w:p w14:paraId="6F8A2B95" w14:textId="77777777" w:rsidR="00CE04D1" w:rsidRPr="00AA1A20" w:rsidRDefault="00CE04D1" w:rsidP="00C56853">
      <w:pPr>
        <w:pStyle w:val="Heading1"/>
        <w:rPr>
          <w:rFonts w:cs="Open Sans"/>
        </w:rPr>
      </w:pPr>
      <w:bookmarkStart w:id="94" w:name="_Toc524352515"/>
      <w:r w:rsidRPr="00AA1A20">
        <w:rPr>
          <w:rFonts w:cs="Open Sans"/>
        </w:rPr>
        <w:t>Key human rights concerns: warrant powers</w:t>
      </w:r>
      <w:bookmarkEnd w:id="94"/>
    </w:p>
    <w:p w14:paraId="22B6D7C2" w14:textId="77777777" w:rsidR="00CE04D1" w:rsidRPr="00AA1A20" w:rsidRDefault="00CE04D1" w:rsidP="00C56853">
      <w:pPr>
        <w:pStyle w:val="Heading2"/>
        <w:rPr>
          <w:rFonts w:cs="Open Sans"/>
        </w:rPr>
      </w:pPr>
      <w:bookmarkStart w:id="95" w:name="_Toc524352516"/>
      <w:r w:rsidRPr="00AA1A20">
        <w:rPr>
          <w:rFonts w:cs="Open Sans"/>
        </w:rPr>
        <w:t>Computer access warrants</w:t>
      </w:r>
      <w:bookmarkEnd w:id="95"/>
      <w:r w:rsidRPr="00AA1A20">
        <w:rPr>
          <w:rFonts w:cs="Open Sans"/>
        </w:rPr>
        <w:t xml:space="preserve"> </w:t>
      </w:r>
    </w:p>
    <w:p w14:paraId="5B800537" w14:textId="5BD186FE"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draft Bill proposes to insert a new ‘computer access warrant’ regime into the SD Act. This would allow Commonwealth law enforcement agencies, and state and </w:t>
      </w:r>
      <w:proofErr w:type="gramStart"/>
      <w:r w:rsidRPr="00AA1A20">
        <w:rPr>
          <w:rFonts w:cs="Open Sans"/>
        </w:rPr>
        <w:t>territory law enforcement agencies</w:t>
      </w:r>
      <w:proofErr w:type="gramEnd"/>
      <w:r w:rsidRPr="00AA1A20">
        <w:rPr>
          <w:rFonts w:cs="Open Sans"/>
        </w:rPr>
        <w:t xml:space="preserve"> investigating Commonwealth offences, to apply for computer access warrants in order to search electronic devices and access content on those devices covertly and, in some instances, remotely. This would enhance the ability of law enforcement agencies to access devices at endpoints when data </w:t>
      </w:r>
      <w:proofErr w:type="gramStart"/>
      <w:r w:rsidRPr="00AA1A20">
        <w:rPr>
          <w:rFonts w:cs="Open Sans"/>
        </w:rPr>
        <w:t>is not encrypted</w:t>
      </w:r>
      <w:proofErr w:type="gramEnd"/>
      <w:r w:rsidRPr="00AA1A20">
        <w:rPr>
          <w:rFonts w:cs="Open Sans"/>
        </w:rPr>
        <w:t>.</w:t>
      </w:r>
      <w:r w:rsidRPr="00543C35">
        <w:rPr>
          <w:rStyle w:val="EndnoteReference"/>
          <w:vertAlign w:val="superscript"/>
        </w:rPr>
        <w:endnoteReference w:id="135"/>
      </w:r>
    </w:p>
    <w:p w14:paraId="595503B8" w14:textId="7F917405"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If passed, the proposed changes would enable law enforcement agencies to seek computer access warrants in investigations relating to ‘relevant offences’,</w:t>
      </w:r>
      <w:r w:rsidRPr="00543C35">
        <w:rPr>
          <w:rStyle w:val="EndnoteReference"/>
          <w:vertAlign w:val="superscript"/>
        </w:rPr>
        <w:endnoteReference w:id="136"/>
      </w:r>
      <w:r w:rsidRPr="00AA1A20">
        <w:rPr>
          <w:rFonts w:cs="Open Sans"/>
        </w:rPr>
        <w:t xml:space="preserve"> recovery orders,</w:t>
      </w:r>
      <w:r w:rsidRPr="00543C35">
        <w:rPr>
          <w:rStyle w:val="EndnoteReference"/>
          <w:vertAlign w:val="superscript"/>
        </w:rPr>
        <w:endnoteReference w:id="137"/>
      </w:r>
      <w:r w:rsidRPr="00AA1A20">
        <w:rPr>
          <w:rFonts w:cs="Open Sans"/>
        </w:rPr>
        <w:t xml:space="preserve"> mutual assistance investigations</w:t>
      </w:r>
      <w:proofErr w:type="gramStart"/>
      <w:r w:rsidRPr="00AA1A20">
        <w:rPr>
          <w:rFonts w:cs="Open Sans"/>
        </w:rPr>
        <w:t>,</w:t>
      </w:r>
      <w:proofErr w:type="gramEnd"/>
      <w:r w:rsidRPr="00543C35">
        <w:rPr>
          <w:rStyle w:val="EndnoteReference"/>
          <w:vertAlign w:val="superscript"/>
        </w:rPr>
        <w:endnoteReference w:id="138"/>
      </w:r>
      <w:r w:rsidRPr="00AA1A20">
        <w:rPr>
          <w:rFonts w:cs="Open Sans"/>
        </w:rPr>
        <w:t>integrity operations</w:t>
      </w:r>
      <w:r w:rsidRPr="00543C35">
        <w:rPr>
          <w:rStyle w:val="EndnoteReference"/>
          <w:vertAlign w:val="superscript"/>
        </w:rPr>
        <w:endnoteReference w:id="139"/>
      </w:r>
      <w:r w:rsidRPr="00AA1A20">
        <w:rPr>
          <w:rFonts w:cs="Open Sans"/>
        </w:rPr>
        <w:t xml:space="preserve"> and control orders.</w:t>
      </w:r>
      <w:r w:rsidRPr="00543C35">
        <w:rPr>
          <w:rStyle w:val="EndnoteReference"/>
          <w:vertAlign w:val="superscript"/>
        </w:rPr>
        <w:endnoteReference w:id="140"/>
      </w:r>
    </w:p>
    <w:p w14:paraId="2D7C8389" w14:textId="03698DBA"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 ‘relevant offence’ </w:t>
      </w:r>
      <w:proofErr w:type="gramStart"/>
      <w:r w:rsidRPr="00AA1A20">
        <w:rPr>
          <w:rFonts w:cs="Open Sans"/>
        </w:rPr>
        <w:t>is presently defined</w:t>
      </w:r>
      <w:proofErr w:type="gramEnd"/>
      <w:r w:rsidRPr="00AA1A20">
        <w:rPr>
          <w:rFonts w:cs="Open Sans"/>
        </w:rPr>
        <w:t xml:space="preserve"> in the SD Act and would include, amongst others: an offence against the law of the Commonwealth (or an offence against a law of a state that has a federal aspect) that is punishable by a maximum term of imprisonment of three years or more.</w:t>
      </w:r>
      <w:r w:rsidRPr="00543C35">
        <w:rPr>
          <w:rStyle w:val="EndnoteReference"/>
          <w:vertAlign w:val="superscript"/>
        </w:rPr>
        <w:endnoteReference w:id="141"/>
      </w:r>
      <w:r w:rsidRPr="00AA1A20">
        <w:rPr>
          <w:rFonts w:cs="Open Sans"/>
        </w:rPr>
        <w:t xml:space="preserve"> </w:t>
      </w:r>
    </w:p>
    <w:p w14:paraId="1CCEE282" w14:textId="3C349262"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draft Bill also proposes to broaden the definition of ‘computer’ in new s 6(1) of the SD Act. This change would allow law enforcement agencies to access multiple computers, and a variety of computer networks, under one computer warrant. The explanatory document states that this change is required because it is no longer realistic for law enforcement agencies to identify one particular computer on which relevant data might be stored given the increasing use of distributed and cloud-based services for processing and storing data, and the fact that individuals commonly have multiple computing devices.</w:t>
      </w:r>
      <w:r w:rsidRPr="00543C35">
        <w:rPr>
          <w:rStyle w:val="EndnoteReference"/>
          <w:vertAlign w:val="superscript"/>
        </w:rPr>
        <w:endnoteReference w:id="142"/>
      </w:r>
    </w:p>
    <w:p w14:paraId="47D4507F" w14:textId="6A3E3376"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explanatory document confirms that mobile phones are intended to fall within the new definition of ‘computer’, as well as other devices for storing and processing information that use computers or computing </w:t>
      </w:r>
      <w:r w:rsidRPr="00AA1A20">
        <w:rPr>
          <w:rFonts w:cs="Open Sans"/>
        </w:rPr>
        <w:lastRenderedPageBreak/>
        <w:t>technology such as security systems, internet protocol cameras and digital video recorders.</w:t>
      </w:r>
      <w:r w:rsidRPr="00543C35">
        <w:rPr>
          <w:rStyle w:val="EndnoteReference"/>
          <w:vertAlign w:val="superscript"/>
        </w:rPr>
        <w:endnoteReference w:id="143"/>
      </w:r>
      <w:r w:rsidRPr="00AA1A20">
        <w:rPr>
          <w:rFonts w:cs="Open Sans"/>
        </w:rPr>
        <w:t xml:space="preserve"> This broad definition of ‘computer’ means that communication devices that would not colloquially be termed ‘computers’ may still be the subject of a ‘computer access warrant’.</w:t>
      </w:r>
    </w:p>
    <w:p w14:paraId="3720E59D" w14:textId="6971D63A"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 computer access warrant issued under proposed s 27E of the SD Act by an eligible Judge or nominated Administrative Appeals Tribunal (AAT) member could authorise law enforcement authorities to take the following action in relation to a ‘target computer’: </w:t>
      </w:r>
    </w:p>
    <w:p w14:paraId="04158AD6" w14:textId="77777777" w:rsidR="00CE04D1" w:rsidRPr="00AA1A20" w:rsidRDefault="00CE04D1" w:rsidP="00E40134">
      <w:pPr>
        <w:pStyle w:val="Bullet"/>
        <w:numPr>
          <w:ilvl w:val="0"/>
          <w:numId w:val="17"/>
        </w:numPr>
        <w:tabs>
          <w:tab w:val="num" w:pos="2127"/>
        </w:tabs>
        <w:ind w:hanging="357"/>
        <w:rPr>
          <w:rFonts w:cs="Open Sans"/>
        </w:rPr>
      </w:pPr>
      <w:r w:rsidRPr="00AA1A20">
        <w:rPr>
          <w:rFonts w:cs="Open Sans"/>
        </w:rPr>
        <w:t>entering specified premises for the purposes of executing the warrant</w:t>
      </w:r>
    </w:p>
    <w:p w14:paraId="497BDC34" w14:textId="7F200996" w:rsidR="00CE04D1" w:rsidRPr="00AA1A20" w:rsidRDefault="00CE04D1" w:rsidP="00E40134">
      <w:pPr>
        <w:pStyle w:val="Bullet"/>
        <w:numPr>
          <w:ilvl w:val="0"/>
          <w:numId w:val="17"/>
        </w:numPr>
        <w:tabs>
          <w:tab w:val="num" w:pos="2127"/>
        </w:tabs>
        <w:ind w:hanging="357"/>
        <w:rPr>
          <w:rFonts w:cs="Open Sans"/>
        </w:rPr>
      </w:pPr>
      <w:r w:rsidRPr="00AA1A20">
        <w:rPr>
          <w:rFonts w:cs="Open Sans"/>
        </w:rPr>
        <w:t xml:space="preserve">entering any premises (such as third party premises) for the purpose of gaining entry to, or exiting, the specified premises </w:t>
      </w:r>
    </w:p>
    <w:p w14:paraId="2FBB9407" w14:textId="77777777" w:rsidR="00CE04D1" w:rsidRPr="00AA1A20" w:rsidRDefault="00CE04D1" w:rsidP="00E40134">
      <w:pPr>
        <w:pStyle w:val="Bullet"/>
        <w:numPr>
          <w:ilvl w:val="0"/>
          <w:numId w:val="17"/>
        </w:numPr>
        <w:tabs>
          <w:tab w:val="num" w:pos="2127"/>
        </w:tabs>
        <w:ind w:hanging="357"/>
        <w:rPr>
          <w:rFonts w:cs="Open Sans"/>
        </w:rPr>
      </w:pPr>
      <w:r w:rsidRPr="00AA1A20">
        <w:rPr>
          <w:rFonts w:cs="Open Sans"/>
        </w:rPr>
        <w:t>using the target computer, a telecommunications facility, other electronic equipment or data storage devices in order to access data held in the target computer to determine whether it is relevant and covered by the warrant</w:t>
      </w:r>
    </w:p>
    <w:p w14:paraId="4A2AA1EA" w14:textId="77777777" w:rsidR="00CE04D1" w:rsidRPr="00AA1A20" w:rsidRDefault="00CE04D1" w:rsidP="00E40134">
      <w:pPr>
        <w:pStyle w:val="Bullet"/>
        <w:numPr>
          <w:ilvl w:val="0"/>
          <w:numId w:val="17"/>
        </w:numPr>
        <w:tabs>
          <w:tab w:val="num" w:pos="2127"/>
        </w:tabs>
        <w:ind w:hanging="357"/>
        <w:rPr>
          <w:rFonts w:cs="Open Sans"/>
        </w:rPr>
      </w:pPr>
      <w:r w:rsidRPr="00AA1A20">
        <w:rPr>
          <w:rFonts w:cs="Open Sans"/>
        </w:rPr>
        <w:t xml:space="preserve">if reasonable in the circumstances, using any other computer (such as a third party computer) to access the relevant data (and adding, copying, deleting or altering data on that computer if necessary) </w:t>
      </w:r>
    </w:p>
    <w:p w14:paraId="609271E3" w14:textId="4A816185" w:rsidR="00CE04D1" w:rsidRPr="00AA1A20" w:rsidRDefault="00CE04D1" w:rsidP="00E40134">
      <w:pPr>
        <w:pStyle w:val="Bullet"/>
        <w:numPr>
          <w:ilvl w:val="0"/>
          <w:numId w:val="17"/>
        </w:numPr>
        <w:tabs>
          <w:tab w:val="num" w:pos="2127"/>
        </w:tabs>
        <w:ind w:hanging="357"/>
        <w:rPr>
          <w:rFonts w:cs="Open Sans"/>
        </w:rPr>
      </w:pPr>
      <w:r w:rsidRPr="00AA1A20">
        <w:rPr>
          <w:rFonts w:cs="Open Sans"/>
        </w:rPr>
        <w:t xml:space="preserve">removing a computer or other ‘thing’ from the premises for the purposes of executing the warrant, and also returning the computer or other ‘thing’ to the premises  </w:t>
      </w:r>
    </w:p>
    <w:p w14:paraId="6D27F02C" w14:textId="77777777" w:rsidR="00CE04D1" w:rsidRPr="00AA1A20" w:rsidRDefault="00CE04D1" w:rsidP="00E40134">
      <w:pPr>
        <w:pStyle w:val="Bullet"/>
        <w:numPr>
          <w:ilvl w:val="0"/>
          <w:numId w:val="17"/>
        </w:numPr>
        <w:tabs>
          <w:tab w:val="num" w:pos="2127"/>
        </w:tabs>
        <w:ind w:hanging="357"/>
        <w:rPr>
          <w:rFonts w:cs="Open Sans"/>
        </w:rPr>
      </w:pPr>
      <w:r w:rsidRPr="00AA1A20">
        <w:rPr>
          <w:rFonts w:cs="Open Sans"/>
        </w:rPr>
        <w:t xml:space="preserve">copying data which has been obtained that appears to be relevant and covered by the warrant </w:t>
      </w:r>
    </w:p>
    <w:p w14:paraId="3035B89A" w14:textId="7D6961CE" w:rsidR="00CE04D1" w:rsidRPr="00AA1A20" w:rsidRDefault="00CE04D1" w:rsidP="00E40134">
      <w:pPr>
        <w:pStyle w:val="Bullet"/>
        <w:numPr>
          <w:ilvl w:val="0"/>
          <w:numId w:val="17"/>
        </w:numPr>
        <w:tabs>
          <w:tab w:val="num" w:pos="2127"/>
        </w:tabs>
        <w:ind w:hanging="357"/>
        <w:rPr>
          <w:rFonts w:cs="Open Sans"/>
        </w:rPr>
      </w:pPr>
      <w:r w:rsidRPr="00AA1A20">
        <w:rPr>
          <w:rFonts w:cs="Open Sans"/>
        </w:rPr>
        <w:t>doing anything reasonably necessary to conceal the fact that any ‘thing’ has been done under a computer access warrant</w:t>
      </w:r>
    </w:p>
    <w:p w14:paraId="17F7C616" w14:textId="77777777" w:rsidR="00CE04D1" w:rsidRPr="00AA1A20" w:rsidRDefault="00CE04D1" w:rsidP="00E40134">
      <w:pPr>
        <w:pStyle w:val="Bullet"/>
        <w:numPr>
          <w:ilvl w:val="0"/>
          <w:numId w:val="17"/>
        </w:numPr>
        <w:tabs>
          <w:tab w:val="num" w:pos="2127"/>
        </w:tabs>
        <w:ind w:hanging="357"/>
        <w:rPr>
          <w:rFonts w:cs="Open Sans"/>
        </w:rPr>
      </w:pPr>
      <w:r w:rsidRPr="00AA1A20">
        <w:rPr>
          <w:rFonts w:cs="Open Sans"/>
        </w:rPr>
        <w:t>intercepting a communication in order to execute the warrant</w:t>
      </w:r>
    </w:p>
    <w:p w14:paraId="1777012D" w14:textId="77777777" w:rsidR="00CE04D1" w:rsidRPr="00AA1A20" w:rsidRDefault="00CE04D1" w:rsidP="00E40134">
      <w:pPr>
        <w:pStyle w:val="Bullet"/>
        <w:numPr>
          <w:ilvl w:val="0"/>
          <w:numId w:val="17"/>
        </w:numPr>
        <w:tabs>
          <w:tab w:val="num" w:pos="2127"/>
        </w:tabs>
        <w:ind w:hanging="357"/>
        <w:rPr>
          <w:rFonts w:cs="Open Sans"/>
        </w:rPr>
      </w:pPr>
      <w:r w:rsidRPr="00AA1A20">
        <w:rPr>
          <w:rFonts w:cs="Open Sans"/>
        </w:rPr>
        <w:t xml:space="preserve">authorising the use of any force against persons and things that is ‘necessary and reasonable’ to do the things specified in the warrant  </w:t>
      </w:r>
    </w:p>
    <w:p w14:paraId="4B74E441" w14:textId="77777777" w:rsidR="00CE04D1" w:rsidRPr="00AA1A20" w:rsidRDefault="00CE04D1" w:rsidP="00E40134">
      <w:pPr>
        <w:pStyle w:val="Bullet"/>
        <w:numPr>
          <w:ilvl w:val="0"/>
          <w:numId w:val="17"/>
        </w:numPr>
        <w:tabs>
          <w:tab w:val="num" w:pos="2127"/>
        </w:tabs>
        <w:ind w:hanging="357"/>
        <w:rPr>
          <w:rFonts w:cs="Open Sans"/>
        </w:rPr>
      </w:pPr>
      <w:proofErr w:type="gramStart"/>
      <w:r w:rsidRPr="00AA1A20">
        <w:rPr>
          <w:rFonts w:cs="Open Sans"/>
        </w:rPr>
        <w:t>any</w:t>
      </w:r>
      <w:proofErr w:type="gramEnd"/>
      <w:r w:rsidRPr="00AA1A20">
        <w:rPr>
          <w:rFonts w:cs="Open Sans"/>
        </w:rPr>
        <w:t xml:space="preserve"> other thing reasonably incidental to the above things. </w:t>
      </w:r>
    </w:p>
    <w:p w14:paraId="5E656156" w14:textId="22A18BA6"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It is clear that these powers have the capacity to </w:t>
      </w:r>
      <w:proofErr w:type="gramStart"/>
      <w:r w:rsidRPr="00AA1A20">
        <w:rPr>
          <w:rFonts w:cs="Open Sans"/>
        </w:rPr>
        <w:t>be exercised</w:t>
      </w:r>
      <w:proofErr w:type="gramEnd"/>
      <w:r w:rsidRPr="00AA1A20">
        <w:rPr>
          <w:rFonts w:cs="Open Sans"/>
        </w:rPr>
        <w:t xml:space="preserve"> in a manner that is highly privacy-intrusive. These powers also could engage a range of other human rights.</w:t>
      </w:r>
    </w:p>
    <w:p w14:paraId="72540445" w14:textId="7DFF5576"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Commission considers that, in several instances, the proposed computer warrant regime in the SD Act, and the expansion of other warrant powers in the draft Bill, go beyond what can be reasonably justified as a proportionate response to the issues that they </w:t>
      </w:r>
      <w:proofErr w:type="gramStart"/>
      <w:r w:rsidRPr="00AA1A20">
        <w:rPr>
          <w:rFonts w:cs="Open Sans"/>
        </w:rPr>
        <w:t>are intended</w:t>
      </w:r>
      <w:proofErr w:type="gramEnd"/>
      <w:r w:rsidRPr="00AA1A20">
        <w:rPr>
          <w:rFonts w:cs="Open Sans"/>
        </w:rPr>
        <w:t xml:space="preserve"> to address. </w:t>
      </w:r>
    </w:p>
    <w:p w14:paraId="1C34B7B7" w14:textId="77777777" w:rsidR="00CE04D1" w:rsidRPr="00AA1A20" w:rsidRDefault="00CE04D1" w:rsidP="00C56853">
      <w:pPr>
        <w:pStyle w:val="Heading3"/>
        <w:rPr>
          <w:rFonts w:cs="Open Sans"/>
          <w:i/>
        </w:rPr>
      </w:pPr>
      <w:bookmarkStart w:id="96" w:name="_Toc524352517"/>
      <w:r w:rsidRPr="00AA1A20">
        <w:rPr>
          <w:rFonts w:cs="Open Sans"/>
          <w:i/>
        </w:rPr>
        <w:lastRenderedPageBreak/>
        <w:t>Access to third party computers, communications and premises</w:t>
      </w:r>
      <w:bookmarkEnd w:id="96"/>
    </w:p>
    <w:p w14:paraId="2D78A9A5"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As discussed above, proposed s 27E(2) of the SD Act allows for the authorisation of access to third party premises, computers and communications for the purpose of executing a computer access warrant. This would be consistent with existing provisions in s 25A of the ASIO Act.</w:t>
      </w:r>
      <w:r w:rsidRPr="00543C35">
        <w:rPr>
          <w:rStyle w:val="EndnoteReference"/>
          <w:vertAlign w:val="superscript"/>
        </w:rPr>
        <w:endnoteReference w:id="144"/>
      </w:r>
      <w:r w:rsidRPr="00AA1A20">
        <w:rPr>
          <w:rFonts w:cs="Open Sans"/>
        </w:rPr>
        <w:t xml:space="preserve"> </w:t>
      </w:r>
    </w:p>
    <w:p w14:paraId="0910E155" w14:textId="35E6A54E"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Given that the draft Bill seeks to insert provisions identical to proposed s 27E(2)(e) of the SD Act into new provisions in the ASIO Act,</w:t>
      </w:r>
      <w:r w:rsidRPr="002A17B5">
        <w:rPr>
          <w:rStyle w:val="EndnoteReference"/>
          <w:vertAlign w:val="superscript"/>
        </w:rPr>
        <w:endnoteReference w:id="145"/>
      </w:r>
      <w:r w:rsidRPr="00AA1A20">
        <w:rPr>
          <w:rFonts w:cs="Open Sans"/>
        </w:rPr>
        <w:t xml:space="preserve"> as well as into the Customs Act</w:t>
      </w:r>
      <w:r w:rsidRPr="00543C35">
        <w:rPr>
          <w:rStyle w:val="EndnoteReference"/>
          <w:vertAlign w:val="superscript"/>
        </w:rPr>
        <w:endnoteReference w:id="146"/>
      </w:r>
      <w:r w:rsidRPr="00AA1A20">
        <w:rPr>
          <w:rFonts w:cs="Open Sans"/>
        </w:rPr>
        <w:t xml:space="preserve"> and the Crimes Act,</w:t>
      </w:r>
      <w:r w:rsidRPr="00543C35">
        <w:rPr>
          <w:rStyle w:val="EndnoteReference"/>
          <w:vertAlign w:val="superscript"/>
        </w:rPr>
        <w:endnoteReference w:id="147"/>
      </w:r>
      <w:r w:rsidRPr="00AA1A20">
        <w:rPr>
          <w:rFonts w:cs="Open Sans"/>
        </w:rPr>
        <w:t xml:space="preserve"> it is illustrative to extract the relevant provisions of proposed s 27E </w:t>
      </w:r>
      <w:r w:rsidR="00F86B32">
        <w:rPr>
          <w:rFonts w:cs="Open Sans"/>
        </w:rPr>
        <w:t>(2)</w:t>
      </w:r>
      <w:r w:rsidRPr="00AA1A20">
        <w:rPr>
          <w:rFonts w:cs="Open Sans"/>
        </w:rPr>
        <w:t>below:</w:t>
      </w:r>
    </w:p>
    <w:p w14:paraId="67A12ACE" w14:textId="77777777" w:rsidR="00CE04D1" w:rsidRPr="00AA1A20" w:rsidRDefault="00CE04D1" w:rsidP="00C56853">
      <w:pPr>
        <w:pStyle w:val="EndnoteText"/>
        <w:rPr>
          <w:rFonts w:cs="Open Sans"/>
        </w:rPr>
      </w:pPr>
      <w:proofErr w:type="gramStart"/>
      <w:r w:rsidRPr="00AA1A20">
        <w:rPr>
          <w:rFonts w:cs="Open Sans"/>
        </w:rPr>
        <w:t>27E(</w:t>
      </w:r>
      <w:proofErr w:type="gramEnd"/>
      <w:r w:rsidRPr="00AA1A20">
        <w:rPr>
          <w:rFonts w:cs="Open Sans"/>
        </w:rPr>
        <w:t>2) The things that may be specified are any of the following that the eligible judge or nominated AAT member considers appropriate in the circumstances:</w:t>
      </w:r>
    </w:p>
    <w:p w14:paraId="2CF41221" w14:textId="77777777" w:rsidR="00CE04D1" w:rsidRPr="00AA1A20" w:rsidRDefault="00CE04D1" w:rsidP="00C56853">
      <w:pPr>
        <w:pStyle w:val="EndnoteText"/>
        <w:ind w:left="1434"/>
        <w:rPr>
          <w:rFonts w:cs="Open Sans"/>
        </w:rPr>
      </w:pPr>
      <w:r w:rsidRPr="00AA1A20">
        <w:rPr>
          <w:rFonts w:cs="Open Sans"/>
        </w:rPr>
        <w:t xml:space="preserve">(a) </w:t>
      </w:r>
      <w:proofErr w:type="gramStart"/>
      <w:r w:rsidRPr="00AA1A20">
        <w:rPr>
          <w:rFonts w:cs="Open Sans"/>
        </w:rPr>
        <w:t>entering</w:t>
      </w:r>
      <w:proofErr w:type="gramEnd"/>
      <w:r w:rsidRPr="00AA1A20">
        <w:rPr>
          <w:rFonts w:cs="Open Sans"/>
        </w:rPr>
        <w:t xml:space="preserve"> specified premises for the purposes of doing the things mentioned in this subsection;</w:t>
      </w:r>
    </w:p>
    <w:p w14:paraId="2A68480B" w14:textId="77777777" w:rsidR="00CE04D1" w:rsidRPr="00AA1A20" w:rsidRDefault="00CE04D1" w:rsidP="00C56853">
      <w:pPr>
        <w:pStyle w:val="EndnoteText"/>
        <w:ind w:left="1434" w:firstLine="6"/>
        <w:rPr>
          <w:rFonts w:cs="Open Sans"/>
        </w:rPr>
      </w:pPr>
      <w:r w:rsidRPr="00AA1A20">
        <w:rPr>
          <w:rFonts w:cs="Open Sans"/>
        </w:rPr>
        <w:t xml:space="preserve">(b) </w:t>
      </w:r>
      <w:proofErr w:type="gramStart"/>
      <w:r w:rsidRPr="00AA1A20">
        <w:rPr>
          <w:rFonts w:cs="Open Sans"/>
        </w:rPr>
        <w:t>entering</w:t>
      </w:r>
      <w:proofErr w:type="gramEnd"/>
      <w:r w:rsidRPr="00AA1A20">
        <w:rPr>
          <w:rFonts w:cs="Open Sans"/>
        </w:rPr>
        <w:t xml:space="preserve"> any premises for the purposes of gaining entry to, or exiting, the specified premises;</w:t>
      </w:r>
    </w:p>
    <w:p w14:paraId="7DA08F7B" w14:textId="2722D1D6" w:rsidR="00CE04D1" w:rsidRPr="00AA1A20" w:rsidRDefault="00CE04D1" w:rsidP="00C56853">
      <w:pPr>
        <w:pStyle w:val="EndnoteText"/>
        <w:rPr>
          <w:rFonts w:cs="Open Sans"/>
          <w:sz w:val="24"/>
        </w:rPr>
      </w:pPr>
      <w:r w:rsidRPr="00AA1A20">
        <w:rPr>
          <w:rFonts w:cs="Open Sans"/>
        </w:rPr>
        <w:t xml:space="preserve"> </w:t>
      </w:r>
      <w:r w:rsidRPr="00AA1A20">
        <w:rPr>
          <w:rFonts w:cs="Open Sans"/>
        </w:rPr>
        <w:tab/>
      </w:r>
      <w:r w:rsidRPr="00AA1A20">
        <w:rPr>
          <w:rFonts w:cs="Open Sans"/>
          <w:sz w:val="24"/>
        </w:rPr>
        <w:t>…</w:t>
      </w:r>
    </w:p>
    <w:p w14:paraId="13AD5873" w14:textId="77777777" w:rsidR="00CE04D1" w:rsidRPr="00AA1A20" w:rsidRDefault="00CE04D1" w:rsidP="00C56853">
      <w:pPr>
        <w:pStyle w:val="EndnoteText"/>
        <w:ind w:left="1440"/>
        <w:rPr>
          <w:rFonts w:cs="Open Sans"/>
        </w:rPr>
      </w:pPr>
      <w:r w:rsidRPr="00AA1A20">
        <w:rPr>
          <w:rFonts w:cs="Open Sans"/>
        </w:rPr>
        <w:t xml:space="preserve">(e) </w:t>
      </w:r>
      <w:proofErr w:type="gramStart"/>
      <w:r w:rsidRPr="00AA1A20">
        <w:rPr>
          <w:rFonts w:cs="Open Sans"/>
        </w:rPr>
        <w:t>if</w:t>
      </w:r>
      <w:proofErr w:type="gramEnd"/>
      <w:r w:rsidRPr="00AA1A20">
        <w:rPr>
          <w:rFonts w:cs="Open Sans"/>
        </w:rPr>
        <w:t xml:space="preserve">, having regard to other methods (if any) of obtaining access to the relevant data which are likely to be as effective, it is reasonable in all the circumstances to do so: </w:t>
      </w:r>
    </w:p>
    <w:p w14:paraId="7C26E381" w14:textId="77777777" w:rsidR="00CE04D1" w:rsidRPr="00AA1A20" w:rsidRDefault="00CE04D1" w:rsidP="00C56853">
      <w:pPr>
        <w:pStyle w:val="EndnoteText"/>
        <w:ind w:left="2160"/>
        <w:rPr>
          <w:rFonts w:cs="Open Sans"/>
        </w:rPr>
      </w:pPr>
      <w:r w:rsidRPr="00AA1A20">
        <w:rPr>
          <w:rFonts w:cs="Open Sans"/>
        </w:rPr>
        <w:t>(</w:t>
      </w:r>
      <w:proofErr w:type="spellStart"/>
      <w:r w:rsidRPr="00AA1A20">
        <w:rPr>
          <w:rFonts w:cs="Open Sans"/>
        </w:rPr>
        <w:t>i</w:t>
      </w:r>
      <w:proofErr w:type="spellEnd"/>
      <w:r w:rsidRPr="00AA1A20">
        <w:rPr>
          <w:rFonts w:cs="Open Sans"/>
        </w:rPr>
        <w:t xml:space="preserve">) </w:t>
      </w:r>
      <w:proofErr w:type="gramStart"/>
      <w:r w:rsidRPr="00AA1A20">
        <w:rPr>
          <w:rFonts w:cs="Open Sans"/>
        </w:rPr>
        <w:t>using</w:t>
      </w:r>
      <w:proofErr w:type="gramEnd"/>
      <w:r w:rsidRPr="00AA1A20">
        <w:rPr>
          <w:rFonts w:cs="Open Sans"/>
        </w:rPr>
        <w:t xml:space="preserve"> any other computer or a communication in transit to access the relevant data; and </w:t>
      </w:r>
    </w:p>
    <w:p w14:paraId="7AF2C0C0" w14:textId="7586F0C7" w:rsidR="00CE04D1" w:rsidRPr="00AA1A20" w:rsidRDefault="00CE04D1" w:rsidP="00C56853">
      <w:pPr>
        <w:pStyle w:val="EndnoteText"/>
        <w:ind w:left="2160"/>
        <w:rPr>
          <w:rFonts w:cs="Open Sans"/>
        </w:rPr>
      </w:pPr>
      <w:r w:rsidRPr="00AA1A20">
        <w:rPr>
          <w:rFonts w:cs="Open Sans"/>
        </w:rPr>
        <w:t xml:space="preserve">(ii) </w:t>
      </w:r>
      <w:proofErr w:type="gramStart"/>
      <w:r w:rsidRPr="00AA1A20">
        <w:rPr>
          <w:rFonts w:cs="Open Sans"/>
        </w:rPr>
        <w:t>if</w:t>
      </w:r>
      <w:proofErr w:type="gramEnd"/>
      <w:r w:rsidRPr="00AA1A20">
        <w:rPr>
          <w:rFonts w:cs="Open Sans"/>
        </w:rPr>
        <w:t xml:space="preserve"> necessary to achieve that purpose—adding, copying, deleting or altering other data in the computer or the communication in transit … </w:t>
      </w:r>
    </w:p>
    <w:p w14:paraId="4DD96D60" w14:textId="77777777" w:rsidR="00CE04D1" w:rsidRPr="00AA1A20" w:rsidRDefault="00CE04D1" w:rsidP="00C56853">
      <w:pPr>
        <w:pStyle w:val="Heading4"/>
        <w:rPr>
          <w:rFonts w:cs="Open Sans"/>
          <w:lang w:eastAsia="en-US"/>
        </w:rPr>
      </w:pPr>
      <w:r w:rsidRPr="00AA1A20">
        <w:rPr>
          <w:rFonts w:cs="Open Sans"/>
          <w:lang w:eastAsia="en-US"/>
        </w:rPr>
        <w:t>Access to third party premises for the purpose of executing a warrant</w:t>
      </w:r>
    </w:p>
    <w:p w14:paraId="2945DDCF" w14:textId="0C34299C"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explanatory document justifies the need for possible access to third party premises for the purpose of executing a computer access warrant as follows:</w:t>
      </w:r>
    </w:p>
    <w:p w14:paraId="785B112F" w14:textId="77777777" w:rsidR="00CE04D1" w:rsidRPr="00AA1A20" w:rsidRDefault="00CE04D1" w:rsidP="00C56853">
      <w:pPr>
        <w:pStyle w:val="EndnoteText"/>
        <w:rPr>
          <w:rFonts w:cs="Open Sans"/>
        </w:rPr>
      </w:pPr>
      <w:r w:rsidRPr="00AA1A20">
        <w:rPr>
          <w:rFonts w:cs="Open Sans"/>
        </w:rPr>
        <w:t xml:space="preserve">This may be because there is no other way to gain access to the subject premises (for example, in an apartment complex where it is necessary to enter the premises through shared or common premises). It may also occur where, for operational reasons, the best means of entry might be through adjacent premises (for example, where entry through the main entrance may involve too great a risk of detection). The need to access third party premises may also arise due to ‘emergency’ and unforeseen circumstances (for example, where a person arrives at the subject premises unexpectedly </w:t>
      </w:r>
      <w:r w:rsidRPr="00AA1A20">
        <w:rPr>
          <w:rFonts w:cs="Open Sans"/>
        </w:rPr>
        <w:lastRenderedPageBreak/>
        <w:t>during a search and it is necessary to exit through third party premises to avoid detection).</w:t>
      </w:r>
      <w:r w:rsidRPr="00543C35">
        <w:rPr>
          <w:rStyle w:val="EndnoteReference"/>
          <w:vertAlign w:val="superscript"/>
        </w:rPr>
        <w:endnoteReference w:id="148"/>
      </w:r>
    </w:p>
    <w:p w14:paraId="58AF20BF" w14:textId="31ADE592"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In situations such as the ones outlined above, the Commission accepts that it might be legitimate for law enforcement agencies to access third party premises for the purposes of executing a computer access warrant. However, entry into the homes or businesses of innocent people limits their right to privacy protected by article 17 of the ICCPR. </w:t>
      </w:r>
    </w:p>
    <w:p w14:paraId="51883626" w14:textId="1F1AA62F"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To avoid being arbitrary, such entry must be demonstrated to be necessary and proportionate to achieve the relevant law enforcement or national security purpose. The Commission therefore considers that access to third party premises should be limited to cases where it is </w:t>
      </w:r>
      <w:r w:rsidRPr="00AA1A20">
        <w:rPr>
          <w:rFonts w:cs="Open Sans"/>
          <w:i/>
        </w:rPr>
        <w:t>necessary</w:t>
      </w:r>
      <w:r w:rsidRPr="00AA1A20">
        <w:rPr>
          <w:rFonts w:cs="Open Sans"/>
        </w:rPr>
        <w:t xml:space="preserve"> to execute the warrant. The current scope of proposed s </w:t>
      </w:r>
      <w:proofErr w:type="gramStart"/>
      <w:r w:rsidRPr="00AA1A20">
        <w:rPr>
          <w:rFonts w:cs="Open Sans"/>
        </w:rPr>
        <w:t>27E(</w:t>
      </w:r>
      <w:proofErr w:type="gramEnd"/>
      <w:r w:rsidRPr="00AA1A20">
        <w:rPr>
          <w:rFonts w:cs="Open Sans"/>
        </w:rPr>
        <w:t>2) is not explicitly limited to cases of necessity. Rather, under proposed s 27E(2)(b), an eligible judicial officer or nominated AAT member may authorise the entering of any premises for the purpose of gaining entry to, or exiting, a specified premises if they consider it to be ‘appropriate’ in the circumstances.</w:t>
      </w:r>
    </w:p>
    <w:p w14:paraId="719225D2"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An identical provision exists in s </w:t>
      </w:r>
      <w:proofErr w:type="gramStart"/>
      <w:r w:rsidRPr="00AA1A20">
        <w:rPr>
          <w:rFonts w:cs="Open Sans"/>
        </w:rPr>
        <w:t>25A(</w:t>
      </w:r>
      <w:proofErr w:type="gramEnd"/>
      <w:r w:rsidRPr="00AA1A20">
        <w:rPr>
          <w:rFonts w:cs="Open Sans"/>
        </w:rPr>
        <w:t>4)(</w:t>
      </w:r>
      <w:proofErr w:type="spellStart"/>
      <w:r w:rsidRPr="00AA1A20">
        <w:rPr>
          <w:rFonts w:cs="Open Sans"/>
        </w:rPr>
        <w:t>aaa</w:t>
      </w:r>
      <w:proofErr w:type="spellEnd"/>
      <w:r w:rsidRPr="00AA1A20">
        <w:rPr>
          <w:rFonts w:cs="Open Sans"/>
        </w:rPr>
        <w:t xml:space="preserve">) of the ASIO Act and the draft Bill would insert another one into a new s 25A(8)(e) of the ASIO Act. For the reasons given above, the Commission considers that this legislation </w:t>
      </w:r>
      <w:proofErr w:type="gramStart"/>
      <w:r w:rsidRPr="00AA1A20">
        <w:rPr>
          <w:rFonts w:cs="Open Sans"/>
        </w:rPr>
        <w:t>should also be amended</w:t>
      </w:r>
      <w:proofErr w:type="gramEnd"/>
      <w:r w:rsidRPr="00AA1A20">
        <w:rPr>
          <w:rFonts w:cs="Open Sans"/>
        </w:rPr>
        <w:t xml:space="preserve"> so that warrants under the ASIO Act may only permit access to third party premises in cases where it is </w:t>
      </w:r>
      <w:r w:rsidRPr="00AA1A20">
        <w:rPr>
          <w:rFonts w:cs="Open Sans"/>
          <w:i/>
        </w:rPr>
        <w:t>necessary</w:t>
      </w:r>
      <w:r w:rsidRPr="00AA1A20">
        <w:rPr>
          <w:rFonts w:cs="Open Sans"/>
        </w:rPr>
        <w:t xml:space="preserve"> to execute the warrant.</w:t>
      </w:r>
    </w:p>
    <w:p w14:paraId="0EC1D736"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2CB437E2" w14:textId="77777777" w:rsidR="00CE04D1" w:rsidRPr="00AA1A20" w:rsidRDefault="00CE04D1" w:rsidP="00C128E1">
      <w:pPr>
        <w:pStyle w:val="ListNumber"/>
        <w:numPr>
          <w:ilvl w:val="0"/>
          <w:numId w:val="0"/>
        </w:numPr>
        <w:ind w:left="720"/>
        <w:rPr>
          <w:rFonts w:cs="Open Sans"/>
          <w:b/>
        </w:rPr>
      </w:pPr>
      <w:r w:rsidRPr="00AA1A20">
        <w:rPr>
          <w:rFonts w:cs="Open Sans"/>
          <w:b/>
        </w:rPr>
        <w:t>Recommendation 31</w:t>
      </w:r>
    </w:p>
    <w:p w14:paraId="3D69F814" w14:textId="0662E132" w:rsidR="00CE04D1" w:rsidRPr="00AA1A20" w:rsidRDefault="00CE04D1" w:rsidP="00C128E1">
      <w:pPr>
        <w:pStyle w:val="ListNumber"/>
        <w:numPr>
          <w:ilvl w:val="0"/>
          <w:numId w:val="0"/>
        </w:numPr>
        <w:ind w:left="720"/>
        <w:rPr>
          <w:rFonts w:cs="Open Sans"/>
        </w:rPr>
      </w:pPr>
      <w:r w:rsidRPr="00AA1A20">
        <w:rPr>
          <w:rFonts w:cs="Open Sans"/>
        </w:rPr>
        <w:t xml:space="preserve">Proposed ss </w:t>
      </w:r>
      <w:proofErr w:type="gramStart"/>
      <w:r w:rsidRPr="00AA1A20">
        <w:rPr>
          <w:rFonts w:cs="Open Sans"/>
        </w:rPr>
        <w:t>27E(</w:t>
      </w:r>
      <w:proofErr w:type="gramEnd"/>
      <w:r w:rsidRPr="00AA1A20">
        <w:rPr>
          <w:rFonts w:cs="Open Sans"/>
        </w:rPr>
        <w:t xml:space="preserve">2)(b) and 27E(7)(e) of the </w:t>
      </w:r>
      <w:r w:rsidRPr="00AA1A20">
        <w:rPr>
          <w:rFonts w:cs="Open Sans"/>
          <w:i/>
        </w:rPr>
        <w:t xml:space="preserve">Surveillance </w:t>
      </w:r>
      <w:r w:rsidRPr="00AA1A20">
        <w:rPr>
          <w:rFonts w:cs="Open Sans"/>
        </w:rPr>
        <w:t>Devices</w:t>
      </w:r>
      <w:r w:rsidRPr="00AA1A20">
        <w:rPr>
          <w:rFonts w:cs="Open Sans"/>
          <w:i/>
        </w:rPr>
        <w:t xml:space="preserve"> Act 2004</w:t>
      </w:r>
      <w:r w:rsidRPr="00AA1A20">
        <w:rPr>
          <w:rFonts w:cs="Open Sans"/>
        </w:rPr>
        <w:t xml:space="preserve"> (Cth) be amended to ensure that a computer access warrant may only authorise access to third party premises where it is </w:t>
      </w:r>
      <w:r w:rsidRPr="00AA1A20">
        <w:rPr>
          <w:rFonts w:cs="Open Sans"/>
          <w:i/>
        </w:rPr>
        <w:t>necessary</w:t>
      </w:r>
      <w:r w:rsidRPr="00AA1A20">
        <w:rPr>
          <w:rFonts w:cs="Open Sans"/>
        </w:rPr>
        <w:t xml:space="preserve"> to execute the warrant.</w:t>
      </w:r>
    </w:p>
    <w:p w14:paraId="0F7B5DFE" w14:textId="77777777" w:rsidR="00CE04D1" w:rsidRPr="00AA1A20" w:rsidRDefault="00CE04D1" w:rsidP="00C128E1">
      <w:pPr>
        <w:pStyle w:val="ListNumber"/>
        <w:numPr>
          <w:ilvl w:val="0"/>
          <w:numId w:val="0"/>
        </w:numPr>
        <w:ind w:left="720"/>
        <w:rPr>
          <w:rFonts w:cs="Open Sans"/>
          <w:b/>
        </w:rPr>
      </w:pPr>
      <w:r w:rsidRPr="00AA1A20">
        <w:rPr>
          <w:rFonts w:cs="Open Sans"/>
          <w:b/>
        </w:rPr>
        <w:t>Recommendation 32</w:t>
      </w:r>
    </w:p>
    <w:p w14:paraId="255ED95B" w14:textId="2E3DAF50" w:rsidR="00CE04D1" w:rsidRPr="00AA1A20" w:rsidRDefault="00CE04D1" w:rsidP="00C128E1">
      <w:pPr>
        <w:pStyle w:val="ListNumber"/>
        <w:numPr>
          <w:ilvl w:val="0"/>
          <w:numId w:val="0"/>
        </w:numPr>
        <w:ind w:left="720"/>
        <w:rPr>
          <w:rFonts w:cs="Open Sans"/>
        </w:rPr>
      </w:pPr>
      <w:r w:rsidRPr="00AA1A20">
        <w:rPr>
          <w:rFonts w:cs="Open Sans"/>
        </w:rPr>
        <w:t xml:space="preserve">Section </w:t>
      </w:r>
      <w:proofErr w:type="gramStart"/>
      <w:r w:rsidRPr="00AA1A20">
        <w:rPr>
          <w:rFonts w:cs="Open Sans"/>
        </w:rPr>
        <w:t>25A(</w:t>
      </w:r>
      <w:proofErr w:type="gramEnd"/>
      <w:r w:rsidRPr="00AA1A20">
        <w:rPr>
          <w:rFonts w:cs="Open Sans"/>
        </w:rPr>
        <w:t>4)(</w:t>
      </w:r>
      <w:proofErr w:type="spellStart"/>
      <w:r w:rsidRPr="00AA1A20">
        <w:rPr>
          <w:rFonts w:cs="Open Sans"/>
        </w:rPr>
        <w:t>aaa</w:t>
      </w:r>
      <w:proofErr w:type="spellEnd"/>
      <w:r w:rsidRPr="00AA1A20">
        <w:rPr>
          <w:rFonts w:cs="Open Sans"/>
        </w:rPr>
        <w:t xml:space="preserve">) and proposed s 25A(8)(e) of the </w:t>
      </w:r>
      <w:r w:rsidRPr="00AA1A20">
        <w:rPr>
          <w:rFonts w:cs="Open Sans"/>
          <w:i/>
        </w:rPr>
        <w:t>Australian Security Intelligence Organisation Act 1979</w:t>
      </w:r>
      <w:r w:rsidRPr="00AA1A20">
        <w:rPr>
          <w:rFonts w:cs="Open Sans"/>
        </w:rPr>
        <w:t xml:space="preserve"> (Cth) be amended to ensure that a computer access warrant may only authorise access to third party premises where it is </w:t>
      </w:r>
      <w:r w:rsidRPr="00AA1A20">
        <w:rPr>
          <w:rFonts w:cs="Open Sans"/>
          <w:i/>
        </w:rPr>
        <w:t>necessary</w:t>
      </w:r>
      <w:r w:rsidRPr="00AA1A20">
        <w:rPr>
          <w:rFonts w:cs="Open Sans"/>
        </w:rPr>
        <w:t xml:space="preserve"> to execute the warrant.</w:t>
      </w:r>
    </w:p>
    <w:p w14:paraId="42C5337A" w14:textId="77777777" w:rsidR="00CE04D1" w:rsidRPr="00AA1A20" w:rsidRDefault="00CE04D1" w:rsidP="00C56853">
      <w:pPr>
        <w:pStyle w:val="Heading4"/>
        <w:numPr>
          <w:ilvl w:val="0"/>
          <w:numId w:val="0"/>
        </w:numPr>
        <w:ind w:left="851" w:hanging="851"/>
        <w:rPr>
          <w:rFonts w:cs="Open Sans"/>
          <w:lang w:eastAsia="en-US"/>
        </w:rPr>
      </w:pPr>
      <w:r w:rsidRPr="00AA1A20">
        <w:rPr>
          <w:rFonts w:cs="Open Sans"/>
          <w:lang w:eastAsia="en-US"/>
        </w:rPr>
        <w:t>(ii)</w:t>
      </w:r>
      <w:r w:rsidRPr="00AA1A20">
        <w:rPr>
          <w:rFonts w:cs="Open Sans"/>
          <w:lang w:eastAsia="en-US"/>
        </w:rPr>
        <w:tab/>
        <w:t>Access to third party computers and communications for the purpose of executing a warrant</w:t>
      </w:r>
    </w:p>
    <w:p w14:paraId="2254AABC"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As extracted above, the draft Bill proposes to insert a new s 27E(2)(e) into the SD Act, which would enable the use of a third party computer or a </w:t>
      </w:r>
      <w:r w:rsidRPr="00AA1A20">
        <w:rPr>
          <w:rFonts w:cs="Open Sans"/>
        </w:rPr>
        <w:lastRenderedPageBreak/>
        <w:t>communication in transit for the purpose of obtaining access to the relevant data under a computer access warrant. This is consistent with existing provisions in the ASIO Act.</w:t>
      </w:r>
      <w:r w:rsidRPr="00543C35">
        <w:rPr>
          <w:rStyle w:val="EndnoteReference"/>
          <w:vertAlign w:val="superscript"/>
        </w:rPr>
        <w:endnoteReference w:id="149"/>
      </w:r>
      <w:r w:rsidRPr="00AA1A20">
        <w:rPr>
          <w:rFonts w:cs="Open Sans"/>
        </w:rPr>
        <w:t xml:space="preserve"> </w:t>
      </w:r>
    </w:p>
    <w:p w14:paraId="2526B8DA" w14:textId="40841DD5"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Proposed s 27E(2)(e) also permits the adding, copying, deleting or altering of other data in the third party computer or of a communication in transit if necessary to access the relevant data. </w:t>
      </w:r>
    </w:p>
    <w:p w14:paraId="598E52C5"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Proposed s 27E(2)(e) sets out a legislative safeguard, providing that warrants may only authorise access to third party computers and communications where it is reasonable in all the circumstances, having regard to other methods of obtaining access to the data which are likely to be as effective.</w:t>
      </w:r>
    </w:p>
    <w:p w14:paraId="440A25A9"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Accessing third party computers, where the individuals affected </w:t>
      </w:r>
      <w:proofErr w:type="gramStart"/>
      <w:r w:rsidRPr="00AA1A20">
        <w:rPr>
          <w:rFonts w:cs="Open Sans"/>
        </w:rPr>
        <w:t>are not suspected</w:t>
      </w:r>
      <w:proofErr w:type="gramEnd"/>
      <w:r w:rsidRPr="00AA1A20">
        <w:rPr>
          <w:rFonts w:cs="Open Sans"/>
        </w:rPr>
        <w:t xml:space="preserve"> of being engaged in criminal activities, or a direct threat to national security, in order to gain access to a target computer potentially authorises highly intrusive interferences with the right to privacy. </w:t>
      </w:r>
    </w:p>
    <w:p w14:paraId="545392EB" w14:textId="583D4726"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In order to better protect against arbitrary interferences of privacy, the Commission recommends that the legislative safeguard </w:t>
      </w:r>
      <w:r w:rsidR="005035B3">
        <w:rPr>
          <w:rFonts w:cs="Open Sans"/>
        </w:rPr>
        <w:t>in proposed s </w:t>
      </w:r>
      <w:proofErr w:type="gramStart"/>
      <w:r w:rsidR="005035B3">
        <w:rPr>
          <w:rFonts w:cs="Open Sans"/>
        </w:rPr>
        <w:t>27E(</w:t>
      </w:r>
      <w:proofErr w:type="gramEnd"/>
      <w:r w:rsidR="005035B3">
        <w:rPr>
          <w:rFonts w:cs="Open Sans"/>
        </w:rPr>
        <w:t xml:space="preserve">2)(e) </w:t>
      </w:r>
      <w:r w:rsidRPr="00AA1A20">
        <w:rPr>
          <w:rFonts w:cs="Open Sans"/>
        </w:rPr>
        <w:t>be amended</w:t>
      </w:r>
      <w:r w:rsidR="00F86B32">
        <w:rPr>
          <w:rFonts w:cs="Open Sans"/>
        </w:rPr>
        <w:t xml:space="preserve">. </w:t>
      </w:r>
      <w:proofErr w:type="gramStart"/>
      <w:r w:rsidR="00F86B32">
        <w:rPr>
          <w:rFonts w:cs="Open Sans"/>
        </w:rPr>
        <w:t>It should</w:t>
      </w:r>
      <w:r w:rsidRPr="00AA1A20">
        <w:rPr>
          <w:rFonts w:cs="Open Sans"/>
        </w:rPr>
        <w:t xml:space="preserve"> ensure that a warrant may only authorise access to third party computers or communications in transit where the issuing authority is satisfied that access is </w:t>
      </w:r>
      <w:r w:rsidRPr="00AA1A20">
        <w:rPr>
          <w:rFonts w:cs="Open Sans"/>
          <w:i/>
        </w:rPr>
        <w:t>necessary</w:t>
      </w:r>
      <w:r w:rsidRPr="00AA1A20">
        <w:rPr>
          <w:rFonts w:cs="Open Sans"/>
        </w:rPr>
        <w:t xml:space="preserve"> in all the circumstances, having regard to other methods of obtaining access to the data which are likely to be as effective, and having regard to the </w:t>
      </w:r>
      <w:r w:rsidR="00F86B32">
        <w:rPr>
          <w:rFonts w:cs="Open Sans"/>
        </w:rPr>
        <w:t xml:space="preserve">human rights of </w:t>
      </w:r>
      <w:r w:rsidR="005035B3">
        <w:rPr>
          <w:rFonts w:cs="Open Sans"/>
        </w:rPr>
        <w:t xml:space="preserve">relevant </w:t>
      </w:r>
      <w:r w:rsidR="00270D36">
        <w:rPr>
          <w:rFonts w:cs="Open Sans"/>
        </w:rPr>
        <w:t>parties</w:t>
      </w:r>
      <w:r w:rsidR="00F86B32">
        <w:rPr>
          <w:rFonts w:cs="Open Sans"/>
        </w:rPr>
        <w:t>, including their right</w:t>
      </w:r>
      <w:r w:rsidRPr="00AA1A20">
        <w:rPr>
          <w:rFonts w:cs="Open Sans"/>
        </w:rPr>
        <w:t xml:space="preserve"> to privacy.</w:t>
      </w:r>
      <w:proofErr w:type="gramEnd"/>
      <w:r w:rsidRPr="00AA1A20">
        <w:rPr>
          <w:rFonts w:cs="Open Sans"/>
        </w:rPr>
        <w:t xml:space="preserve"> An issuing authority should only allow access to third party computers or communications in transit after considering the </w:t>
      </w:r>
      <w:r w:rsidR="00F86B32">
        <w:rPr>
          <w:rFonts w:cs="Open Sans"/>
        </w:rPr>
        <w:t xml:space="preserve">human rights </w:t>
      </w:r>
      <w:r w:rsidRPr="00AA1A20">
        <w:rPr>
          <w:rFonts w:cs="Open Sans"/>
        </w:rPr>
        <w:t xml:space="preserve">of </w:t>
      </w:r>
      <w:r w:rsidR="005035B3">
        <w:rPr>
          <w:rFonts w:cs="Open Sans"/>
        </w:rPr>
        <w:t xml:space="preserve">relevant parties </w:t>
      </w:r>
      <w:r w:rsidRPr="00AA1A20">
        <w:rPr>
          <w:rFonts w:cs="Open Sans"/>
        </w:rPr>
        <w:t xml:space="preserve">and </w:t>
      </w:r>
      <w:r w:rsidR="005035B3">
        <w:rPr>
          <w:rFonts w:cs="Open Sans"/>
        </w:rPr>
        <w:t xml:space="preserve">being </w:t>
      </w:r>
      <w:r w:rsidRPr="00AA1A20">
        <w:rPr>
          <w:rFonts w:cs="Open Sans"/>
        </w:rPr>
        <w:t xml:space="preserve">satisfied that the limits on their privacy and other human rights are proportionate in the circumstances. </w:t>
      </w:r>
    </w:p>
    <w:p w14:paraId="25382900" w14:textId="368122CB"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draft Bill also seeks to insert provisions identical to proposed s 27E(2)(e) of the SD Act into numerous sections of the ASIO Act,</w:t>
      </w:r>
      <w:r w:rsidRPr="00543C35">
        <w:rPr>
          <w:rStyle w:val="EndnoteReference"/>
          <w:vertAlign w:val="superscript"/>
        </w:rPr>
        <w:endnoteReference w:id="150"/>
      </w:r>
      <w:r w:rsidRPr="00AA1A20">
        <w:rPr>
          <w:rFonts w:cs="Open Sans"/>
        </w:rPr>
        <w:t xml:space="preserve"> as well the Crimes Act</w:t>
      </w:r>
      <w:r w:rsidRPr="00543C35">
        <w:rPr>
          <w:rStyle w:val="EndnoteReference"/>
          <w:vertAlign w:val="superscript"/>
        </w:rPr>
        <w:endnoteReference w:id="151"/>
      </w:r>
      <w:r w:rsidRPr="00AA1A20">
        <w:rPr>
          <w:rFonts w:cs="Open Sans"/>
        </w:rPr>
        <w:t xml:space="preserve"> and the Customs Act.</w:t>
      </w:r>
      <w:r w:rsidRPr="00543C35">
        <w:rPr>
          <w:rStyle w:val="EndnoteReference"/>
          <w:vertAlign w:val="superscript"/>
        </w:rPr>
        <w:endnoteReference w:id="152"/>
      </w:r>
    </w:p>
    <w:p w14:paraId="7689A07D"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For the reasons discussed above, the Commission recommends that equivalent changes </w:t>
      </w:r>
      <w:proofErr w:type="gramStart"/>
      <w:r w:rsidRPr="00AA1A20">
        <w:rPr>
          <w:rFonts w:cs="Open Sans"/>
        </w:rPr>
        <w:t>be made</w:t>
      </w:r>
      <w:proofErr w:type="gramEnd"/>
      <w:r w:rsidRPr="00AA1A20">
        <w:rPr>
          <w:rFonts w:cs="Open Sans"/>
        </w:rPr>
        <w:t xml:space="preserve"> to each of these proposed provisions. </w:t>
      </w:r>
    </w:p>
    <w:p w14:paraId="18DEE428"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61656D39" w14:textId="77777777" w:rsidR="00CE04D1" w:rsidRPr="00AA1A20" w:rsidRDefault="00CE04D1" w:rsidP="007539FC">
      <w:pPr>
        <w:pStyle w:val="ListNumber"/>
        <w:numPr>
          <w:ilvl w:val="0"/>
          <w:numId w:val="0"/>
        </w:numPr>
        <w:ind w:left="720"/>
        <w:rPr>
          <w:rFonts w:cs="Open Sans"/>
          <w:b/>
        </w:rPr>
      </w:pPr>
      <w:r w:rsidRPr="00AA1A20">
        <w:rPr>
          <w:rFonts w:cs="Open Sans"/>
          <w:b/>
        </w:rPr>
        <w:t>Recommendation 33</w:t>
      </w:r>
    </w:p>
    <w:p w14:paraId="39E3990A" w14:textId="4EE350AB" w:rsidR="00CE04D1" w:rsidRPr="00AA1A20" w:rsidRDefault="00CE04D1" w:rsidP="007539FC">
      <w:pPr>
        <w:pStyle w:val="ListNumber"/>
        <w:numPr>
          <w:ilvl w:val="0"/>
          <w:numId w:val="0"/>
        </w:numPr>
        <w:ind w:left="720"/>
        <w:rPr>
          <w:rFonts w:cs="Open Sans"/>
        </w:rPr>
      </w:pPr>
      <w:proofErr w:type="gramStart"/>
      <w:r w:rsidRPr="00AA1A20">
        <w:rPr>
          <w:rFonts w:cs="Open Sans"/>
        </w:rPr>
        <w:t xml:space="preserve">Warrants relating to computer access under the </w:t>
      </w:r>
      <w:r w:rsidRPr="00AA1A20">
        <w:rPr>
          <w:rFonts w:cs="Open Sans"/>
          <w:i/>
        </w:rPr>
        <w:t xml:space="preserve">Australian Security Intelligence Organisation Act 1979 </w:t>
      </w:r>
      <w:r w:rsidRPr="00AA1A20">
        <w:rPr>
          <w:rFonts w:cs="Open Sans"/>
        </w:rPr>
        <w:t xml:space="preserve">(Cth), the </w:t>
      </w:r>
      <w:r w:rsidRPr="00AA1A20">
        <w:rPr>
          <w:rFonts w:cs="Open Sans"/>
          <w:i/>
        </w:rPr>
        <w:t>Surveillance Devices Act 2004</w:t>
      </w:r>
      <w:r w:rsidRPr="00AA1A20">
        <w:rPr>
          <w:rFonts w:cs="Open Sans"/>
        </w:rPr>
        <w:t xml:space="preserve"> (Cth), the </w:t>
      </w:r>
      <w:r w:rsidRPr="00AA1A20">
        <w:rPr>
          <w:rFonts w:cs="Open Sans"/>
          <w:i/>
        </w:rPr>
        <w:t>Crimes Act 1914</w:t>
      </w:r>
      <w:r w:rsidRPr="00AA1A20">
        <w:rPr>
          <w:rFonts w:cs="Open Sans"/>
        </w:rPr>
        <w:t xml:space="preserve"> (Cth) and the </w:t>
      </w:r>
      <w:r w:rsidRPr="00AA1A20">
        <w:rPr>
          <w:rFonts w:cs="Open Sans"/>
          <w:i/>
        </w:rPr>
        <w:t>Customs Act 1901</w:t>
      </w:r>
      <w:r w:rsidRPr="00AA1A20">
        <w:rPr>
          <w:rFonts w:cs="Open Sans"/>
        </w:rPr>
        <w:t xml:space="preserve"> (Cth) should only authorise access to third party computers or communications in transit where the issuing authority is satisfied that access is necessary in all the </w:t>
      </w:r>
      <w:r w:rsidRPr="00AA1A20">
        <w:rPr>
          <w:rFonts w:cs="Open Sans"/>
        </w:rPr>
        <w:lastRenderedPageBreak/>
        <w:t>circumstances, having regard to other methods of obtaining access to the data which are as likely to be as effective, and having regard to the human rights of the third party, including their right to privacy.</w:t>
      </w:r>
      <w:proofErr w:type="gramEnd"/>
      <w:r w:rsidRPr="00AA1A20">
        <w:rPr>
          <w:rFonts w:cs="Open Sans"/>
        </w:rPr>
        <w:t xml:space="preserve"> </w:t>
      </w:r>
    </w:p>
    <w:p w14:paraId="52E188F6" w14:textId="77777777" w:rsidR="00CE04D1" w:rsidRPr="00AA1A20" w:rsidRDefault="00CE04D1" w:rsidP="007539FC">
      <w:pPr>
        <w:pStyle w:val="ListNumber"/>
        <w:numPr>
          <w:ilvl w:val="0"/>
          <w:numId w:val="0"/>
        </w:numPr>
        <w:ind w:left="720"/>
        <w:rPr>
          <w:rFonts w:cs="Open Sans"/>
          <w:b/>
        </w:rPr>
      </w:pPr>
      <w:r w:rsidRPr="00AA1A20">
        <w:rPr>
          <w:rFonts w:cs="Open Sans"/>
          <w:b/>
        </w:rPr>
        <w:t>Recommendation 34</w:t>
      </w:r>
    </w:p>
    <w:p w14:paraId="6B72EB8C" w14:textId="024F997B" w:rsidR="00CE04D1" w:rsidRPr="00AA1A20" w:rsidRDefault="00CE04D1" w:rsidP="007539FC">
      <w:pPr>
        <w:pStyle w:val="ListNumber"/>
        <w:numPr>
          <w:ilvl w:val="0"/>
          <w:numId w:val="0"/>
        </w:numPr>
        <w:ind w:left="720"/>
        <w:rPr>
          <w:rFonts w:cs="Open Sans"/>
        </w:rPr>
      </w:pPr>
      <w:proofErr w:type="gramStart"/>
      <w:r w:rsidRPr="00AA1A20">
        <w:rPr>
          <w:rFonts w:cs="Open Sans"/>
        </w:rPr>
        <w:t xml:space="preserve">Warrants relating to computer access under the </w:t>
      </w:r>
      <w:r w:rsidRPr="00AA1A20">
        <w:rPr>
          <w:rFonts w:cs="Open Sans"/>
          <w:i/>
        </w:rPr>
        <w:t xml:space="preserve">Australian Security Intelligence Organisation Act 1979 </w:t>
      </w:r>
      <w:r w:rsidRPr="00AA1A20">
        <w:rPr>
          <w:rFonts w:cs="Open Sans"/>
        </w:rPr>
        <w:t>(Cth), the</w:t>
      </w:r>
      <w:r w:rsidRPr="00AA1A20">
        <w:rPr>
          <w:rFonts w:cs="Open Sans"/>
          <w:i/>
        </w:rPr>
        <w:t xml:space="preserve"> Surveillance Devices Act 2004</w:t>
      </w:r>
      <w:r w:rsidRPr="00AA1A20">
        <w:rPr>
          <w:rFonts w:cs="Open Sans"/>
        </w:rPr>
        <w:t xml:space="preserve"> (Cth), the </w:t>
      </w:r>
      <w:r w:rsidRPr="00AA1A20">
        <w:rPr>
          <w:rFonts w:cs="Open Sans"/>
          <w:i/>
        </w:rPr>
        <w:t>Crimes Act 1914</w:t>
      </w:r>
      <w:r w:rsidRPr="00AA1A20">
        <w:rPr>
          <w:rFonts w:cs="Open Sans"/>
        </w:rPr>
        <w:t xml:space="preserve"> (Cth) and the </w:t>
      </w:r>
      <w:r w:rsidRPr="00AA1A20">
        <w:rPr>
          <w:rFonts w:cs="Open Sans"/>
          <w:i/>
        </w:rPr>
        <w:t>Customs Act 1901</w:t>
      </w:r>
      <w:r w:rsidRPr="00AA1A20">
        <w:rPr>
          <w:rFonts w:cs="Open Sans"/>
        </w:rPr>
        <w:t xml:space="preserve"> (Cth) should require the issuing authority to consider the human rights of any third party, including their right to privacy, and should only allow access to third party computers or communications in transit if satisfied that the limits on their human rights are proportionate.</w:t>
      </w:r>
      <w:proofErr w:type="gramEnd"/>
      <w:r w:rsidRPr="00AA1A20">
        <w:rPr>
          <w:rFonts w:cs="Open Sans"/>
        </w:rPr>
        <w:t xml:space="preserve"> </w:t>
      </w:r>
    </w:p>
    <w:p w14:paraId="32C34EAC" w14:textId="77777777" w:rsidR="00CE04D1" w:rsidRPr="00AA1A20" w:rsidRDefault="00CE04D1" w:rsidP="00C56853">
      <w:pPr>
        <w:pStyle w:val="Heading2"/>
        <w:rPr>
          <w:rFonts w:cs="Open Sans"/>
        </w:rPr>
      </w:pPr>
      <w:bookmarkStart w:id="97" w:name="_Toc524352518"/>
      <w:r w:rsidRPr="00AA1A20">
        <w:rPr>
          <w:rFonts w:cs="Open Sans"/>
        </w:rPr>
        <w:t>Concealment of access provisions</w:t>
      </w:r>
      <w:bookmarkEnd w:id="97"/>
      <w:r w:rsidRPr="00AA1A20">
        <w:rPr>
          <w:rFonts w:cs="Open Sans"/>
        </w:rPr>
        <w:t xml:space="preserve"> </w:t>
      </w:r>
    </w:p>
    <w:p w14:paraId="09ADFD38"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draft Bill proposes to attach broad ‘concealment of access’ powers to computer access warrants issued under the SD Act and computer access warrants and identified person warrants issued under the ASIO Act. </w:t>
      </w:r>
    </w:p>
    <w:p w14:paraId="72D813EC" w14:textId="778465A8"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If any ‘thing’ has been done in relation to a computer under a warrant, proposed s </w:t>
      </w:r>
      <w:proofErr w:type="gramStart"/>
      <w:r w:rsidRPr="00AA1A20">
        <w:rPr>
          <w:rFonts w:cs="Open Sans"/>
        </w:rPr>
        <w:t>27E(</w:t>
      </w:r>
      <w:proofErr w:type="gramEnd"/>
      <w:r w:rsidRPr="00AA1A20">
        <w:rPr>
          <w:rFonts w:cs="Open Sans"/>
        </w:rPr>
        <w:t xml:space="preserve">7) of the SD Act and proposed ss 25A(8), 27A(3C) and 27E(6) of the ASIO Act would authorise the doing of any ‘thing’ that is reasonably necessary to conceal the fact that something had been done under the warrant. </w:t>
      </w:r>
    </w:p>
    <w:p w14:paraId="668148FB" w14:textId="59B7E91C"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timeframes provided for these concealment activities include any time while the warrant is in force, within 28 days after it ceases to be in force or ‘at the earliest time after that 28 day period at which it is reasonably practicable’.</w:t>
      </w:r>
      <w:r w:rsidRPr="00543C35">
        <w:rPr>
          <w:rStyle w:val="EndnoteReference"/>
          <w:vertAlign w:val="superscript"/>
        </w:rPr>
        <w:endnoteReference w:id="153"/>
      </w:r>
      <w:r w:rsidRPr="00AA1A20">
        <w:rPr>
          <w:rFonts w:cs="Open Sans"/>
        </w:rPr>
        <w:t xml:space="preserve"> </w:t>
      </w:r>
    </w:p>
    <w:p w14:paraId="08D9B5F4" w14:textId="06AB029E"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explanatory document explains the claimed need for this period of time as follows:</w:t>
      </w:r>
    </w:p>
    <w:p w14:paraId="23261348" w14:textId="77777777" w:rsidR="00CE04D1" w:rsidRPr="00AA1A20" w:rsidRDefault="00CE04D1" w:rsidP="00C56853">
      <w:pPr>
        <w:pStyle w:val="EndnoteText"/>
        <w:rPr>
          <w:rFonts w:cs="Open Sans"/>
        </w:rPr>
      </w:pPr>
      <w:r w:rsidRPr="00AA1A20">
        <w:rPr>
          <w:rFonts w:cs="Open Sans"/>
        </w:rPr>
        <w:t xml:space="preserve">The </w:t>
      </w:r>
      <w:proofErr w:type="gramStart"/>
      <w:r w:rsidRPr="00AA1A20">
        <w:rPr>
          <w:rFonts w:cs="Open Sans"/>
        </w:rPr>
        <w:t>period of time</w:t>
      </w:r>
      <w:proofErr w:type="gramEnd"/>
      <w:r w:rsidRPr="00AA1A20">
        <w:rPr>
          <w:rFonts w:cs="Open Sans"/>
        </w:rPr>
        <w:t xml:space="preserve"> provided to perform these concealment activities recognises that, operationally, it is sometimes impossible to complete this process within 28 days of a warrant expiring. The requirement that the concealment activities be performed ‘at the earliest time after the 28-day period at which it is reasonably practicable to do so’ acknowledges that this authority should not extend indefinitely, circumscribing it to operational need.</w:t>
      </w:r>
      <w:r w:rsidRPr="00543C35">
        <w:rPr>
          <w:rStyle w:val="EndnoteReference"/>
          <w:vertAlign w:val="superscript"/>
        </w:rPr>
        <w:endnoteReference w:id="154"/>
      </w:r>
    </w:p>
    <w:p w14:paraId="06BE6922" w14:textId="5800E859"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Commission acknowledges the importance of operational need and recognises that, where covert surveillance </w:t>
      </w:r>
      <w:proofErr w:type="gramStart"/>
      <w:r w:rsidRPr="00AA1A20">
        <w:rPr>
          <w:rFonts w:cs="Open Sans"/>
        </w:rPr>
        <w:t>is demonstrated</w:t>
      </w:r>
      <w:proofErr w:type="gramEnd"/>
      <w:r w:rsidRPr="00AA1A20">
        <w:rPr>
          <w:rFonts w:cs="Open Sans"/>
        </w:rPr>
        <w:t xml:space="preserve"> to be necessary and proportionate to achieving a legitimate objective, it is important that the relevant powers are effective. However, it also holds serious concerns that the proposed ‘concealment of access’ powers might </w:t>
      </w:r>
      <w:r w:rsidRPr="00AA1A20">
        <w:rPr>
          <w:rFonts w:cs="Open Sans"/>
        </w:rPr>
        <w:lastRenderedPageBreak/>
        <w:t>allow for highly privacy-intrusive activities to occur long after a warrant has expired.</w:t>
      </w:r>
    </w:p>
    <w:p w14:paraId="51D3E4C3" w14:textId="6D1BBD4B"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By way of example, it is not difficult to conceive of a situation where the subject of a covert computer access warrant leaves Australia before a security or law enforcement agency takes action to conceal the fact that access to a computer has occurred. If not considered ‘reasonably practicable’ for the suspect to be pursued into a foreign jurisdiction, the ‘concealment of access’ powers would arguably empower law enforcement authorities or ASIO to covertly access the subject’s computer (to do anything reasonably necessary to conceal the fact that access had previously been obtained) when they return to Australia. This could be after a significant amount of time has passed (possibly years) and could occur without any further authorisation from an eligible Judge or nominated AAT member or, in the case of ASIO warrants, the Attorney-General.</w:t>
      </w:r>
    </w:p>
    <w:p w14:paraId="48FBFB82"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Commission considers that, given the privacy-intrusive nature of the activities authorised by a computer access warrant and the concealment of access powers, it is not reasonable to continue to place reliance upon the original ‘reasonable suspicion/reasonable grounds’ threshold that underpinned the initial warrant if significant time has passed. This is particularly true when the facts and circumstances of an investigation might have changed considerably in the intervening period. </w:t>
      </w:r>
    </w:p>
    <w:p w14:paraId="05EC8EEF" w14:textId="354C4B75"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If it is not reasonably practicable for ‘concealment of access’ to occur while the warrant is in effect, or within 28 days of its expiry, the Commission recommends that law enforcement authorities be required to return to an eligible Judge or nominated AAT member or, in the case of ASIO warrants, the Attorney-General for further authorisation. </w:t>
      </w:r>
    </w:p>
    <w:p w14:paraId="5F341F18"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274B5C5F" w14:textId="77777777" w:rsidR="00CE04D1" w:rsidRPr="00AA1A20" w:rsidRDefault="00CE04D1" w:rsidP="007539FC">
      <w:pPr>
        <w:pStyle w:val="ListNumber"/>
        <w:numPr>
          <w:ilvl w:val="0"/>
          <w:numId w:val="0"/>
        </w:numPr>
        <w:ind w:left="720"/>
        <w:rPr>
          <w:rFonts w:cs="Open Sans"/>
          <w:b/>
        </w:rPr>
      </w:pPr>
      <w:r w:rsidRPr="00AA1A20">
        <w:rPr>
          <w:rFonts w:cs="Open Sans"/>
          <w:b/>
        </w:rPr>
        <w:t>Recommendation 35</w:t>
      </w:r>
    </w:p>
    <w:p w14:paraId="6D99C55D" w14:textId="2618FA69" w:rsidR="00CE04D1" w:rsidRPr="00AA1A20" w:rsidRDefault="00CE04D1" w:rsidP="007539FC">
      <w:pPr>
        <w:pStyle w:val="ListNumber"/>
        <w:numPr>
          <w:ilvl w:val="0"/>
          <w:numId w:val="0"/>
        </w:numPr>
        <w:ind w:left="720"/>
        <w:rPr>
          <w:rFonts w:cs="Open Sans"/>
        </w:rPr>
      </w:pPr>
      <w:r w:rsidRPr="00AA1A20">
        <w:rPr>
          <w:rFonts w:cs="Open Sans"/>
        </w:rPr>
        <w:t xml:space="preserve">Proposed s </w:t>
      </w:r>
      <w:proofErr w:type="gramStart"/>
      <w:r w:rsidRPr="00AA1A20">
        <w:rPr>
          <w:rFonts w:cs="Open Sans"/>
        </w:rPr>
        <w:t>27E(</w:t>
      </w:r>
      <w:proofErr w:type="gramEnd"/>
      <w:r w:rsidRPr="00AA1A20">
        <w:rPr>
          <w:rFonts w:cs="Open Sans"/>
        </w:rPr>
        <w:t xml:space="preserve">7)(k) of the </w:t>
      </w:r>
      <w:r w:rsidRPr="00AA1A20">
        <w:rPr>
          <w:rFonts w:cs="Open Sans"/>
          <w:i/>
        </w:rPr>
        <w:t>Surveillance Devices Act 2004</w:t>
      </w:r>
      <w:r w:rsidRPr="00AA1A20">
        <w:rPr>
          <w:rFonts w:cs="Open Sans"/>
        </w:rPr>
        <w:t xml:space="preserve"> (Cth) be deleted. If it is not reasonably practicable for ‘concealment of access’ to occur while the computer access warrant is in effect, or within 28 days of its expiry, the Commission recommends that provision be made in the legislation for law enforcement authorities to return to an eligible Judge or nominated AAT member for further authorisation.</w:t>
      </w:r>
    </w:p>
    <w:p w14:paraId="19B64CD4" w14:textId="77777777" w:rsidR="00CE04D1" w:rsidRPr="00AA1A20" w:rsidRDefault="00CE04D1" w:rsidP="007539FC">
      <w:pPr>
        <w:pStyle w:val="ListNumber"/>
        <w:numPr>
          <w:ilvl w:val="0"/>
          <w:numId w:val="0"/>
        </w:numPr>
        <w:ind w:left="720"/>
        <w:rPr>
          <w:rFonts w:cs="Open Sans"/>
          <w:b/>
        </w:rPr>
      </w:pPr>
      <w:r w:rsidRPr="00AA1A20">
        <w:rPr>
          <w:rFonts w:cs="Open Sans"/>
          <w:b/>
        </w:rPr>
        <w:t>Recommendation 36</w:t>
      </w:r>
    </w:p>
    <w:p w14:paraId="3F358555" w14:textId="5885A275" w:rsidR="00CE04D1" w:rsidRPr="00AA1A20" w:rsidRDefault="00CE04D1" w:rsidP="007539FC">
      <w:pPr>
        <w:pStyle w:val="ListNumber"/>
        <w:numPr>
          <w:ilvl w:val="0"/>
          <w:numId w:val="0"/>
        </w:numPr>
        <w:ind w:left="720"/>
        <w:rPr>
          <w:rFonts w:cs="Open Sans"/>
        </w:rPr>
      </w:pPr>
      <w:r w:rsidRPr="00AA1A20">
        <w:rPr>
          <w:rFonts w:cs="Open Sans"/>
        </w:rPr>
        <w:t xml:space="preserve">Proposed ss </w:t>
      </w:r>
      <w:proofErr w:type="gramStart"/>
      <w:r w:rsidRPr="00AA1A20">
        <w:rPr>
          <w:rFonts w:cs="Open Sans"/>
        </w:rPr>
        <w:t>25A(</w:t>
      </w:r>
      <w:proofErr w:type="gramEnd"/>
      <w:r w:rsidRPr="00AA1A20">
        <w:rPr>
          <w:rFonts w:cs="Open Sans"/>
        </w:rPr>
        <w:t xml:space="preserve">8)(k), s 27A(3C)(k), s 27E(6)(k) of the </w:t>
      </w:r>
      <w:r w:rsidRPr="00AA1A20">
        <w:rPr>
          <w:rFonts w:cs="Open Sans"/>
          <w:i/>
        </w:rPr>
        <w:t xml:space="preserve">Australian Security Intelligence Organisation Act 1979 </w:t>
      </w:r>
      <w:r w:rsidRPr="00AA1A20">
        <w:rPr>
          <w:rFonts w:cs="Open Sans"/>
        </w:rPr>
        <w:t xml:space="preserve">(Cth) be deleted. If it is not reasonably practicable for ‘concealment of access’ to occur while the computer access </w:t>
      </w:r>
      <w:r w:rsidRPr="00AA1A20">
        <w:rPr>
          <w:rFonts w:cs="Open Sans"/>
        </w:rPr>
        <w:lastRenderedPageBreak/>
        <w:t>warrant is in effect, or within 28 days of its expiry, the Commission recommends that provision be made in the legislation for ASIO to return to the Attorney-General for further authorisation.</w:t>
      </w:r>
    </w:p>
    <w:p w14:paraId="0348F429" w14:textId="77777777" w:rsidR="00CE04D1" w:rsidRPr="00AA1A20" w:rsidRDefault="00CE04D1" w:rsidP="00C56853">
      <w:pPr>
        <w:pStyle w:val="Heading2"/>
        <w:rPr>
          <w:rFonts w:cs="Open Sans"/>
        </w:rPr>
      </w:pPr>
      <w:bookmarkStart w:id="98" w:name="_Toc524352519"/>
      <w:r w:rsidRPr="00AA1A20">
        <w:rPr>
          <w:rFonts w:cs="Open Sans"/>
        </w:rPr>
        <w:t>Ancillary interception powers</w:t>
      </w:r>
      <w:bookmarkEnd w:id="98"/>
    </w:p>
    <w:p w14:paraId="20CB7A0D" w14:textId="6370948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draft Bill seeks to expand the warrant regimes relating to accessing computer data under the ASIO Act and the SD Act, so that warrants issued under those regimes may authorise the interception of communications passing over a telecommunications system if this interception is for the purpose of doing ‘</w:t>
      </w:r>
      <w:proofErr w:type="spellStart"/>
      <w:r w:rsidRPr="00AA1A20">
        <w:rPr>
          <w:rFonts w:cs="Open Sans"/>
        </w:rPr>
        <w:t>any thing</w:t>
      </w:r>
      <w:proofErr w:type="spellEnd"/>
      <w:r w:rsidRPr="00AA1A20">
        <w:rPr>
          <w:rFonts w:cs="Open Sans"/>
        </w:rPr>
        <w:t>’ specified in the warrant.</w:t>
      </w:r>
      <w:r w:rsidRPr="00543C35">
        <w:rPr>
          <w:rStyle w:val="EndnoteReference"/>
          <w:vertAlign w:val="superscript"/>
        </w:rPr>
        <w:endnoteReference w:id="155"/>
      </w:r>
      <w:r w:rsidRPr="00AA1A20">
        <w:rPr>
          <w:rFonts w:cs="Open Sans"/>
        </w:rPr>
        <w:t xml:space="preserve">  </w:t>
      </w:r>
    </w:p>
    <w:p w14:paraId="3915FE32"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This marks a significant departure from the current warrant regime under the ASIO Act, where s 33(1) explicitly states that computer access warrants, foreign intelligence warrants and identified persons warrants issued under the ASIO Act </w:t>
      </w:r>
      <w:r w:rsidRPr="00AA1A20">
        <w:rPr>
          <w:rFonts w:cs="Open Sans"/>
          <w:i/>
        </w:rPr>
        <w:t>do not</w:t>
      </w:r>
      <w:r w:rsidRPr="00AA1A20">
        <w:rPr>
          <w:rFonts w:cs="Open Sans"/>
        </w:rPr>
        <w:t xml:space="preserve"> authorise the interception of a communication passing over a telecommunication system.</w:t>
      </w:r>
    </w:p>
    <w:p w14:paraId="1BC59ADC" w14:textId="79B2EEAF"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explanatory document explains the reason for this change as follows:</w:t>
      </w:r>
    </w:p>
    <w:p w14:paraId="06D2A378" w14:textId="77777777" w:rsidR="00CE04D1" w:rsidRPr="00AA1A20" w:rsidRDefault="00CE04D1" w:rsidP="00EB13E6">
      <w:pPr>
        <w:pStyle w:val="Subtitle"/>
        <w:ind w:left="1134"/>
        <w:rPr>
          <w:rStyle w:val="EndnoteReference"/>
          <w:lang w:val="en-AU"/>
        </w:rPr>
      </w:pPr>
      <w:r w:rsidRPr="00AA1A20">
        <w:rPr>
          <w:rFonts w:cs="Open Sans"/>
        </w:rPr>
        <w:t xml:space="preserve">Currently, ASIO is required to obtain a computer access warrant to gain </w:t>
      </w:r>
      <w:r w:rsidRPr="00AA1A20">
        <w:rPr>
          <w:rStyle w:val="EndnoteReference"/>
          <w:lang w:val="en-AU"/>
        </w:rPr>
        <w:t xml:space="preserve">access to a device and a telecommunications interception warrant under section 9 or 9A of the TIA Act for this interception to establish computer access. </w:t>
      </w:r>
    </w:p>
    <w:p w14:paraId="59D5F940" w14:textId="77777777" w:rsidR="00CE04D1" w:rsidRPr="00AA1A20" w:rsidRDefault="00CE04D1" w:rsidP="00EB13E6">
      <w:pPr>
        <w:pStyle w:val="Subtitle"/>
        <w:ind w:left="1134"/>
        <w:rPr>
          <w:rStyle w:val="EndnoteReference"/>
          <w:lang w:val="en-AU"/>
        </w:rPr>
      </w:pPr>
      <w:r w:rsidRPr="00AA1A20">
        <w:rPr>
          <w:rStyle w:val="EndnoteReference"/>
          <w:lang w:val="en-AU"/>
        </w:rPr>
        <w:t>The threshold requirements for issuing computer access warrants and telecommunication interception warrants currently differ. In some circumstances, ASIO can obtain a computer access warrant, but cannot obtain a telecommunications interception warrant. This reduces the likelihood of a successful execution of the validly issued computer access warrant. It is undesirable for ASIO’s ability to execute a computer access warrant to be dependent on its ability to obtain a separate telecommunications interception warrant. Ordinarily, warrants authorise a person to undertake all activities normally required to give effect to the warrant, independently of any other warrant or authorisation.</w:t>
      </w:r>
    </w:p>
    <w:p w14:paraId="00C7F11C" w14:textId="77777777" w:rsidR="00CE04D1" w:rsidRPr="00AA1A20" w:rsidRDefault="00CE04D1" w:rsidP="00EB13E6">
      <w:pPr>
        <w:pStyle w:val="Subtitle"/>
        <w:ind w:left="1134"/>
        <w:rPr>
          <w:rFonts w:cs="Open Sans"/>
        </w:rPr>
      </w:pPr>
      <w:r w:rsidRPr="00AA1A20">
        <w:rPr>
          <w:rStyle w:val="EndnoteReference"/>
          <w:lang w:val="en-AU"/>
        </w:rPr>
        <w:t>The current arrangements also cause administrative inefficiency by requiring ASIO to prepare two warrant applications, addressing different legal standards, for the purpose of executing a single computer access warrant. The process requires the Attorney-General to consider each application separately and in accordance with each separate criterion</w:t>
      </w:r>
      <w:r w:rsidRPr="00AA1A20">
        <w:rPr>
          <w:rFonts w:cs="Open Sans"/>
        </w:rPr>
        <w:t>.</w:t>
      </w:r>
      <w:r w:rsidRPr="00543C35">
        <w:rPr>
          <w:rStyle w:val="EndnoteReference"/>
          <w:vertAlign w:val="superscript"/>
        </w:rPr>
        <w:endnoteReference w:id="156"/>
      </w:r>
    </w:p>
    <w:p w14:paraId="11795F05"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Currently, if ASIO needs to intercept a communication passing over a telecommunication system to execute a warrant, it is required to seek a telecommunication interception warrant under s 9 or s 9A of the TIA Act. </w:t>
      </w:r>
    </w:p>
    <w:p w14:paraId="783EFDDC"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Style w:val="EndnoteReference"/>
          <w:sz w:val="24"/>
          <w:szCs w:val="24"/>
          <w:lang w:val="en-AU"/>
        </w:rPr>
        <w:t>Under</w:t>
      </w:r>
      <w:r w:rsidRPr="00AA1A20">
        <w:rPr>
          <w:rFonts w:cs="Open Sans"/>
        </w:rPr>
        <w:t xml:space="preserve"> the combined effect of ss 5F, 5G, 5H and 6 of the TIA Act, a communication is ‘intercepted passing over a telecommunications system’ </w:t>
      </w:r>
      <w:r w:rsidRPr="00AA1A20">
        <w:rPr>
          <w:rFonts w:cs="Open Sans"/>
        </w:rPr>
        <w:lastRenderedPageBreak/>
        <w:t>if that communication is listened to, or recorded by any means, without the knowledge of the person making it, between being sent or transmitted by the person sending it and becoming accessible to the intended recipient. The draft Bill proposes to make the same definition applicable to the ASIO Act.</w:t>
      </w:r>
      <w:r w:rsidRPr="00543C35">
        <w:rPr>
          <w:rStyle w:val="EndnoteReference"/>
          <w:vertAlign w:val="superscript"/>
        </w:rPr>
        <w:endnoteReference w:id="157"/>
      </w:r>
    </w:p>
    <w:p w14:paraId="239DCB5C"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Section 7 of the TIA provides that, subject to certain exemptions (including pursuant to a warrant under s </w:t>
      </w:r>
      <w:proofErr w:type="gramStart"/>
      <w:r w:rsidRPr="00AA1A20">
        <w:rPr>
          <w:rFonts w:cs="Open Sans"/>
        </w:rPr>
        <w:t>9</w:t>
      </w:r>
      <w:proofErr w:type="gramEnd"/>
      <w:r w:rsidRPr="00AA1A20">
        <w:rPr>
          <w:rFonts w:cs="Open Sans"/>
        </w:rPr>
        <w:t xml:space="preserve"> or s 9A), it is not otherwise lawful to intercept communications passing over a telecommunication system. This protection is appropriate because intercepting and recording the private communications of individuals without their knowledge is a significant limitation on the right to privacy. </w:t>
      </w:r>
    </w:p>
    <w:p w14:paraId="778F4FFA"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Covert interception of private communications by government, including contemporaneous communications, can reveal sensitive information about all aspects of an individual’s life. This kind of government surveillance represents a distinct intrusion into privacy rights and, as discussed above, can have a significant chilling effect on the exercise of rights and freedoms. Consequently, any proposal to broaden the interception powers of government should be carefully scrutinised. </w:t>
      </w:r>
    </w:p>
    <w:p w14:paraId="4FFC1591"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Presently, a warrant </w:t>
      </w:r>
      <w:proofErr w:type="gramStart"/>
      <w:r w:rsidRPr="00AA1A20">
        <w:rPr>
          <w:rFonts w:cs="Open Sans"/>
        </w:rPr>
        <w:t>can only be issued</w:t>
      </w:r>
      <w:proofErr w:type="gramEnd"/>
      <w:r w:rsidRPr="00AA1A20">
        <w:rPr>
          <w:rFonts w:cs="Open Sans"/>
        </w:rPr>
        <w:t xml:space="preserve"> under either s 9 or s 9A of the TIA if the Attorney-General is satisfied that there is a sufficient nexus to ‘activities prejudicial to security’. </w:t>
      </w:r>
    </w:p>
    <w:p w14:paraId="14D43D4F"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However, a computer access warrant can be issued under s 25A of the ASIO Act if the Attorney-General is satisfied that:</w:t>
      </w:r>
    </w:p>
    <w:p w14:paraId="2D40CD2D" w14:textId="71E34697" w:rsidR="00CE04D1" w:rsidRPr="00AA1A20" w:rsidRDefault="00CE04D1" w:rsidP="00D74E5A">
      <w:pPr>
        <w:pStyle w:val="Subtitle"/>
        <w:ind w:left="1134"/>
        <w:rPr>
          <w:rFonts w:cs="Open Sans"/>
        </w:rPr>
      </w:pPr>
      <w:r w:rsidRPr="00AA1A20">
        <w:rPr>
          <w:rStyle w:val="EndnoteTextChar1"/>
          <w:rFonts w:cs="Open Sans"/>
        </w:rPr>
        <w:t xml:space="preserve">… there are reasonable grounds for believing that access by the </w:t>
      </w:r>
      <w:proofErr w:type="spellStart"/>
      <w:r w:rsidRPr="00AA1A20">
        <w:rPr>
          <w:rStyle w:val="EndnoteTextChar1"/>
          <w:rFonts w:cs="Open Sans"/>
        </w:rPr>
        <w:t>Organisation</w:t>
      </w:r>
      <w:proofErr w:type="spellEnd"/>
      <w:r w:rsidRPr="00AA1A20">
        <w:rPr>
          <w:rStyle w:val="EndnoteTextChar1"/>
          <w:rFonts w:cs="Open Sans"/>
        </w:rPr>
        <w:t xml:space="preserve"> to data held in a computer (the target computer) will substantially assist the collection of intelligence in accordance with this Act in respect of a matter (the security matter) that is important in relation to security</w:t>
      </w:r>
      <w:r w:rsidRPr="00AA1A20">
        <w:rPr>
          <w:rFonts w:cs="Open Sans"/>
        </w:rPr>
        <w:t>.</w:t>
      </w:r>
    </w:p>
    <w:p w14:paraId="2A0C0A25" w14:textId="0802581B"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Instead of a nexus to activities ‘prejudicial to security’, as in ss 9 and 9A of the TIA Act, the test for computer access warrants under s 25A of the ASIO Act only requires the data held in the target computer to be intelligence in respect of a security matter that is ‘important’ in relation to security. </w:t>
      </w:r>
    </w:p>
    <w:p w14:paraId="2AEDFC45"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Consequently, by attaching ancillary interception powers to the issuance of a computer access warrant under s 25A of the ASIO Act, the draft Bill appears to lower the threshold for the interception of communications passing over a telecommunications system.</w:t>
      </w:r>
    </w:p>
    <w:p w14:paraId="06F399D8" w14:textId="1B1C0B8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On the material provided in the explanatory document, the Commission </w:t>
      </w:r>
      <w:proofErr w:type="gramStart"/>
      <w:r w:rsidRPr="00AA1A20">
        <w:rPr>
          <w:rFonts w:cs="Open Sans"/>
        </w:rPr>
        <w:t>is not persuaded</w:t>
      </w:r>
      <w:proofErr w:type="gramEnd"/>
      <w:r w:rsidRPr="00AA1A20">
        <w:rPr>
          <w:rFonts w:cs="Open Sans"/>
        </w:rPr>
        <w:t xml:space="preserve"> that lowering the interception threshold and attaching broad ancillary interception powers to computer access warrants is a necessary and proportionate limitation on human rights. </w:t>
      </w:r>
    </w:p>
    <w:p w14:paraId="4A619E7A" w14:textId="5A7D6543"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lastRenderedPageBreak/>
        <w:t xml:space="preserve">Reference in the explanatory document to concerns about the ‘administrative inefficiency’ involved in requiring ASIO to prepare two warrant applications is unpersuasive. A desire to decrease administrative inefficiency cannot be a legitimate objective for </w:t>
      </w:r>
      <w:proofErr w:type="gramStart"/>
      <w:r w:rsidRPr="00AA1A20">
        <w:rPr>
          <w:rFonts w:cs="Open Sans"/>
        </w:rPr>
        <w:t>laws which</w:t>
      </w:r>
      <w:proofErr w:type="gramEnd"/>
      <w:r w:rsidRPr="00AA1A20">
        <w:rPr>
          <w:rFonts w:cs="Open Sans"/>
        </w:rPr>
        <w:t xml:space="preserve"> so significantly curtail fundamental human rights such as the right to privacy. Further, the fact that ASIO sometimes fails to obtain a telecommunication interception warrant suggests that certain applications may fall below the current legislative test for lawful interception. </w:t>
      </w:r>
    </w:p>
    <w:p w14:paraId="1E099234" w14:textId="05B093D4"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There is nothing in the explanatory document to suggest that the current threshold for interception warrants in the TIA Act is inappropriate given the intrusive nature of the powers these warrants authorise.</w:t>
      </w:r>
    </w:p>
    <w:p w14:paraId="703A8D3C" w14:textId="56EC5C18" w:rsidR="00CE04D1" w:rsidRPr="00AA1A20" w:rsidRDefault="00CE04D1" w:rsidP="00C56853">
      <w:pPr>
        <w:pStyle w:val="ListNumber"/>
        <w:tabs>
          <w:tab w:val="clear" w:pos="360"/>
          <w:tab w:val="num" w:pos="993"/>
          <w:tab w:val="left" w:pos="1418"/>
        </w:tabs>
        <w:ind w:left="709" w:hanging="567"/>
        <w:rPr>
          <w:rFonts w:cs="Open Sans"/>
        </w:rPr>
      </w:pPr>
      <w:proofErr w:type="gramStart"/>
      <w:r w:rsidRPr="00AA1A20">
        <w:rPr>
          <w:rFonts w:cs="Open Sans"/>
        </w:rPr>
        <w:t>The explanatory document states that ‘it is almost always necessary for ASIO to undertake limited interception for the purposes of executing a computer access warrant’,</w:t>
      </w:r>
      <w:r w:rsidRPr="00543C35">
        <w:rPr>
          <w:rStyle w:val="EndnoteReference"/>
          <w:vertAlign w:val="superscript"/>
        </w:rPr>
        <w:endnoteReference w:id="158"/>
      </w:r>
      <w:r w:rsidRPr="00AA1A20">
        <w:rPr>
          <w:rFonts w:cs="Open Sans"/>
        </w:rPr>
        <w:t xml:space="preserve"> but provides no further detail about why this is needed, or the kinds of interceptions that are regularly undertaken or contemplated by ASIO, or why the existing threshold for interception under the ASIO Act is inappropriate.</w:t>
      </w:r>
      <w:proofErr w:type="gramEnd"/>
      <w:r w:rsidRPr="00AA1A20">
        <w:rPr>
          <w:rFonts w:cs="Open Sans"/>
        </w:rPr>
        <w:t xml:space="preserve"> </w:t>
      </w:r>
    </w:p>
    <w:p w14:paraId="1149276B" w14:textId="4D63E5D2" w:rsidR="00CE04D1" w:rsidRPr="00AA1A20" w:rsidRDefault="00CE04D1" w:rsidP="00C56853">
      <w:pPr>
        <w:pStyle w:val="ListNumber"/>
        <w:tabs>
          <w:tab w:val="clear" w:pos="360"/>
          <w:tab w:val="num" w:pos="993"/>
          <w:tab w:val="left" w:pos="1418"/>
        </w:tabs>
        <w:ind w:left="709" w:hanging="567"/>
        <w:rPr>
          <w:rFonts w:cs="Open Sans"/>
        </w:rPr>
      </w:pPr>
      <w:proofErr w:type="gramStart"/>
      <w:r w:rsidRPr="00AA1A20">
        <w:rPr>
          <w:rFonts w:cs="Open Sans"/>
        </w:rPr>
        <w:t xml:space="preserve">While acknowledging that the ancillary interception powers are limited to interception ‘for the purposes of doing </w:t>
      </w:r>
      <w:proofErr w:type="spellStart"/>
      <w:r w:rsidRPr="00AA1A20">
        <w:rPr>
          <w:rFonts w:cs="Open Sans"/>
        </w:rPr>
        <w:t>any thing</w:t>
      </w:r>
      <w:proofErr w:type="spellEnd"/>
      <w:r w:rsidRPr="00AA1A20">
        <w:rPr>
          <w:rFonts w:cs="Open Sans"/>
        </w:rPr>
        <w:t xml:space="preserve"> specified in the warrant’, given the breadth of activities that may be authorised under a computer access warrant, it follows that interception for the purpose of doing ‘</w:t>
      </w:r>
      <w:proofErr w:type="spellStart"/>
      <w:r w:rsidRPr="00AA1A20">
        <w:rPr>
          <w:rFonts w:cs="Open Sans"/>
        </w:rPr>
        <w:t>any thing</w:t>
      </w:r>
      <w:proofErr w:type="spellEnd"/>
      <w:r w:rsidRPr="00AA1A20">
        <w:rPr>
          <w:rFonts w:cs="Open Sans"/>
        </w:rPr>
        <w:t>’ specified in the warrant might also be very broad, and in ways not apparent in the explanatory document.</w:t>
      </w:r>
      <w:proofErr w:type="gramEnd"/>
      <w:r w:rsidRPr="00AA1A20">
        <w:rPr>
          <w:rFonts w:cs="Open Sans"/>
        </w:rPr>
        <w:t xml:space="preserve"> </w:t>
      </w:r>
    </w:p>
    <w:p w14:paraId="3E79E7A6"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For example, under s 25A(4)(</w:t>
      </w:r>
      <w:proofErr w:type="spellStart"/>
      <w:r w:rsidRPr="00AA1A20">
        <w:rPr>
          <w:rFonts w:cs="Open Sans"/>
        </w:rPr>
        <w:t>aaa</w:t>
      </w:r>
      <w:proofErr w:type="spellEnd"/>
      <w:r w:rsidRPr="00AA1A20">
        <w:rPr>
          <w:rFonts w:cs="Open Sans"/>
        </w:rPr>
        <w:t xml:space="preserve">) of the ASIO Act, a computer access warrant can authorise access to a third party property for the purpose of gaining entry to, or exiting, a premises specified in the warrant. Consequently, it appears that the ancillary interception power might authorise the interception of communications passing over a telecommunications system involving the occupiers of the third party property, if such interception is </w:t>
      </w:r>
      <w:proofErr w:type="gramStart"/>
      <w:r w:rsidRPr="00AA1A20">
        <w:rPr>
          <w:rFonts w:cs="Open Sans"/>
        </w:rPr>
        <w:t>for the purpose of</w:t>
      </w:r>
      <w:proofErr w:type="gramEnd"/>
      <w:r w:rsidRPr="00AA1A20">
        <w:rPr>
          <w:rFonts w:cs="Open Sans"/>
        </w:rPr>
        <w:t xml:space="preserve"> gaining access to that third party property so as to enter the specified property to execute the warrant. Clearly, such an exercise of the ancillary interception power would significantly </w:t>
      </w:r>
      <w:proofErr w:type="gramStart"/>
      <w:r w:rsidRPr="00AA1A20">
        <w:rPr>
          <w:rFonts w:cs="Open Sans"/>
        </w:rPr>
        <w:t>impact</w:t>
      </w:r>
      <w:proofErr w:type="gramEnd"/>
      <w:r w:rsidRPr="00AA1A20">
        <w:rPr>
          <w:rFonts w:cs="Open Sans"/>
        </w:rPr>
        <w:t xml:space="preserve"> upon the human rights of innocent third parties. </w:t>
      </w:r>
    </w:p>
    <w:p w14:paraId="65B8927C" w14:textId="292404B4" w:rsidR="00CE04D1" w:rsidRPr="00AA1A20" w:rsidRDefault="00CE04D1" w:rsidP="00C56853">
      <w:pPr>
        <w:pStyle w:val="ListNumber"/>
        <w:tabs>
          <w:tab w:val="clear" w:pos="360"/>
          <w:tab w:val="num" w:pos="993"/>
          <w:tab w:val="left" w:pos="1418"/>
        </w:tabs>
        <w:ind w:left="709" w:hanging="567"/>
        <w:rPr>
          <w:rFonts w:cs="Open Sans"/>
        </w:rPr>
      </w:pPr>
      <w:proofErr w:type="gramStart"/>
      <w:r w:rsidRPr="00AA1A20">
        <w:rPr>
          <w:rFonts w:cs="Open Sans"/>
        </w:rPr>
        <w:t>While the Commission acknowledges that it is not aware of all the technical and operational requirements needed by ASIO or law enforcement agencies to execute computer access warrants in a variety of different circumstances, it is concerned about the potential breadth of the interception powers that the draft Bill would make available under the warrant regimes in the SD Act and the ASIO Act.</w:t>
      </w:r>
      <w:proofErr w:type="gramEnd"/>
      <w:r w:rsidRPr="00AA1A20">
        <w:rPr>
          <w:rFonts w:cs="Open Sans"/>
        </w:rPr>
        <w:t xml:space="preserve"> This is particularly the </w:t>
      </w:r>
      <w:r w:rsidRPr="00AA1A20">
        <w:rPr>
          <w:rFonts w:cs="Open Sans"/>
        </w:rPr>
        <w:lastRenderedPageBreak/>
        <w:t xml:space="preserve">case given that ancillary interception powers have also been included in the ‘concealment of access’ provisions discussed above which presently extend beyond the expiry of a warrant. </w:t>
      </w:r>
    </w:p>
    <w:p w14:paraId="74D88E50" w14:textId="1A65E99F" w:rsidR="00CE04D1" w:rsidRPr="00AA1A20" w:rsidRDefault="00CE04D1" w:rsidP="00C56853">
      <w:pPr>
        <w:pStyle w:val="ListNumber"/>
        <w:tabs>
          <w:tab w:val="clear" w:pos="360"/>
          <w:tab w:val="num" w:pos="993"/>
          <w:tab w:val="left" w:pos="1418"/>
        </w:tabs>
        <w:ind w:left="709" w:hanging="567"/>
        <w:rPr>
          <w:rFonts w:cs="Open Sans"/>
        </w:rPr>
      </w:pPr>
      <w:proofErr w:type="gramStart"/>
      <w:r w:rsidRPr="00AA1A20">
        <w:rPr>
          <w:rFonts w:cs="Open Sans"/>
        </w:rPr>
        <w:t>In the absence of any persuasive explanation of why the ancillary interception powers are said to be needed—and in the absence of legislative drafting that is sufficiently precise to ensure that the intrusions on privacy authorised by the expanded warrant powers are in all cases reasonable and proportionate, the Commission considers that the limitations on privacy entailed by the expansion of the computer warrant powers contemplated by proposed ss 25A(4)(</w:t>
      </w:r>
      <w:proofErr w:type="spellStart"/>
      <w:r w:rsidRPr="00AA1A20">
        <w:rPr>
          <w:rFonts w:cs="Open Sans"/>
        </w:rPr>
        <w:t>ba</w:t>
      </w:r>
      <w:proofErr w:type="spellEnd"/>
      <w:r w:rsidRPr="00AA1A20">
        <w:rPr>
          <w:rFonts w:cs="Open Sans"/>
        </w:rPr>
        <w:t>), 25A(8)(h), 27A(3C)(h), 27E2(</w:t>
      </w:r>
      <w:proofErr w:type="spellStart"/>
      <w:r w:rsidRPr="00AA1A20">
        <w:rPr>
          <w:rFonts w:cs="Open Sans"/>
        </w:rPr>
        <w:t>ea</w:t>
      </w:r>
      <w:proofErr w:type="spellEnd"/>
      <w:r w:rsidRPr="00AA1A20">
        <w:rPr>
          <w:rFonts w:cs="Open Sans"/>
        </w:rPr>
        <w:t>), 27E(6)(h) of the ASIO Act and proposed ss 27E(2)(h) and 27E(7)(h) of the SD Act have not been demonstrated to be necessary and proportionate to achieve a legitimate objective.</w:t>
      </w:r>
      <w:proofErr w:type="gramEnd"/>
    </w:p>
    <w:p w14:paraId="32D88927"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585AA5A5" w14:textId="77777777" w:rsidR="00CE04D1" w:rsidRPr="00AA1A20" w:rsidRDefault="00CE04D1" w:rsidP="00126CA2">
      <w:pPr>
        <w:pStyle w:val="ListNumber"/>
        <w:numPr>
          <w:ilvl w:val="0"/>
          <w:numId w:val="0"/>
        </w:numPr>
        <w:ind w:left="720"/>
        <w:rPr>
          <w:rFonts w:cs="Open Sans"/>
          <w:b/>
        </w:rPr>
      </w:pPr>
      <w:r w:rsidRPr="00AA1A20">
        <w:rPr>
          <w:rFonts w:cs="Open Sans"/>
          <w:b/>
        </w:rPr>
        <w:t>Recommendation 37</w:t>
      </w:r>
    </w:p>
    <w:p w14:paraId="38125AD6" w14:textId="6FB15374" w:rsidR="00CE04D1" w:rsidRPr="00AA1A20" w:rsidRDefault="00CE04D1" w:rsidP="00126CA2">
      <w:pPr>
        <w:pStyle w:val="ListNumber"/>
        <w:numPr>
          <w:ilvl w:val="0"/>
          <w:numId w:val="0"/>
        </w:numPr>
        <w:ind w:left="720"/>
        <w:rPr>
          <w:rFonts w:cs="Open Sans"/>
        </w:rPr>
      </w:pPr>
      <w:r w:rsidRPr="00AA1A20">
        <w:rPr>
          <w:rFonts w:cs="Open Sans"/>
        </w:rPr>
        <w:t>Proposed ss 25A(4)(</w:t>
      </w:r>
      <w:proofErr w:type="spellStart"/>
      <w:r w:rsidRPr="00AA1A20">
        <w:rPr>
          <w:rFonts w:cs="Open Sans"/>
        </w:rPr>
        <w:t>ba</w:t>
      </w:r>
      <w:proofErr w:type="spellEnd"/>
      <w:r w:rsidRPr="00AA1A20">
        <w:rPr>
          <w:rFonts w:cs="Open Sans"/>
        </w:rPr>
        <w:t>), 25A(8)(h), 27A(3C)(h), 27E2(</w:t>
      </w:r>
      <w:proofErr w:type="spellStart"/>
      <w:r w:rsidRPr="00AA1A20">
        <w:rPr>
          <w:rFonts w:cs="Open Sans"/>
        </w:rPr>
        <w:t>ea</w:t>
      </w:r>
      <w:proofErr w:type="spellEnd"/>
      <w:r w:rsidRPr="00AA1A20">
        <w:rPr>
          <w:rFonts w:cs="Open Sans"/>
        </w:rPr>
        <w:t xml:space="preserve">), 27E(6)(h) of the </w:t>
      </w:r>
      <w:r w:rsidRPr="00AA1A20">
        <w:rPr>
          <w:rFonts w:cs="Open Sans"/>
          <w:i/>
        </w:rPr>
        <w:t xml:space="preserve">Australian Security Intelligence Organisation Act 1979 </w:t>
      </w:r>
      <w:r w:rsidRPr="00AA1A20">
        <w:rPr>
          <w:rFonts w:cs="Open Sans"/>
        </w:rPr>
        <w:t>(Cth)</w:t>
      </w:r>
      <w:r w:rsidR="002B4C33">
        <w:rPr>
          <w:rFonts w:cs="Open Sans"/>
        </w:rPr>
        <w:t xml:space="preserve"> and proposed ss </w:t>
      </w:r>
      <w:r w:rsidRPr="00AA1A20">
        <w:rPr>
          <w:rFonts w:cs="Open Sans"/>
        </w:rPr>
        <w:t xml:space="preserve">27E(2)(h) and 27E(7)(h) of the </w:t>
      </w:r>
      <w:r w:rsidRPr="00AA1A20">
        <w:rPr>
          <w:rFonts w:cs="Open Sans"/>
          <w:i/>
        </w:rPr>
        <w:t xml:space="preserve">Surveillance Devices Act 2004 </w:t>
      </w:r>
      <w:r w:rsidRPr="00AA1A20">
        <w:rPr>
          <w:rFonts w:cs="Open Sans"/>
        </w:rPr>
        <w:t xml:space="preserve">(Cth) be amended to permit only necessary, reasonable and proportionate ancillary interception powers. </w:t>
      </w:r>
    </w:p>
    <w:p w14:paraId="33338A07" w14:textId="77777777" w:rsidR="00CE04D1" w:rsidRPr="00AA1A20" w:rsidRDefault="00CE04D1" w:rsidP="00C56853">
      <w:pPr>
        <w:pStyle w:val="Heading2"/>
        <w:rPr>
          <w:rFonts w:cs="Open Sans"/>
        </w:rPr>
      </w:pPr>
      <w:bookmarkStart w:id="99" w:name="_Toc524352520"/>
      <w:r w:rsidRPr="00AA1A20">
        <w:rPr>
          <w:rFonts w:cs="Open Sans"/>
        </w:rPr>
        <w:t>Assistance orders</w:t>
      </w:r>
      <w:bookmarkEnd w:id="99"/>
    </w:p>
    <w:p w14:paraId="5B42F08E"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draft Bill proposes to insert provisions into the SD Act and the ASIO Act that would allow law enforcement agencies and ASIO to apply for ‘assistance orders’ relating to computer access.</w:t>
      </w:r>
      <w:r w:rsidRPr="002B4C33">
        <w:rPr>
          <w:rStyle w:val="EndnoteReference"/>
          <w:vertAlign w:val="superscript"/>
        </w:rPr>
        <w:endnoteReference w:id="159"/>
      </w:r>
      <w:r w:rsidRPr="00AA1A20">
        <w:rPr>
          <w:rFonts w:cs="Open Sans"/>
        </w:rPr>
        <w:t xml:space="preserve"> Similar assistance order provisions already exist in the Crimes Act and the Customs Act.</w:t>
      </w:r>
      <w:r w:rsidRPr="002B4C33">
        <w:rPr>
          <w:rStyle w:val="EndnoteReference"/>
          <w:vertAlign w:val="superscript"/>
        </w:rPr>
        <w:endnoteReference w:id="160"/>
      </w:r>
      <w:r w:rsidRPr="00AA1A20">
        <w:rPr>
          <w:rFonts w:cs="Open Sans"/>
        </w:rPr>
        <w:t xml:space="preserve"> </w:t>
      </w:r>
    </w:p>
    <w:p w14:paraId="32135266" w14:textId="0B995395"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explanatory document states that the kinds of assistance contemplated by assistance orders include compelling a target or a target’s associate to provide the password, pin code, sequence or fingerprint necessary to unlock a phone, assisting with the examination of an electronic database or using relevant software to assist in obtaining a copy of particular records or files.</w:t>
      </w:r>
      <w:r w:rsidRPr="002B4C33">
        <w:rPr>
          <w:rStyle w:val="EndnoteReference"/>
          <w:vertAlign w:val="superscript"/>
        </w:rPr>
        <w:endnoteReference w:id="161"/>
      </w:r>
      <w:r w:rsidRPr="00AA1A20">
        <w:rPr>
          <w:rFonts w:cs="Open Sans"/>
        </w:rPr>
        <w:t xml:space="preserve"> </w:t>
      </w:r>
    </w:p>
    <w:p w14:paraId="2A4CF297" w14:textId="4E3A6DE9"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Under the SD Act, law enforcement agencies would be able to apply to an eligible Judge or a nominated AAT member for an assistance order. This assistance order could require a specified person to provide any information that is ‘reasonable and necessary’ to allow law enforcement to access, copy, convert or make intelligible, data subject to a computer access warrant or emergency authorisation. These orders can only attach to people who have relevant knowledge of the computer or device or the </w:t>
      </w:r>
      <w:r w:rsidRPr="00AA1A20">
        <w:rPr>
          <w:rFonts w:cs="Open Sans"/>
        </w:rPr>
        <w:lastRenderedPageBreak/>
        <w:t xml:space="preserve">measures applied to protect the data. Such persons can include someone reasonably suspected of having committed any of the offences to which the warrant relates, as well as, among others, owners and lessees of the relevant devices, system administrators and people who have used the devices. The penalty for not complying with an assistance order under the proposed s 64A of the SD Act is a maximum of ten years of imprisonment. </w:t>
      </w:r>
    </w:p>
    <w:p w14:paraId="65035508" w14:textId="1DEEC9C4"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proposed new s 34AAA of the ASIO Act provides that the Director-General may request the Attorney-General to make an order requiring a specified person to do anything that is reasonable and necessary to allow ASIO to access, copy, convert or make intelligible, data subject to warrants under the ASIO Act. This would enable ASIO to compel those who are able to provide it with knowledge or assistance on how to access data on computer networks and devices subject to warrants to do so. Punishment for failure to comply with an assistance order would be imprisonment for five years or 300 penalty units, or both. </w:t>
      </w:r>
    </w:p>
    <w:p w14:paraId="4BE20D5D" w14:textId="36645D42"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Significantly, unlike the assistance orders made under the SD Act, the Crimes Act and the Customs Act (which are issued by eligible judicial officers or nominated AAT members) the assistance orders issued under the ASIO Act are issued by the Attorney-General and do not appear to be subject to judicial or independent oversight.  </w:t>
      </w:r>
    </w:p>
    <w:p w14:paraId="3A27937C"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draft Bill also seeks to increase the penalties associated with failure to comply with the existing assistance order provisions in the Crimes Act and the Customs Act.</w:t>
      </w:r>
      <w:r w:rsidRPr="002B4C33">
        <w:rPr>
          <w:rStyle w:val="EndnoteReference"/>
          <w:vertAlign w:val="superscript"/>
        </w:rPr>
        <w:endnoteReference w:id="162"/>
      </w:r>
      <w:r w:rsidRPr="002B4C33">
        <w:rPr>
          <w:rFonts w:cs="Open Sans"/>
          <w:vertAlign w:val="superscript"/>
        </w:rPr>
        <w:t xml:space="preserve"> </w:t>
      </w:r>
    </w:p>
    <w:p w14:paraId="1B51C8B3" w14:textId="391951EA"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amendments would divide the existing offence for failing to comply with an assistance order under s 3LA of the Crimes Act into two: a simple offence and an aggravated offence. If the assistance order relates to an investigation into a ‘serious crime’, then a person </w:t>
      </w:r>
      <w:proofErr w:type="gramStart"/>
      <w:r w:rsidRPr="00AA1A20">
        <w:rPr>
          <w:rFonts w:cs="Open Sans"/>
        </w:rPr>
        <w:t>can be charged</w:t>
      </w:r>
      <w:proofErr w:type="gramEnd"/>
      <w:r w:rsidRPr="00AA1A20">
        <w:rPr>
          <w:rFonts w:cs="Open Sans"/>
        </w:rPr>
        <w:t xml:space="preserve"> with the aggravated offence. A ‘serious offence’ </w:t>
      </w:r>
      <w:proofErr w:type="gramStart"/>
      <w:r w:rsidRPr="00AA1A20">
        <w:rPr>
          <w:rFonts w:cs="Open Sans"/>
        </w:rPr>
        <w:t>is defined</w:t>
      </w:r>
      <w:proofErr w:type="gramEnd"/>
      <w:r w:rsidRPr="00AA1A20">
        <w:rPr>
          <w:rFonts w:cs="Open Sans"/>
        </w:rPr>
        <w:t xml:space="preserve"> in the Crimes Act as one that is punishable on conviction for a period of two years or more.  The draft Bill would also increase the penalty for failing to comply with an assistance order from two years imprisonment to five years imprisonment or 300 penalty units (or both) for a simple offence or ten years imprisonment or 600 penalty units (or both) for a serious offence or a serious terrorism offence. </w:t>
      </w:r>
    </w:p>
    <w:p w14:paraId="2B8D4DE6" w14:textId="7420FA25"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draft Bill also seeks to make changes to the assistance order provision in the Customs Act</w:t>
      </w:r>
      <w:r w:rsidRPr="00AA1A20">
        <w:rPr>
          <w:rFonts w:cs="Open Sans"/>
          <w:i/>
        </w:rPr>
        <w:t xml:space="preserve"> </w:t>
      </w:r>
      <w:r w:rsidRPr="00AA1A20">
        <w:rPr>
          <w:rFonts w:cs="Open Sans"/>
        </w:rPr>
        <w:t xml:space="preserve">by creating a similar bifurcated offence for failure to comply with an assistance order issued by a magistrate under s 201A of the Customs Act. If the assistance order relates to an investigation into a ‘serious crime’, then a person who fails to comply with an assistance order </w:t>
      </w:r>
      <w:proofErr w:type="gramStart"/>
      <w:r w:rsidRPr="00AA1A20">
        <w:rPr>
          <w:rFonts w:cs="Open Sans"/>
        </w:rPr>
        <w:t>can be charged</w:t>
      </w:r>
      <w:proofErr w:type="gramEnd"/>
      <w:r w:rsidRPr="00AA1A20">
        <w:rPr>
          <w:rFonts w:cs="Open Sans"/>
        </w:rPr>
        <w:t xml:space="preserve"> with the aggravated offence. ‘Serious offence’ </w:t>
      </w:r>
      <w:proofErr w:type="gramStart"/>
      <w:r w:rsidRPr="00AA1A20">
        <w:rPr>
          <w:rFonts w:cs="Open Sans"/>
        </w:rPr>
        <w:t xml:space="preserve">would be </w:t>
      </w:r>
      <w:r w:rsidRPr="00AA1A20">
        <w:rPr>
          <w:rFonts w:cs="Open Sans"/>
        </w:rPr>
        <w:lastRenderedPageBreak/>
        <w:t>defined</w:t>
      </w:r>
      <w:proofErr w:type="gramEnd"/>
      <w:r w:rsidRPr="00AA1A20">
        <w:rPr>
          <w:rFonts w:cs="Open Sans"/>
        </w:rPr>
        <w:t xml:space="preserve"> as having the same meaning as in the Crimes Act—one that is punishable on conviction for a period of two years or more. The penalties would also increase from the present six months imprisonment to five years imprisonment or 300 penalty units (or both) for a simple offence or ten years imprisonment or 600 penalty units (or both) for a serious offence. </w:t>
      </w:r>
    </w:p>
    <w:p w14:paraId="66F24658" w14:textId="77777777" w:rsidR="00CE04D1" w:rsidRPr="00AA1A20" w:rsidRDefault="00CE04D1" w:rsidP="00C56853">
      <w:pPr>
        <w:pStyle w:val="Heading3"/>
        <w:rPr>
          <w:rFonts w:cs="Open Sans"/>
          <w:i/>
        </w:rPr>
      </w:pPr>
      <w:bookmarkStart w:id="100" w:name="_Toc524352521"/>
      <w:r w:rsidRPr="00AA1A20">
        <w:rPr>
          <w:rFonts w:cs="Open Sans"/>
          <w:i/>
        </w:rPr>
        <w:t>Disproportionality of increased penalty provisions</w:t>
      </w:r>
      <w:bookmarkEnd w:id="100"/>
    </w:p>
    <w:p w14:paraId="77819D58"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As is apparent from the discussion above, the draft Bill seeks to increase significantly the penalty provisions and the maximum terms of imprisonment for failing to comply with an assistance order across numerous pieces of federal legislation. </w:t>
      </w:r>
    </w:p>
    <w:p w14:paraId="427E3114" w14:textId="705BB450"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In general terms, the explanatory document claims that the changes are necessary because the current penalties are of insufficient gravity to ‘incentivise compliance’ with an assistance order.</w:t>
      </w:r>
      <w:r w:rsidRPr="002B4C33">
        <w:rPr>
          <w:rStyle w:val="EndnoteReference"/>
          <w:vertAlign w:val="superscript"/>
        </w:rPr>
        <w:endnoteReference w:id="163"/>
      </w:r>
      <w:r w:rsidRPr="00AA1A20">
        <w:rPr>
          <w:rFonts w:cs="Open Sans"/>
        </w:rPr>
        <w:t xml:space="preserve"> The Commission considers that this does not sufficiently justify such a substantial increase in the penalty provisions. If the amendments to the Customs Act proposed by the draft Bill </w:t>
      </w:r>
      <w:proofErr w:type="gramStart"/>
      <w:r w:rsidRPr="00AA1A20">
        <w:rPr>
          <w:rFonts w:cs="Open Sans"/>
        </w:rPr>
        <w:t>are</w:t>
      </w:r>
      <w:proofErr w:type="gramEnd"/>
      <w:r w:rsidRPr="00AA1A20">
        <w:rPr>
          <w:rFonts w:cs="Open Sans"/>
        </w:rPr>
        <w:t xml:space="preserve"> passed, for example, the maximum term of imprisonment for failing to comply with an assistance order would increase from the present six months to ten years imprisonment. Viewed within the context of the relevant legislative schemes, the Commission is concerned that these new penalty provisions have the potential to result in criminal sentences that are disproportionate to the gravity of any offence committed. </w:t>
      </w:r>
    </w:p>
    <w:p w14:paraId="7E2DACB2" w14:textId="3E9EEDFA"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Failure to comply with an assistance order relating to an investigation involving a ‘serious offence’ under the Crimes Act will be punishable by up to ten years imprisonment. However, a ‘serious offence’ under the Crimes Act is one that is punishable on conviction by two </w:t>
      </w:r>
      <w:proofErr w:type="spellStart"/>
      <w:r w:rsidRPr="00AA1A20">
        <w:rPr>
          <w:rFonts w:cs="Open Sans"/>
        </w:rPr>
        <w:t>years</w:t>
      </w:r>
      <w:proofErr w:type="spellEnd"/>
      <w:r w:rsidRPr="00AA1A20">
        <w:rPr>
          <w:rFonts w:cs="Open Sans"/>
        </w:rPr>
        <w:t xml:space="preserve"> imprisonment or more. This means that a person </w:t>
      </w:r>
      <w:proofErr w:type="gramStart"/>
      <w:r w:rsidRPr="00AA1A20">
        <w:rPr>
          <w:rFonts w:cs="Open Sans"/>
        </w:rPr>
        <w:t>could be exposed</w:t>
      </w:r>
      <w:proofErr w:type="gramEnd"/>
      <w:r w:rsidRPr="00AA1A20">
        <w:rPr>
          <w:rFonts w:cs="Open Sans"/>
        </w:rPr>
        <w:t xml:space="preserve"> to a sentence of ten years imprisonment for failing to cooperate with an investigation where the principal offence being investigated would itself only attract a sentence of two years imprisonment. This means that the commission of an offence </w:t>
      </w:r>
      <w:proofErr w:type="gramStart"/>
      <w:r w:rsidRPr="00AA1A20">
        <w:rPr>
          <w:rFonts w:cs="Open Sans"/>
        </w:rPr>
        <w:t>could be punished</w:t>
      </w:r>
      <w:proofErr w:type="gramEnd"/>
      <w:r w:rsidRPr="00AA1A20">
        <w:rPr>
          <w:rFonts w:cs="Open Sans"/>
        </w:rPr>
        <w:t xml:space="preserve"> less severely than a failure to assist law enforcement agencies in investigating that same offence. Additionally, it appears that a person </w:t>
      </w:r>
      <w:proofErr w:type="gramStart"/>
      <w:r w:rsidRPr="00AA1A20">
        <w:rPr>
          <w:rFonts w:cs="Open Sans"/>
        </w:rPr>
        <w:t>could potentially be prosecuted</w:t>
      </w:r>
      <w:proofErr w:type="gramEnd"/>
      <w:r w:rsidRPr="00AA1A20">
        <w:rPr>
          <w:rFonts w:cs="Open Sans"/>
        </w:rPr>
        <w:t xml:space="preserve"> for an offence relating to breach of an assistance order even if the underlying criminal investigation ceased or resulted in an acquittal. </w:t>
      </w:r>
    </w:p>
    <w:p w14:paraId="3947201A" w14:textId="3676D0AA" w:rsidR="00CE04D1" w:rsidRPr="00AA1A20" w:rsidRDefault="00CE04D1" w:rsidP="00C56853">
      <w:pPr>
        <w:pStyle w:val="ListNumber"/>
        <w:tabs>
          <w:tab w:val="clear" w:pos="360"/>
          <w:tab w:val="num" w:pos="993"/>
          <w:tab w:val="left" w:pos="1418"/>
        </w:tabs>
        <w:ind w:left="709" w:hanging="567"/>
        <w:rPr>
          <w:rFonts w:cs="Open Sans"/>
          <w:lang w:val="en-GB"/>
        </w:rPr>
      </w:pPr>
      <w:r w:rsidRPr="00AA1A20">
        <w:rPr>
          <w:rFonts w:cs="Open Sans"/>
        </w:rPr>
        <w:t xml:space="preserve">Article 9(1) of the ICCPR provides that no person shall be deprived of </w:t>
      </w:r>
      <w:proofErr w:type="gramStart"/>
      <w:r w:rsidRPr="00AA1A20">
        <w:rPr>
          <w:rFonts w:cs="Open Sans"/>
        </w:rPr>
        <w:t>their</w:t>
      </w:r>
      <w:proofErr w:type="gramEnd"/>
      <w:r w:rsidRPr="00AA1A20">
        <w:rPr>
          <w:rFonts w:cs="Open Sans"/>
        </w:rPr>
        <w:t xml:space="preserve"> liberty unlawfully or arbitrarily. </w:t>
      </w:r>
      <w:r w:rsidRPr="00AA1A20">
        <w:rPr>
          <w:rFonts w:cs="Open Sans"/>
          <w:lang w:val="en-GB"/>
        </w:rPr>
        <w:t xml:space="preserve">The UN </w:t>
      </w:r>
      <w:r w:rsidR="006D233E">
        <w:rPr>
          <w:rFonts w:cs="Open Sans"/>
          <w:lang w:val="en-GB"/>
        </w:rPr>
        <w:t>HR</w:t>
      </w:r>
      <w:r w:rsidRPr="00AA1A20">
        <w:rPr>
          <w:rFonts w:cs="Open Sans"/>
          <w:lang w:val="en-GB"/>
        </w:rPr>
        <w:t xml:space="preserve"> Committee has stated that ‘arbitrariness’ must not be equated with ‘against the law’ but be </w:t>
      </w:r>
      <w:r w:rsidRPr="00AA1A20">
        <w:rPr>
          <w:rFonts w:cs="Open Sans"/>
          <w:lang w:val="en-GB"/>
        </w:rPr>
        <w:lastRenderedPageBreak/>
        <w:t>interpreted more broadly to include such elements as inappropriateness and injustice.</w:t>
      </w:r>
      <w:r w:rsidRPr="002B4C33">
        <w:rPr>
          <w:rStyle w:val="EndnoteReference"/>
          <w:vertAlign w:val="superscript"/>
          <w:lang w:val="en-GB"/>
        </w:rPr>
        <w:endnoteReference w:id="164"/>
      </w:r>
      <w:r w:rsidRPr="00AA1A20">
        <w:rPr>
          <w:rFonts w:cs="Open Sans"/>
          <w:lang w:val="en-GB"/>
        </w:rPr>
        <w:t xml:space="preserve"> Imprisonment or </w:t>
      </w:r>
      <w:r w:rsidRPr="00AA1A20">
        <w:rPr>
          <w:rFonts w:cs="Open Sans"/>
        </w:rPr>
        <w:t>a disproportionate sentence of imprisonment for a minor offence can amount to a violation of the prohibition of arbitrary arrest and detention because any deprivation of liberty provided for by law must not be disproportionate, unjust or unpredictable.</w:t>
      </w:r>
      <w:r w:rsidRPr="002B4C33">
        <w:rPr>
          <w:rStyle w:val="EndnoteReference"/>
          <w:vertAlign w:val="superscript"/>
        </w:rPr>
        <w:endnoteReference w:id="165"/>
      </w:r>
      <w:r w:rsidRPr="00AA1A20">
        <w:rPr>
          <w:rFonts w:cs="Open Sans"/>
        </w:rPr>
        <w:t xml:space="preserve"> </w:t>
      </w:r>
    </w:p>
    <w:p w14:paraId="78A74D99" w14:textId="77777777" w:rsidR="00CE04D1" w:rsidRPr="00AA1A20" w:rsidRDefault="00CE04D1" w:rsidP="00C56853">
      <w:pPr>
        <w:pStyle w:val="ListNumber"/>
        <w:tabs>
          <w:tab w:val="clear" w:pos="360"/>
          <w:tab w:val="clear" w:pos="1134"/>
          <w:tab w:val="num" w:pos="502"/>
        </w:tabs>
        <w:spacing w:before="240" w:after="240"/>
        <w:ind w:left="709" w:hanging="567"/>
        <w:rPr>
          <w:rFonts w:cs="Open Sans"/>
        </w:rPr>
      </w:pPr>
      <w:r w:rsidRPr="00AA1A20">
        <w:rPr>
          <w:rFonts w:cs="Open Sans"/>
        </w:rPr>
        <w:t>In some cases, imprisonment or a disproportionate sentence of imprisonment for a trivial offence can also amount to cruel, inhuman or degrading treatment or punishment under article 7 of the ICCPR.</w:t>
      </w:r>
      <w:r w:rsidRPr="002B4C33">
        <w:rPr>
          <w:rStyle w:val="EndnoteReference"/>
          <w:vertAlign w:val="superscript"/>
        </w:rPr>
        <w:endnoteReference w:id="166"/>
      </w:r>
      <w:r w:rsidRPr="00AA1A20">
        <w:rPr>
          <w:rFonts w:cs="Open Sans"/>
        </w:rPr>
        <w:t xml:space="preserve"> </w:t>
      </w:r>
    </w:p>
    <w:p w14:paraId="1402B1B8"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Commission recognises that the courts retain discretion in sentencing for </w:t>
      </w:r>
      <w:proofErr w:type="gramStart"/>
      <w:r w:rsidRPr="00AA1A20">
        <w:rPr>
          <w:rFonts w:cs="Open Sans"/>
        </w:rPr>
        <w:t>offences involving breach of assistance orders and that this could potentially mitigate the harsh effect of the legislative change</w:t>
      </w:r>
      <w:proofErr w:type="gramEnd"/>
      <w:r w:rsidRPr="00AA1A20">
        <w:rPr>
          <w:rFonts w:cs="Open Sans"/>
        </w:rPr>
        <w:t xml:space="preserve">. However, this curial discretion is limited, and a court will have regard to the maximum sentence in determining the length of sentence. </w:t>
      </w:r>
    </w:p>
    <w:p w14:paraId="4558E3B6" w14:textId="319775F9"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In any event, the Commission does not consider that the need to ‘incentivise compliance’ properly justifies the introduction of grossly increased penalty provisions which, when viewed within the legislative context, might allow for criminal sentences that are disproportionate to the gravity of any offence committed. </w:t>
      </w:r>
    </w:p>
    <w:p w14:paraId="7E24A424" w14:textId="7591CB69" w:rsidR="00CE04D1" w:rsidRPr="00AA1A20" w:rsidRDefault="00CE04D1" w:rsidP="00FA789B">
      <w:pPr>
        <w:pStyle w:val="ListNumber"/>
        <w:tabs>
          <w:tab w:val="clear" w:pos="360"/>
          <w:tab w:val="num" w:pos="993"/>
          <w:tab w:val="left" w:pos="1418"/>
        </w:tabs>
        <w:ind w:left="709" w:hanging="567"/>
        <w:rPr>
          <w:rFonts w:cs="Open Sans"/>
        </w:rPr>
      </w:pPr>
      <w:proofErr w:type="gramStart"/>
      <w:r w:rsidRPr="00AA1A20">
        <w:rPr>
          <w:rFonts w:cs="Open Sans"/>
        </w:rPr>
        <w:t>The Commission considers that a maximum sentence of ten years imprisonment for failing to comply with an assistance order could only conceivably be justified in relation to investigation of the most serious offences, and when other aggravating circumstances are present, such as a failure to comply with an assistance order relating to an investigation into an inchoate offence which involves a suspected imminent and catastrophic threat to the public.</w:t>
      </w:r>
      <w:proofErr w:type="gramEnd"/>
      <w:r w:rsidRPr="00AA1A20">
        <w:rPr>
          <w:rFonts w:cs="Open Sans"/>
        </w:rPr>
        <w:t xml:space="preserve"> </w:t>
      </w:r>
    </w:p>
    <w:p w14:paraId="7806D273" w14:textId="77777777" w:rsidR="00CE04D1" w:rsidRPr="00AA1A20" w:rsidRDefault="00CE04D1" w:rsidP="007539FC">
      <w:pPr>
        <w:pStyle w:val="ListNumber"/>
        <w:numPr>
          <w:ilvl w:val="0"/>
          <w:numId w:val="0"/>
        </w:numPr>
        <w:ind w:left="720"/>
        <w:rPr>
          <w:rFonts w:cs="Open Sans"/>
          <w:b/>
        </w:rPr>
      </w:pPr>
      <w:r w:rsidRPr="00AA1A20">
        <w:rPr>
          <w:rFonts w:cs="Open Sans"/>
          <w:b/>
        </w:rPr>
        <w:t>Recommendation 38</w:t>
      </w:r>
    </w:p>
    <w:p w14:paraId="5EB9EFEA" w14:textId="78CD4537" w:rsidR="00CE04D1" w:rsidRPr="00AA1A20" w:rsidRDefault="00CE04D1" w:rsidP="007539FC">
      <w:pPr>
        <w:pStyle w:val="ListNumber"/>
        <w:numPr>
          <w:ilvl w:val="0"/>
          <w:numId w:val="0"/>
        </w:numPr>
        <w:ind w:left="720"/>
        <w:rPr>
          <w:rFonts w:cs="Open Sans"/>
        </w:rPr>
      </w:pPr>
      <w:proofErr w:type="gramStart"/>
      <w:r w:rsidRPr="00AA1A20">
        <w:rPr>
          <w:rFonts w:cs="Open Sans"/>
        </w:rPr>
        <w:t>Serious consideration be given</w:t>
      </w:r>
      <w:proofErr w:type="gramEnd"/>
      <w:r w:rsidRPr="00AA1A20">
        <w:rPr>
          <w:rFonts w:cs="Open Sans"/>
        </w:rPr>
        <w:t xml:space="preserve"> to the proportionality of the substantially increased penalty provisions in the draft Bill. A maximum sentence of ten years imprisonment for failing to comply with an assistance order should only attach to the investigation of the most serious offences and in the presence of other defined aggravating circumstances. </w:t>
      </w:r>
    </w:p>
    <w:p w14:paraId="1E35C125" w14:textId="77777777" w:rsidR="00CE04D1" w:rsidRPr="00AA1A20" w:rsidRDefault="00CE04D1" w:rsidP="00C56853">
      <w:pPr>
        <w:pStyle w:val="Heading3"/>
        <w:rPr>
          <w:rFonts w:cs="Open Sans"/>
          <w:i/>
        </w:rPr>
      </w:pPr>
      <w:bookmarkStart w:id="101" w:name="_Toc524352522"/>
      <w:r w:rsidRPr="00AA1A20">
        <w:rPr>
          <w:rFonts w:cs="Open Sans"/>
          <w:i/>
        </w:rPr>
        <w:t>Privilege against self-incrimination</w:t>
      </w:r>
      <w:bookmarkEnd w:id="101"/>
    </w:p>
    <w:p w14:paraId="0F3F79D1" w14:textId="77777777" w:rsidR="00CE04D1" w:rsidRPr="00AA1A20" w:rsidRDefault="00CE04D1" w:rsidP="00C56853">
      <w:pPr>
        <w:pStyle w:val="ListNumber"/>
        <w:tabs>
          <w:tab w:val="clear" w:pos="360"/>
          <w:tab w:val="num" w:pos="993"/>
          <w:tab w:val="left" w:pos="1418"/>
        </w:tabs>
        <w:ind w:left="709" w:hanging="567"/>
        <w:rPr>
          <w:rFonts w:cs="Open Sans"/>
        </w:rPr>
      </w:pPr>
      <w:proofErr w:type="gramStart"/>
      <w:r w:rsidRPr="00AA1A20">
        <w:rPr>
          <w:rFonts w:cs="Open Sans"/>
        </w:rPr>
        <w:t>The UN Special Rapporteur on the promotion and protection of the right to freedom of opinion and expression has discussed how encryption is necessary for the exercise of the right to freedom of opinion and expression in the digital age,</w:t>
      </w:r>
      <w:r w:rsidRPr="002B4C33">
        <w:rPr>
          <w:rStyle w:val="EndnoteReference"/>
          <w:vertAlign w:val="superscript"/>
        </w:rPr>
        <w:endnoteReference w:id="167"/>
      </w:r>
      <w:r w:rsidRPr="00AA1A20">
        <w:rPr>
          <w:rFonts w:cs="Open Sans"/>
        </w:rPr>
        <w:t xml:space="preserve"> and stated that court-ordered decryption </w:t>
      </w:r>
      <w:r w:rsidRPr="00AA1A20">
        <w:rPr>
          <w:rFonts w:cs="Open Sans"/>
        </w:rPr>
        <w:lastRenderedPageBreak/>
        <w:t>should only be permitted when certain criteria are met, including the protection of due process rights of individuals.</w:t>
      </w:r>
      <w:r w:rsidRPr="002B4C33">
        <w:rPr>
          <w:rStyle w:val="EndnoteReference"/>
          <w:vertAlign w:val="superscript"/>
        </w:rPr>
        <w:endnoteReference w:id="168"/>
      </w:r>
      <w:proofErr w:type="gramEnd"/>
      <w:r w:rsidRPr="00AA1A20">
        <w:rPr>
          <w:rFonts w:cs="Open Sans"/>
        </w:rPr>
        <w:t xml:space="preserve"> </w:t>
      </w:r>
    </w:p>
    <w:p w14:paraId="11310472" w14:textId="04F176D2"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Commission considers that the ‘assistance order’ regime, and the proposed new penalties, potentially impinge on the privilege against self-incrimination. This appears to be particularly relevant, for example, if a suspect is ordered to provide information, such as a password to their phone, that is only known to them—under threat of ten years imprisonment for failure to comply. </w:t>
      </w:r>
    </w:p>
    <w:p w14:paraId="208441C3"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privilege against self-incrimination is protected under article 14(3)(g) of the ICCPR, which provides that:</w:t>
      </w:r>
    </w:p>
    <w:p w14:paraId="0CDBA019" w14:textId="77777777" w:rsidR="00CE04D1" w:rsidRPr="00AA1A20" w:rsidRDefault="00CE04D1" w:rsidP="0041260C">
      <w:pPr>
        <w:pStyle w:val="Subtitle"/>
        <w:ind w:left="1134"/>
        <w:rPr>
          <w:rFonts w:cs="Open Sans"/>
        </w:rPr>
      </w:pPr>
      <w:r w:rsidRPr="00AA1A20">
        <w:rPr>
          <w:rFonts w:cs="Open Sans"/>
        </w:rPr>
        <w:t>In the determination of any criminal charge against him, everyone shall be entitled to the following minimum guarantees, in full equality: …</w:t>
      </w:r>
    </w:p>
    <w:p w14:paraId="7EA0E93B" w14:textId="065DC613" w:rsidR="00CE04D1" w:rsidRPr="00AA1A20" w:rsidRDefault="00CE04D1" w:rsidP="0041260C">
      <w:pPr>
        <w:pStyle w:val="Subtitle"/>
        <w:ind w:left="1134"/>
        <w:rPr>
          <w:rFonts w:cs="Open Sans"/>
        </w:rPr>
      </w:pPr>
      <w:r w:rsidRPr="00AA1A20">
        <w:rPr>
          <w:rFonts w:cs="Open Sans"/>
        </w:rPr>
        <w:tab/>
        <w:t xml:space="preserve">(g) Not to be compelled to testify against himself or to confess guilt. </w:t>
      </w:r>
    </w:p>
    <w:p w14:paraId="7E206FD2"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privilege against self-incrimination also has a long history in the common law. As the ALRC noted in its 2015 review of encroachments by Commonwealth laws on traditional rights and freedoms, the privilege </w:t>
      </w:r>
      <w:proofErr w:type="gramStart"/>
      <w:r w:rsidRPr="00AA1A20">
        <w:rPr>
          <w:rFonts w:cs="Open Sans"/>
        </w:rPr>
        <w:t>can be traced</w:t>
      </w:r>
      <w:proofErr w:type="gramEnd"/>
      <w:r w:rsidRPr="00AA1A20">
        <w:rPr>
          <w:rFonts w:cs="Open Sans"/>
        </w:rPr>
        <w:t xml:space="preserve"> back to the 12</w:t>
      </w:r>
      <w:r w:rsidRPr="00AA1A20">
        <w:rPr>
          <w:rFonts w:cs="Open Sans"/>
          <w:vertAlign w:val="superscript"/>
        </w:rPr>
        <w:t>th</w:t>
      </w:r>
      <w:r w:rsidRPr="00AA1A20">
        <w:rPr>
          <w:rFonts w:cs="Open Sans"/>
        </w:rPr>
        <w:t xml:space="preserve"> and 13</w:t>
      </w:r>
      <w:r w:rsidRPr="00AA1A20">
        <w:rPr>
          <w:rFonts w:cs="Open Sans"/>
          <w:vertAlign w:val="superscript"/>
        </w:rPr>
        <w:t>th</w:t>
      </w:r>
      <w:r w:rsidRPr="00AA1A20">
        <w:rPr>
          <w:rFonts w:cs="Open Sans"/>
        </w:rPr>
        <w:t xml:space="preserve"> centuries.</w:t>
      </w:r>
      <w:r w:rsidRPr="002B4C33">
        <w:rPr>
          <w:rStyle w:val="EndnoteReference"/>
          <w:vertAlign w:val="superscript"/>
        </w:rPr>
        <w:endnoteReference w:id="169"/>
      </w:r>
    </w:p>
    <w:p w14:paraId="3D6EC100"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ALRC refers to comments by William Blackstone in his </w:t>
      </w:r>
      <w:r w:rsidRPr="00AA1A20">
        <w:rPr>
          <w:rFonts w:cs="Open Sans"/>
          <w:i/>
        </w:rPr>
        <w:t>Commentaries on the Laws of England</w:t>
      </w:r>
      <w:r w:rsidRPr="00AA1A20">
        <w:rPr>
          <w:rFonts w:cs="Open Sans"/>
        </w:rPr>
        <w:t xml:space="preserve"> (1765-1769) that a defendant’s ‘fault was not to be wrung out of himself, but rather to be discovered by other means and other men’.</w:t>
      </w:r>
      <w:r w:rsidRPr="002B4C33">
        <w:rPr>
          <w:rStyle w:val="EndnoteReference"/>
          <w:vertAlign w:val="superscript"/>
        </w:rPr>
        <w:endnoteReference w:id="170"/>
      </w:r>
    </w:p>
    <w:p w14:paraId="5CEF04A0" w14:textId="77777777" w:rsidR="00CE04D1" w:rsidRPr="00AA1A20" w:rsidRDefault="00CE04D1" w:rsidP="00C56853">
      <w:pPr>
        <w:pStyle w:val="ListNumber"/>
        <w:tabs>
          <w:tab w:val="clear" w:pos="360"/>
          <w:tab w:val="num" w:pos="993"/>
          <w:tab w:val="left" w:pos="1418"/>
        </w:tabs>
        <w:ind w:left="709" w:hanging="567"/>
        <w:rPr>
          <w:rFonts w:cs="Open Sans"/>
        </w:rPr>
      </w:pPr>
      <w:proofErr w:type="gramStart"/>
      <w:r w:rsidRPr="00AA1A20">
        <w:rPr>
          <w:rFonts w:cs="Open Sans"/>
        </w:rPr>
        <w:t>In its current form in Australia, the right to claim the privilege against self-incrimination in criminal law and against self-exposure to penalties in civil and administrative law is a ‘basic and substantive common law right’</w:t>
      </w:r>
      <w:r w:rsidRPr="002B4C33">
        <w:rPr>
          <w:rStyle w:val="EndnoteReference"/>
          <w:vertAlign w:val="superscript"/>
        </w:rPr>
        <w:endnoteReference w:id="171"/>
      </w:r>
      <w:r w:rsidRPr="00AA1A20">
        <w:rPr>
          <w:rFonts w:cs="Open Sans"/>
        </w:rPr>
        <w:t xml:space="preserve"> and entitles a natural person (but not a corporation)</w:t>
      </w:r>
      <w:r w:rsidRPr="002B4C33">
        <w:rPr>
          <w:rStyle w:val="EndnoteReference"/>
          <w:vertAlign w:val="superscript"/>
        </w:rPr>
        <w:endnoteReference w:id="172"/>
      </w:r>
      <w:r w:rsidRPr="00AA1A20">
        <w:rPr>
          <w:rFonts w:cs="Open Sans"/>
        </w:rPr>
        <w:t xml:space="preserve"> to refuse to answer any question or produce any document if it would tend to incriminate them.</w:t>
      </w:r>
      <w:r w:rsidRPr="002B4C33">
        <w:rPr>
          <w:rStyle w:val="EndnoteReference"/>
          <w:vertAlign w:val="superscript"/>
        </w:rPr>
        <w:endnoteReference w:id="173"/>
      </w:r>
      <w:proofErr w:type="gramEnd"/>
    </w:p>
    <w:p w14:paraId="58914FFB"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 number of rationales for the privilege against self-incrimination </w:t>
      </w:r>
      <w:proofErr w:type="gramStart"/>
      <w:r w:rsidRPr="00AA1A20">
        <w:rPr>
          <w:rFonts w:cs="Open Sans"/>
        </w:rPr>
        <w:t>have been put</w:t>
      </w:r>
      <w:proofErr w:type="gramEnd"/>
      <w:r w:rsidRPr="00AA1A20">
        <w:rPr>
          <w:rFonts w:cs="Open Sans"/>
        </w:rPr>
        <w:t xml:space="preserve"> forward.</w:t>
      </w:r>
    </w:p>
    <w:p w14:paraId="59B63290" w14:textId="1E26B8CE"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 key rationale is that the privilege reduces the potential for abuses of power, particularly between an individual accused and the state. There </w:t>
      </w:r>
      <w:proofErr w:type="gramStart"/>
      <w:r w:rsidRPr="00AA1A20">
        <w:rPr>
          <w:rFonts w:cs="Open Sans"/>
        </w:rPr>
        <w:t>are</w:t>
      </w:r>
      <w:proofErr w:type="gramEnd"/>
      <w:r w:rsidRPr="00AA1A20">
        <w:rPr>
          <w:rFonts w:cs="Open Sans"/>
        </w:rPr>
        <w:t xml:space="preserve"> a range of investigatory situations in which there is ‘a risk of considerable physical and psychological pressure being applied to suspects to cooperate by making incriminating statements or handing over evidence such as documents’.</w:t>
      </w:r>
      <w:r w:rsidRPr="007545FB">
        <w:rPr>
          <w:rStyle w:val="EndnoteReference"/>
          <w:vertAlign w:val="superscript"/>
        </w:rPr>
        <w:endnoteReference w:id="174"/>
      </w:r>
      <w:r w:rsidRPr="00AA1A20">
        <w:rPr>
          <w:rFonts w:cs="Open Sans"/>
        </w:rPr>
        <w:t xml:space="preserve"> </w:t>
      </w:r>
    </w:p>
    <w:p w14:paraId="3DBEAB1C" w14:textId="01BE802C"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As was noted by McHugh J in </w:t>
      </w:r>
      <w:r w:rsidRPr="00AA1A20">
        <w:rPr>
          <w:rFonts w:cs="Open Sans"/>
          <w:i/>
        </w:rPr>
        <w:t>Environment Protection Authority v Caltex Refining Co Pty Ltd</w:t>
      </w:r>
      <w:r w:rsidRPr="00AA1A20">
        <w:rPr>
          <w:rFonts w:cs="Open Sans"/>
        </w:rPr>
        <w:t>, the privilege</w:t>
      </w:r>
    </w:p>
    <w:p w14:paraId="56B7211F" w14:textId="4B5F06A3" w:rsidR="00CE04D1" w:rsidRPr="00AA1A20" w:rsidRDefault="00CE04D1" w:rsidP="0041260C">
      <w:pPr>
        <w:pStyle w:val="Subtitle"/>
        <w:ind w:left="1134"/>
        <w:rPr>
          <w:rFonts w:cs="Open Sans"/>
        </w:rPr>
      </w:pPr>
      <w:proofErr w:type="gramStart"/>
      <w:r w:rsidRPr="00AA1A20">
        <w:rPr>
          <w:rStyle w:val="SubtitleChar"/>
          <w:rFonts w:cs="Open Sans"/>
        </w:rPr>
        <w:t>probably</w:t>
      </w:r>
      <w:proofErr w:type="gramEnd"/>
      <w:r w:rsidRPr="00AA1A20">
        <w:rPr>
          <w:rStyle w:val="SubtitleChar"/>
          <w:rFonts w:cs="Open Sans"/>
        </w:rPr>
        <w:t xml:space="preserve"> arose as a response to what was perceived as an abuse or potential abuse of power by the Crown in the examination of suspects or witnesses. </w:t>
      </w:r>
      <w:r w:rsidRPr="00AA1A20">
        <w:rPr>
          <w:rStyle w:val="SubtitleChar"/>
          <w:rFonts w:cs="Open Sans"/>
        </w:rPr>
        <w:lastRenderedPageBreak/>
        <w:t xml:space="preserve">Once the Crown is able to compel the answering of a question, it is a short step to accepting that the Crown is entitled to use such means as are necessary to get the answer. Those means need not necessarily involve physical coercion. Confessions </w:t>
      </w:r>
      <w:proofErr w:type="gramStart"/>
      <w:r w:rsidRPr="00AA1A20">
        <w:rPr>
          <w:rStyle w:val="SubtitleChar"/>
          <w:rFonts w:cs="Open Sans"/>
        </w:rPr>
        <w:t>can be obtained</w:t>
      </w:r>
      <w:proofErr w:type="gramEnd"/>
      <w:r w:rsidRPr="00AA1A20">
        <w:rPr>
          <w:rStyle w:val="SubtitleChar"/>
          <w:rFonts w:cs="Open Sans"/>
        </w:rPr>
        <w:t xml:space="preserve"> by inhumane means without the necessity to resort to the rack or other forms of physical torture. By insisting that a person could not be compelled to incriminate him or herself, the common law thus sought to ensure that the Crown would not use its power to oppress an accused person or witness and compel that person to provide evidence against him or herself</w:t>
      </w:r>
      <w:r w:rsidRPr="00AA1A20">
        <w:rPr>
          <w:rFonts w:cs="Open Sans"/>
        </w:rPr>
        <w:t>.</w:t>
      </w:r>
      <w:r w:rsidRPr="007545FB">
        <w:rPr>
          <w:rStyle w:val="EndnoteReference"/>
          <w:vertAlign w:val="superscript"/>
        </w:rPr>
        <w:endnoteReference w:id="175"/>
      </w:r>
    </w:p>
    <w:p w14:paraId="4A7E74D5"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Typically, where the privilege against self-incrimination </w:t>
      </w:r>
      <w:proofErr w:type="gramStart"/>
      <w:r w:rsidRPr="00AA1A20">
        <w:rPr>
          <w:rFonts w:cs="Open Sans"/>
        </w:rPr>
        <w:t>is explicitly abrogated</w:t>
      </w:r>
      <w:proofErr w:type="gramEnd"/>
      <w:r w:rsidRPr="00AA1A20">
        <w:rPr>
          <w:rFonts w:cs="Open Sans"/>
        </w:rPr>
        <w:t xml:space="preserve"> by statute, the legislation limits the use that can be made of evidence that is obtained through compulsion. As the High Court said in </w:t>
      </w:r>
      <w:r w:rsidRPr="00AA1A20">
        <w:rPr>
          <w:rFonts w:cs="Open Sans"/>
          <w:i/>
        </w:rPr>
        <w:t>X7 v Australian Crime Commission</w:t>
      </w:r>
      <w:r w:rsidRPr="00AA1A20">
        <w:rPr>
          <w:rFonts w:cs="Open Sans"/>
        </w:rPr>
        <w:t>:</w:t>
      </w:r>
    </w:p>
    <w:p w14:paraId="7054EFA9" w14:textId="68C85193" w:rsidR="00CE04D1" w:rsidRPr="00AA1A20" w:rsidRDefault="00CE04D1" w:rsidP="0041260C">
      <w:pPr>
        <w:pStyle w:val="Subtitle"/>
        <w:ind w:left="1134"/>
        <w:rPr>
          <w:rFonts w:cs="Open Sans"/>
        </w:rPr>
      </w:pPr>
      <w:r w:rsidRPr="00AA1A20">
        <w:rPr>
          <w:rStyle w:val="SubtitleChar"/>
          <w:rFonts w:cs="Open Sans"/>
        </w:rPr>
        <w:t>In</w:t>
      </w:r>
      <w:r w:rsidRPr="00AA1A20">
        <w:rPr>
          <w:rFonts w:cs="Open Sans"/>
        </w:rPr>
        <w:t xml:space="preserve"> balancing public interest considerations and the interests of the individual, legislation abrogating the privilege will often contain, as in the case of the [</w:t>
      </w:r>
      <w:r w:rsidRPr="00AA1A20">
        <w:rPr>
          <w:rFonts w:cs="Open Sans"/>
          <w:i/>
        </w:rPr>
        <w:t>Australian Crime Commission Act 2002</w:t>
      </w:r>
      <w:r w:rsidRPr="00AA1A20">
        <w:rPr>
          <w:rFonts w:cs="Open Sans"/>
        </w:rPr>
        <w:t xml:space="preserve"> (Cth)], ’compensatory protection to the witness’, by providing that, subject to limited exceptions, compelled answers shall not be admissible in civil or criminal proceedings.</w:t>
      </w:r>
      <w:r w:rsidRPr="007545FB">
        <w:rPr>
          <w:rStyle w:val="EndnoteReference"/>
          <w:vertAlign w:val="superscript"/>
        </w:rPr>
        <w:endnoteReference w:id="176"/>
      </w:r>
    </w:p>
    <w:p w14:paraId="057B0FE6"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i/>
        </w:rPr>
        <w:t>Guide to Framing Commonwealth Offences</w:t>
      </w:r>
      <w:r w:rsidRPr="00AA1A20">
        <w:rPr>
          <w:rFonts w:cs="Open Sans"/>
        </w:rPr>
        <w:t xml:space="preserve"> published by the Attorney-General’s Department provides that:</w:t>
      </w:r>
    </w:p>
    <w:p w14:paraId="5D1D9470" w14:textId="77777777" w:rsidR="00CE04D1" w:rsidRPr="00AA1A20" w:rsidRDefault="00CE04D1" w:rsidP="0041260C">
      <w:pPr>
        <w:pStyle w:val="EndnoteText"/>
        <w:rPr>
          <w:rFonts w:cs="Open Sans"/>
        </w:rPr>
      </w:pPr>
      <w:r w:rsidRPr="00AA1A20">
        <w:rPr>
          <w:rStyle w:val="SubtitleChar"/>
          <w:rFonts w:cs="Open Sans"/>
          <w:lang w:val="en-AU"/>
        </w:rPr>
        <w:t>If</w:t>
      </w:r>
      <w:r w:rsidRPr="00AA1A20">
        <w:rPr>
          <w:rStyle w:val="SubtitleChar"/>
          <w:rFonts w:cs="Open Sans"/>
        </w:rPr>
        <w:t xml:space="preserve"> the privilege against self-incrimination is to </w:t>
      </w:r>
      <w:proofErr w:type="gramStart"/>
      <w:r w:rsidRPr="00AA1A20">
        <w:rPr>
          <w:rStyle w:val="SubtitleChar"/>
          <w:rFonts w:cs="Open Sans"/>
        </w:rPr>
        <w:t>be overridden</w:t>
      </w:r>
      <w:proofErr w:type="gramEnd"/>
      <w:r w:rsidRPr="00AA1A20">
        <w:rPr>
          <w:rStyle w:val="SubtitleChar"/>
          <w:rFonts w:cs="Open Sans"/>
        </w:rPr>
        <w:t>, it is usual to include a ‘use’ immunity or a ‘use and derivative use’ immunity provision, which provides some degree of protection for the rights of individuals</w:t>
      </w:r>
      <w:r w:rsidRPr="00AA1A20">
        <w:rPr>
          <w:rFonts w:cs="Open Sans"/>
        </w:rPr>
        <w:t>.</w:t>
      </w:r>
      <w:r w:rsidRPr="007545FB">
        <w:rPr>
          <w:rStyle w:val="EndnoteReference"/>
          <w:vertAlign w:val="superscript"/>
        </w:rPr>
        <w:endnoteReference w:id="177"/>
      </w:r>
    </w:p>
    <w:p w14:paraId="52D47B22" w14:textId="3283BFDC"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The Guide describes each of these immunities in the following way:</w:t>
      </w:r>
    </w:p>
    <w:p w14:paraId="3C849727" w14:textId="31702C19" w:rsidR="00CE04D1" w:rsidRPr="00AA1A20" w:rsidRDefault="00CE04D1" w:rsidP="0041260C">
      <w:pPr>
        <w:pStyle w:val="EndnoteText"/>
        <w:rPr>
          <w:rFonts w:cs="Open Sans"/>
        </w:rPr>
      </w:pPr>
      <w:r w:rsidRPr="00AA1A20">
        <w:rPr>
          <w:rFonts w:cs="Open Sans"/>
        </w:rPr>
        <w:t>‘use’ immunity—self-incriminatory information or documents provided by a person cannot be used in subsequent proceedings against that person, but can be used to investigate unlawful conduct by that person and by third parties, and</w:t>
      </w:r>
    </w:p>
    <w:p w14:paraId="45A777CD" w14:textId="25245E2C" w:rsidR="00CE04D1" w:rsidRPr="00AA1A20" w:rsidRDefault="00CE04D1" w:rsidP="0041260C">
      <w:pPr>
        <w:pStyle w:val="EndnoteText"/>
        <w:rPr>
          <w:rFonts w:cs="Open Sans"/>
        </w:rPr>
      </w:pPr>
      <w:r w:rsidRPr="00AA1A20">
        <w:rPr>
          <w:rFonts w:cs="Open Sans"/>
        </w:rPr>
        <w:t>‘</w:t>
      </w:r>
      <w:proofErr w:type="gramStart"/>
      <w:r w:rsidRPr="00AA1A20">
        <w:rPr>
          <w:rFonts w:cs="Open Sans"/>
        </w:rPr>
        <w:t>derivative</w:t>
      </w:r>
      <w:proofErr w:type="gramEnd"/>
      <w:r w:rsidRPr="00AA1A20">
        <w:rPr>
          <w:rFonts w:cs="Open Sans"/>
        </w:rPr>
        <w:t xml:space="preserve"> use’ immunity—self-incriminatory information or documents provided by a person cannot be used to investigate unlawful conduct by that person but can be used to investigate third parties.</w:t>
      </w:r>
      <w:r w:rsidRPr="007545FB">
        <w:rPr>
          <w:rStyle w:val="EndnoteReference"/>
          <w:vertAlign w:val="superscript"/>
        </w:rPr>
        <w:endnoteReference w:id="178"/>
      </w:r>
    </w:p>
    <w:p w14:paraId="44ABDBFF" w14:textId="77777777"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scope of the privilege against self-incrimination in the digital encryption context, and the extent to which it </w:t>
      </w:r>
      <w:proofErr w:type="gramStart"/>
      <w:r w:rsidRPr="00AA1A20">
        <w:rPr>
          <w:rFonts w:cs="Open Sans"/>
        </w:rPr>
        <w:t>might be abrogated</w:t>
      </w:r>
      <w:proofErr w:type="gramEnd"/>
      <w:r w:rsidRPr="00AA1A20">
        <w:rPr>
          <w:rFonts w:cs="Open Sans"/>
        </w:rPr>
        <w:t xml:space="preserve"> by compelling a suspect to provide information to decrypt devices obtained under a warrant, has not yet been considered by superior federal courts in Australia. Consequently, its position at law is uncertain. </w:t>
      </w:r>
    </w:p>
    <w:p w14:paraId="1023AE64" w14:textId="5F0D91FE" w:rsidR="00CE04D1" w:rsidRPr="00AA1A20" w:rsidRDefault="00CE04D1" w:rsidP="00C56853">
      <w:pPr>
        <w:pStyle w:val="ListNumber"/>
        <w:tabs>
          <w:tab w:val="clear" w:pos="360"/>
          <w:tab w:val="num" w:pos="993"/>
          <w:tab w:val="left" w:pos="1418"/>
        </w:tabs>
        <w:ind w:left="709" w:hanging="567"/>
        <w:rPr>
          <w:rFonts w:cs="Open Sans"/>
        </w:rPr>
      </w:pPr>
      <w:r w:rsidRPr="00AA1A20">
        <w:rPr>
          <w:rFonts w:cs="Open Sans"/>
        </w:rPr>
        <w:t xml:space="preserve">The Supreme Court of Victoria has held, however, that to be compatible with human rights principles, statutory provisions that allow for the abrogation of the privilege against self-incrimination must be interpreted as extending derivative use immunity to a person. It also suggested that coercive powers requiring suspects to supply incriminating computer </w:t>
      </w:r>
      <w:r w:rsidRPr="00AA1A20">
        <w:rPr>
          <w:rFonts w:cs="Open Sans"/>
        </w:rPr>
        <w:lastRenderedPageBreak/>
        <w:t>encryption keys are not reasonable limits on the Charter protection against self</w:t>
      </w:r>
      <w:r w:rsidRPr="00AA1A20">
        <w:rPr>
          <w:rFonts w:ascii="Cambria Math" w:hAnsi="Cambria Math" w:cs="Cambria Math"/>
        </w:rPr>
        <w:t>‐</w:t>
      </w:r>
      <w:r w:rsidRPr="00AA1A20">
        <w:rPr>
          <w:rFonts w:cs="Open Sans"/>
        </w:rPr>
        <w:t>incrimination unless any evidence discovered as a result (and not otherwise discoverable) is inadmissible in any future prosecution of the person.</w:t>
      </w:r>
      <w:r w:rsidRPr="007545FB">
        <w:rPr>
          <w:rStyle w:val="EndnoteReference"/>
          <w:vertAlign w:val="superscript"/>
        </w:rPr>
        <w:endnoteReference w:id="179"/>
      </w:r>
    </w:p>
    <w:p w14:paraId="43E5E342" w14:textId="47499A17" w:rsidR="00C56853" w:rsidRPr="00AA1A20" w:rsidRDefault="00C56853" w:rsidP="00C56853">
      <w:pPr>
        <w:pStyle w:val="ListNumber"/>
        <w:tabs>
          <w:tab w:val="clear" w:pos="360"/>
          <w:tab w:val="num" w:pos="993"/>
          <w:tab w:val="left" w:pos="1418"/>
        </w:tabs>
        <w:ind w:left="709" w:hanging="567"/>
        <w:rPr>
          <w:rFonts w:cs="Open Sans"/>
        </w:rPr>
      </w:pPr>
      <w:bookmarkStart w:id="103" w:name="_Ref524018202"/>
      <w:r w:rsidRPr="00AA1A20">
        <w:rPr>
          <w:rFonts w:cs="Open Sans"/>
        </w:rPr>
        <w:t xml:space="preserve">Given the intrusive nature of compulsive evidence-gathering powers, the Commission considers it appropriate that restrictions </w:t>
      </w:r>
      <w:proofErr w:type="gramStart"/>
      <w:r w:rsidRPr="00AA1A20">
        <w:rPr>
          <w:rFonts w:cs="Open Sans"/>
        </w:rPr>
        <w:t>be placed</w:t>
      </w:r>
      <w:proofErr w:type="gramEnd"/>
      <w:r w:rsidRPr="00AA1A20">
        <w:rPr>
          <w:rFonts w:cs="Open Sans"/>
        </w:rPr>
        <w:t xml:space="preserve"> on the use and derivative use that can be made of information or material obtained under assistance order powers</w:t>
      </w:r>
      <w:r w:rsidR="00D23A88" w:rsidRPr="00AA1A20">
        <w:rPr>
          <w:rFonts w:cs="Open Sans"/>
        </w:rPr>
        <w:t>,</w:t>
      </w:r>
      <w:r w:rsidRPr="00AA1A20">
        <w:rPr>
          <w:rFonts w:cs="Open Sans"/>
        </w:rPr>
        <w:t xml:space="preserve"> to enhance human rights compliance. </w:t>
      </w:r>
    </w:p>
    <w:p w14:paraId="654C25E7" w14:textId="77777777" w:rsidR="00C56853" w:rsidRPr="00AA1A20" w:rsidRDefault="00C56853" w:rsidP="00C56853">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1994DB41" w14:textId="77777777" w:rsidR="007539FC" w:rsidRPr="00AA1A20" w:rsidRDefault="00C56853" w:rsidP="007539FC">
      <w:pPr>
        <w:pStyle w:val="ListNumber"/>
        <w:numPr>
          <w:ilvl w:val="0"/>
          <w:numId w:val="0"/>
        </w:numPr>
        <w:ind w:left="720"/>
        <w:rPr>
          <w:rFonts w:cs="Open Sans"/>
          <w:b/>
        </w:rPr>
      </w:pPr>
      <w:r w:rsidRPr="00AA1A20">
        <w:rPr>
          <w:rFonts w:cs="Open Sans"/>
          <w:b/>
        </w:rPr>
        <w:t xml:space="preserve">Recommendation </w:t>
      </w:r>
      <w:r w:rsidR="00CD4D71" w:rsidRPr="00AA1A20">
        <w:rPr>
          <w:rFonts w:cs="Open Sans"/>
          <w:b/>
        </w:rPr>
        <w:t>39</w:t>
      </w:r>
    </w:p>
    <w:p w14:paraId="1DDE3356" w14:textId="2EB96643" w:rsidR="00C56853" w:rsidRPr="00AA1A20" w:rsidRDefault="00C56853" w:rsidP="007539FC">
      <w:pPr>
        <w:pStyle w:val="ListNumber"/>
        <w:numPr>
          <w:ilvl w:val="0"/>
          <w:numId w:val="0"/>
        </w:numPr>
        <w:ind w:left="720"/>
        <w:rPr>
          <w:rFonts w:cs="Open Sans"/>
        </w:rPr>
      </w:pPr>
      <w:proofErr w:type="gramStart"/>
      <w:r w:rsidRPr="00AA1A20">
        <w:rPr>
          <w:rFonts w:cs="Open Sans"/>
        </w:rPr>
        <w:t>The draft Bill be amended</w:t>
      </w:r>
      <w:proofErr w:type="gramEnd"/>
      <w:r w:rsidRPr="00AA1A20">
        <w:rPr>
          <w:rFonts w:cs="Open Sans"/>
        </w:rPr>
        <w:t xml:space="preserve"> to make clear that assistance orders do not abrogate the privilege against self-incrimination, and to make explicit that any information obtained as a result of a person complying with an assistance order is subject to appropriate use and derivative use immunity. </w:t>
      </w:r>
    </w:p>
    <w:p w14:paraId="5B2FECD0" w14:textId="6CB3D890" w:rsidR="00DF65E4" w:rsidRPr="00AA1A20" w:rsidRDefault="00DF65E4" w:rsidP="00DF65E4">
      <w:pPr>
        <w:pStyle w:val="Heading1"/>
        <w:rPr>
          <w:rFonts w:cs="Open Sans"/>
        </w:rPr>
      </w:pPr>
      <w:bookmarkStart w:id="104" w:name="_Ref524082324"/>
      <w:bookmarkStart w:id="105" w:name="_Toc524352523"/>
      <w:r w:rsidRPr="00AA1A20">
        <w:rPr>
          <w:rFonts w:cs="Open Sans"/>
        </w:rPr>
        <w:t>List of recommendations</w:t>
      </w:r>
      <w:bookmarkEnd w:id="103"/>
      <w:bookmarkEnd w:id="104"/>
      <w:bookmarkEnd w:id="105"/>
    </w:p>
    <w:p w14:paraId="093E1C6B" w14:textId="5A1A334B" w:rsidR="00AF27C6" w:rsidRPr="00AA1A20" w:rsidRDefault="00AF27C6" w:rsidP="00AF27C6">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makes the following recommend</w:t>
      </w:r>
      <w:r w:rsidR="002D1255" w:rsidRPr="00AA1A20">
        <w:rPr>
          <w:rFonts w:cs="Open Sans"/>
        </w:rPr>
        <w:t>ations:</w:t>
      </w:r>
    </w:p>
    <w:p w14:paraId="278FE56E" w14:textId="77777777" w:rsidR="00AF27C6" w:rsidRPr="00AA1A20" w:rsidRDefault="00AF27C6" w:rsidP="006C5FBB">
      <w:pPr>
        <w:pStyle w:val="ListNumber"/>
        <w:numPr>
          <w:ilvl w:val="0"/>
          <w:numId w:val="0"/>
        </w:numPr>
        <w:tabs>
          <w:tab w:val="left" w:pos="1418"/>
        </w:tabs>
        <w:ind w:left="720"/>
        <w:rPr>
          <w:rFonts w:cs="Open Sans"/>
          <w:b/>
        </w:rPr>
      </w:pPr>
      <w:r w:rsidRPr="00AA1A20">
        <w:rPr>
          <w:rFonts w:cs="Open Sans"/>
          <w:b/>
        </w:rPr>
        <w:t>Recommendation 1</w:t>
      </w:r>
    </w:p>
    <w:p w14:paraId="4C840B08" w14:textId="7570C07B" w:rsidR="00AF27C6" w:rsidRPr="00AA1A20" w:rsidRDefault="00AF27C6" w:rsidP="006C5FBB">
      <w:pPr>
        <w:pStyle w:val="ListNumber"/>
        <w:numPr>
          <w:ilvl w:val="0"/>
          <w:numId w:val="0"/>
        </w:numPr>
        <w:tabs>
          <w:tab w:val="left" w:pos="1418"/>
        </w:tabs>
        <w:ind w:left="737"/>
        <w:rPr>
          <w:rFonts w:cs="Open Sans"/>
        </w:rPr>
      </w:pPr>
      <w:r w:rsidRPr="00AA1A20">
        <w:rPr>
          <w:rFonts w:cs="Open Sans"/>
        </w:rPr>
        <w:t xml:space="preserve">The </w:t>
      </w:r>
      <w:r w:rsidR="004F4835" w:rsidRPr="00AA1A20">
        <w:rPr>
          <w:rFonts w:cs="Open Sans"/>
        </w:rPr>
        <w:t>Australian Government</w:t>
      </w:r>
      <w:r w:rsidRPr="00AA1A20">
        <w:rPr>
          <w:rFonts w:cs="Open Sans"/>
        </w:rPr>
        <w:t xml:space="preserve"> ensure that further and adequate time </w:t>
      </w:r>
      <w:proofErr w:type="gramStart"/>
      <w:r w:rsidRPr="00AA1A20">
        <w:rPr>
          <w:rFonts w:cs="Open Sans"/>
        </w:rPr>
        <w:t>is afforded</w:t>
      </w:r>
      <w:proofErr w:type="gramEnd"/>
      <w:r w:rsidRPr="00AA1A20">
        <w:rPr>
          <w:rFonts w:cs="Open Sans"/>
        </w:rPr>
        <w:t xml:space="preserve"> for public consultation, review and reform of the draft Bill, to enhance human rights compatibility.</w:t>
      </w:r>
    </w:p>
    <w:p w14:paraId="79799F7B" w14:textId="77777777" w:rsidR="00AF27C6" w:rsidRPr="00AA1A20" w:rsidRDefault="00AF27C6" w:rsidP="006C5FBB">
      <w:pPr>
        <w:pStyle w:val="Bullet"/>
        <w:numPr>
          <w:ilvl w:val="0"/>
          <w:numId w:val="0"/>
        </w:numPr>
        <w:spacing w:before="120"/>
        <w:ind w:left="720"/>
        <w:rPr>
          <w:rFonts w:cs="Open Sans"/>
          <w:b/>
        </w:rPr>
      </w:pPr>
      <w:r w:rsidRPr="00AA1A20">
        <w:rPr>
          <w:rFonts w:cs="Open Sans"/>
          <w:b/>
        </w:rPr>
        <w:t>Recommendation 2</w:t>
      </w:r>
    </w:p>
    <w:p w14:paraId="334F42A2" w14:textId="0E722763" w:rsidR="00AF27C6" w:rsidRPr="00AA1A20" w:rsidRDefault="00AF27C6" w:rsidP="006C5FBB">
      <w:pPr>
        <w:pStyle w:val="Bullet"/>
        <w:numPr>
          <w:ilvl w:val="0"/>
          <w:numId w:val="0"/>
        </w:numPr>
        <w:spacing w:before="120"/>
        <w:ind w:left="720"/>
        <w:rPr>
          <w:rFonts w:cs="Open Sans"/>
        </w:rPr>
      </w:pPr>
      <w:r w:rsidRPr="00AA1A20">
        <w:rPr>
          <w:rFonts w:cs="Open Sans"/>
        </w:rPr>
        <w:t xml:space="preserve">Proposed s 317E of the </w:t>
      </w:r>
      <w:r w:rsidRPr="00AA1A20">
        <w:rPr>
          <w:rFonts w:cs="Open Sans"/>
          <w:i/>
        </w:rPr>
        <w:t xml:space="preserve">Telecommunications Act 1997 </w:t>
      </w:r>
      <w:r w:rsidRPr="00AA1A20">
        <w:rPr>
          <w:rFonts w:cs="Open Sans"/>
        </w:rPr>
        <w:t xml:space="preserve">(Cth) be redrafted in narrower terms, to ensure that the </w:t>
      </w:r>
      <w:r w:rsidR="00BF258D" w:rsidRPr="00AA1A20">
        <w:rPr>
          <w:rFonts w:cs="Open Sans"/>
        </w:rPr>
        <w:t>‘</w:t>
      </w:r>
      <w:r w:rsidRPr="00AA1A20">
        <w:rPr>
          <w:rFonts w:cs="Open Sans"/>
        </w:rPr>
        <w:t>acts or things</w:t>
      </w:r>
      <w:r w:rsidR="00BF258D" w:rsidRPr="00AA1A20">
        <w:rPr>
          <w:rFonts w:cs="Open Sans"/>
        </w:rPr>
        <w:t>’</w:t>
      </w:r>
      <w:r w:rsidRPr="00AA1A20">
        <w:rPr>
          <w:rFonts w:cs="Open Sans"/>
        </w:rPr>
        <w:t xml:space="preserve"> that can be requested or required under TARs, TANs and TCNs are restricted to those that are strictly necessary for law enforcement and national security agencies to carry out their functions.</w:t>
      </w:r>
    </w:p>
    <w:p w14:paraId="0B1F1E90" w14:textId="77777777" w:rsidR="00ED73AD" w:rsidRPr="00AA1A20" w:rsidRDefault="00ED73AD" w:rsidP="006C5FBB">
      <w:pPr>
        <w:pStyle w:val="Bullet"/>
        <w:numPr>
          <w:ilvl w:val="0"/>
          <w:numId w:val="0"/>
        </w:numPr>
        <w:spacing w:before="120"/>
        <w:ind w:left="720"/>
        <w:rPr>
          <w:rFonts w:cs="Open Sans"/>
          <w:b/>
        </w:rPr>
      </w:pPr>
      <w:r w:rsidRPr="00AA1A20">
        <w:rPr>
          <w:rFonts w:cs="Open Sans"/>
          <w:b/>
        </w:rPr>
        <w:t>Recommendation 3</w:t>
      </w:r>
    </w:p>
    <w:p w14:paraId="13B139B3" w14:textId="249A1B37" w:rsidR="0085258E" w:rsidRPr="00AA1A20" w:rsidRDefault="00ED73AD" w:rsidP="006C5FBB">
      <w:pPr>
        <w:pStyle w:val="Bullet"/>
        <w:numPr>
          <w:ilvl w:val="0"/>
          <w:numId w:val="0"/>
        </w:numPr>
        <w:spacing w:before="120"/>
        <w:ind w:left="720"/>
        <w:rPr>
          <w:rFonts w:cs="Open Sans"/>
        </w:rPr>
      </w:pPr>
      <w:r w:rsidRPr="00AA1A20">
        <w:rPr>
          <w:rFonts w:cs="Open Sans"/>
        </w:rPr>
        <w:t xml:space="preserve">Proposed ss </w:t>
      </w:r>
      <w:proofErr w:type="gramStart"/>
      <w:r w:rsidRPr="00AA1A20">
        <w:rPr>
          <w:rFonts w:cs="Open Sans"/>
        </w:rPr>
        <w:t>317G(</w:t>
      </w:r>
      <w:proofErr w:type="gramEnd"/>
      <w:r w:rsidRPr="00AA1A20">
        <w:rPr>
          <w:rFonts w:cs="Open Sans"/>
        </w:rPr>
        <w:t xml:space="preserve">6), 317L(3) and 317X(3) of the </w:t>
      </w:r>
      <w:r w:rsidRPr="00AA1A20">
        <w:rPr>
          <w:rFonts w:cs="Open Sans"/>
          <w:i/>
        </w:rPr>
        <w:t xml:space="preserve">Telecommunications Act 1997 </w:t>
      </w:r>
      <w:r w:rsidRPr="00AA1A20">
        <w:rPr>
          <w:rFonts w:cs="Open Sans"/>
        </w:rPr>
        <w:t xml:space="preserve">(Cth) be amended so that the only </w:t>
      </w:r>
      <w:r w:rsidR="00BF258D" w:rsidRPr="00AA1A20">
        <w:rPr>
          <w:rFonts w:cs="Open Sans"/>
        </w:rPr>
        <w:t>‘</w:t>
      </w:r>
      <w:r w:rsidRPr="00AA1A20">
        <w:rPr>
          <w:rFonts w:cs="Open Sans"/>
        </w:rPr>
        <w:t>acts or things</w:t>
      </w:r>
      <w:r w:rsidR="00BF258D" w:rsidRPr="00AA1A20">
        <w:rPr>
          <w:rFonts w:cs="Open Sans"/>
        </w:rPr>
        <w:t>’</w:t>
      </w:r>
      <w:r w:rsidRPr="00AA1A20">
        <w:rPr>
          <w:rFonts w:cs="Open Sans"/>
        </w:rPr>
        <w:t xml:space="preserve"> permissible under a TAR, TAN or TCN are those specified in s 317E (that is, the list of </w:t>
      </w:r>
      <w:r w:rsidR="00BF258D" w:rsidRPr="00AA1A20">
        <w:rPr>
          <w:rFonts w:cs="Open Sans"/>
        </w:rPr>
        <w:t>‘</w:t>
      </w:r>
      <w:r w:rsidRPr="00AA1A20">
        <w:rPr>
          <w:rFonts w:cs="Open Sans"/>
        </w:rPr>
        <w:t>acts or things</w:t>
      </w:r>
      <w:r w:rsidR="00BF258D" w:rsidRPr="00AA1A20">
        <w:rPr>
          <w:rFonts w:cs="Open Sans"/>
        </w:rPr>
        <w:t>’</w:t>
      </w:r>
      <w:r w:rsidRPr="00AA1A20">
        <w:rPr>
          <w:rFonts w:cs="Open Sans"/>
        </w:rPr>
        <w:t xml:space="preserve"> in s 317E should be exhaustive in all cases).</w:t>
      </w:r>
    </w:p>
    <w:p w14:paraId="1ADE6B82" w14:textId="77777777" w:rsidR="0085258E" w:rsidRPr="00AA1A20" w:rsidRDefault="0085258E" w:rsidP="006C5FBB">
      <w:pPr>
        <w:pStyle w:val="Bullet"/>
        <w:numPr>
          <w:ilvl w:val="0"/>
          <w:numId w:val="0"/>
        </w:numPr>
        <w:spacing w:before="120"/>
        <w:ind w:left="720"/>
        <w:rPr>
          <w:rFonts w:cs="Open Sans"/>
          <w:b/>
        </w:rPr>
      </w:pPr>
      <w:r w:rsidRPr="00AA1A20">
        <w:rPr>
          <w:rFonts w:cs="Open Sans"/>
          <w:b/>
        </w:rPr>
        <w:t>Recommendation 4</w:t>
      </w:r>
    </w:p>
    <w:p w14:paraId="2557785E" w14:textId="60537A27" w:rsidR="0085258E" w:rsidRPr="00AA1A20" w:rsidRDefault="0085258E" w:rsidP="006C5FBB">
      <w:pPr>
        <w:pStyle w:val="Bullet"/>
        <w:numPr>
          <w:ilvl w:val="0"/>
          <w:numId w:val="0"/>
        </w:numPr>
        <w:spacing w:before="120"/>
        <w:ind w:left="720"/>
        <w:rPr>
          <w:rFonts w:cs="Open Sans"/>
        </w:rPr>
      </w:pPr>
      <w:r w:rsidRPr="00AA1A20">
        <w:rPr>
          <w:rFonts w:cs="Open Sans"/>
        </w:rPr>
        <w:t xml:space="preserve">Proposed s 317(X) of the </w:t>
      </w:r>
      <w:r w:rsidRPr="00AA1A20">
        <w:rPr>
          <w:rFonts w:cs="Open Sans"/>
          <w:i/>
        </w:rPr>
        <w:t xml:space="preserve">Telecommunications Act 1997 </w:t>
      </w:r>
      <w:r w:rsidRPr="00AA1A20">
        <w:rPr>
          <w:rFonts w:cs="Open Sans"/>
        </w:rPr>
        <w:t xml:space="preserve">(Cth) be amended to make clear that a varied TCN cannot compel a provider to remove electronic protection, by excluding the applicability of s </w:t>
      </w:r>
      <w:proofErr w:type="gramStart"/>
      <w:r w:rsidRPr="00AA1A20">
        <w:rPr>
          <w:rFonts w:cs="Open Sans"/>
        </w:rPr>
        <w:t>317E(</w:t>
      </w:r>
      <w:proofErr w:type="gramEnd"/>
      <w:r w:rsidRPr="00AA1A20">
        <w:rPr>
          <w:rFonts w:cs="Open Sans"/>
        </w:rPr>
        <w:t xml:space="preserve">1)(a).  </w:t>
      </w:r>
    </w:p>
    <w:p w14:paraId="4F44DCCF" w14:textId="77777777" w:rsidR="00D12B03" w:rsidRPr="00AA1A20" w:rsidRDefault="00D12B03" w:rsidP="006C5FBB">
      <w:pPr>
        <w:pStyle w:val="Bullet"/>
        <w:numPr>
          <w:ilvl w:val="0"/>
          <w:numId w:val="0"/>
        </w:numPr>
        <w:spacing w:before="120"/>
        <w:ind w:left="720"/>
        <w:rPr>
          <w:rFonts w:cs="Open Sans"/>
          <w:b/>
        </w:rPr>
      </w:pPr>
      <w:r w:rsidRPr="00AA1A20">
        <w:rPr>
          <w:rFonts w:cs="Open Sans"/>
          <w:b/>
        </w:rPr>
        <w:lastRenderedPageBreak/>
        <w:t>Recommendation 5</w:t>
      </w:r>
    </w:p>
    <w:p w14:paraId="2B158BC2" w14:textId="46DE7296" w:rsidR="00D12B03" w:rsidRPr="00AA1A20" w:rsidRDefault="00D12B03" w:rsidP="006C5FBB">
      <w:pPr>
        <w:pStyle w:val="Bullet"/>
        <w:numPr>
          <w:ilvl w:val="0"/>
          <w:numId w:val="0"/>
        </w:numPr>
        <w:spacing w:before="120"/>
        <w:ind w:left="720"/>
        <w:rPr>
          <w:rFonts w:cs="Open Sans"/>
        </w:rPr>
      </w:pPr>
      <w:r w:rsidRPr="00AA1A20">
        <w:rPr>
          <w:rFonts w:cs="Open Sans"/>
        </w:rPr>
        <w:t xml:space="preserve">Proposed s </w:t>
      </w:r>
      <w:proofErr w:type="gramStart"/>
      <w:r w:rsidRPr="00AA1A20">
        <w:rPr>
          <w:rFonts w:cs="Open Sans"/>
        </w:rPr>
        <w:t>317T(</w:t>
      </w:r>
      <w:proofErr w:type="gramEnd"/>
      <w:r w:rsidRPr="00AA1A20">
        <w:rPr>
          <w:rFonts w:cs="Open Sans"/>
        </w:rPr>
        <w:t xml:space="preserve">5) of the </w:t>
      </w:r>
      <w:r w:rsidRPr="00AA1A20">
        <w:rPr>
          <w:rFonts w:cs="Open Sans"/>
          <w:i/>
        </w:rPr>
        <w:t xml:space="preserve">Telecommunications Act 1997 </w:t>
      </w:r>
      <w:r w:rsidRPr="00AA1A20">
        <w:rPr>
          <w:rFonts w:cs="Open Sans"/>
        </w:rPr>
        <w:t xml:space="preserve">(Cth) be removed, to prevent the ability of the Minister to </w:t>
      </w:r>
      <w:r w:rsidR="0045433A" w:rsidRPr="00AA1A20">
        <w:rPr>
          <w:rFonts w:cs="Open Sans"/>
        </w:rPr>
        <w:t xml:space="preserve">expand the definition of </w:t>
      </w:r>
      <w:r w:rsidR="00BF258D" w:rsidRPr="00AA1A20">
        <w:rPr>
          <w:rFonts w:cs="Open Sans"/>
        </w:rPr>
        <w:t>‘</w:t>
      </w:r>
      <w:r w:rsidRPr="00AA1A20">
        <w:rPr>
          <w:rFonts w:cs="Open Sans"/>
        </w:rPr>
        <w:t>acts or things</w:t>
      </w:r>
      <w:r w:rsidR="00BF258D" w:rsidRPr="00AA1A20">
        <w:rPr>
          <w:rFonts w:cs="Open Sans"/>
        </w:rPr>
        <w:t>’</w:t>
      </w:r>
      <w:r w:rsidRPr="00AA1A20">
        <w:rPr>
          <w:rFonts w:cs="Open Sans"/>
        </w:rPr>
        <w:t xml:space="preserve"> </w:t>
      </w:r>
      <w:r w:rsidR="0045433A" w:rsidRPr="00AA1A20">
        <w:rPr>
          <w:rFonts w:cs="Open Sans"/>
        </w:rPr>
        <w:t xml:space="preserve">for the purposes of a TCN </w:t>
      </w:r>
      <w:r w:rsidRPr="00AA1A20">
        <w:rPr>
          <w:rFonts w:cs="Open Sans"/>
        </w:rPr>
        <w:t>b</w:t>
      </w:r>
      <w:r w:rsidR="0045433A" w:rsidRPr="00AA1A20">
        <w:rPr>
          <w:rFonts w:cs="Open Sans"/>
        </w:rPr>
        <w:t>y way of legislative instrument.</w:t>
      </w:r>
    </w:p>
    <w:p w14:paraId="19684450" w14:textId="77777777" w:rsidR="007A4062" w:rsidRPr="00AA1A20" w:rsidRDefault="007A4062" w:rsidP="006C5FBB">
      <w:pPr>
        <w:pStyle w:val="Bullet"/>
        <w:numPr>
          <w:ilvl w:val="0"/>
          <w:numId w:val="0"/>
        </w:numPr>
        <w:spacing w:before="120"/>
        <w:ind w:left="720"/>
        <w:rPr>
          <w:rFonts w:cs="Open Sans"/>
          <w:b/>
        </w:rPr>
      </w:pPr>
      <w:r w:rsidRPr="00AA1A20">
        <w:rPr>
          <w:rFonts w:cs="Open Sans"/>
          <w:b/>
        </w:rPr>
        <w:t>Recommendation 6</w:t>
      </w:r>
    </w:p>
    <w:p w14:paraId="1D13F77C" w14:textId="4E51F7D5" w:rsidR="007A4062" w:rsidRPr="00AA1A20" w:rsidRDefault="007A4062" w:rsidP="006C5FBB">
      <w:pPr>
        <w:pStyle w:val="Bullet"/>
        <w:numPr>
          <w:ilvl w:val="0"/>
          <w:numId w:val="0"/>
        </w:numPr>
        <w:spacing w:before="120"/>
        <w:ind w:left="720"/>
        <w:rPr>
          <w:rFonts w:cs="Open Sans"/>
        </w:rPr>
      </w:pPr>
      <w:proofErr w:type="gramStart"/>
      <w:r w:rsidRPr="00AA1A20">
        <w:rPr>
          <w:rFonts w:cs="Open Sans"/>
        </w:rPr>
        <w:t xml:space="preserve">In the event that Recommendation 5 is not accepted, that the decision-making criteria in proposed s 317T(6) of the </w:t>
      </w:r>
      <w:r w:rsidRPr="00AA1A20">
        <w:rPr>
          <w:rFonts w:cs="Open Sans"/>
          <w:i/>
        </w:rPr>
        <w:t xml:space="preserve">Telecommunications Act 1997 </w:t>
      </w:r>
      <w:r w:rsidRPr="00AA1A20">
        <w:rPr>
          <w:rFonts w:cs="Open Sans"/>
        </w:rPr>
        <w:t xml:space="preserve">(Cth) be amended to require the Minister to consider the right to privacy </w:t>
      </w:r>
      <w:r w:rsidR="003A5594" w:rsidRPr="00AA1A20">
        <w:rPr>
          <w:rFonts w:cs="Open Sans"/>
        </w:rPr>
        <w:t xml:space="preserve">and other human rights </w:t>
      </w:r>
      <w:r w:rsidRPr="00AA1A20">
        <w:rPr>
          <w:rFonts w:cs="Open Sans"/>
        </w:rPr>
        <w:t xml:space="preserve">before making a legislative instrument that will expand the definition of </w:t>
      </w:r>
      <w:r w:rsidR="00BF258D" w:rsidRPr="00AA1A20">
        <w:rPr>
          <w:rFonts w:cs="Open Sans"/>
        </w:rPr>
        <w:t>‘</w:t>
      </w:r>
      <w:r w:rsidRPr="00AA1A20">
        <w:rPr>
          <w:rFonts w:cs="Open Sans"/>
        </w:rPr>
        <w:t>acts or things</w:t>
      </w:r>
      <w:r w:rsidR="00BF258D" w:rsidRPr="00AA1A20">
        <w:rPr>
          <w:rFonts w:cs="Open Sans"/>
        </w:rPr>
        <w:t>’</w:t>
      </w:r>
      <w:r w:rsidRPr="00AA1A20">
        <w:rPr>
          <w:rFonts w:cs="Open Sans"/>
        </w:rPr>
        <w:t xml:space="preserve"> for the purpose of a TCN, and only allow the exercise of power if the Minister is satisfied that the limitation of the right to privacy</w:t>
      </w:r>
      <w:r w:rsidR="003A5594" w:rsidRPr="00AA1A20">
        <w:rPr>
          <w:rFonts w:cs="Open Sans"/>
        </w:rPr>
        <w:t xml:space="preserve"> and other human rights</w:t>
      </w:r>
      <w:r w:rsidRPr="00AA1A20">
        <w:rPr>
          <w:rFonts w:cs="Open Sans"/>
        </w:rPr>
        <w:t xml:space="preserve"> is necessary and proportionate in all of the circumstances of a particular case.</w:t>
      </w:r>
      <w:proofErr w:type="gramEnd"/>
      <w:r w:rsidRPr="00AA1A20">
        <w:rPr>
          <w:rFonts w:cs="Open Sans"/>
        </w:rPr>
        <w:t xml:space="preserve"> </w:t>
      </w:r>
    </w:p>
    <w:p w14:paraId="4CBE9AE0" w14:textId="77777777" w:rsidR="003D25FB" w:rsidRPr="00AA1A20" w:rsidRDefault="003D25FB" w:rsidP="006C5FBB">
      <w:pPr>
        <w:pStyle w:val="Bullet"/>
        <w:numPr>
          <w:ilvl w:val="0"/>
          <w:numId w:val="0"/>
        </w:numPr>
        <w:spacing w:before="120"/>
        <w:ind w:left="720"/>
        <w:rPr>
          <w:rFonts w:cs="Open Sans"/>
          <w:b/>
        </w:rPr>
      </w:pPr>
      <w:r w:rsidRPr="00AA1A20">
        <w:rPr>
          <w:rFonts w:cs="Open Sans"/>
          <w:b/>
        </w:rPr>
        <w:t>Recommendation 7</w:t>
      </w:r>
    </w:p>
    <w:p w14:paraId="7113460B" w14:textId="46010926" w:rsidR="003D25FB" w:rsidRPr="00AA1A20" w:rsidRDefault="003D25FB" w:rsidP="006C5FBB">
      <w:pPr>
        <w:pStyle w:val="Bullet"/>
        <w:numPr>
          <w:ilvl w:val="0"/>
          <w:numId w:val="0"/>
        </w:numPr>
        <w:spacing w:before="120"/>
        <w:ind w:left="720"/>
        <w:rPr>
          <w:rFonts w:cs="Open Sans"/>
        </w:rPr>
      </w:pPr>
      <w:r w:rsidRPr="00AA1A20">
        <w:rPr>
          <w:rFonts w:cs="Open Sans"/>
        </w:rPr>
        <w:t>In the event that Recommendation 5 is not accepted, proposed s</w:t>
      </w:r>
      <w:r w:rsidR="002E6863" w:rsidRPr="00AA1A20">
        <w:rPr>
          <w:rFonts w:cs="Open Sans"/>
        </w:rPr>
        <w:t> </w:t>
      </w:r>
      <w:proofErr w:type="gramStart"/>
      <w:r w:rsidRPr="00AA1A20">
        <w:rPr>
          <w:rFonts w:cs="Open Sans"/>
        </w:rPr>
        <w:t>317T(</w:t>
      </w:r>
      <w:proofErr w:type="gramEnd"/>
      <w:r w:rsidRPr="00AA1A20">
        <w:rPr>
          <w:rFonts w:cs="Open Sans"/>
        </w:rPr>
        <w:t xml:space="preserve">5) of the </w:t>
      </w:r>
      <w:r w:rsidRPr="00AA1A20">
        <w:rPr>
          <w:rFonts w:cs="Open Sans"/>
          <w:i/>
        </w:rPr>
        <w:t xml:space="preserve">Telecommunications Act 1997 </w:t>
      </w:r>
      <w:r w:rsidRPr="00AA1A20">
        <w:rPr>
          <w:rFonts w:cs="Open Sans"/>
        </w:rPr>
        <w:t xml:space="preserve">(Cth) be amended to make clear that a legislative instrument that expands the definition of </w:t>
      </w:r>
      <w:r w:rsidR="00BF258D" w:rsidRPr="00AA1A20">
        <w:rPr>
          <w:rFonts w:cs="Open Sans"/>
        </w:rPr>
        <w:t>‘</w:t>
      </w:r>
      <w:r w:rsidRPr="00AA1A20">
        <w:rPr>
          <w:rFonts w:cs="Open Sans"/>
        </w:rPr>
        <w:t>acts or things</w:t>
      </w:r>
      <w:r w:rsidR="00BF258D" w:rsidRPr="00AA1A20">
        <w:rPr>
          <w:rFonts w:cs="Open Sans"/>
        </w:rPr>
        <w:t>’</w:t>
      </w:r>
      <w:r w:rsidRPr="00AA1A20">
        <w:rPr>
          <w:rFonts w:cs="Open Sans"/>
        </w:rPr>
        <w:t xml:space="preserve"> for the purpose of a TCN is a disallowable instrument. </w:t>
      </w:r>
    </w:p>
    <w:p w14:paraId="39A36A90" w14:textId="77777777" w:rsidR="003D25FB" w:rsidRPr="00AA1A20" w:rsidRDefault="003D25FB" w:rsidP="006C5FBB">
      <w:pPr>
        <w:pStyle w:val="Bullet"/>
        <w:numPr>
          <w:ilvl w:val="0"/>
          <w:numId w:val="0"/>
        </w:numPr>
        <w:spacing w:before="120"/>
        <w:ind w:left="720"/>
        <w:rPr>
          <w:rFonts w:cs="Open Sans"/>
          <w:b/>
        </w:rPr>
      </w:pPr>
      <w:r w:rsidRPr="00AA1A20">
        <w:rPr>
          <w:rFonts w:cs="Open Sans"/>
          <w:b/>
        </w:rPr>
        <w:t>Recommendation 8</w:t>
      </w:r>
    </w:p>
    <w:p w14:paraId="54D6F440" w14:textId="7298C358" w:rsidR="003D25FB" w:rsidRPr="00AA1A20" w:rsidRDefault="003D25FB" w:rsidP="006C5FBB">
      <w:pPr>
        <w:pStyle w:val="Bullet"/>
        <w:numPr>
          <w:ilvl w:val="0"/>
          <w:numId w:val="0"/>
        </w:numPr>
        <w:spacing w:before="120"/>
        <w:ind w:left="720"/>
        <w:rPr>
          <w:rFonts w:cs="Open Sans"/>
        </w:rPr>
      </w:pPr>
      <w:r w:rsidRPr="00AA1A20">
        <w:rPr>
          <w:rFonts w:cs="Open Sans"/>
        </w:rPr>
        <w:t>Proposed ss 317G(5)(a), 317L(2)(c)(</w:t>
      </w:r>
      <w:proofErr w:type="spellStart"/>
      <w:r w:rsidRPr="00AA1A20">
        <w:rPr>
          <w:rFonts w:cs="Open Sans"/>
        </w:rPr>
        <w:t>i</w:t>
      </w:r>
      <w:proofErr w:type="spellEnd"/>
      <w:r w:rsidRPr="00AA1A20">
        <w:rPr>
          <w:rFonts w:cs="Open Sans"/>
        </w:rPr>
        <w:t xml:space="preserve">), 317T(3)(a) of the </w:t>
      </w:r>
      <w:r w:rsidRPr="00AA1A20">
        <w:rPr>
          <w:rFonts w:cs="Open Sans"/>
          <w:i/>
        </w:rPr>
        <w:t xml:space="preserve">Telecommunications Act 1997 </w:t>
      </w:r>
      <w:r w:rsidRPr="00AA1A20">
        <w:rPr>
          <w:rFonts w:cs="Open Sans"/>
        </w:rPr>
        <w:t>(Cth) be amended to limit the relevant objectives that permit the giving or varying of a TAR, TAN or TCN to those related to serious crimes under Australian law.</w:t>
      </w:r>
    </w:p>
    <w:p w14:paraId="72A7939F" w14:textId="77777777" w:rsidR="003D25FB" w:rsidRPr="00AA1A20" w:rsidRDefault="003D25FB" w:rsidP="006C5FBB">
      <w:pPr>
        <w:pStyle w:val="Bullet"/>
        <w:numPr>
          <w:ilvl w:val="0"/>
          <w:numId w:val="0"/>
        </w:numPr>
        <w:spacing w:before="120"/>
        <w:ind w:left="720"/>
        <w:rPr>
          <w:rFonts w:cs="Open Sans"/>
          <w:b/>
        </w:rPr>
      </w:pPr>
      <w:r w:rsidRPr="00AA1A20">
        <w:rPr>
          <w:rFonts w:cs="Open Sans"/>
          <w:b/>
        </w:rPr>
        <w:t xml:space="preserve">Recommendation 9 </w:t>
      </w:r>
    </w:p>
    <w:p w14:paraId="19F11875" w14:textId="1C5A9510" w:rsidR="003D25FB" w:rsidRPr="00AA1A20" w:rsidRDefault="002D1255" w:rsidP="006C5FBB">
      <w:pPr>
        <w:pStyle w:val="Bullet"/>
        <w:numPr>
          <w:ilvl w:val="0"/>
          <w:numId w:val="0"/>
        </w:numPr>
        <w:spacing w:before="120"/>
        <w:ind w:left="720"/>
        <w:rPr>
          <w:rFonts w:cs="Open Sans"/>
        </w:rPr>
      </w:pPr>
      <w:r w:rsidRPr="00AA1A20">
        <w:rPr>
          <w:rFonts w:cs="Open Sans"/>
        </w:rPr>
        <w:t>Proposed s</w:t>
      </w:r>
      <w:r w:rsidR="003D25FB" w:rsidRPr="00AA1A20">
        <w:rPr>
          <w:rFonts w:cs="Open Sans"/>
        </w:rPr>
        <w:t> </w:t>
      </w:r>
      <w:proofErr w:type="gramStart"/>
      <w:r w:rsidR="003D25FB" w:rsidRPr="00AA1A20">
        <w:rPr>
          <w:rFonts w:cs="Open Sans"/>
        </w:rPr>
        <w:t>317G(</w:t>
      </w:r>
      <w:proofErr w:type="gramEnd"/>
      <w:r w:rsidR="003D25FB" w:rsidRPr="00AA1A20">
        <w:rPr>
          <w:rFonts w:cs="Open Sans"/>
        </w:rPr>
        <w:t xml:space="preserve">5) of the </w:t>
      </w:r>
      <w:r w:rsidR="003D25FB" w:rsidRPr="00AA1A20">
        <w:rPr>
          <w:rFonts w:cs="Open Sans"/>
          <w:i/>
        </w:rPr>
        <w:t xml:space="preserve">Telecommunications Act 1997 </w:t>
      </w:r>
      <w:r w:rsidR="003D25FB" w:rsidRPr="00AA1A20">
        <w:rPr>
          <w:rFonts w:cs="Open Sans"/>
        </w:rPr>
        <w:t>(Cth) be amended to align the ‘relevant objectives’ applicable to TARs with those applicable to TANs and TCNs.</w:t>
      </w:r>
    </w:p>
    <w:p w14:paraId="017DD321" w14:textId="77777777" w:rsidR="00E27281" w:rsidRPr="00AA1A20" w:rsidRDefault="00E27281" w:rsidP="006C5FBB">
      <w:pPr>
        <w:pStyle w:val="Bullet"/>
        <w:numPr>
          <w:ilvl w:val="0"/>
          <w:numId w:val="0"/>
        </w:numPr>
        <w:spacing w:before="120"/>
        <w:ind w:left="720"/>
        <w:rPr>
          <w:rFonts w:cs="Open Sans"/>
          <w:b/>
        </w:rPr>
      </w:pPr>
      <w:r w:rsidRPr="00AA1A20">
        <w:rPr>
          <w:rFonts w:cs="Open Sans"/>
          <w:b/>
        </w:rPr>
        <w:t>Recommendation 10</w:t>
      </w:r>
    </w:p>
    <w:p w14:paraId="333BACC4" w14:textId="15CC60B2" w:rsidR="00E27281" w:rsidRPr="00AA1A20" w:rsidRDefault="00E27281" w:rsidP="006C5FBB">
      <w:pPr>
        <w:pStyle w:val="Bullet"/>
        <w:numPr>
          <w:ilvl w:val="0"/>
          <w:numId w:val="0"/>
        </w:numPr>
        <w:spacing w:before="120"/>
        <w:ind w:left="720"/>
        <w:rPr>
          <w:rFonts w:cs="Open Sans"/>
        </w:rPr>
      </w:pPr>
      <w:r w:rsidRPr="00AA1A20">
        <w:rPr>
          <w:rFonts w:cs="Open Sans"/>
        </w:rPr>
        <w:t xml:space="preserve">The decision-making criteria in proposed ss 317P, </w:t>
      </w:r>
      <w:proofErr w:type="gramStart"/>
      <w:r w:rsidRPr="00AA1A20">
        <w:rPr>
          <w:rFonts w:cs="Open Sans"/>
        </w:rPr>
        <w:t>317Q(</w:t>
      </w:r>
      <w:proofErr w:type="gramEnd"/>
      <w:r w:rsidRPr="00AA1A20">
        <w:rPr>
          <w:rFonts w:cs="Open Sans"/>
        </w:rPr>
        <w:t xml:space="preserve">10), 317V and 317X(4) of the </w:t>
      </w:r>
      <w:r w:rsidRPr="00AA1A20">
        <w:rPr>
          <w:rFonts w:cs="Open Sans"/>
          <w:i/>
        </w:rPr>
        <w:t xml:space="preserve">Telecommunications Act 1997 </w:t>
      </w:r>
      <w:r w:rsidRPr="00AA1A20">
        <w:rPr>
          <w:rFonts w:cs="Open Sans"/>
        </w:rPr>
        <w:t>(Cth) be amended to include ‘necessity’ as a mandatory consideration.</w:t>
      </w:r>
    </w:p>
    <w:p w14:paraId="52F20A0A" w14:textId="77777777" w:rsidR="00D925F0" w:rsidRPr="00AA1A20" w:rsidRDefault="00D925F0" w:rsidP="006C5FBB">
      <w:pPr>
        <w:pStyle w:val="Bullet"/>
        <w:numPr>
          <w:ilvl w:val="0"/>
          <w:numId w:val="0"/>
        </w:numPr>
        <w:spacing w:before="120"/>
        <w:ind w:left="720"/>
        <w:rPr>
          <w:rFonts w:cs="Open Sans"/>
          <w:b/>
        </w:rPr>
      </w:pPr>
      <w:r w:rsidRPr="00AA1A20">
        <w:rPr>
          <w:rFonts w:cs="Open Sans"/>
          <w:b/>
        </w:rPr>
        <w:t>Recommendation 11</w:t>
      </w:r>
    </w:p>
    <w:p w14:paraId="59AF9008" w14:textId="1E363114" w:rsidR="00D925F0" w:rsidRPr="00AA1A20" w:rsidRDefault="00D925F0" w:rsidP="006C5FBB">
      <w:pPr>
        <w:pStyle w:val="Bullet"/>
        <w:numPr>
          <w:ilvl w:val="0"/>
          <w:numId w:val="0"/>
        </w:numPr>
        <w:spacing w:before="120"/>
        <w:ind w:left="720"/>
        <w:rPr>
          <w:rFonts w:cs="Open Sans"/>
        </w:rPr>
      </w:pPr>
      <w:r w:rsidRPr="00AA1A20">
        <w:rPr>
          <w:rFonts w:cs="Open Sans"/>
        </w:rPr>
        <w:t xml:space="preserve">The decision-making criteria in proposed ss 317P, </w:t>
      </w:r>
      <w:proofErr w:type="gramStart"/>
      <w:r w:rsidRPr="00AA1A20">
        <w:rPr>
          <w:rFonts w:cs="Open Sans"/>
        </w:rPr>
        <w:t>317Q(</w:t>
      </w:r>
      <w:proofErr w:type="gramEnd"/>
      <w:r w:rsidRPr="00AA1A20">
        <w:rPr>
          <w:rFonts w:cs="Open Sans"/>
        </w:rPr>
        <w:t xml:space="preserve">10), 317V and 317X(4) of the </w:t>
      </w:r>
      <w:r w:rsidRPr="00AA1A20">
        <w:rPr>
          <w:rFonts w:cs="Open Sans"/>
          <w:i/>
        </w:rPr>
        <w:t xml:space="preserve">Telecommunications Act 1997 </w:t>
      </w:r>
      <w:r w:rsidRPr="00AA1A20">
        <w:rPr>
          <w:rFonts w:cs="Open Sans"/>
        </w:rPr>
        <w:t>(Cth) be amended to require the decision maker to be satisfied that the giving or varying of a notice would not require the recipient to breach the s 317ZG systemic weakness limitation.</w:t>
      </w:r>
    </w:p>
    <w:p w14:paraId="7F8CD98D" w14:textId="77777777" w:rsidR="00D925F0" w:rsidRPr="00AA1A20" w:rsidRDefault="00D925F0" w:rsidP="006C5FBB">
      <w:pPr>
        <w:pStyle w:val="Bullet"/>
        <w:numPr>
          <w:ilvl w:val="0"/>
          <w:numId w:val="0"/>
        </w:numPr>
        <w:spacing w:before="120"/>
        <w:ind w:left="720"/>
        <w:rPr>
          <w:rFonts w:cs="Open Sans"/>
          <w:b/>
        </w:rPr>
      </w:pPr>
      <w:r w:rsidRPr="00AA1A20">
        <w:rPr>
          <w:rFonts w:cs="Open Sans"/>
          <w:b/>
        </w:rPr>
        <w:lastRenderedPageBreak/>
        <w:t xml:space="preserve">Recommendation 12 </w:t>
      </w:r>
    </w:p>
    <w:p w14:paraId="7F742B3F" w14:textId="5316E15E" w:rsidR="00D925F0" w:rsidRPr="00AA1A20" w:rsidRDefault="00D925F0" w:rsidP="006C5FBB">
      <w:pPr>
        <w:pStyle w:val="Bullet"/>
        <w:numPr>
          <w:ilvl w:val="0"/>
          <w:numId w:val="0"/>
        </w:numPr>
        <w:spacing w:before="120"/>
        <w:ind w:left="720"/>
        <w:rPr>
          <w:rFonts w:cs="Open Sans"/>
        </w:rPr>
      </w:pPr>
      <w:proofErr w:type="gramStart"/>
      <w:r w:rsidRPr="00AA1A20">
        <w:rPr>
          <w:rFonts w:cs="Open Sans"/>
        </w:rPr>
        <w:t xml:space="preserve">The decision-making criteria in proposed ss 317P, 317Q(10), 317V and 317X(4) of the </w:t>
      </w:r>
      <w:r w:rsidRPr="00AA1A20">
        <w:rPr>
          <w:rFonts w:cs="Open Sans"/>
          <w:i/>
        </w:rPr>
        <w:t xml:space="preserve">Telecommunications Act 1997 </w:t>
      </w:r>
      <w:r w:rsidRPr="00AA1A20">
        <w:rPr>
          <w:rFonts w:cs="Open Sans"/>
        </w:rPr>
        <w:t xml:space="preserve">(Cth) be amended to require the decision maker to consider the impacts of the giving or varying of a notice on </w:t>
      </w:r>
      <w:r w:rsidR="003A5594" w:rsidRPr="00AA1A20">
        <w:rPr>
          <w:rFonts w:cs="Open Sans"/>
        </w:rPr>
        <w:t>human rights especially</w:t>
      </w:r>
      <w:r w:rsidRPr="00AA1A20">
        <w:rPr>
          <w:rFonts w:cs="Open Sans"/>
        </w:rPr>
        <w:t xml:space="preserve"> privacy, on cyber security and on innocent third parties, and only allow the exercise of power if the decision maker is satisfied that the limitation of the right to privacy </w:t>
      </w:r>
      <w:r w:rsidR="00D762F0">
        <w:rPr>
          <w:rFonts w:cs="Open Sans"/>
        </w:rPr>
        <w:t>and other human rights</w:t>
      </w:r>
      <w:r w:rsidR="00D762F0" w:rsidRPr="00AA1A20">
        <w:rPr>
          <w:rFonts w:cs="Open Sans"/>
        </w:rPr>
        <w:t xml:space="preserve"> </w:t>
      </w:r>
      <w:r w:rsidRPr="00AA1A20">
        <w:rPr>
          <w:rFonts w:cs="Open Sans"/>
        </w:rPr>
        <w:t>is necessary and proportionate in all of the circumstances of a particular case.</w:t>
      </w:r>
      <w:proofErr w:type="gramEnd"/>
      <w:r w:rsidRPr="00AA1A20">
        <w:rPr>
          <w:rFonts w:cs="Open Sans"/>
        </w:rPr>
        <w:t xml:space="preserve"> </w:t>
      </w:r>
    </w:p>
    <w:p w14:paraId="02A4B9E6" w14:textId="77777777" w:rsidR="00D925F0" w:rsidRPr="00AA1A20" w:rsidRDefault="00D925F0" w:rsidP="006C5FBB">
      <w:pPr>
        <w:pStyle w:val="Bullet"/>
        <w:numPr>
          <w:ilvl w:val="0"/>
          <w:numId w:val="0"/>
        </w:numPr>
        <w:spacing w:before="120"/>
        <w:ind w:left="720"/>
        <w:rPr>
          <w:rFonts w:cs="Open Sans"/>
          <w:b/>
        </w:rPr>
      </w:pPr>
      <w:r w:rsidRPr="00AA1A20">
        <w:rPr>
          <w:rFonts w:cs="Open Sans"/>
          <w:b/>
        </w:rPr>
        <w:t>Recommendation 13</w:t>
      </w:r>
    </w:p>
    <w:p w14:paraId="1A8DA69F" w14:textId="3596161B" w:rsidR="00D925F0" w:rsidRPr="00AA1A20" w:rsidRDefault="00D925F0" w:rsidP="006C5FBB">
      <w:pPr>
        <w:pStyle w:val="Bullet"/>
        <w:numPr>
          <w:ilvl w:val="0"/>
          <w:numId w:val="0"/>
        </w:numPr>
        <w:spacing w:before="120"/>
        <w:ind w:left="720"/>
        <w:rPr>
          <w:rFonts w:cs="Open Sans"/>
        </w:rPr>
      </w:pPr>
      <w:r w:rsidRPr="00AA1A20">
        <w:rPr>
          <w:rFonts w:cs="Open Sans"/>
        </w:rPr>
        <w:t xml:space="preserve">Proposed s 317G of the </w:t>
      </w:r>
      <w:r w:rsidRPr="00AA1A20">
        <w:rPr>
          <w:rFonts w:cs="Open Sans"/>
          <w:i/>
        </w:rPr>
        <w:t xml:space="preserve">Telecommunications Act 1997 </w:t>
      </w:r>
      <w:r w:rsidRPr="00AA1A20">
        <w:rPr>
          <w:rFonts w:cs="Open Sans"/>
        </w:rPr>
        <w:t>(Cth) be amended to insert a provision setting out the decision-making criteria applicable to the issue of TARs, in the same terms as those applicable to TANs and TCNs.</w:t>
      </w:r>
    </w:p>
    <w:p w14:paraId="3284C773" w14:textId="77777777" w:rsidR="00390259" w:rsidRPr="00AA1A20" w:rsidRDefault="00390259" w:rsidP="006C5FBB">
      <w:pPr>
        <w:pStyle w:val="Bullet"/>
        <w:numPr>
          <w:ilvl w:val="0"/>
          <w:numId w:val="0"/>
        </w:numPr>
        <w:spacing w:before="120"/>
        <w:ind w:left="720"/>
        <w:rPr>
          <w:rFonts w:cs="Open Sans"/>
          <w:b/>
        </w:rPr>
      </w:pPr>
      <w:r w:rsidRPr="00AA1A20">
        <w:rPr>
          <w:rFonts w:cs="Open Sans"/>
          <w:b/>
        </w:rPr>
        <w:t>Recommendation 14</w:t>
      </w:r>
    </w:p>
    <w:p w14:paraId="6094834F" w14:textId="6848F965" w:rsidR="00390259" w:rsidRPr="00AA1A20" w:rsidRDefault="00390259" w:rsidP="006C5FBB">
      <w:pPr>
        <w:pStyle w:val="Bullet"/>
        <w:numPr>
          <w:ilvl w:val="0"/>
          <w:numId w:val="0"/>
        </w:numPr>
        <w:spacing w:before="120"/>
        <w:ind w:left="720"/>
        <w:rPr>
          <w:rFonts w:cs="Open Sans"/>
        </w:rPr>
      </w:pPr>
      <w:r w:rsidRPr="00AA1A20">
        <w:rPr>
          <w:rFonts w:cs="Open Sans"/>
        </w:rPr>
        <w:t xml:space="preserve">Proposed s 317ZG of the </w:t>
      </w:r>
      <w:r w:rsidRPr="00AA1A20">
        <w:rPr>
          <w:rFonts w:cs="Open Sans"/>
          <w:i/>
        </w:rPr>
        <w:t xml:space="preserve">Telecommunications Act 1997 </w:t>
      </w:r>
      <w:r w:rsidRPr="00AA1A20">
        <w:rPr>
          <w:rFonts w:cs="Open Sans"/>
        </w:rPr>
        <w:t>(Cth) be amended to provide precise and clear definitions of ‘systemic vulnerability’ and ‘systemic weakness’.</w:t>
      </w:r>
    </w:p>
    <w:p w14:paraId="02E76749" w14:textId="77777777" w:rsidR="00390259" w:rsidRPr="00AA1A20" w:rsidRDefault="00390259" w:rsidP="006C5FBB">
      <w:pPr>
        <w:pStyle w:val="Bullet"/>
        <w:numPr>
          <w:ilvl w:val="0"/>
          <w:numId w:val="0"/>
        </w:numPr>
        <w:spacing w:before="120"/>
        <w:ind w:left="720"/>
        <w:rPr>
          <w:rFonts w:cs="Open Sans"/>
          <w:b/>
        </w:rPr>
      </w:pPr>
      <w:r w:rsidRPr="00AA1A20">
        <w:rPr>
          <w:rFonts w:cs="Open Sans"/>
          <w:b/>
        </w:rPr>
        <w:t>Recommendation 15</w:t>
      </w:r>
    </w:p>
    <w:p w14:paraId="45CABA54" w14:textId="23D36DEC" w:rsidR="00390259" w:rsidRPr="00AA1A20" w:rsidRDefault="002D1255" w:rsidP="006C5FBB">
      <w:pPr>
        <w:pStyle w:val="Bullet"/>
        <w:numPr>
          <w:ilvl w:val="0"/>
          <w:numId w:val="0"/>
        </w:numPr>
        <w:spacing w:before="120"/>
        <w:ind w:left="720"/>
        <w:rPr>
          <w:rFonts w:cs="Open Sans"/>
        </w:rPr>
      </w:pPr>
      <w:r w:rsidRPr="00AA1A20">
        <w:rPr>
          <w:rFonts w:cs="Open Sans"/>
        </w:rPr>
        <w:t>Proposed s</w:t>
      </w:r>
      <w:r w:rsidR="00390259" w:rsidRPr="00AA1A20">
        <w:rPr>
          <w:rFonts w:cs="Open Sans"/>
        </w:rPr>
        <w:t xml:space="preserve"> 317ZG of the </w:t>
      </w:r>
      <w:r w:rsidR="00390259" w:rsidRPr="00AA1A20">
        <w:rPr>
          <w:rFonts w:cs="Open Sans"/>
          <w:i/>
        </w:rPr>
        <w:t xml:space="preserve">Telecommunications Act 1997 </w:t>
      </w:r>
      <w:r w:rsidR="00390259" w:rsidRPr="00AA1A20">
        <w:rPr>
          <w:rFonts w:cs="Open Sans"/>
        </w:rPr>
        <w:t xml:space="preserve">(Cth) be amended to apply </w:t>
      </w:r>
      <w:r w:rsidR="00504041" w:rsidRPr="00AA1A20">
        <w:rPr>
          <w:rFonts w:cs="Open Sans"/>
        </w:rPr>
        <w:t>the systemic weakness limitation</w:t>
      </w:r>
      <w:r w:rsidR="00504041" w:rsidRPr="00AA1A20">
        <w:rPr>
          <w:rFonts w:cs="Open Sans"/>
          <w:b/>
        </w:rPr>
        <w:t xml:space="preserve"> </w:t>
      </w:r>
      <w:r w:rsidR="00390259" w:rsidRPr="00AA1A20">
        <w:rPr>
          <w:rFonts w:cs="Open Sans"/>
        </w:rPr>
        <w:t xml:space="preserve">to technical assistance requests. </w:t>
      </w:r>
    </w:p>
    <w:p w14:paraId="7F29623A" w14:textId="77777777" w:rsidR="00390259" w:rsidRPr="00AA1A20" w:rsidRDefault="00390259" w:rsidP="006C5FBB">
      <w:pPr>
        <w:pStyle w:val="ListNumber"/>
        <w:numPr>
          <w:ilvl w:val="0"/>
          <w:numId w:val="0"/>
        </w:numPr>
        <w:ind w:left="720"/>
        <w:rPr>
          <w:rFonts w:cs="Open Sans"/>
          <w:b/>
        </w:rPr>
      </w:pPr>
      <w:r w:rsidRPr="00AA1A20">
        <w:rPr>
          <w:rFonts w:cs="Open Sans"/>
          <w:b/>
        </w:rPr>
        <w:t>Recommendation 16</w:t>
      </w:r>
    </w:p>
    <w:p w14:paraId="69AE3C2E" w14:textId="0E9181B3" w:rsidR="00390259" w:rsidRPr="00AA1A20" w:rsidRDefault="00390259" w:rsidP="006C5FBB">
      <w:pPr>
        <w:pStyle w:val="ListNumber"/>
        <w:numPr>
          <w:ilvl w:val="0"/>
          <w:numId w:val="0"/>
        </w:numPr>
        <w:ind w:left="720"/>
        <w:rPr>
          <w:rFonts w:cs="Open Sans"/>
        </w:rPr>
      </w:pPr>
      <w:r w:rsidRPr="00AA1A20">
        <w:rPr>
          <w:rFonts w:cs="Open Sans"/>
        </w:rPr>
        <w:t xml:space="preserve">Serious consideration be given to redrafting proposed new Pt 15 of the </w:t>
      </w:r>
      <w:r w:rsidRPr="00AA1A20">
        <w:rPr>
          <w:rFonts w:cs="Open Sans"/>
          <w:i/>
        </w:rPr>
        <w:t>Telecommunications Act 1997</w:t>
      </w:r>
      <w:r w:rsidRPr="00AA1A20">
        <w:rPr>
          <w:rFonts w:cs="Open Sans"/>
        </w:rPr>
        <w:t xml:space="preserve"> (Cth), to require a warrant to be a precondition of the giving of a request or notice.</w:t>
      </w:r>
    </w:p>
    <w:p w14:paraId="2F07AAF7" w14:textId="77777777" w:rsidR="00390259" w:rsidRPr="00AA1A20" w:rsidRDefault="00390259" w:rsidP="006C5FBB">
      <w:pPr>
        <w:pStyle w:val="ListNumber"/>
        <w:numPr>
          <w:ilvl w:val="0"/>
          <w:numId w:val="0"/>
        </w:numPr>
        <w:ind w:left="720"/>
        <w:rPr>
          <w:rFonts w:cs="Open Sans"/>
          <w:b/>
        </w:rPr>
      </w:pPr>
      <w:r w:rsidRPr="00AA1A20">
        <w:rPr>
          <w:rFonts w:cs="Open Sans"/>
          <w:b/>
        </w:rPr>
        <w:t>Recommendation 17</w:t>
      </w:r>
    </w:p>
    <w:p w14:paraId="79865172" w14:textId="24E82112" w:rsidR="00390259" w:rsidRPr="00AA1A20" w:rsidRDefault="00390259" w:rsidP="006C5FBB">
      <w:pPr>
        <w:pStyle w:val="ListNumber"/>
        <w:numPr>
          <w:ilvl w:val="0"/>
          <w:numId w:val="0"/>
        </w:numPr>
        <w:ind w:left="720"/>
        <w:rPr>
          <w:rFonts w:cs="Open Sans"/>
        </w:rPr>
      </w:pPr>
      <w:r w:rsidRPr="00AA1A20">
        <w:rPr>
          <w:rFonts w:cs="Open Sans"/>
        </w:rPr>
        <w:t xml:space="preserve">Proposed s 317ZH of the </w:t>
      </w:r>
      <w:r w:rsidRPr="00AA1A20">
        <w:rPr>
          <w:rFonts w:cs="Open Sans"/>
          <w:i/>
        </w:rPr>
        <w:t xml:space="preserve">Telecommunications Act 1997 </w:t>
      </w:r>
      <w:r w:rsidRPr="00AA1A20">
        <w:rPr>
          <w:rFonts w:cs="Open Sans"/>
        </w:rPr>
        <w:t>(Cth) be amended to include references to TARs</w:t>
      </w:r>
      <w:r w:rsidR="00504041" w:rsidRPr="00AA1A20">
        <w:rPr>
          <w:rFonts w:cs="Open Sans"/>
        </w:rPr>
        <w:t xml:space="preserve"> as well as TANs and TCNS, </w:t>
      </w:r>
      <w:r w:rsidRPr="00AA1A20">
        <w:rPr>
          <w:rFonts w:cs="Open Sans"/>
        </w:rPr>
        <w:t xml:space="preserve">to provide that a TAR has no effect to the extent to which it requests the doing of </w:t>
      </w:r>
      <w:r w:rsidR="00BF258D" w:rsidRPr="00AA1A20">
        <w:rPr>
          <w:rFonts w:cs="Open Sans"/>
        </w:rPr>
        <w:t>‘</w:t>
      </w:r>
      <w:r w:rsidRPr="00AA1A20">
        <w:rPr>
          <w:rFonts w:cs="Open Sans"/>
        </w:rPr>
        <w:t>acts or things</w:t>
      </w:r>
      <w:r w:rsidR="00BF258D" w:rsidRPr="00AA1A20">
        <w:rPr>
          <w:rFonts w:cs="Open Sans"/>
        </w:rPr>
        <w:t>’</w:t>
      </w:r>
      <w:r w:rsidRPr="00AA1A20">
        <w:rPr>
          <w:rFonts w:cs="Open Sans"/>
        </w:rPr>
        <w:t xml:space="preserve"> for which a warrant or authorisation is required.</w:t>
      </w:r>
    </w:p>
    <w:p w14:paraId="2CBD6834" w14:textId="77777777" w:rsidR="00390259" w:rsidRPr="00AA1A20" w:rsidRDefault="00390259" w:rsidP="006C5FBB">
      <w:pPr>
        <w:pStyle w:val="ListNumber"/>
        <w:numPr>
          <w:ilvl w:val="0"/>
          <w:numId w:val="0"/>
        </w:numPr>
        <w:ind w:left="720"/>
        <w:rPr>
          <w:rFonts w:cs="Open Sans"/>
          <w:b/>
        </w:rPr>
      </w:pPr>
      <w:r w:rsidRPr="00AA1A20">
        <w:rPr>
          <w:rFonts w:cs="Open Sans"/>
          <w:b/>
        </w:rPr>
        <w:t>Recommendation 18</w:t>
      </w:r>
    </w:p>
    <w:p w14:paraId="028BEADE" w14:textId="77777777" w:rsidR="00B40E85" w:rsidRDefault="00390259" w:rsidP="00B40E85">
      <w:pPr>
        <w:pStyle w:val="ListNumber"/>
        <w:numPr>
          <w:ilvl w:val="0"/>
          <w:numId w:val="0"/>
        </w:numPr>
        <w:ind w:left="720"/>
        <w:rPr>
          <w:rFonts w:cs="Open Sans"/>
        </w:rPr>
      </w:pPr>
      <w:r w:rsidRPr="00AA1A20">
        <w:rPr>
          <w:rFonts w:cs="Open Sans"/>
        </w:rPr>
        <w:t xml:space="preserve">Proposed ss 317H, 317JA, 317M, 317Q, 317T and 317X of the </w:t>
      </w:r>
      <w:r w:rsidRPr="00AA1A20">
        <w:rPr>
          <w:rFonts w:cs="Open Sans"/>
          <w:i/>
        </w:rPr>
        <w:t xml:space="preserve">Telecommunications Act 1997 </w:t>
      </w:r>
      <w:r w:rsidRPr="00AA1A20">
        <w:rPr>
          <w:rFonts w:cs="Open Sans"/>
        </w:rPr>
        <w:t xml:space="preserve">(Cth) be amended to require that the form of request or notice or </w:t>
      </w:r>
      <w:r w:rsidR="00396CA5" w:rsidRPr="00AA1A20">
        <w:rPr>
          <w:rFonts w:cs="Open Sans"/>
        </w:rPr>
        <w:t xml:space="preserve">a </w:t>
      </w:r>
      <w:r w:rsidRPr="00AA1A20">
        <w:rPr>
          <w:rFonts w:cs="Open Sans"/>
        </w:rPr>
        <w:t>varied request or notic</w:t>
      </w:r>
      <w:r w:rsidR="00B40E85">
        <w:rPr>
          <w:rFonts w:cs="Open Sans"/>
        </w:rPr>
        <w:t xml:space="preserve">e given to a provider include: </w:t>
      </w:r>
    </w:p>
    <w:p w14:paraId="5F3A6210" w14:textId="77777777" w:rsidR="00B40E85" w:rsidRDefault="00390259" w:rsidP="00B40E85">
      <w:pPr>
        <w:pStyle w:val="ListNumber"/>
        <w:numPr>
          <w:ilvl w:val="0"/>
          <w:numId w:val="84"/>
        </w:numPr>
        <w:rPr>
          <w:rFonts w:cs="Open Sans"/>
        </w:rPr>
      </w:pPr>
      <w:r w:rsidRPr="00AA1A20">
        <w:rPr>
          <w:rFonts w:cs="Open Sans"/>
        </w:rPr>
        <w:t xml:space="preserve">a statement about whether a relevant warrant has been issued and what it broadly permits </w:t>
      </w:r>
    </w:p>
    <w:p w14:paraId="211DFD8E" w14:textId="77777777" w:rsidR="00B40E85" w:rsidRDefault="00390259" w:rsidP="00B40E85">
      <w:pPr>
        <w:pStyle w:val="ListNumber"/>
        <w:numPr>
          <w:ilvl w:val="0"/>
          <w:numId w:val="84"/>
        </w:numPr>
        <w:rPr>
          <w:rFonts w:cs="Open Sans"/>
        </w:rPr>
      </w:pPr>
      <w:r w:rsidRPr="00B40E85">
        <w:rPr>
          <w:rFonts w:cs="Open Sans"/>
        </w:rPr>
        <w:lastRenderedPageBreak/>
        <w:t>general information about what actions are only permitted under a warrant</w:t>
      </w:r>
    </w:p>
    <w:p w14:paraId="1330D0AF" w14:textId="77777777" w:rsidR="00B40E85" w:rsidRDefault="00390259" w:rsidP="00B40E85">
      <w:pPr>
        <w:pStyle w:val="ListNumber"/>
        <w:numPr>
          <w:ilvl w:val="0"/>
          <w:numId w:val="84"/>
        </w:numPr>
        <w:rPr>
          <w:rFonts w:cs="Open Sans"/>
        </w:rPr>
      </w:pPr>
      <w:r w:rsidRPr="00B40E85">
        <w:rPr>
          <w:rFonts w:cs="Open Sans"/>
        </w:rPr>
        <w:t xml:space="preserve">whether compliance is voluntary or mandatory </w:t>
      </w:r>
    </w:p>
    <w:p w14:paraId="0F1B21DD" w14:textId="77777777" w:rsidR="00B40E85" w:rsidRDefault="00390259" w:rsidP="00B40E85">
      <w:pPr>
        <w:pStyle w:val="ListNumber"/>
        <w:numPr>
          <w:ilvl w:val="0"/>
          <w:numId w:val="84"/>
        </w:numPr>
        <w:rPr>
          <w:rFonts w:cs="Open Sans"/>
        </w:rPr>
      </w:pPr>
      <w:r w:rsidRPr="00B40E85">
        <w:rPr>
          <w:rFonts w:cs="Open Sans"/>
        </w:rPr>
        <w:t>the legislative provisions which authorise the request or notice including which provision of s 317E (</w:t>
      </w:r>
      <w:r w:rsidR="00BF258D" w:rsidRPr="00B40E85">
        <w:rPr>
          <w:rFonts w:cs="Open Sans"/>
        </w:rPr>
        <w:t>‘</w:t>
      </w:r>
      <w:r w:rsidRPr="00B40E85">
        <w:rPr>
          <w:rFonts w:cs="Open Sans"/>
        </w:rPr>
        <w:t>listed acts or things</w:t>
      </w:r>
      <w:r w:rsidR="00BF258D" w:rsidRPr="00B40E85">
        <w:rPr>
          <w:rFonts w:cs="Open Sans"/>
        </w:rPr>
        <w:t>’</w:t>
      </w:r>
      <w:r w:rsidRPr="00B40E85">
        <w:rPr>
          <w:rFonts w:cs="Open Sans"/>
        </w:rPr>
        <w:t>) is relied upon</w:t>
      </w:r>
    </w:p>
    <w:p w14:paraId="47843223" w14:textId="3D29FEA7" w:rsidR="00390259" w:rsidRPr="00B40E85" w:rsidRDefault="00390259" w:rsidP="00B40E85">
      <w:pPr>
        <w:pStyle w:val="ListNumber"/>
        <w:numPr>
          <w:ilvl w:val="0"/>
          <w:numId w:val="84"/>
        </w:numPr>
        <w:rPr>
          <w:rFonts w:cs="Open Sans"/>
        </w:rPr>
      </w:pPr>
      <w:proofErr w:type="gramStart"/>
      <w:r w:rsidRPr="00B40E85">
        <w:rPr>
          <w:rFonts w:cs="Open Sans"/>
        </w:rPr>
        <w:t>the</w:t>
      </w:r>
      <w:proofErr w:type="gramEnd"/>
      <w:r w:rsidRPr="00B40E85">
        <w:rPr>
          <w:rFonts w:cs="Open Sans"/>
        </w:rPr>
        <w:t xml:space="preserve"> methods of review available to the provider.</w:t>
      </w:r>
    </w:p>
    <w:p w14:paraId="7D119860" w14:textId="77777777" w:rsidR="00857CEC" w:rsidRPr="00AA1A20" w:rsidRDefault="00857CEC" w:rsidP="006C5FBB">
      <w:pPr>
        <w:pStyle w:val="ListNumber"/>
        <w:numPr>
          <w:ilvl w:val="0"/>
          <w:numId w:val="0"/>
        </w:numPr>
        <w:ind w:left="720"/>
        <w:rPr>
          <w:rFonts w:cs="Open Sans"/>
          <w:b/>
        </w:rPr>
      </w:pPr>
      <w:r w:rsidRPr="00AA1A20">
        <w:rPr>
          <w:rFonts w:cs="Open Sans"/>
          <w:b/>
        </w:rPr>
        <w:t xml:space="preserve">Recommendation 19 </w:t>
      </w:r>
    </w:p>
    <w:p w14:paraId="2E31BAEC" w14:textId="5B99991F" w:rsidR="00857CEC" w:rsidRPr="00AA1A20" w:rsidRDefault="00857CEC" w:rsidP="006C5FBB">
      <w:pPr>
        <w:pStyle w:val="ListNumber"/>
        <w:numPr>
          <w:ilvl w:val="0"/>
          <w:numId w:val="0"/>
        </w:numPr>
        <w:ind w:left="720"/>
        <w:rPr>
          <w:rFonts w:cs="Open Sans"/>
        </w:rPr>
      </w:pPr>
      <w:r w:rsidRPr="00AA1A20">
        <w:rPr>
          <w:rFonts w:cs="Open Sans"/>
        </w:rPr>
        <w:t xml:space="preserve">Proposed s 317G of the </w:t>
      </w:r>
      <w:r w:rsidRPr="00AA1A20">
        <w:rPr>
          <w:rFonts w:cs="Open Sans"/>
          <w:i/>
        </w:rPr>
        <w:t xml:space="preserve">Telecommunications Act 1997 </w:t>
      </w:r>
      <w:r w:rsidRPr="00AA1A20">
        <w:rPr>
          <w:rFonts w:cs="Open Sans"/>
        </w:rPr>
        <w:t xml:space="preserve">(Cth) be amended to explicitly provide, whether by provision or explanatory note, that compliance with a TAR is voluntary. </w:t>
      </w:r>
    </w:p>
    <w:p w14:paraId="51E4079D" w14:textId="77777777" w:rsidR="00C52F50" w:rsidRPr="00AA1A20" w:rsidRDefault="00C52F50" w:rsidP="006C5FBB">
      <w:pPr>
        <w:pStyle w:val="ListNumber"/>
        <w:numPr>
          <w:ilvl w:val="0"/>
          <w:numId w:val="0"/>
        </w:numPr>
        <w:ind w:left="720"/>
        <w:rPr>
          <w:rFonts w:cs="Open Sans"/>
          <w:b/>
        </w:rPr>
      </w:pPr>
      <w:r w:rsidRPr="00AA1A20">
        <w:rPr>
          <w:rFonts w:cs="Open Sans"/>
          <w:b/>
        </w:rPr>
        <w:t>Recommendation 20</w:t>
      </w:r>
    </w:p>
    <w:p w14:paraId="2A50A424" w14:textId="2B78BC7E" w:rsidR="00C52F50" w:rsidRPr="00AA1A20" w:rsidRDefault="00C52F50" w:rsidP="006C5FBB">
      <w:pPr>
        <w:pStyle w:val="ListNumber"/>
        <w:numPr>
          <w:ilvl w:val="0"/>
          <w:numId w:val="0"/>
        </w:numPr>
        <w:ind w:left="720"/>
        <w:rPr>
          <w:rFonts w:cs="Open Sans"/>
        </w:rPr>
      </w:pPr>
      <w:r w:rsidRPr="00AA1A20">
        <w:rPr>
          <w:rFonts w:cs="Open Sans"/>
        </w:rPr>
        <w:t xml:space="preserve">Proposed s 317H of the </w:t>
      </w:r>
      <w:r w:rsidRPr="00AA1A20">
        <w:rPr>
          <w:rFonts w:cs="Open Sans"/>
          <w:i/>
        </w:rPr>
        <w:t xml:space="preserve">Telecommunications Act 1997 </w:t>
      </w:r>
      <w:r w:rsidRPr="00AA1A20">
        <w:rPr>
          <w:rFonts w:cs="Open Sans"/>
        </w:rPr>
        <w:t xml:space="preserve">(Cth) be amended to require that the form of a TAR include notification to the provider that the request is voluntary and that there is no penalty for non-compliance. </w:t>
      </w:r>
    </w:p>
    <w:p w14:paraId="4DDA8FC2" w14:textId="77777777" w:rsidR="00757B5C" w:rsidRPr="00AA1A20" w:rsidRDefault="00757B5C" w:rsidP="006C5FBB">
      <w:pPr>
        <w:pStyle w:val="ListNumber"/>
        <w:numPr>
          <w:ilvl w:val="0"/>
          <w:numId w:val="0"/>
        </w:numPr>
        <w:ind w:left="720"/>
        <w:rPr>
          <w:rFonts w:cs="Open Sans"/>
          <w:b/>
        </w:rPr>
      </w:pPr>
      <w:r w:rsidRPr="00AA1A20">
        <w:rPr>
          <w:rFonts w:cs="Open Sans"/>
          <w:b/>
        </w:rPr>
        <w:t>Recommendation 21</w:t>
      </w:r>
    </w:p>
    <w:p w14:paraId="4601A81C" w14:textId="002606AB" w:rsidR="00757B5C" w:rsidRPr="00AA1A20" w:rsidRDefault="00757B5C" w:rsidP="006C5FBB">
      <w:pPr>
        <w:pStyle w:val="ListNumber"/>
        <w:numPr>
          <w:ilvl w:val="0"/>
          <w:numId w:val="0"/>
        </w:numPr>
        <w:ind w:left="720"/>
        <w:rPr>
          <w:rFonts w:cs="Open Sans"/>
        </w:rPr>
      </w:pPr>
      <w:r w:rsidRPr="00AA1A20">
        <w:rPr>
          <w:rFonts w:cs="Open Sans"/>
        </w:rPr>
        <w:t xml:space="preserve">Proposed Pt 15 of the </w:t>
      </w:r>
      <w:r w:rsidRPr="00AA1A20">
        <w:rPr>
          <w:rFonts w:cs="Open Sans"/>
          <w:i/>
        </w:rPr>
        <w:t xml:space="preserve">Telecommunications Act 1997 </w:t>
      </w:r>
      <w:r w:rsidRPr="00AA1A20">
        <w:rPr>
          <w:rFonts w:cs="Open Sans"/>
        </w:rPr>
        <w:t>(Cth) be amended to require the giving of a TAR before a compulsory TAN or TCN can be given, unless exceptional and urgent circumstances exist which warrant otherwise.</w:t>
      </w:r>
    </w:p>
    <w:p w14:paraId="39C4E44D" w14:textId="77777777" w:rsidR="00757B5C" w:rsidRPr="00AA1A20" w:rsidRDefault="00757B5C" w:rsidP="006C5FBB">
      <w:pPr>
        <w:pStyle w:val="ListNumber"/>
        <w:numPr>
          <w:ilvl w:val="0"/>
          <w:numId w:val="0"/>
        </w:numPr>
        <w:ind w:left="720"/>
        <w:rPr>
          <w:rFonts w:cs="Open Sans"/>
          <w:b/>
        </w:rPr>
      </w:pPr>
      <w:r w:rsidRPr="00AA1A20">
        <w:rPr>
          <w:rFonts w:cs="Open Sans"/>
          <w:b/>
        </w:rPr>
        <w:t>Recommendation 22</w:t>
      </w:r>
    </w:p>
    <w:p w14:paraId="290B6155" w14:textId="2CB89DA9" w:rsidR="00757B5C" w:rsidRPr="00AA1A20" w:rsidRDefault="00F62EA1" w:rsidP="006C5FBB">
      <w:pPr>
        <w:pStyle w:val="ListNumber"/>
        <w:numPr>
          <w:ilvl w:val="0"/>
          <w:numId w:val="0"/>
        </w:numPr>
        <w:ind w:left="720"/>
        <w:rPr>
          <w:rFonts w:cs="Open Sans"/>
        </w:rPr>
      </w:pPr>
      <w:r w:rsidRPr="00AA1A20">
        <w:rPr>
          <w:rFonts w:cs="Open Sans"/>
        </w:rPr>
        <w:t xml:space="preserve">Serious consideration </w:t>
      </w:r>
      <w:r w:rsidR="00757B5C" w:rsidRPr="00AA1A20">
        <w:rPr>
          <w:rFonts w:cs="Open Sans"/>
        </w:rPr>
        <w:t xml:space="preserve">be given to amending proposed s 317ZF(1) of the </w:t>
      </w:r>
      <w:r w:rsidR="00757B5C" w:rsidRPr="00AA1A20">
        <w:rPr>
          <w:rFonts w:cs="Open Sans"/>
          <w:i/>
        </w:rPr>
        <w:t xml:space="preserve">Telecommunications Act 1997 </w:t>
      </w:r>
      <w:r w:rsidR="00757B5C" w:rsidRPr="00AA1A20">
        <w:rPr>
          <w:rFonts w:cs="Open Sans"/>
        </w:rPr>
        <w:t>(Cth) to include a fault element and express requirement of harm, to provide that it is an offence to intentionally make an unauthorised disclosure of information that harms, or that is reasonably likely to harm, an essential public interest.</w:t>
      </w:r>
    </w:p>
    <w:p w14:paraId="4EF31273" w14:textId="77777777" w:rsidR="00757B5C" w:rsidRPr="00AA1A20" w:rsidRDefault="00757B5C" w:rsidP="006C5FBB">
      <w:pPr>
        <w:pStyle w:val="ListNumber"/>
        <w:numPr>
          <w:ilvl w:val="0"/>
          <w:numId w:val="0"/>
        </w:numPr>
        <w:ind w:left="720"/>
        <w:rPr>
          <w:rFonts w:cs="Open Sans"/>
          <w:b/>
        </w:rPr>
      </w:pPr>
      <w:r w:rsidRPr="00AA1A20">
        <w:rPr>
          <w:rFonts w:cs="Open Sans"/>
          <w:b/>
        </w:rPr>
        <w:t>Recommendation 23</w:t>
      </w:r>
    </w:p>
    <w:p w14:paraId="2F91EEC2" w14:textId="41851C29" w:rsidR="00757B5C" w:rsidRPr="00AA1A20" w:rsidRDefault="00F62EA1" w:rsidP="006C5FBB">
      <w:pPr>
        <w:pStyle w:val="ListNumber"/>
        <w:numPr>
          <w:ilvl w:val="0"/>
          <w:numId w:val="0"/>
        </w:numPr>
        <w:ind w:left="720"/>
        <w:rPr>
          <w:rFonts w:cs="Open Sans"/>
        </w:rPr>
      </w:pPr>
      <w:r w:rsidRPr="00AA1A20">
        <w:rPr>
          <w:rFonts w:cs="Open Sans"/>
        </w:rPr>
        <w:t xml:space="preserve">Serious consideration </w:t>
      </w:r>
      <w:r w:rsidR="00757B5C" w:rsidRPr="00AA1A20">
        <w:rPr>
          <w:rFonts w:cs="Open Sans"/>
        </w:rPr>
        <w:t xml:space="preserve">be given </w:t>
      </w:r>
      <w:r w:rsidR="00D02B40" w:rsidRPr="00AA1A20">
        <w:rPr>
          <w:rFonts w:cs="Open Sans"/>
        </w:rPr>
        <w:t>to amending proposed s 317ZF(2)–</w:t>
      </w:r>
      <w:r w:rsidR="00757B5C" w:rsidRPr="00AA1A20">
        <w:rPr>
          <w:rFonts w:cs="Open Sans"/>
        </w:rPr>
        <w:t xml:space="preserve">(3) of the </w:t>
      </w:r>
      <w:r w:rsidR="00757B5C" w:rsidRPr="00AA1A20">
        <w:rPr>
          <w:rFonts w:cs="Open Sans"/>
          <w:i/>
        </w:rPr>
        <w:t xml:space="preserve">Telecommunications Act 1997 </w:t>
      </w:r>
      <w:r w:rsidR="00757B5C" w:rsidRPr="00AA1A20">
        <w:rPr>
          <w:rFonts w:cs="Open Sans"/>
        </w:rPr>
        <w:t>(Cth) to authorise the disclosure of human rights violations made in good faith in the public interest.</w:t>
      </w:r>
    </w:p>
    <w:p w14:paraId="48218CC8" w14:textId="77777777" w:rsidR="00757B5C" w:rsidRPr="00AA1A20" w:rsidRDefault="00757B5C" w:rsidP="006C5FBB">
      <w:pPr>
        <w:pStyle w:val="ListParagraph"/>
        <w:spacing w:before="120" w:after="120"/>
        <w:rPr>
          <w:rFonts w:cs="Open Sans"/>
          <w:b/>
        </w:rPr>
      </w:pPr>
      <w:r w:rsidRPr="00AA1A20">
        <w:rPr>
          <w:rFonts w:cs="Open Sans"/>
          <w:b/>
        </w:rPr>
        <w:t>Recommendations 24</w:t>
      </w:r>
    </w:p>
    <w:p w14:paraId="4B60A1DA" w14:textId="2A961A7A" w:rsidR="00757B5C" w:rsidRPr="00AA1A20" w:rsidRDefault="00F62EA1" w:rsidP="006C5FBB">
      <w:pPr>
        <w:pStyle w:val="ListParagraph"/>
        <w:spacing w:before="120" w:after="120"/>
        <w:rPr>
          <w:rFonts w:cs="Open Sans"/>
        </w:rPr>
      </w:pPr>
      <w:r w:rsidRPr="00AA1A20">
        <w:rPr>
          <w:rFonts w:cs="Open Sans"/>
        </w:rPr>
        <w:t xml:space="preserve">Serious consideration </w:t>
      </w:r>
      <w:r w:rsidR="00757B5C" w:rsidRPr="00AA1A20">
        <w:rPr>
          <w:rFonts w:cs="Open Sans"/>
        </w:rPr>
        <w:t xml:space="preserve">be given to amending proposed s 317ZF of the </w:t>
      </w:r>
      <w:r w:rsidR="00757B5C" w:rsidRPr="00AA1A20">
        <w:rPr>
          <w:rFonts w:cs="Open Sans"/>
          <w:i/>
        </w:rPr>
        <w:t xml:space="preserve">Telecommunications Act 1997 </w:t>
      </w:r>
      <w:r w:rsidR="00757B5C" w:rsidRPr="00AA1A20">
        <w:rPr>
          <w:rFonts w:cs="Open Sans"/>
        </w:rPr>
        <w:t xml:space="preserve">(Cth), to allow for lawful public interest disclosures in relation to activities of agencies that do not fall within the ambit of the IGIS Act.  </w:t>
      </w:r>
    </w:p>
    <w:p w14:paraId="76049E4B" w14:textId="77777777" w:rsidR="00B65B21" w:rsidRDefault="00B65B21">
      <w:pPr>
        <w:rPr>
          <w:rFonts w:cs="Open Sans"/>
          <w:b/>
        </w:rPr>
      </w:pPr>
      <w:r>
        <w:rPr>
          <w:rFonts w:cs="Open Sans"/>
          <w:b/>
        </w:rPr>
        <w:br w:type="page"/>
      </w:r>
    </w:p>
    <w:p w14:paraId="190F64A0" w14:textId="731133FE" w:rsidR="00E77FC1" w:rsidRPr="00AA1A20" w:rsidRDefault="00E77FC1" w:rsidP="006C5FBB">
      <w:pPr>
        <w:pStyle w:val="ListNumber"/>
        <w:numPr>
          <w:ilvl w:val="0"/>
          <w:numId w:val="0"/>
        </w:numPr>
        <w:ind w:left="720"/>
        <w:rPr>
          <w:rFonts w:cs="Open Sans"/>
          <w:b/>
        </w:rPr>
      </w:pPr>
      <w:r w:rsidRPr="00AA1A20">
        <w:rPr>
          <w:rFonts w:cs="Open Sans"/>
          <w:b/>
        </w:rPr>
        <w:lastRenderedPageBreak/>
        <w:t>Recommendation 25</w:t>
      </w:r>
    </w:p>
    <w:p w14:paraId="77470714" w14:textId="3127F619" w:rsidR="00E77FC1" w:rsidRPr="00AA1A20" w:rsidRDefault="00E77FC1" w:rsidP="006C5FBB">
      <w:pPr>
        <w:pStyle w:val="ListNumber"/>
        <w:numPr>
          <w:ilvl w:val="0"/>
          <w:numId w:val="0"/>
        </w:numPr>
        <w:ind w:left="720"/>
        <w:rPr>
          <w:rFonts w:cs="Open Sans"/>
        </w:rPr>
      </w:pPr>
      <w:r w:rsidRPr="00AA1A20">
        <w:rPr>
          <w:rFonts w:cs="Open Sans"/>
        </w:rPr>
        <w:t xml:space="preserve">Proposed new Pt 15 of the </w:t>
      </w:r>
      <w:r w:rsidRPr="00AA1A20">
        <w:rPr>
          <w:rFonts w:cs="Open Sans"/>
          <w:i/>
        </w:rPr>
        <w:t xml:space="preserve">Telecommunications Act 1997 </w:t>
      </w:r>
      <w:r w:rsidRPr="00AA1A20">
        <w:rPr>
          <w:rFonts w:cs="Open Sans"/>
        </w:rPr>
        <w:t>(Cth) be amended to require judicial authorisation for the giving or varying of notices, potentially through existing warrant processes or otherwise through another form of independent judicial oversight.</w:t>
      </w:r>
    </w:p>
    <w:p w14:paraId="56E116E3" w14:textId="77777777" w:rsidR="00E77FC1" w:rsidRPr="00AA1A20" w:rsidRDefault="00E77FC1" w:rsidP="006C5FBB">
      <w:pPr>
        <w:pStyle w:val="ListNumber"/>
        <w:numPr>
          <w:ilvl w:val="0"/>
          <w:numId w:val="0"/>
        </w:numPr>
        <w:ind w:left="720"/>
        <w:rPr>
          <w:rFonts w:cs="Open Sans"/>
          <w:b/>
        </w:rPr>
      </w:pPr>
      <w:r w:rsidRPr="00AA1A20">
        <w:rPr>
          <w:rFonts w:cs="Open Sans"/>
          <w:b/>
        </w:rPr>
        <w:t>Recommendation 26</w:t>
      </w:r>
    </w:p>
    <w:p w14:paraId="496A51E3" w14:textId="4B512FD3" w:rsidR="00E77FC1" w:rsidRPr="00AA1A20" w:rsidRDefault="00E77FC1" w:rsidP="006C5FBB">
      <w:pPr>
        <w:pStyle w:val="ListNumber"/>
        <w:numPr>
          <w:ilvl w:val="0"/>
          <w:numId w:val="0"/>
        </w:numPr>
        <w:ind w:left="720"/>
        <w:rPr>
          <w:rFonts w:cs="Open Sans"/>
        </w:rPr>
      </w:pPr>
      <w:r w:rsidRPr="00AA1A20">
        <w:rPr>
          <w:rFonts w:cs="Open Sans"/>
        </w:rPr>
        <w:t>Serious consideration be given to amending proposed ss 317ZN</w:t>
      </w:r>
      <w:r w:rsidR="00D02B40" w:rsidRPr="00AA1A20">
        <w:rPr>
          <w:rFonts w:cs="Open Sans"/>
        </w:rPr>
        <w:t>–</w:t>
      </w:r>
      <w:r w:rsidRPr="00AA1A20">
        <w:rPr>
          <w:rFonts w:cs="Open Sans"/>
        </w:rPr>
        <w:t xml:space="preserve">ZR of the </w:t>
      </w:r>
      <w:r w:rsidRPr="00AA1A20">
        <w:rPr>
          <w:rFonts w:cs="Open Sans"/>
          <w:i/>
        </w:rPr>
        <w:t xml:space="preserve">Telecommunications Act 1997 </w:t>
      </w:r>
      <w:r w:rsidRPr="00AA1A20">
        <w:rPr>
          <w:rFonts w:cs="Open Sans"/>
        </w:rPr>
        <w:t>(Cth) t</w:t>
      </w:r>
      <w:r w:rsidR="00776AE9" w:rsidRPr="00AA1A20">
        <w:rPr>
          <w:rFonts w:cs="Open Sans"/>
        </w:rPr>
        <w:t>o restrict delegations of power</w:t>
      </w:r>
      <w:r w:rsidRPr="00AA1A20">
        <w:rPr>
          <w:rFonts w:cs="Open Sans"/>
        </w:rPr>
        <w:t xml:space="preserve"> to a further limited range of senior executives, for example persons who are directly responsible to the relevant chief officer.</w:t>
      </w:r>
    </w:p>
    <w:p w14:paraId="423E119B" w14:textId="77777777" w:rsidR="00E96FDE" w:rsidRPr="00AA1A20" w:rsidRDefault="00E96FDE" w:rsidP="006C5FBB">
      <w:pPr>
        <w:pStyle w:val="ListNumber"/>
        <w:numPr>
          <w:ilvl w:val="0"/>
          <w:numId w:val="0"/>
        </w:numPr>
        <w:ind w:left="720"/>
        <w:rPr>
          <w:rFonts w:cs="Open Sans"/>
          <w:b/>
        </w:rPr>
      </w:pPr>
      <w:r w:rsidRPr="00AA1A20">
        <w:rPr>
          <w:rFonts w:cs="Open Sans"/>
          <w:b/>
        </w:rPr>
        <w:t>Recommendation 27</w:t>
      </w:r>
    </w:p>
    <w:p w14:paraId="495D8C54" w14:textId="5B827C08" w:rsidR="00E96FDE" w:rsidRPr="00AA1A20" w:rsidRDefault="00325A60" w:rsidP="006C5FBB">
      <w:pPr>
        <w:pStyle w:val="ListNumber"/>
        <w:numPr>
          <w:ilvl w:val="0"/>
          <w:numId w:val="0"/>
        </w:numPr>
        <w:ind w:left="720"/>
        <w:rPr>
          <w:rFonts w:cs="Open Sans"/>
        </w:rPr>
      </w:pPr>
      <w:r w:rsidRPr="00AA1A20">
        <w:rPr>
          <w:rFonts w:cs="Open Sans"/>
        </w:rPr>
        <w:t>The draft Bill should be amended to allow</w:t>
      </w:r>
      <w:r w:rsidR="00E96FDE" w:rsidRPr="00AA1A20">
        <w:rPr>
          <w:rFonts w:cs="Open Sans"/>
        </w:rPr>
        <w:t xml:space="preserve"> </w:t>
      </w:r>
      <w:r w:rsidR="00A87DF1" w:rsidRPr="00AA1A20">
        <w:rPr>
          <w:rFonts w:cs="Open Sans"/>
          <w:i/>
        </w:rPr>
        <w:t xml:space="preserve">Administrative Decisions </w:t>
      </w:r>
      <w:r w:rsidR="00C9421E" w:rsidRPr="00AA1A20">
        <w:rPr>
          <w:rFonts w:cs="Open Sans"/>
          <w:i/>
        </w:rPr>
        <w:t>(</w:t>
      </w:r>
      <w:r w:rsidR="00A87DF1" w:rsidRPr="00AA1A20">
        <w:rPr>
          <w:rFonts w:cs="Open Sans"/>
          <w:i/>
        </w:rPr>
        <w:t>Judicial Review</w:t>
      </w:r>
      <w:r w:rsidR="00C9421E" w:rsidRPr="00AA1A20">
        <w:rPr>
          <w:rFonts w:cs="Open Sans"/>
          <w:i/>
        </w:rPr>
        <w:t>)</w:t>
      </w:r>
      <w:r w:rsidR="00A87DF1" w:rsidRPr="00AA1A20">
        <w:rPr>
          <w:rFonts w:cs="Open Sans"/>
          <w:i/>
        </w:rPr>
        <w:t xml:space="preserve"> Act 1977 </w:t>
      </w:r>
      <w:r w:rsidR="00A87DF1" w:rsidRPr="00AA1A20">
        <w:rPr>
          <w:rFonts w:cs="Open Sans"/>
        </w:rPr>
        <w:t>(Cth)</w:t>
      </w:r>
      <w:r w:rsidR="00E96FDE" w:rsidRPr="00AA1A20">
        <w:rPr>
          <w:rFonts w:cs="Open Sans"/>
        </w:rPr>
        <w:t xml:space="preserve"> review of all or some decisions made under proposed Pt 15 of the </w:t>
      </w:r>
      <w:r w:rsidR="00E96FDE" w:rsidRPr="00AA1A20">
        <w:rPr>
          <w:rFonts w:cs="Open Sans"/>
          <w:i/>
        </w:rPr>
        <w:t xml:space="preserve">Telecommunications Act 1997 </w:t>
      </w:r>
      <w:r w:rsidR="00E96FDE" w:rsidRPr="00AA1A20">
        <w:rPr>
          <w:rFonts w:cs="Open Sans"/>
        </w:rPr>
        <w:t>(Cth).</w:t>
      </w:r>
    </w:p>
    <w:p w14:paraId="00C53B25" w14:textId="77777777" w:rsidR="00E160C1" w:rsidRPr="00AA1A20" w:rsidRDefault="00E160C1" w:rsidP="006C5FBB">
      <w:pPr>
        <w:pStyle w:val="ListNumber"/>
        <w:numPr>
          <w:ilvl w:val="0"/>
          <w:numId w:val="0"/>
        </w:numPr>
        <w:ind w:left="720"/>
        <w:rPr>
          <w:rFonts w:cs="Open Sans"/>
          <w:b/>
        </w:rPr>
      </w:pPr>
      <w:r w:rsidRPr="00AA1A20">
        <w:rPr>
          <w:rFonts w:cs="Open Sans"/>
          <w:b/>
        </w:rPr>
        <w:t>Recommendation 28</w:t>
      </w:r>
    </w:p>
    <w:p w14:paraId="4095F04B" w14:textId="0F5D27A6" w:rsidR="00E160C1" w:rsidRPr="00AA1A20" w:rsidRDefault="00E160C1" w:rsidP="006C5FBB">
      <w:pPr>
        <w:pStyle w:val="ListNumber"/>
        <w:numPr>
          <w:ilvl w:val="0"/>
          <w:numId w:val="0"/>
        </w:numPr>
        <w:ind w:left="720"/>
        <w:rPr>
          <w:rFonts w:cs="Open Sans"/>
        </w:rPr>
      </w:pPr>
      <w:r w:rsidRPr="00AA1A20">
        <w:rPr>
          <w:rFonts w:cs="Open Sans"/>
        </w:rPr>
        <w:t xml:space="preserve">Proposed Pt 15 of the </w:t>
      </w:r>
      <w:r w:rsidRPr="00AA1A20">
        <w:rPr>
          <w:rFonts w:cs="Open Sans"/>
          <w:i/>
        </w:rPr>
        <w:t xml:space="preserve">Telecommunications Act 1997 </w:t>
      </w:r>
      <w:r w:rsidRPr="00AA1A20">
        <w:rPr>
          <w:rFonts w:cs="Open Sans"/>
        </w:rPr>
        <w:t>(Cth) be amended to provide an avenue or mechanism for the administrative review of decisions made under Pt 15.</w:t>
      </w:r>
    </w:p>
    <w:p w14:paraId="344A62C8" w14:textId="77777777" w:rsidR="00E160C1" w:rsidRPr="00AA1A20" w:rsidRDefault="00E160C1" w:rsidP="006C5FBB">
      <w:pPr>
        <w:pStyle w:val="ListNumber"/>
        <w:numPr>
          <w:ilvl w:val="0"/>
          <w:numId w:val="0"/>
        </w:numPr>
        <w:ind w:left="720"/>
        <w:rPr>
          <w:rFonts w:cs="Open Sans"/>
          <w:b/>
        </w:rPr>
      </w:pPr>
      <w:r w:rsidRPr="00AA1A20">
        <w:rPr>
          <w:rFonts w:cs="Open Sans"/>
          <w:b/>
        </w:rPr>
        <w:t>Recommendation 29</w:t>
      </w:r>
    </w:p>
    <w:p w14:paraId="0DB13C6E" w14:textId="7034FFDE" w:rsidR="00E160C1" w:rsidRPr="00AA1A20" w:rsidRDefault="00E160C1" w:rsidP="006C5FBB">
      <w:pPr>
        <w:pStyle w:val="ListNumber"/>
        <w:numPr>
          <w:ilvl w:val="0"/>
          <w:numId w:val="0"/>
        </w:numPr>
        <w:ind w:left="720"/>
        <w:rPr>
          <w:rFonts w:cs="Open Sans"/>
        </w:rPr>
      </w:pPr>
      <w:r w:rsidRPr="00AA1A20">
        <w:rPr>
          <w:rFonts w:cs="Open Sans"/>
        </w:rPr>
        <w:t xml:space="preserve">Proposed s 317ZJ of the </w:t>
      </w:r>
      <w:r w:rsidRPr="00AA1A20">
        <w:rPr>
          <w:rFonts w:cs="Open Sans"/>
          <w:i/>
        </w:rPr>
        <w:t xml:space="preserve">Telecommunications Act 1997 </w:t>
      </w:r>
      <w:r w:rsidRPr="00AA1A20">
        <w:rPr>
          <w:rFonts w:cs="Open Sans"/>
        </w:rPr>
        <w:t xml:space="preserve">(Cth) be amended to narrow the scope of civil liability afforded to providers. </w:t>
      </w:r>
    </w:p>
    <w:p w14:paraId="0BCD5ED4" w14:textId="77777777" w:rsidR="00466895" w:rsidRPr="00AA1A20" w:rsidRDefault="00466895" w:rsidP="006C5FBB">
      <w:pPr>
        <w:pStyle w:val="ListNumber"/>
        <w:numPr>
          <w:ilvl w:val="0"/>
          <w:numId w:val="0"/>
        </w:numPr>
        <w:ind w:left="720"/>
        <w:rPr>
          <w:rFonts w:cs="Open Sans"/>
          <w:b/>
        </w:rPr>
      </w:pPr>
      <w:r w:rsidRPr="00AA1A20">
        <w:rPr>
          <w:rFonts w:cs="Open Sans"/>
          <w:b/>
        </w:rPr>
        <w:t>Recommendation 30</w:t>
      </w:r>
    </w:p>
    <w:p w14:paraId="417257A9" w14:textId="5AE1B750" w:rsidR="00466895" w:rsidRPr="00AA1A20" w:rsidRDefault="00466895" w:rsidP="006C5FBB">
      <w:pPr>
        <w:pStyle w:val="ListNumber"/>
        <w:numPr>
          <w:ilvl w:val="0"/>
          <w:numId w:val="0"/>
        </w:numPr>
        <w:ind w:left="720"/>
        <w:rPr>
          <w:rFonts w:cs="Open Sans"/>
        </w:rPr>
      </w:pPr>
      <w:r w:rsidRPr="00AA1A20">
        <w:rPr>
          <w:rFonts w:cs="Open Sans"/>
        </w:rPr>
        <w:t xml:space="preserve">Proposed s 317ZS of the </w:t>
      </w:r>
      <w:r w:rsidRPr="00AA1A20">
        <w:rPr>
          <w:rFonts w:cs="Open Sans"/>
          <w:i/>
        </w:rPr>
        <w:t xml:space="preserve">Telecommunications Act 1997 </w:t>
      </w:r>
      <w:r w:rsidRPr="00AA1A20">
        <w:rPr>
          <w:rFonts w:cs="Open Sans"/>
        </w:rPr>
        <w:t xml:space="preserve">(Cth) be amended to require reporting on TARs, and to require </w:t>
      </w:r>
      <w:r w:rsidR="00776AE9" w:rsidRPr="00AA1A20">
        <w:rPr>
          <w:rFonts w:cs="Open Sans"/>
        </w:rPr>
        <w:t xml:space="preserve">public </w:t>
      </w:r>
      <w:r w:rsidRPr="00AA1A20">
        <w:rPr>
          <w:rFonts w:cs="Open Sans"/>
        </w:rPr>
        <w:t xml:space="preserve">reporting of as much information as is possible about requests and notices given under proposed new Pt 15 of the </w:t>
      </w:r>
      <w:r w:rsidRPr="00AA1A20">
        <w:rPr>
          <w:rFonts w:cs="Open Sans"/>
          <w:i/>
        </w:rPr>
        <w:t xml:space="preserve">Telecommunications Act 1997 </w:t>
      </w:r>
      <w:r w:rsidRPr="00AA1A20">
        <w:rPr>
          <w:rFonts w:cs="Open Sans"/>
        </w:rPr>
        <w:t>(Cth), without impacting the integrity of law enforcement operations.</w:t>
      </w:r>
    </w:p>
    <w:p w14:paraId="15E4C563" w14:textId="77777777" w:rsidR="006607CC" w:rsidRPr="00AA1A20" w:rsidRDefault="006607CC" w:rsidP="006C5FBB">
      <w:pPr>
        <w:pStyle w:val="ListNumber"/>
        <w:numPr>
          <w:ilvl w:val="0"/>
          <w:numId w:val="0"/>
        </w:numPr>
        <w:tabs>
          <w:tab w:val="clear" w:pos="1134"/>
        </w:tabs>
        <w:ind w:left="720"/>
        <w:rPr>
          <w:rFonts w:cs="Open Sans"/>
          <w:b/>
        </w:rPr>
      </w:pPr>
      <w:r w:rsidRPr="00AA1A20">
        <w:rPr>
          <w:rFonts w:cs="Open Sans"/>
          <w:b/>
        </w:rPr>
        <w:t>Recommendation 31</w:t>
      </w:r>
    </w:p>
    <w:p w14:paraId="77DD5D21" w14:textId="3F34613D" w:rsidR="006607CC" w:rsidRPr="00AA1A20" w:rsidRDefault="00E46270" w:rsidP="006C5FBB">
      <w:pPr>
        <w:pStyle w:val="ListNumber"/>
        <w:numPr>
          <w:ilvl w:val="0"/>
          <w:numId w:val="0"/>
        </w:numPr>
        <w:tabs>
          <w:tab w:val="clear" w:pos="1134"/>
        </w:tabs>
        <w:ind w:left="720"/>
        <w:rPr>
          <w:rFonts w:cs="Open Sans"/>
        </w:rPr>
      </w:pPr>
      <w:r w:rsidRPr="00AA1A20">
        <w:rPr>
          <w:rFonts w:cs="Open Sans"/>
        </w:rPr>
        <w:t xml:space="preserve">Proposed ss </w:t>
      </w:r>
      <w:proofErr w:type="gramStart"/>
      <w:r w:rsidRPr="00AA1A20">
        <w:rPr>
          <w:rFonts w:cs="Open Sans"/>
        </w:rPr>
        <w:t>27E(</w:t>
      </w:r>
      <w:proofErr w:type="gramEnd"/>
      <w:r w:rsidRPr="00AA1A20">
        <w:rPr>
          <w:rFonts w:cs="Open Sans"/>
        </w:rPr>
        <w:t>2)(b) and</w:t>
      </w:r>
      <w:r w:rsidR="006607CC" w:rsidRPr="00AA1A20">
        <w:rPr>
          <w:rFonts w:cs="Open Sans"/>
        </w:rPr>
        <w:t xml:space="preserve"> 27E(7)(e) of the </w:t>
      </w:r>
      <w:r w:rsidR="006607CC" w:rsidRPr="00AA1A20">
        <w:rPr>
          <w:rFonts w:cs="Open Sans"/>
          <w:i/>
        </w:rPr>
        <w:t>Surveillance Devices Act 2004</w:t>
      </w:r>
      <w:r w:rsidR="006607CC" w:rsidRPr="00AA1A20">
        <w:rPr>
          <w:rFonts w:cs="Open Sans"/>
        </w:rPr>
        <w:t xml:space="preserve"> (Cth) be amended to ensure that a computer access warrant may only authorise access to third party premises where it is </w:t>
      </w:r>
      <w:r w:rsidR="006607CC" w:rsidRPr="00AA1A20">
        <w:rPr>
          <w:rFonts w:cs="Open Sans"/>
          <w:i/>
        </w:rPr>
        <w:t>necessary</w:t>
      </w:r>
      <w:r w:rsidR="006607CC" w:rsidRPr="00AA1A20">
        <w:rPr>
          <w:rFonts w:cs="Open Sans"/>
        </w:rPr>
        <w:t xml:space="preserve"> to execute the warrant.     </w:t>
      </w:r>
    </w:p>
    <w:p w14:paraId="23D25B21" w14:textId="77777777" w:rsidR="006607CC" w:rsidRPr="00AA1A20" w:rsidRDefault="006607CC" w:rsidP="006C5FBB">
      <w:pPr>
        <w:pStyle w:val="ListNumber"/>
        <w:numPr>
          <w:ilvl w:val="0"/>
          <w:numId w:val="0"/>
        </w:numPr>
        <w:tabs>
          <w:tab w:val="clear" w:pos="1134"/>
        </w:tabs>
        <w:ind w:left="720"/>
        <w:rPr>
          <w:rFonts w:cs="Open Sans"/>
          <w:b/>
        </w:rPr>
      </w:pPr>
      <w:r w:rsidRPr="00AA1A20">
        <w:rPr>
          <w:rFonts w:cs="Open Sans"/>
          <w:b/>
        </w:rPr>
        <w:t>Recommendation 32</w:t>
      </w:r>
    </w:p>
    <w:p w14:paraId="3E6A2B1E" w14:textId="3B1B2237" w:rsidR="006607CC" w:rsidRPr="00AA1A20" w:rsidRDefault="006607CC" w:rsidP="006C5FBB">
      <w:pPr>
        <w:pStyle w:val="ListNumber"/>
        <w:numPr>
          <w:ilvl w:val="0"/>
          <w:numId w:val="0"/>
        </w:numPr>
        <w:tabs>
          <w:tab w:val="clear" w:pos="1134"/>
        </w:tabs>
        <w:ind w:left="720"/>
        <w:rPr>
          <w:rFonts w:cs="Open Sans"/>
        </w:rPr>
      </w:pPr>
      <w:r w:rsidRPr="00AA1A20">
        <w:rPr>
          <w:rFonts w:cs="Open Sans"/>
        </w:rPr>
        <w:t xml:space="preserve">Section </w:t>
      </w:r>
      <w:proofErr w:type="gramStart"/>
      <w:r w:rsidRPr="00AA1A20">
        <w:rPr>
          <w:rFonts w:cs="Open Sans"/>
        </w:rPr>
        <w:t>25A(</w:t>
      </w:r>
      <w:proofErr w:type="gramEnd"/>
      <w:r w:rsidRPr="00AA1A20">
        <w:rPr>
          <w:rFonts w:cs="Open Sans"/>
        </w:rPr>
        <w:t>4)(</w:t>
      </w:r>
      <w:proofErr w:type="spellStart"/>
      <w:r w:rsidRPr="00AA1A20">
        <w:rPr>
          <w:rFonts w:cs="Open Sans"/>
        </w:rPr>
        <w:t>aaa</w:t>
      </w:r>
      <w:proofErr w:type="spellEnd"/>
      <w:r w:rsidRPr="00AA1A20">
        <w:rPr>
          <w:rFonts w:cs="Open Sans"/>
        </w:rPr>
        <w:t xml:space="preserve">) and proposed s 25A(8)(e) of the </w:t>
      </w:r>
      <w:r w:rsidR="00E32E4C" w:rsidRPr="00AA1A20">
        <w:rPr>
          <w:rFonts w:cs="Open Sans"/>
          <w:i/>
        </w:rPr>
        <w:t>Australian Security Intelligence Organisation</w:t>
      </w:r>
      <w:r w:rsidRPr="00AA1A20">
        <w:rPr>
          <w:rFonts w:cs="Open Sans"/>
          <w:i/>
        </w:rPr>
        <w:t xml:space="preserve"> Act 1979</w:t>
      </w:r>
      <w:r w:rsidRPr="00AA1A20">
        <w:rPr>
          <w:rFonts w:cs="Open Sans"/>
        </w:rPr>
        <w:t xml:space="preserve"> (Cth) be amended to ensure that a </w:t>
      </w:r>
      <w:r w:rsidRPr="00AA1A20">
        <w:rPr>
          <w:rFonts w:cs="Open Sans"/>
        </w:rPr>
        <w:lastRenderedPageBreak/>
        <w:t xml:space="preserve">computer access warrant may only authorise access to third party premises where it is </w:t>
      </w:r>
      <w:r w:rsidRPr="00AA1A20">
        <w:rPr>
          <w:rFonts w:cs="Open Sans"/>
          <w:i/>
        </w:rPr>
        <w:t>necessary</w:t>
      </w:r>
      <w:r w:rsidRPr="00AA1A20">
        <w:rPr>
          <w:rFonts w:cs="Open Sans"/>
        </w:rPr>
        <w:t xml:space="preserve"> to execute the warrant</w:t>
      </w:r>
      <w:r w:rsidR="0048656A" w:rsidRPr="00AA1A20">
        <w:rPr>
          <w:rFonts w:cs="Open Sans"/>
        </w:rPr>
        <w:t>.</w:t>
      </w:r>
    </w:p>
    <w:p w14:paraId="24608737" w14:textId="77777777" w:rsidR="0048656A" w:rsidRPr="00AA1A20" w:rsidRDefault="0048656A" w:rsidP="006C5FBB">
      <w:pPr>
        <w:pStyle w:val="ListParagraph"/>
        <w:spacing w:before="120" w:after="120"/>
        <w:rPr>
          <w:rFonts w:cs="Open Sans"/>
          <w:b/>
        </w:rPr>
      </w:pPr>
      <w:r w:rsidRPr="00AA1A20">
        <w:rPr>
          <w:rFonts w:cs="Open Sans"/>
          <w:b/>
        </w:rPr>
        <w:t>Recommendation 33</w:t>
      </w:r>
    </w:p>
    <w:p w14:paraId="71046876" w14:textId="1CF47025" w:rsidR="00133EA0" w:rsidRPr="00AA1A20" w:rsidRDefault="00133EA0" w:rsidP="00133EA0">
      <w:pPr>
        <w:pStyle w:val="ListNumber"/>
        <w:numPr>
          <w:ilvl w:val="0"/>
          <w:numId w:val="0"/>
        </w:numPr>
        <w:ind w:left="720"/>
        <w:rPr>
          <w:rFonts w:cs="Open Sans"/>
        </w:rPr>
      </w:pPr>
      <w:proofErr w:type="gramStart"/>
      <w:r w:rsidRPr="00AA1A20">
        <w:rPr>
          <w:rFonts w:cs="Open Sans"/>
        </w:rPr>
        <w:t xml:space="preserve">Warrants relating to computer access under the </w:t>
      </w:r>
      <w:r w:rsidRPr="00AA1A20">
        <w:rPr>
          <w:rFonts w:cs="Open Sans"/>
          <w:i/>
        </w:rPr>
        <w:t xml:space="preserve">Australian Security Intelligence Organisation Act 1979 </w:t>
      </w:r>
      <w:r w:rsidRPr="00AA1A20">
        <w:rPr>
          <w:rFonts w:cs="Open Sans"/>
        </w:rPr>
        <w:t xml:space="preserve">(Cth), the </w:t>
      </w:r>
      <w:r w:rsidRPr="00AA1A20">
        <w:rPr>
          <w:rFonts w:cs="Open Sans"/>
          <w:i/>
        </w:rPr>
        <w:t>Surveillance Devices Act 2004</w:t>
      </w:r>
      <w:r w:rsidRPr="00AA1A20">
        <w:rPr>
          <w:rFonts w:cs="Open Sans"/>
        </w:rPr>
        <w:t xml:space="preserve"> (Cth), the </w:t>
      </w:r>
      <w:r w:rsidRPr="00AA1A20">
        <w:rPr>
          <w:rFonts w:cs="Open Sans"/>
          <w:i/>
        </w:rPr>
        <w:t>Crimes Act 1914</w:t>
      </w:r>
      <w:r w:rsidRPr="00AA1A20">
        <w:rPr>
          <w:rFonts w:cs="Open Sans"/>
        </w:rPr>
        <w:t xml:space="preserve"> (Cth) and the </w:t>
      </w:r>
      <w:r w:rsidRPr="00AA1A20">
        <w:rPr>
          <w:rFonts w:cs="Open Sans"/>
          <w:i/>
        </w:rPr>
        <w:t>Customs Act 1901</w:t>
      </w:r>
      <w:r w:rsidRPr="00AA1A20">
        <w:rPr>
          <w:rFonts w:cs="Open Sans"/>
        </w:rPr>
        <w:t xml:space="preserve"> (Cth) should only authorise access to third party computers or communications in transit where the issuing authority is satisfied that access is necessary in all the circumstances, having regard to other methods of obtaining access to the data which are as likely to be as effective, and having regard to the human rights </w:t>
      </w:r>
      <w:r w:rsidR="00DE1A76" w:rsidRPr="00AA1A20">
        <w:rPr>
          <w:rFonts w:cs="Open Sans"/>
        </w:rPr>
        <w:t>of the third party, including their right to</w:t>
      </w:r>
      <w:r w:rsidRPr="00AA1A20">
        <w:rPr>
          <w:rFonts w:cs="Open Sans"/>
        </w:rPr>
        <w:t xml:space="preserve"> privacy.</w:t>
      </w:r>
      <w:proofErr w:type="gramEnd"/>
      <w:r w:rsidRPr="00AA1A20">
        <w:rPr>
          <w:rFonts w:cs="Open Sans"/>
        </w:rPr>
        <w:t xml:space="preserve"> </w:t>
      </w:r>
    </w:p>
    <w:p w14:paraId="39D60C45" w14:textId="4F3B3815" w:rsidR="0048656A" w:rsidRPr="00AA1A20" w:rsidRDefault="0048656A" w:rsidP="006C5FBB">
      <w:pPr>
        <w:pStyle w:val="ListParagraph"/>
        <w:spacing w:before="120" w:after="120"/>
        <w:rPr>
          <w:rFonts w:cs="Open Sans"/>
          <w:b/>
        </w:rPr>
      </w:pPr>
      <w:r w:rsidRPr="00AA1A20">
        <w:rPr>
          <w:rFonts w:cs="Open Sans"/>
          <w:b/>
        </w:rPr>
        <w:t>Recommendation 34</w:t>
      </w:r>
    </w:p>
    <w:p w14:paraId="3E71F9C6" w14:textId="5153AC43" w:rsidR="00133EA0" w:rsidRPr="005C273F" w:rsidRDefault="00133EA0" w:rsidP="005C273F">
      <w:pPr>
        <w:pStyle w:val="ListNumber"/>
        <w:numPr>
          <w:ilvl w:val="0"/>
          <w:numId w:val="0"/>
        </w:numPr>
        <w:ind w:left="720"/>
        <w:rPr>
          <w:rFonts w:cs="Open Sans"/>
        </w:rPr>
      </w:pPr>
      <w:proofErr w:type="gramStart"/>
      <w:r w:rsidRPr="00AA1A20">
        <w:rPr>
          <w:rFonts w:cs="Open Sans"/>
        </w:rPr>
        <w:t xml:space="preserve">Warrants relating to computer access under the </w:t>
      </w:r>
      <w:r w:rsidRPr="00AA1A20">
        <w:rPr>
          <w:rFonts w:cs="Open Sans"/>
          <w:i/>
        </w:rPr>
        <w:t xml:space="preserve">Australian Security Intelligence Organisation Act 1979 </w:t>
      </w:r>
      <w:r w:rsidRPr="00AA1A20">
        <w:rPr>
          <w:rFonts w:cs="Open Sans"/>
        </w:rPr>
        <w:t>(Cth), the</w:t>
      </w:r>
      <w:r w:rsidRPr="00AA1A20">
        <w:rPr>
          <w:rFonts w:cs="Open Sans"/>
          <w:i/>
        </w:rPr>
        <w:t xml:space="preserve"> Surveillance Devices Act 2004</w:t>
      </w:r>
      <w:r w:rsidRPr="00AA1A20">
        <w:rPr>
          <w:rFonts w:cs="Open Sans"/>
        </w:rPr>
        <w:t xml:space="preserve"> (Cth), the </w:t>
      </w:r>
      <w:r w:rsidRPr="00AA1A20">
        <w:rPr>
          <w:rFonts w:cs="Open Sans"/>
          <w:i/>
        </w:rPr>
        <w:t>Crimes Act 1914</w:t>
      </w:r>
      <w:r w:rsidRPr="00AA1A20">
        <w:rPr>
          <w:rFonts w:cs="Open Sans"/>
        </w:rPr>
        <w:t xml:space="preserve"> (Cth) and the </w:t>
      </w:r>
      <w:r w:rsidRPr="00AA1A20">
        <w:rPr>
          <w:rFonts w:cs="Open Sans"/>
          <w:i/>
        </w:rPr>
        <w:t>Customs Act 1901</w:t>
      </w:r>
      <w:r w:rsidRPr="00AA1A20">
        <w:rPr>
          <w:rFonts w:cs="Open Sans"/>
        </w:rPr>
        <w:t xml:space="preserve"> (Cth) should require the issuing authority to consider the human rights of any third party</w:t>
      </w:r>
      <w:r w:rsidR="00DE1A76" w:rsidRPr="00AA1A20">
        <w:rPr>
          <w:rFonts w:cs="Open Sans"/>
        </w:rPr>
        <w:t>, including their right to</w:t>
      </w:r>
      <w:r w:rsidRPr="00AA1A20">
        <w:rPr>
          <w:rFonts w:cs="Open Sans"/>
        </w:rPr>
        <w:t xml:space="preserve"> privacy, and should only allow access to third party computers or communications in transit if satisfied that the limits on their h</w:t>
      </w:r>
      <w:r w:rsidR="005C273F">
        <w:rPr>
          <w:rFonts w:cs="Open Sans"/>
        </w:rPr>
        <w:t>uman rights are proportionate.</w:t>
      </w:r>
      <w:proofErr w:type="gramEnd"/>
      <w:r w:rsidR="005C273F">
        <w:rPr>
          <w:rFonts w:cs="Open Sans"/>
        </w:rPr>
        <w:t xml:space="preserve"> </w:t>
      </w:r>
    </w:p>
    <w:p w14:paraId="56FD3753" w14:textId="4B094A3E" w:rsidR="00C33F96" w:rsidRPr="00AA1A20" w:rsidRDefault="00C33F96" w:rsidP="006C5FBB">
      <w:pPr>
        <w:pStyle w:val="ListNumber"/>
        <w:numPr>
          <w:ilvl w:val="0"/>
          <w:numId w:val="0"/>
        </w:numPr>
        <w:ind w:left="720"/>
        <w:rPr>
          <w:rFonts w:cs="Open Sans"/>
          <w:b/>
        </w:rPr>
      </w:pPr>
      <w:r w:rsidRPr="00AA1A20">
        <w:rPr>
          <w:rFonts w:cs="Open Sans"/>
          <w:b/>
        </w:rPr>
        <w:t>Recommendation 35</w:t>
      </w:r>
    </w:p>
    <w:p w14:paraId="65609890" w14:textId="6C6B1D3D" w:rsidR="00C33F96" w:rsidRPr="00AA1A20" w:rsidRDefault="00C33F96" w:rsidP="006C5FBB">
      <w:pPr>
        <w:pStyle w:val="ListNumber"/>
        <w:numPr>
          <w:ilvl w:val="0"/>
          <w:numId w:val="0"/>
        </w:numPr>
        <w:ind w:left="720"/>
        <w:rPr>
          <w:rFonts w:cs="Open Sans"/>
        </w:rPr>
      </w:pPr>
      <w:r w:rsidRPr="00AA1A20">
        <w:rPr>
          <w:rFonts w:cs="Open Sans"/>
        </w:rPr>
        <w:t xml:space="preserve">Proposed s </w:t>
      </w:r>
      <w:proofErr w:type="gramStart"/>
      <w:r w:rsidRPr="00AA1A20">
        <w:rPr>
          <w:rFonts w:cs="Open Sans"/>
        </w:rPr>
        <w:t>27E(</w:t>
      </w:r>
      <w:proofErr w:type="gramEnd"/>
      <w:r w:rsidRPr="00AA1A20">
        <w:rPr>
          <w:rFonts w:cs="Open Sans"/>
        </w:rPr>
        <w:t xml:space="preserve">7)(k) of the </w:t>
      </w:r>
      <w:r w:rsidRPr="00AA1A20">
        <w:rPr>
          <w:rFonts w:cs="Open Sans"/>
          <w:i/>
        </w:rPr>
        <w:t>Surveillance Devices Act 2004</w:t>
      </w:r>
      <w:r w:rsidRPr="00AA1A20">
        <w:rPr>
          <w:rFonts w:cs="Open Sans"/>
        </w:rPr>
        <w:t xml:space="preserve"> (Cth) be deleted. If it is not reasonably practicable for ‘concealment of access’ to occur while the computer access warrant is in effect, or within 28 days of its expiry, the Commission recommends that provision be made in the legislation for law enforcement authorities to return to an eligible </w:t>
      </w:r>
      <w:r w:rsidR="00431A36" w:rsidRPr="00AA1A20">
        <w:rPr>
          <w:rFonts w:cs="Open Sans"/>
        </w:rPr>
        <w:t>Judge</w:t>
      </w:r>
      <w:r w:rsidRPr="00AA1A20">
        <w:rPr>
          <w:rFonts w:cs="Open Sans"/>
        </w:rPr>
        <w:t xml:space="preserve"> or nominated AAT member for further authorisation.</w:t>
      </w:r>
    </w:p>
    <w:p w14:paraId="698390D8" w14:textId="77777777" w:rsidR="00C33F96" w:rsidRPr="00AA1A20" w:rsidRDefault="00C33F96" w:rsidP="006C5FBB">
      <w:pPr>
        <w:pStyle w:val="ListNumber"/>
        <w:numPr>
          <w:ilvl w:val="0"/>
          <w:numId w:val="0"/>
        </w:numPr>
        <w:ind w:left="720"/>
        <w:rPr>
          <w:rFonts w:cs="Open Sans"/>
          <w:b/>
        </w:rPr>
      </w:pPr>
      <w:r w:rsidRPr="00AA1A20">
        <w:rPr>
          <w:rFonts w:cs="Open Sans"/>
          <w:b/>
        </w:rPr>
        <w:t>Recommendation 36</w:t>
      </w:r>
    </w:p>
    <w:p w14:paraId="747889EE" w14:textId="5A5C8A82" w:rsidR="00C33F96" w:rsidRPr="00AA1A20" w:rsidRDefault="00C33F96" w:rsidP="006C5FBB">
      <w:pPr>
        <w:pStyle w:val="ListNumber"/>
        <w:numPr>
          <w:ilvl w:val="0"/>
          <w:numId w:val="0"/>
        </w:numPr>
        <w:ind w:left="720"/>
        <w:rPr>
          <w:rFonts w:cs="Open Sans"/>
        </w:rPr>
      </w:pPr>
      <w:r w:rsidRPr="00AA1A20">
        <w:rPr>
          <w:rFonts w:cs="Open Sans"/>
        </w:rPr>
        <w:t xml:space="preserve">Proposed ss </w:t>
      </w:r>
      <w:proofErr w:type="gramStart"/>
      <w:r w:rsidRPr="00AA1A20">
        <w:rPr>
          <w:rFonts w:cs="Open Sans"/>
        </w:rPr>
        <w:t>25A(</w:t>
      </w:r>
      <w:proofErr w:type="gramEnd"/>
      <w:r w:rsidRPr="00AA1A20">
        <w:rPr>
          <w:rFonts w:cs="Open Sans"/>
        </w:rPr>
        <w:t xml:space="preserve">8)(k), s 27A(3C)(k), s 27E(6)(k) of the </w:t>
      </w:r>
      <w:r w:rsidR="000958BB" w:rsidRPr="00AA1A20">
        <w:rPr>
          <w:rFonts w:cs="Open Sans"/>
          <w:i/>
        </w:rPr>
        <w:t xml:space="preserve">Australian Security Intelligence Organisation Act 1979 </w:t>
      </w:r>
      <w:r w:rsidR="000958BB" w:rsidRPr="00AA1A20">
        <w:rPr>
          <w:rFonts w:cs="Open Sans"/>
        </w:rPr>
        <w:t>(Cth)</w:t>
      </w:r>
      <w:r w:rsidRPr="00AA1A20">
        <w:rPr>
          <w:rFonts w:cs="Open Sans"/>
        </w:rPr>
        <w:t xml:space="preserve"> be deleted. If it is not reasonably practicable for ‘concealment of access’ to occur while the computer access warrant is in effect, or within 28 days of its expiry, the Commission recommends that provision be made in the legislation for ASIO to return to the Attorney-General for further authorisation.</w:t>
      </w:r>
    </w:p>
    <w:p w14:paraId="6523599D" w14:textId="77777777" w:rsidR="00A807D7" w:rsidRPr="00AA1A20" w:rsidRDefault="00A807D7" w:rsidP="006C5FBB">
      <w:pPr>
        <w:pStyle w:val="ListNumber"/>
        <w:numPr>
          <w:ilvl w:val="0"/>
          <w:numId w:val="0"/>
        </w:numPr>
        <w:ind w:left="720"/>
        <w:rPr>
          <w:rFonts w:cs="Open Sans"/>
          <w:b/>
        </w:rPr>
      </w:pPr>
      <w:r w:rsidRPr="00AA1A20">
        <w:rPr>
          <w:rFonts w:cs="Open Sans"/>
          <w:b/>
        </w:rPr>
        <w:t>Recommendation 37</w:t>
      </w:r>
    </w:p>
    <w:p w14:paraId="0968F417" w14:textId="65F71693" w:rsidR="00133EA0" w:rsidRPr="00AA1A20" w:rsidRDefault="00133EA0" w:rsidP="00133EA0">
      <w:pPr>
        <w:pStyle w:val="ListNumber"/>
        <w:numPr>
          <w:ilvl w:val="0"/>
          <w:numId w:val="0"/>
        </w:numPr>
        <w:ind w:left="720"/>
        <w:rPr>
          <w:rFonts w:cs="Open Sans"/>
        </w:rPr>
      </w:pPr>
      <w:r w:rsidRPr="00AA1A20">
        <w:rPr>
          <w:rFonts w:cs="Open Sans"/>
        </w:rPr>
        <w:t>Proposed ss 25A(4)(</w:t>
      </w:r>
      <w:proofErr w:type="spellStart"/>
      <w:r w:rsidRPr="00AA1A20">
        <w:rPr>
          <w:rFonts w:cs="Open Sans"/>
        </w:rPr>
        <w:t>ba</w:t>
      </w:r>
      <w:proofErr w:type="spellEnd"/>
      <w:r w:rsidRPr="00AA1A20">
        <w:rPr>
          <w:rFonts w:cs="Open Sans"/>
        </w:rPr>
        <w:t>), 25A(8)(h), 27A(3C)(h), 27E2(</w:t>
      </w:r>
      <w:proofErr w:type="spellStart"/>
      <w:r w:rsidRPr="00AA1A20">
        <w:rPr>
          <w:rFonts w:cs="Open Sans"/>
        </w:rPr>
        <w:t>ea</w:t>
      </w:r>
      <w:proofErr w:type="spellEnd"/>
      <w:r w:rsidRPr="00AA1A20">
        <w:rPr>
          <w:rFonts w:cs="Open Sans"/>
        </w:rPr>
        <w:t xml:space="preserve">), 27E(6)(h) of the </w:t>
      </w:r>
      <w:r w:rsidRPr="00AA1A20">
        <w:rPr>
          <w:rFonts w:cs="Open Sans"/>
          <w:i/>
        </w:rPr>
        <w:t xml:space="preserve">Australian Security Intelligence Organisation Act 1979 </w:t>
      </w:r>
      <w:r w:rsidRPr="00AA1A20">
        <w:rPr>
          <w:rFonts w:cs="Open Sans"/>
        </w:rPr>
        <w:t xml:space="preserve">(Cth) and proposed ss 27E(2)(h) and 27E(7)(h) of the </w:t>
      </w:r>
      <w:r w:rsidRPr="00AA1A20">
        <w:rPr>
          <w:rFonts w:cs="Open Sans"/>
          <w:i/>
        </w:rPr>
        <w:t xml:space="preserve">Surveillance Devices Act 2004 </w:t>
      </w:r>
      <w:r w:rsidRPr="00AA1A20">
        <w:rPr>
          <w:rFonts w:cs="Open Sans"/>
        </w:rPr>
        <w:t xml:space="preserve">(Cth) be </w:t>
      </w:r>
      <w:r w:rsidRPr="00AA1A20">
        <w:rPr>
          <w:rFonts w:cs="Open Sans"/>
        </w:rPr>
        <w:lastRenderedPageBreak/>
        <w:t xml:space="preserve">amended to permit only necessary, reasonable and proportionate ancillary interception powers. </w:t>
      </w:r>
    </w:p>
    <w:p w14:paraId="540563E6" w14:textId="59292D97" w:rsidR="00A807D7" w:rsidRPr="00AA1A20" w:rsidRDefault="00A807D7" w:rsidP="006C5FBB">
      <w:pPr>
        <w:pStyle w:val="ListNumber"/>
        <w:numPr>
          <w:ilvl w:val="0"/>
          <w:numId w:val="0"/>
        </w:numPr>
        <w:tabs>
          <w:tab w:val="clear" w:pos="1134"/>
          <w:tab w:val="left" w:pos="1418"/>
        </w:tabs>
        <w:ind w:left="720"/>
        <w:rPr>
          <w:rFonts w:cs="Open Sans"/>
          <w:b/>
        </w:rPr>
      </w:pPr>
      <w:r w:rsidRPr="00AA1A20">
        <w:rPr>
          <w:rFonts w:cs="Open Sans"/>
          <w:b/>
        </w:rPr>
        <w:t>Recommendation 38</w:t>
      </w:r>
    </w:p>
    <w:p w14:paraId="2A6D2B64" w14:textId="2DAC5E03" w:rsidR="00A807D7" w:rsidRPr="00AA1A20" w:rsidRDefault="00F62EA1" w:rsidP="006C5FBB">
      <w:pPr>
        <w:pStyle w:val="ListNumber"/>
        <w:numPr>
          <w:ilvl w:val="0"/>
          <w:numId w:val="0"/>
        </w:numPr>
        <w:tabs>
          <w:tab w:val="clear" w:pos="1134"/>
          <w:tab w:val="left" w:pos="1418"/>
        </w:tabs>
        <w:ind w:left="720"/>
        <w:rPr>
          <w:rFonts w:cs="Open Sans"/>
        </w:rPr>
      </w:pPr>
      <w:proofErr w:type="gramStart"/>
      <w:r w:rsidRPr="00AA1A20">
        <w:rPr>
          <w:rFonts w:cs="Open Sans"/>
        </w:rPr>
        <w:t xml:space="preserve">Serious </w:t>
      </w:r>
      <w:r w:rsidR="00A807D7" w:rsidRPr="00AA1A20">
        <w:rPr>
          <w:rFonts w:cs="Open Sans"/>
        </w:rPr>
        <w:t>consideration be given</w:t>
      </w:r>
      <w:proofErr w:type="gramEnd"/>
      <w:r w:rsidR="00A807D7" w:rsidRPr="00AA1A20">
        <w:rPr>
          <w:rFonts w:cs="Open Sans"/>
        </w:rPr>
        <w:t xml:space="preserve"> to the proportionality of the substantially increased penalty provisions in the draft Bill.  A maximum sentence of </w:t>
      </w:r>
      <w:r w:rsidR="00431A36" w:rsidRPr="00AA1A20">
        <w:rPr>
          <w:rFonts w:cs="Open Sans"/>
        </w:rPr>
        <w:t>ten</w:t>
      </w:r>
      <w:r w:rsidR="00A807D7" w:rsidRPr="00AA1A20">
        <w:rPr>
          <w:rFonts w:cs="Open Sans"/>
        </w:rPr>
        <w:t xml:space="preserve"> years imprisonment for failing to comply with an assistance order should only attach to the investigation of the most serious offences and in the presence of other defined aggravating circumstances. </w:t>
      </w:r>
    </w:p>
    <w:p w14:paraId="78441821" w14:textId="77777777" w:rsidR="00A807D7" w:rsidRPr="00AA1A20" w:rsidRDefault="00A807D7" w:rsidP="006C5FBB">
      <w:pPr>
        <w:pStyle w:val="ListNumber"/>
        <w:numPr>
          <w:ilvl w:val="0"/>
          <w:numId w:val="0"/>
        </w:numPr>
        <w:ind w:left="720"/>
        <w:rPr>
          <w:rFonts w:cs="Open Sans"/>
          <w:b/>
        </w:rPr>
      </w:pPr>
      <w:r w:rsidRPr="00AA1A20">
        <w:rPr>
          <w:rFonts w:cs="Open Sans"/>
          <w:b/>
        </w:rPr>
        <w:t>Recommendation 39</w:t>
      </w:r>
    </w:p>
    <w:p w14:paraId="20058A89" w14:textId="3A14336F" w:rsidR="00D925F0" w:rsidRPr="00AA1A20" w:rsidRDefault="00A807D7" w:rsidP="0099453D">
      <w:pPr>
        <w:pStyle w:val="ListNumber"/>
        <w:numPr>
          <w:ilvl w:val="0"/>
          <w:numId w:val="0"/>
        </w:numPr>
        <w:ind w:left="720"/>
        <w:rPr>
          <w:rFonts w:cs="Open Sans"/>
        </w:rPr>
      </w:pPr>
      <w:proofErr w:type="gramStart"/>
      <w:r w:rsidRPr="00AA1A20">
        <w:rPr>
          <w:rFonts w:cs="Open Sans"/>
        </w:rPr>
        <w:t>The draft Bill be amended</w:t>
      </w:r>
      <w:proofErr w:type="gramEnd"/>
      <w:r w:rsidRPr="00AA1A20">
        <w:rPr>
          <w:rFonts w:cs="Open Sans"/>
        </w:rPr>
        <w:t xml:space="preserve"> to make clear that assistance orders do not abrogate the privilege against self-incrimination, and to make explicit that any information obtained as a result of a person complying with an assistance order is subject to appropriate use and derivative use immunity. </w:t>
      </w:r>
    </w:p>
    <w:sectPr w:rsidR="00D925F0" w:rsidRPr="00AA1A20" w:rsidSect="00460EE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907" w:footer="283"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BE8FC" w16cid:durableId="1F3D29B9"/>
  <w16cid:commentId w16cid:paraId="572FAD73" w16cid:durableId="1F3FBD64"/>
  <w16cid:commentId w16cid:paraId="20C6D3AD" w16cid:durableId="1F3D3914"/>
  <w16cid:commentId w16cid:paraId="22B98695" w16cid:durableId="1F3FC044"/>
  <w16cid:commentId w16cid:paraId="7B394B15" w16cid:durableId="1F3FBC56"/>
  <w16cid:commentId w16cid:paraId="319AA193" w16cid:durableId="1F3FBC9D"/>
  <w16cid:commentId w16cid:paraId="2DD86927" w16cid:durableId="1F3FBCCF"/>
  <w16cid:commentId w16cid:paraId="4CCD9F31" w16cid:durableId="1F3FBD2C"/>
  <w16cid:commentId w16cid:paraId="1D386036" w16cid:durableId="1F3FBDF1"/>
  <w16cid:commentId w16cid:paraId="6A053D9A" w16cid:durableId="1F3D3A56"/>
  <w16cid:commentId w16cid:paraId="44439D2C" w16cid:durableId="1F3FBE5C"/>
  <w16cid:commentId w16cid:paraId="46689D67" w16cid:durableId="1F3D3CF7"/>
  <w16cid:commentId w16cid:paraId="6216F2B2" w16cid:durableId="1F3FC8A7"/>
  <w16cid:commentId w16cid:paraId="6BC2D1E2" w16cid:durableId="1F3FBF47"/>
  <w16cid:commentId w16cid:paraId="59C1A527" w16cid:durableId="1F3D3F03"/>
  <w16cid:commentId w16cid:paraId="29906BB8" w16cid:durableId="1F3FBFAF"/>
  <w16cid:commentId w16cid:paraId="158F64C7" w16cid:durableId="1F3D3EB7"/>
  <w16cid:commentId w16cid:paraId="631EDC57" w16cid:durableId="1F3FC099"/>
  <w16cid:commentId w16cid:paraId="0B2BB39E" w16cid:durableId="1F3D4914"/>
  <w16cid:commentId w16cid:paraId="75D237A3" w16cid:durableId="1F3FC136"/>
  <w16cid:commentId w16cid:paraId="2806641C" w16cid:durableId="1F3FC1EB"/>
  <w16cid:commentId w16cid:paraId="14081DA8" w16cid:durableId="1F3D42F0"/>
  <w16cid:commentId w16cid:paraId="60FC9212" w16cid:durableId="1F3FC26A"/>
  <w16cid:commentId w16cid:paraId="73E2C562" w16cid:durableId="1F3FC360"/>
  <w16cid:commentId w16cid:paraId="4AD4AAAE" w16cid:durableId="1F3FC6A0"/>
  <w16cid:commentId w16cid:paraId="793820A4" w16cid:durableId="1F3FC615"/>
  <w16cid:commentId w16cid:paraId="2C76470E" w16cid:durableId="1F3FC6F3"/>
  <w16cid:commentId w16cid:paraId="6E0F61B3" w16cid:durableId="1F3FCE82"/>
  <w16cid:commentId w16cid:paraId="0330FFE5" w16cid:durableId="1F3FD0AF"/>
  <w16cid:commentId w16cid:paraId="3B19B351" w16cid:durableId="1F3D53BD"/>
  <w16cid:commentId w16cid:paraId="55C731C3" w16cid:durableId="1F3FD256"/>
  <w16cid:commentId w16cid:paraId="36B8511F" w16cid:durableId="1F3FD405"/>
  <w16cid:commentId w16cid:paraId="3AE313B8" w16cid:durableId="1F3D56BD"/>
  <w16cid:commentId w16cid:paraId="2CB6A9E1" w16cid:durableId="1F3FD503"/>
  <w16cid:commentId w16cid:paraId="5F38FB4B" w16cid:durableId="1F3FD591"/>
  <w16cid:commentId w16cid:paraId="4EF0F1FA" w16cid:durableId="1F3D5ADC"/>
  <w16cid:commentId w16cid:paraId="6DDFA5A6" w16cid:durableId="1F3FD5EC"/>
  <w16cid:commentId w16cid:paraId="3CD3243E" w16cid:durableId="1F3FD622"/>
  <w16cid:commentId w16cid:paraId="3DC9DD67" w16cid:durableId="1F3D6D91"/>
  <w16cid:commentId w16cid:paraId="765048B5" w16cid:durableId="1F3FD6EF"/>
  <w16cid:commentId w16cid:paraId="4A69E026" w16cid:durableId="1F3FD756"/>
  <w16cid:commentId w16cid:paraId="70561EC3" w16cid:durableId="1F3FD726"/>
  <w16cid:commentId w16cid:paraId="0D7252EA" w16cid:durableId="1F3FD874"/>
  <w16cid:commentId w16cid:paraId="7423A5EB" w16cid:durableId="1F3FD8CC"/>
  <w16cid:commentId w16cid:paraId="75853638" w16cid:durableId="1F3D6FEC"/>
  <w16cid:commentId w16cid:paraId="1F979078" w16cid:durableId="1F3D7030"/>
  <w16cid:commentId w16cid:paraId="0D194DE5" w16cid:durableId="1F3FD90F"/>
  <w16cid:commentId w16cid:paraId="34689901" w16cid:durableId="1F3D714A"/>
  <w16cid:commentId w16cid:paraId="2967E0BB" w16cid:durableId="1F3FD94F"/>
  <w16cid:commentId w16cid:paraId="0360517C" w16cid:durableId="1F3FD963"/>
  <w16cid:commentId w16cid:paraId="350D21DB" w16cid:durableId="1F3D726C"/>
  <w16cid:commentId w16cid:paraId="552295C5" w16cid:durableId="1F3D7308"/>
  <w16cid:commentId w16cid:paraId="6B454C39" w16cid:durableId="1F3FDD07"/>
  <w16cid:commentId w16cid:paraId="47D9FDFC" w16cid:durableId="1F3D8271"/>
  <w16cid:commentId w16cid:paraId="793EFF25" w16cid:durableId="1F3FDE7A"/>
  <w16cid:commentId w16cid:paraId="5C659E1C" w16cid:durableId="1F3FDF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A42D" w14:textId="77777777" w:rsidR="00F86B32" w:rsidRDefault="00F86B32" w:rsidP="00F14C6D">
      <w:r>
        <w:separator/>
      </w:r>
    </w:p>
  </w:endnote>
  <w:endnote w:type="continuationSeparator" w:id="0">
    <w:p w14:paraId="21B12DC8" w14:textId="77777777" w:rsidR="00F86B32" w:rsidRDefault="00F86B32" w:rsidP="00F14C6D">
      <w:r>
        <w:continuationSeparator/>
      </w:r>
    </w:p>
  </w:endnote>
  <w:endnote w:type="continuationNotice" w:id="1">
    <w:p w14:paraId="27D993B6" w14:textId="77777777" w:rsidR="00F86B32" w:rsidRDefault="00F86B32"/>
  </w:endnote>
  <w:endnote w:id="2">
    <w:p w14:paraId="4A9CD650" w14:textId="1233C89A"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5.</w:t>
      </w:r>
    </w:p>
  </w:endnote>
  <w:endnote w:id="3">
    <w:p w14:paraId="48473E8A" w14:textId="7777777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w:t>
      </w:r>
    </w:p>
  </w:endnote>
  <w:endnote w:id="4">
    <w:p w14:paraId="2C2F52B0" w14:textId="6C609566"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International Covenant on Civil and Political Rights, opened for signature 16 December 1966, 999 UNTS 171 (entered into force 23 March 1976) art 6.</w:t>
      </w:r>
    </w:p>
  </w:endnote>
  <w:endnote w:id="5">
    <w:p w14:paraId="2E83E68E" w14:textId="2F3A0CC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See for example, SC Res 1373, UN SCOR, 4385</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mtg</w:t>
      </w:r>
      <w:proofErr w:type="spellEnd"/>
      <w:r w:rsidRPr="00CE04D1">
        <w:rPr>
          <w:rFonts w:cs="Open Sans"/>
          <w:sz w:val="20"/>
          <w:szCs w:val="20"/>
        </w:rPr>
        <w:t xml:space="preserve">, UN Doc S/RES/1373 (28 September 2001). </w:t>
      </w:r>
    </w:p>
  </w:endnote>
  <w:endnote w:id="6">
    <w:p w14:paraId="1530AD68" w14:textId="7D1B206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Special Rapporteur on the promotion and protection of the right to freedom of opinion and expression, </w:t>
      </w:r>
      <w:r w:rsidRPr="00CE04D1">
        <w:rPr>
          <w:rFonts w:cs="Open Sans"/>
          <w:i/>
          <w:sz w:val="20"/>
          <w:szCs w:val="20"/>
        </w:rPr>
        <w:t xml:space="preserve">Encryption and anonymity follow-up report </w:t>
      </w:r>
      <w:r w:rsidRPr="00CE04D1">
        <w:rPr>
          <w:rFonts w:cs="Open Sans"/>
          <w:sz w:val="20"/>
          <w:szCs w:val="20"/>
        </w:rPr>
        <w:t>(June 2018)</w:t>
      </w:r>
      <w:r w:rsidRPr="00CE04D1">
        <w:rPr>
          <w:rFonts w:cs="Open Sans"/>
          <w:i/>
          <w:sz w:val="20"/>
          <w:szCs w:val="20"/>
        </w:rPr>
        <w:t xml:space="preserve"> </w:t>
      </w:r>
      <w:r w:rsidRPr="00CE04D1">
        <w:rPr>
          <w:rFonts w:cs="Open Sans"/>
          <w:sz w:val="20"/>
          <w:szCs w:val="20"/>
        </w:rPr>
        <w:t>United Nations Office of the High Commissioner for Human Rights, 11 &lt;https://www.ohchr.org/Documents/Issues/Opinion/EncryptionAnonymityFollowUp- Report.pdf&gt;.</w:t>
      </w:r>
    </w:p>
  </w:endnote>
  <w:endnote w:id="7">
    <w:p w14:paraId="07791DC4" w14:textId="4AB4F0CA"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International Covenant on Civil and Political </w:t>
      </w:r>
      <w:proofErr w:type="gramStart"/>
      <w:r w:rsidRPr="00CE04D1">
        <w:rPr>
          <w:rFonts w:cs="Open Sans"/>
          <w:i/>
          <w:sz w:val="20"/>
          <w:szCs w:val="20"/>
        </w:rPr>
        <w:t>Rights</w:t>
      </w:r>
      <w:r w:rsidRPr="00CE04D1">
        <w:rPr>
          <w:rFonts w:cs="Open Sans"/>
          <w:sz w:val="20"/>
          <w:szCs w:val="20"/>
        </w:rPr>
        <w:t>,</w:t>
      </w:r>
      <w:proofErr w:type="gramEnd"/>
      <w:r w:rsidRPr="00CE04D1">
        <w:rPr>
          <w:rFonts w:cs="Open Sans"/>
          <w:sz w:val="20"/>
          <w:szCs w:val="20"/>
        </w:rPr>
        <w:t xml:space="preserve"> opened for signature 19 December 1966, 999 UNTS 171 (entered into force 23 March 1976).</w:t>
      </w:r>
    </w:p>
  </w:endnote>
  <w:endnote w:id="8">
    <w:p w14:paraId="4C779768" w14:textId="4CA6044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For example, the exposure of names, addresses, dates of birth, passwords and other personal information of users or consumers of Yahoo, eBay, Equifax and Uber. </w:t>
      </w:r>
    </w:p>
  </w:endnote>
  <w:endnote w:id="9">
    <w:p w14:paraId="22F85B42" w14:textId="334A14E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proofErr w:type="spellStart"/>
      <w:r w:rsidRPr="00CE04D1">
        <w:rPr>
          <w:rFonts w:cs="Open Sans"/>
          <w:sz w:val="20"/>
          <w:szCs w:val="20"/>
        </w:rPr>
        <w:t>Trischa</w:t>
      </w:r>
      <w:proofErr w:type="spellEnd"/>
      <w:r w:rsidRPr="00CE04D1">
        <w:rPr>
          <w:rFonts w:cs="Open Sans"/>
          <w:sz w:val="20"/>
          <w:szCs w:val="20"/>
        </w:rPr>
        <w:t xml:space="preserve"> Mann (</w:t>
      </w:r>
      <w:proofErr w:type="spellStart"/>
      <w:proofErr w:type="gramStart"/>
      <w:r w:rsidRPr="00CE04D1">
        <w:rPr>
          <w:rFonts w:cs="Open Sans"/>
          <w:sz w:val="20"/>
          <w:szCs w:val="20"/>
        </w:rPr>
        <w:t>ed</w:t>
      </w:r>
      <w:proofErr w:type="spellEnd"/>
      <w:proofErr w:type="gramEnd"/>
      <w:r w:rsidRPr="00CE04D1">
        <w:rPr>
          <w:rFonts w:cs="Open Sans"/>
          <w:sz w:val="20"/>
          <w:szCs w:val="20"/>
        </w:rPr>
        <w:t xml:space="preserve">), </w:t>
      </w:r>
      <w:r w:rsidRPr="00CE04D1">
        <w:rPr>
          <w:rFonts w:cs="Open Sans"/>
          <w:i/>
          <w:sz w:val="20"/>
          <w:szCs w:val="20"/>
        </w:rPr>
        <w:t>Australian Law Dictionary</w:t>
      </w:r>
      <w:r w:rsidRPr="00CE04D1">
        <w:rPr>
          <w:rFonts w:cs="Open Sans"/>
          <w:sz w:val="20"/>
          <w:szCs w:val="20"/>
        </w:rPr>
        <w:t xml:space="preserve"> (Oxford University Press, 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ed</w:t>
      </w:r>
      <w:proofErr w:type="spellEnd"/>
      <w:r w:rsidRPr="00CE04D1">
        <w:rPr>
          <w:rFonts w:cs="Open Sans"/>
          <w:sz w:val="20"/>
          <w:szCs w:val="20"/>
        </w:rPr>
        <w:t>, 2013).</w:t>
      </w:r>
    </w:p>
  </w:endnote>
  <w:endnote w:id="10">
    <w:p w14:paraId="2CD1AABA" w14:textId="067815EA"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David Kaye, </w:t>
      </w:r>
      <w:r w:rsidRPr="00CE04D1">
        <w:rPr>
          <w:rFonts w:cs="Open Sans"/>
          <w:i/>
          <w:sz w:val="20"/>
          <w:szCs w:val="20"/>
        </w:rPr>
        <w:t>Report of the United Nations Special Rapporteur on the promotion and protection of the right to freedom of opinion and expression</w:t>
      </w:r>
      <w:r w:rsidRPr="00CE04D1">
        <w:rPr>
          <w:rFonts w:cs="Open Sans"/>
          <w:sz w:val="20"/>
          <w:szCs w:val="20"/>
        </w:rPr>
        <w:t>, 17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3, UN Doc A/HRC/29/32 (22 May 2015) 19 [56].</w:t>
      </w:r>
    </w:p>
  </w:endnote>
  <w:endnote w:id="11">
    <w:p w14:paraId="028F5A72" w14:textId="43C497B6"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James B. </w:t>
      </w:r>
      <w:proofErr w:type="spellStart"/>
      <w:r w:rsidRPr="00CE04D1">
        <w:rPr>
          <w:rFonts w:cs="Open Sans"/>
          <w:sz w:val="20"/>
          <w:szCs w:val="20"/>
        </w:rPr>
        <w:t>Comey</w:t>
      </w:r>
      <w:proofErr w:type="spellEnd"/>
      <w:r w:rsidRPr="00CE04D1">
        <w:rPr>
          <w:rFonts w:cs="Open Sans"/>
          <w:sz w:val="20"/>
          <w:szCs w:val="20"/>
        </w:rPr>
        <w:t>, Director: Federal Bureau of Investigation, ‘</w:t>
      </w:r>
      <w:proofErr w:type="gramStart"/>
      <w:r w:rsidRPr="00CE04D1">
        <w:rPr>
          <w:rFonts w:cs="Open Sans"/>
          <w:sz w:val="20"/>
          <w:szCs w:val="20"/>
        </w:rPr>
        <w:t>Going</w:t>
      </w:r>
      <w:proofErr w:type="gramEnd"/>
      <w:r w:rsidRPr="00CE04D1">
        <w:rPr>
          <w:rFonts w:cs="Open Sans"/>
          <w:sz w:val="20"/>
          <w:szCs w:val="20"/>
        </w:rPr>
        <w:t xml:space="preserve"> dark: are technology, privacy, and public safety on a collision course?’ (Speech delivered at the Brookings Institution, Washington D.C., </w:t>
      </w:r>
      <w:proofErr w:type="gramStart"/>
      <w:r w:rsidRPr="00CE04D1">
        <w:rPr>
          <w:rFonts w:cs="Open Sans"/>
          <w:sz w:val="20"/>
          <w:szCs w:val="20"/>
        </w:rPr>
        <w:t>16</w:t>
      </w:r>
      <w:proofErr w:type="gramEnd"/>
      <w:r w:rsidRPr="00CE04D1">
        <w:rPr>
          <w:rFonts w:cs="Open Sans"/>
          <w:sz w:val="20"/>
          <w:szCs w:val="20"/>
        </w:rPr>
        <w:t xml:space="preserve"> October 2014). </w:t>
      </w:r>
    </w:p>
  </w:endnote>
  <w:endnote w:id="12">
    <w:p w14:paraId="508D75B8" w14:textId="17E93096"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7.</w:t>
      </w:r>
    </w:p>
  </w:endnote>
  <w:endnote w:id="13">
    <w:p w14:paraId="41847E82" w14:textId="412CABFF"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See Monique Mann et al, Australian Privacy Foundation et al, Submission No 23 to the Joint Parliamentary Committee on Law Enforcement</w:t>
      </w:r>
      <w:r w:rsidRPr="00CE04D1">
        <w:rPr>
          <w:rFonts w:cs="Open Sans"/>
          <w:i/>
          <w:sz w:val="20"/>
          <w:szCs w:val="20"/>
        </w:rPr>
        <w:t>, Inquiry into new Information Communication Technologies (ICTs) and the challenges facing law enforcement agencies</w:t>
      </w:r>
      <w:r w:rsidRPr="00CE04D1">
        <w:rPr>
          <w:rFonts w:cs="Open Sans"/>
          <w:sz w:val="20"/>
          <w:szCs w:val="20"/>
        </w:rPr>
        <w:t>, 2018, 12.</w:t>
      </w:r>
    </w:p>
  </w:endnote>
  <w:endnote w:id="14">
    <w:p w14:paraId="5DE9F76D" w14:textId="4C125829"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5.</w:t>
      </w:r>
    </w:p>
  </w:endnote>
  <w:endnote w:id="15">
    <w:p w14:paraId="73C5EA6F" w14:textId="40480F6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9.</w:t>
      </w:r>
    </w:p>
  </w:endnote>
  <w:endnote w:id="16">
    <w:p w14:paraId="0ABF9C5D" w14:textId="0224903A"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5</w:t>
      </w:r>
      <w:proofErr w:type="gramStart"/>
      <w:r w:rsidRPr="00CE04D1">
        <w:rPr>
          <w:rFonts w:cs="Open Sans"/>
          <w:sz w:val="20"/>
          <w:szCs w:val="20"/>
        </w:rPr>
        <w:t>;</w:t>
      </w:r>
      <w:proofErr w:type="gramEnd"/>
      <w:r w:rsidRPr="00CE04D1">
        <w:rPr>
          <w:rFonts w:cs="Open Sans"/>
          <w:sz w:val="20"/>
          <w:szCs w:val="20"/>
        </w:rPr>
        <w:t xml:space="preserve"> </w:t>
      </w:r>
      <w:r w:rsidRPr="00CE04D1">
        <w:rPr>
          <w:rFonts w:cs="Open Sans"/>
          <w:i/>
          <w:sz w:val="20"/>
          <w:szCs w:val="20"/>
        </w:rPr>
        <w:t xml:space="preserve">Telecommunications Act 1997 </w:t>
      </w:r>
      <w:r w:rsidRPr="00CE04D1">
        <w:rPr>
          <w:rFonts w:cs="Open Sans"/>
          <w:sz w:val="20"/>
          <w:szCs w:val="20"/>
        </w:rPr>
        <w:t>(Cth) proposed s 317ZG.</w:t>
      </w:r>
    </w:p>
  </w:endnote>
  <w:endnote w:id="17">
    <w:p w14:paraId="23BF70A6" w14:textId="040A2FE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 xml:space="preserve"> </w:t>
      </w:r>
      <w:r w:rsidRPr="00CE04D1">
        <w:rPr>
          <w:rFonts w:cs="Open Sans"/>
          <w:sz w:val="20"/>
          <w:szCs w:val="20"/>
        </w:rPr>
        <w:tab/>
      </w:r>
      <w:r w:rsidRPr="00CE04D1">
        <w:rPr>
          <w:rFonts w:cs="Open Sans"/>
          <w:i/>
          <w:sz w:val="20"/>
          <w:szCs w:val="20"/>
        </w:rPr>
        <w:t xml:space="preserve">Telecommunications Act 1997 </w:t>
      </w:r>
      <w:r w:rsidRPr="00CE04D1">
        <w:rPr>
          <w:rFonts w:cs="Open Sans"/>
          <w:sz w:val="20"/>
          <w:szCs w:val="20"/>
        </w:rPr>
        <w:t>(Cth) proposed s 317ZG.</w:t>
      </w:r>
    </w:p>
  </w:endnote>
  <w:endnote w:id="18">
    <w:p w14:paraId="73DE4EF5" w14:textId="4C15334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Noting that this term </w:t>
      </w:r>
      <w:proofErr w:type="gramStart"/>
      <w:r w:rsidRPr="00CE04D1">
        <w:rPr>
          <w:rFonts w:cs="Open Sans"/>
          <w:sz w:val="20"/>
          <w:szCs w:val="20"/>
        </w:rPr>
        <w:t>can be used</w:t>
      </w:r>
      <w:proofErr w:type="gramEnd"/>
      <w:r w:rsidRPr="00CE04D1">
        <w:rPr>
          <w:rFonts w:cs="Open Sans"/>
          <w:sz w:val="20"/>
          <w:szCs w:val="20"/>
        </w:rPr>
        <w:t xml:space="preserve"> to refer to a range of exceptional access arrangements, beyond the building of independent ports.</w:t>
      </w:r>
    </w:p>
  </w:endnote>
  <w:endnote w:id="19">
    <w:p w14:paraId="562174CB" w14:textId="6CA4960B"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Telecommunications Act 1997 </w:t>
      </w:r>
      <w:r w:rsidRPr="00CE04D1">
        <w:rPr>
          <w:rFonts w:cs="Open Sans"/>
          <w:sz w:val="20"/>
          <w:szCs w:val="20"/>
        </w:rPr>
        <w:t>(Cth) proposed s 317ZG.</w:t>
      </w:r>
    </w:p>
  </w:endnote>
  <w:endnote w:id="20">
    <w:p w14:paraId="32880F88" w14:textId="5FE9C59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eastAsia="Times New Roman" w:cs="Open Sans"/>
          <w:sz w:val="20"/>
          <w:szCs w:val="20"/>
        </w:rPr>
        <w:t xml:space="preserve">See Frank La Rue, </w:t>
      </w:r>
      <w:r w:rsidRPr="00CE04D1">
        <w:rPr>
          <w:rFonts w:eastAsia="Times New Roman" w:cs="Open Sans"/>
          <w:i/>
          <w:sz w:val="20"/>
          <w:szCs w:val="20"/>
        </w:rPr>
        <w:t>Report of the United Nations Special Rapporteur on the promotion and protection of the right to freedom of opinion and expression</w:t>
      </w:r>
      <w:r w:rsidRPr="00CE04D1">
        <w:rPr>
          <w:rFonts w:eastAsia="Times New Roman" w:cs="Open Sans"/>
          <w:sz w:val="20"/>
          <w:szCs w:val="20"/>
        </w:rPr>
        <w:t>,</w:t>
      </w:r>
      <w:r w:rsidRPr="00CE04D1">
        <w:rPr>
          <w:rFonts w:eastAsia="Times New Roman" w:cs="Open Sans"/>
          <w:i/>
          <w:sz w:val="20"/>
          <w:szCs w:val="20"/>
        </w:rPr>
        <w:t xml:space="preserve"> </w:t>
      </w:r>
      <w:r w:rsidRPr="00CE04D1">
        <w:rPr>
          <w:rFonts w:eastAsia="Times New Roman" w:cs="Open Sans"/>
          <w:sz w:val="20"/>
          <w:szCs w:val="20"/>
        </w:rPr>
        <w:t>29</w:t>
      </w:r>
      <w:r w:rsidRPr="00CE04D1">
        <w:rPr>
          <w:rFonts w:eastAsia="Times New Roman" w:cs="Open Sans"/>
          <w:sz w:val="20"/>
          <w:szCs w:val="20"/>
          <w:vertAlign w:val="superscript"/>
        </w:rPr>
        <w:t>th</w:t>
      </w:r>
      <w:r w:rsidRPr="00CE04D1">
        <w:rPr>
          <w:rFonts w:eastAsia="Times New Roman" w:cs="Open Sans"/>
          <w:sz w:val="20"/>
          <w:szCs w:val="20"/>
        </w:rPr>
        <w:t xml:space="preserve"> </w:t>
      </w:r>
      <w:proofErr w:type="spellStart"/>
      <w:r w:rsidRPr="00CE04D1">
        <w:rPr>
          <w:rFonts w:eastAsia="Times New Roman" w:cs="Open Sans"/>
          <w:sz w:val="20"/>
          <w:szCs w:val="20"/>
        </w:rPr>
        <w:t>sess</w:t>
      </w:r>
      <w:proofErr w:type="spellEnd"/>
      <w:r w:rsidRPr="00CE04D1">
        <w:rPr>
          <w:rFonts w:eastAsia="Times New Roman" w:cs="Open Sans"/>
          <w:sz w:val="20"/>
          <w:szCs w:val="20"/>
        </w:rPr>
        <w:t xml:space="preserve">, Agenda Item 3, UN Doc A/HRC/17/27 (16 May 2011) 15–16 [53]–[59]. </w:t>
      </w:r>
    </w:p>
  </w:endnote>
  <w:endnote w:id="21">
    <w:p w14:paraId="7D8117D8" w14:textId="727BF39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The Explanatory Document states that s 313 of the </w:t>
      </w:r>
      <w:r w:rsidRPr="00CE04D1">
        <w:rPr>
          <w:rFonts w:cs="Open Sans"/>
          <w:i/>
          <w:sz w:val="20"/>
          <w:szCs w:val="20"/>
        </w:rPr>
        <w:t>Telecommunications Act 1997</w:t>
      </w:r>
      <w:r w:rsidRPr="00CE04D1">
        <w:rPr>
          <w:rFonts w:cs="Open Sans"/>
          <w:sz w:val="20"/>
          <w:szCs w:val="20"/>
        </w:rPr>
        <w:t xml:space="preserve"> (Cth) already requires domestic carriers and carriage service providers to provide ‘such help as is reasonably’ necessary to law enforcement and national security agencies, and that the draft Bill introduces additional obligations to operate alongside s 313. See Explanatory Document, Telecommunications and Other Legislation Amendment (Assistance and Access) Draft Exposure Bill 2018 (Cth) 8.</w:t>
      </w:r>
    </w:p>
  </w:endnote>
  <w:endnote w:id="22">
    <w:p w14:paraId="327E9ED7" w14:textId="46EDD20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Office of the United Nations High Commissioner for Human Rights, </w:t>
      </w:r>
      <w:r w:rsidRPr="00CE04D1">
        <w:rPr>
          <w:rFonts w:cs="Open Sans"/>
          <w:i/>
          <w:sz w:val="20"/>
          <w:szCs w:val="20"/>
        </w:rPr>
        <w:t xml:space="preserve">The Right to Privacy in the Digital Age, </w:t>
      </w:r>
      <w:r w:rsidRPr="00CE04D1">
        <w:rPr>
          <w:rFonts w:cs="Open Sans"/>
          <w:sz w:val="20"/>
          <w:szCs w:val="20"/>
        </w:rPr>
        <w:t>27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Items 2 and 3, UN Doc A/HRC/27/37 (30 June 2014) 5 [13].</w:t>
      </w:r>
    </w:p>
  </w:endnote>
  <w:endnote w:id="23">
    <w:p w14:paraId="3EA06FB4" w14:textId="0748471D" w:rsidR="00F86B32" w:rsidRPr="00CE04D1" w:rsidRDefault="00F86B32" w:rsidP="005C273F">
      <w:pPr>
        <w:pStyle w:val="ListNumber"/>
        <w:keepNext/>
        <w:keepLines/>
        <w:numPr>
          <w:ilvl w:val="0"/>
          <w:numId w:val="0"/>
        </w:numPr>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General Comment No 34: Article 19, Freedoms of opinion and expression</w:t>
      </w:r>
      <w:r w:rsidRPr="00CE04D1">
        <w:rPr>
          <w:rFonts w:cs="Open Sans"/>
          <w:sz w:val="20"/>
          <w:szCs w:val="20"/>
        </w:rPr>
        <w:t>, 102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sess</w:t>
      </w:r>
      <w:proofErr w:type="gramStart"/>
      <w:r w:rsidRPr="00CE04D1">
        <w:rPr>
          <w:rFonts w:cs="Open Sans"/>
          <w:sz w:val="20"/>
          <w:szCs w:val="20"/>
        </w:rPr>
        <w:t>,UN</w:t>
      </w:r>
      <w:proofErr w:type="spellEnd"/>
      <w:proofErr w:type="gramEnd"/>
      <w:r w:rsidRPr="00CE04D1">
        <w:rPr>
          <w:rFonts w:cs="Open Sans"/>
          <w:sz w:val="20"/>
          <w:szCs w:val="20"/>
        </w:rPr>
        <w:t xml:space="preserve"> Doc CCPR/C/GC/34 (12 September 2011) 1 [2].</w:t>
      </w:r>
    </w:p>
  </w:endnote>
  <w:endnote w:id="24">
    <w:p w14:paraId="0ECC9D1B" w14:textId="49EBE02A" w:rsidR="00F86B32" w:rsidRPr="00CE04D1" w:rsidRDefault="00F86B32" w:rsidP="005C273F">
      <w:pPr>
        <w:pStyle w:val="ListNumber"/>
        <w:keepNext/>
        <w:keepLines/>
        <w:numPr>
          <w:ilvl w:val="0"/>
          <w:numId w:val="0"/>
        </w:numPr>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General Comment No 34: Article 19, Freedoms of opinion and expression</w:t>
      </w:r>
      <w:r w:rsidRPr="00CE04D1">
        <w:rPr>
          <w:rFonts w:cs="Open Sans"/>
          <w:sz w:val="20"/>
          <w:szCs w:val="20"/>
        </w:rPr>
        <w:t>, 102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UN Doc CCPR/C/GC/34 (12 September 2011) 1 [3].</w:t>
      </w:r>
    </w:p>
  </w:endnote>
  <w:endnote w:id="25">
    <w:p w14:paraId="4FACE3E8" w14:textId="7ADCDE5A" w:rsidR="00F86B32" w:rsidRPr="00CE04D1" w:rsidRDefault="00F86B32" w:rsidP="005C273F">
      <w:pPr>
        <w:pStyle w:val="ListNumber"/>
        <w:keepNext/>
        <w:keepLines/>
        <w:numPr>
          <w:ilvl w:val="0"/>
          <w:numId w:val="0"/>
        </w:numPr>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General Comment No 34: Article 19, Freedoms of opinion and expression</w:t>
      </w:r>
      <w:r w:rsidRPr="00CE04D1">
        <w:rPr>
          <w:rFonts w:cs="Open Sans"/>
          <w:sz w:val="20"/>
          <w:szCs w:val="20"/>
        </w:rPr>
        <w:t>, 102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UN Doc CCPR/C/GC/34 (12 September 2011) 1 [3]–[4].</w:t>
      </w:r>
    </w:p>
  </w:endnote>
  <w:endnote w:id="26">
    <w:p w14:paraId="36B02D06" w14:textId="1FFC7394"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The right to vote is protected under article 25(b) of the ICCPR; see also United Nations Human Rights Committee, </w:t>
      </w:r>
      <w:r w:rsidRPr="00CE04D1">
        <w:rPr>
          <w:rFonts w:cs="Open Sans"/>
          <w:i/>
          <w:sz w:val="20"/>
          <w:szCs w:val="20"/>
        </w:rPr>
        <w:t>General comment No 25: Participation in public affairs, voting rights and the right of equal access to public service (Art 25)</w:t>
      </w:r>
      <w:r w:rsidRPr="00CE04D1">
        <w:rPr>
          <w:rFonts w:cs="Open Sans"/>
          <w:sz w:val="20"/>
          <w:szCs w:val="20"/>
        </w:rPr>
        <w:t>, 57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UN Doc CCPR/C/21/Rev.1/Add.7 (12 July 1996) 3 [12].</w:t>
      </w:r>
    </w:p>
  </w:endnote>
  <w:endnote w:id="27">
    <w:p w14:paraId="1FBC0EAE" w14:textId="743F8D7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The right to privacy in the digital age, </w:t>
      </w:r>
      <w:r w:rsidRPr="00CE04D1">
        <w:rPr>
          <w:rFonts w:cs="Open Sans"/>
          <w:sz w:val="20"/>
          <w:szCs w:val="20"/>
        </w:rPr>
        <w:t>GA Res 68/167, UN GAOR, 68</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Agenda Item 69(b), UN Doc A/RES/68/167 (18 December 2013) 2. </w:t>
      </w:r>
    </w:p>
  </w:endnote>
  <w:endnote w:id="28">
    <w:p w14:paraId="0C8BF857" w14:textId="5CE976F8"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The right to privacy in the digital age, </w:t>
      </w:r>
      <w:r w:rsidRPr="00CE04D1">
        <w:rPr>
          <w:rFonts w:cs="Open Sans"/>
          <w:sz w:val="20"/>
          <w:szCs w:val="20"/>
        </w:rPr>
        <w:t>GA Res 68/167, UN GAOR, 68</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69(b), UN Doc A/RES/68/167 (18 December 2013) 2.</w:t>
      </w:r>
    </w:p>
  </w:endnote>
  <w:endnote w:id="29">
    <w:p w14:paraId="70C2CDE3" w14:textId="554F84D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The right to privacy in the digital age, </w:t>
      </w:r>
      <w:r w:rsidRPr="00CE04D1">
        <w:rPr>
          <w:rFonts w:cs="Open Sans"/>
          <w:sz w:val="20"/>
          <w:szCs w:val="20"/>
        </w:rPr>
        <w:t>GA Res 68/167, UN GAOR, 68</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69(b), UN Doc A/RES/68/167 (18 December 2013) 2.</w:t>
      </w:r>
    </w:p>
  </w:endnote>
  <w:endnote w:id="30">
    <w:p w14:paraId="7C6164B6" w14:textId="0B0B759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Office of the United Nations High Commissioner for Human Rights, </w:t>
      </w:r>
      <w:r w:rsidRPr="00CE04D1">
        <w:rPr>
          <w:rFonts w:cs="Open Sans"/>
          <w:i/>
          <w:sz w:val="20"/>
          <w:szCs w:val="20"/>
        </w:rPr>
        <w:t xml:space="preserve">The Right to Privacy in the Digital Age, </w:t>
      </w:r>
      <w:r w:rsidRPr="00CE04D1">
        <w:rPr>
          <w:rFonts w:cs="Open Sans"/>
          <w:sz w:val="20"/>
          <w:szCs w:val="20"/>
        </w:rPr>
        <w:t>27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Items 2 and 3, UN Doc A/HRC/27/37 (30 June 2014) 7 [20].</w:t>
      </w:r>
    </w:p>
  </w:endnote>
  <w:endnote w:id="31">
    <w:p w14:paraId="3F61A602" w14:textId="3719C39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Moira Paterson, ‘Surveillance in Public Places and the Role of the Media: Achieving an Optimal Balance’ (2009) 14 </w:t>
      </w:r>
      <w:r w:rsidRPr="00CE04D1">
        <w:rPr>
          <w:rFonts w:cs="Open Sans"/>
          <w:i/>
          <w:sz w:val="20"/>
          <w:szCs w:val="20"/>
        </w:rPr>
        <w:t xml:space="preserve">Media and Arts Law Review </w:t>
      </w:r>
      <w:r w:rsidRPr="00CE04D1">
        <w:rPr>
          <w:rFonts w:cs="Open Sans"/>
          <w:sz w:val="20"/>
          <w:szCs w:val="20"/>
        </w:rPr>
        <w:t xml:space="preserve">241, 249 quoted in Australian Law Reform Commission, </w:t>
      </w:r>
      <w:r w:rsidRPr="00CE04D1">
        <w:rPr>
          <w:rFonts w:cs="Open Sans"/>
          <w:i/>
          <w:sz w:val="20"/>
          <w:szCs w:val="20"/>
        </w:rPr>
        <w:t>Serious Invasions of Privacy in the Digital Era</w:t>
      </w:r>
      <w:r w:rsidRPr="00CE04D1">
        <w:rPr>
          <w:rFonts w:cs="Open Sans"/>
          <w:sz w:val="20"/>
          <w:szCs w:val="20"/>
        </w:rPr>
        <w:t xml:space="preserve">, Report No 123 (2014) [14.13]. </w:t>
      </w:r>
    </w:p>
  </w:endnote>
  <w:endnote w:id="32">
    <w:p w14:paraId="2CCCE86F" w14:textId="19A0421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See </w:t>
      </w:r>
      <w:proofErr w:type="spellStart"/>
      <w:r w:rsidRPr="00CE04D1">
        <w:rPr>
          <w:rFonts w:cs="Open Sans"/>
          <w:sz w:val="20"/>
          <w:szCs w:val="20"/>
        </w:rPr>
        <w:t>Mr</w:t>
      </w:r>
      <w:proofErr w:type="spellEnd"/>
      <w:r w:rsidRPr="00CE04D1">
        <w:rPr>
          <w:rFonts w:cs="Open Sans"/>
          <w:sz w:val="20"/>
          <w:szCs w:val="20"/>
        </w:rPr>
        <w:t xml:space="preserve"> Pieter </w:t>
      </w:r>
      <w:proofErr w:type="spellStart"/>
      <w:r w:rsidRPr="00CE04D1">
        <w:rPr>
          <w:rFonts w:cs="Open Sans"/>
          <w:sz w:val="20"/>
          <w:szCs w:val="20"/>
        </w:rPr>
        <w:t>Omtzigt</w:t>
      </w:r>
      <w:proofErr w:type="spellEnd"/>
      <w:r w:rsidRPr="00CE04D1">
        <w:rPr>
          <w:rFonts w:cs="Open Sans"/>
          <w:sz w:val="20"/>
          <w:szCs w:val="20"/>
        </w:rPr>
        <w:t xml:space="preserve">, Rapporteur, </w:t>
      </w:r>
      <w:r w:rsidRPr="00CE04D1">
        <w:rPr>
          <w:rFonts w:cs="Open Sans"/>
          <w:i/>
          <w:sz w:val="20"/>
          <w:szCs w:val="20"/>
        </w:rPr>
        <w:t>Mass Surveillance</w:t>
      </w:r>
      <w:r w:rsidRPr="00CE04D1">
        <w:rPr>
          <w:rFonts w:cs="Open Sans"/>
          <w:sz w:val="20"/>
          <w:szCs w:val="20"/>
        </w:rPr>
        <w:t xml:space="preserve"> (18 March 2015) Committee on Legal Affairs and Human Rights of the Parliamentary Assembly of the Council of Europe, 34.</w:t>
      </w:r>
    </w:p>
  </w:endnote>
  <w:endnote w:id="33">
    <w:p w14:paraId="1ACE4C2C" w14:textId="7CF267A3" w:rsidR="00F86B32" w:rsidRPr="00CE04D1" w:rsidRDefault="00F86B32" w:rsidP="005C273F">
      <w:pPr>
        <w:keepNext/>
        <w:keepLines/>
        <w:autoSpaceDE w:val="0"/>
        <w:autoSpaceDN w:val="0"/>
        <w:adjustRightInd w:val="0"/>
        <w:ind w:left="511" w:right="57" w:hanging="454"/>
        <w:contextualSpacing/>
        <w:rPr>
          <w:rFonts w:eastAsia="Times New Roman" w:cs="Open Sans"/>
          <w:sz w:val="20"/>
          <w:szCs w:val="20"/>
        </w:rPr>
      </w:pPr>
      <w:r w:rsidRPr="00CE04D1">
        <w:rPr>
          <w:rStyle w:val="EndnoteReference"/>
          <w:sz w:val="20"/>
          <w:szCs w:val="20"/>
        </w:rPr>
        <w:endnoteRef/>
      </w:r>
      <w:r w:rsidRPr="00CE04D1">
        <w:rPr>
          <w:rFonts w:cs="Open Sans"/>
          <w:sz w:val="20"/>
          <w:szCs w:val="20"/>
        </w:rPr>
        <w:tab/>
      </w:r>
      <w:r w:rsidRPr="00CE04D1">
        <w:rPr>
          <w:rFonts w:eastAsia="Times New Roman" w:cs="Open Sans"/>
          <w:sz w:val="20"/>
          <w:szCs w:val="20"/>
        </w:rPr>
        <w:t xml:space="preserve">Margaret </w:t>
      </w:r>
      <w:proofErr w:type="spellStart"/>
      <w:r w:rsidRPr="00CE04D1">
        <w:rPr>
          <w:rFonts w:eastAsia="Times New Roman" w:cs="Open Sans"/>
          <w:sz w:val="20"/>
          <w:szCs w:val="20"/>
        </w:rPr>
        <w:t>Sekaggya</w:t>
      </w:r>
      <w:proofErr w:type="spellEnd"/>
      <w:r w:rsidRPr="00CE04D1">
        <w:rPr>
          <w:rFonts w:eastAsia="Times New Roman" w:cs="Open Sans"/>
          <w:sz w:val="20"/>
          <w:szCs w:val="20"/>
        </w:rPr>
        <w:t xml:space="preserve">, United Nations Special Rapporteur, </w:t>
      </w:r>
      <w:r w:rsidRPr="00CE04D1">
        <w:rPr>
          <w:rFonts w:eastAsia="Times New Roman" w:cs="Open Sans"/>
          <w:i/>
          <w:sz w:val="20"/>
          <w:szCs w:val="20"/>
        </w:rPr>
        <w:t>Situation of human rights defenders</w:t>
      </w:r>
      <w:r w:rsidRPr="00CE04D1">
        <w:rPr>
          <w:rFonts w:eastAsia="Times New Roman" w:cs="Open Sans"/>
          <w:sz w:val="20"/>
          <w:szCs w:val="20"/>
        </w:rPr>
        <w:t>, 67</w:t>
      </w:r>
      <w:r w:rsidRPr="00CE04D1">
        <w:rPr>
          <w:rFonts w:eastAsia="Times New Roman" w:cs="Open Sans"/>
          <w:sz w:val="20"/>
          <w:szCs w:val="20"/>
          <w:vertAlign w:val="superscript"/>
        </w:rPr>
        <w:t>th</w:t>
      </w:r>
      <w:r w:rsidRPr="00CE04D1">
        <w:rPr>
          <w:rFonts w:eastAsia="Times New Roman" w:cs="Open Sans"/>
          <w:sz w:val="20"/>
          <w:szCs w:val="20"/>
        </w:rPr>
        <w:t xml:space="preserve"> </w:t>
      </w:r>
      <w:proofErr w:type="spellStart"/>
      <w:r w:rsidRPr="00CE04D1">
        <w:rPr>
          <w:rFonts w:eastAsia="Times New Roman" w:cs="Open Sans"/>
          <w:sz w:val="20"/>
          <w:szCs w:val="20"/>
        </w:rPr>
        <w:t>sess</w:t>
      </w:r>
      <w:proofErr w:type="spellEnd"/>
      <w:r w:rsidRPr="00CE04D1">
        <w:rPr>
          <w:rFonts w:eastAsia="Times New Roman" w:cs="Open Sans"/>
          <w:sz w:val="20"/>
          <w:szCs w:val="20"/>
        </w:rPr>
        <w:t>, Provisional Agenda Item 70(b), UN Doc A/67/292 (10 August 2012) 16-17 [61]–[62].</w:t>
      </w:r>
      <w:r w:rsidRPr="00CE04D1" w:rsidDel="00D21F21">
        <w:rPr>
          <w:rFonts w:eastAsia="Times New Roman" w:cs="Open Sans"/>
          <w:sz w:val="20"/>
          <w:szCs w:val="20"/>
        </w:rPr>
        <w:t xml:space="preserve"> </w:t>
      </w:r>
    </w:p>
  </w:endnote>
  <w:endnote w:id="34">
    <w:p w14:paraId="12B9A7B2" w14:textId="4F181E2D" w:rsidR="00F86B32" w:rsidRPr="00CE04D1" w:rsidRDefault="00F86B32" w:rsidP="005C273F">
      <w:pPr>
        <w:keepNext/>
        <w:keepLines/>
        <w:autoSpaceDE w:val="0"/>
        <w:autoSpaceDN w:val="0"/>
        <w:adjustRightInd w:val="0"/>
        <w:ind w:left="511" w:right="57" w:hanging="454"/>
        <w:contextualSpacing/>
        <w:rPr>
          <w:rFonts w:cs="Open Sans"/>
          <w:b/>
          <w:sz w:val="20"/>
          <w:szCs w:val="20"/>
        </w:rPr>
      </w:pPr>
      <w:r w:rsidRPr="00CE04D1">
        <w:rPr>
          <w:rStyle w:val="EndnoteReference"/>
          <w:sz w:val="20"/>
          <w:szCs w:val="20"/>
        </w:rPr>
        <w:endnoteRef/>
      </w:r>
      <w:r w:rsidRPr="00CE04D1">
        <w:rPr>
          <w:rFonts w:cs="Open Sans"/>
          <w:sz w:val="20"/>
          <w:szCs w:val="20"/>
        </w:rPr>
        <w:tab/>
        <w:t xml:space="preserve">The Commission also notes the significant role that communications providers play in ensuring respect for privacy and other human rights, but does not address this issue in the current submission. </w:t>
      </w:r>
      <w:proofErr w:type="gramStart"/>
      <w:r w:rsidRPr="00CE04D1">
        <w:rPr>
          <w:rFonts w:cs="Open Sans"/>
          <w:sz w:val="20"/>
          <w:szCs w:val="20"/>
        </w:rPr>
        <w:t xml:space="preserve">See generally John </w:t>
      </w:r>
      <w:proofErr w:type="spellStart"/>
      <w:r w:rsidRPr="00CE04D1">
        <w:rPr>
          <w:rFonts w:cs="Open Sans"/>
          <w:sz w:val="20"/>
          <w:szCs w:val="20"/>
        </w:rPr>
        <w:t>Ruggie</w:t>
      </w:r>
      <w:proofErr w:type="spellEnd"/>
      <w:r w:rsidRPr="00CE04D1">
        <w:rPr>
          <w:rFonts w:cs="Open Sans"/>
          <w:sz w:val="20"/>
          <w:szCs w:val="20"/>
        </w:rPr>
        <w:t xml:space="preserve">, Special Representative of the </w:t>
      </w:r>
      <w:r>
        <w:rPr>
          <w:rFonts w:cs="Open Sans"/>
          <w:sz w:val="20"/>
          <w:szCs w:val="20"/>
        </w:rPr>
        <w:t xml:space="preserve">United Nations </w:t>
      </w:r>
      <w:r w:rsidRPr="00CE04D1">
        <w:rPr>
          <w:rFonts w:cs="Open Sans"/>
          <w:sz w:val="20"/>
          <w:szCs w:val="20"/>
        </w:rPr>
        <w:t xml:space="preserve">Secretary-General on the issue of human rights and transnational corporations and other business enterprises, </w:t>
      </w:r>
      <w:r w:rsidRPr="00CE04D1">
        <w:rPr>
          <w:rFonts w:cs="Open Sans"/>
          <w:i/>
          <w:sz w:val="20"/>
          <w:szCs w:val="20"/>
        </w:rPr>
        <w:t>Promotion and protection of all human rights, civil, political, economic, social and cultural rights, including the right to development: Protect, Respect and Remedy: a Framework for Business and Human Rights</w:t>
      </w:r>
      <w:r w:rsidRPr="00CE04D1">
        <w:rPr>
          <w:rFonts w:cs="Open Sans"/>
          <w:sz w:val="20"/>
          <w:szCs w:val="20"/>
        </w:rPr>
        <w:t>, 8</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3, UN Doc A/HRC/8/5 (7 April 2008).</w:t>
      </w:r>
      <w:proofErr w:type="gramEnd"/>
    </w:p>
  </w:endnote>
  <w:endnote w:id="35">
    <w:p w14:paraId="77631541" w14:textId="609D9D6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iCs/>
          <w:sz w:val="20"/>
          <w:szCs w:val="20"/>
        </w:rPr>
        <w:t>General Comment 16: Article 17 (Right to Privacy)</w:t>
      </w:r>
      <w:r w:rsidRPr="00CE04D1">
        <w:rPr>
          <w:rFonts w:cs="Open Sans"/>
          <w:iCs/>
          <w:sz w:val="20"/>
          <w:szCs w:val="20"/>
        </w:rPr>
        <w:t>, 23rd</w:t>
      </w:r>
      <w:r w:rsidRPr="00CE04D1">
        <w:rPr>
          <w:rFonts w:cs="Open Sans"/>
          <w:i/>
          <w:iCs/>
          <w:sz w:val="20"/>
          <w:szCs w:val="20"/>
        </w:rPr>
        <w:t xml:space="preserve"> </w:t>
      </w:r>
      <w:proofErr w:type="spellStart"/>
      <w:r w:rsidRPr="00CE04D1">
        <w:rPr>
          <w:rFonts w:cs="Open Sans"/>
          <w:iCs/>
          <w:sz w:val="20"/>
          <w:szCs w:val="20"/>
        </w:rPr>
        <w:t>sess</w:t>
      </w:r>
      <w:proofErr w:type="spellEnd"/>
      <w:r w:rsidRPr="00CE04D1">
        <w:rPr>
          <w:rFonts w:cs="Open Sans"/>
          <w:iCs/>
          <w:sz w:val="20"/>
          <w:szCs w:val="20"/>
        </w:rPr>
        <w:t xml:space="preserve">, </w:t>
      </w:r>
      <w:r w:rsidRPr="00CE04D1">
        <w:rPr>
          <w:rFonts w:cs="Open Sans"/>
          <w:sz w:val="20"/>
          <w:szCs w:val="20"/>
        </w:rPr>
        <w:t xml:space="preserve">UN Doc. HRI/GEN/1/Rev.1 (1988) 21 [8]. </w:t>
      </w:r>
    </w:p>
  </w:endnote>
  <w:endnote w:id="36">
    <w:p w14:paraId="01063C79" w14:textId="78F5820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Office of the United Nations High Commissioner for Human Rights, </w:t>
      </w:r>
      <w:r w:rsidRPr="00CE04D1">
        <w:rPr>
          <w:rFonts w:cs="Open Sans"/>
          <w:i/>
          <w:iCs/>
          <w:sz w:val="20"/>
          <w:szCs w:val="20"/>
        </w:rPr>
        <w:t>The Right to Privacy in the Digital Age</w:t>
      </w:r>
      <w:r>
        <w:rPr>
          <w:rFonts w:cs="Open Sans"/>
          <w:iCs/>
          <w:sz w:val="20"/>
          <w:szCs w:val="20"/>
        </w:rPr>
        <w:t>,</w:t>
      </w:r>
      <w:r w:rsidRPr="00CE04D1">
        <w:rPr>
          <w:rFonts w:cs="Open Sans"/>
          <w:i/>
          <w:iCs/>
          <w:sz w:val="20"/>
          <w:szCs w:val="20"/>
        </w:rPr>
        <w:t xml:space="preserve"> </w:t>
      </w:r>
      <w:r w:rsidRPr="00CE04D1">
        <w:rPr>
          <w:rFonts w:cs="Open Sans"/>
          <w:sz w:val="20"/>
          <w:szCs w:val="20"/>
        </w:rPr>
        <w:t>27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Items 2 and 3, UN Doc A/HRC/27/37 (</w:t>
      </w:r>
      <w:r>
        <w:rPr>
          <w:rFonts w:cs="Open Sans"/>
          <w:sz w:val="20"/>
          <w:szCs w:val="20"/>
        </w:rPr>
        <w:t xml:space="preserve">30 June </w:t>
      </w:r>
      <w:r w:rsidRPr="00CE04D1">
        <w:rPr>
          <w:rFonts w:cs="Open Sans"/>
          <w:sz w:val="20"/>
          <w:szCs w:val="20"/>
        </w:rPr>
        <w:t xml:space="preserve">2014) 7 [21]. </w:t>
      </w:r>
    </w:p>
  </w:endnote>
  <w:endnote w:id="37">
    <w:p w14:paraId="2F33444B" w14:textId="54709FB8" w:rsidR="00F86B32" w:rsidRPr="00CE04D1" w:rsidRDefault="00F86B32" w:rsidP="005C273F">
      <w:pPr>
        <w:pStyle w:val="ListNumber"/>
        <w:keepNext/>
        <w:keepLines/>
        <w:numPr>
          <w:ilvl w:val="0"/>
          <w:numId w:val="0"/>
        </w:numPr>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Office of the United Nations High Commissioner for Human Rights, </w:t>
      </w:r>
      <w:r w:rsidRPr="00CE04D1">
        <w:rPr>
          <w:rFonts w:cs="Open Sans"/>
          <w:i/>
          <w:sz w:val="20"/>
          <w:szCs w:val="20"/>
        </w:rPr>
        <w:t xml:space="preserve">The Right to Privacy in the Digital Age, </w:t>
      </w:r>
      <w:r w:rsidRPr="00CE04D1">
        <w:rPr>
          <w:rFonts w:cs="Open Sans"/>
          <w:sz w:val="20"/>
          <w:szCs w:val="20"/>
        </w:rPr>
        <w:t>27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Agenda Items 2 and 3, UN Doc A/HRC/27/37 (30 June 2014) 8 [23]. </w:t>
      </w:r>
    </w:p>
  </w:endnote>
  <w:endnote w:id="38">
    <w:p w14:paraId="5CCFB774" w14:textId="59B9DB0C" w:rsidR="00F86B32" w:rsidRPr="00CE04D1" w:rsidRDefault="00F86B32" w:rsidP="005C273F">
      <w:pPr>
        <w:pStyle w:val="ListNumber"/>
        <w:keepNext/>
        <w:keepLines/>
        <w:numPr>
          <w:ilvl w:val="0"/>
          <w:numId w:val="0"/>
        </w:numPr>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General Comment No 34: Article 19, Freedoms of opinion and expression</w:t>
      </w:r>
      <w:r w:rsidRPr="00CE04D1">
        <w:rPr>
          <w:rFonts w:cs="Open Sans"/>
          <w:sz w:val="20"/>
          <w:szCs w:val="20"/>
        </w:rPr>
        <w:t>, 102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UN Doc CCPR/C/GC/34 (12 September 2011) 3 [11]. </w:t>
      </w:r>
    </w:p>
  </w:endnote>
  <w:endnote w:id="39">
    <w:p w14:paraId="27BDBE8D" w14:textId="1585A1E0"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General Comment No 34: Article 19, Freedoms of opinion and expression</w:t>
      </w:r>
      <w:r w:rsidRPr="00CE04D1">
        <w:rPr>
          <w:rFonts w:cs="Open Sans"/>
          <w:sz w:val="20"/>
          <w:szCs w:val="20"/>
        </w:rPr>
        <w:t>, 102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UN Doc CCPR/C/GC/34 (12 September 2011) 7 [28]. </w:t>
      </w:r>
    </w:p>
  </w:endnote>
  <w:endnote w:id="40">
    <w:p w14:paraId="3543DFCB" w14:textId="6BEAE18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Economic and Social Council, </w:t>
      </w:r>
      <w:r w:rsidRPr="00CE04D1">
        <w:rPr>
          <w:rFonts w:cs="Open Sans"/>
          <w:i/>
          <w:sz w:val="20"/>
          <w:szCs w:val="20"/>
        </w:rPr>
        <w:t>Siracusa Principles on the Limitation and Derogation Provisions in the International Covenant on Civil and Political Rights</w:t>
      </w:r>
      <w:r w:rsidRPr="00CE04D1">
        <w:rPr>
          <w:rFonts w:cs="Open Sans"/>
          <w:sz w:val="20"/>
          <w:szCs w:val="20"/>
        </w:rPr>
        <w:t>, UN Doc E/CN.4/1985/4, Annex (1985) [29]–[32].</w:t>
      </w:r>
    </w:p>
  </w:endnote>
  <w:endnote w:id="41">
    <w:p w14:paraId="07ED4DE9" w14:textId="0D5B004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United Nations</w:t>
      </w:r>
      <w:r w:rsidRPr="00CE04D1">
        <w:rPr>
          <w:rFonts w:cs="Open Sans"/>
          <w:sz w:val="20"/>
          <w:szCs w:val="20"/>
          <w:u w:val="single"/>
        </w:rPr>
        <w:t xml:space="preserve"> </w:t>
      </w:r>
      <w:r w:rsidRPr="00CE04D1">
        <w:rPr>
          <w:rFonts w:cs="Open Sans"/>
          <w:sz w:val="20"/>
          <w:szCs w:val="20"/>
        </w:rPr>
        <w:t xml:space="preserve">Economic and Social Council, </w:t>
      </w:r>
      <w:r w:rsidRPr="00CE04D1">
        <w:rPr>
          <w:rFonts w:cs="Open Sans"/>
          <w:i/>
          <w:iCs/>
          <w:sz w:val="20"/>
          <w:szCs w:val="20"/>
        </w:rPr>
        <w:t>Siracusa Principles on the Limitation and Derogation Provisions in the International Covenant on Civil and Political Rights</w:t>
      </w:r>
      <w:r w:rsidRPr="00CE04D1">
        <w:rPr>
          <w:rFonts w:cs="Open Sans"/>
          <w:sz w:val="20"/>
          <w:szCs w:val="20"/>
        </w:rPr>
        <w:t xml:space="preserve">, U.N. Doc. E/CN.4/1985/4, Annex (1985) [29]–[31]. </w:t>
      </w:r>
    </w:p>
  </w:endnote>
  <w:endnote w:id="42">
    <w:p w14:paraId="559CA65B" w14:textId="181BC639"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proofErr w:type="spellStart"/>
      <w:proofErr w:type="gramStart"/>
      <w:r w:rsidRPr="00CE04D1">
        <w:rPr>
          <w:rFonts w:cs="Open Sans"/>
          <w:sz w:val="20"/>
          <w:szCs w:val="20"/>
        </w:rPr>
        <w:t>Navi</w:t>
      </w:r>
      <w:proofErr w:type="spellEnd"/>
      <w:r w:rsidRPr="00CE04D1">
        <w:rPr>
          <w:rFonts w:cs="Open Sans"/>
          <w:sz w:val="20"/>
          <w:szCs w:val="20"/>
        </w:rPr>
        <w:t xml:space="preserve"> Pillay, UN High Commissioner for Human Rights, speaking at the launch of the Office of the UN High Commissioner for Human Rights publication </w:t>
      </w:r>
      <w:r w:rsidRPr="00CE04D1">
        <w:rPr>
          <w:rFonts w:cs="Open Sans"/>
          <w:i/>
          <w:sz w:val="20"/>
          <w:szCs w:val="20"/>
        </w:rPr>
        <w:t>The right to privacy in the digital age</w:t>
      </w:r>
      <w:r w:rsidRPr="00CE04D1">
        <w:rPr>
          <w:rFonts w:cs="Open Sans"/>
          <w:sz w:val="20"/>
          <w:szCs w:val="20"/>
        </w:rPr>
        <w:t xml:space="preserve">, quoted in Michael Vincent, ‘Edward Snowden “owed a great deal” and deserves protection from prosecution: UN human rights chief’, </w:t>
      </w:r>
      <w:r w:rsidRPr="00CE04D1">
        <w:rPr>
          <w:rFonts w:cs="Open Sans"/>
          <w:i/>
          <w:sz w:val="20"/>
          <w:szCs w:val="20"/>
        </w:rPr>
        <w:t xml:space="preserve">ABC News </w:t>
      </w:r>
      <w:r w:rsidRPr="00CE04D1">
        <w:rPr>
          <w:rFonts w:cs="Open Sans"/>
          <w:sz w:val="20"/>
          <w:szCs w:val="20"/>
        </w:rPr>
        <w:t>(online), 17 July 2014 &lt;</w:t>
      </w:r>
      <w:hyperlink r:id="rId1" w:history="1">
        <w:r w:rsidRPr="00CE04D1">
          <w:rPr>
            <w:rStyle w:val="Hyperlink"/>
            <w:rFonts w:cs="Open Sans"/>
            <w:color w:val="auto"/>
            <w:sz w:val="20"/>
            <w:szCs w:val="20"/>
            <w:u w:val="none"/>
          </w:rPr>
          <w:t>http://www.abc.net.au/news/2014-07-17/snowden-deserves-protection-from-prosecution3a-un-rights-chief/5603236</w:t>
        </w:r>
      </w:hyperlink>
      <w:r w:rsidRPr="00CE04D1">
        <w:rPr>
          <w:rFonts w:cs="Open Sans"/>
          <w:sz w:val="20"/>
          <w:szCs w:val="20"/>
        </w:rPr>
        <w:t>&gt;.</w:t>
      </w:r>
      <w:proofErr w:type="gramEnd"/>
      <w:r w:rsidRPr="00CE04D1">
        <w:rPr>
          <w:rFonts w:cs="Open Sans"/>
          <w:sz w:val="20"/>
          <w:szCs w:val="20"/>
        </w:rPr>
        <w:t xml:space="preserve"> This view is consistent with the </w:t>
      </w:r>
      <w:r w:rsidRPr="00CE04D1">
        <w:rPr>
          <w:rFonts w:cs="Open Sans"/>
          <w:i/>
          <w:sz w:val="20"/>
          <w:szCs w:val="20"/>
        </w:rPr>
        <w:t>Johannesburg Principles</w:t>
      </w:r>
      <w:r w:rsidRPr="00CE04D1">
        <w:rPr>
          <w:rFonts w:cs="Open Sans"/>
          <w:sz w:val="20"/>
          <w:szCs w:val="20"/>
        </w:rPr>
        <w:t xml:space="preserve"> and </w:t>
      </w:r>
      <w:r w:rsidRPr="00CE04D1">
        <w:rPr>
          <w:rFonts w:cs="Open Sans"/>
          <w:i/>
          <w:sz w:val="20"/>
          <w:szCs w:val="20"/>
        </w:rPr>
        <w:t>Tshwane Principles</w:t>
      </w:r>
      <w:r w:rsidRPr="00CE04D1">
        <w:rPr>
          <w:rFonts w:cs="Open Sans"/>
          <w:sz w:val="20"/>
          <w:szCs w:val="20"/>
        </w:rPr>
        <w:t xml:space="preserve">: International Centre against Censorship, </w:t>
      </w:r>
      <w:r w:rsidRPr="00CE04D1">
        <w:rPr>
          <w:rFonts w:cs="Open Sans"/>
          <w:i/>
          <w:sz w:val="20"/>
          <w:szCs w:val="20"/>
        </w:rPr>
        <w:t>The Johannesburg Principles on National Security, Freedom of Expression and Access to Information</w:t>
      </w:r>
      <w:r w:rsidRPr="00CE04D1">
        <w:rPr>
          <w:rFonts w:cs="Open Sans"/>
          <w:sz w:val="20"/>
          <w:szCs w:val="20"/>
        </w:rPr>
        <w:t xml:space="preserve"> (November 1996) &lt;</w:t>
      </w:r>
      <w:hyperlink r:id="rId2" w:history="1">
        <w:r w:rsidRPr="00CE04D1">
          <w:rPr>
            <w:rStyle w:val="Hyperlink"/>
            <w:rFonts w:cs="Open Sans"/>
            <w:color w:val="auto"/>
            <w:sz w:val="20"/>
            <w:szCs w:val="20"/>
            <w:u w:val="none"/>
          </w:rPr>
          <w:t>http://www.article19.org/data/files/pdfs/standards/joburgprinciples.pdf</w:t>
        </w:r>
      </w:hyperlink>
      <w:r w:rsidRPr="00CE04D1">
        <w:rPr>
          <w:rStyle w:val="Hyperlink"/>
          <w:rFonts w:cs="Open Sans"/>
          <w:color w:val="auto"/>
          <w:sz w:val="20"/>
          <w:szCs w:val="20"/>
          <w:u w:val="none"/>
        </w:rPr>
        <w:t xml:space="preserve">&gt; </w:t>
      </w:r>
      <w:r w:rsidRPr="00CE04D1">
        <w:rPr>
          <w:rFonts w:cs="Open Sans"/>
          <w:sz w:val="20"/>
          <w:szCs w:val="20"/>
        </w:rPr>
        <w:t xml:space="preserve">and Open Society Foundations, </w:t>
      </w:r>
      <w:r w:rsidRPr="00CE04D1">
        <w:rPr>
          <w:rFonts w:cs="Open Sans"/>
          <w:i/>
          <w:sz w:val="20"/>
          <w:szCs w:val="20"/>
        </w:rPr>
        <w:t>The Global Principles of National Security and the Right to Information</w:t>
      </w:r>
      <w:r w:rsidRPr="00CE04D1">
        <w:rPr>
          <w:rFonts w:cs="Open Sans"/>
          <w:sz w:val="20"/>
          <w:szCs w:val="20"/>
        </w:rPr>
        <w:t xml:space="preserve"> ) (12 June 2013) &lt;</w:t>
      </w:r>
      <w:hyperlink r:id="rId3" w:history="1">
        <w:r w:rsidRPr="00CE04D1">
          <w:rPr>
            <w:rStyle w:val="Hyperlink"/>
            <w:rFonts w:cs="Open Sans"/>
            <w:color w:val="auto"/>
            <w:sz w:val="20"/>
            <w:szCs w:val="20"/>
            <w:u w:val="none"/>
          </w:rPr>
          <w:t>http://www.opensocietyfoundations.org/publications/global-principles-national-security-and-freedom-information-tshwane-principles</w:t>
        </w:r>
      </w:hyperlink>
      <w:r w:rsidRPr="00CE04D1">
        <w:rPr>
          <w:rStyle w:val="Hyperlink"/>
          <w:rFonts w:cs="Open Sans"/>
          <w:color w:val="auto"/>
          <w:sz w:val="20"/>
          <w:szCs w:val="20"/>
          <w:u w:val="none"/>
        </w:rPr>
        <w:t>&gt;.</w:t>
      </w:r>
    </w:p>
  </w:endnote>
  <w:endnote w:id="43">
    <w:p w14:paraId="55FF24D4" w14:textId="49A5E0A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 xml:space="preserve"> </w:t>
      </w:r>
      <w:r w:rsidRPr="00CE04D1">
        <w:rPr>
          <w:rFonts w:cs="Open Sans"/>
          <w:sz w:val="20"/>
          <w:szCs w:val="20"/>
        </w:rPr>
        <w:tab/>
        <w:t xml:space="preserve">For example, see discussion regarding the prohibition against torture: United Nations Committee against Torture, </w:t>
      </w:r>
      <w:r w:rsidRPr="00CE04D1">
        <w:rPr>
          <w:rFonts w:cs="Open Sans"/>
          <w:i/>
          <w:sz w:val="20"/>
          <w:szCs w:val="20"/>
        </w:rPr>
        <w:t>General Comment No 2: Implementation of article 2 by States Parties</w:t>
      </w:r>
      <w:r w:rsidRPr="00CE04D1">
        <w:rPr>
          <w:rFonts w:cs="Open Sans"/>
          <w:sz w:val="20"/>
          <w:szCs w:val="20"/>
        </w:rPr>
        <w:t>, UN Doc CAT/C/GC/2 (24 January 2008) 2 [5].</w:t>
      </w:r>
    </w:p>
  </w:endnote>
  <w:endnote w:id="44">
    <w:p w14:paraId="75A6DE3A" w14:textId="18CA0376"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Economic and Social Council, </w:t>
      </w:r>
      <w:r w:rsidRPr="00CE04D1">
        <w:rPr>
          <w:rFonts w:cs="Open Sans"/>
          <w:i/>
          <w:sz w:val="20"/>
          <w:szCs w:val="20"/>
        </w:rPr>
        <w:t>Siracusa Principles on the Limitation and Derogation Provisions in the International Covenant on Civil and Political Rights</w:t>
      </w:r>
      <w:r w:rsidRPr="00CE04D1">
        <w:rPr>
          <w:rFonts w:cs="Open Sans"/>
          <w:sz w:val="20"/>
          <w:szCs w:val="20"/>
        </w:rPr>
        <w:t>, UN Doc E/CN.4/1985/4, Annex (1985) [2].</w:t>
      </w:r>
    </w:p>
  </w:endnote>
  <w:endnote w:id="45">
    <w:p w14:paraId="1DA849DD" w14:textId="562DED7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General Comment No 35: Article 9 (Liberty and security of person),</w:t>
      </w:r>
      <w:r w:rsidRPr="00CE04D1">
        <w:rPr>
          <w:rFonts w:cs="Open Sans"/>
          <w:sz w:val="20"/>
          <w:szCs w:val="20"/>
        </w:rPr>
        <w:t xml:space="preserve"> 112</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UN Doc CCPR/C/GC/35 (16 December 2014) 3–4 [12].</w:t>
      </w:r>
    </w:p>
  </w:endnote>
  <w:endnote w:id="46">
    <w:p w14:paraId="5C266140" w14:textId="5EA651F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Economic and Social Council, </w:t>
      </w:r>
      <w:r w:rsidRPr="00CE04D1">
        <w:rPr>
          <w:rFonts w:cs="Open Sans"/>
          <w:i/>
          <w:sz w:val="20"/>
          <w:szCs w:val="20"/>
        </w:rPr>
        <w:t>Siracusa Principles on the Limitation and Derogation Provisions in the International Covenant on Civil and Political Rights</w:t>
      </w:r>
      <w:r w:rsidRPr="00CE04D1">
        <w:rPr>
          <w:rFonts w:cs="Open Sans"/>
          <w:sz w:val="20"/>
          <w:szCs w:val="20"/>
        </w:rPr>
        <w:t>, UN Doc E/CN.4/1985/4, Annex (1985) [12].</w:t>
      </w:r>
    </w:p>
  </w:endnote>
  <w:endnote w:id="47">
    <w:p w14:paraId="476DB668" w14:textId="196C2544"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Office of the United Nations High Commissioner for Human Rights, </w:t>
      </w:r>
      <w:r w:rsidRPr="00CE04D1">
        <w:rPr>
          <w:rFonts w:cs="Open Sans"/>
          <w:i/>
          <w:sz w:val="20"/>
          <w:szCs w:val="20"/>
        </w:rPr>
        <w:t xml:space="preserve">The Right to Privacy in the Digital Age, </w:t>
      </w:r>
      <w:r w:rsidRPr="00CE04D1">
        <w:rPr>
          <w:rFonts w:cs="Open Sans"/>
          <w:sz w:val="20"/>
          <w:szCs w:val="20"/>
        </w:rPr>
        <w:t>27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Agenda Items 2 and 3, UN Doc A/HRC/27/37 (30 June 2014) 8 [34]. </w:t>
      </w:r>
    </w:p>
  </w:endnote>
  <w:endnote w:id="48">
    <w:p w14:paraId="6AFBAF10" w14:textId="216C66F8"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Economic and Social Council, </w:t>
      </w:r>
      <w:r w:rsidRPr="00CE04D1">
        <w:rPr>
          <w:rFonts w:cs="Open Sans"/>
          <w:i/>
          <w:sz w:val="20"/>
          <w:szCs w:val="20"/>
        </w:rPr>
        <w:t>Siracusa Principles on the Limitation and Derogation Provisions in the International Covenant on Civil and Political Rights</w:t>
      </w:r>
      <w:r w:rsidRPr="00CE04D1">
        <w:rPr>
          <w:rFonts w:cs="Open Sans"/>
          <w:sz w:val="20"/>
          <w:szCs w:val="20"/>
        </w:rPr>
        <w:t>, UN Doc E/CN.4/1985/4, Annex (1985) [10].</w:t>
      </w:r>
    </w:p>
  </w:endnote>
  <w:endnote w:id="49">
    <w:p w14:paraId="0B2A21CD" w14:textId="5F00B516"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See the comments made in respect of emergency powers and counter-terrorism by </w:t>
      </w:r>
      <w:proofErr w:type="spellStart"/>
      <w:r w:rsidRPr="00CE04D1">
        <w:rPr>
          <w:rFonts w:cs="Open Sans"/>
          <w:sz w:val="20"/>
          <w:szCs w:val="20"/>
        </w:rPr>
        <w:t>Fionnuala</w:t>
      </w:r>
      <w:proofErr w:type="spellEnd"/>
      <w:r w:rsidRPr="00CE04D1">
        <w:rPr>
          <w:rFonts w:cs="Open Sans"/>
          <w:sz w:val="20"/>
          <w:szCs w:val="20"/>
        </w:rPr>
        <w:t xml:space="preserve"> </w:t>
      </w:r>
      <w:proofErr w:type="spellStart"/>
      <w:r w:rsidRPr="00CE04D1">
        <w:rPr>
          <w:rFonts w:cs="Open Sans"/>
          <w:sz w:val="20"/>
          <w:szCs w:val="20"/>
        </w:rPr>
        <w:t>Ní</w:t>
      </w:r>
      <w:proofErr w:type="spellEnd"/>
      <w:r w:rsidRPr="00CE04D1">
        <w:rPr>
          <w:rFonts w:cs="Open Sans"/>
          <w:sz w:val="20"/>
          <w:szCs w:val="20"/>
        </w:rPr>
        <w:t xml:space="preserve"> </w:t>
      </w:r>
      <w:proofErr w:type="spellStart"/>
      <w:r w:rsidRPr="00CE04D1">
        <w:rPr>
          <w:rFonts w:cs="Open Sans"/>
          <w:sz w:val="20"/>
          <w:szCs w:val="20"/>
        </w:rPr>
        <w:t>Aoláin</w:t>
      </w:r>
      <w:proofErr w:type="spellEnd"/>
      <w:r w:rsidRPr="00CE04D1">
        <w:rPr>
          <w:rFonts w:cs="Open Sans"/>
          <w:sz w:val="20"/>
          <w:szCs w:val="20"/>
        </w:rPr>
        <w:t xml:space="preserve">, United Nations Special Rapporteur of the Human Rights Council, </w:t>
      </w:r>
      <w:r w:rsidRPr="00CE04D1">
        <w:rPr>
          <w:rFonts w:cs="Open Sans"/>
          <w:i/>
          <w:sz w:val="20"/>
          <w:szCs w:val="20"/>
        </w:rPr>
        <w:t>Promotion and protection of human rights and fundamental freedoms while countering terrorism</w:t>
      </w:r>
      <w:r w:rsidRPr="00CE04D1">
        <w:rPr>
          <w:rFonts w:cs="Open Sans"/>
          <w:sz w:val="20"/>
          <w:szCs w:val="20"/>
        </w:rPr>
        <w:t xml:space="preserve"> (Advance Unedited Version) 72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Provisional Agenda Item 73(b), UN Doc A/72/43280 (27 September 2017) [14]–[16].</w:t>
      </w:r>
    </w:p>
  </w:endnote>
  <w:endnote w:id="50">
    <w:p w14:paraId="6808126E" w14:textId="1E45719F"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iCs/>
          <w:sz w:val="20"/>
          <w:szCs w:val="20"/>
        </w:rPr>
        <w:t>General Comment No 27: Article 12 (Freedom of Movement</w:t>
      </w:r>
      <w:r w:rsidRPr="00CE04D1">
        <w:rPr>
          <w:rFonts w:cs="Open Sans"/>
          <w:i/>
          <w:sz w:val="20"/>
          <w:szCs w:val="20"/>
        </w:rPr>
        <w:t>)</w:t>
      </w:r>
      <w:r>
        <w:rPr>
          <w:rFonts w:cs="Open Sans"/>
          <w:sz w:val="20"/>
          <w:szCs w:val="20"/>
        </w:rPr>
        <w:t>,</w:t>
      </w:r>
      <w:r w:rsidRPr="00CE04D1">
        <w:rPr>
          <w:rFonts w:cs="Open Sans"/>
          <w:sz w:val="20"/>
          <w:szCs w:val="20"/>
        </w:rPr>
        <w:t xml:space="preserve"> 67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UN Doc CCPR/C/21/Rev.1/Add.9 (2 November 1999) 3 [13]–[14].</w:t>
      </w:r>
    </w:p>
  </w:endnote>
  <w:endnote w:id="51">
    <w:p w14:paraId="45E4B07B" w14:textId="59E3873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Economic and Social Council, </w:t>
      </w:r>
      <w:r w:rsidRPr="00CE04D1">
        <w:rPr>
          <w:rFonts w:cs="Open Sans"/>
          <w:i/>
          <w:sz w:val="20"/>
          <w:szCs w:val="20"/>
        </w:rPr>
        <w:t>Siracusa Principles on the Limitation and Derogation Provisions in the International Covenant on Civil and Political Rights</w:t>
      </w:r>
      <w:r w:rsidRPr="00CE04D1">
        <w:rPr>
          <w:rFonts w:cs="Open Sans"/>
          <w:sz w:val="20"/>
          <w:szCs w:val="20"/>
        </w:rPr>
        <w:t>, UN Doc E/CN.4/1985/4, Annex (1985) [51].</w:t>
      </w:r>
    </w:p>
  </w:endnote>
  <w:endnote w:id="52">
    <w:p w14:paraId="5D94DFDE" w14:textId="49B97DE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9.</w:t>
      </w:r>
    </w:p>
  </w:endnote>
  <w:endnote w:id="53">
    <w:p w14:paraId="7129AAAD" w14:textId="4A87112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5.</w:t>
      </w:r>
    </w:p>
  </w:endnote>
  <w:endnote w:id="54">
    <w:p w14:paraId="30C501F4" w14:textId="21718AC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10.</w:t>
      </w:r>
    </w:p>
  </w:endnote>
  <w:endnote w:id="55">
    <w:p w14:paraId="47D15474" w14:textId="0ADD6B59"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10, referring to </w:t>
      </w:r>
      <w:r w:rsidRPr="00CE04D1">
        <w:rPr>
          <w:rFonts w:cs="Open Sans"/>
          <w:i/>
          <w:sz w:val="20"/>
          <w:szCs w:val="20"/>
        </w:rPr>
        <w:t xml:space="preserve">Telecommunications Act 1997 </w:t>
      </w:r>
      <w:r w:rsidRPr="00CE04D1">
        <w:rPr>
          <w:rFonts w:cs="Open Sans"/>
          <w:sz w:val="20"/>
          <w:szCs w:val="20"/>
        </w:rPr>
        <w:t xml:space="preserve">(Cth) proposed ss </w:t>
      </w:r>
      <w:proofErr w:type="gramStart"/>
      <w:r w:rsidRPr="00CE04D1">
        <w:rPr>
          <w:rFonts w:cs="Open Sans"/>
          <w:sz w:val="20"/>
          <w:szCs w:val="20"/>
        </w:rPr>
        <w:t>317T(</w:t>
      </w:r>
      <w:proofErr w:type="gramEnd"/>
      <w:r w:rsidRPr="00CE04D1">
        <w:rPr>
          <w:rFonts w:cs="Open Sans"/>
          <w:sz w:val="20"/>
          <w:szCs w:val="20"/>
        </w:rPr>
        <w:t>8)–(11), 317ZH.</w:t>
      </w:r>
    </w:p>
  </w:endnote>
  <w:endnote w:id="56">
    <w:p w14:paraId="1B8EB216" w14:textId="5DE9509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The Director-General of Security is the head of ASIO pursuant to s 8(1) of the </w:t>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(Cth).</w:t>
      </w:r>
    </w:p>
  </w:endnote>
  <w:endnote w:id="57">
    <w:p w14:paraId="442F4C73" w14:textId="6B599A1D"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w:t>
      </w:r>
      <w:r w:rsidRPr="00CE04D1">
        <w:rPr>
          <w:rFonts w:cs="Open Sans"/>
          <w:sz w:val="20"/>
          <w:szCs w:val="20"/>
          <w:lang w:val="en-US"/>
        </w:rPr>
        <w:t>proposed Division 2 of Pt 15.</w:t>
      </w:r>
    </w:p>
  </w:endnote>
  <w:endnote w:id="58">
    <w:p w14:paraId="6594A6AD" w14:textId="11258A32"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w:t>
      </w:r>
      <w:proofErr w:type="spellStart"/>
      <w:r w:rsidRPr="00CE04D1">
        <w:rPr>
          <w:rFonts w:cs="Open Sans"/>
          <w:sz w:val="20"/>
          <w:szCs w:val="20"/>
          <w:lang w:val="en-US"/>
        </w:rPr>
        <w:t>roposed</w:t>
      </w:r>
      <w:proofErr w:type="spellEnd"/>
      <w:r w:rsidRPr="00CE04D1">
        <w:rPr>
          <w:rFonts w:cs="Open Sans"/>
          <w:sz w:val="20"/>
          <w:szCs w:val="20"/>
          <w:lang w:val="en-US"/>
        </w:rPr>
        <w:t xml:space="preserve"> Division 3 of Pt 15.</w:t>
      </w:r>
    </w:p>
  </w:endnote>
  <w:endnote w:id="59">
    <w:p w14:paraId="12CB1EF4" w14:textId="23FAC210"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w:t>
      </w:r>
      <w:r w:rsidRPr="00CE04D1">
        <w:rPr>
          <w:rFonts w:cs="Open Sans"/>
          <w:sz w:val="20"/>
          <w:szCs w:val="20"/>
          <w:lang w:val="en-US"/>
        </w:rPr>
        <w:t>proposed Division 4 of Pt 15.</w:t>
      </w:r>
    </w:p>
  </w:endnote>
  <w:endnote w:id="60">
    <w:p w14:paraId="156F43E5" w14:textId="2652DBC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 317B.</w:t>
      </w:r>
    </w:p>
  </w:endnote>
  <w:endnote w:id="61">
    <w:p w14:paraId="73DA07B6" w14:textId="11753E5F"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8.</w:t>
      </w:r>
    </w:p>
  </w:endnote>
  <w:endnote w:id="62">
    <w:p w14:paraId="0FA980AE" w14:textId="09281E8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Proposed s 317D(1)–(2) 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 xml:space="preserve"> </w:t>
      </w:r>
      <w:r w:rsidRPr="00CE04D1">
        <w:rPr>
          <w:rFonts w:cs="Open Sans"/>
          <w:sz w:val="20"/>
          <w:szCs w:val="20"/>
        </w:rPr>
        <w:t xml:space="preserve">defines ‘electronic service’ as a service that allows end-users to access material using a carriage service, including a website or a service that delivers material to persons having equipment appropriate for receiving that material, where the delivery is by means of a carriage service. Under proposed s </w:t>
      </w:r>
      <w:proofErr w:type="gramStart"/>
      <w:r w:rsidRPr="00CE04D1">
        <w:rPr>
          <w:rFonts w:cs="Open Sans"/>
          <w:sz w:val="20"/>
          <w:szCs w:val="20"/>
        </w:rPr>
        <w:t>317D(</w:t>
      </w:r>
      <w:proofErr w:type="gramEnd"/>
      <w:r w:rsidRPr="00CE04D1">
        <w:rPr>
          <w:rFonts w:cs="Open Sans"/>
          <w:sz w:val="20"/>
          <w:szCs w:val="20"/>
        </w:rPr>
        <w:t>1)(c)–(d), a broadcasting or datacasting service is excluded from the definition of ‘electronic service’. Proposed s 317B defines ‘material’ to include texts, data, speech, music or other sounds and visual images.</w:t>
      </w:r>
    </w:p>
  </w:endnote>
  <w:endnote w:id="63">
    <w:p w14:paraId="278643F1" w14:textId="59690B8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25–26.</w:t>
      </w:r>
    </w:p>
  </w:endnote>
  <w:endnote w:id="64">
    <w:p w14:paraId="64E92A1F" w14:textId="5B8E1410"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25.</w:t>
      </w:r>
    </w:p>
  </w:endnote>
  <w:endnote w:id="65">
    <w:p w14:paraId="5F0A92AC" w14:textId="35A30B0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 xml:space="preserve"> </w:t>
      </w:r>
      <w:r>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w:t>
      </w:r>
      <w:r w:rsidRPr="00CE04D1">
        <w:rPr>
          <w:rFonts w:cs="Open Sans"/>
          <w:sz w:val="20"/>
          <w:szCs w:val="20"/>
          <w:lang w:val="en-US"/>
        </w:rPr>
        <w:t xml:space="preserve"> 317E.</w:t>
      </w:r>
    </w:p>
  </w:endnote>
  <w:endnote w:id="66">
    <w:p w14:paraId="435EBA4F" w14:textId="717FE868"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9 [27]–[28].</w:t>
      </w:r>
    </w:p>
  </w:endnote>
  <w:endnote w:id="67">
    <w:p w14:paraId="7E61462D" w14:textId="11A52C6C"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w:t>
      </w:r>
      <w:r w:rsidRPr="00CE04D1">
        <w:rPr>
          <w:rFonts w:cs="Open Sans"/>
          <w:sz w:val="20"/>
          <w:szCs w:val="20"/>
          <w:lang w:val="en-US"/>
        </w:rPr>
        <w:t xml:space="preserve"> 317ZB.</w:t>
      </w:r>
    </w:p>
  </w:endnote>
  <w:endnote w:id="68">
    <w:p w14:paraId="74CE267A" w14:textId="7C947F4E"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ss</w:t>
      </w:r>
      <w:r w:rsidRPr="00CE04D1">
        <w:rPr>
          <w:rFonts w:cs="Open Sans"/>
          <w:sz w:val="20"/>
          <w:szCs w:val="20"/>
          <w:lang w:val="en-US"/>
        </w:rPr>
        <w:t xml:space="preserve"> 317ZB, 317ZC. </w:t>
      </w:r>
    </w:p>
  </w:endnote>
  <w:endnote w:id="69">
    <w:p w14:paraId="241E416B" w14:textId="5DEAD11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 </w:t>
      </w:r>
      <w:proofErr w:type="gramStart"/>
      <w:r w:rsidRPr="00CE04D1">
        <w:rPr>
          <w:rFonts w:cs="Open Sans"/>
          <w:sz w:val="20"/>
          <w:szCs w:val="20"/>
        </w:rPr>
        <w:t>317ZG(</w:t>
      </w:r>
      <w:proofErr w:type="gramEnd"/>
      <w:r w:rsidRPr="00CE04D1">
        <w:rPr>
          <w:rFonts w:cs="Open Sans"/>
          <w:sz w:val="20"/>
          <w:szCs w:val="20"/>
        </w:rPr>
        <w:t>3).</w:t>
      </w:r>
    </w:p>
  </w:endnote>
  <w:endnote w:id="70">
    <w:p w14:paraId="0C0AFB2B" w14:textId="4B215760"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8, referring to proposed ss 317P, </w:t>
      </w:r>
      <w:proofErr w:type="gramStart"/>
      <w:r w:rsidRPr="00CE04D1">
        <w:rPr>
          <w:rFonts w:cs="Open Sans"/>
          <w:sz w:val="20"/>
          <w:szCs w:val="20"/>
        </w:rPr>
        <w:t>317Q(</w:t>
      </w:r>
      <w:proofErr w:type="gramEnd"/>
      <w:r w:rsidRPr="00CE04D1">
        <w:rPr>
          <w:rFonts w:cs="Open Sans"/>
          <w:sz w:val="20"/>
          <w:szCs w:val="20"/>
        </w:rPr>
        <w:t xml:space="preserve">10), 317V, 317X(4)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p>
  </w:endnote>
  <w:endnote w:id="71">
    <w:p w14:paraId="1C52657C" w14:textId="67E4D39C"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11, referring to proposed </w:t>
      </w:r>
      <w:r w:rsidRPr="00CE04D1">
        <w:rPr>
          <w:rFonts w:cs="Open Sans"/>
          <w:sz w:val="20"/>
          <w:szCs w:val="20"/>
          <w:lang w:val="en-US"/>
        </w:rPr>
        <w:t xml:space="preserve">s </w:t>
      </w:r>
      <w:proofErr w:type="gramStart"/>
      <w:r w:rsidRPr="00CE04D1">
        <w:rPr>
          <w:rFonts w:cs="Open Sans"/>
          <w:sz w:val="20"/>
          <w:szCs w:val="20"/>
          <w:lang w:val="en-US"/>
        </w:rPr>
        <w:t>317W(</w:t>
      </w:r>
      <w:proofErr w:type="gramEnd"/>
      <w:r w:rsidRPr="00CE04D1">
        <w:rPr>
          <w:rFonts w:cs="Open Sans"/>
          <w:sz w:val="20"/>
          <w:szCs w:val="20"/>
          <w:lang w:val="en-US"/>
        </w:rPr>
        <w:t xml:space="preserve">1)–(3) 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72">
    <w:p w14:paraId="200BF6C1" w14:textId="33243446"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10, referring to proposed ss </w:t>
      </w:r>
      <w:proofErr w:type="gramStart"/>
      <w:r w:rsidRPr="00CE04D1">
        <w:rPr>
          <w:rFonts w:cs="Open Sans"/>
          <w:sz w:val="20"/>
          <w:szCs w:val="20"/>
        </w:rPr>
        <w:t>317R(</w:t>
      </w:r>
      <w:proofErr w:type="gramEnd"/>
      <w:r w:rsidRPr="00CE04D1">
        <w:rPr>
          <w:rFonts w:cs="Open Sans"/>
          <w:sz w:val="20"/>
          <w:szCs w:val="20"/>
        </w:rPr>
        <w:t xml:space="preserve">2), 317R(4), 317Z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73">
    <w:p w14:paraId="06060024" w14:textId="5AAE5FA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10, referring to proposed ss 317T(8)–(11), 317ZH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74">
    <w:p w14:paraId="2F401722" w14:textId="434E360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10, referring to proposed s 317ZH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75">
    <w:p w14:paraId="48C433B7" w14:textId="3F8FB3AF"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10–11, referring to proposed ss 317G(5), 317L(3), 317T(3)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76">
    <w:p w14:paraId="2A00CE72" w14:textId="2A3D3CD4"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10–11, referring to proposed ss 317G(2), 317L(2), 317T(2)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p>
  </w:endnote>
  <w:endnote w:id="77">
    <w:p w14:paraId="3D48C72E" w14:textId="189DCBE9"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11, referring to proposed ss 317G(1), 317L(1), 317T(1), 317ZM-317ZR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p>
  </w:endnote>
  <w:endnote w:id="78">
    <w:p w14:paraId="0CA8013F" w14:textId="0403B84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11, referring to proposed s 317ZF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79">
    <w:p w14:paraId="24448B2E" w14:textId="5002A3D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14, referring to proposed s 317ZS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p>
  </w:endnote>
  <w:endnote w:id="80">
    <w:p w14:paraId="749C2D83" w14:textId="37BE5DF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11, referring to proposed s </w:t>
      </w:r>
      <w:proofErr w:type="gramStart"/>
      <w:r w:rsidRPr="00CE04D1">
        <w:rPr>
          <w:rFonts w:cs="Open Sans"/>
          <w:sz w:val="20"/>
          <w:szCs w:val="20"/>
        </w:rPr>
        <w:t>317ZK(</w:t>
      </w:r>
      <w:proofErr w:type="gramEnd"/>
      <w:r w:rsidRPr="00CE04D1">
        <w:rPr>
          <w:rFonts w:cs="Open Sans"/>
          <w:sz w:val="20"/>
          <w:szCs w:val="20"/>
        </w:rPr>
        <w:t xml:space="preserve">4)(b) </w:t>
      </w:r>
      <w:r w:rsidRPr="00CE04D1">
        <w:rPr>
          <w:rFonts w:cs="Open Sans"/>
          <w:sz w:val="20"/>
          <w:szCs w:val="20"/>
          <w:lang w:val="en-US"/>
        </w:rPr>
        <w:t xml:space="preserve">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81">
    <w:p w14:paraId="565240D8" w14:textId="5A0125B8"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007579CC">
        <w:rPr>
          <w:rFonts w:cs="Open Sans"/>
          <w:sz w:val="20"/>
          <w:szCs w:val="20"/>
        </w:rPr>
        <w:tab/>
        <w:t>See</w:t>
      </w:r>
      <w:r>
        <w:rPr>
          <w:rFonts w:cs="Open Sans"/>
          <w:sz w:val="20"/>
          <w:szCs w:val="20"/>
        </w:rPr>
        <w:t xml:space="preserve"> discussion</w:t>
      </w:r>
      <w:r w:rsidRPr="00CE04D1">
        <w:rPr>
          <w:rFonts w:cs="Open Sans"/>
          <w:sz w:val="20"/>
          <w:szCs w:val="20"/>
        </w:rPr>
        <w:t xml:space="preserve"> at [</w:t>
      </w:r>
      <w:r w:rsidRPr="00CE04D1">
        <w:rPr>
          <w:rFonts w:cs="Open Sans"/>
          <w:sz w:val="20"/>
          <w:szCs w:val="20"/>
        </w:rPr>
        <w:fldChar w:fldCharType="begin"/>
      </w:r>
      <w:r w:rsidRPr="00CE04D1">
        <w:rPr>
          <w:rFonts w:cs="Open Sans"/>
          <w:sz w:val="20"/>
          <w:szCs w:val="20"/>
        </w:rPr>
        <w:instrText xml:space="preserve"> REF _Ref524083841 \r \h  \* MERGEFORMAT </w:instrText>
      </w:r>
      <w:r w:rsidRPr="00CE04D1">
        <w:rPr>
          <w:rFonts w:cs="Open Sans"/>
          <w:sz w:val="20"/>
          <w:szCs w:val="20"/>
        </w:rPr>
      </w:r>
      <w:r w:rsidRPr="00CE04D1">
        <w:rPr>
          <w:rFonts w:cs="Open Sans"/>
          <w:sz w:val="20"/>
          <w:szCs w:val="20"/>
        </w:rPr>
        <w:fldChar w:fldCharType="separate"/>
      </w:r>
      <w:r w:rsidR="00523FE1">
        <w:rPr>
          <w:rFonts w:cs="Open Sans"/>
          <w:sz w:val="20"/>
          <w:szCs w:val="20"/>
        </w:rPr>
        <w:t>94</w:t>
      </w:r>
      <w:r w:rsidRPr="00CE04D1">
        <w:rPr>
          <w:rFonts w:cs="Open Sans"/>
          <w:sz w:val="20"/>
          <w:szCs w:val="20"/>
        </w:rPr>
        <w:fldChar w:fldCharType="end"/>
      </w:r>
      <w:r w:rsidRPr="00CE04D1">
        <w:rPr>
          <w:rFonts w:cs="Open Sans"/>
          <w:sz w:val="20"/>
          <w:szCs w:val="20"/>
        </w:rPr>
        <w:t>]–[</w:t>
      </w:r>
      <w:r w:rsidRPr="00CE04D1">
        <w:rPr>
          <w:rFonts w:cs="Open Sans"/>
          <w:sz w:val="20"/>
          <w:szCs w:val="20"/>
        </w:rPr>
        <w:fldChar w:fldCharType="begin"/>
      </w:r>
      <w:r w:rsidRPr="00CE04D1">
        <w:rPr>
          <w:rFonts w:cs="Open Sans"/>
          <w:sz w:val="20"/>
          <w:szCs w:val="20"/>
        </w:rPr>
        <w:instrText xml:space="preserve"> REF _Ref524083917 \r \h  \* MERGEFORMAT </w:instrText>
      </w:r>
      <w:r w:rsidRPr="00CE04D1">
        <w:rPr>
          <w:rFonts w:cs="Open Sans"/>
          <w:sz w:val="20"/>
          <w:szCs w:val="20"/>
        </w:rPr>
      </w:r>
      <w:r w:rsidRPr="00CE04D1">
        <w:rPr>
          <w:rFonts w:cs="Open Sans"/>
          <w:sz w:val="20"/>
          <w:szCs w:val="20"/>
        </w:rPr>
        <w:fldChar w:fldCharType="separate"/>
      </w:r>
      <w:r w:rsidR="00523FE1">
        <w:rPr>
          <w:rFonts w:cs="Open Sans"/>
          <w:sz w:val="20"/>
          <w:szCs w:val="20"/>
        </w:rPr>
        <w:t>95</w:t>
      </w:r>
      <w:r w:rsidRPr="00CE04D1">
        <w:rPr>
          <w:rFonts w:cs="Open Sans"/>
          <w:sz w:val="20"/>
          <w:szCs w:val="20"/>
        </w:rPr>
        <w:fldChar w:fldCharType="end"/>
      </w:r>
      <w:r w:rsidRPr="00CE04D1">
        <w:rPr>
          <w:rFonts w:cs="Open Sans"/>
          <w:sz w:val="20"/>
          <w:szCs w:val="20"/>
        </w:rPr>
        <w:t>].</w:t>
      </w:r>
    </w:p>
  </w:endnote>
  <w:endnote w:id="82">
    <w:p w14:paraId="33995984" w14:textId="760E062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ss </w:t>
      </w:r>
      <w:proofErr w:type="gramStart"/>
      <w:r w:rsidRPr="00CE04D1">
        <w:rPr>
          <w:rFonts w:cs="Open Sans"/>
          <w:sz w:val="20"/>
          <w:szCs w:val="20"/>
        </w:rPr>
        <w:t>317G(</w:t>
      </w:r>
      <w:proofErr w:type="gramEnd"/>
      <w:r w:rsidRPr="00CE04D1">
        <w:rPr>
          <w:rFonts w:cs="Open Sans"/>
          <w:sz w:val="20"/>
          <w:szCs w:val="20"/>
        </w:rPr>
        <w:t>6), 317JA(9), 317L(3), 317Q(9).</w:t>
      </w:r>
    </w:p>
  </w:endnote>
  <w:endnote w:id="83">
    <w:p w14:paraId="1D0BEC88" w14:textId="4D456AA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 </w:t>
      </w:r>
      <w:proofErr w:type="gramStart"/>
      <w:r w:rsidRPr="00CE04D1">
        <w:rPr>
          <w:rFonts w:cs="Open Sans"/>
          <w:sz w:val="20"/>
          <w:szCs w:val="20"/>
        </w:rPr>
        <w:t>317T(</w:t>
      </w:r>
      <w:proofErr w:type="gramEnd"/>
      <w:r w:rsidRPr="00CE04D1">
        <w:rPr>
          <w:rFonts w:cs="Open Sans"/>
          <w:sz w:val="20"/>
          <w:szCs w:val="20"/>
        </w:rPr>
        <w:t>4)(c)(</w:t>
      </w:r>
      <w:proofErr w:type="spellStart"/>
      <w:r w:rsidRPr="00CE04D1">
        <w:rPr>
          <w:rFonts w:cs="Open Sans"/>
          <w:sz w:val="20"/>
          <w:szCs w:val="20"/>
        </w:rPr>
        <w:t>i</w:t>
      </w:r>
      <w:proofErr w:type="spellEnd"/>
      <w:r w:rsidRPr="00CE04D1">
        <w:rPr>
          <w:rFonts w:cs="Open Sans"/>
          <w:sz w:val="20"/>
          <w:szCs w:val="20"/>
        </w:rPr>
        <w:t>).</w:t>
      </w:r>
    </w:p>
  </w:endnote>
  <w:endnote w:id="84">
    <w:p w14:paraId="6D7DCD22" w14:textId="6150094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ss </w:t>
      </w:r>
      <w:proofErr w:type="gramStart"/>
      <w:r w:rsidRPr="00CE04D1">
        <w:rPr>
          <w:rFonts w:cs="Open Sans"/>
          <w:sz w:val="20"/>
          <w:szCs w:val="20"/>
        </w:rPr>
        <w:t>317T(</w:t>
      </w:r>
      <w:proofErr w:type="gramEnd"/>
      <w:r w:rsidRPr="00CE04D1">
        <w:rPr>
          <w:rFonts w:cs="Open Sans"/>
          <w:sz w:val="20"/>
          <w:szCs w:val="20"/>
        </w:rPr>
        <w:t>4)(c)(ii), 317T(5).</w:t>
      </w:r>
    </w:p>
  </w:endnote>
  <w:endnote w:id="85">
    <w:p w14:paraId="0E33863E" w14:textId="45583A18"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 </w:t>
      </w:r>
      <w:proofErr w:type="gramStart"/>
      <w:r w:rsidRPr="00CE04D1">
        <w:rPr>
          <w:rFonts w:cs="Open Sans"/>
          <w:sz w:val="20"/>
          <w:szCs w:val="20"/>
        </w:rPr>
        <w:t>317T(</w:t>
      </w:r>
      <w:proofErr w:type="gramEnd"/>
      <w:r w:rsidRPr="00CE04D1">
        <w:rPr>
          <w:rFonts w:cs="Open Sans"/>
          <w:sz w:val="20"/>
          <w:szCs w:val="20"/>
        </w:rPr>
        <w:t>6).</w:t>
      </w:r>
    </w:p>
  </w:endnote>
  <w:endnote w:id="86">
    <w:p w14:paraId="69B1B9C9" w14:textId="14F8909A"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Telecommunications Act 1997</w:t>
      </w:r>
      <w:r w:rsidRPr="00CE04D1">
        <w:rPr>
          <w:rFonts w:cs="Open Sans"/>
          <w:sz w:val="20"/>
          <w:szCs w:val="20"/>
        </w:rPr>
        <w:t xml:space="preserve"> (Cth) proposed s </w:t>
      </w:r>
      <w:proofErr w:type="gramStart"/>
      <w:r w:rsidRPr="00CE04D1">
        <w:rPr>
          <w:rFonts w:cs="Open Sans"/>
          <w:sz w:val="20"/>
          <w:szCs w:val="20"/>
        </w:rPr>
        <w:t>317X(</w:t>
      </w:r>
      <w:proofErr w:type="gramEnd"/>
      <w:r w:rsidRPr="00CE04D1">
        <w:rPr>
          <w:rFonts w:cs="Open Sans"/>
          <w:sz w:val="20"/>
          <w:szCs w:val="20"/>
        </w:rPr>
        <w:t>3).</w:t>
      </w:r>
    </w:p>
  </w:endnote>
  <w:endnote w:id="87">
    <w:p w14:paraId="623135E0" w14:textId="70A411C2"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Pr>
          <w:rFonts w:cs="Open Sans"/>
          <w:sz w:val="20"/>
          <w:szCs w:val="20"/>
          <w:lang w:val="en-US"/>
        </w:rPr>
        <w:t>As discussed at [145]</w:t>
      </w:r>
      <w:r w:rsidRPr="00CE04D1">
        <w:rPr>
          <w:rFonts w:cs="Open Sans"/>
          <w:sz w:val="20"/>
          <w:szCs w:val="20"/>
          <w:lang w:val="en-US"/>
        </w:rPr>
        <w:t xml:space="preserve">, the Commission holds concerns about the clarity and efficacy of proposed s 317ZG of the </w:t>
      </w:r>
      <w:r w:rsidRPr="00CE04D1">
        <w:rPr>
          <w:rFonts w:cs="Open Sans"/>
          <w:i/>
          <w:sz w:val="20"/>
          <w:szCs w:val="20"/>
        </w:rPr>
        <w:t>Telecommunications Act 1997</w:t>
      </w:r>
      <w:r w:rsidRPr="00CE04D1">
        <w:rPr>
          <w:rFonts w:cs="Open Sans"/>
          <w:sz w:val="20"/>
          <w:szCs w:val="20"/>
        </w:rPr>
        <w:t xml:space="preserve"> (Cth)</w:t>
      </w:r>
      <w:r w:rsidRPr="00CE04D1">
        <w:rPr>
          <w:rFonts w:cs="Open Sans"/>
          <w:sz w:val="20"/>
          <w:szCs w:val="20"/>
          <w:lang w:val="en-US"/>
        </w:rPr>
        <w:t>.</w:t>
      </w:r>
    </w:p>
  </w:endnote>
  <w:endnote w:id="88">
    <w:p w14:paraId="14ECB4C2" w14:textId="4F818E99"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26.</w:t>
      </w:r>
    </w:p>
  </w:endnote>
  <w:endnote w:id="89">
    <w:p w14:paraId="57DF3CE8" w14:textId="1AA1C91A"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Telecommunications and Other Legislation Amendment (Assistance and Access) Draft Exposure Bill 2018 (Cth) s </w:t>
      </w:r>
      <w:proofErr w:type="gramStart"/>
      <w:r w:rsidRPr="00CE04D1">
        <w:rPr>
          <w:rFonts w:cs="Open Sans"/>
          <w:sz w:val="20"/>
          <w:szCs w:val="20"/>
        </w:rPr>
        <w:t>317G(</w:t>
      </w:r>
      <w:proofErr w:type="gramEnd"/>
      <w:r w:rsidRPr="00CE04D1">
        <w:rPr>
          <w:rFonts w:cs="Open Sans"/>
          <w:sz w:val="20"/>
          <w:szCs w:val="20"/>
        </w:rPr>
        <w:t>2)(v).</w:t>
      </w:r>
    </w:p>
  </w:endnote>
  <w:endnote w:id="90">
    <w:p w14:paraId="2A308698" w14:textId="19F216D9"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31.</w:t>
      </w:r>
    </w:p>
  </w:endnote>
  <w:endnote w:id="91">
    <w:p w14:paraId="4CDB9342" w14:textId="25081E1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34.</w:t>
      </w:r>
    </w:p>
  </w:endnote>
  <w:endnote w:id="92">
    <w:p w14:paraId="1EAD1B3A" w14:textId="6949D4A5"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9. </w:t>
      </w:r>
    </w:p>
  </w:endnote>
  <w:endnote w:id="93">
    <w:p w14:paraId="71FA4826" w14:textId="1B2025B1"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Pr>
          <w:rFonts w:cs="Open Sans"/>
          <w:sz w:val="20"/>
          <w:szCs w:val="20"/>
        </w:rPr>
        <w:tab/>
        <w:t>See discussion</w:t>
      </w:r>
      <w:r w:rsidRPr="00CE04D1">
        <w:rPr>
          <w:rFonts w:cs="Open Sans"/>
          <w:sz w:val="20"/>
          <w:szCs w:val="20"/>
        </w:rPr>
        <w:t xml:space="preserve"> at </w:t>
      </w:r>
      <w:r>
        <w:rPr>
          <w:rFonts w:cs="Open Sans"/>
          <w:sz w:val="20"/>
          <w:szCs w:val="20"/>
        </w:rPr>
        <w:t xml:space="preserve">Pt </w:t>
      </w:r>
      <w:r w:rsidRPr="00CE04D1">
        <w:rPr>
          <w:rFonts w:cs="Open Sans"/>
          <w:sz w:val="20"/>
          <w:szCs w:val="20"/>
        </w:rPr>
        <w:fldChar w:fldCharType="begin"/>
      </w:r>
      <w:r w:rsidRPr="00CE04D1">
        <w:rPr>
          <w:rFonts w:cs="Open Sans"/>
          <w:sz w:val="20"/>
          <w:szCs w:val="20"/>
        </w:rPr>
        <w:instrText xml:space="preserve"> REF _Ref524084141 \r \h  \* MERGEFORMAT </w:instrText>
      </w:r>
      <w:r w:rsidRPr="00CE04D1">
        <w:rPr>
          <w:rFonts w:cs="Open Sans"/>
          <w:sz w:val="20"/>
          <w:szCs w:val="20"/>
        </w:rPr>
      </w:r>
      <w:r w:rsidRPr="00CE04D1">
        <w:rPr>
          <w:rFonts w:cs="Open Sans"/>
          <w:sz w:val="20"/>
          <w:szCs w:val="20"/>
        </w:rPr>
        <w:fldChar w:fldCharType="separate"/>
      </w:r>
      <w:r w:rsidR="00523FE1">
        <w:rPr>
          <w:rFonts w:cs="Open Sans"/>
          <w:sz w:val="20"/>
          <w:szCs w:val="20"/>
        </w:rPr>
        <w:t>3.3(c)</w:t>
      </w:r>
      <w:r w:rsidRPr="00CE04D1">
        <w:rPr>
          <w:rFonts w:cs="Open Sans"/>
          <w:sz w:val="20"/>
          <w:szCs w:val="20"/>
        </w:rPr>
        <w:fldChar w:fldCharType="end"/>
      </w:r>
      <w:r w:rsidRPr="00CE04D1">
        <w:rPr>
          <w:rFonts w:cs="Open Sans"/>
          <w:sz w:val="20"/>
          <w:szCs w:val="20"/>
        </w:rPr>
        <w:t>.</w:t>
      </w:r>
    </w:p>
  </w:endnote>
  <w:endnote w:id="94">
    <w:p w14:paraId="4D0D4301" w14:textId="471E6AD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See discussion at [</w:t>
      </w:r>
      <w:r w:rsidRPr="00CE04D1">
        <w:rPr>
          <w:rFonts w:cs="Open Sans"/>
          <w:sz w:val="20"/>
          <w:szCs w:val="20"/>
        </w:rPr>
        <w:fldChar w:fldCharType="begin"/>
      </w:r>
      <w:r w:rsidRPr="00CE04D1">
        <w:rPr>
          <w:rFonts w:cs="Open Sans"/>
          <w:sz w:val="20"/>
          <w:szCs w:val="20"/>
        </w:rPr>
        <w:instrText xml:space="preserve"> REF _Ref524083984 \r \h  \* MERGEFORMAT </w:instrText>
      </w:r>
      <w:r w:rsidRPr="00CE04D1">
        <w:rPr>
          <w:rFonts w:cs="Open Sans"/>
          <w:sz w:val="20"/>
          <w:szCs w:val="20"/>
        </w:rPr>
      </w:r>
      <w:r w:rsidRPr="00CE04D1">
        <w:rPr>
          <w:rFonts w:cs="Open Sans"/>
          <w:sz w:val="20"/>
          <w:szCs w:val="20"/>
        </w:rPr>
        <w:fldChar w:fldCharType="separate"/>
      </w:r>
      <w:r w:rsidR="00523FE1">
        <w:rPr>
          <w:rFonts w:cs="Open Sans"/>
          <w:sz w:val="20"/>
          <w:szCs w:val="20"/>
        </w:rPr>
        <w:t>97</w:t>
      </w:r>
      <w:r w:rsidRPr="00CE04D1">
        <w:rPr>
          <w:rFonts w:cs="Open Sans"/>
          <w:sz w:val="20"/>
          <w:szCs w:val="20"/>
        </w:rPr>
        <w:fldChar w:fldCharType="end"/>
      </w:r>
      <w:r w:rsidRPr="00CE04D1">
        <w:rPr>
          <w:rFonts w:cs="Open Sans"/>
          <w:sz w:val="20"/>
          <w:szCs w:val="20"/>
        </w:rPr>
        <w:t>]–[</w:t>
      </w:r>
      <w:r w:rsidRPr="00CE04D1">
        <w:rPr>
          <w:rFonts w:cs="Open Sans"/>
          <w:sz w:val="20"/>
          <w:szCs w:val="20"/>
        </w:rPr>
        <w:fldChar w:fldCharType="begin"/>
      </w:r>
      <w:r w:rsidRPr="00CE04D1">
        <w:rPr>
          <w:rFonts w:cs="Open Sans"/>
          <w:sz w:val="20"/>
          <w:szCs w:val="20"/>
        </w:rPr>
        <w:instrText xml:space="preserve"> REF _Ref524083996 \r \h  \* MERGEFORMAT </w:instrText>
      </w:r>
      <w:r w:rsidRPr="00CE04D1">
        <w:rPr>
          <w:rFonts w:cs="Open Sans"/>
          <w:sz w:val="20"/>
          <w:szCs w:val="20"/>
        </w:rPr>
      </w:r>
      <w:r w:rsidRPr="00CE04D1">
        <w:rPr>
          <w:rFonts w:cs="Open Sans"/>
          <w:sz w:val="20"/>
          <w:szCs w:val="20"/>
        </w:rPr>
        <w:fldChar w:fldCharType="separate"/>
      </w:r>
      <w:r w:rsidR="00523FE1">
        <w:rPr>
          <w:rFonts w:cs="Open Sans"/>
          <w:sz w:val="20"/>
          <w:szCs w:val="20"/>
        </w:rPr>
        <w:t>98</w:t>
      </w:r>
      <w:r w:rsidRPr="00CE04D1">
        <w:rPr>
          <w:rFonts w:cs="Open Sans"/>
          <w:sz w:val="20"/>
          <w:szCs w:val="20"/>
        </w:rPr>
        <w:fldChar w:fldCharType="end"/>
      </w:r>
      <w:r w:rsidR="007579CC">
        <w:rPr>
          <w:rFonts w:cs="Open Sans"/>
          <w:sz w:val="20"/>
          <w:szCs w:val="20"/>
        </w:rPr>
        <w:t>] of the submission</w:t>
      </w:r>
      <w:r w:rsidRPr="00CE04D1">
        <w:rPr>
          <w:rFonts w:cs="Open Sans"/>
          <w:sz w:val="20"/>
          <w:szCs w:val="20"/>
        </w:rPr>
        <w:t xml:space="preserve">. </w:t>
      </w:r>
    </w:p>
  </w:endnote>
  <w:endnote w:id="95">
    <w:p w14:paraId="63D1605F" w14:textId="60FA50E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Telecommunications Act 1997 </w:t>
      </w:r>
      <w:r w:rsidRPr="00CE04D1">
        <w:rPr>
          <w:rFonts w:cs="Open Sans"/>
          <w:sz w:val="20"/>
          <w:szCs w:val="20"/>
        </w:rPr>
        <w:t xml:space="preserve">(Cth) proposed s </w:t>
      </w:r>
      <w:proofErr w:type="gramStart"/>
      <w:r w:rsidRPr="00CE04D1">
        <w:rPr>
          <w:rFonts w:cs="Open Sans"/>
          <w:sz w:val="20"/>
          <w:szCs w:val="20"/>
        </w:rPr>
        <w:t>317ZG(</w:t>
      </w:r>
      <w:proofErr w:type="gramEnd"/>
      <w:r w:rsidRPr="00CE04D1">
        <w:rPr>
          <w:rFonts w:cs="Open Sans"/>
          <w:sz w:val="20"/>
          <w:szCs w:val="20"/>
        </w:rPr>
        <w:t>1)(b).</w:t>
      </w:r>
    </w:p>
  </w:endnote>
  <w:endnote w:id="96">
    <w:p w14:paraId="1F7344C2" w14:textId="4A021688"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10.</w:t>
      </w:r>
    </w:p>
  </w:endnote>
  <w:endnote w:id="97">
    <w:p w14:paraId="3CC860AA" w14:textId="002CC06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47.</w:t>
      </w:r>
    </w:p>
  </w:endnote>
  <w:endnote w:id="98">
    <w:p w14:paraId="25F89D2F" w14:textId="127D82DF"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Ariel Bogle, ‘</w:t>
      </w:r>
      <w:r w:rsidRPr="00CE04D1">
        <w:rPr>
          <w:rFonts w:cs="Open Sans"/>
          <w:sz w:val="20"/>
          <w:szCs w:val="20"/>
          <w:lang w:val="en-US"/>
        </w:rPr>
        <w:t xml:space="preserve">Tech surveillance laws proposed by Australian Government aggressive critics say’, </w:t>
      </w:r>
      <w:r w:rsidRPr="00CE04D1">
        <w:rPr>
          <w:rFonts w:cs="Open Sans"/>
          <w:i/>
          <w:sz w:val="20"/>
          <w:szCs w:val="20"/>
          <w:lang w:val="en-US"/>
        </w:rPr>
        <w:t xml:space="preserve">ABC News </w:t>
      </w:r>
      <w:r w:rsidRPr="00CE04D1">
        <w:rPr>
          <w:rFonts w:cs="Open Sans"/>
          <w:sz w:val="20"/>
          <w:szCs w:val="20"/>
          <w:lang w:val="en-US"/>
        </w:rPr>
        <w:t xml:space="preserve">(online), 20 August 2018 </w:t>
      </w:r>
      <w:r w:rsidRPr="00CE04D1">
        <w:rPr>
          <w:rFonts w:cs="Open Sans"/>
          <w:sz w:val="20"/>
          <w:szCs w:val="20"/>
        </w:rPr>
        <w:t>&lt;</w:t>
      </w:r>
      <w:r w:rsidRPr="00CE04D1">
        <w:rPr>
          <w:rFonts w:cs="Open Sans"/>
          <w:sz w:val="20"/>
          <w:szCs w:val="20"/>
          <w:lang w:val="en-US"/>
        </w:rPr>
        <w:t>http://www.abc.net.au/news/science/2018-08-20/tech-surveillance-laws-labelled-aggressive-by-critics/10128166&gt;.</w:t>
      </w:r>
    </w:p>
  </w:endnote>
  <w:endnote w:id="99">
    <w:p w14:paraId="3834AE75" w14:textId="685979C8"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Relevantly, the immunities afforded to providers under proposed s 317ZJ would protect a provider from civil liability for or in relation to an act or thing done by the provider in compliance or in good faith in purported compliance with a notice, meaning that a provider </w:t>
      </w:r>
      <w:proofErr w:type="gramStart"/>
      <w:r w:rsidRPr="00CE04D1">
        <w:rPr>
          <w:rFonts w:cs="Open Sans"/>
          <w:sz w:val="20"/>
          <w:szCs w:val="20"/>
        </w:rPr>
        <w:t>would apparently be protected</w:t>
      </w:r>
      <w:proofErr w:type="gramEnd"/>
      <w:r w:rsidRPr="00CE04D1">
        <w:rPr>
          <w:rFonts w:cs="Open Sans"/>
          <w:sz w:val="20"/>
          <w:szCs w:val="20"/>
        </w:rPr>
        <w:t xml:space="preserve"> by good faith compliance with a </w:t>
      </w:r>
      <w:r w:rsidRPr="00CE04D1">
        <w:rPr>
          <w:rFonts w:cs="Open Sans"/>
          <w:i/>
          <w:sz w:val="20"/>
          <w:szCs w:val="20"/>
        </w:rPr>
        <w:t>prima facie</w:t>
      </w:r>
      <w:r w:rsidRPr="00CE04D1">
        <w:rPr>
          <w:rFonts w:cs="Open Sans"/>
          <w:sz w:val="20"/>
          <w:szCs w:val="20"/>
        </w:rPr>
        <w:t xml:space="preserve"> valid notice. See discussion at</w:t>
      </w:r>
      <w:r>
        <w:rPr>
          <w:rFonts w:cs="Open Sans"/>
          <w:sz w:val="20"/>
          <w:szCs w:val="20"/>
        </w:rPr>
        <w:t xml:space="preserve"> Pt</w:t>
      </w:r>
      <w:r w:rsidRPr="00CE04D1">
        <w:rPr>
          <w:rFonts w:cs="Open Sans"/>
          <w:sz w:val="20"/>
          <w:szCs w:val="20"/>
        </w:rPr>
        <w:t xml:space="preserve"> </w:t>
      </w:r>
      <w:r w:rsidRPr="00CE04D1">
        <w:rPr>
          <w:rFonts w:cs="Open Sans"/>
          <w:sz w:val="20"/>
          <w:szCs w:val="20"/>
        </w:rPr>
        <w:fldChar w:fldCharType="begin"/>
      </w:r>
      <w:r w:rsidRPr="00CE04D1">
        <w:rPr>
          <w:rFonts w:cs="Open Sans"/>
          <w:sz w:val="20"/>
          <w:szCs w:val="20"/>
        </w:rPr>
        <w:instrText xml:space="preserve"> REF _Ref523846933 \r \h  \* MERGEFORMAT </w:instrText>
      </w:r>
      <w:r w:rsidRPr="00CE04D1">
        <w:rPr>
          <w:rFonts w:cs="Open Sans"/>
          <w:sz w:val="20"/>
          <w:szCs w:val="20"/>
        </w:rPr>
      </w:r>
      <w:r w:rsidRPr="00CE04D1">
        <w:rPr>
          <w:rFonts w:cs="Open Sans"/>
          <w:sz w:val="20"/>
          <w:szCs w:val="20"/>
        </w:rPr>
        <w:fldChar w:fldCharType="separate"/>
      </w:r>
      <w:r w:rsidR="00523FE1">
        <w:rPr>
          <w:rFonts w:cs="Open Sans"/>
          <w:sz w:val="20"/>
          <w:szCs w:val="20"/>
        </w:rPr>
        <w:t>5.6</w:t>
      </w:r>
      <w:r w:rsidRPr="00CE04D1">
        <w:rPr>
          <w:rFonts w:cs="Open Sans"/>
          <w:sz w:val="20"/>
          <w:szCs w:val="20"/>
        </w:rPr>
        <w:fldChar w:fldCharType="end"/>
      </w:r>
      <w:r w:rsidRPr="00CE04D1">
        <w:rPr>
          <w:rFonts w:cs="Open Sans"/>
          <w:sz w:val="20"/>
          <w:szCs w:val="20"/>
        </w:rPr>
        <w:t xml:space="preserve"> regarding the overbroad scope of immunities.</w:t>
      </w:r>
    </w:p>
  </w:endnote>
  <w:endnote w:id="100">
    <w:p w14:paraId="5F0B78FB" w14:textId="5EE4EAF9"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Australian Law Reform Commission, </w:t>
      </w:r>
      <w:r w:rsidRPr="00CE04D1">
        <w:rPr>
          <w:rFonts w:cs="Open Sans"/>
          <w:i/>
          <w:sz w:val="20"/>
          <w:szCs w:val="20"/>
        </w:rPr>
        <w:t>Traditional Rights and Freedoms—Encroachments by Commonwealth Laws: Retrospective Laws</w:t>
      </w:r>
      <w:r w:rsidRPr="00CE04D1">
        <w:rPr>
          <w:rFonts w:cs="Open Sans"/>
          <w:sz w:val="20"/>
          <w:szCs w:val="20"/>
        </w:rPr>
        <w:t xml:space="preserve">, Report No 129 (2016) [13.141], citing Professor Jeremy </w:t>
      </w:r>
      <w:proofErr w:type="spellStart"/>
      <w:r w:rsidRPr="00CE04D1">
        <w:rPr>
          <w:rFonts w:cs="Open Sans"/>
          <w:sz w:val="20"/>
          <w:szCs w:val="20"/>
        </w:rPr>
        <w:t>Gans</w:t>
      </w:r>
      <w:proofErr w:type="spellEnd"/>
      <w:r w:rsidRPr="00CE04D1">
        <w:rPr>
          <w:rFonts w:cs="Open Sans"/>
          <w:sz w:val="20"/>
          <w:szCs w:val="20"/>
        </w:rPr>
        <w:t xml:space="preserve">, Submission No 2 to the Australian Law Reform Commission, </w:t>
      </w:r>
      <w:r w:rsidRPr="00CE04D1">
        <w:rPr>
          <w:rFonts w:cs="Open Sans"/>
          <w:i/>
          <w:sz w:val="20"/>
          <w:szCs w:val="20"/>
        </w:rPr>
        <w:t>Review of Commonwealth Laws for Consistency with Traditional Rights, Freedoms and Privileges</w:t>
      </w:r>
      <w:r w:rsidRPr="00CE04D1">
        <w:rPr>
          <w:rFonts w:cs="Open Sans"/>
          <w:sz w:val="20"/>
          <w:szCs w:val="20"/>
        </w:rPr>
        <w:t>, 19 May 2014.</w:t>
      </w:r>
    </w:p>
  </w:endnote>
  <w:endnote w:id="101">
    <w:p w14:paraId="562D0B6D" w14:textId="199A175D"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Pr>
          <w:rFonts w:cs="Open Sans"/>
          <w:sz w:val="20"/>
          <w:szCs w:val="20"/>
          <w:lang w:val="en-US"/>
        </w:rPr>
        <w:t>See P</w:t>
      </w:r>
      <w:r w:rsidRPr="00CE04D1">
        <w:rPr>
          <w:rFonts w:cs="Open Sans"/>
          <w:sz w:val="20"/>
          <w:szCs w:val="20"/>
          <w:lang w:val="en-US"/>
        </w:rPr>
        <w:t xml:space="preserve">t </w:t>
      </w:r>
      <w:r w:rsidRPr="00CE04D1">
        <w:rPr>
          <w:rFonts w:cs="Open Sans"/>
          <w:sz w:val="20"/>
          <w:szCs w:val="20"/>
          <w:highlight w:val="cyan"/>
          <w:lang w:val="en-US"/>
        </w:rPr>
        <w:fldChar w:fldCharType="begin"/>
      </w:r>
      <w:r w:rsidRPr="00CE04D1">
        <w:rPr>
          <w:rFonts w:cs="Open Sans"/>
          <w:sz w:val="20"/>
          <w:szCs w:val="20"/>
          <w:lang w:val="en-US"/>
        </w:rPr>
        <w:instrText xml:space="preserve"> REF _Ref523846933 \r \h </w:instrText>
      </w:r>
      <w:r w:rsidRPr="00CE04D1">
        <w:rPr>
          <w:rFonts w:cs="Open Sans"/>
          <w:sz w:val="20"/>
          <w:szCs w:val="20"/>
          <w:highlight w:val="cyan"/>
          <w:lang w:val="en-US"/>
        </w:rPr>
        <w:instrText xml:space="preserve"> \* MERGEFORMAT </w:instrText>
      </w:r>
      <w:r w:rsidRPr="00CE04D1">
        <w:rPr>
          <w:rFonts w:cs="Open Sans"/>
          <w:sz w:val="20"/>
          <w:szCs w:val="20"/>
          <w:highlight w:val="cyan"/>
          <w:lang w:val="en-US"/>
        </w:rPr>
      </w:r>
      <w:r w:rsidRPr="00CE04D1">
        <w:rPr>
          <w:rFonts w:cs="Open Sans"/>
          <w:sz w:val="20"/>
          <w:szCs w:val="20"/>
          <w:highlight w:val="cyan"/>
          <w:lang w:val="en-US"/>
        </w:rPr>
        <w:fldChar w:fldCharType="separate"/>
      </w:r>
      <w:r w:rsidR="00523FE1">
        <w:rPr>
          <w:rFonts w:cs="Open Sans"/>
          <w:sz w:val="20"/>
          <w:szCs w:val="20"/>
          <w:lang w:val="en-US"/>
        </w:rPr>
        <w:t>5.6</w:t>
      </w:r>
      <w:r w:rsidRPr="00CE04D1">
        <w:rPr>
          <w:rFonts w:cs="Open Sans"/>
          <w:sz w:val="20"/>
          <w:szCs w:val="20"/>
          <w:highlight w:val="cyan"/>
          <w:lang w:val="en-US"/>
        </w:rPr>
        <w:fldChar w:fldCharType="end"/>
      </w:r>
      <w:r w:rsidRPr="00CE04D1">
        <w:rPr>
          <w:rFonts w:cs="Open Sans"/>
          <w:sz w:val="20"/>
          <w:szCs w:val="20"/>
          <w:lang w:val="en-US"/>
        </w:rPr>
        <w:t xml:space="preserve"> of the submission regarding the Commission’s concerns regarding the proposed review and oversight mechanisms.</w:t>
      </w:r>
    </w:p>
  </w:endnote>
  <w:endnote w:id="102">
    <w:p w14:paraId="191C3110" w14:textId="31C4731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David Kaye, </w:t>
      </w:r>
      <w:r w:rsidRPr="00CE04D1">
        <w:rPr>
          <w:rFonts w:cs="Open Sans"/>
          <w:i/>
          <w:sz w:val="20"/>
          <w:szCs w:val="20"/>
        </w:rPr>
        <w:t>Report of the United Nations Special Rapporteur on the promotion and protection of the right to freedom of opinion and expression</w:t>
      </w:r>
      <w:r w:rsidRPr="00CE04D1">
        <w:rPr>
          <w:rFonts w:cs="Open Sans"/>
          <w:sz w:val="20"/>
          <w:szCs w:val="20"/>
        </w:rPr>
        <w:t>, 17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3, UN Doc A/HRC/29/32 (22 May 2015)</w:t>
      </w:r>
      <w:r w:rsidRPr="00CE04D1" w:rsidDel="004933B5">
        <w:rPr>
          <w:rFonts w:cs="Open Sans"/>
          <w:sz w:val="20"/>
          <w:szCs w:val="20"/>
        </w:rPr>
        <w:t xml:space="preserve"> </w:t>
      </w:r>
      <w:r w:rsidRPr="00CE04D1">
        <w:rPr>
          <w:rFonts w:cs="Open Sans"/>
          <w:sz w:val="20"/>
          <w:szCs w:val="20"/>
        </w:rPr>
        <w:t xml:space="preserve">11 [32]. </w:t>
      </w:r>
    </w:p>
  </w:endnote>
  <w:endnote w:id="103">
    <w:p w14:paraId="6992EBD5" w14:textId="7B1E20A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David Kaye, </w:t>
      </w:r>
      <w:r w:rsidRPr="00CE04D1">
        <w:rPr>
          <w:rFonts w:cs="Open Sans"/>
          <w:i/>
          <w:sz w:val="20"/>
          <w:szCs w:val="20"/>
        </w:rPr>
        <w:t>Report of the United Nations Special Rapporteur on the promotion and protection of the right to freedom of opinion and expression</w:t>
      </w:r>
      <w:r w:rsidRPr="00CE04D1">
        <w:rPr>
          <w:rFonts w:cs="Open Sans"/>
          <w:sz w:val="20"/>
          <w:szCs w:val="20"/>
        </w:rPr>
        <w:t>, 17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Agenda Item 3, UN Doc A/HRC/29/32 (22 May 2015) 11 [32]. </w:t>
      </w:r>
    </w:p>
  </w:endnote>
  <w:endnote w:id="104">
    <w:p w14:paraId="446E2CFC" w14:textId="5A83788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David Kaye, </w:t>
      </w:r>
      <w:r w:rsidRPr="00CE04D1">
        <w:rPr>
          <w:rFonts w:cs="Open Sans"/>
          <w:i/>
          <w:sz w:val="20"/>
          <w:szCs w:val="20"/>
        </w:rPr>
        <w:t>Report of the United Nations Special Rapporteur on the promotion and protection of the right to freedom of opinion and expression</w:t>
      </w:r>
      <w:r w:rsidRPr="00CE04D1">
        <w:rPr>
          <w:rFonts w:cs="Open Sans"/>
          <w:sz w:val="20"/>
          <w:szCs w:val="20"/>
        </w:rPr>
        <w:t>, 17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3, UN Doc A/HRC/29/32 (22 May 2015)</w:t>
      </w:r>
      <w:r w:rsidRPr="00CE04D1" w:rsidDel="004933B5">
        <w:rPr>
          <w:rFonts w:cs="Open Sans"/>
          <w:sz w:val="20"/>
          <w:szCs w:val="20"/>
        </w:rPr>
        <w:t xml:space="preserve"> </w:t>
      </w:r>
      <w:r w:rsidRPr="00CE04D1">
        <w:rPr>
          <w:rFonts w:cs="Open Sans"/>
          <w:sz w:val="20"/>
          <w:szCs w:val="20"/>
        </w:rPr>
        <w:t>20 [60].</w:t>
      </w:r>
    </w:p>
  </w:endnote>
  <w:endnote w:id="105">
    <w:p w14:paraId="00347DFF" w14:textId="58F2990F"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10.</w:t>
      </w:r>
    </w:p>
  </w:endnote>
  <w:endnote w:id="106">
    <w:p w14:paraId="3491A2FE" w14:textId="0259A79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10.</w:t>
      </w:r>
    </w:p>
  </w:endnote>
  <w:endnote w:id="107">
    <w:p w14:paraId="1BE8FD43" w14:textId="035029A0"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48.</w:t>
      </w:r>
    </w:p>
  </w:endnote>
  <w:endnote w:id="108">
    <w:p w14:paraId="5448C5C3" w14:textId="6FBF0FA5"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sz w:val="20"/>
          <w:szCs w:val="20"/>
          <w:lang w:val="en-US"/>
        </w:rPr>
        <w:t>For example, see the definition of ‘</w:t>
      </w:r>
      <w:r w:rsidRPr="00CE04D1">
        <w:rPr>
          <w:rFonts w:cs="Open Sans"/>
          <w:bCs/>
          <w:iCs/>
          <w:sz w:val="20"/>
          <w:szCs w:val="20"/>
        </w:rPr>
        <w:t xml:space="preserve">technical capability notice’ information in </w:t>
      </w:r>
      <w:r w:rsidRPr="00CE04D1">
        <w:rPr>
          <w:rFonts w:cs="Open Sans"/>
          <w:bCs/>
          <w:i/>
          <w:iCs/>
          <w:sz w:val="20"/>
          <w:szCs w:val="20"/>
        </w:rPr>
        <w:t xml:space="preserve">Telecommunications Act 1997 </w:t>
      </w:r>
      <w:r w:rsidRPr="00CE04D1">
        <w:rPr>
          <w:rFonts w:cs="Open Sans"/>
          <w:bCs/>
          <w:iCs/>
          <w:sz w:val="20"/>
          <w:szCs w:val="20"/>
        </w:rPr>
        <w:t>(Cth) proposed s 317B.</w:t>
      </w:r>
    </w:p>
  </w:endnote>
  <w:endnote w:id="109">
    <w:p w14:paraId="06D79C31" w14:textId="583BCF7A"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44.</w:t>
      </w:r>
    </w:p>
  </w:endnote>
  <w:endnote w:id="110">
    <w:p w14:paraId="188FA8D1" w14:textId="3C8B1AF1"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bCs/>
          <w:i/>
          <w:iCs/>
          <w:sz w:val="20"/>
          <w:szCs w:val="20"/>
        </w:rPr>
        <w:t xml:space="preserve">Telecommunications Act 1997 </w:t>
      </w:r>
      <w:r w:rsidRPr="00CE04D1">
        <w:rPr>
          <w:rFonts w:cs="Open Sans"/>
          <w:bCs/>
          <w:iCs/>
          <w:sz w:val="20"/>
          <w:szCs w:val="20"/>
        </w:rPr>
        <w:t xml:space="preserve">(Cth) proposed </w:t>
      </w:r>
      <w:r w:rsidRPr="00CE04D1">
        <w:rPr>
          <w:rFonts w:cs="Open Sans"/>
          <w:sz w:val="20"/>
          <w:szCs w:val="20"/>
        </w:rPr>
        <w:t xml:space="preserve">s </w:t>
      </w:r>
      <w:proofErr w:type="gramStart"/>
      <w:r w:rsidRPr="00CE04D1">
        <w:rPr>
          <w:rFonts w:cs="Open Sans"/>
          <w:sz w:val="20"/>
          <w:szCs w:val="20"/>
        </w:rPr>
        <w:t>317ZF(</w:t>
      </w:r>
      <w:proofErr w:type="gramEnd"/>
      <w:r w:rsidRPr="00CE04D1">
        <w:rPr>
          <w:rFonts w:cs="Open Sans"/>
          <w:sz w:val="20"/>
          <w:szCs w:val="20"/>
        </w:rPr>
        <w:t>5).</w:t>
      </w:r>
    </w:p>
  </w:endnote>
  <w:endnote w:id="111">
    <w:p w14:paraId="5A4C296C" w14:textId="7B15D559"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bCs/>
          <w:i/>
          <w:iCs/>
          <w:sz w:val="20"/>
          <w:szCs w:val="20"/>
        </w:rPr>
        <w:t xml:space="preserve">Telecommunications Act 1997 </w:t>
      </w:r>
      <w:r w:rsidRPr="00CE04D1">
        <w:rPr>
          <w:rFonts w:cs="Open Sans"/>
          <w:bCs/>
          <w:iCs/>
          <w:sz w:val="20"/>
          <w:szCs w:val="20"/>
        </w:rPr>
        <w:t>(Cth) proposed</w:t>
      </w:r>
      <w:r w:rsidRPr="00CE04D1">
        <w:rPr>
          <w:rFonts w:cs="Open Sans"/>
          <w:sz w:val="20"/>
          <w:szCs w:val="20"/>
        </w:rPr>
        <w:t xml:space="preserve"> ss </w:t>
      </w:r>
      <w:proofErr w:type="gramStart"/>
      <w:r w:rsidRPr="00CE04D1">
        <w:rPr>
          <w:rFonts w:cs="Open Sans"/>
          <w:sz w:val="20"/>
          <w:szCs w:val="20"/>
        </w:rPr>
        <w:t>317ZF(</w:t>
      </w:r>
      <w:proofErr w:type="gramEnd"/>
      <w:r w:rsidRPr="00CE04D1">
        <w:rPr>
          <w:rFonts w:cs="Open Sans"/>
          <w:sz w:val="20"/>
          <w:szCs w:val="20"/>
        </w:rPr>
        <w:t>6)–(11); Explanatory Document, Telecommunications and Other Legislation Amendment (Assistance and Access) Draft Exposure Bill 2018 (Cth) 45.</w:t>
      </w:r>
    </w:p>
  </w:endnote>
  <w:endnote w:id="112">
    <w:p w14:paraId="36DE09B9" w14:textId="23DE7F49"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Explanatory Document, Telecommunications and Other Legislation Amendment (Assistance and Access) Draft Exposure Bill 2018 (Cth) s</w:t>
      </w:r>
      <w:r w:rsidRPr="00CE04D1">
        <w:rPr>
          <w:rFonts w:cs="Open Sans"/>
          <w:sz w:val="20"/>
          <w:szCs w:val="20"/>
          <w:lang w:val="en-US"/>
        </w:rPr>
        <w:t xml:space="preserve"> </w:t>
      </w:r>
      <w:proofErr w:type="gramStart"/>
      <w:r w:rsidRPr="00CE04D1">
        <w:rPr>
          <w:rFonts w:cs="Open Sans"/>
          <w:sz w:val="20"/>
          <w:szCs w:val="20"/>
          <w:lang w:val="en-US"/>
        </w:rPr>
        <w:t>317ZF(</w:t>
      </w:r>
      <w:proofErr w:type="gramEnd"/>
      <w:r w:rsidRPr="00CE04D1">
        <w:rPr>
          <w:rFonts w:cs="Open Sans"/>
          <w:sz w:val="20"/>
          <w:szCs w:val="20"/>
          <w:lang w:val="en-US"/>
        </w:rPr>
        <w:t>13).</w:t>
      </w:r>
    </w:p>
  </w:endnote>
  <w:endnote w:id="113">
    <w:p w14:paraId="7F27D0D9" w14:textId="08E1B50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General Comment No 34: Article 19, Freedoms of opinion and expression</w:t>
      </w:r>
      <w:r w:rsidRPr="00CE04D1">
        <w:rPr>
          <w:rFonts w:cs="Open Sans"/>
          <w:sz w:val="20"/>
          <w:szCs w:val="20"/>
        </w:rPr>
        <w:t>, 102</w:t>
      </w:r>
      <w:r w:rsidRPr="00CE04D1">
        <w:rPr>
          <w:rFonts w:cs="Open Sans"/>
          <w:sz w:val="20"/>
          <w:szCs w:val="20"/>
          <w:vertAlign w:val="superscript"/>
        </w:rPr>
        <w:t>nd</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UN Doc CCPR/C/GC/34 (12 September 2011) 7 [30]. </w:t>
      </w:r>
    </w:p>
  </w:endnote>
  <w:endnote w:id="114">
    <w:p w14:paraId="671EF88A" w14:textId="6C61E2C5"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sz w:val="20"/>
          <w:szCs w:val="20"/>
          <w:lang w:val="en-US"/>
        </w:rPr>
        <w:t xml:space="preserve">Australian Law Reform Commission, </w:t>
      </w:r>
      <w:r w:rsidRPr="00CE04D1">
        <w:rPr>
          <w:rFonts w:cs="Open Sans"/>
          <w:i/>
          <w:sz w:val="20"/>
          <w:szCs w:val="20"/>
          <w:lang w:val="en-US"/>
        </w:rPr>
        <w:t>Secrecy Laws and Open Government in Australia</w:t>
      </w:r>
      <w:r w:rsidRPr="00CE04D1">
        <w:rPr>
          <w:rFonts w:cs="Open Sans"/>
          <w:sz w:val="20"/>
          <w:szCs w:val="20"/>
          <w:lang w:val="en-US"/>
        </w:rPr>
        <w:t>, Report No 112 (2009) 21.</w:t>
      </w:r>
    </w:p>
  </w:endnote>
  <w:endnote w:id="115">
    <w:p w14:paraId="42AEC0F8" w14:textId="3293A19F"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sz w:val="20"/>
          <w:szCs w:val="20"/>
          <w:lang w:val="en-US"/>
        </w:rPr>
        <w:t xml:space="preserve">Australian Law Reform Commission, </w:t>
      </w:r>
      <w:r w:rsidRPr="00CE04D1">
        <w:rPr>
          <w:rFonts w:cs="Open Sans"/>
          <w:i/>
          <w:sz w:val="20"/>
          <w:szCs w:val="20"/>
          <w:lang w:val="en-US"/>
        </w:rPr>
        <w:t>Secrecy Laws and Open Government in Australia</w:t>
      </w:r>
      <w:r w:rsidRPr="00CE04D1">
        <w:rPr>
          <w:rFonts w:cs="Open Sans"/>
          <w:sz w:val="20"/>
          <w:szCs w:val="20"/>
          <w:lang w:val="en-US"/>
        </w:rPr>
        <w:t>, Report No 112 (2009) 138.</w:t>
      </w:r>
    </w:p>
  </w:endnote>
  <w:endnote w:id="116">
    <w:p w14:paraId="35842273" w14:textId="0A735482"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bCs/>
          <w:i/>
          <w:iCs/>
          <w:sz w:val="20"/>
          <w:szCs w:val="20"/>
        </w:rPr>
        <w:t xml:space="preserve">Telecommunications Act 1997 </w:t>
      </w:r>
      <w:r w:rsidRPr="00CE04D1">
        <w:rPr>
          <w:rFonts w:cs="Open Sans"/>
          <w:bCs/>
          <w:iCs/>
          <w:sz w:val="20"/>
          <w:szCs w:val="20"/>
        </w:rPr>
        <w:t xml:space="preserve">(Cth) proposed </w:t>
      </w:r>
      <w:r w:rsidRPr="00CE04D1">
        <w:rPr>
          <w:rFonts w:cs="Open Sans"/>
          <w:sz w:val="20"/>
          <w:szCs w:val="20"/>
          <w:lang w:val="en-US"/>
        </w:rPr>
        <w:t>s 317K.</w:t>
      </w:r>
    </w:p>
  </w:endnote>
  <w:endnote w:id="117">
    <w:p w14:paraId="292A54F2" w14:textId="5AD2952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proofErr w:type="spellStart"/>
      <w:proofErr w:type="gramStart"/>
      <w:r w:rsidRPr="00CE04D1">
        <w:rPr>
          <w:rFonts w:cs="Open Sans"/>
          <w:sz w:val="20"/>
          <w:szCs w:val="20"/>
        </w:rPr>
        <w:t>Navi</w:t>
      </w:r>
      <w:proofErr w:type="spellEnd"/>
      <w:r w:rsidRPr="00CE04D1">
        <w:rPr>
          <w:rFonts w:cs="Open Sans"/>
          <w:sz w:val="20"/>
          <w:szCs w:val="20"/>
        </w:rPr>
        <w:t xml:space="preserve"> Pillay, UN High Commissioner for Human Rights, speaking at the launch of the Office of the UN High Commissioner for Human Rights publication </w:t>
      </w:r>
      <w:r w:rsidRPr="00CE04D1">
        <w:rPr>
          <w:rFonts w:cs="Open Sans"/>
          <w:i/>
          <w:sz w:val="20"/>
          <w:szCs w:val="20"/>
        </w:rPr>
        <w:t>The right to privacy in the digital age</w:t>
      </w:r>
      <w:r w:rsidRPr="00CE04D1">
        <w:rPr>
          <w:rFonts w:cs="Open Sans"/>
          <w:sz w:val="20"/>
          <w:szCs w:val="20"/>
        </w:rPr>
        <w:t xml:space="preserve">, quoted in Michael Vincent, ‘Edward Snowden “owed a great deal” and deserves protection from prosecution: UN human rights chief’, </w:t>
      </w:r>
      <w:r w:rsidRPr="00CE04D1">
        <w:rPr>
          <w:rFonts w:cs="Open Sans"/>
          <w:i/>
          <w:sz w:val="20"/>
          <w:szCs w:val="20"/>
        </w:rPr>
        <w:t xml:space="preserve">ABC News </w:t>
      </w:r>
      <w:r w:rsidRPr="00CE04D1">
        <w:rPr>
          <w:rFonts w:cs="Open Sans"/>
          <w:sz w:val="20"/>
          <w:szCs w:val="20"/>
        </w:rPr>
        <w:t>(online), 17 July 2014 &lt;</w:t>
      </w:r>
      <w:hyperlink r:id="rId4" w:history="1">
        <w:r w:rsidRPr="00CE04D1">
          <w:rPr>
            <w:rStyle w:val="Hyperlink"/>
            <w:rFonts w:cs="Open Sans"/>
            <w:color w:val="auto"/>
            <w:sz w:val="20"/>
            <w:szCs w:val="20"/>
            <w:u w:val="none"/>
          </w:rPr>
          <w:t>http://www.abc.net.au/news/2014-07-17/snowden-deserves-protection-from-prosecution3a-un-rights-chief/5603236</w:t>
        </w:r>
      </w:hyperlink>
      <w:r w:rsidRPr="00CE04D1">
        <w:rPr>
          <w:rFonts w:cs="Open Sans"/>
          <w:sz w:val="20"/>
          <w:szCs w:val="20"/>
        </w:rPr>
        <w:t>&gt;.</w:t>
      </w:r>
      <w:proofErr w:type="gramEnd"/>
      <w:r w:rsidRPr="00CE04D1">
        <w:rPr>
          <w:rFonts w:cs="Open Sans"/>
          <w:sz w:val="20"/>
          <w:szCs w:val="20"/>
        </w:rPr>
        <w:t xml:space="preserve"> </w:t>
      </w:r>
    </w:p>
  </w:endnote>
  <w:endnote w:id="118">
    <w:p w14:paraId="56FADA5E" w14:textId="2FDA362D"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sz w:val="20"/>
          <w:szCs w:val="20"/>
          <w:lang w:val="en-US"/>
        </w:rPr>
        <w:t xml:space="preserve">Australian Law Reform Commission, </w:t>
      </w:r>
      <w:r w:rsidRPr="00CE04D1">
        <w:rPr>
          <w:rFonts w:cs="Open Sans"/>
          <w:i/>
          <w:sz w:val="20"/>
          <w:szCs w:val="20"/>
          <w:lang w:val="en-US"/>
        </w:rPr>
        <w:t>Secrecy Laws and Open Government in Australia</w:t>
      </w:r>
      <w:r w:rsidRPr="00CE04D1">
        <w:rPr>
          <w:rFonts w:cs="Open Sans"/>
          <w:sz w:val="20"/>
          <w:szCs w:val="20"/>
          <w:lang w:val="en-US"/>
        </w:rPr>
        <w:t>, Report No 112 (2009) 100.</w:t>
      </w:r>
    </w:p>
  </w:endnote>
  <w:endnote w:id="119">
    <w:p w14:paraId="5809801C" w14:textId="4F203068"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11.</w:t>
      </w:r>
    </w:p>
  </w:endnote>
  <w:endnote w:id="120">
    <w:p w14:paraId="7F8494D9" w14:textId="680A8F0A"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w:t>
      </w:r>
      <w:r w:rsidRPr="00CE04D1">
        <w:rPr>
          <w:rFonts w:cs="Open Sans"/>
          <w:sz w:val="20"/>
          <w:szCs w:val="20"/>
          <w:lang w:val="en-US"/>
        </w:rPr>
        <w:t>11.</w:t>
      </w:r>
    </w:p>
  </w:endnote>
  <w:endnote w:id="121">
    <w:p w14:paraId="1C4F5181" w14:textId="2F1A82E1"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Administrative Decisions (Judicial Review) Act 1977 </w:t>
      </w:r>
      <w:r w:rsidRPr="00CE04D1">
        <w:rPr>
          <w:rFonts w:cs="Open Sans"/>
          <w:sz w:val="20"/>
          <w:szCs w:val="20"/>
        </w:rPr>
        <w:t>(Cth) proposed para (</w:t>
      </w:r>
      <w:proofErr w:type="spellStart"/>
      <w:r w:rsidRPr="00CE04D1">
        <w:rPr>
          <w:rFonts w:cs="Open Sans"/>
          <w:sz w:val="20"/>
          <w:szCs w:val="20"/>
        </w:rPr>
        <w:t>daaaa</w:t>
      </w:r>
      <w:proofErr w:type="spellEnd"/>
      <w:r w:rsidRPr="00CE04D1">
        <w:rPr>
          <w:rFonts w:cs="Open Sans"/>
          <w:sz w:val="20"/>
          <w:szCs w:val="20"/>
        </w:rPr>
        <w:t xml:space="preserve">) of </w:t>
      </w:r>
      <w:proofErr w:type="spellStart"/>
      <w:r w:rsidRPr="00CE04D1">
        <w:rPr>
          <w:rFonts w:cs="Open Sans"/>
          <w:sz w:val="20"/>
          <w:szCs w:val="20"/>
        </w:rPr>
        <w:t>Sch</w:t>
      </w:r>
      <w:proofErr w:type="spellEnd"/>
      <w:r w:rsidRPr="00CE04D1">
        <w:rPr>
          <w:rFonts w:cs="Open Sans"/>
          <w:sz w:val="20"/>
          <w:szCs w:val="20"/>
        </w:rPr>
        <w:t xml:space="preserve"> 1</w:t>
      </w:r>
      <w:r w:rsidRPr="00CE04D1">
        <w:rPr>
          <w:rFonts w:cs="Open Sans"/>
          <w:sz w:val="20"/>
          <w:szCs w:val="20"/>
          <w:lang w:val="en-US"/>
        </w:rPr>
        <w:t>.</w:t>
      </w:r>
    </w:p>
  </w:endnote>
  <w:endnote w:id="122">
    <w:p w14:paraId="29F68154" w14:textId="6E98CBB2"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bCs/>
          <w:i/>
          <w:iCs/>
          <w:sz w:val="20"/>
          <w:szCs w:val="20"/>
        </w:rPr>
        <w:t xml:space="preserve">Telecommunications Act 1997 </w:t>
      </w:r>
      <w:r w:rsidRPr="00CE04D1">
        <w:rPr>
          <w:rFonts w:cs="Open Sans"/>
          <w:bCs/>
          <w:iCs/>
          <w:sz w:val="20"/>
          <w:szCs w:val="20"/>
        </w:rPr>
        <w:t>(Cth) proposed</w:t>
      </w:r>
      <w:r w:rsidRPr="00CE04D1">
        <w:rPr>
          <w:rFonts w:cs="Open Sans"/>
          <w:sz w:val="20"/>
          <w:szCs w:val="20"/>
        </w:rPr>
        <w:t xml:space="preserve"> ss 317W, 317Y.</w:t>
      </w:r>
    </w:p>
  </w:endnote>
  <w:endnote w:id="123">
    <w:p w14:paraId="70CC4795" w14:textId="5583440D"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Investigatory Powers Act 2016 </w:t>
      </w:r>
      <w:r w:rsidRPr="00CE04D1">
        <w:rPr>
          <w:rFonts w:cs="Open Sans"/>
          <w:sz w:val="20"/>
          <w:szCs w:val="20"/>
        </w:rPr>
        <w:t xml:space="preserve">(UK) c 25, s </w:t>
      </w:r>
      <w:r w:rsidRPr="00CE04D1">
        <w:rPr>
          <w:rFonts w:cs="Open Sans"/>
          <w:sz w:val="20"/>
          <w:szCs w:val="20"/>
          <w:lang w:val="en-US"/>
        </w:rPr>
        <w:t>254.</w:t>
      </w:r>
    </w:p>
  </w:endnote>
  <w:endnote w:id="124">
    <w:p w14:paraId="67E317B0" w14:textId="55E0C984"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Investigatory Powers Act 2016 </w:t>
      </w:r>
      <w:r w:rsidRPr="00CE04D1">
        <w:rPr>
          <w:rFonts w:cs="Open Sans"/>
          <w:sz w:val="20"/>
          <w:szCs w:val="20"/>
        </w:rPr>
        <w:t xml:space="preserve">(UK) c 25, s </w:t>
      </w:r>
      <w:r w:rsidRPr="00CE04D1">
        <w:rPr>
          <w:rFonts w:cs="Open Sans"/>
          <w:sz w:val="20"/>
          <w:szCs w:val="20"/>
          <w:lang w:val="en-US"/>
        </w:rPr>
        <w:t>254.</w:t>
      </w:r>
    </w:p>
  </w:endnote>
  <w:endnote w:id="125">
    <w:p w14:paraId="0E109ED2" w14:textId="232A11D2"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Investigatory Powers Act 2016 </w:t>
      </w:r>
      <w:r w:rsidRPr="00CE04D1">
        <w:rPr>
          <w:rFonts w:cs="Open Sans"/>
          <w:sz w:val="20"/>
          <w:szCs w:val="20"/>
        </w:rPr>
        <w:t xml:space="preserve">(UK) c 25, s </w:t>
      </w:r>
      <w:r w:rsidRPr="00CE04D1">
        <w:rPr>
          <w:rFonts w:cs="Open Sans"/>
          <w:sz w:val="20"/>
          <w:szCs w:val="20"/>
          <w:lang w:val="en-US"/>
        </w:rPr>
        <w:t>257.</w:t>
      </w:r>
    </w:p>
  </w:endnote>
  <w:endnote w:id="126">
    <w:p w14:paraId="2EA996A3" w14:textId="319B9B02"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Martin </w:t>
      </w:r>
      <w:proofErr w:type="spellStart"/>
      <w:r w:rsidRPr="00CE04D1">
        <w:rPr>
          <w:rFonts w:cs="Open Sans"/>
          <w:sz w:val="20"/>
          <w:szCs w:val="20"/>
        </w:rPr>
        <w:t>Scheinin</w:t>
      </w:r>
      <w:proofErr w:type="spellEnd"/>
      <w:r w:rsidRPr="00CE04D1">
        <w:rPr>
          <w:rFonts w:cs="Open Sans"/>
          <w:sz w:val="20"/>
          <w:szCs w:val="20"/>
        </w:rPr>
        <w:t xml:space="preserve">, </w:t>
      </w:r>
      <w:r w:rsidRPr="00CE04D1">
        <w:rPr>
          <w:rFonts w:cs="Open Sans"/>
          <w:i/>
          <w:sz w:val="20"/>
          <w:szCs w:val="20"/>
        </w:rPr>
        <w:t>Report of the United Nations Special Rapporteur on the promotion and protection of human rights and fundamental freedoms while countering terrorism</w:t>
      </w:r>
      <w:r w:rsidRPr="00CE04D1">
        <w:rPr>
          <w:rFonts w:cs="Open Sans"/>
          <w:sz w:val="20"/>
          <w:szCs w:val="20"/>
        </w:rPr>
        <w:t>, 13</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3, UN Doc A/HRC/13/37 (28 December 2009) 19.</w:t>
      </w:r>
    </w:p>
  </w:endnote>
  <w:endnote w:id="127">
    <w:p w14:paraId="3B04B578" w14:textId="70D986C9"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Martin </w:t>
      </w:r>
      <w:proofErr w:type="spellStart"/>
      <w:r w:rsidRPr="00CE04D1">
        <w:rPr>
          <w:rFonts w:cs="Open Sans"/>
          <w:sz w:val="20"/>
          <w:szCs w:val="20"/>
        </w:rPr>
        <w:t>Scheinin</w:t>
      </w:r>
      <w:proofErr w:type="spellEnd"/>
      <w:r w:rsidRPr="00CE04D1">
        <w:rPr>
          <w:rFonts w:cs="Open Sans"/>
          <w:sz w:val="20"/>
          <w:szCs w:val="20"/>
        </w:rPr>
        <w:t xml:space="preserve">, </w:t>
      </w:r>
      <w:r w:rsidRPr="00CE04D1">
        <w:rPr>
          <w:rFonts w:cs="Open Sans"/>
          <w:i/>
          <w:sz w:val="20"/>
          <w:szCs w:val="20"/>
        </w:rPr>
        <w:t>Report of the United Nations Special Rapporteur on the promotion and protection of human rights and fundamental freedoms while countering terrorism</w:t>
      </w:r>
      <w:r w:rsidRPr="00CE04D1">
        <w:rPr>
          <w:rFonts w:cs="Open Sans"/>
          <w:sz w:val="20"/>
          <w:szCs w:val="20"/>
        </w:rPr>
        <w:t>, 13</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xml:space="preserve">, Agenda Item 3, UN Doc A/HRC/13/37 (28 December 2009) </w:t>
      </w:r>
      <w:r w:rsidRPr="00CE04D1">
        <w:rPr>
          <w:rFonts w:cs="Open Sans"/>
          <w:sz w:val="20"/>
          <w:szCs w:val="20"/>
          <w:lang w:val="en-US"/>
        </w:rPr>
        <w:t>21.</w:t>
      </w:r>
    </w:p>
  </w:endnote>
  <w:endnote w:id="128">
    <w:p w14:paraId="79D104F1" w14:textId="6882B70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Office of the United Nations High Commissioner for Human Rights, </w:t>
      </w:r>
      <w:r w:rsidRPr="00425059">
        <w:rPr>
          <w:rFonts w:cs="Open Sans"/>
          <w:i/>
          <w:sz w:val="20"/>
          <w:szCs w:val="20"/>
        </w:rPr>
        <w:t>The Right to Privacy in the Digital Age</w:t>
      </w:r>
      <w:r>
        <w:rPr>
          <w:rFonts w:cs="Open Sans"/>
          <w:sz w:val="20"/>
          <w:szCs w:val="20"/>
        </w:rPr>
        <w:t xml:space="preserve">, </w:t>
      </w:r>
      <w:r w:rsidRPr="00CE04D1">
        <w:rPr>
          <w:rFonts w:cs="Open Sans"/>
          <w:sz w:val="20"/>
          <w:szCs w:val="20"/>
        </w:rPr>
        <w:t>27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Items 2 and 3, UN Doc A/HRC/27/37 (</w:t>
      </w:r>
      <w:r>
        <w:rPr>
          <w:rFonts w:cs="Open Sans"/>
          <w:sz w:val="20"/>
          <w:szCs w:val="20"/>
        </w:rPr>
        <w:t xml:space="preserve">30 June </w:t>
      </w:r>
      <w:r w:rsidRPr="00CE04D1">
        <w:rPr>
          <w:rFonts w:cs="Open Sans"/>
          <w:sz w:val="20"/>
          <w:szCs w:val="20"/>
        </w:rPr>
        <w:t xml:space="preserve">2014), 12–13 [37]–[38]. </w:t>
      </w:r>
    </w:p>
  </w:endnote>
  <w:endnote w:id="129">
    <w:p w14:paraId="00A22A7A" w14:textId="59BF111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Administrative Review Council, </w:t>
      </w:r>
      <w:r w:rsidRPr="00CE04D1">
        <w:rPr>
          <w:rFonts w:cs="Open Sans"/>
          <w:i/>
          <w:sz w:val="20"/>
          <w:szCs w:val="20"/>
        </w:rPr>
        <w:t xml:space="preserve">Federal Judicial Review </w:t>
      </w:r>
      <w:r>
        <w:rPr>
          <w:rFonts w:cs="Open Sans"/>
          <w:i/>
          <w:sz w:val="20"/>
          <w:szCs w:val="20"/>
        </w:rPr>
        <w:t>i</w:t>
      </w:r>
      <w:r w:rsidRPr="00CE04D1">
        <w:rPr>
          <w:rFonts w:cs="Open Sans"/>
          <w:i/>
          <w:sz w:val="20"/>
          <w:szCs w:val="20"/>
        </w:rPr>
        <w:t>n Australia</w:t>
      </w:r>
      <w:r w:rsidRPr="00CE04D1">
        <w:rPr>
          <w:rFonts w:cs="Open Sans"/>
          <w:sz w:val="20"/>
          <w:szCs w:val="20"/>
        </w:rPr>
        <w:t>, Report No 50</w:t>
      </w:r>
      <w:r w:rsidRPr="00CE04D1">
        <w:rPr>
          <w:rFonts w:cs="Open Sans"/>
          <w:i/>
          <w:sz w:val="20"/>
          <w:szCs w:val="20"/>
        </w:rPr>
        <w:t xml:space="preserve"> </w:t>
      </w:r>
      <w:r w:rsidRPr="00CE04D1">
        <w:rPr>
          <w:rFonts w:cs="Open Sans"/>
          <w:sz w:val="20"/>
          <w:szCs w:val="20"/>
        </w:rPr>
        <w:t>(September 2012)</w:t>
      </w:r>
      <w:r w:rsidRPr="00CE04D1">
        <w:rPr>
          <w:rFonts w:cs="Open Sans"/>
          <w:i/>
          <w:sz w:val="20"/>
          <w:szCs w:val="20"/>
        </w:rPr>
        <w:t xml:space="preserve"> </w:t>
      </w:r>
      <w:r w:rsidRPr="00CE04D1">
        <w:rPr>
          <w:rFonts w:cs="Open Sans"/>
          <w:sz w:val="20"/>
          <w:szCs w:val="20"/>
        </w:rPr>
        <w:t>72–73 [4.4].</w:t>
      </w:r>
    </w:p>
  </w:endnote>
  <w:endnote w:id="130">
    <w:p w14:paraId="3EB296A8" w14:textId="117F9D97"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Australian Law Reform Commission, </w:t>
      </w:r>
      <w:r w:rsidRPr="00CE04D1">
        <w:rPr>
          <w:rFonts w:cs="Open Sans"/>
          <w:i/>
          <w:sz w:val="20"/>
          <w:szCs w:val="20"/>
        </w:rPr>
        <w:t>Traditional Rights and Freedoms—Encroachments by Commonwealth Laws: Immunity from Civil Liability</w:t>
      </w:r>
      <w:r w:rsidRPr="00CE04D1">
        <w:rPr>
          <w:rFonts w:cs="Open Sans"/>
          <w:sz w:val="20"/>
          <w:szCs w:val="20"/>
        </w:rPr>
        <w:t xml:space="preserve">, Report No 129 (2016) </w:t>
      </w:r>
      <w:r w:rsidRPr="00CE04D1">
        <w:rPr>
          <w:rFonts w:cs="Open Sans"/>
          <w:sz w:val="20"/>
          <w:szCs w:val="20"/>
          <w:lang w:val="en-US"/>
        </w:rPr>
        <w:t xml:space="preserve">429. </w:t>
      </w:r>
    </w:p>
  </w:endnote>
  <w:endnote w:id="131">
    <w:p w14:paraId="644A919B" w14:textId="76DC5E5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Australian Law Reform Commission, </w:t>
      </w:r>
      <w:r w:rsidRPr="00CE04D1">
        <w:rPr>
          <w:rFonts w:cs="Open Sans"/>
          <w:i/>
          <w:sz w:val="20"/>
          <w:szCs w:val="20"/>
        </w:rPr>
        <w:t>Traditional Rights and Freedoms—Encroachments by Commonwealth Laws: Immunity from Civil Liability</w:t>
      </w:r>
      <w:r w:rsidRPr="00CE04D1">
        <w:rPr>
          <w:rFonts w:cs="Open Sans"/>
          <w:sz w:val="20"/>
          <w:szCs w:val="20"/>
        </w:rPr>
        <w:t xml:space="preserve">, Report No 129 (2016) 432, citing Law Council of Australia, Submission No 75 to the Australian Law Reform Commission, </w:t>
      </w:r>
      <w:r w:rsidRPr="00CE04D1">
        <w:rPr>
          <w:rFonts w:cs="Open Sans"/>
          <w:i/>
          <w:sz w:val="20"/>
          <w:szCs w:val="20"/>
        </w:rPr>
        <w:t>Review of Commonwealth Laws for Consistency with Traditional Rights, Freedoms and Privileges</w:t>
      </w:r>
      <w:r w:rsidRPr="00CE04D1">
        <w:rPr>
          <w:rFonts w:cs="Open Sans"/>
          <w:sz w:val="20"/>
          <w:szCs w:val="20"/>
        </w:rPr>
        <w:t>, 19 May 2014.</w:t>
      </w:r>
    </w:p>
  </w:endnote>
  <w:endnote w:id="132">
    <w:p w14:paraId="1BC0DAB3" w14:textId="255C59CF"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Australian Law Reform Commission, </w:t>
      </w:r>
      <w:r w:rsidRPr="00CE04D1">
        <w:rPr>
          <w:rFonts w:cs="Open Sans"/>
          <w:i/>
          <w:sz w:val="20"/>
          <w:szCs w:val="20"/>
        </w:rPr>
        <w:t>Traditional Rights and Freedoms—Encroachments by Commonwealth Laws: Immunity from Civil Liability</w:t>
      </w:r>
      <w:r w:rsidRPr="00CE04D1">
        <w:rPr>
          <w:rFonts w:cs="Open Sans"/>
          <w:sz w:val="20"/>
          <w:szCs w:val="20"/>
        </w:rPr>
        <w:t xml:space="preserve">, Report No 129 (2016) 431, citing Nicholas Seddon, </w:t>
      </w:r>
      <w:r w:rsidRPr="00CE04D1">
        <w:rPr>
          <w:rFonts w:cs="Open Sans"/>
          <w:i/>
          <w:sz w:val="20"/>
          <w:szCs w:val="20"/>
        </w:rPr>
        <w:t xml:space="preserve">Government Contracts: Federal, State and Local </w:t>
      </w:r>
      <w:r w:rsidRPr="00CE04D1">
        <w:rPr>
          <w:rFonts w:cs="Open Sans"/>
          <w:sz w:val="20"/>
          <w:szCs w:val="20"/>
        </w:rPr>
        <w:t>(Federation Press, 4</w:t>
      </w:r>
      <w:r w:rsidRPr="00CE04D1">
        <w:rPr>
          <w:rFonts w:cs="Open Sans"/>
          <w:sz w:val="20"/>
          <w:szCs w:val="20"/>
          <w:vertAlign w:val="superscript"/>
        </w:rPr>
        <w:t>th</w:t>
      </w:r>
      <w:r w:rsidRPr="00CE04D1">
        <w:rPr>
          <w:rFonts w:cs="Open Sans"/>
          <w:sz w:val="20"/>
          <w:szCs w:val="20"/>
        </w:rPr>
        <w:t xml:space="preserve"> </w:t>
      </w:r>
      <w:proofErr w:type="spellStart"/>
      <w:proofErr w:type="gramStart"/>
      <w:r w:rsidRPr="00CE04D1">
        <w:rPr>
          <w:rFonts w:cs="Open Sans"/>
          <w:sz w:val="20"/>
          <w:szCs w:val="20"/>
        </w:rPr>
        <w:t>ed</w:t>
      </w:r>
      <w:proofErr w:type="spellEnd"/>
      <w:proofErr w:type="gramEnd"/>
      <w:r w:rsidRPr="00CE04D1">
        <w:rPr>
          <w:rFonts w:cs="Open Sans"/>
          <w:sz w:val="20"/>
          <w:szCs w:val="20"/>
        </w:rPr>
        <w:t>, 2009) 176.</w:t>
      </w:r>
    </w:p>
  </w:endnote>
  <w:endnote w:id="133">
    <w:p w14:paraId="15AD609A" w14:textId="20070386" w:rsidR="00F86B32" w:rsidRPr="00CE04D1" w:rsidRDefault="00F86B32" w:rsidP="005C273F">
      <w:pPr>
        <w:keepNext/>
        <w:keepLines/>
        <w:ind w:left="511" w:right="57" w:hanging="454"/>
        <w:contextualSpacing/>
        <w:rPr>
          <w:rFonts w:eastAsia="Calibri" w:cs="Open Sans"/>
          <w:sz w:val="20"/>
          <w:szCs w:val="20"/>
          <w:lang w:eastAsia="en-US"/>
        </w:rPr>
      </w:pPr>
      <w:r w:rsidRPr="00CE04D1">
        <w:rPr>
          <w:rStyle w:val="EndnoteReference"/>
          <w:sz w:val="20"/>
          <w:szCs w:val="20"/>
        </w:rPr>
        <w:endnoteRef/>
      </w:r>
      <w:r w:rsidRPr="00CE04D1">
        <w:rPr>
          <w:rFonts w:cs="Open Sans"/>
          <w:sz w:val="20"/>
          <w:szCs w:val="20"/>
        </w:rPr>
        <w:tab/>
      </w:r>
      <w:r w:rsidRPr="00CE04D1">
        <w:rPr>
          <w:rFonts w:eastAsia="Calibri" w:cs="Open Sans"/>
          <w:i/>
          <w:iCs/>
          <w:sz w:val="20"/>
          <w:szCs w:val="20"/>
          <w:lang w:eastAsia="en-US"/>
        </w:rPr>
        <w:t>Coco v The Queen</w:t>
      </w:r>
      <w:r w:rsidRPr="00CE04D1">
        <w:rPr>
          <w:rFonts w:eastAsia="Calibri" w:cs="Open Sans"/>
          <w:sz w:val="20"/>
          <w:szCs w:val="20"/>
          <w:lang w:eastAsia="en-US"/>
        </w:rPr>
        <w:t xml:space="preserve"> (1994) 179 CLR 427, 436 (Mason CJ, Brennan, </w:t>
      </w:r>
      <w:proofErr w:type="spellStart"/>
      <w:r w:rsidRPr="00CE04D1">
        <w:rPr>
          <w:rFonts w:eastAsia="Calibri" w:cs="Open Sans"/>
          <w:sz w:val="20"/>
          <w:szCs w:val="20"/>
          <w:lang w:eastAsia="en-US"/>
        </w:rPr>
        <w:t>Gaudron</w:t>
      </w:r>
      <w:proofErr w:type="spellEnd"/>
      <w:r w:rsidRPr="00CE04D1">
        <w:rPr>
          <w:rFonts w:eastAsia="Calibri" w:cs="Open Sans"/>
          <w:sz w:val="20"/>
          <w:szCs w:val="20"/>
          <w:lang w:eastAsia="en-US"/>
        </w:rPr>
        <w:t xml:space="preserve"> and McHugh JJ).</w:t>
      </w:r>
    </w:p>
  </w:endnote>
  <w:endnote w:id="134">
    <w:p w14:paraId="5092D460" w14:textId="0F24A788" w:rsidR="00F86B32" w:rsidRPr="00CE04D1" w:rsidRDefault="00F86B32" w:rsidP="005C273F">
      <w:pPr>
        <w:pStyle w:val="EndnoteText"/>
        <w:keepNext/>
        <w:keepLines/>
        <w:spacing w:before="0" w:after="0"/>
        <w:ind w:left="511" w:right="57" w:hanging="454"/>
        <w:contextualSpacing/>
        <w:rPr>
          <w:rFonts w:cs="Open Sans"/>
          <w:sz w:val="20"/>
          <w:szCs w:val="20"/>
          <w:lang w:val="en-US"/>
        </w:rPr>
      </w:pPr>
      <w:r w:rsidRPr="00CE04D1">
        <w:rPr>
          <w:rStyle w:val="EndnoteReference"/>
          <w:sz w:val="20"/>
          <w:szCs w:val="20"/>
        </w:rPr>
        <w:endnoteRef/>
      </w:r>
      <w:r w:rsidRPr="00CE04D1">
        <w:rPr>
          <w:rFonts w:cs="Open Sans"/>
          <w:sz w:val="20"/>
          <w:szCs w:val="20"/>
        </w:rPr>
        <w:tab/>
        <w:t xml:space="preserve">Australian Law Reform Commission, </w:t>
      </w:r>
      <w:r w:rsidRPr="00CE04D1">
        <w:rPr>
          <w:rFonts w:cs="Open Sans"/>
          <w:i/>
          <w:sz w:val="20"/>
          <w:szCs w:val="20"/>
        </w:rPr>
        <w:t>Traditional Rights and Freedoms—Encroachments by Commonwealth Laws: Immunity from Civil Liability</w:t>
      </w:r>
      <w:r w:rsidRPr="00CE04D1">
        <w:rPr>
          <w:rFonts w:cs="Open Sans"/>
          <w:sz w:val="20"/>
          <w:szCs w:val="20"/>
        </w:rPr>
        <w:t xml:space="preserve">, Report No 129 (2016) </w:t>
      </w:r>
      <w:r w:rsidRPr="00CE04D1">
        <w:rPr>
          <w:rFonts w:cs="Open Sans"/>
          <w:sz w:val="20"/>
          <w:szCs w:val="20"/>
          <w:lang w:val="en-US"/>
        </w:rPr>
        <w:t>438.</w:t>
      </w:r>
    </w:p>
  </w:endnote>
  <w:endnote w:id="135">
    <w:p w14:paraId="706419E5" w14:textId="6E27F790"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13–14. </w:t>
      </w:r>
    </w:p>
  </w:endnote>
  <w:endnote w:id="136">
    <w:p w14:paraId="4B42541C" w14:textId="5876EBA9"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Surveillance Devices Act 2004</w:t>
      </w:r>
      <w:r w:rsidRPr="00CE04D1">
        <w:rPr>
          <w:rFonts w:cs="Open Sans"/>
          <w:sz w:val="20"/>
          <w:szCs w:val="20"/>
        </w:rPr>
        <w:t xml:space="preserve"> (Cth) proposed s </w:t>
      </w:r>
      <w:proofErr w:type="gramStart"/>
      <w:r w:rsidRPr="00CE04D1">
        <w:rPr>
          <w:rFonts w:cs="Open Sans"/>
          <w:sz w:val="20"/>
          <w:szCs w:val="20"/>
        </w:rPr>
        <w:t>27A(</w:t>
      </w:r>
      <w:proofErr w:type="gramEnd"/>
      <w:r w:rsidRPr="00CE04D1">
        <w:rPr>
          <w:rFonts w:cs="Open Sans"/>
          <w:sz w:val="20"/>
          <w:szCs w:val="20"/>
        </w:rPr>
        <w:t xml:space="preserve">1). </w:t>
      </w:r>
    </w:p>
  </w:endnote>
  <w:endnote w:id="137">
    <w:p w14:paraId="4AA1A1FE" w14:textId="33DD53CF"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Surveillance Devices Act 2004</w:t>
      </w:r>
      <w:r w:rsidRPr="00CE04D1">
        <w:rPr>
          <w:rFonts w:cs="Open Sans"/>
          <w:sz w:val="20"/>
          <w:szCs w:val="20"/>
        </w:rPr>
        <w:t xml:space="preserve"> (Cth) proposed s </w:t>
      </w:r>
      <w:proofErr w:type="gramStart"/>
      <w:r w:rsidRPr="00CE04D1">
        <w:rPr>
          <w:rFonts w:cs="Open Sans"/>
          <w:sz w:val="20"/>
          <w:szCs w:val="20"/>
        </w:rPr>
        <w:t>27A(</w:t>
      </w:r>
      <w:proofErr w:type="gramEnd"/>
      <w:r w:rsidRPr="00CE04D1">
        <w:rPr>
          <w:rFonts w:cs="Open Sans"/>
          <w:sz w:val="20"/>
          <w:szCs w:val="20"/>
        </w:rPr>
        <w:t>3).</w:t>
      </w:r>
    </w:p>
  </w:endnote>
  <w:endnote w:id="138">
    <w:p w14:paraId="35D075B9" w14:textId="4ED96289"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Surveillance Devices Act 2004</w:t>
      </w:r>
      <w:r w:rsidRPr="00CE04D1">
        <w:rPr>
          <w:rFonts w:cs="Open Sans"/>
          <w:sz w:val="20"/>
          <w:szCs w:val="20"/>
        </w:rPr>
        <w:t xml:space="preserve"> (Cth) proposed s </w:t>
      </w:r>
      <w:proofErr w:type="gramStart"/>
      <w:r w:rsidRPr="00CE04D1">
        <w:rPr>
          <w:rFonts w:cs="Open Sans"/>
          <w:sz w:val="20"/>
          <w:szCs w:val="20"/>
        </w:rPr>
        <w:t>27A(</w:t>
      </w:r>
      <w:proofErr w:type="gramEnd"/>
      <w:r w:rsidRPr="00CE04D1">
        <w:rPr>
          <w:rFonts w:cs="Open Sans"/>
          <w:sz w:val="20"/>
          <w:szCs w:val="20"/>
        </w:rPr>
        <w:t>4).</w:t>
      </w:r>
    </w:p>
  </w:endnote>
  <w:endnote w:id="139">
    <w:p w14:paraId="19411BFE" w14:textId="6207EEF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Surveillance Devices Act 2004</w:t>
      </w:r>
      <w:r w:rsidRPr="00CE04D1">
        <w:rPr>
          <w:rFonts w:cs="Open Sans"/>
          <w:sz w:val="20"/>
          <w:szCs w:val="20"/>
        </w:rPr>
        <w:t xml:space="preserve"> (Cth) proposed s </w:t>
      </w:r>
      <w:proofErr w:type="gramStart"/>
      <w:r w:rsidRPr="00CE04D1">
        <w:rPr>
          <w:rFonts w:cs="Open Sans"/>
          <w:sz w:val="20"/>
          <w:szCs w:val="20"/>
        </w:rPr>
        <w:t>27A(</w:t>
      </w:r>
      <w:proofErr w:type="gramEnd"/>
      <w:r w:rsidRPr="00CE04D1">
        <w:rPr>
          <w:rFonts w:cs="Open Sans"/>
          <w:sz w:val="20"/>
          <w:szCs w:val="20"/>
        </w:rPr>
        <w:t>5).</w:t>
      </w:r>
    </w:p>
  </w:endnote>
  <w:endnote w:id="140">
    <w:p w14:paraId="71DB9452" w14:textId="0E3AF5C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Surveillance Devices Act 2004</w:t>
      </w:r>
      <w:r w:rsidRPr="00CE04D1">
        <w:rPr>
          <w:rFonts w:cs="Open Sans"/>
          <w:sz w:val="20"/>
          <w:szCs w:val="20"/>
        </w:rPr>
        <w:t xml:space="preserve"> (Cth) proposed s </w:t>
      </w:r>
      <w:proofErr w:type="gramStart"/>
      <w:r w:rsidRPr="00CE04D1">
        <w:rPr>
          <w:rFonts w:cs="Open Sans"/>
          <w:sz w:val="20"/>
          <w:szCs w:val="20"/>
        </w:rPr>
        <w:t>27A(</w:t>
      </w:r>
      <w:proofErr w:type="gramEnd"/>
      <w:r w:rsidRPr="00CE04D1">
        <w:rPr>
          <w:rFonts w:cs="Open Sans"/>
          <w:sz w:val="20"/>
          <w:szCs w:val="20"/>
        </w:rPr>
        <w:t>6).</w:t>
      </w:r>
    </w:p>
  </w:endnote>
  <w:endnote w:id="141">
    <w:p w14:paraId="0FD5FEB6" w14:textId="4B5CD3A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Surveillance Devices Act 2004</w:t>
      </w:r>
      <w:r w:rsidRPr="00CE04D1">
        <w:rPr>
          <w:rFonts w:cs="Open Sans"/>
          <w:sz w:val="20"/>
          <w:szCs w:val="20"/>
        </w:rPr>
        <w:t xml:space="preserve"> (Cth) s 6(1). </w:t>
      </w:r>
    </w:p>
  </w:endnote>
  <w:endnote w:id="142">
    <w:p w14:paraId="1F993568" w14:textId="1A9FBB00"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64. </w:t>
      </w:r>
    </w:p>
  </w:endnote>
  <w:endnote w:id="143">
    <w:p w14:paraId="53A28D7A" w14:textId="48D17B6D"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64. </w:t>
      </w:r>
    </w:p>
  </w:endnote>
  <w:endnote w:id="144">
    <w:p w14:paraId="1E1A7217" w14:textId="01B1EFC0"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 xml:space="preserve">(Cth) ss </w:t>
      </w:r>
      <w:proofErr w:type="gramStart"/>
      <w:r w:rsidRPr="00CE04D1">
        <w:rPr>
          <w:rFonts w:cs="Open Sans"/>
          <w:sz w:val="20"/>
          <w:szCs w:val="20"/>
        </w:rPr>
        <w:t>25A(</w:t>
      </w:r>
      <w:proofErr w:type="gramEnd"/>
      <w:r w:rsidRPr="00CE04D1">
        <w:rPr>
          <w:rFonts w:cs="Open Sans"/>
          <w:sz w:val="20"/>
          <w:szCs w:val="20"/>
        </w:rPr>
        <w:t>4)(</w:t>
      </w:r>
      <w:proofErr w:type="spellStart"/>
      <w:r w:rsidRPr="00CE04D1">
        <w:rPr>
          <w:rFonts w:cs="Open Sans"/>
          <w:sz w:val="20"/>
          <w:szCs w:val="20"/>
        </w:rPr>
        <w:t>aaa</w:t>
      </w:r>
      <w:proofErr w:type="spellEnd"/>
      <w:r w:rsidRPr="00CE04D1">
        <w:rPr>
          <w:rFonts w:cs="Open Sans"/>
          <w:sz w:val="20"/>
          <w:szCs w:val="20"/>
        </w:rPr>
        <w:t>), 25A(ab).</w:t>
      </w:r>
    </w:p>
  </w:endnote>
  <w:endnote w:id="145">
    <w:p w14:paraId="77979DFD" w14:textId="0B1D56A5"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 xml:space="preserve">(Cth) proposed ss </w:t>
      </w:r>
      <w:proofErr w:type="gramStart"/>
      <w:r w:rsidRPr="00CE04D1">
        <w:rPr>
          <w:rFonts w:cs="Open Sans"/>
          <w:sz w:val="20"/>
          <w:szCs w:val="20"/>
        </w:rPr>
        <w:t>25A(</w:t>
      </w:r>
      <w:proofErr w:type="gramEnd"/>
      <w:r w:rsidRPr="00CE04D1">
        <w:rPr>
          <w:rFonts w:cs="Open Sans"/>
          <w:sz w:val="20"/>
          <w:szCs w:val="20"/>
        </w:rPr>
        <w:t>4)(ab), 25A(8)(g).</w:t>
      </w:r>
    </w:p>
  </w:endnote>
  <w:endnote w:id="146">
    <w:p w14:paraId="0E94F79D" w14:textId="69D0D5F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Customs Act 1901 </w:t>
      </w:r>
      <w:r w:rsidRPr="00CE04D1">
        <w:rPr>
          <w:rFonts w:cs="Open Sans"/>
          <w:sz w:val="20"/>
          <w:szCs w:val="20"/>
        </w:rPr>
        <w:t>(Cth) proposed ss 199(4A</w:t>
      </w:r>
      <w:proofErr w:type="gramStart"/>
      <w:r w:rsidRPr="00CE04D1">
        <w:rPr>
          <w:rFonts w:cs="Open Sans"/>
          <w:sz w:val="20"/>
          <w:szCs w:val="20"/>
        </w:rPr>
        <w:t>)(</w:t>
      </w:r>
      <w:proofErr w:type="gramEnd"/>
      <w:r w:rsidRPr="00CE04D1">
        <w:rPr>
          <w:rFonts w:cs="Open Sans"/>
          <w:sz w:val="20"/>
          <w:szCs w:val="20"/>
        </w:rPr>
        <w:t>c), 199B(2)(c).</w:t>
      </w:r>
    </w:p>
  </w:endnote>
  <w:endnote w:id="147">
    <w:p w14:paraId="03EBE987" w14:textId="224ED7D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Crimes Act 1914 </w:t>
      </w:r>
      <w:r w:rsidRPr="00CE04D1">
        <w:rPr>
          <w:rFonts w:cs="Open Sans"/>
          <w:sz w:val="20"/>
          <w:szCs w:val="20"/>
        </w:rPr>
        <w:t xml:space="preserve">(Cth) proposed ss </w:t>
      </w:r>
      <w:proofErr w:type="gramStart"/>
      <w:r w:rsidRPr="00CE04D1">
        <w:rPr>
          <w:rFonts w:cs="Open Sans"/>
          <w:sz w:val="20"/>
          <w:szCs w:val="20"/>
        </w:rPr>
        <w:t>3F(</w:t>
      </w:r>
      <w:proofErr w:type="gramEnd"/>
      <w:r w:rsidRPr="00CE04D1">
        <w:rPr>
          <w:rFonts w:cs="Open Sans"/>
          <w:sz w:val="20"/>
          <w:szCs w:val="20"/>
        </w:rPr>
        <w:t>2A)(c), 3F(2B)(c), 3K(5)(c), 3K(6)(c).</w:t>
      </w:r>
    </w:p>
  </w:endnote>
  <w:endnote w:id="148">
    <w:p w14:paraId="0C6A88F5" w14:textId="0BEF8D0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70. </w:t>
      </w:r>
    </w:p>
  </w:endnote>
  <w:endnote w:id="149">
    <w:p w14:paraId="6E14D939" w14:textId="1041986B"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 xml:space="preserve">(Cth) s </w:t>
      </w:r>
      <w:proofErr w:type="gramStart"/>
      <w:r w:rsidRPr="00CE04D1">
        <w:rPr>
          <w:rFonts w:cs="Open Sans"/>
          <w:sz w:val="20"/>
          <w:szCs w:val="20"/>
        </w:rPr>
        <w:t>25A(</w:t>
      </w:r>
      <w:proofErr w:type="gramEnd"/>
      <w:r w:rsidRPr="00CE04D1">
        <w:rPr>
          <w:rFonts w:cs="Open Sans"/>
          <w:sz w:val="20"/>
          <w:szCs w:val="20"/>
        </w:rPr>
        <w:t>4)(ab).</w:t>
      </w:r>
    </w:p>
  </w:endnote>
  <w:endnote w:id="150">
    <w:p w14:paraId="30DE3EB8" w14:textId="78F449D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(Cth) proposed ss 25A(4)(ab), 25A(8)(g), 27A(3C)(g), 27E(2)(d), 27E(6)(g).</w:t>
      </w:r>
    </w:p>
  </w:endnote>
  <w:endnote w:id="151">
    <w:p w14:paraId="5918D89B" w14:textId="2A7D31A1"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Crimes Act 1914 </w:t>
      </w:r>
      <w:r w:rsidRPr="00CE04D1">
        <w:rPr>
          <w:rFonts w:cs="Open Sans"/>
          <w:sz w:val="20"/>
          <w:szCs w:val="20"/>
        </w:rPr>
        <w:t xml:space="preserve">(Cth) proposed ss </w:t>
      </w:r>
      <w:proofErr w:type="gramStart"/>
      <w:r w:rsidRPr="00CE04D1">
        <w:rPr>
          <w:rFonts w:cs="Open Sans"/>
          <w:sz w:val="20"/>
          <w:szCs w:val="20"/>
        </w:rPr>
        <w:t>3F(</w:t>
      </w:r>
      <w:proofErr w:type="gramEnd"/>
      <w:r w:rsidRPr="00CE04D1">
        <w:rPr>
          <w:rFonts w:cs="Open Sans"/>
          <w:sz w:val="20"/>
          <w:szCs w:val="20"/>
        </w:rPr>
        <w:t xml:space="preserve">2A)(c), 3F(2B)(c), 3K(5)(c), 3K(6)(c). </w:t>
      </w:r>
    </w:p>
  </w:endnote>
  <w:endnote w:id="152">
    <w:p w14:paraId="293AA241" w14:textId="5A481543"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Customs Act 1901 </w:t>
      </w:r>
      <w:r w:rsidRPr="00CE04D1">
        <w:rPr>
          <w:rFonts w:cs="Open Sans"/>
          <w:sz w:val="20"/>
          <w:szCs w:val="20"/>
        </w:rPr>
        <w:t>(Cth) proposed ss 199(4A</w:t>
      </w:r>
      <w:proofErr w:type="gramStart"/>
      <w:r w:rsidRPr="00CE04D1">
        <w:rPr>
          <w:rFonts w:cs="Open Sans"/>
          <w:sz w:val="20"/>
          <w:szCs w:val="20"/>
        </w:rPr>
        <w:t>)(</w:t>
      </w:r>
      <w:proofErr w:type="gramEnd"/>
      <w:r w:rsidRPr="00CE04D1">
        <w:rPr>
          <w:rFonts w:cs="Open Sans"/>
          <w:sz w:val="20"/>
          <w:szCs w:val="20"/>
        </w:rPr>
        <w:t xml:space="preserve">c), 199B(2)(c). </w:t>
      </w:r>
    </w:p>
  </w:endnote>
  <w:endnote w:id="153">
    <w:p w14:paraId="496F5953" w14:textId="20FA18AA" w:rsidR="00F86B32" w:rsidRPr="00CE04D1" w:rsidRDefault="00F86B32" w:rsidP="00FC6724">
      <w:pPr>
        <w:pStyle w:val="EndnoteText"/>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Surveillance Devices Act 2004 </w:t>
      </w:r>
      <w:r w:rsidRPr="00CE04D1">
        <w:rPr>
          <w:rFonts w:cs="Open Sans"/>
          <w:sz w:val="20"/>
          <w:szCs w:val="20"/>
        </w:rPr>
        <w:t xml:space="preserve">(Cth) proposed s </w:t>
      </w:r>
      <w:proofErr w:type="gramStart"/>
      <w:r w:rsidRPr="00CE04D1">
        <w:rPr>
          <w:rFonts w:cs="Open Sans"/>
          <w:sz w:val="20"/>
          <w:szCs w:val="20"/>
        </w:rPr>
        <w:t>27E(</w:t>
      </w:r>
      <w:proofErr w:type="gramEnd"/>
      <w:r w:rsidRPr="00CE04D1">
        <w:rPr>
          <w:rFonts w:cs="Open Sans"/>
          <w:sz w:val="20"/>
          <w:szCs w:val="20"/>
        </w:rPr>
        <w:t xml:space="preserve">7)(k); </w:t>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(Cth) proposed ss 25A(8)(k), 27A(3C)(k), 27E(6)(k).</w:t>
      </w:r>
    </w:p>
  </w:endnote>
  <w:endnote w:id="154">
    <w:p w14:paraId="4FC2AA74" w14:textId="2C9793CD" w:rsidR="00F86B32" w:rsidRPr="00CE04D1" w:rsidRDefault="00F86B32" w:rsidP="00FC6724">
      <w:pPr>
        <w:pStyle w:val="EndnoteText"/>
        <w:keepLines/>
        <w:suppressLineNumbers/>
        <w:suppressAutoHyphen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Explanatory Document, Telecommunications and Other Legislation Amendment</w:t>
      </w:r>
      <w:r>
        <w:rPr>
          <w:rFonts w:cs="Open Sans"/>
          <w:sz w:val="20"/>
          <w:szCs w:val="20"/>
        </w:rPr>
        <w:t xml:space="preserve"> </w:t>
      </w:r>
      <w:r w:rsidRPr="00CE04D1">
        <w:rPr>
          <w:rFonts w:cs="Open Sans"/>
          <w:sz w:val="20"/>
          <w:szCs w:val="20"/>
        </w:rPr>
        <w:t>(Assistance and Access) Draft Exposure Bill 2018 (Cth) 73.</w:t>
      </w:r>
    </w:p>
  </w:endnote>
  <w:endnote w:id="155">
    <w:p w14:paraId="7A121428" w14:textId="5C3D73B1"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(Cth) proposed ss 25A(4)(</w:t>
      </w:r>
      <w:proofErr w:type="spellStart"/>
      <w:r w:rsidRPr="00CE04D1">
        <w:rPr>
          <w:rFonts w:cs="Open Sans"/>
          <w:sz w:val="20"/>
          <w:szCs w:val="20"/>
        </w:rPr>
        <w:t>ba</w:t>
      </w:r>
      <w:proofErr w:type="spellEnd"/>
      <w:r w:rsidRPr="00CE04D1">
        <w:rPr>
          <w:rFonts w:cs="Open Sans"/>
          <w:sz w:val="20"/>
          <w:szCs w:val="20"/>
        </w:rPr>
        <w:t>), 25A(8)(h), 27A(3C)(h), 27E(2)(</w:t>
      </w:r>
      <w:proofErr w:type="spellStart"/>
      <w:r w:rsidRPr="00CE04D1">
        <w:rPr>
          <w:rFonts w:cs="Open Sans"/>
          <w:sz w:val="20"/>
          <w:szCs w:val="20"/>
        </w:rPr>
        <w:t>ea</w:t>
      </w:r>
      <w:proofErr w:type="spellEnd"/>
      <w:r w:rsidRPr="00CE04D1">
        <w:rPr>
          <w:rFonts w:cs="Open Sans"/>
          <w:sz w:val="20"/>
          <w:szCs w:val="20"/>
        </w:rPr>
        <w:t xml:space="preserve">), 27E(6)(h); </w:t>
      </w:r>
      <w:r w:rsidRPr="00CE04D1">
        <w:rPr>
          <w:rFonts w:cs="Open Sans"/>
          <w:i/>
          <w:sz w:val="20"/>
          <w:szCs w:val="20"/>
        </w:rPr>
        <w:t xml:space="preserve">Surveillance Devices Act 2004 </w:t>
      </w:r>
      <w:r w:rsidRPr="00CE04D1">
        <w:rPr>
          <w:rFonts w:cs="Open Sans"/>
          <w:sz w:val="20"/>
          <w:szCs w:val="20"/>
        </w:rPr>
        <w:t xml:space="preserve">(Cth) proposed ss 27E(2)(h), 27E(7)(h). </w:t>
      </w:r>
    </w:p>
  </w:endnote>
  <w:endnote w:id="156">
    <w:p w14:paraId="229C3194" w14:textId="42B4DB93"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57. </w:t>
      </w:r>
    </w:p>
  </w:endnote>
  <w:endnote w:id="157">
    <w:p w14:paraId="5D26B5BC" w14:textId="5E7C4958"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 xml:space="preserve">(Cth) proposed s 4. </w:t>
      </w:r>
    </w:p>
  </w:endnote>
  <w:endnote w:id="158">
    <w:p w14:paraId="3116C544" w14:textId="4573919F"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57. </w:t>
      </w:r>
    </w:p>
  </w:endnote>
  <w:endnote w:id="159">
    <w:p w14:paraId="519A7E9E" w14:textId="144DE5B9"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Surveillance Devices Act 2004 </w:t>
      </w:r>
      <w:r w:rsidRPr="00CE04D1">
        <w:rPr>
          <w:rFonts w:cs="Open Sans"/>
          <w:sz w:val="20"/>
          <w:szCs w:val="20"/>
        </w:rPr>
        <w:t xml:space="preserve">(Cth) proposed s 64A; </w:t>
      </w:r>
      <w:r w:rsidRPr="00CE04D1">
        <w:rPr>
          <w:rFonts w:cs="Open Sans"/>
          <w:i/>
          <w:sz w:val="20"/>
          <w:szCs w:val="20"/>
        </w:rPr>
        <w:t xml:space="preserve">Australian Security Intelligence </w:t>
      </w:r>
      <w:proofErr w:type="spellStart"/>
      <w:r w:rsidRPr="00CE04D1">
        <w:rPr>
          <w:rFonts w:cs="Open Sans"/>
          <w:i/>
          <w:sz w:val="20"/>
          <w:szCs w:val="20"/>
        </w:rPr>
        <w:t>Organisation</w:t>
      </w:r>
      <w:proofErr w:type="spellEnd"/>
      <w:r w:rsidRPr="00CE04D1">
        <w:rPr>
          <w:rFonts w:cs="Open Sans"/>
          <w:i/>
          <w:sz w:val="20"/>
          <w:szCs w:val="20"/>
        </w:rPr>
        <w:t xml:space="preserve"> Act 1979 </w:t>
      </w:r>
      <w:r w:rsidRPr="00CE04D1">
        <w:rPr>
          <w:rFonts w:cs="Open Sans"/>
          <w:sz w:val="20"/>
          <w:szCs w:val="20"/>
        </w:rPr>
        <w:t xml:space="preserve">(Cth) proposed s 34AAA. </w:t>
      </w:r>
    </w:p>
  </w:endnote>
  <w:endnote w:id="160">
    <w:p w14:paraId="2EF86717" w14:textId="07EF7639"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Crimes Act 1914 </w:t>
      </w:r>
      <w:r w:rsidRPr="00CE04D1">
        <w:rPr>
          <w:rFonts w:cs="Open Sans"/>
          <w:sz w:val="20"/>
          <w:szCs w:val="20"/>
        </w:rPr>
        <w:t xml:space="preserve">(Cth) s 3LA; </w:t>
      </w:r>
      <w:r w:rsidRPr="00CE04D1">
        <w:rPr>
          <w:rFonts w:cs="Open Sans"/>
          <w:i/>
          <w:sz w:val="20"/>
          <w:szCs w:val="20"/>
        </w:rPr>
        <w:t xml:space="preserve">Customs Act 1901 </w:t>
      </w:r>
      <w:r w:rsidRPr="00CE04D1">
        <w:rPr>
          <w:rFonts w:cs="Open Sans"/>
          <w:sz w:val="20"/>
          <w:szCs w:val="20"/>
        </w:rPr>
        <w:t xml:space="preserve">(Cth) s 201A. </w:t>
      </w:r>
    </w:p>
  </w:endnote>
  <w:endnote w:id="161">
    <w:p w14:paraId="0A97A238" w14:textId="0F31C878"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111. </w:t>
      </w:r>
    </w:p>
  </w:endnote>
  <w:endnote w:id="162">
    <w:p w14:paraId="7636EF0B" w14:textId="41FCE808"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These amendments relate to the </w:t>
      </w:r>
      <w:r w:rsidRPr="00CE04D1">
        <w:rPr>
          <w:rFonts w:cs="Open Sans"/>
          <w:i/>
          <w:sz w:val="20"/>
          <w:szCs w:val="20"/>
        </w:rPr>
        <w:t xml:space="preserve">Crimes Act 1914 </w:t>
      </w:r>
      <w:r w:rsidRPr="00CE04D1">
        <w:rPr>
          <w:rFonts w:cs="Open Sans"/>
          <w:sz w:val="20"/>
          <w:szCs w:val="20"/>
        </w:rPr>
        <w:t xml:space="preserve">(Cth) s 3LA and </w:t>
      </w:r>
      <w:r w:rsidRPr="00CE04D1">
        <w:rPr>
          <w:rFonts w:cs="Open Sans"/>
          <w:i/>
          <w:sz w:val="20"/>
          <w:szCs w:val="20"/>
        </w:rPr>
        <w:t xml:space="preserve">Customs Act 1901 </w:t>
      </w:r>
      <w:r w:rsidRPr="00CE04D1">
        <w:rPr>
          <w:rFonts w:cs="Open Sans"/>
          <w:sz w:val="20"/>
          <w:szCs w:val="20"/>
        </w:rPr>
        <w:t xml:space="preserve">(Cth) s 201A. </w:t>
      </w:r>
    </w:p>
  </w:endnote>
  <w:endnote w:id="163">
    <w:p w14:paraId="347D7BBF" w14:textId="1706CB69"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Explanatory Document, Telecommunications and Other Legislation Amendment (Assistance and Access) Draft Exposure Bill 2018 (Cth) 101, 107. </w:t>
      </w:r>
    </w:p>
  </w:endnote>
  <w:endnote w:id="164">
    <w:p w14:paraId="4D0126E0" w14:textId="1AB06D9D" w:rsidR="00F86B32" w:rsidRPr="00CE04D1" w:rsidRDefault="00F86B32" w:rsidP="00FC6724">
      <w:pPr>
        <w:keepLines/>
        <w:ind w:left="511" w:right="57" w:hanging="454"/>
        <w:contextualSpacing/>
        <w:rPr>
          <w:rFonts w:eastAsia="Times New Roman" w:cs="Open Sans"/>
          <w:sz w:val="20"/>
          <w:szCs w:val="20"/>
          <w:lang w:val="en-GB" w:eastAsia="en-GB"/>
        </w:rPr>
      </w:pPr>
      <w:r w:rsidRPr="00CE04D1">
        <w:rPr>
          <w:rStyle w:val="EndnoteReference"/>
          <w:sz w:val="20"/>
          <w:szCs w:val="20"/>
        </w:rPr>
        <w:endnoteRef/>
      </w:r>
      <w:r w:rsidRPr="00CE04D1">
        <w:rPr>
          <w:rFonts w:cs="Open Sans"/>
          <w:sz w:val="20"/>
          <w:szCs w:val="20"/>
        </w:rPr>
        <w:tab/>
        <w:t xml:space="preserve">United Nations Human Rights Committee, </w:t>
      </w:r>
      <w:r w:rsidRPr="00CE04D1">
        <w:rPr>
          <w:rFonts w:cs="Open Sans"/>
          <w:i/>
          <w:sz w:val="20"/>
          <w:szCs w:val="20"/>
        </w:rPr>
        <w:t xml:space="preserve">Communication No </w:t>
      </w:r>
      <w:r w:rsidRPr="00CE04D1">
        <w:rPr>
          <w:rFonts w:eastAsia="Times New Roman" w:cs="Open Sans"/>
          <w:color w:val="000000"/>
          <w:sz w:val="20"/>
          <w:szCs w:val="20"/>
          <w:shd w:val="clear" w:color="auto" w:fill="FFFFFF"/>
          <w:lang w:val="en-GB" w:eastAsia="en-GB"/>
        </w:rPr>
        <w:t>560/1993, 59</w:t>
      </w:r>
      <w:r w:rsidRPr="00CE04D1">
        <w:rPr>
          <w:rFonts w:eastAsia="Times New Roman" w:cs="Open Sans"/>
          <w:color w:val="000000"/>
          <w:sz w:val="20"/>
          <w:szCs w:val="20"/>
          <w:shd w:val="clear" w:color="auto" w:fill="FFFFFF"/>
          <w:vertAlign w:val="superscript"/>
          <w:lang w:val="en-GB" w:eastAsia="en-GB"/>
        </w:rPr>
        <w:t>th</w:t>
      </w:r>
      <w:r w:rsidRPr="00CE04D1">
        <w:rPr>
          <w:rFonts w:eastAsia="Times New Roman" w:cs="Open Sans"/>
          <w:color w:val="000000"/>
          <w:sz w:val="20"/>
          <w:szCs w:val="20"/>
          <w:shd w:val="clear" w:color="auto" w:fill="FFFFFF"/>
          <w:lang w:val="en-GB" w:eastAsia="en-GB"/>
        </w:rPr>
        <w:t xml:space="preserve"> </w:t>
      </w:r>
      <w:proofErr w:type="spellStart"/>
      <w:r w:rsidRPr="00CE04D1">
        <w:rPr>
          <w:rFonts w:eastAsia="Times New Roman" w:cs="Open Sans"/>
          <w:color w:val="000000"/>
          <w:sz w:val="20"/>
          <w:szCs w:val="20"/>
          <w:shd w:val="clear" w:color="auto" w:fill="FFFFFF"/>
          <w:lang w:val="en-GB" w:eastAsia="en-GB"/>
        </w:rPr>
        <w:t>sess</w:t>
      </w:r>
      <w:proofErr w:type="spellEnd"/>
      <w:r w:rsidRPr="00CE04D1">
        <w:rPr>
          <w:rFonts w:eastAsia="Times New Roman" w:cs="Open Sans"/>
          <w:color w:val="000000"/>
          <w:sz w:val="20"/>
          <w:szCs w:val="20"/>
          <w:shd w:val="clear" w:color="auto" w:fill="FFFFFF"/>
          <w:lang w:val="en-GB" w:eastAsia="en-GB"/>
        </w:rPr>
        <w:t>, UN Doc CCPR/C/59/D/560/1993 (30 April 1997) (‘</w:t>
      </w:r>
      <w:r w:rsidRPr="00CE04D1">
        <w:rPr>
          <w:rFonts w:eastAsia="Times New Roman" w:cs="Open Sans"/>
          <w:i/>
          <w:color w:val="000000"/>
          <w:sz w:val="20"/>
          <w:szCs w:val="20"/>
          <w:shd w:val="clear" w:color="auto" w:fill="FFFFFF"/>
          <w:lang w:val="en-GB" w:eastAsia="en-GB"/>
        </w:rPr>
        <w:t>A v Australia</w:t>
      </w:r>
      <w:r w:rsidRPr="00CE04D1">
        <w:rPr>
          <w:rFonts w:eastAsia="Times New Roman" w:cs="Open Sans"/>
          <w:color w:val="000000"/>
          <w:sz w:val="20"/>
          <w:szCs w:val="20"/>
          <w:shd w:val="clear" w:color="auto" w:fill="FFFFFF"/>
          <w:lang w:val="en-GB" w:eastAsia="en-GB"/>
        </w:rPr>
        <w:t>’) [7.6].</w:t>
      </w:r>
    </w:p>
  </w:endnote>
  <w:endnote w:id="165">
    <w:p w14:paraId="403D4D12" w14:textId="0F13B9AD"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proofErr w:type="spellStart"/>
      <w:r w:rsidRPr="00CE04D1">
        <w:rPr>
          <w:rFonts w:cs="Open Sans"/>
          <w:sz w:val="20"/>
          <w:szCs w:val="20"/>
        </w:rPr>
        <w:t>Leïla</w:t>
      </w:r>
      <w:proofErr w:type="spellEnd"/>
      <w:r w:rsidRPr="00CE04D1">
        <w:rPr>
          <w:rFonts w:cs="Open Sans"/>
          <w:sz w:val="20"/>
          <w:szCs w:val="20"/>
        </w:rPr>
        <w:t xml:space="preserve"> </w:t>
      </w:r>
      <w:proofErr w:type="spellStart"/>
      <w:r w:rsidRPr="00CE04D1">
        <w:rPr>
          <w:rFonts w:cs="Open Sans"/>
          <w:sz w:val="20"/>
          <w:szCs w:val="20"/>
        </w:rPr>
        <w:t>Zerrougui</w:t>
      </w:r>
      <w:proofErr w:type="spellEnd"/>
      <w:r w:rsidRPr="00CE04D1">
        <w:rPr>
          <w:rFonts w:cs="Open Sans"/>
          <w:sz w:val="20"/>
          <w:szCs w:val="20"/>
        </w:rPr>
        <w:t xml:space="preserve">, Chairperson-Rapporteur, </w:t>
      </w:r>
      <w:r w:rsidRPr="00CE04D1">
        <w:rPr>
          <w:rFonts w:cs="Open Sans"/>
          <w:i/>
          <w:sz w:val="20"/>
          <w:szCs w:val="20"/>
        </w:rPr>
        <w:t xml:space="preserve">Civil and political rights, including the question of torture and detention: Report of the Working Group on Arbitrary Detention, </w:t>
      </w:r>
      <w:r w:rsidRPr="00CE04D1">
        <w:rPr>
          <w:rFonts w:cs="Open Sans"/>
          <w:sz w:val="20"/>
          <w:szCs w:val="20"/>
        </w:rPr>
        <w:t>61</w:t>
      </w:r>
      <w:r w:rsidRPr="00CE04D1">
        <w:rPr>
          <w:rFonts w:cs="Open Sans"/>
          <w:sz w:val="20"/>
          <w:szCs w:val="20"/>
          <w:vertAlign w:val="superscript"/>
        </w:rPr>
        <w:t>st</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Provisional Agenda Item 11 (a), UN Doc E/CN.4/2005/6 (1 December 2004) 18 [54].</w:t>
      </w:r>
    </w:p>
  </w:endnote>
  <w:endnote w:id="166">
    <w:p w14:paraId="0AC28262" w14:textId="14E2D485"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Severity of punishment is a factor relevant in determining whether there is violation of the prohibition or cruel, inhuman or degrading treatment or punishment. See United Nations Human Rights Committee, </w:t>
      </w:r>
      <w:r w:rsidRPr="00CE04D1">
        <w:rPr>
          <w:rFonts w:cs="Open Sans"/>
          <w:i/>
          <w:sz w:val="20"/>
          <w:szCs w:val="20"/>
        </w:rPr>
        <w:t xml:space="preserve">General Comment No 20: Article 7 (Prohibition of torture, or other cruel, inhuman or degrading treatment or punishment) </w:t>
      </w:r>
      <w:r w:rsidRPr="00CE04D1">
        <w:rPr>
          <w:rFonts w:cs="Open Sans"/>
          <w:sz w:val="20"/>
          <w:szCs w:val="20"/>
        </w:rPr>
        <w:t>44</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UN Doc HRI/GEN/1/Rev.9 (Vol. I) (10 March 1992) 1 [4].</w:t>
      </w:r>
    </w:p>
  </w:endnote>
  <w:endnote w:id="167">
    <w:p w14:paraId="6310B115" w14:textId="396BAF11"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David Kaye, </w:t>
      </w:r>
      <w:r w:rsidRPr="00CE04D1">
        <w:rPr>
          <w:rFonts w:cs="Open Sans"/>
          <w:i/>
          <w:sz w:val="20"/>
          <w:szCs w:val="20"/>
        </w:rPr>
        <w:t>Report of the United Nations Special Rapporteur on the promotion and protection of the right to freedom of opinion and expression</w:t>
      </w:r>
      <w:r w:rsidRPr="00CE04D1">
        <w:rPr>
          <w:rFonts w:cs="Open Sans"/>
          <w:sz w:val="20"/>
          <w:szCs w:val="20"/>
        </w:rPr>
        <w:t>, 17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3, UN Doc A/HRC/29/32 (22 May 2015) 19 [56].</w:t>
      </w:r>
    </w:p>
  </w:endnote>
  <w:endnote w:id="168">
    <w:p w14:paraId="12665769" w14:textId="6CDEEE2A"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David Kaye, </w:t>
      </w:r>
      <w:r w:rsidRPr="00CE04D1">
        <w:rPr>
          <w:rFonts w:cs="Open Sans"/>
          <w:i/>
          <w:sz w:val="20"/>
          <w:szCs w:val="20"/>
        </w:rPr>
        <w:t>Report of the United Nations Special Rapporteur on the promotion and protection of the right to freedom of opinion and expression</w:t>
      </w:r>
      <w:r w:rsidRPr="00CE04D1">
        <w:rPr>
          <w:rFonts w:cs="Open Sans"/>
          <w:sz w:val="20"/>
          <w:szCs w:val="20"/>
        </w:rPr>
        <w:t>, 17</w:t>
      </w:r>
      <w:r w:rsidRPr="00CE04D1">
        <w:rPr>
          <w:rFonts w:cs="Open Sans"/>
          <w:sz w:val="20"/>
          <w:szCs w:val="20"/>
          <w:vertAlign w:val="superscript"/>
        </w:rPr>
        <w:t>th</w:t>
      </w:r>
      <w:r w:rsidRPr="00CE04D1">
        <w:rPr>
          <w:rFonts w:cs="Open Sans"/>
          <w:sz w:val="20"/>
          <w:szCs w:val="20"/>
        </w:rPr>
        <w:t xml:space="preserve"> </w:t>
      </w:r>
      <w:proofErr w:type="spellStart"/>
      <w:r w:rsidRPr="00CE04D1">
        <w:rPr>
          <w:rFonts w:cs="Open Sans"/>
          <w:sz w:val="20"/>
          <w:szCs w:val="20"/>
        </w:rPr>
        <w:t>sess</w:t>
      </w:r>
      <w:proofErr w:type="spellEnd"/>
      <w:r w:rsidRPr="00CE04D1">
        <w:rPr>
          <w:rFonts w:cs="Open Sans"/>
          <w:sz w:val="20"/>
          <w:szCs w:val="20"/>
        </w:rPr>
        <w:t>, Agenda Item 3, UN Doc A/HRC/29/32 (22 May 2015) 19 [56]. See discussion at [</w:t>
      </w:r>
      <w:r w:rsidRPr="00CE04D1">
        <w:rPr>
          <w:rFonts w:cs="Open Sans"/>
          <w:sz w:val="20"/>
          <w:szCs w:val="20"/>
        </w:rPr>
        <w:fldChar w:fldCharType="begin"/>
      </w:r>
      <w:r w:rsidRPr="00CE04D1">
        <w:rPr>
          <w:rFonts w:cs="Open Sans"/>
          <w:sz w:val="20"/>
          <w:szCs w:val="20"/>
        </w:rPr>
        <w:instrText xml:space="preserve"> REF _Ref524094919 \r \h  \* MERGEFORMAT </w:instrText>
      </w:r>
      <w:r w:rsidRPr="00CE04D1">
        <w:rPr>
          <w:rFonts w:cs="Open Sans"/>
          <w:sz w:val="20"/>
          <w:szCs w:val="20"/>
        </w:rPr>
      </w:r>
      <w:r w:rsidRPr="00CE04D1">
        <w:rPr>
          <w:rFonts w:cs="Open Sans"/>
          <w:sz w:val="20"/>
          <w:szCs w:val="20"/>
        </w:rPr>
        <w:fldChar w:fldCharType="separate"/>
      </w:r>
      <w:r w:rsidR="00523FE1">
        <w:rPr>
          <w:rFonts w:cs="Open Sans"/>
          <w:sz w:val="20"/>
          <w:szCs w:val="20"/>
        </w:rPr>
        <w:t>167</w:t>
      </w:r>
      <w:r w:rsidRPr="00CE04D1">
        <w:rPr>
          <w:rFonts w:cs="Open Sans"/>
          <w:sz w:val="20"/>
          <w:szCs w:val="20"/>
        </w:rPr>
        <w:fldChar w:fldCharType="end"/>
      </w:r>
      <w:r w:rsidRPr="00CE04D1">
        <w:rPr>
          <w:rFonts w:cs="Open Sans"/>
          <w:sz w:val="20"/>
          <w:szCs w:val="20"/>
        </w:rPr>
        <w:t>].</w:t>
      </w:r>
    </w:p>
  </w:endnote>
  <w:endnote w:id="169">
    <w:p w14:paraId="7B341661" w14:textId="535028E3"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Australian Law Reform Commission, </w:t>
      </w:r>
      <w:r w:rsidRPr="00CE04D1">
        <w:rPr>
          <w:rFonts w:cs="Open Sans"/>
          <w:i/>
          <w:sz w:val="20"/>
          <w:szCs w:val="20"/>
        </w:rPr>
        <w:t>Traditional Rights and Freedoms—Encroachments by Commonwealth Laws</w:t>
      </w:r>
      <w:r w:rsidRPr="00CE04D1">
        <w:rPr>
          <w:rFonts w:cs="Open Sans"/>
          <w:sz w:val="20"/>
          <w:szCs w:val="20"/>
        </w:rPr>
        <w:t>, Report No 129 (2016) 314.</w:t>
      </w:r>
    </w:p>
  </w:endnote>
  <w:endnote w:id="170">
    <w:p w14:paraId="184B9322" w14:textId="150FEF8D"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Australian Law Reform Commission, </w:t>
      </w:r>
      <w:r w:rsidRPr="00CE04D1">
        <w:rPr>
          <w:rFonts w:cs="Open Sans"/>
          <w:i/>
          <w:sz w:val="20"/>
          <w:szCs w:val="20"/>
        </w:rPr>
        <w:t>Traditional Rights and Freedoms—Encroachments by Commonwealth Laws</w:t>
      </w:r>
      <w:r w:rsidRPr="00CE04D1">
        <w:rPr>
          <w:rFonts w:cs="Open Sans"/>
          <w:sz w:val="20"/>
          <w:szCs w:val="20"/>
        </w:rPr>
        <w:t xml:space="preserve">, Report No 129 (2016) 314, citing William Blackstone, </w:t>
      </w:r>
      <w:r w:rsidRPr="00CE04D1">
        <w:rPr>
          <w:rFonts w:cs="Open Sans"/>
          <w:i/>
          <w:sz w:val="20"/>
          <w:szCs w:val="20"/>
        </w:rPr>
        <w:t>Commentaries on the Laws of England</w:t>
      </w:r>
      <w:r w:rsidRPr="00CE04D1">
        <w:rPr>
          <w:rFonts w:cs="Open Sans"/>
          <w:sz w:val="20"/>
          <w:szCs w:val="20"/>
        </w:rPr>
        <w:t xml:space="preserve"> (The Legal Classics Library, </w:t>
      </w:r>
      <w:proofErr w:type="spellStart"/>
      <w:r w:rsidRPr="00CE04D1">
        <w:rPr>
          <w:rFonts w:cs="Open Sans"/>
          <w:sz w:val="20"/>
          <w:szCs w:val="20"/>
        </w:rPr>
        <w:t>vol</w:t>
      </w:r>
      <w:proofErr w:type="spellEnd"/>
      <w:r w:rsidRPr="00CE04D1">
        <w:rPr>
          <w:rFonts w:cs="Open Sans"/>
          <w:sz w:val="20"/>
          <w:szCs w:val="20"/>
        </w:rPr>
        <w:t xml:space="preserve"> IV, 1765) 293.</w:t>
      </w:r>
    </w:p>
  </w:endnote>
  <w:endnote w:id="171">
    <w:p w14:paraId="265837A0" w14:textId="07D843F1"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Reid v Howard </w:t>
      </w:r>
      <w:r w:rsidRPr="00CE04D1">
        <w:rPr>
          <w:rFonts w:cs="Open Sans"/>
          <w:sz w:val="20"/>
          <w:szCs w:val="20"/>
        </w:rPr>
        <w:t>(1995) 184 CLR 1, 11.</w:t>
      </w:r>
    </w:p>
  </w:endnote>
  <w:endnote w:id="172">
    <w:p w14:paraId="215AB86A" w14:textId="4BC558D3"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iCs/>
          <w:sz w:val="20"/>
          <w:szCs w:val="20"/>
        </w:rPr>
        <w:t xml:space="preserve">Environment Protection Authority v Caltex Refining Co Pty Ltd </w:t>
      </w:r>
      <w:r w:rsidRPr="00CE04D1">
        <w:rPr>
          <w:rFonts w:cs="Open Sans"/>
          <w:sz w:val="20"/>
          <w:szCs w:val="20"/>
        </w:rPr>
        <w:t>(1993) 178 CLR 477, 500.</w:t>
      </w:r>
    </w:p>
  </w:endnote>
  <w:endnote w:id="173">
    <w:p w14:paraId="30617255" w14:textId="737FCBFE" w:rsidR="00F86B32" w:rsidRPr="00CE04D1" w:rsidRDefault="00F86B32" w:rsidP="00FC6724">
      <w:pPr>
        <w:pStyle w:val="EndnoteT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proofErr w:type="spellStart"/>
      <w:r w:rsidRPr="00CE04D1">
        <w:rPr>
          <w:rFonts w:cs="Open Sans"/>
          <w:i/>
          <w:sz w:val="20"/>
          <w:szCs w:val="20"/>
        </w:rPr>
        <w:t>Sorby</w:t>
      </w:r>
      <w:proofErr w:type="spellEnd"/>
      <w:r w:rsidRPr="00CE04D1">
        <w:rPr>
          <w:rFonts w:cs="Open Sans"/>
          <w:i/>
          <w:sz w:val="20"/>
          <w:szCs w:val="20"/>
        </w:rPr>
        <w:t xml:space="preserve"> v Commonwealth </w:t>
      </w:r>
      <w:r w:rsidRPr="00CE04D1">
        <w:rPr>
          <w:rFonts w:cs="Open Sans"/>
          <w:sz w:val="20"/>
          <w:szCs w:val="20"/>
        </w:rPr>
        <w:t xml:space="preserve">(1983) 152 CLR 281, 288 (Gibbs CJ); </w:t>
      </w:r>
      <w:r w:rsidRPr="00CE04D1">
        <w:rPr>
          <w:rFonts w:cs="Open Sans"/>
          <w:i/>
          <w:iCs/>
          <w:sz w:val="20"/>
          <w:szCs w:val="20"/>
        </w:rPr>
        <w:t xml:space="preserve">Daniels Corporation International Pty Ltd v Australian Competition and Consumer Commission </w:t>
      </w:r>
      <w:r w:rsidRPr="00CE04D1">
        <w:rPr>
          <w:rFonts w:cs="Open Sans"/>
          <w:sz w:val="20"/>
          <w:szCs w:val="20"/>
        </w:rPr>
        <w:t xml:space="preserve">(2002) 213 CLR 543. The Australian Law Reform Commission examined the development of the privilege against self-incrimination in </w:t>
      </w:r>
      <w:r w:rsidRPr="00CE04D1">
        <w:rPr>
          <w:rFonts w:cs="Open Sans"/>
          <w:i/>
          <w:sz w:val="20"/>
          <w:szCs w:val="20"/>
        </w:rPr>
        <w:t>Traditional Rights and Freedoms—Encroachments by Commonwealth Laws</w:t>
      </w:r>
      <w:r w:rsidRPr="00CE04D1">
        <w:rPr>
          <w:rFonts w:cs="Open Sans"/>
          <w:sz w:val="20"/>
          <w:szCs w:val="20"/>
        </w:rPr>
        <w:t xml:space="preserve">, Report No 129 (2016) 311–314. </w:t>
      </w:r>
    </w:p>
  </w:endnote>
  <w:endnote w:id="174">
    <w:p w14:paraId="256BE6B8" w14:textId="7478D0AE"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Ian Dennis, ‘Instrumental Protection, Human Right or Functional Necessity? Reassessing the Privilege against Self-incrimination’ (1995) 54 Cambridge Law Journal 342, 376, cited in Queensland Law Reform Commission, </w:t>
      </w:r>
      <w:r w:rsidRPr="00CE04D1">
        <w:rPr>
          <w:rFonts w:cs="Open Sans"/>
          <w:i/>
          <w:sz w:val="20"/>
          <w:szCs w:val="20"/>
        </w:rPr>
        <w:t>The Abrogation of the Privilege Against Self-Incrimination</w:t>
      </w:r>
      <w:r w:rsidRPr="00CE04D1">
        <w:rPr>
          <w:rFonts w:cs="Open Sans"/>
          <w:sz w:val="20"/>
          <w:szCs w:val="20"/>
        </w:rPr>
        <w:t>, Report No 59 (December 2004) [3.14].</w:t>
      </w:r>
    </w:p>
  </w:endnote>
  <w:endnote w:id="175">
    <w:p w14:paraId="377EF164" w14:textId="4204006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 xml:space="preserve">Environment Protection Authority v Caltex Refining Co Pty Ltd </w:t>
      </w:r>
      <w:r w:rsidRPr="00CE04D1">
        <w:rPr>
          <w:rFonts w:cs="Open Sans"/>
          <w:sz w:val="20"/>
          <w:szCs w:val="20"/>
        </w:rPr>
        <w:t>(1993) 178 CLR 477, 440 (McHugh J).</w:t>
      </w:r>
    </w:p>
  </w:endnote>
  <w:endnote w:id="176">
    <w:p w14:paraId="1BFF6D49" w14:textId="03571C92"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sz w:val="20"/>
          <w:szCs w:val="20"/>
        </w:rPr>
        <w:t>X7 v Australian Crime Commission</w:t>
      </w:r>
      <w:r w:rsidRPr="00CE04D1">
        <w:rPr>
          <w:rFonts w:cs="Open Sans"/>
          <w:sz w:val="20"/>
          <w:szCs w:val="20"/>
        </w:rPr>
        <w:t xml:space="preserve"> (2013) 248 CLR 92, 112 [28] (French CJ and </w:t>
      </w:r>
      <w:proofErr w:type="spellStart"/>
      <w:r w:rsidRPr="00CE04D1">
        <w:rPr>
          <w:rFonts w:cs="Open Sans"/>
          <w:sz w:val="20"/>
          <w:szCs w:val="20"/>
        </w:rPr>
        <w:t>Crennan</w:t>
      </w:r>
      <w:proofErr w:type="spellEnd"/>
      <w:r w:rsidRPr="00CE04D1">
        <w:rPr>
          <w:rFonts w:cs="Open Sans"/>
          <w:sz w:val="20"/>
          <w:szCs w:val="20"/>
        </w:rPr>
        <w:t xml:space="preserve"> J).</w:t>
      </w:r>
    </w:p>
  </w:endnote>
  <w:endnote w:id="177">
    <w:p w14:paraId="311048D6" w14:textId="51C11084"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Attorney-General’s Department, </w:t>
      </w:r>
      <w:r w:rsidRPr="00CE04D1">
        <w:rPr>
          <w:rFonts w:cs="Open Sans"/>
          <w:i/>
          <w:sz w:val="20"/>
          <w:szCs w:val="20"/>
        </w:rPr>
        <w:t>A Guide to Framing Commonwealth Offences, Infringement Notices and Enforcement Powers</w:t>
      </w:r>
      <w:r w:rsidRPr="00CE04D1">
        <w:rPr>
          <w:rFonts w:cs="Open Sans"/>
          <w:sz w:val="20"/>
          <w:szCs w:val="20"/>
        </w:rPr>
        <w:t xml:space="preserve"> (September 2011) [9.5.4].</w:t>
      </w:r>
    </w:p>
  </w:endnote>
  <w:endnote w:id="178">
    <w:p w14:paraId="58C6FFE0" w14:textId="2EC0BBE7"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t xml:space="preserve">Attorney-General’s Department, </w:t>
      </w:r>
      <w:r w:rsidRPr="00CE04D1">
        <w:rPr>
          <w:rFonts w:cs="Open Sans"/>
          <w:i/>
          <w:sz w:val="20"/>
          <w:szCs w:val="20"/>
        </w:rPr>
        <w:t>A Guide to Framing Commonwealth Offences, Infringement Notices and Enforcement Powers</w:t>
      </w:r>
      <w:r>
        <w:rPr>
          <w:rFonts w:cs="Open Sans"/>
          <w:i/>
          <w:sz w:val="20"/>
          <w:szCs w:val="20"/>
        </w:rPr>
        <w:t xml:space="preserve"> </w:t>
      </w:r>
      <w:r w:rsidRPr="00CE04D1">
        <w:rPr>
          <w:rFonts w:cs="Open Sans"/>
          <w:sz w:val="20"/>
          <w:szCs w:val="20"/>
        </w:rPr>
        <w:t>(September 2011) [9.5.4].</w:t>
      </w:r>
    </w:p>
  </w:endnote>
  <w:endnote w:id="179">
    <w:p w14:paraId="65530ED0" w14:textId="5D1476CC" w:rsidR="00F86B32" w:rsidRPr="00CE04D1" w:rsidRDefault="00F86B32" w:rsidP="005C273F">
      <w:pPr>
        <w:pStyle w:val="EndnoteText"/>
        <w:keepNext/>
        <w:keepLines/>
        <w:spacing w:before="0" w:after="0"/>
        <w:ind w:left="511" w:right="57" w:hanging="454"/>
        <w:contextualSpacing/>
        <w:rPr>
          <w:rFonts w:cs="Open Sans"/>
          <w:sz w:val="20"/>
          <w:szCs w:val="20"/>
        </w:rPr>
      </w:pPr>
      <w:r w:rsidRPr="00CE04D1">
        <w:rPr>
          <w:rStyle w:val="EndnoteReference"/>
          <w:sz w:val="20"/>
          <w:szCs w:val="20"/>
        </w:rPr>
        <w:endnoteRef/>
      </w:r>
      <w:r w:rsidRPr="00CE04D1">
        <w:rPr>
          <w:rFonts w:cs="Open Sans"/>
          <w:sz w:val="20"/>
          <w:szCs w:val="20"/>
        </w:rPr>
        <w:tab/>
      </w:r>
      <w:r w:rsidRPr="00CE04D1">
        <w:rPr>
          <w:rFonts w:cs="Open Sans"/>
          <w:i/>
          <w:iCs/>
          <w:sz w:val="20"/>
          <w:szCs w:val="20"/>
        </w:rPr>
        <w:t xml:space="preserve">Re an application under the Major Crime (Investigative Powers) Act 2004 </w:t>
      </w:r>
      <w:r w:rsidRPr="00CE04D1">
        <w:rPr>
          <w:rFonts w:cs="Open Sans"/>
          <w:sz w:val="20"/>
          <w:szCs w:val="20"/>
        </w:rPr>
        <w:t>[2009] VSC 381, [91]–[92], [155]–[156].</w:t>
      </w:r>
      <w:bookmarkStart w:id="102" w:name="_GoBack"/>
      <w:bookmarkEnd w:id="10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116C3" w14:textId="77777777" w:rsidR="00F86B32" w:rsidRDefault="00F8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2C1C" w14:textId="77777777" w:rsidR="00F86B32" w:rsidRPr="000465F1" w:rsidRDefault="00F86B32" w:rsidP="000465F1">
    <w:pPr>
      <w:pStyle w:val="Footer"/>
    </w:pPr>
    <w:r w:rsidRPr="000465F1">
      <w:t>ABN 47 996 232 602</w:t>
    </w:r>
  </w:p>
  <w:p w14:paraId="0FDD040B" w14:textId="77777777" w:rsidR="00F86B32" w:rsidRPr="000465F1" w:rsidRDefault="00F86B32" w:rsidP="000465F1">
    <w:pPr>
      <w:pStyle w:val="Footer"/>
    </w:pPr>
    <w:r w:rsidRPr="000465F1">
      <w:t>Level 3, 175 Pitt Street, Sydney NSW 2000</w:t>
    </w:r>
  </w:p>
  <w:p w14:paraId="2CF0D39E" w14:textId="77777777" w:rsidR="00F86B32" w:rsidRPr="000465F1" w:rsidRDefault="00F86B32" w:rsidP="000465F1">
    <w:pPr>
      <w:pStyle w:val="Footer"/>
    </w:pPr>
    <w:r w:rsidRPr="000465F1">
      <w:t>GPO Box 5218, Sydney NSW 2001</w:t>
    </w:r>
  </w:p>
  <w:p w14:paraId="2DF32207" w14:textId="77777777" w:rsidR="00F86B32" w:rsidRPr="000465F1" w:rsidRDefault="00F86B32" w:rsidP="000465F1">
    <w:pPr>
      <w:pStyle w:val="Footer"/>
    </w:pPr>
    <w:r w:rsidRPr="000465F1">
      <w:t>General enquiries 1300 369 711</w:t>
    </w:r>
  </w:p>
  <w:p w14:paraId="636D20E9" w14:textId="77777777" w:rsidR="00F86B32" w:rsidRPr="000465F1" w:rsidRDefault="00F86B32" w:rsidP="000465F1">
    <w:pPr>
      <w:pStyle w:val="Footer"/>
    </w:pPr>
    <w:r w:rsidRPr="000465F1">
      <w:t>Complaints info line 1300 656 419</w:t>
    </w:r>
  </w:p>
  <w:p w14:paraId="6C947796" w14:textId="77777777" w:rsidR="00F86B32" w:rsidRPr="000465F1" w:rsidRDefault="00F86B32" w:rsidP="000465F1">
    <w:pPr>
      <w:pStyle w:val="Footer"/>
    </w:pPr>
    <w:r w:rsidRPr="000465F1">
      <w:t>TTY 1800 620 241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D742" w14:textId="488E5E9C" w:rsidR="00F86B32" w:rsidRDefault="00F86B32" w:rsidP="004808C4">
    <w:pPr>
      <w:pStyle w:val="Footer"/>
      <w:jc w:val="right"/>
    </w:pPr>
    <w:r w:rsidRPr="00622508">
      <w:fldChar w:fldCharType="begin"/>
    </w:r>
    <w:r>
      <w:instrText xml:space="preserve"> PAGE   \* MERGEFORMAT </w:instrText>
    </w:r>
    <w:r w:rsidRPr="00622508">
      <w:fldChar w:fldCharType="separate"/>
    </w:r>
    <w:r w:rsidR="00523FE1">
      <w:rPr>
        <w:noProof/>
      </w:rPr>
      <w:t>68</w:t>
    </w:r>
    <w:r w:rsidRPr="0062250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D10F0" w14:textId="6AC4E7AD" w:rsidR="00F86B32" w:rsidRDefault="00F86B32" w:rsidP="00E53546">
    <w:pPr>
      <w:pStyle w:val="FooterOddPageNumber"/>
    </w:pPr>
    <w:r w:rsidRPr="00AB7C8F">
      <w:fldChar w:fldCharType="begin"/>
    </w:r>
    <w:r>
      <w:instrText xml:space="preserve"> PAGE   \* MERGEFORMAT </w:instrText>
    </w:r>
    <w:r w:rsidRPr="00AB7C8F">
      <w:fldChar w:fldCharType="separate"/>
    </w:r>
    <w:r w:rsidR="00523FE1">
      <w:rPr>
        <w:noProof/>
      </w:rPr>
      <w:t>67</w:t>
    </w:r>
    <w:r w:rsidRPr="00AB7C8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2F0B" w14:textId="65B1C4C8" w:rsidR="00F86B32" w:rsidRDefault="00F86B32" w:rsidP="002D10EA">
    <w:pPr>
      <w:pStyle w:val="FooterEvenPageNumber"/>
      <w:jc w:val="right"/>
    </w:pPr>
    <w:r w:rsidRPr="00F127A8">
      <w:fldChar w:fldCharType="begin"/>
    </w:r>
    <w:r>
      <w:instrText xml:space="preserve"> PAGE   \* MERGEFORMAT </w:instrText>
    </w:r>
    <w:r w:rsidRPr="00F127A8">
      <w:fldChar w:fldCharType="separate"/>
    </w:r>
    <w:r w:rsidR="00523FE1">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6194" w14:textId="77777777" w:rsidR="00F86B32" w:rsidRDefault="00F86B32" w:rsidP="00F14C6D">
      <w:r>
        <w:separator/>
      </w:r>
    </w:p>
  </w:footnote>
  <w:footnote w:type="continuationSeparator" w:id="0">
    <w:p w14:paraId="2BF4F9FA" w14:textId="77777777" w:rsidR="00F86B32" w:rsidRDefault="00F86B32" w:rsidP="00F14C6D">
      <w:r>
        <w:continuationSeparator/>
      </w:r>
    </w:p>
  </w:footnote>
  <w:footnote w:type="continuationNotice" w:id="1">
    <w:p w14:paraId="180FB1E0" w14:textId="77777777" w:rsidR="00F86B32" w:rsidRDefault="00F86B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8183" w14:textId="77777777" w:rsidR="00F86B32" w:rsidRPr="000465F1" w:rsidRDefault="00523FE1" w:rsidP="000006D7">
    <w:pPr>
      <w:pStyle w:val="Heading3"/>
    </w:pPr>
    <w:r>
      <w:rPr>
        <w:noProof/>
      </w:rPr>
      <w:pict w14:anchorId="59283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3" type="#_x0000_t75" alt="report watermark" style="position:absolute;left:0;text-align:left;margin-left:0;margin-top:0;width:930.9pt;height:1359.95pt;z-index:-251658752;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86B32" w:rsidRPr="000465F1">
      <w:t>Australian Human Rights Commission</w:t>
    </w:r>
  </w:p>
  <w:p w14:paraId="64D834B0" w14:textId="77777777" w:rsidR="00F86B32" w:rsidRPr="00622508" w:rsidRDefault="00F86B32"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9E365" w14:textId="77777777" w:rsidR="00F86B32" w:rsidRPr="000465F1" w:rsidRDefault="00523FE1" w:rsidP="000465F1">
    <w:r>
      <w:rPr>
        <w:noProof/>
      </w:rPr>
      <w:pict w14:anchorId="4DF1A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2" type="#_x0000_t75" alt="report watermark" style="position:absolute;margin-left:0;margin-top:0;width:930.9pt;height:1359.95pt;z-index:-25165772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86B32" w:rsidRPr="000465F1">
      <w:t>Australian Human Rights Commission</w:t>
    </w:r>
  </w:p>
  <w:p w14:paraId="38F57508" w14:textId="77777777" w:rsidR="00F86B32" w:rsidRPr="000465F1" w:rsidRDefault="00F86B32"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F078" w14:textId="1FD89B88" w:rsidR="00F86B32" w:rsidRDefault="00523FE1" w:rsidP="004F68C0">
    <w:pPr>
      <w:pStyle w:val="Heading3"/>
      <w:numPr>
        <w:ilvl w:val="0"/>
        <w:numId w:val="0"/>
      </w:numPr>
    </w:pPr>
    <w:r>
      <w:rPr>
        <w:noProof/>
      </w:rPr>
      <w:pict w14:anchorId="21A00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report watermark" style="position:absolute;margin-left:-71.05pt;margin-top:-66.3pt;width:595.1pt;height:896.35pt;z-index:-251656704;mso-wrap-edited:f;mso-width-percent:0;mso-height-percent:0;mso-position-horizontal-relative:margin;mso-position-vertical-relative:margin;mso-width-percent:0;mso-height-percent:0" o:allowincell="f">
          <v:imagedata r:id="rId1" o:title="report watermark"/>
          <w10:wrap anchorx="margin" anchory="margin"/>
        </v:shape>
      </w:pict>
    </w:r>
    <w:r>
      <w:rPr>
        <w:noProof/>
      </w:rPr>
      <w:pict w14:anchorId="174B85FA">
        <v:shape id="WordPictureWatermark1034832" o:spid="_x0000_s2050" type="#_x0000_t75" alt="report watermark" style="position:absolute;margin-left:-70.5pt;margin-top:-86.75pt;width:595.1pt;height:920.35pt;z-index:-251659776;mso-wrap-edited:f;mso-width-percent:0;mso-height-percent:0;mso-position-horizontal-relative:margin;mso-position-vertical-relative:margin;mso-width-percent:0;mso-height-percent:0" o:allowincell="f">
          <v:imagedata r:id="rId1" o:title="report watermark"/>
          <w10:wrap anchorx="margin" anchory="margin"/>
        </v:shape>
      </w:pict>
    </w:r>
    <w:r>
      <w:rPr>
        <w:noProof/>
      </w:rPr>
      <w:pict w14:anchorId="6E346D80">
        <v:shape id="WordPictureWatermark14066017" o:spid="_x0000_s2049" type="#_x0000_t75" alt="MS word cover1" style="position:absolute;margin-left:-71.05pt;margin-top:-108.5pt;width:595.65pt;height:870.15pt;z-index:-251660801;mso-wrap-edited:f;mso-width-percent:0;mso-height-percent:0;mso-position-horizontal-relative:margin;mso-position-vertical-relative:margin;mso-width-percent:0;mso-height-percent:0" o:allowincell="f">
          <v:imagedata r:id="rId2"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786D" w14:textId="30E73F4F" w:rsidR="00F86B32" w:rsidRPr="000465F1" w:rsidRDefault="00F86B32" w:rsidP="000006D7">
    <w:pPr>
      <w:pStyle w:val="Heading3"/>
      <w:numPr>
        <w:ilvl w:val="0"/>
        <w:numId w:val="0"/>
      </w:numPr>
      <w:ind w:left="851" w:hanging="851"/>
      <w:jc w:val="right"/>
    </w:pPr>
    <w:r w:rsidRPr="000465F1">
      <w:t>Australian Human Rights Commission</w:t>
    </w:r>
    <w:r>
      <w:br/>
    </w:r>
    <w:r w:rsidRPr="000006D7">
      <w:rPr>
        <w:rStyle w:val="HeaderDocumentTitle"/>
        <w:szCs w:val="18"/>
      </w:rPr>
      <w:t>Access and Assistance Bill,</w:t>
    </w:r>
    <w:r>
      <w:rPr>
        <w:sz w:val="18"/>
        <w:szCs w:val="18"/>
      </w:rPr>
      <w:t xml:space="preserve"> 10 </w:t>
    </w:r>
    <w:r w:rsidRPr="000006D7">
      <w:rPr>
        <w:sz w:val="18"/>
        <w:szCs w:val="18"/>
      </w:rPr>
      <w:t>September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2CEA" w14:textId="37135BE3" w:rsidR="00F86B32" w:rsidRPr="000465F1" w:rsidRDefault="00F86B32" w:rsidP="000006D7">
    <w:pPr>
      <w:pStyle w:val="Heading3"/>
      <w:numPr>
        <w:ilvl w:val="0"/>
        <w:numId w:val="0"/>
      </w:numPr>
      <w:ind w:left="851"/>
      <w:jc w:val="right"/>
    </w:pPr>
    <w:bookmarkStart w:id="106" w:name="_Hlk514672172"/>
    <w:bookmarkStart w:id="107" w:name="_Hlk514672173"/>
    <w:r w:rsidRPr="000465F1">
      <w:t>Australian Human Rights Commission</w:t>
    </w:r>
    <w:bookmarkEnd w:id="106"/>
    <w:bookmarkEnd w:id="107"/>
    <w:r>
      <w:br/>
    </w:r>
    <w:r w:rsidRPr="000006D7">
      <w:rPr>
        <w:rStyle w:val="HeaderDocumentTitle"/>
        <w:szCs w:val="18"/>
      </w:rPr>
      <w:t>Access and Assistance Bill,</w:t>
    </w:r>
    <w:r>
      <w:rPr>
        <w:sz w:val="18"/>
        <w:szCs w:val="18"/>
      </w:rPr>
      <w:t xml:space="preserve"> 10 September 2018</w:t>
    </w:r>
    <w:r w:rsidRPr="000465F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46BB" w14:textId="71F2646F" w:rsidR="00F86B32" w:rsidRPr="000465F1" w:rsidRDefault="00F86B32" w:rsidP="004F68C0">
    <w:pPr>
      <w:pStyle w:val="Heading3"/>
      <w:numPr>
        <w:ilvl w:val="0"/>
        <w:numId w:val="0"/>
      </w:numPr>
      <w:jc w:val="right"/>
    </w:pPr>
    <w:r w:rsidRPr="000465F1">
      <w:t>Australian Human Rights Commission</w:t>
    </w:r>
    <w:r>
      <w:br/>
    </w:r>
    <w:r w:rsidRPr="000729A2">
      <w:rPr>
        <w:rStyle w:val="HeaderDocumentTitle"/>
        <w:sz w:val="20"/>
        <w:szCs w:val="20"/>
      </w:rPr>
      <w:t>Access and Assistance Bill,</w:t>
    </w:r>
    <w:r w:rsidRPr="000729A2">
      <w:rPr>
        <w:sz w:val="20"/>
        <w:szCs w:val="20"/>
      </w:rPr>
      <w:t xml:space="preserve"> </w:t>
    </w:r>
    <w:r>
      <w:rPr>
        <w:sz w:val="20"/>
        <w:szCs w:val="20"/>
      </w:rPr>
      <w:t>10 September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E02CB2"/>
    <w:lvl w:ilvl="0">
      <w:start w:val="1"/>
      <w:numFmt w:val="decimal"/>
      <w:pStyle w:val="ListNumber"/>
      <w:lvlText w:val="%1."/>
      <w:lvlJc w:val="left"/>
      <w:pPr>
        <w:tabs>
          <w:tab w:val="num" w:pos="360"/>
        </w:tabs>
        <w:ind w:left="360" w:hanging="360"/>
      </w:pPr>
      <w:rPr>
        <w:sz w:val="24"/>
        <w:szCs w:val="24"/>
      </w:rPr>
    </w:lvl>
  </w:abstractNum>
  <w:abstractNum w:abstractNumId="9" w15:restartNumberingAfterBreak="0">
    <w:nsid w:val="FFFFFF89"/>
    <w:multiLevelType w:val="singleLevel"/>
    <w:tmpl w:val="73169A2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58627B"/>
    <w:multiLevelType w:val="hybridMultilevel"/>
    <w:tmpl w:val="CB3C61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9E5239C"/>
    <w:multiLevelType w:val="hybridMultilevel"/>
    <w:tmpl w:val="A7505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BD257A"/>
    <w:multiLevelType w:val="hybridMultilevel"/>
    <w:tmpl w:val="9E92E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827455"/>
    <w:multiLevelType w:val="hybridMultilevel"/>
    <w:tmpl w:val="74CE68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D913583"/>
    <w:multiLevelType w:val="hybridMultilevel"/>
    <w:tmpl w:val="FEA256D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4B0DA5"/>
    <w:multiLevelType w:val="hybridMultilevel"/>
    <w:tmpl w:val="383CB8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9FF7A73"/>
    <w:multiLevelType w:val="multilevel"/>
    <w:tmpl w:val="D97E44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152E53"/>
    <w:multiLevelType w:val="hybridMultilevel"/>
    <w:tmpl w:val="BC1033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6A94E87"/>
    <w:multiLevelType w:val="hybridMultilevel"/>
    <w:tmpl w:val="A86E237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92A7B4E"/>
    <w:multiLevelType w:val="hybridMultilevel"/>
    <w:tmpl w:val="5368230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6832171B"/>
    <w:multiLevelType w:val="hybridMultilevel"/>
    <w:tmpl w:val="C4C2E0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EBC7B63"/>
    <w:multiLevelType w:val="hybridMultilevel"/>
    <w:tmpl w:val="329263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76364CA"/>
    <w:multiLevelType w:val="hybridMultilevel"/>
    <w:tmpl w:val="F510ED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7DB3107B"/>
    <w:multiLevelType w:val="hybridMultilevel"/>
    <w:tmpl w:val="CFB4A3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1"/>
  </w:num>
  <w:num w:numId="13">
    <w:abstractNumId w:val="17"/>
  </w:num>
  <w:num w:numId="14">
    <w:abstractNumId w:val="13"/>
  </w:num>
  <w:num w:numId="15">
    <w:abstractNumId w:val="12"/>
  </w:num>
  <w:num w:numId="16">
    <w:abstractNumId w:val="14"/>
  </w:num>
  <w:num w:numId="17">
    <w:abstractNumId w:val="16"/>
  </w:num>
  <w:num w:numId="18">
    <w:abstractNumId w:val="26"/>
  </w:num>
  <w:num w:numId="19">
    <w:abstractNumId w:val="27"/>
  </w:num>
  <w:num w:numId="20">
    <w:abstractNumId w:val="10"/>
  </w:num>
  <w:num w:numId="21">
    <w:abstractNumId w:val="22"/>
  </w:num>
  <w:num w:numId="22">
    <w:abstractNumId w:val="18"/>
  </w:num>
  <w:num w:numId="23">
    <w:abstractNumId w:val="15"/>
  </w:num>
  <w:num w:numId="24">
    <w:abstractNumId w:val="25"/>
  </w:num>
  <w:num w:numId="25">
    <w:abstractNumId w:val="11"/>
  </w:num>
  <w:num w:numId="26">
    <w:abstractNumId w:val="23"/>
  </w:num>
  <w:num w:numId="27">
    <w:abstractNumId w:val="9"/>
  </w:num>
  <w:num w:numId="28">
    <w:abstractNumId w:val="9"/>
  </w:num>
  <w:num w:numId="29">
    <w:abstractNumId w:val="8"/>
  </w:num>
  <w:num w:numId="30">
    <w:abstractNumId w:val="8"/>
  </w:num>
  <w:num w:numId="31">
    <w:abstractNumId w:val="8"/>
  </w:num>
  <w:num w:numId="32">
    <w:abstractNumId w:val="8"/>
  </w:num>
  <w:num w:numId="33">
    <w:abstractNumId w:val="8"/>
  </w:num>
  <w:num w:numId="34">
    <w:abstractNumId w:val="24"/>
  </w:num>
  <w:num w:numId="35">
    <w:abstractNumId w:val="8"/>
  </w:num>
  <w:num w:numId="36">
    <w:abstractNumId w:val="8"/>
  </w:num>
  <w:num w:numId="37">
    <w:abstractNumId w:val="8"/>
  </w:num>
  <w:num w:numId="38">
    <w:abstractNumId w:val="8"/>
  </w:num>
  <w:num w:numId="39">
    <w:abstractNumId w:val="8"/>
  </w:num>
  <w:num w:numId="40">
    <w:abstractNumId w:val="19"/>
  </w:num>
  <w:num w:numId="41">
    <w:abstractNumId w:val="19"/>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9"/>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20"/>
  <w:evenAndOddHeaders/>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73"/>
    <w:rsid w:val="00000255"/>
    <w:rsid w:val="000006D7"/>
    <w:rsid w:val="0000149A"/>
    <w:rsid w:val="000015EC"/>
    <w:rsid w:val="00001DA5"/>
    <w:rsid w:val="00002A33"/>
    <w:rsid w:val="00002D37"/>
    <w:rsid w:val="00002DFC"/>
    <w:rsid w:val="00002EBD"/>
    <w:rsid w:val="00003EA5"/>
    <w:rsid w:val="00004FB7"/>
    <w:rsid w:val="0000747D"/>
    <w:rsid w:val="00010839"/>
    <w:rsid w:val="000111E4"/>
    <w:rsid w:val="00011A7C"/>
    <w:rsid w:val="000130E1"/>
    <w:rsid w:val="00013F11"/>
    <w:rsid w:val="0001435D"/>
    <w:rsid w:val="00014C3B"/>
    <w:rsid w:val="000154FA"/>
    <w:rsid w:val="00015F13"/>
    <w:rsid w:val="00016173"/>
    <w:rsid w:val="000161C2"/>
    <w:rsid w:val="00017D7B"/>
    <w:rsid w:val="000200EB"/>
    <w:rsid w:val="000209EA"/>
    <w:rsid w:val="000210ED"/>
    <w:rsid w:val="000221FA"/>
    <w:rsid w:val="0002270B"/>
    <w:rsid w:val="00022B43"/>
    <w:rsid w:val="00023A8F"/>
    <w:rsid w:val="0002476A"/>
    <w:rsid w:val="00024B07"/>
    <w:rsid w:val="00024DF3"/>
    <w:rsid w:val="0002540B"/>
    <w:rsid w:val="00025E68"/>
    <w:rsid w:val="000270CE"/>
    <w:rsid w:val="00027664"/>
    <w:rsid w:val="00027951"/>
    <w:rsid w:val="00030504"/>
    <w:rsid w:val="000305E3"/>
    <w:rsid w:val="00030855"/>
    <w:rsid w:val="000312FE"/>
    <w:rsid w:val="0003259D"/>
    <w:rsid w:val="00032BEE"/>
    <w:rsid w:val="00032D23"/>
    <w:rsid w:val="00033711"/>
    <w:rsid w:val="00033B15"/>
    <w:rsid w:val="00034483"/>
    <w:rsid w:val="00034DE6"/>
    <w:rsid w:val="0003626A"/>
    <w:rsid w:val="0003658C"/>
    <w:rsid w:val="00036B70"/>
    <w:rsid w:val="00036BE4"/>
    <w:rsid w:val="00037474"/>
    <w:rsid w:val="00040060"/>
    <w:rsid w:val="00041C10"/>
    <w:rsid w:val="00042FA4"/>
    <w:rsid w:val="000430B8"/>
    <w:rsid w:val="00043249"/>
    <w:rsid w:val="00043605"/>
    <w:rsid w:val="00044456"/>
    <w:rsid w:val="000455D5"/>
    <w:rsid w:val="00045712"/>
    <w:rsid w:val="00045C4B"/>
    <w:rsid w:val="000465F1"/>
    <w:rsid w:val="000466E1"/>
    <w:rsid w:val="00047177"/>
    <w:rsid w:val="000473BD"/>
    <w:rsid w:val="00047799"/>
    <w:rsid w:val="000508DF"/>
    <w:rsid w:val="00051B8A"/>
    <w:rsid w:val="00051E01"/>
    <w:rsid w:val="00052230"/>
    <w:rsid w:val="000522E5"/>
    <w:rsid w:val="000526C4"/>
    <w:rsid w:val="00052CA0"/>
    <w:rsid w:val="00053D67"/>
    <w:rsid w:val="000551C1"/>
    <w:rsid w:val="00055917"/>
    <w:rsid w:val="00056C5B"/>
    <w:rsid w:val="00056E96"/>
    <w:rsid w:val="000579B1"/>
    <w:rsid w:val="00057DED"/>
    <w:rsid w:val="000603AC"/>
    <w:rsid w:val="00061C6C"/>
    <w:rsid w:val="00061EF1"/>
    <w:rsid w:val="00062433"/>
    <w:rsid w:val="00063751"/>
    <w:rsid w:val="00064404"/>
    <w:rsid w:val="00064754"/>
    <w:rsid w:val="00065321"/>
    <w:rsid w:val="000653EA"/>
    <w:rsid w:val="00065B3B"/>
    <w:rsid w:val="00065CC5"/>
    <w:rsid w:val="0006663C"/>
    <w:rsid w:val="00066BA7"/>
    <w:rsid w:val="00066CDF"/>
    <w:rsid w:val="00067E38"/>
    <w:rsid w:val="00067E49"/>
    <w:rsid w:val="00070090"/>
    <w:rsid w:val="00070210"/>
    <w:rsid w:val="00070340"/>
    <w:rsid w:val="00070542"/>
    <w:rsid w:val="00070AF9"/>
    <w:rsid w:val="000712F1"/>
    <w:rsid w:val="000729A2"/>
    <w:rsid w:val="00072EDA"/>
    <w:rsid w:val="00073BF7"/>
    <w:rsid w:val="00074103"/>
    <w:rsid w:val="0007530D"/>
    <w:rsid w:val="00075944"/>
    <w:rsid w:val="00076967"/>
    <w:rsid w:val="00077159"/>
    <w:rsid w:val="000776EA"/>
    <w:rsid w:val="000776F7"/>
    <w:rsid w:val="0008047C"/>
    <w:rsid w:val="00081EAD"/>
    <w:rsid w:val="00082385"/>
    <w:rsid w:val="00082ACD"/>
    <w:rsid w:val="00083160"/>
    <w:rsid w:val="000857B7"/>
    <w:rsid w:val="00086477"/>
    <w:rsid w:val="00086C9A"/>
    <w:rsid w:val="00087F5D"/>
    <w:rsid w:val="00090459"/>
    <w:rsid w:val="0009159F"/>
    <w:rsid w:val="00091824"/>
    <w:rsid w:val="00091CFC"/>
    <w:rsid w:val="0009243A"/>
    <w:rsid w:val="00092AC2"/>
    <w:rsid w:val="000930D7"/>
    <w:rsid w:val="00093CC7"/>
    <w:rsid w:val="00094781"/>
    <w:rsid w:val="000949BA"/>
    <w:rsid w:val="00094E02"/>
    <w:rsid w:val="000958BB"/>
    <w:rsid w:val="00095EE7"/>
    <w:rsid w:val="0009644A"/>
    <w:rsid w:val="00096663"/>
    <w:rsid w:val="00096EEA"/>
    <w:rsid w:val="00096FF6"/>
    <w:rsid w:val="000976E9"/>
    <w:rsid w:val="00097B02"/>
    <w:rsid w:val="000A00C7"/>
    <w:rsid w:val="000A117B"/>
    <w:rsid w:val="000A1A63"/>
    <w:rsid w:val="000A1DB8"/>
    <w:rsid w:val="000A23A0"/>
    <w:rsid w:val="000A253A"/>
    <w:rsid w:val="000A2914"/>
    <w:rsid w:val="000A3051"/>
    <w:rsid w:val="000A3816"/>
    <w:rsid w:val="000A38B4"/>
    <w:rsid w:val="000A3993"/>
    <w:rsid w:val="000A48AC"/>
    <w:rsid w:val="000A4C44"/>
    <w:rsid w:val="000A520E"/>
    <w:rsid w:val="000A591A"/>
    <w:rsid w:val="000A6739"/>
    <w:rsid w:val="000A687C"/>
    <w:rsid w:val="000B0236"/>
    <w:rsid w:val="000B0603"/>
    <w:rsid w:val="000B06C8"/>
    <w:rsid w:val="000B0A5D"/>
    <w:rsid w:val="000B0D5C"/>
    <w:rsid w:val="000B0E79"/>
    <w:rsid w:val="000B1099"/>
    <w:rsid w:val="000B1530"/>
    <w:rsid w:val="000B1C2E"/>
    <w:rsid w:val="000B2C2F"/>
    <w:rsid w:val="000B37DF"/>
    <w:rsid w:val="000B380F"/>
    <w:rsid w:val="000B39DA"/>
    <w:rsid w:val="000B47CD"/>
    <w:rsid w:val="000B5B68"/>
    <w:rsid w:val="000B6320"/>
    <w:rsid w:val="000B6379"/>
    <w:rsid w:val="000B6E41"/>
    <w:rsid w:val="000B7560"/>
    <w:rsid w:val="000C021F"/>
    <w:rsid w:val="000C05A4"/>
    <w:rsid w:val="000C0CB8"/>
    <w:rsid w:val="000C2014"/>
    <w:rsid w:val="000C2276"/>
    <w:rsid w:val="000C43A1"/>
    <w:rsid w:val="000C5594"/>
    <w:rsid w:val="000C5608"/>
    <w:rsid w:val="000C5DA6"/>
    <w:rsid w:val="000C60B6"/>
    <w:rsid w:val="000C6F77"/>
    <w:rsid w:val="000C7795"/>
    <w:rsid w:val="000D01E6"/>
    <w:rsid w:val="000D1363"/>
    <w:rsid w:val="000D15C1"/>
    <w:rsid w:val="000D2164"/>
    <w:rsid w:val="000D2E75"/>
    <w:rsid w:val="000D31CE"/>
    <w:rsid w:val="000D3E52"/>
    <w:rsid w:val="000D4174"/>
    <w:rsid w:val="000D4A87"/>
    <w:rsid w:val="000D509D"/>
    <w:rsid w:val="000D5C01"/>
    <w:rsid w:val="000D5EEE"/>
    <w:rsid w:val="000D693B"/>
    <w:rsid w:val="000D6A36"/>
    <w:rsid w:val="000D6E32"/>
    <w:rsid w:val="000D7B8C"/>
    <w:rsid w:val="000E0851"/>
    <w:rsid w:val="000E0990"/>
    <w:rsid w:val="000E130A"/>
    <w:rsid w:val="000E1F82"/>
    <w:rsid w:val="000E3E9B"/>
    <w:rsid w:val="000E511F"/>
    <w:rsid w:val="000E59E3"/>
    <w:rsid w:val="000E65D6"/>
    <w:rsid w:val="000E724F"/>
    <w:rsid w:val="000E7A52"/>
    <w:rsid w:val="000F09DC"/>
    <w:rsid w:val="000F0DE4"/>
    <w:rsid w:val="000F3168"/>
    <w:rsid w:val="000F3A61"/>
    <w:rsid w:val="000F42BF"/>
    <w:rsid w:val="000F5ADD"/>
    <w:rsid w:val="000F6E19"/>
    <w:rsid w:val="000F7A2A"/>
    <w:rsid w:val="001005D1"/>
    <w:rsid w:val="0010237E"/>
    <w:rsid w:val="00102D26"/>
    <w:rsid w:val="00102D60"/>
    <w:rsid w:val="001031E4"/>
    <w:rsid w:val="001044AD"/>
    <w:rsid w:val="001049F4"/>
    <w:rsid w:val="00104D05"/>
    <w:rsid w:val="001051A3"/>
    <w:rsid w:val="00105ED9"/>
    <w:rsid w:val="0010621C"/>
    <w:rsid w:val="001066BF"/>
    <w:rsid w:val="0010729F"/>
    <w:rsid w:val="00107FE2"/>
    <w:rsid w:val="00110815"/>
    <w:rsid w:val="00111E8B"/>
    <w:rsid w:val="00112A52"/>
    <w:rsid w:val="00114576"/>
    <w:rsid w:val="00116A1B"/>
    <w:rsid w:val="001178F7"/>
    <w:rsid w:val="0012138E"/>
    <w:rsid w:val="001226BE"/>
    <w:rsid w:val="00122908"/>
    <w:rsid w:val="00122C87"/>
    <w:rsid w:val="00123CCD"/>
    <w:rsid w:val="00123EFC"/>
    <w:rsid w:val="00124094"/>
    <w:rsid w:val="001251C3"/>
    <w:rsid w:val="001253C1"/>
    <w:rsid w:val="00125903"/>
    <w:rsid w:val="00125CCB"/>
    <w:rsid w:val="001267B3"/>
    <w:rsid w:val="00126CA2"/>
    <w:rsid w:val="00127CB7"/>
    <w:rsid w:val="00131669"/>
    <w:rsid w:val="00133EA0"/>
    <w:rsid w:val="00134774"/>
    <w:rsid w:val="00134E05"/>
    <w:rsid w:val="00135107"/>
    <w:rsid w:val="00136193"/>
    <w:rsid w:val="00136593"/>
    <w:rsid w:val="00136CC1"/>
    <w:rsid w:val="00137C76"/>
    <w:rsid w:val="001401F4"/>
    <w:rsid w:val="00140274"/>
    <w:rsid w:val="00140B0A"/>
    <w:rsid w:val="001418AF"/>
    <w:rsid w:val="001423A9"/>
    <w:rsid w:val="00142E3D"/>
    <w:rsid w:val="00143EA5"/>
    <w:rsid w:val="00144024"/>
    <w:rsid w:val="001443A4"/>
    <w:rsid w:val="00145367"/>
    <w:rsid w:val="00147D63"/>
    <w:rsid w:val="0015014E"/>
    <w:rsid w:val="00151263"/>
    <w:rsid w:val="00151FE2"/>
    <w:rsid w:val="0015239E"/>
    <w:rsid w:val="0015258C"/>
    <w:rsid w:val="00153C24"/>
    <w:rsid w:val="001546EF"/>
    <w:rsid w:val="001557CE"/>
    <w:rsid w:val="00155D45"/>
    <w:rsid w:val="001561AB"/>
    <w:rsid w:val="00160FCC"/>
    <w:rsid w:val="00161207"/>
    <w:rsid w:val="00161296"/>
    <w:rsid w:val="001624F3"/>
    <w:rsid w:val="0016266F"/>
    <w:rsid w:val="00162A8D"/>
    <w:rsid w:val="00162ABF"/>
    <w:rsid w:val="00163963"/>
    <w:rsid w:val="00163FCD"/>
    <w:rsid w:val="0016469B"/>
    <w:rsid w:val="00164ED6"/>
    <w:rsid w:val="001655CE"/>
    <w:rsid w:val="00165827"/>
    <w:rsid w:val="00165E3C"/>
    <w:rsid w:val="0016655B"/>
    <w:rsid w:val="001666EF"/>
    <w:rsid w:val="001668D1"/>
    <w:rsid w:val="00170011"/>
    <w:rsid w:val="001700AB"/>
    <w:rsid w:val="001719DB"/>
    <w:rsid w:val="001727AE"/>
    <w:rsid w:val="001734B6"/>
    <w:rsid w:val="001737EB"/>
    <w:rsid w:val="00173D4F"/>
    <w:rsid w:val="00173FB5"/>
    <w:rsid w:val="0017445F"/>
    <w:rsid w:val="00174882"/>
    <w:rsid w:val="00174D9A"/>
    <w:rsid w:val="00174FB3"/>
    <w:rsid w:val="00175788"/>
    <w:rsid w:val="00175C37"/>
    <w:rsid w:val="00177297"/>
    <w:rsid w:val="00180821"/>
    <w:rsid w:val="00180C58"/>
    <w:rsid w:val="00181663"/>
    <w:rsid w:val="0018207A"/>
    <w:rsid w:val="001827A7"/>
    <w:rsid w:val="00182934"/>
    <w:rsid w:val="00182CB4"/>
    <w:rsid w:val="00182D40"/>
    <w:rsid w:val="00182E17"/>
    <w:rsid w:val="00183935"/>
    <w:rsid w:val="00183B40"/>
    <w:rsid w:val="00183F77"/>
    <w:rsid w:val="001855FC"/>
    <w:rsid w:val="00186CDD"/>
    <w:rsid w:val="00186F2D"/>
    <w:rsid w:val="00187602"/>
    <w:rsid w:val="00187EAE"/>
    <w:rsid w:val="00190B63"/>
    <w:rsid w:val="0019234A"/>
    <w:rsid w:val="00192DF9"/>
    <w:rsid w:val="001943B6"/>
    <w:rsid w:val="0019476B"/>
    <w:rsid w:val="00194837"/>
    <w:rsid w:val="00194A8A"/>
    <w:rsid w:val="00194DE4"/>
    <w:rsid w:val="00194FFD"/>
    <w:rsid w:val="00195434"/>
    <w:rsid w:val="0019564F"/>
    <w:rsid w:val="00195EDE"/>
    <w:rsid w:val="00196C32"/>
    <w:rsid w:val="0019730C"/>
    <w:rsid w:val="001A0270"/>
    <w:rsid w:val="001A0332"/>
    <w:rsid w:val="001A0648"/>
    <w:rsid w:val="001A1204"/>
    <w:rsid w:val="001A139E"/>
    <w:rsid w:val="001A2949"/>
    <w:rsid w:val="001A2A26"/>
    <w:rsid w:val="001A2A3A"/>
    <w:rsid w:val="001A3240"/>
    <w:rsid w:val="001A3458"/>
    <w:rsid w:val="001A35F5"/>
    <w:rsid w:val="001A3656"/>
    <w:rsid w:val="001A4255"/>
    <w:rsid w:val="001A45F5"/>
    <w:rsid w:val="001A475E"/>
    <w:rsid w:val="001A4C44"/>
    <w:rsid w:val="001A597C"/>
    <w:rsid w:val="001A5BF5"/>
    <w:rsid w:val="001A7EDB"/>
    <w:rsid w:val="001B0353"/>
    <w:rsid w:val="001B03FE"/>
    <w:rsid w:val="001B08B4"/>
    <w:rsid w:val="001B18E1"/>
    <w:rsid w:val="001B1A91"/>
    <w:rsid w:val="001B1AEF"/>
    <w:rsid w:val="001B2B53"/>
    <w:rsid w:val="001B3C9D"/>
    <w:rsid w:val="001B4F53"/>
    <w:rsid w:val="001B519E"/>
    <w:rsid w:val="001B544E"/>
    <w:rsid w:val="001B5F89"/>
    <w:rsid w:val="001B7BBA"/>
    <w:rsid w:val="001B7BC1"/>
    <w:rsid w:val="001C04BC"/>
    <w:rsid w:val="001C0C11"/>
    <w:rsid w:val="001C1865"/>
    <w:rsid w:val="001C1A69"/>
    <w:rsid w:val="001C1F8B"/>
    <w:rsid w:val="001C23FB"/>
    <w:rsid w:val="001C252E"/>
    <w:rsid w:val="001C253C"/>
    <w:rsid w:val="001C25C4"/>
    <w:rsid w:val="001C2D4E"/>
    <w:rsid w:val="001C3111"/>
    <w:rsid w:val="001C39A4"/>
    <w:rsid w:val="001C3A0D"/>
    <w:rsid w:val="001C4369"/>
    <w:rsid w:val="001C670C"/>
    <w:rsid w:val="001C6CF2"/>
    <w:rsid w:val="001C7A34"/>
    <w:rsid w:val="001C7E59"/>
    <w:rsid w:val="001D0899"/>
    <w:rsid w:val="001D0A90"/>
    <w:rsid w:val="001D22C7"/>
    <w:rsid w:val="001D258C"/>
    <w:rsid w:val="001D2C30"/>
    <w:rsid w:val="001D2F44"/>
    <w:rsid w:val="001D2F5E"/>
    <w:rsid w:val="001D4434"/>
    <w:rsid w:val="001D4664"/>
    <w:rsid w:val="001D4D2C"/>
    <w:rsid w:val="001D55BC"/>
    <w:rsid w:val="001D5600"/>
    <w:rsid w:val="001D5D5D"/>
    <w:rsid w:val="001D69E9"/>
    <w:rsid w:val="001E0328"/>
    <w:rsid w:val="001E0D06"/>
    <w:rsid w:val="001E1C03"/>
    <w:rsid w:val="001E265C"/>
    <w:rsid w:val="001E3311"/>
    <w:rsid w:val="001E3755"/>
    <w:rsid w:val="001E4641"/>
    <w:rsid w:val="001E4741"/>
    <w:rsid w:val="001E4C7D"/>
    <w:rsid w:val="001E5676"/>
    <w:rsid w:val="001E5718"/>
    <w:rsid w:val="001E586C"/>
    <w:rsid w:val="001E5A09"/>
    <w:rsid w:val="001E7E93"/>
    <w:rsid w:val="001F0928"/>
    <w:rsid w:val="001F25CB"/>
    <w:rsid w:val="001F2BBB"/>
    <w:rsid w:val="001F3C22"/>
    <w:rsid w:val="001F4051"/>
    <w:rsid w:val="001F4FE5"/>
    <w:rsid w:val="001F52FD"/>
    <w:rsid w:val="001F593F"/>
    <w:rsid w:val="001F5B74"/>
    <w:rsid w:val="001F62CC"/>
    <w:rsid w:val="001F6D60"/>
    <w:rsid w:val="00200677"/>
    <w:rsid w:val="002006FB"/>
    <w:rsid w:val="00201255"/>
    <w:rsid w:val="002012F7"/>
    <w:rsid w:val="00201B23"/>
    <w:rsid w:val="0020248C"/>
    <w:rsid w:val="002024D3"/>
    <w:rsid w:val="00202561"/>
    <w:rsid w:val="002027F6"/>
    <w:rsid w:val="002034D7"/>
    <w:rsid w:val="00203582"/>
    <w:rsid w:val="0020393F"/>
    <w:rsid w:val="00203E63"/>
    <w:rsid w:val="00203F38"/>
    <w:rsid w:val="00204007"/>
    <w:rsid w:val="00205A78"/>
    <w:rsid w:val="002068EB"/>
    <w:rsid w:val="00206BC7"/>
    <w:rsid w:val="0020718F"/>
    <w:rsid w:val="00207BDA"/>
    <w:rsid w:val="0021114E"/>
    <w:rsid w:val="00211E16"/>
    <w:rsid w:val="00211E46"/>
    <w:rsid w:val="0021290D"/>
    <w:rsid w:val="00212CD4"/>
    <w:rsid w:val="00213AFB"/>
    <w:rsid w:val="00216908"/>
    <w:rsid w:val="002172B3"/>
    <w:rsid w:val="00217A7A"/>
    <w:rsid w:val="00220924"/>
    <w:rsid w:val="00221CEF"/>
    <w:rsid w:val="00221F19"/>
    <w:rsid w:val="00222544"/>
    <w:rsid w:val="0022262B"/>
    <w:rsid w:val="00222B01"/>
    <w:rsid w:val="00222C63"/>
    <w:rsid w:val="00223CAB"/>
    <w:rsid w:val="00225043"/>
    <w:rsid w:val="0022524F"/>
    <w:rsid w:val="0022716E"/>
    <w:rsid w:val="00227993"/>
    <w:rsid w:val="002305A6"/>
    <w:rsid w:val="00230FC0"/>
    <w:rsid w:val="002311A3"/>
    <w:rsid w:val="00231ED1"/>
    <w:rsid w:val="00232753"/>
    <w:rsid w:val="002333DC"/>
    <w:rsid w:val="00234AF1"/>
    <w:rsid w:val="00235016"/>
    <w:rsid w:val="00236888"/>
    <w:rsid w:val="00236BE5"/>
    <w:rsid w:val="0023725A"/>
    <w:rsid w:val="00237563"/>
    <w:rsid w:val="00240A54"/>
    <w:rsid w:val="00241523"/>
    <w:rsid w:val="00242624"/>
    <w:rsid w:val="0024522F"/>
    <w:rsid w:val="0024557E"/>
    <w:rsid w:val="002463FE"/>
    <w:rsid w:val="002471FD"/>
    <w:rsid w:val="0025038A"/>
    <w:rsid w:val="0025112C"/>
    <w:rsid w:val="00252315"/>
    <w:rsid w:val="002523FB"/>
    <w:rsid w:val="00252F2C"/>
    <w:rsid w:val="0025400F"/>
    <w:rsid w:val="00254EFE"/>
    <w:rsid w:val="002552EF"/>
    <w:rsid w:val="0025584B"/>
    <w:rsid w:val="002561A3"/>
    <w:rsid w:val="00257CAC"/>
    <w:rsid w:val="00260C32"/>
    <w:rsid w:val="00260CA3"/>
    <w:rsid w:val="002632CC"/>
    <w:rsid w:val="002632EA"/>
    <w:rsid w:val="0026349C"/>
    <w:rsid w:val="00263A2D"/>
    <w:rsid w:val="0026449F"/>
    <w:rsid w:val="002648FF"/>
    <w:rsid w:val="00264B5D"/>
    <w:rsid w:val="00264C85"/>
    <w:rsid w:val="002658D4"/>
    <w:rsid w:val="00265F3F"/>
    <w:rsid w:val="00266472"/>
    <w:rsid w:val="00270D36"/>
    <w:rsid w:val="00271BBE"/>
    <w:rsid w:val="00273730"/>
    <w:rsid w:val="002738FD"/>
    <w:rsid w:val="002761CF"/>
    <w:rsid w:val="00276DB4"/>
    <w:rsid w:val="00280C94"/>
    <w:rsid w:val="002814D3"/>
    <w:rsid w:val="00282219"/>
    <w:rsid w:val="002827AE"/>
    <w:rsid w:val="0028506A"/>
    <w:rsid w:val="002850B0"/>
    <w:rsid w:val="00285188"/>
    <w:rsid w:val="00285494"/>
    <w:rsid w:val="00285808"/>
    <w:rsid w:val="00285E2A"/>
    <w:rsid w:val="00285E46"/>
    <w:rsid w:val="002863A8"/>
    <w:rsid w:val="002863D7"/>
    <w:rsid w:val="002873B4"/>
    <w:rsid w:val="002909B9"/>
    <w:rsid w:val="00290F3D"/>
    <w:rsid w:val="00290FCD"/>
    <w:rsid w:val="00291D4B"/>
    <w:rsid w:val="00292112"/>
    <w:rsid w:val="00292237"/>
    <w:rsid w:val="00292AB5"/>
    <w:rsid w:val="00292E23"/>
    <w:rsid w:val="0029321B"/>
    <w:rsid w:val="0029322D"/>
    <w:rsid w:val="00293CAE"/>
    <w:rsid w:val="00294DEE"/>
    <w:rsid w:val="0029533C"/>
    <w:rsid w:val="0029574B"/>
    <w:rsid w:val="00295C25"/>
    <w:rsid w:val="00295CF5"/>
    <w:rsid w:val="0029651F"/>
    <w:rsid w:val="00296F9F"/>
    <w:rsid w:val="002A1461"/>
    <w:rsid w:val="002A1641"/>
    <w:rsid w:val="002A17B5"/>
    <w:rsid w:val="002A2284"/>
    <w:rsid w:val="002A30D9"/>
    <w:rsid w:val="002A36E0"/>
    <w:rsid w:val="002A389F"/>
    <w:rsid w:val="002A3C66"/>
    <w:rsid w:val="002A3D7E"/>
    <w:rsid w:val="002A4244"/>
    <w:rsid w:val="002A43C2"/>
    <w:rsid w:val="002A4D82"/>
    <w:rsid w:val="002A5286"/>
    <w:rsid w:val="002A575F"/>
    <w:rsid w:val="002A683B"/>
    <w:rsid w:val="002A694D"/>
    <w:rsid w:val="002A6E99"/>
    <w:rsid w:val="002A75C6"/>
    <w:rsid w:val="002B00F7"/>
    <w:rsid w:val="002B070C"/>
    <w:rsid w:val="002B0CA0"/>
    <w:rsid w:val="002B0CF3"/>
    <w:rsid w:val="002B1B65"/>
    <w:rsid w:val="002B4C33"/>
    <w:rsid w:val="002C02DB"/>
    <w:rsid w:val="002C0CE7"/>
    <w:rsid w:val="002C1866"/>
    <w:rsid w:val="002C3B14"/>
    <w:rsid w:val="002C3B56"/>
    <w:rsid w:val="002C3F49"/>
    <w:rsid w:val="002C4E89"/>
    <w:rsid w:val="002C5361"/>
    <w:rsid w:val="002C657F"/>
    <w:rsid w:val="002C65FB"/>
    <w:rsid w:val="002C67D4"/>
    <w:rsid w:val="002D02E4"/>
    <w:rsid w:val="002D03ED"/>
    <w:rsid w:val="002D0A5A"/>
    <w:rsid w:val="002D0BE2"/>
    <w:rsid w:val="002D10EA"/>
    <w:rsid w:val="002D1149"/>
    <w:rsid w:val="002D1255"/>
    <w:rsid w:val="002D25D6"/>
    <w:rsid w:val="002D42B5"/>
    <w:rsid w:val="002D4939"/>
    <w:rsid w:val="002D5646"/>
    <w:rsid w:val="002D5847"/>
    <w:rsid w:val="002D5B1D"/>
    <w:rsid w:val="002D5BE3"/>
    <w:rsid w:val="002D5D5B"/>
    <w:rsid w:val="002D6219"/>
    <w:rsid w:val="002D65F6"/>
    <w:rsid w:val="002D7561"/>
    <w:rsid w:val="002E03AF"/>
    <w:rsid w:val="002E0518"/>
    <w:rsid w:val="002E2451"/>
    <w:rsid w:val="002E2AB0"/>
    <w:rsid w:val="002E358C"/>
    <w:rsid w:val="002E3EA2"/>
    <w:rsid w:val="002E5A1B"/>
    <w:rsid w:val="002E6074"/>
    <w:rsid w:val="002E62B2"/>
    <w:rsid w:val="002E6863"/>
    <w:rsid w:val="002E7A7A"/>
    <w:rsid w:val="002F322F"/>
    <w:rsid w:val="002F4CE1"/>
    <w:rsid w:val="002F5856"/>
    <w:rsid w:val="002F589B"/>
    <w:rsid w:val="002F5E96"/>
    <w:rsid w:val="002F6B29"/>
    <w:rsid w:val="002F6F17"/>
    <w:rsid w:val="0030053D"/>
    <w:rsid w:val="00300F22"/>
    <w:rsid w:val="003020C0"/>
    <w:rsid w:val="003037DD"/>
    <w:rsid w:val="00304738"/>
    <w:rsid w:val="00304A37"/>
    <w:rsid w:val="00304D00"/>
    <w:rsid w:val="003054D9"/>
    <w:rsid w:val="00306005"/>
    <w:rsid w:val="00307910"/>
    <w:rsid w:val="003103B5"/>
    <w:rsid w:val="0031040E"/>
    <w:rsid w:val="00310956"/>
    <w:rsid w:val="00310ED4"/>
    <w:rsid w:val="003111BE"/>
    <w:rsid w:val="003118E6"/>
    <w:rsid w:val="0031222E"/>
    <w:rsid w:val="00312301"/>
    <w:rsid w:val="003138B0"/>
    <w:rsid w:val="0031477C"/>
    <w:rsid w:val="0031492A"/>
    <w:rsid w:val="00315F38"/>
    <w:rsid w:val="003161FF"/>
    <w:rsid w:val="0031651C"/>
    <w:rsid w:val="00316C1A"/>
    <w:rsid w:val="00316F6D"/>
    <w:rsid w:val="00317389"/>
    <w:rsid w:val="00317404"/>
    <w:rsid w:val="003175F1"/>
    <w:rsid w:val="00317D0C"/>
    <w:rsid w:val="00317D92"/>
    <w:rsid w:val="003202BA"/>
    <w:rsid w:val="003218C9"/>
    <w:rsid w:val="00321C47"/>
    <w:rsid w:val="00321F31"/>
    <w:rsid w:val="00322E16"/>
    <w:rsid w:val="00323607"/>
    <w:rsid w:val="00323C73"/>
    <w:rsid w:val="003248FD"/>
    <w:rsid w:val="00325A60"/>
    <w:rsid w:val="00325C60"/>
    <w:rsid w:val="003270D6"/>
    <w:rsid w:val="0032714E"/>
    <w:rsid w:val="0032742B"/>
    <w:rsid w:val="0032759D"/>
    <w:rsid w:val="00331141"/>
    <w:rsid w:val="0033125C"/>
    <w:rsid w:val="00332330"/>
    <w:rsid w:val="003325D3"/>
    <w:rsid w:val="0033273E"/>
    <w:rsid w:val="003334F7"/>
    <w:rsid w:val="003338BA"/>
    <w:rsid w:val="003355F3"/>
    <w:rsid w:val="00335619"/>
    <w:rsid w:val="00336811"/>
    <w:rsid w:val="00336F15"/>
    <w:rsid w:val="00340F4A"/>
    <w:rsid w:val="0034121D"/>
    <w:rsid w:val="0034231C"/>
    <w:rsid w:val="003423F4"/>
    <w:rsid w:val="00342A21"/>
    <w:rsid w:val="00343FCA"/>
    <w:rsid w:val="00344758"/>
    <w:rsid w:val="00345B3F"/>
    <w:rsid w:val="00345B87"/>
    <w:rsid w:val="003467C6"/>
    <w:rsid w:val="00347142"/>
    <w:rsid w:val="0034759E"/>
    <w:rsid w:val="00347E07"/>
    <w:rsid w:val="00350237"/>
    <w:rsid w:val="0035037D"/>
    <w:rsid w:val="00350B0D"/>
    <w:rsid w:val="00350D1B"/>
    <w:rsid w:val="003517C4"/>
    <w:rsid w:val="00351986"/>
    <w:rsid w:val="00353C5F"/>
    <w:rsid w:val="00355406"/>
    <w:rsid w:val="00355A4E"/>
    <w:rsid w:val="003565A8"/>
    <w:rsid w:val="003566C6"/>
    <w:rsid w:val="003566EA"/>
    <w:rsid w:val="0035712C"/>
    <w:rsid w:val="00357BD1"/>
    <w:rsid w:val="003608EA"/>
    <w:rsid w:val="00360E25"/>
    <w:rsid w:val="00360E9B"/>
    <w:rsid w:val="00361C17"/>
    <w:rsid w:val="00361C1E"/>
    <w:rsid w:val="00361C93"/>
    <w:rsid w:val="00363C3B"/>
    <w:rsid w:val="00363DFB"/>
    <w:rsid w:val="0036406F"/>
    <w:rsid w:val="003647E5"/>
    <w:rsid w:val="003649A4"/>
    <w:rsid w:val="003659DB"/>
    <w:rsid w:val="00365AB4"/>
    <w:rsid w:val="00365C32"/>
    <w:rsid w:val="00365E6A"/>
    <w:rsid w:val="003661B2"/>
    <w:rsid w:val="00366BE5"/>
    <w:rsid w:val="00366F95"/>
    <w:rsid w:val="003674AB"/>
    <w:rsid w:val="00371294"/>
    <w:rsid w:val="0037139E"/>
    <w:rsid w:val="003715B9"/>
    <w:rsid w:val="00371B4B"/>
    <w:rsid w:val="00372867"/>
    <w:rsid w:val="00372C79"/>
    <w:rsid w:val="003760DA"/>
    <w:rsid w:val="00376B19"/>
    <w:rsid w:val="00377CBA"/>
    <w:rsid w:val="00380580"/>
    <w:rsid w:val="0038189A"/>
    <w:rsid w:val="00382B4D"/>
    <w:rsid w:val="00383F44"/>
    <w:rsid w:val="003840F7"/>
    <w:rsid w:val="003850C0"/>
    <w:rsid w:val="00385724"/>
    <w:rsid w:val="00386887"/>
    <w:rsid w:val="003868B9"/>
    <w:rsid w:val="00387734"/>
    <w:rsid w:val="00387A4B"/>
    <w:rsid w:val="00390259"/>
    <w:rsid w:val="00390825"/>
    <w:rsid w:val="0039163D"/>
    <w:rsid w:val="0039170B"/>
    <w:rsid w:val="003928D3"/>
    <w:rsid w:val="0039315C"/>
    <w:rsid w:val="0039337F"/>
    <w:rsid w:val="00393E01"/>
    <w:rsid w:val="00395235"/>
    <w:rsid w:val="0039537D"/>
    <w:rsid w:val="0039569A"/>
    <w:rsid w:val="003965CE"/>
    <w:rsid w:val="003969B9"/>
    <w:rsid w:val="00396CA5"/>
    <w:rsid w:val="003A082C"/>
    <w:rsid w:val="003A0A7F"/>
    <w:rsid w:val="003A0B6C"/>
    <w:rsid w:val="003A168E"/>
    <w:rsid w:val="003A1D45"/>
    <w:rsid w:val="003A274C"/>
    <w:rsid w:val="003A444A"/>
    <w:rsid w:val="003A4763"/>
    <w:rsid w:val="003A48B7"/>
    <w:rsid w:val="003A5594"/>
    <w:rsid w:val="003A6089"/>
    <w:rsid w:val="003A60A9"/>
    <w:rsid w:val="003B082D"/>
    <w:rsid w:val="003B0E8B"/>
    <w:rsid w:val="003B163D"/>
    <w:rsid w:val="003B38E9"/>
    <w:rsid w:val="003B3A59"/>
    <w:rsid w:val="003B4514"/>
    <w:rsid w:val="003B54B2"/>
    <w:rsid w:val="003B577F"/>
    <w:rsid w:val="003B5EE5"/>
    <w:rsid w:val="003B7798"/>
    <w:rsid w:val="003B781E"/>
    <w:rsid w:val="003C00C3"/>
    <w:rsid w:val="003C1650"/>
    <w:rsid w:val="003C1A02"/>
    <w:rsid w:val="003C1FDD"/>
    <w:rsid w:val="003C21EB"/>
    <w:rsid w:val="003C2A12"/>
    <w:rsid w:val="003C3415"/>
    <w:rsid w:val="003C38AD"/>
    <w:rsid w:val="003C3B1B"/>
    <w:rsid w:val="003C40E9"/>
    <w:rsid w:val="003C42E1"/>
    <w:rsid w:val="003C4FC6"/>
    <w:rsid w:val="003C5081"/>
    <w:rsid w:val="003C51D2"/>
    <w:rsid w:val="003C6002"/>
    <w:rsid w:val="003C778F"/>
    <w:rsid w:val="003D0526"/>
    <w:rsid w:val="003D0FE2"/>
    <w:rsid w:val="003D1729"/>
    <w:rsid w:val="003D1A71"/>
    <w:rsid w:val="003D1F7C"/>
    <w:rsid w:val="003D25FB"/>
    <w:rsid w:val="003D3C5E"/>
    <w:rsid w:val="003D41A7"/>
    <w:rsid w:val="003D5A1B"/>
    <w:rsid w:val="003D6110"/>
    <w:rsid w:val="003D61B8"/>
    <w:rsid w:val="003D69E8"/>
    <w:rsid w:val="003D6F31"/>
    <w:rsid w:val="003D7F07"/>
    <w:rsid w:val="003D7F7B"/>
    <w:rsid w:val="003E0599"/>
    <w:rsid w:val="003E0720"/>
    <w:rsid w:val="003E1BA4"/>
    <w:rsid w:val="003E2200"/>
    <w:rsid w:val="003E25EE"/>
    <w:rsid w:val="003E2A13"/>
    <w:rsid w:val="003E2C00"/>
    <w:rsid w:val="003E2CB6"/>
    <w:rsid w:val="003E3454"/>
    <w:rsid w:val="003E3BA8"/>
    <w:rsid w:val="003E4071"/>
    <w:rsid w:val="003E408D"/>
    <w:rsid w:val="003E5DEF"/>
    <w:rsid w:val="003E63F3"/>
    <w:rsid w:val="003E653C"/>
    <w:rsid w:val="003E6B0A"/>
    <w:rsid w:val="003E7E5B"/>
    <w:rsid w:val="003F121D"/>
    <w:rsid w:val="003F1795"/>
    <w:rsid w:val="003F29A8"/>
    <w:rsid w:val="003F2A98"/>
    <w:rsid w:val="003F3819"/>
    <w:rsid w:val="003F4F90"/>
    <w:rsid w:val="003F6766"/>
    <w:rsid w:val="003F68CE"/>
    <w:rsid w:val="003F7761"/>
    <w:rsid w:val="003F7D49"/>
    <w:rsid w:val="004006FD"/>
    <w:rsid w:val="00400946"/>
    <w:rsid w:val="00401CF1"/>
    <w:rsid w:val="0040217F"/>
    <w:rsid w:val="00402285"/>
    <w:rsid w:val="004022DE"/>
    <w:rsid w:val="004039A8"/>
    <w:rsid w:val="004047F3"/>
    <w:rsid w:val="0040497E"/>
    <w:rsid w:val="00404F4F"/>
    <w:rsid w:val="00406A0F"/>
    <w:rsid w:val="004071EC"/>
    <w:rsid w:val="004106DA"/>
    <w:rsid w:val="0041073C"/>
    <w:rsid w:val="00411730"/>
    <w:rsid w:val="00411AA6"/>
    <w:rsid w:val="0041260C"/>
    <w:rsid w:val="0041363B"/>
    <w:rsid w:val="004139A2"/>
    <w:rsid w:val="004145FB"/>
    <w:rsid w:val="00414839"/>
    <w:rsid w:val="00414FCF"/>
    <w:rsid w:val="00415573"/>
    <w:rsid w:val="004158B9"/>
    <w:rsid w:val="00415EF9"/>
    <w:rsid w:val="00416BA5"/>
    <w:rsid w:val="00417159"/>
    <w:rsid w:val="00420111"/>
    <w:rsid w:val="004205CF"/>
    <w:rsid w:val="00420C47"/>
    <w:rsid w:val="00421DFB"/>
    <w:rsid w:val="00422417"/>
    <w:rsid w:val="00422C58"/>
    <w:rsid w:val="00422CF7"/>
    <w:rsid w:val="0042351C"/>
    <w:rsid w:val="00424233"/>
    <w:rsid w:val="004243FC"/>
    <w:rsid w:val="00425059"/>
    <w:rsid w:val="00425B32"/>
    <w:rsid w:val="00426DB7"/>
    <w:rsid w:val="00426E52"/>
    <w:rsid w:val="00430FB6"/>
    <w:rsid w:val="00431A36"/>
    <w:rsid w:val="00431C3E"/>
    <w:rsid w:val="004329A6"/>
    <w:rsid w:val="00432DEE"/>
    <w:rsid w:val="004330A8"/>
    <w:rsid w:val="0043345A"/>
    <w:rsid w:val="00433559"/>
    <w:rsid w:val="0043382C"/>
    <w:rsid w:val="00434176"/>
    <w:rsid w:val="00434F36"/>
    <w:rsid w:val="00435379"/>
    <w:rsid w:val="004356DF"/>
    <w:rsid w:val="00436091"/>
    <w:rsid w:val="00437030"/>
    <w:rsid w:val="00437244"/>
    <w:rsid w:val="00437322"/>
    <w:rsid w:val="00437BDF"/>
    <w:rsid w:val="00440732"/>
    <w:rsid w:val="00440E8A"/>
    <w:rsid w:val="004412BE"/>
    <w:rsid w:val="00442059"/>
    <w:rsid w:val="00442D99"/>
    <w:rsid w:val="004433F1"/>
    <w:rsid w:val="00443A5B"/>
    <w:rsid w:val="00443EF4"/>
    <w:rsid w:val="004441C1"/>
    <w:rsid w:val="00444279"/>
    <w:rsid w:val="00444E82"/>
    <w:rsid w:val="00445C69"/>
    <w:rsid w:val="00445CB4"/>
    <w:rsid w:val="00445CB5"/>
    <w:rsid w:val="0044772F"/>
    <w:rsid w:val="004478E7"/>
    <w:rsid w:val="00447D72"/>
    <w:rsid w:val="00450AC3"/>
    <w:rsid w:val="00450CAE"/>
    <w:rsid w:val="0045102C"/>
    <w:rsid w:val="00451FD1"/>
    <w:rsid w:val="0045328C"/>
    <w:rsid w:val="0045433A"/>
    <w:rsid w:val="004557A4"/>
    <w:rsid w:val="004557C2"/>
    <w:rsid w:val="00456067"/>
    <w:rsid w:val="00457883"/>
    <w:rsid w:val="004600C5"/>
    <w:rsid w:val="004606CB"/>
    <w:rsid w:val="004607CE"/>
    <w:rsid w:val="00460898"/>
    <w:rsid w:val="00460907"/>
    <w:rsid w:val="00460EE0"/>
    <w:rsid w:val="0046152F"/>
    <w:rsid w:val="004618EA"/>
    <w:rsid w:val="00462EDA"/>
    <w:rsid w:val="00463784"/>
    <w:rsid w:val="004640AA"/>
    <w:rsid w:val="0046491E"/>
    <w:rsid w:val="00465405"/>
    <w:rsid w:val="004665B2"/>
    <w:rsid w:val="00466895"/>
    <w:rsid w:val="004671A9"/>
    <w:rsid w:val="0047024A"/>
    <w:rsid w:val="00471057"/>
    <w:rsid w:val="004712FB"/>
    <w:rsid w:val="00471BB7"/>
    <w:rsid w:val="004722AF"/>
    <w:rsid w:val="0047242F"/>
    <w:rsid w:val="004726AE"/>
    <w:rsid w:val="00472EFF"/>
    <w:rsid w:val="00473A17"/>
    <w:rsid w:val="00473E28"/>
    <w:rsid w:val="00474063"/>
    <w:rsid w:val="00474258"/>
    <w:rsid w:val="004746B1"/>
    <w:rsid w:val="00475BF0"/>
    <w:rsid w:val="00475DBF"/>
    <w:rsid w:val="00476793"/>
    <w:rsid w:val="0048016F"/>
    <w:rsid w:val="004808C4"/>
    <w:rsid w:val="004814B6"/>
    <w:rsid w:val="00481B2A"/>
    <w:rsid w:val="00482091"/>
    <w:rsid w:val="00483716"/>
    <w:rsid w:val="00484120"/>
    <w:rsid w:val="00484920"/>
    <w:rsid w:val="00484F87"/>
    <w:rsid w:val="0048656A"/>
    <w:rsid w:val="00486B61"/>
    <w:rsid w:val="00487B04"/>
    <w:rsid w:val="004909D9"/>
    <w:rsid w:val="00490BC6"/>
    <w:rsid w:val="00491A21"/>
    <w:rsid w:val="004933B5"/>
    <w:rsid w:val="004938BC"/>
    <w:rsid w:val="0049600F"/>
    <w:rsid w:val="0049628B"/>
    <w:rsid w:val="00496E5E"/>
    <w:rsid w:val="004970F5"/>
    <w:rsid w:val="0049761A"/>
    <w:rsid w:val="004A054E"/>
    <w:rsid w:val="004A06E2"/>
    <w:rsid w:val="004A187B"/>
    <w:rsid w:val="004A2ABD"/>
    <w:rsid w:val="004A2D3C"/>
    <w:rsid w:val="004A391F"/>
    <w:rsid w:val="004A5750"/>
    <w:rsid w:val="004A6514"/>
    <w:rsid w:val="004A7719"/>
    <w:rsid w:val="004A77DB"/>
    <w:rsid w:val="004A7C0B"/>
    <w:rsid w:val="004A7EC2"/>
    <w:rsid w:val="004B1341"/>
    <w:rsid w:val="004B2125"/>
    <w:rsid w:val="004B2685"/>
    <w:rsid w:val="004B2991"/>
    <w:rsid w:val="004B2A18"/>
    <w:rsid w:val="004B2EBC"/>
    <w:rsid w:val="004B2FC6"/>
    <w:rsid w:val="004B4B7C"/>
    <w:rsid w:val="004B4E62"/>
    <w:rsid w:val="004B4E9E"/>
    <w:rsid w:val="004B765E"/>
    <w:rsid w:val="004C0B6A"/>
    <w:rsid w:val="004C0D2B"/>
    <w:rsid w:val="004C1FC4"/>
    <w:rsid w:val="004C2180"/>
    <w:rsid w:val="004C2ADB"/>
    <w:rsid w:val="004C3ECC"/>
    <w:rsid w:val="004C4419"/>
    <w:rsid w:val="004C4910"/>
    <w:rsid w:val="004C5396"/>
    <w:rsid w:val="004C62CD"/>
    <w:rsid w:val="004C6D89"/>
    <w:rsid w:val="004C7412"/>
    <w:rsid w:val="004C762E"/>
    <w:rsid w:val="004C765C"/>
    <w:rsid w:val="004C77BC"/>
    <w:rsid w:val="004C7C62"/>
    <w:rsid w:val="004C7DF6"/>
    <w:rsid w:val="004D04BF"/>
    <w:rsid w:val="004D0B5A"/>
    <w:rsid w:val="004D0F89"/>
    <w:rsid w:val="004D14AD"/>
    <w:rsid w:val="004D157D"/>
    <w:rsid w:val="004D1B1B"/>
    <w:rsid w:val="004D2567"/>
    <w:rsid w:val="004D3FA3"/>
    <w:rsid w:val="004D4770"/>
    <w:rsid w:val="004D4910"/>
    <w:rsid w:val="004D53BE"/>
    <w:rsid w:val="004D5B4A"/>
    <w:rsid w:val="004D5D10"/>
    <w:rsid w:val="004D60B8"/>
    <w:rsid w:val="004D64F7"/>
    <w:rsid w:val="004D6962"/>
    <w:rsid w:val="004D7C4E"/>
    <w:rsid w:val="004D7FEE"/>
    <w:rsid w:val="004E0DFF"/>
    <w:rsid w:val="004E0E3C"/>
    <w:rsid w:val="004E1619"/>
    <w:rsid w:val="004E17FA"/>
    <w:rsid w:val="004E2814"/>
    <w:rsid w:val="004E4CE6"/>
    <w:rsid w:val="004E5899"/>
    <w:rsid w:val="004E6298"/>
    <w:rsid w:val="004E652C"/>
    <w:rsid w:val="004E6740"/>
    <w:rsid w:val="004E6F71"/>
    <w:rsid w:val="004E789D"/>
    <w:rsid w:val="004E78BD"/>
    <w:rsid w:val="004E79C3"/>
    <w:rsid w:val="004F0094"/>
    <w:rsid w:val="004F0202"/>
    <w:rsid w:val="004F1C7C"/>
    <w:rsid w:val="004F2EB4"/>
    <w:rsid w:val="004F4835"/>
    <w:rsid w:val="004F494C"/>
    <w:rsid w:val="004F49F3"/>
    <w:rsid w:val="004F4CC1"/>
    <w:rsid w:val="004F4E56"/>
    <w:rsid w:val="004F684E"/>
    <w:rsid w:val="004F68C0"/>
    <w:rsid w:val="004F7670"/>
    <w:rsid w:val="00500DBA"/>
    <w:rsid w:val="0050123B"/>
    <w:rsid w:val="005012F2"/>
    <w:rsid w:val="00501889"/>
    <w:rsid w:val="005018E0"/>
    <w:rsid w:val="00501C9E"/>
    <w:rsid w:val="00501E9E"/>
    <w:rsid w:val="00502EF3"/>
    <w:rsid w:val="005035B3"/>
    <w:rsid w:val="00503AF2"/>
    <w:rsid w:val="00504041"/>
    <w:rsid w:val="00505E65"/>
    <w:rsid w:val="00506351"/>
    <w:rsid w:val="00506F69"/>
    <w:rsid w:val="00507738"/>
    <w:rsid w:val="005078A0"/>
    <w:rsid w:val="00510157"/>
    <w:rsid w:val="00510390"/>
    <w:rsid w:val="00511BFD"/>
    <w:rsid w:val="00511DF7"/>
    <w:rsid w:val="00512113"/>
    <w:rsid w:val="005123F0"/>
    <w:rsid w:val="00513081"/>
    <w:rsid w:val="00513540"/>
    <w:rsid w:val="00513941"/>
    <w:rsid w:val="00513BC3"/>
    <w:rsid w:val="0051464D"/>
    <w:rsid w:val="00514AD8"/>
    <w:rsid w:val="00515620"/>
    <w:rsid w:val="0051763A"/>
    <w:rsid w:val="0052087C"/>
    <w:rsid w:val="005216BC"/>
    <w:rsid w:val="00521AEF"/>
    <w:rsid w:val="00521C7E"/>
    <w:rsid w:val="00521DD3"/>
    <w:rsid w:val="00521FCD"/>
    <w:rsid w:val="00522FAB"/>
    <w:rsid w:val="00523334"/>
    <w:rsid w:val="00523FE1"/>
    <w:rsid w:val="00524054"/>
    <w:rsid w:val="005242D6"/>
    <w:rsid w:val="005249B1"/>
    <w:rsid w:val="00524A52"/>
    <w:rsid w:val="00525176"/>
    <w:rsid w:val="00526AE9"/>
    <w:rsid w:val="00526DA8"/>
    <w:rsid w:val="00527495"/>
    <w:rsid w:val="00527496"/>
    <w:rsid w:val="00527C35"/>
    <w:rsid w:val="0053051D"/>
    <w:rsid w:val="00530637"/>
    <w:rsid w:val="00530722"/>
    <w:rsid w:val="005308CE"/>
    <w:rsid w:val="005311E5"/>
    <w:rsid w:val="0053127E"/>
    <w:rsid w:val="005314C8"/>
    <w:rsid w:val="00532AB5"/>
    <w:rsid w:val="00533D27"/>
    <w:rsid w:val="00534CFA"/>
    <w:rsid w:val="00534F0F"/>
    <w:rsid w:val="00535D53"/>
    <w:rsid w:val="00536CB7"/>
    <w:rsid w:val="00536FEE"/>
    <w:rsid w:val="0053730E"/>
    <w:rsid w:val="0053791F"/>
    <w:rsid w:val="00537924"/>
    <w:rsid w:val="00540810"/>
    <w:rsid w:val="00540848"/>
    <w:rsid w:val="00541D32"/>
    <w:rsid w:val="00542AC4"/>
    <w:rsid w:val="00542F0E"/>
    <w:rsid w:val="00543125"/>
    <w:rsid w:val="005431B6"/>
    <w:rsid w:val="00543419"/>
    <w:rsid w:val="00543A60"/>
    <w:rsid w:val="00543C35"/>
    <w:rsid w:val="0054443B"/>
    <w:rsid w:val="00545346"/>
    <w:rsid w:val="005462A8"/>
    <w:rsid w:val="0054724E"/>
    <w:rsid w:val="005478E1"/>
    <w:rsid w:val="00550399"/>
    <w:rsid w:val="005506E7"/>
    <w:rsid w:val="005507DE"/>
    <w:rsid w:val="00551159"/>
    <w:rsid w:val="00552549"/>
    <w:rsid w:val="00553C51"/>
    <w:rsid w:val="00554786"/>
    <w:rsid w:val="00555D05"/>
    <w:rsid w:val="00556AAF"/>
    <w:rsid w:val="00556BA8"/>
    <w:rsid w:val="00557050"/>
    <w:rsid w:val="00557551"/>
    <w:rsid w:val="005576CC"/>
    <w:rsid w:val="00560783"/>
    <w:rsid w:val="005610B3"/>
    <w:rsid w:val="00561FFF"/>
    <w:rsid w:val="00562204"/>
    <w:rsid w:val="00564208"/>
    <w:rsid w:val="005656D5"/>
    <w:rsid w:val="00565751"/>
    <w:rsid w:val="00566416"/>
    <w:rsid w:val="00566652"/>
    <w:rsid w:val="00566CCC"/>
    <w:rsid w:val="00567021"/>
    <w:rsid w:val="0056712F"/>
    <w:rsid w:val="00567C82"/>
    <w:rsid w:val="00570571"/>
    <w:rsid w:val="00571472"/>
    <w:rsid w:val="00571CEB"/>
    <w:rsid w:val="00573AF2"/>
    <w:rsid w:val="00574A73"/>
    <w:rsid w:val="00574DDB"/>
    <w:rsid w:val="00575707"/>
    <w:rsid w:val="00575CBD"/>
    <w:rsid w:val="00576E80"/>
    <w:rsid w:val="005779DB"/>
    <w:rsid w:val="00577DA7"/>
    <w:rsid w:val="00577FD4"/>
    <w:rsid w:val="00580478"/>
    <w:rsid w:val="00580F29"/>
    <w:rsid w:val="00581152"/>
    <w:rsid w:val="00582628"/>
    <w:rsid w:val="00582926"/>
    <w:rsid w:val="00582BCF"/>
    <w:rsid w:val="00582D47"/>
    <w:rsid w:val="00584BF2"/>
    <w:rsid w:val="00585CDC"/>
    <w:rsid w:val="00585D46"/>
    <w:rsid w:val="00586323"/>
    <w:rsid w:val="005864F7"/>
    <w:rsid w:val="00590B97"/>
    <w:rsid w:val="00591330"/>
    <w:rsid w:val="00591951"/>
    <w:rsid w:val="00592A35"/>
    <w:rsid w:val="005936F0"/>
    <w:rsid w:val="005946B2"/>
    <w:rsid w:val="00594B86"/>
    <w:rsid w:val="00595418"/>
    <w:rsid w:val="00595807"/>
    <w:rsid w:val="00595928"/>
    <w:rsid w:val="00597317"/>
    <w:rsid w:val="005976D9"/>
    <w:rsid w:val="005977E5"/>
    <w:rsid w:val="00597AEC"/>
    <w:rsid w:val="005A0552"/>
    <w:rsid w:val="005A0869"/>
    <w:rsid w:val="005A0964"/>
    <w:rsid w:val="005A123A"/>
    <w:rsid w:val="005A12F9"/>
    <w:rsid w:val="005A1596"/>
    <w:rsid w:val="005A18EB"/>
    <w:rsid w:val="005A1FF8"/>
    <w:rsid w:val="005A2A5C"/>
    <w:rsid w:val="005A33FF"/>
    <w:rsid w:val="005A3651"/>
    <w:rsid w:val="005A385C"/>
    <w:rsid w:val="005A4A83"/>
    <w:rsid w:val="005A627E"/>
    <w:rsid w:val="005B0109"/>
    <w:rsid w:val="005B16FD"/>
    <w:rsid w:val="005B1F8D"/>
    <w:rsid w:val="005B3594"/>
    <w:rsid w:val="005B36F6"/>
    <w:rsid w:val="005B3758"/>
    <w:rsid w:val="005B3CC4"/>
    <w:rsid w:val="005B5913"/>
    <w:rsid w:val="005C1317"/>
    <w:rsid w:val="005C17E6"/>
    <w:rsid w:val="005C23D3"/>
    <w:rsid w:val="005C273F"/>
    <w:rsid w:val="005C2ECF"/>
    <w:rsid w:val="005C3DD0"/>
    <w:rsid w:val="005C3FE6"/>
    <w:rsid w:val="005C4AE7"/>
    <w:rsid w:val="005C5D41"/>
    <w:rsid w:val="005C62A9"/>
    <w:rsid w:val="005C6C4B"/>
    <w:rsid w:val="005C6D66"/>
    <w:rsid w:val="005C756B"/>
    <w:rsid w:val="005D09F7"/>
    <w:rsid w:val="005D13C5"/>
    <w:rsid w:val="005D16E0"/>
    <w:rsid w:val="005D1F33"/>
    <w:rsid w:val="005D1F34"/>
    <w:rsid w:val="005D2282"/>
    <w:rsid w:val="005D2D5C"/>
    <w:rsid w:val="005D3187"/>
    <w:rsid w:val="005D333B"/>
    <w:rsid w:val="005D383D"/>
    <w:rsid w:val="005D4912"/>
    <w:rsid w:val="005D50B0"/>
    <w:rsid w:val="005D6281"/>
    <w:rsid w:val="005D67EE"/>
    <w:rsid w:val="005D6901"/>
    <w:rsid w:val="005E1996"/>
    <w:rsid w:val="005E1EB9"/>
    <w:rsid w:val="005E313E"/>
    <w:rsid w:val="005E3459"/>
    <w:rsid w:val="005E5202"/>
    <w:rsid w:val="005E5D5E"/>
    <w:rsid w:val="005E63AB"/>
    <w:rsid w:val="005E64A8"/>
    <w:rsid w:val="005F12D9"/>
    <w:rsid w:val="005F138C"/>
    <w:rsid w:val="005F2016"/>
    <w:rsid w:val="005F28FC"/>
    <w:rsid w:val="005F3572"/>
    <w:rsid w:val="005F360E"/>
    <w:rsid w:val="005F5619"/>
    <w:rsid w:val="00600D35"/>
    <w:rsid w:val="00601A68"/>
    <w:rsid w:val="0060281B"/>
    <w:rsid w:val="00602E2F"/>
    <w:rsid w:val="006058F9"/>
    <w:rsid w:val="006059CF"/>
    <w:rsid w:val="006059D7"/>
    <w:rsid w:val="00606018"/>
    <w:rsid w:val="00607F13"/>
    <w:rsid w:val="00610894"/>
    <w:rsid w:val="00610999"/>
    <w:rsid w:val="00612FA1"/>
    <w:rsid w:val="00613CDA"/>
    <w:rsid w:val="00614170"/>
    <w:rsid w:val="0061477C"/>
    <w:rsid w:val="0061498B"/>
    <w:rsid w:val="00615B6B"/>
    <w:rsid w:val="006168C9"/>
    <w:rsid w:val="00616BB0"/>
    <w:rsid w:val="00616F88"/>
    <w:rsid w:val="00617788"/>
    <w:rsid w:val="00617DCA"/>
    <w:rsid w:val="00620713"/>
    <w:rsid w:val="00620CC0"/>
    <w:rsid w:val="00621882"/>
    <w:rsid w:val="00621CA5"/>
    <w:rsid w:val="00622027"/>
    <w:rsid w:val="00622508"/>
    <w:rsid w:val="00622657"/>
    <w:rsid w:val="00622AC1"/>
    <w:rsid w:val="006230FA"/>
    <w:rsid w:val="006249AD"/>
    <w:rsid w:val="00624ADA"/>
    <w:rsid w:val="006250D7"/>
    <w:rsid w:val="006253F3"/>
    <w:rsid w:val="00625831"/>
    <w:rsid w:val="00625B5F"/>
    <w:rsid w:val="006265BA"/>
    <w:rsid w:val="00627BF9"/>
    <w:rsid w:val="0063009F"/>
    <w:rsid w:val="0063063F"/>
    <w:rsid w:val="0063078B"/>
    <w:rsid w:val="00631C94"/>
    <w:rsid w:val="00631DAC"/>
    <w:rsid w:val="006322D0"/>
    <w:rsid w:val="0063399F"/>
    <w:rsid w:val="006349D9"/>
    <w:rsid w:val="006356C5"/>
    <w:rsid w:val="0063646F"/>
    <w:rsid w:val="00636975"/>
    <w:rsid w:val="00636C6E"/>
    <w:rsid w:val="0063756B"/>
    <w:rsid w:val="0063761A"/>
    <w:rsid w:val="00640A7E"/>
    <w:rsid w:val="00641D35"/>
    <w:rsid w:val="00642E2C"/>
    <w:rsid w:val="00644D2B"/>
    <w:rsid w:val="00645BDD"/>
    <w:rsid w:val="00647FA9"/>
    <w:rsid w:val="00650294"/>
    <w:rsid w:val="00650574"/>
    <w:rsid w:val="006506D8"/>
    <w:rsid w:val="00650E26"/>
    <w:rsid w:val="00651139"/>
    <w:rsid w:val="006533E8"/>
    <w:rsid w:val="006539E6"/>
    <w:rsid w:val="00654793"/>
    <w:rsid w:val="00654F42"/>
    <w:rsid w:val="006552B5"/>
    <w:rsid w:val="006561C1"/>
    <w:rsid w:val="0066016D"/>
    <w:rsid w:val="006607CC"/>
    <w:rsid w:val="00662C4B"/>
    <w:rsid w:val="006635D3"/>
    <w:rsid w:val="00663C71"/>
    <w:rsid w:val="0066484B"/>
    <w:rsid w:val="00664999"/>
    <w:rsid w:val="00664C17"/>
    <w:rsid w:val="0066558E"/>
    <w:rsid w:val="0066615A"/>
    <w:rsid w:val="00666630"/>
    <w:rsid w:val="00666B34"/>
    <w:rsid w:val="00666ED8"/>
    <w:rsid w:val="00667C2E"/>
    <w:rsid w:val="00667E7A"/>
    <w:rsid w:val="006704E1"/>
    <w:rsid w:val="00670A2B"/>
    <w:rsid w:val="00670FB1"/>
    <w:rsid w:val="0067129D"/>
    <w:rsid w:val="00671EA4"/>
    <w:rsid w:val="00672410"/>
    <w:rsid w:val="006739E9"/>
    <w:rsid w:val="00674BFA"/>
    <w:rsid w:val="006752AB"/>
    <w:rsid w:val="00675351"/>
    <w:rsid w:val="0067770A"/>
    <w:rsid w:val="00683835"/>
    <w:rsid w:val="006843BC"/>
    <w:rsid w:val="00686B49"/>
    <w:rsid w:val="006871AF"/>
    <w:rsid w:val="0068748D"/>
    <w:rsid w:val="00687AB3"/>
    <w:rsid w:val="00690AB3"/>
    <w:rsid w:val="00691AFE"/>
    <w:rsid w:val="00692CAF"/>
    <w:rsid w:val="006930B6"/>
    <w:rsid w:val="0069414C"/>
    <w:rsid w:val="0069416E"/>
    <w:rsid w:val="00695EE2"/>
    <w:rsid w:val="00695FBB"/>
    <w:rsid w:val="00697098"/>
    <w:rsid w:val="006A00C3"/>
    <w:rsid w:val="006A05EC"/>
    <w:rsid w:val="006A0A09"/>
    <w:rsid w:val="006A10CB"/>
    <w:rsid w:val="006A1625"/>
    <w:rsid w:val="006A1D80"/>
    <w:rsid w:val="006A3127"/>
    <w:rsid w:val="006A5A9B"/>
    <w:rsid w:val="006A5B20"/>
    <w:rsid w:val="006A6698"/>
    <w:rsid w:val="006A6A9F"/>
    <w:rsid w:val="006A6BB3"/>
    <w:rsid w:val="006A6D59"/>
    <w:rsid w:val="006A7F67"/>
    <w:rsid w:val="006B016A"/>
    <w:rsid w:val="006B02B1"/>
    <w:rsid w:val="006B0D5D"/>
    <w:rsid w:val="006B1533"/>
    <w:rsid w:val="006B1977"/>
    <w:rsid w:val="006B2184"/>
    <w:rsid w:val="006B26D4"/>
    <w:rsid w:val="006B31E4"/>
    <w:rsid w:val="006B3DE1"/>
    <w:rsid w:val="006B3F05"/>
    <w:rsid w:val="006B4426"/>
    <w:rsid w:val="006B44F7"/>
    <w:rsid w:val="006B47AE"/>
    <w:rsid w:val="006B52BE"/>
    <w:rsid w:val="006B5AE9"/>
    <w:rsid w:val="006B61DC"/>
    <w:rsid w:val="006B6C28"/>
    <w:rsid w:val="006B6EE9"/>
    <w:rsid w:val="006B7E15"/>
    <w:rsid w:val="006C0642"/>
    <w:rsid w:val="006C0B89"/>
    <w:rsid w:val="006C0B8E"/>
    <w:rsid w:val="006C1174"/>
    <w:rsid w:val="006C22E4"/>
    <w:rsid w:val="006C2DD3"/>
    <w:rsid w:val="006C36CC"/>
    <w:rsid w:val="006C383B"/>
    <w:rsid w:val="006C449C"/>
    <w:rsid w:val="006C464C"/>
    <w:rsid w:val="006C507A"/>
    <w:rsid w:val="006C5149"/>
    <w:rsid w:val="006C5FBB"/>
    <w:rsid w:val="006C6319"/>
    <w:rsid w:val="006C6347"/>
    <w:rsid w:val="006C67B1"/>
    <w:rsid w:val="006C6E5D"/>
    <w:rsid w:val="006C6F80"/>
    <w:rsid w:val="006C75AB"/>
    <w:rsid w:val="006C763C"/>
    <w:rsid w:val="006C7924"/>
    <w:rsid w:val="006D0407"/>
    <w:rsid w:val="006D233E"/>
    <w:rsid w:val="006D2C16"/>
    <w:rsid w:val="006D3361"/>
    <w:rsid w:val="006D3BE3"/>
    <w:rsid w:val="006D445D"/>
    <w:rsid w:val="006D452C"/>
    <w:rsid w:val="006D4AC2"/>
    <w:rsid w:val="006D59D1"/>
    <w:rsid w:val="006D5E80"/>
    <w:rsid w:val="006D5EE5"/>
    <w:rsid w:val="006D63F8"/>
    <w:rsid w:val="006D6C52"/>
    <w:rsid w:val="006D6DF3"/>
    <w:rsid w:val="006D76E4"/>
    <w:rsid w:val="006D7AA8"/>
    <w:rsid w:val="006E2184"/>
    <w:rsid w:val="006E2FD2"/>
    <w:rsid w:val="006E3B47"/>
    <w:rsid w:val="006E3F1A"/>
    <w:rsid w:val="006E4C48"/>
    <w:rsid w:val="006E5EE2"/>
    <w:rsid w:val="006E5EED"/>
    <w:rsid w:val="006E6429"/>
    <w:rsid w:val="006E6573"/>
    <w:rsid w:val="006E6D3B"/>
    <w:rsid w:val="006E7866"/>
    <w:rsid w:val="006F17ED"/>
    <w:rsid w:val="006F18F1"/>
    <w:rsid w:val="006F19AA"/>
    <w:rsid w:val="006F1D98"/>
    <w:rsid w:val="006F2961"/>
    <w:rsid w:val="006F3478"/>
    <w:rsid w:val="006F3486"/>
    <w:rsid w:val="006F5729"/>
    <w:rsid w:val="006F63A3"/>
    <w:rsid w:val="006F6717"/>
    <w:rsid w:val="006F75FE"/>
    <w:rsid w:val="006F7C7E"/>
    <w:rsid w:val="00700EA2"/>
    <w:rsid w:val="00701882"/>
    <w:rsid w:val="007018DE"/>
    <w:rsid w:val="00702434"/>
    <w:rsid w:val="00702601"/>
    <w:rsid w:val="00702DCE"/>
    <w:rsid w:val="007032DA"/>
    <w:rsid w:val="00703E8F"/>
    <w:rsid w:val="00704043"/>
    <w:rsid w:val="00704B49"/>
    <w:rsid w:val="0070526B"/>
    <w:rsid w:val="007054B9"/>
    <w:rsid w:val="0070609E"/>
    <w:rsid w:val="007104F3"/>
    <w:rsid w:val="00712890"/>
    <w:rsid w:val="00713C66"/>
    <w:rsid w:val="00713DD7"/>
    <w:rsid w:val="00714065"/>
    <w:rsid w:val="00714FF5"/>
    <w:rsid w:val="00715324"/>
    <w:rsid w:val="00715458"/>
    <w:rsid w:val="007177DF"/>
    <w:rsid w:val="007210FD"/>
    <w:rsid w:val="007224A6"/>
    <w:rsid w:val="00722F33"/>
    <w:rsid w:val="0072427B"/>
    <w:rsid w:val="00724ACF"/>
    <w:rsid w:val="00724E32"/>
    <w:rsid w:val="00724EAC"/>
    <w:rsid w:val="007254DA"/>
    <w:rsid w:val="00726C44"/>
    <w:rsid w:val="00727073"/>
    <w:rsid w:val="00730BD2"/>
    <w:rsid w:val="007317A1"/>
    <w:rsid w:val="00732C94"/>
    <w:rsid w:val="00733570"/>
    <w:rsid w:val="00734748"/>
    <w:rsid w:val="00734FAE"/>
    <w:rsid w:val="007354AA"/>
    <w:rsid w:val="00735E35"/>
    <w:rsid w:val="0073645A"/>
    <w:rsid w:val="00736733"/>
    <w:rsid w:val="0073753D"/>
    <w:rsid w:val="007377F9"/>
    <w:rsid w:val="00737987"/>
    <w:rsid w:val="007400DE"/>
    <w:rsid w:val="00741504"/>
    <w:rsid w:val="00742169"/>
    <w:rsid w:val="00742B34"/>
    <w:rsid w:val="00742D4A"/>
    <w:rsid w:val="00744227"/>
    <w:rsid w:val="00744268"/>
    <w:rsid w:val="00744429"/>
    <w:rsid w:val="0074455F"/>
    <w:rsid w:val="007458C4"/>
    <w:rsid w:val="00745C76"/>
    <w:rsid w:val="00746959"/>
    <w:rsid w:val="00746EDD"/>
    <w:rsid w:val="0074708F"/>
    <w:rsid w:val="00747556"/>
    <w:rsid w:val="00747DBD"/>
    <w:rsid w:val="00747FA7"/>
    <w:rsid w:val="00752C1B"/>
    <w:rsid w:val="007539FC"/>
    <w:rsid w:val="007540BF"/>
    <w:rsid w:val="007545FB"/>
    <w:rsid w:val="00754C37"/>
    <w:rsid w:val="00754F58"/>
    <w:rsid w:val="00755CEA"/>
    <w:rsid w:val="0075604D"/>
    <w:rsid w:val="00756C0C"/>
    <w:rsid w:val="007570B2"/>
    <w:rsid w:val="00757958"/>
    <w:rsid w:val="007579CC"/>
    <w:rsid w:val="00757AAC"/>
    <w:rsid w:val="00757B5C"/>
    <w:rsid w:val="00757F93"/>
    <w:rsid w:val="0076017B"/>
    <w:rsid w:val="00760370"/>
    <w:rsid w:val="00760649"/>
    <w:rsid w:val="007618E6"/>
    <w:rsid w:val="00761D40"/>
    <w:rsid w:val="0076258B"/>
    <w:rsid w:val="00762655"/>
    <w:rsid w:val="00762850"/>
    <w:rsid w:val="007637A8"/>
    <w:rsid w:val="00763C15"/>
    <w:rsid w:val="00764270"/>
    <w:rsid w:val="00764A35"/>
    <w:rsid w:val="00764EE5"/>
    <w:rsid w:val="00765819"/>
    <w:rsid w:val="00765B58"/>
    <w:rsid w:val="0076699F"/>
    <w:rsid w:val="00770224"/>
    <w:rsid w:val="00770801"/>
    <w:rsid w:val="00770DCB"/>
    <w:rsid w:val="007719E8"/>
    <w:rsid w:val="00771CB0"/>
    <w:rsid w:val="00771D56"/>
    <w:rsid w:val="0077267A"/>
    <w:rsid w:val="00773200"/>
    <w:rsid w:val="007738C3"/>
    <w:rsid w:val="00775485"/>
    <w:rsid w:val="0077601D"/>
    <w:rsid w:val="00776055"/>
    <w:rsid w:val="00776AE9"/>
    <w:rsid w:val="00777A68"/>
    <w:rsid w:val="00780E93"/>
    <w:rsid w:val="00781411"/>
    <w:rsid w:val="0078228E"/>
    <w:rsid w:val="00782B84"/>
    <w:rsid w:val="00783532"/>
    <w:rsid w:val="00783D88"/>
    <w:rsid w:val="0078437D"/>
    <w:rsid w:val="007846B5"/>
    <w:rsid w:val="00785176"/>
    <w:rsid w:val="007860D4"/>
    <w:rsid w:val="00786232"/>
    <w:rsid w:val="007874A8"/>
    <w:rsid w:val="00787902"/>
    <w:rsid w:val="00787EF4"/>
    <w:rsid w:val="0079272C"/>
    <w:rsid w:val="007929B5"/>
    <w:rsid w:val="00792EEC"/>
    <w:rsid w:val="00793AB5"/>
    <w:rsid w:val="007941DF"/>
    <w:rsid w:val="007944ED"/>
    <w:rsid w:val="00795D9F"/>
    <w:rsid w:val="007968B9"/>
    <w:rsid w:val="007978B9"/>
    <w:rsid w:val="007A1C1C"/>
    <w:rsid w:val="007A2046"/>
    <w:rsid w:val="007A21DF"/>
    <w:rsid w:val="007A227C"/>
    <w:rsid w:val="007A4062"/>
    <w:rsid w:val="007A473A"/>
    <w:rsid w:val="007A51C4"/>
    <w:rsid w:val="007A5C1F"/>
    <w:rsid w:val="007A7B51"/>
    <w:rsid w:val="007A7F13"/>
    <w:rsid w:val="007A7FB0"/>
    <w:rsid w:val="007B06EA"/>
    <w:rsid w:val="007B1705"/>
    <w:rsid w:val="007B24D1"/>
    <w:rsid w:val="007B2AAB"/>
    <w:rsid w:val="007B2B07"/>
    <w:rsid w:val="007B34EA"/>
    <w:rsid w:val="007B4DAF"/>
    <w:rsid w:val="007B634A"/>
    <w:rsid w:val="007B701D"/>
    <w:rsid w:val="007B7068"/>
    <w:rsid w:val="007B72CD"/>
    <w:rsid w:val="007B7504"/>
    <w:rsid w:val="007B79C7"/>
    <w:rsid w:val="007C05B2"/>
    <w:rsid w:val="007C0F99"/>
    <w:rsid w:val="007C2559"/>
    <w:rsid w:val="007C2B80"/>
    <w:rsid w:val="007C32D6"/>
    <w:rsid w:val="007C32F2"/>
    <w:rsid w:val="007C3525"/>
    <w:rsid w:val="007C3E22"/>
    <w:rsid w:val="007C424F"/>
    <w:rsid w:val="007C57F5"/>
    <w:rsid w:val="007C5C2F"/>
    <w:rsid w:val="007D048F"/>
    <w:rsid w:val="007D087B"/>
    <w:rsid w:val="007D0F2B"/>
    <w:rsid w:val="007D1345"/>
    <w:rsid w:val="007D19BB"/>
    <w:rsid w:val="007D1C7F"/>
    <w:rsid w:val="007D2E62"/>
    <w:rsid w:val="007D2F00"/>
    <w:rsid w:val="007D36C0"/>
    <w:rsid w:val="007D417B"/>
    <w:rsid w:val="007D426A"/>
    <w:rsid w:val="007D43A9"/>
    <w:rsid w:val="007D4A31"/>
    <w:rsid w:val="007D5851"/>
    <w:rsid w:val="007D5A96"/>
    <w:rsid w:val="007D63AB"/>
    <w:rsid w:val="007D699B"/>
    <w:rsid w:val="007D7389"/>
    <w:rsid w:val="007D7789"/>
    <w:rsid w:val="007E0AD5"/>
    <w:rsid w:val="007E0FF7"/>
    <w:rsid w:val="007E128F"/>
    <w:rsid w:val="007E1E00"/>
    <w:rsid w:val="007E3410"/>
    <w:rsid w:val="007E5462"/>
    <w:rsid w:val="007E5B5A"/>
    <w:rsid w:val="007E5B88"/>
    <w:rsid w:val="007E5BF5"/>
    <w:rsid w:val="007E5D3D"/>
    <w:rsid w:val="007E6DAF"/>
    <w:rsid w:val="007E7A3E"/>
    <w:rsid w:val="007E7B53"/>
    <w:rsid w:val="007E7D49"/>
    <w:rsid w:val="007F0D0B"/>
    <w:rsid w:val="007F3231"/>
    <w:rsid w:val="007F3672"/>
    <w:rsid w:val="007F47B3"/>
    <w:rsid w:val="007F6A37"/>
    <w:rsid w:val="007F6D15"/>
    <w:rsid w:val="007F6E25"/>
    <w:rsid w:val="007F746B"/>
    <w:rsid w:val="007F7E83"/>
    <w:rsid w:val="008007A8"/>
    <w:rsid w:val="00800FB0"/>
    <w:rsid w:val="0080158D"/>
    <w:rsid w:val="00801806"/>
    <w:rsid w:val="0080186D"/>
    <w:rsid w:val="0080264D"/>
    <w:rsid w:val="008027FA"/>
    <w:rsid w:val="00802C36"/>
    <w:rsid w:val="00802EFF"/>
    <w:rsid w:val="008042D9"/>
    <w:rsid w:val="00804849"/>
    <w:rsid w:val="00804AF5"/>
    <w:rsid w:val="00804E65"/>
    <w:rsid w:val="00806210"/>
    <w:rsid w:val="00806396"/>
    <w:rsid w:val="008065E5"/>
    <w:rsid w:val="00810A9F"/>
    <w:rsid w:val="00810B76"/>
    <w:rsid w:val="00810CB5"/>
    <w:rsid w:val="00810F08"/>
    <w:rsid w:val="008111C5"/>
    <w:rsid w:val="00811347"/>
    <w:rsid w:val="00812985"/>
    <w:rsid w:val="00812EBF"/>
    <w:rsid w:val="0081337B"/>
    <w:rsid w:val="00814FC0"/>
    <w:rsid w:val="00816E1F"/>
    <w:rsid w:val="00817C73"/>
    <w:rsid w:val="0082014E"/>
    <w:rsid w:val="00821169"/>
    <w:rsid w:val="00821C52"/>
    <w:rsid w:val="008224F9"/>
    <w:rsid w:val="00822545"/>
    <w:rsid w:val="00822FE9"/>
    <w:rsid w:val="00823005"/>
    <w:rsid w:val="00823EBC"/>
    <w:rsid w:val="0082481D"/>
    <w:rsid w:val="00824CE0"/>
    <w:rsid w:val="00824E66"/>
    <w:rsid w:val="00825707"/>
    <w:rsid w:val="00826557"/>
    <w:rsid w:val="00827763"/>
    <w:rsid w:val="00827850"/>
    <w:rsid w:val="00827977"/>
    <w:rsid w:val="008300A4"/>
    <w:rsid w:val="00830214"/>
    <w:rsid w:val="008302E3"/>
    <w:rsid w:val="00830726"/>
    <w:rsid w:val="00830C83"/>
    <w:rsid w:val="00831D1D"/>
    <w:rsid w:val="00832DDE"/>
    <w:rsid w:val="0083335C"/>
    <w:rsid w:val="008346F0"/>
    <w:rsid w:val="00834E7C"/>
    <w:rsid w:val="00835265"/>
    <w:rsid w:val="00837091"/>
    <w:rsid w:val="008377CD"/>
    <w:rsid w:val="00837AA5"/>
    <w:rsid w:val="00840363"/>
    <w:rsid w:val="00841868"/>
    <w:rsid w:val="00841925"/>
    <w:rsid w:val="00842B83"/>
    <w:rsid w:val="0084309B"/>
    <w:rsid w:val="00843664"/>
    <w:rsid w:val="008437A8"/>
    <w:rsid w:val="00843B46"/>
    <w:rsid w:val="008449B9"/>
    <w:rsid w:val="00844A55"/>
    <w:rsid w:val="00844AA6"/>
    <w:rsid w:val="00844C14"/>
    <w:rsid w:val="00844EFD"/>
    <w:rsid w:val="00845F86"/>
    <w:rsid w:val="00847191"/>
    <w:rsid w:val="0084721E"/>
    <w:rsid w:val="008504AB"/>
    <w:rsid w:val="00850569"/>
    <w:rsid w:val="00851CBF"/>
    <w:rsid w:val="0085258E"/>
    <w:rsid w:val="00853F83"/>
    <w:rsid w:val="00855200"/>
    <w:rsid w:val="0085543D"/>
    <w:rsid w:val="00855D5E"/>
    <w:rsid w:val="00856203"/>
    <w:rsid w:val="008565C4"/>
    <w:rsid w:val="00856DBA"/>
    <w:rsid w:val="00856E03"/>
    <w:rsid w:val="008577F8"/>
    <w:rsid w:val="00857CEC"/>
    <w:rsid w:val="0086009C"/>
    <w:rsid w:val="00860399"/>
    <w:rsid w:val="008619E5"/>
    <w:rsid w:val="0086254F"/>
    <w:rsid w:val="008639C9"/>
    <w:rsid w:val="0086648D"/>
    <w:rsid w:val="00867850"/>
    <w:rsid w:val="00867E1A"/>
    <w:rsid w:val="008703EA"/>
    <w:rsid w:val="00870610"/>
    <w:rsid w:val="00870A01"/>
    <w:rsid w:val="00871575"/>
    <w:rsid w:val="00871FF1"/>
    <w:rsid w:val="008724DE"/>
    <w:rsid w:val="00872797"/>
    <w:rsid w:val="008728BE"/>
    <w:rsid w:val="00872BCF"/>
    <w:rsid w:val="00874B56"/>
    <w:rsid w:val="00875067"/>
    <w:rsid w:val="0087530B"/>
    <w:rsid w:val="008758D9"/>
    <w:rsid w:val="00876B4D"/>
    <w:rsid w:val="00877392"/>
    <w:rsid w:val="00877508"/>
    <w:rsid w:val="00877D0B"/>
    <w:rsid w:val="00881445"/>
    <w:rsid w:val="008829DF"/>
    <w:rsid w:val="00882B0A"/>
    <w:rsid w:val="00883128"/>
    <w:rsid w:val="008834A3"/>
    <w:rsid w:val="00883C4B"/>
    <w:rsid w:val="00883DE7"/>
    <w:rsid w:val="00884287"/>
    <w:rsid w:val="00884512"/>
    <w:rsid w:val="0088477C"/>
    <w:rsid w:val="00884F1E"/>
    <w:rsid w:val="00884FA1"/>
    <w:rsid w:val="00884FB9"/>
    <w:rsid w:val="0088627A"/>
    <w:rsid w:val="0088652B"/>
    <w:rsid w:val="00886968"/>
    <w:rsid w:val="00887003"/>
    <w:rsid w:val="008877AE"/>
    <w:rsid w:val="0088782D"/>
    <w:rsid w:val="008901E0"/>
    <w:rsid w:val="00893AC1"/>
    <w:rsid w:val="00893B92"/>
    <w:rsid w:val="00893CBA"/>
    <w:rsid w:val="00894825"/>
    <w:rsid w:val="00894BB3"/>
    <w:rsid w:val="008962BE"/>
    <w:rsid w:val="008966C5"/>
    <w:rsid w:val="0089702C"/>
    <w:rsid w:val="00897E6F"/>
    <w:rsid w:val="008A08BA"/>
    <w:rsid w:val="008A2036"/>
    <w:rsid w:val="008A2298"/>
    <w:rsid w:val="008A277F"/>
    <w:rsid w:val="008A3D57"/>
    <w:rsid w:val="008A453C"/>
    <w:rsid w:val="008A46A3"/>
    <w:rsid w:val="008A490D"/>
    <w:rsid w:val="008A5466"/>
    <w:rsid w:val="008B0046"/>
    <w:rsid w:val="008B03C8"/>
    <w:rsid w:val="008B0B1E"/>
    <w:rsid w:val="008B1DE3"/>
    <w:rsid w:val="008B23BC"/>
    <w:rsid w:val="008B3899"/>
    <w:rsid w:val="008B4C07"/>
    <w:rsid w:val="008B5FA9"/>
    <w:rsid w:val="008B6647"/>
    <w:rsid w:val="008B67A2"/>
    <w:rsid w:val="008B7796"/>
    <w:rsid w:val="008C0B93"/>
    <w:rsid w:val="008C1095"/>
    <w:rsid w:val="008C23C2"/>
    <w:rsid w:val="008C356A"/>
    <w:rsid w:val="008C64CC"/>
    <w:rsid w:val="008C7FCE"/>
    <w:rsid w:val="008D0402"/>
    <w:rsid w:val="008D046B"/>
    <w:rsid w:val="008D2744"/>
    <w:rsid w:val="008D2D08"/>
    <w:rsid w:val="008D358D"/>
    <w:rsid w:val="008D35A6"/>
    <w:rsid w:val="008D3B7E"/>
    <w:rsid w:val="008D44D5"/>
    <w:rsid w:val="008D553F"/>
    <w:rsid w:val="008E01D6"/>
    <w:rsid w:val="008E04E2"/>
    <w:rsid w:val="008E17A5"/>
    <w:rsid w:val="008E1833"/>
    <w:rsid w:val="008E272A"/>
    <w:rsid w:val="008E328C"/>
    <w:rsid w:val="008E3D60"/>
    <w:rsid w:val="008E3F4C"/>
    <w:rsid w:val="008E5BBC"/>
    <w:rsid w:val="008E6469"/>
    <w:rsid w:val="008E6A9C"/>
    <w:rsid w:val="008F062E"/>
    <w:rsid w:val="008F203E"/>
    <w:rsid w:val="008F24C8"/>
    <w:rsid w:val="008F25BD"/>
    <w:rsid w:val="008F2E23"/>
    <w:rsid w:val="008F3148"/>
    <w:rsid w:val="008F3777"/>
    <w:rsid w:val="008F5ED1"/>
    <w:rsid w:val="008F6963"/>
    <w:rsid w:val="008F7B95"/>
    <w:rsid w:val="00900435"/>
    <w:rsid w:val="0090048A"/>
    <w:rsid w:val="0090121E"/>
    <w:rsid w:val="0090165F"/>
    <w:rsid w:val="00901B82"/>
    <w:rsid w:val="00902324"/>
    <w:rsid w:val="009024C4"/>
    <w:rsid w:val="00902D96"/>
    <w:rsid w:val="00903B88"/>
    <w:rsid w:val="00903D4E"/>
    <w:rsid w:val="00904255"/>
    <w:rsid w:val="00904C11"/>
    <w:rsid w:val="00904E5B"/>
    <w:rsid w:val="0090557B"/>
    <w:rsid w:val="00905A3F"/>
    <w:rsid w:val="009061EC"/>
    <w:rsid w:val="009064CF"/>
    <w:rsid w:val="0090664A"/>
    <w:rsid w:val="009066A2"/>
    <w:rsid w:val="009069E6"/>
    <w:rsid w:val="00906B4A"/>
    <w:rsid w:val="00910D4D"/>
    <w:rsid w:val="00911E48"/>
    <w:rsid w:val="009125F5"/>
    <w:rsid w:val="00912904"/>
    <w:rsid w:val="00912B09"/>
    <w:rsid w:val="00912D4F"/>
    <w:rsid w:val="00913491"/>
    <w:rsid w:val="00913C29"/>
    <w:rsid w:val="0091437D"/>
    <w:rsid w:val="00914CEA"/>
    <w:rsid w:val="009164E2"/>
    <w:rsid w:val="009175C8"/>
    <w:rsid w:val="00920A8F"/>
    <w:rsid w:val="00920BEA"/>
    <w:rsid w:val="00922F69"/>
    <w:rsid w:val="009238A3"/>
    <w:rsid w:val="00923A3E"/>
    <w:rsid w:val="00923BA1"/>
    <w:rsid w:val="00924C9E"/>
    <w:rsid w:val="00927F5F"/>
    <w:rsid w:val="009309C5"/>
    <w:rsid w:val="00930B3F"/>
    <w:rsid w:val="00930CD8"/>
    <w:rsid w:val="00931F25"/>
    <w:rsid w:val="009323A1"/>
    <w:rsid w:val="0093364D"/>
    <w:rsid w:val="00933FE0"/>
    <w:rsid w:val="00934606"/>
    <w:rsid w:val="0093519B"/>
    <w:rsid w:val="00935B0F"/>
    <w:rsid w:val="00935B39"/>
    <w:rsid w:val="00937970"/>
    <w:rsid w:val="009402C9"/>
    <w:rsid w:val="0094102A"/>
    <w:rsid w:val="00941C66"/>
    <w:rsid w:val="009432CF"/>
    <w:rsid w:val="009461C3"/>
    <w:rsid w:val="00946211"/>
    <w:rsid w:val="00946D11"/>
    <w:rsid w:val="00947363"/>
    <w:rsid w:val="0095078E"/>
    <w:rsid w:val="00951A2E"/>
    <w:rsid w:val="00952053"/>
    <w:rsid w:val="00952482"/>
    <w:rsid w:val="00952536"/>
    <w:rsid w:val="00952DC5"/>
    <w:rsid w:val="00953E39"/>
    <w:rsid w:val="009543BE"/>
    <w:rsid w:val="00960665"/>
    <w:rsid w:val="00960A83"/>
    <w:rsid w:val="00960A85"/>
    <w:rsid w:val="009614B0"/>
    <w:rsid w:val="009626FA"/>
    <w:rsid w:val="0096338E"/>
    <w:rsid w:val="0096430C"/>
    <w:rsid w:val="00964774"/>
    <w:rsid w:val="00965E74"/>
    <w:rsid w:val="00966C2F"/>
    <w:rsid w:val="009670D8"/>
    <w:rsid w:val="0096742A"/>
    <w:rsid w:val="0096767F"/>
    <w:rsid w:val="00967AAD"/>
    <w:rsid w:val="00970710"/>
    <w:rsid w:val="00971113"/>
    <w:rsid w:val="0097205C"/>
    <w:rsid w:val="00972C7F"/>
    <w:rsid w:val="00973181"/>
    <w:rsid w:val="009736AE"/>
    <w:rsid w:val="0097512B"/>
    <w:rsid w:val="009772AD"/>
    <w:rsid w:val="009800BD"/>
    <w:rsid w:val="009802B4"/>
    <w:rsid w:val="00980B1B"/>
    <w:rsid w:val="00980E46"/>
    <w:rsid w:val="00981799"/>
    <w:rsid w:val="00982404"/>
    <w:rsid w:val="00983109"/>
    <w:rsid w:val="00983779"/>
    <w:rsid w:val="009838EE"/>
    <w:rsid w:val="00986355"/>
    <w:rsid w:val="009866C1"/>
    <w:rsid w:val="00986C52"/>
    <w:rsid w:val="00986D46"/>
    <w:rsid w:val="0098704B"/>
    <w:rsid w:val="00987F72"/>
    <w:rsid w:val="009905EF"/>
    <w:rsid w:val="0099108E"/>
    <w:rsid w:val="009912B9"/>
    <w:rsid w:val="00991C3B"/>
    <w:rsid w:val="0099453D"/>
    <w:rsid w:val="00994580"/>
    <w:rsid w:val="00994BC9"/>
    <w:rsid w:val="00994F58"/>
    <w:rsid w:val="00995013"/>
    <w:rsid w:val="00995C1C"/>
    <w:rsid w:val="00996FD5"/>
    <w:rsid w:val="00997520"/>
    <w:rsid w:val="00997540"/>
    <w:rsid w:val="00997C67"/>
    <w:rsid w:val="00997EAE"/>
    <w:rsid w:val="009A094B"/>
    <w:rsid w:val="009A0FBB"/>
    <w:rsid w:val="009A1259"/>
    <w:rsid w:val="009A1D0B"/>
    <w:rsid w:val="009A1F12"/>
    <w:rsid w:val="009A1F44"/>
    <w:rsid w:val="009A26C7"/>
    <w:rsid w:val="009A4A0B"/>
    <w:rsid w:val="009A60EB"/>
    <w:rsid w:val="009A694A"/>
    <w:rsid w:val="009A7E8C"/>
    <w:rsid w:val="009B1ED3"/>
    <w:rsid w:val="009B1F45"/>
    <w:rsid w:val="009B2308"/>
    <w:rsid w:val="009B29AC"/>
    <w:rsid w:val="009B2ED3"/>
    <w:rsid w:val="009B2FF6"/>
    <w:rsid w:val="009B5187"/>
    <w:rsid w:val="009B5F01"/>
    <w:rsid w:val="009B6E71"/>
    <w:rsid w:val="009C0650"/>
    <w:rsid w:val="009C068D"/>
    <w:rsid w:val="009C0BCD"/>
    <w:rsid w:val="009C0F59"/>
    <w:rsid w:val="009C124B"/>
    <w:rsid w:val="009C1330"/>
    <w:rsid w:val="009C2107"/>
    <w:rsid w:val="009C2855"/>
    <w:rsid w:val="009C404B"/>
    <w:rsid w:val="009C437D"/>
    <w:rsid w:val="009C569F"/>
    <w:rsid w:val="009C7CC0"/>
    <w:rsid w:val="009C7F02"/>
    <w:rsid w:val="009D01DF"/>
    <w:rsid w:val="009D098C"/>
    <w:rsid w:val="009D0AC1"/>
    <w:rsid w:val="009D0D1D"/>
    <w:rsid w:val="009D168D"/>
    <w:rsid w:val="009D16A5"/>
    <w:rsid w:val="009D1D69"/>
    <w:rsid w:val="009D34D8"/>
    <w:rsid w:val="009D42FB"/>
    <w:rsid w:val="009D52A5"/>
    <w:rsid w:val="009D5557"/>
    <w:rsid w:val="009D6619"/>
    <w:rsid w:val="009D67F6"/>
    <w:rsid w:val="009D7B0E"/>
    <w:rsid w:val="009E08D1"/>
    <w:rsid w:val="009E0FE1"/>
    <w:rsid w:val="009E1061"/>
    <w:rsid w:val="009E148A"/>
    <w:rsid w:val="009E1864"/>
    <w:rsid w:val="009E2124"/>
    <w:rsid w:val="009E37AA"/>
    <w:rsid w:val="009E37C6"/>
    <w:rsid w:val="009E39F1"/>
    <w:rsid w:val="009E3E6B"/>
    <w:rsid w:val="009E4BD0"/>
    <w:rsid w:val="009E4D20"/>
    <w:rsid w:val="009E5B62"/>
    <w:rsid w:val="009E61DC"/>
    <w:rsid w:val="009E6FD0"/>
    <w:rsid w:val="009E7D1F"/>
    <w:rsid w:val="009F25CF"/>
    <w:rsid w:val="009F2764"/>
    <w:rsid w:val="009F2B6D"/>
    <w:rsid w:val="009F2EE3"/>
    <w:rsid w:val="009F33A3"/>
    <w:rsid w:val="009F435F"/>
    <w:rsid w:val="009F4502"/>
    <w:rsid w:val="009F525B"/>
    <w:rsid w:val="009F5539"/>
    <w:rsid w:val="009F5B85"/>
    <w:rsid w:val="009F5CE5"/>
    <w:rsid w:val="009F6B4D"/>
    <w:rsid w:val="00A00D94"/>
    <w:rsid w:val="00A0285B"/>
    <w:rsid w:val="00A02A54"/>
    <w:rsid w:val="00A037B8"/>
    <w:rsid w:val="00A03BB6"/>
    <w:rsid w:val="00A0406E"/>
    <w:rsid w:val="00A044DE"/>
    <w:rsid w:val="00A07162"/>
    <w:rsid w:val="00A1037F"/>
    <w:rsid w:val="00A10967"/>
    <w:rsid w:val="00A11307"/>
    <w:rsid w:val="00A13AF3"/>
    <w:rsid w:val="00A13D3A"/>
    <w:rsid w:val="00A14135"/>
    <w:rsid w:val="00A1478E"/>
    <w:rsid w:val="00A14F38"/>
    <w:rsid w:val="00A16D56"/>
    <w:rsid w:val="00A17B09"/>
    <w:rsid w:val="00A17E00"/>
    <w:rsid w:val="00A20164"/>
    <w:rsid w:val="00A2048A"/>
    <w:rsid w:val="00A21388"/>
    <w:rsid w:val="00A21779"/>
    <w:rsid w:val="00A21D1C"/>
    <w:rsid w:val="00A21DD1"/>
    <w:rsid w:val="00A223F0"/>
    <w:rsid w:val="00A239F0"/>
    <w:rsid w:val="00A24A52"/>
    <w:rsid w:val="00A24F00"/>
    <w:rsid w:val="00A257C0"/>
    <w:rsid w:val="00A26926"/>
    <w:rsid w:val="00A275C2"/>
    <w:rsid w:val="00A27791"/>
    <w:rsid w:val="00A27ABE"/>
    <w:rsid w:val="00A30074"/>
    <w:rsid w:val="00A30136"/>
    <w:rsid w:val="00A30C8D"/>
    <w:rsid w:val="00A32AD9"/>
    <w:rsid w:val="00A32B00"/>
    <w:rsid w:val="00A32C31"/>
    <w:rsid w:val="00A32CDA"/>
    <w:rsid w:val="00A333BF"/>
    <w:rsid w:val="00A336FF"/>
    <w:rsid w:val="00A33703"/>
    <w:rsid w:val="00A354B9"/>
    <w:rsid w:val="00A355F9"/>
    <w:rsid w:val="00A35601"/>
    <w:rsid w:val="00A367C3"/>
    <w:rsid w:val="00A369AF"/>
    <w:rsid w:val="00A3700F"/>
    <w:rsid w:val="00A37084"/>
    <w:rsid w:val="00A3764F"/>
    <w:rsid w:val="00A3769B"/>
    <w:rsid w:val="00A40547"/>
    <w:rsid w:val="00A40609"/>
    <w:rsid w:val="00A406B8"/>
    <w:rsid w:val="00A407CA"/>
    <w:rsid w:val="00A41355"/>
    <w:rsid w:val="00A41854"/>
    <w:rsid w:val="00A41922"/>
    <w:rsid w:val="00A41A2E"/>
    <w:rsid w:val="00A4220C"/>
    <w:rsid w:val="00A42F4E"/>
    <w:rsid w:val="00A432F3"/>
    <w:rsid w:val="00A437B6"/>
    <w:rsid w:val="00A43B92"/>
    <w:rsid w:val="00A44161"/>
    <w:rsid w:val="00A44228"/>
    <w:rsid w:val="00A45028"/>
    <w:rsid w:val="00A4564F"/>
    <w:rsid w:val="00A46EF4"/>
    <w:rsid w:val="00A46F4B"/>
    <w:rsid w:val="00A47602"/>
    <w:rsid w:val="00A47FF2"/>
    <w:rsid w:val="00A50AEB"/>
    <w:rsid w:val="00A51334"/>
    <w:rsid w:val="00A51490"/>
    <w:rsid w:val="00A51A05"/>
    <w:rsid w:val="00A51B63"/>
    <w:rsid w:val="00A5227C"/>
    <w:rsid w:val="00A529D2"/>
    <w:rsid w:val="00A54251"/>
    <w:rsid w:val="00A54626"/>
    <w:rsid w:val="00A546F1"/>
    <w:rsid w:val="00A55B5B"/>
    <w:rsid w:val="00A56B44"/>
    <w:rsid w:val="00A57B40"/>
    <w:rsid w:val="00A602DF"/>
    <w:rsid w:val="00A61260"/>
    <w:rsid w:val="00A6167A"/>
    <w:rsid w:val="00A616D6"/>
    <w:rsid w:val="00A616D9"/>
    <w:rsid w:val="00A6179E"/>
    <w:rsid w:val="00A62C33"/>
    <w:rsid w:val="00A62FEA"/>
    <w:rsid w:val="00A64316"/>
    <w:rsid w:val="00A6672F"/>
    <w:rsid w:val="00A66BEE"/>
    <w:rsid w:val="00A66CEA"/>
    <w:rsid w:val="00A7083E"/>
    <w:rsid w:val="00A70D9B"/>
    <w:rsid w:val="00A7101E"/>
    <w:rsid w:val="00A713BB"/>
    <w:rsid w:val="00A71796"/>
    <w:rsid w:val="00A71E13"/>
    <w:rsid w:val="00A723C1"/>
    <w:rsid w:val="00A72EC9"/>
    <w:rsid w:val="00A73BE7"/>
    <w:rsid w:val="00A745F0"/>
    <w:rsid w:val="00A74FCB"/>
    <w:rsid w:val="00A758A0"/>
    <w:rsid w:val="00A75F30"/>
    <w:rsid w:val="00A770FC"/>
    <w:rsid w:val="00A804D9"/>
    <w:rsid w:val="00A807D7"/>
    <w:rsid w:val="00A80DC5"/>
    <w:rsid w:val="00A81A7D"/>
    <w:rsid w:val="00A81B2C"/>
    <w:rsid w:val="00A82693"/>
    <w:rsid w:val="00A8275B"/>
    <w:rsid w:val="00A8286C"/>
    <w:rsid w:val="00A83E08"/>
    <w:rsid w:val="00A84DE6"/>
    <w:rsid w:val="00A8573B"/>
    <w:rsid w:val="00A86142"/>
    <w:rsid w:val="00A8623D"/>
    <w:rsid w:val="00A86A61"/>
    <w:rsid w:val="00A86E5C"/>
    <w:rsid w:val="00A86FE5"/>
    <w:rsid w:val="00A872C8"/>
    <w:rsid w:val="00A87928"/>
    <w:rsid w:val="00A87D18"/>
    <w:rsid w:val="00A87DF1"/>
    <w:rsid w:val="00A902F4"/>
    <w:rsid w:val="00A91437"/>
    <w:rsid w:val="00A919FF"/>
    <w:rsid w:val="00A92500"/>
    <w:rsid w:val="00A92915"/>
    <w:rsid w:val="00A92D4A"/>
    <w:rsid w:val="00A92F92"/>
    <w:rsid w:val="00A9369B"/>
    <w:rsid w:val="00A94360"/>
    <w:rsid w:val="00A94ABB"/>
    <w:rsid w:val="00A95449"/>
    <w:rsid w:val="00A96892"/>
    <w:rsid w:val="00A97A80"/>
    <w:rsid w:val="00A97AA9"/>
    <w:rsid w:val="00AA03D0"/>
    <w:rsid w:val="00AA05E3"/>
    <w:rsid w:val="00AA1473"/>
    <w:rsid w:val="00AA182F"/>
    <w:rsid w:val="00AA19B2"/>
    <w:rsid w:val="00AA1A20"/>
    <w:rsid w:val="00AA1BE4"/>
    <w:rsid w:val="00AA2051"/>
    <w:rsid w:val="00AA2FBB"/>
    <w:rsid w:val="00AA33CD"/>
    <w:rsid w:val="00AA3E4F"/>
    <w:rsid w:val="00AA43C6"/>
    <w:rsid w:val="00AA4874"/>
    <w:rsid w:val="00AA53C1"/>
    <w:rsid w:val="00AA5BDC"/>
    <w:rsid w:val="00AA6DA3"/>
    <w:rsid w:val="00AA70A2"/>
    <w:rsid w:val="00AA70C4"/>
    <w:rsid w:val="00AA7892"/>
    <w:rsid w:val="00AA794C"/>
    <w:rsid w:val="00AA79A5"/>
    <w:rsid w:val="00AA7D60"/>
    <w:rsid w:val="00AB01C6"/>
    <w:rsid w:val="00AB0AEC"/>
    <w:rsid w:val="00AB0B3C"/>
    <w:rsid w:val="00AB16C4"/>
    <w:rsid w:val="00AB52A7"/>
    <w:rsid w:val="00AB5786"/>
    <w:rsid w:val="00AB5ABA"/>
    <w:rsid w:val="00AB5C3B"/>
    <w:rsid w:val="00AB5CA0"/>
    <w:rsid w:val="00AB6951"/>
    <w:rsid w:val="00AB737E"/>
    <w:rsid w:val="00AB7C0C"/>
    <w:rsid w:val="00AB7C8F"/>
    <w:rsid w:val="00AC0754"/>
    <w:rsid w:val="00AC08CB"/>
    <w:rsid w:val="00AC0985"/>
    <w:rsid w:val="00AC0BB6"/>
    <w:rsid w:val="00AC2192"/>
    <w:rsid w:val="00AC29BD"/>
    <w:rsid w:val="00AC3315"/>
    <w:rsid w:val="00AC3A27"/>
    <w:rsid w:val="00AC4870"/>
    <w:rsid w:val="00AC5658"/>
    <w:rsid w:val="00AC59BD"/>
    <w:rsid w:val="00AC636D"/>
    <w:rsid w:val="00AC63CF"/>
    <w:rsid w:val="00AC6B30"/>
    <w:rsid w:val="00AC6DE6"/>
    <w:rsid w:val="00AD049F"/>
    <w:rsid w:val="00AD05DE"/>
    <w:rsid w:val="00AD08EF"/>
    <w:rsid w:val="00AD0E7D"/>
    <w:rsid w:val="00AD0EC4"/>
    <w:rsid w:val="00AD1BEE"/>
    <w:rsid w:val="00AD23F9"/>
    <w:rsid w:val="00AD59B8"/>
    <w:rsid w:val="00AD6DE4"/>
    <w:rsid w:val="00AE251A"/>
    <w:rsid w:val="00AE2CB0"/>
    <w:rsid w:val="00AE2D8A"/>
    <w:rsid w:val="00AE3F2E"/>
    <w:rsid w:val="00AE4DB8"/>
    <w:rsid w:val="00AE5746"/>
    <w:rsid w:val="00AF0803"/>
    <w:rsid w:val="00AF136F"/>
    <w:rsid w:val="00AF27C6"/>
    <w:rsid w:val="00AF2AAA"/>
    <w:rsid w:val="00AF3653"/>
    <w:rsid w:val="00AF4237"/>
    <w:rsid w:val="00AF45BA"/>
    <w:rsid w:val="00AF5E6F"/>
    <w:rsid w:val="00B00F61"/>
    <w:rsid w:val="00B015E8"/>
    <w:rsid w:val="00B01B87"/>
    <w:rsid w:val="00B02216"/>
    <w:rsid w:val="00B024AC"/>
    <w:rsid w:val="00B02BF5"/>
    <w:rsid w:val="00B02E5F"/>
    <w:rsid w:val="00B03B63"/>
    <w:rsid w:val="00B05265"/>
    <w:rsid w:val="00B05601"/>
    <w:rsid w:val="00B05C0D"/>
    <w:rsid w:val="00B064FC"/>
    <w:rsid w:val="00B06AC4"/>
    <w:rsid w:val="00B06D88"/>
    <w:rsid w:val="00B07170"/>
    <w:rsid w:val="00B07614"/>
    <w:rsid w:val="00B07E06"/>
    <w:rsid w:val="00B11714"/>
    <w:rsid w:val="00B1278B"/>
    <w:rsid w:val="00B12AE0"/>
    <w:rsid w:val="00B13328"/>
    <w:rsid w:val="00B13F9A"/>
    <w:rsid w:val="00B15A3B"/>
    <w:rsid w:val="00B20538"/>
    <w:rsid w:val="00B21418"/>
    <w:rsid w:val="00B21C0E"/>
    <w:rsid w:val="00B221D9"/>
    <w:rsid w:val="00B23386"/>
    <w:rsid w:val="00B235F9"/>
    <w:rsid w:val="00B2368F"/>
    <w:rsid w:val="00B237FB"/>
    <w:rsid w:val="00B24AF0"/>
    <w:rsid w:val="00B24B1D"/>
    <w:rsid w:val="00B24B60"/>
    <w:rsid w:val="00B24C03"/>
    <w:rsid w:val="00B2502C"/>
    <w:rsid w:val="00B26C33"/>
    <w:rsid w:val="00B277E0"/>
    <w:rsid w:val="00B27B56"/>
    <w:rsid w:val="00B30121"/>
    <w:rsid w:val="00B327AE"/>
    <w:rsid w:val="00B332DD"/>
    <w:rsid w:val="00B333DC"/>
    <w:rsid w:val="00B33B53"/>
    <w:rsid w:val="00B34621"/>
    <w:rsid w:val="00B34946"/>
    <w:rsid w:val="00B35CE7"/>
    <w:rsid w:val="00B3692C"/>
    <w:rsid w:val="00B40CFF"/>
    <w:rsid w:val="00B40E85"/>
    <w:rsid w:val="00B413F0"/>
    <w:rsid w:val="00B41883"/>
    <w:rsid w:val="00B427D8"/>
    <w:rsid w:val="00B43208"/>
    <w:rsid w:val="00B43658"/>
    <w:rsid w:val="00B43A96"/>
    <w:rsid w:val="00B43BDD"/>
    <w:rsid w:val="00B44402"/>
    <w:rsid w:val="00B44520"/>
    <w:rsid w:val="00B44B60"/>
    <w:rsid w:val="00B44EB2"/>
    <w:rsid w:val="00B46854"/>
    <w:rsid w:val="00B46C8B"/>
    <w:rsid w:val="00B46E69"/>
    <w:rsid w:val="00B50BAE"/>
    <w:rsid w:val="00B50C33"/>
    <w:rsid w:val="00B50F36"/>
    <w:rsid w:val="00B51379"/>
    <w:rsid w:val="00B5183E"/>
    <w:rsid w:val="00B519FD"/>
    <w:rsid w:val="00B51E10"/>
    <w:rsid w:val="00B520BC"/>
    <w:rsid w:val="00B520E0"/>
    <w:rsid w:val="00B539CC"/>
    <w:rsid w:val="00B54C9A"/>
    <w:rsid w:val="00B55B03"/>
    <w:rsid w:val="00B55C22"/>
    <w:rsid w:val="00B55CCD"/>
    <w:rsid w:val="00B5639D"/>
    <w:rsid w:val="00B56EC2"/>
    <w:rsid w:val="00B575E0"/>
    <w:rsid w:val="00B602B5"/>
    <w:rsid w:val="00B6044C"/>
    <w:rsid w:val="00B6193F"/>
    <w:rsid w:val="00B620C0"/>
    <w:rsid w:val="00B621F4"/>
    <w:rsid w:val="00B637BE"/>
    <w:rsid w:val="00B63D24"/>
    <w:rsid w:val="00B63D35"/>
    <w:rsid w:val="00B64E6C"/>
    <w:rsid w:val="00B6555D"/>
    <w:rsid w:val="00B65B21"/>
    <w:rsid w:val="00B65DD8"/>
    <w:rsid w:val="00B663AF"/>
    <w:rsid w:val="00B6646C"/>
    <w:rsid w:val="00B66B2F"/>
    <w:rsid w:val="00B67440"/>
    <w:rsid w:val="00B704E8"/>
    <w:rsid w:val="00B70FC7"/>
    <w:rsid w:val="00B71233"/>
    <w:rsid w:val="00B724C3"/>
    <w:rsid w:val="00B7251A"/>
    <w:rsid w:val="00B730E9"/>
    <w:rsid w:val="00B739EE"/>
    <w:rsid w:val="00B73A1D"/>
    <w:rsid w:val="00B75459"/>
    <w:rsid w:val="00B75539"/>
    <w:rsid w:val="00B7576E"/>
    <w:rsid w:val="00B7747B"/>
    <w:rsid w:val="00B77624"/>
    <w:rsid w:val="00B77716"/>
    <w:rsid w:val="00B8049E"/>
    <w:rsid w:val="00B815DF"/>
    <w:rsid w:val="00B825D4"/>
    <w:rsid w:val="00B827E3"/>
    <w:rsid w:val="00B82821"/>
    <w:rsid w:val="00B82D19"/>
    <w:rsid w:val="00B8383A"/>
    <w:rsid w:val="00B83C29"/>
    <w:rsid w:val="00B8450F"/>
    <w:rsid w:val="00B84B2D"/>
    <w:rsid w:val="00B85FE8"/>
    <w:rsid w:val="00B86447"/>
    <w:rsid w:val="00B8728B"/>
    <w:rsid w:val="00B87DF8"/>
    <w:rsid w:val="00B90656"/>
    <w:rsid w:val="00B909A7"/>
    <w:rsid w:val="00B90CEC"/>
    <w:rsid w:val="00B90EE3"/>
    <w:rsid w:val="00B90FFE"/>
    <w:rsid w:val="00B924E6"/>
    <w:rsid w:val="00B929EB"/>
    <w:rsid w:val="00B92F6A"/>
    <w:rsid w:val="00B9345D"/>
    <w:rsid w:val="00B94132"/>
    <w:rsid w:val="00B94B33"/>
    <w:rsid w:val="00B967CD"/>
    <w:rsid w:val="00B96A52"/>
    <w:rsid w:val="00B9706D"/>
    <w:rsid w:val="00B9787A"/>
    <w:rsid w:val="00BA0080"/>
    <w:rsid w:val="00BA11A1"/>
    <w:rsid w:val="00BA1CAE"/>
    <w:rsid w:val="00BA1FA8"/>
    <w:rsid w:val="00BA2206"/>
    <w:rsid w:val="00BA262D"/>
    <w:rsid w:val="00BA2999"/>
    <w:rsid w:val="00BA2B7E"/>
    <w:rsid w:val="00BA2EBB"/>
    <w:rsid w:val="00BA321F"/>
    <w:rsid w:val="00BA3B4A"/>
    <w:rsid w:val="00BA3BC1"/>
    <w:rsid w:val="00BA4BD7"/>
    <w:rsid w:val="00BA5698"/>
    <w:rsid w:val="00BA5A47"/>
    <w:rsid w:val="00BA6294"/>
    <w:rsid w:val="00BA6738"/>
    <w:rsid w:val="00BA6C35"/>
    <w:rsid w:val="00BA6DF6"/>
    <w:rsid w:val="00BA6E7C"/>
    <w:rsid w:val="00BA744F"/>
    <w:rsid w:val="00BA7B3C"/>
    <w:rsid w:val="00BB0D61"/>
    <w:rsid w:val="00BB2051"/>
    <w:rsid w:val="00BB22F5"/>
    <w:rsid w:val="00BB2E09"/>
    <w:rsid w:val="00BB2EC6"/>
    <w:rsid w:val="00BB3A8E"/>
    <w:rsid w:val="00BB5364"/>
    <w:rsid w:val="00BB5A46"/>
    <w:rsid w:val="00BB5E91"/>
    <w:rsid w:val="00BB60CC"/>
    <w:rsid w:val="00BB61B7"/>
    <w:rsid w:val="00BB77C0"/>
    <w:rsid w:val="00BB7A0D"/>
    <w:rsid w:val="00BB7F16"/>
    <w:rsid w:val="00BC286C"/>
    <w:rsid w:val="00BC3616"/>
    <w:rsid w:val="00BC3D9F"/>
    <w:rsid w:val="00BC499D"/>
    <w:rsid w:val="00BC4D7C"/>
    <w:rsid w:val="00BC55CE"/>
    <w:rsid w:val="00BC5F54"/>
    <w:rsid w:val="00BC79EB"/>
    <w:rsid w:val="00BC7D5C"/>
    <w:rsid w:val="00BD001B"/>
    <w:rsid w:val="00BD01E4"/>
    <w:rsid w:val="00BD1BE8"/>
    <w:rsid w:val="00BD2599"/>
    <w:rsid w:val="00BD26B8"/>
    <w:rsid w:val="00BD2FB2"/>
    <w:rsid w:val="00BD304A"/>
    <w:rsid w:val="00BD376A"/>
    <w:rsid w:val="00BD406C"/>
    <w:rsid w:val="00BD4235"/>
    <w:rsid w:val="00BD4D3D"/>
    <w:rsid w:val="00BD61DD"/>
    <w:rsid w:val="00BD62D5"/>
    <w:rsid w:val="00BD693B"/>
    <w:rsid w:val="00BD7FCF"/>
    <w:rsid w:val="00BE03F7"/>
    <w:rsid w:val="00BE0F93"/>
    <w:rsid w:val="00BE106F"/>
    <w:rsid w:val="00BE1D3E"/>
    <w:rsid w:val="00BE2BE8"/>
    <w:rsid w:val="00BE2C37"/>
    <w:rsid w:val="00BE4031"/>
    <w:rsid w:val="00BE42FB"/>
    <w:rsid w:val="00BE5A80"/>
    <w:rsid w:val="00BE7057"/>
    <w:rsid w:val="00BE7209"/>
    <w:rsid w:val="00BE785D"/>
    <w:rsid w:val="00BF01AC"/>
    <w:rsid w:val="00BF258D"/>
    <w:rsid w:val="00BF2A54"/>
    <w:rsid w:val="00BF3263"/>
    <w:rsid w:val="00BF4F15"/>
    <w:rsid w:val="00BF59F0"/>
    <w:rsid w:val="00BF5D3C"/>
    <w:rsid w:val="00BF5E1C"/>
    <w:rsid w:val="00BF5F83"/>
    <w:rsid w:val="00BF6406"/>
    <w:rsid w:val="00BF718D"/>
    <w:rsid w:val="00BF7CC6"/>
    <w:rsid w:val="00C00D6F"/>
    <w:rsid w:val="00C01CA2"/>
    <w:rsid w:val="00C02208"/>
    <w:rsid w:val="00C026A8"/>
    <w:rsid w:val="00C026DC"/>
    <w:rsid w:val="00C02E0C"/>
    <w:rsid w:val="00C0337A"/>
    <w:rsid w:val="00C03558"/>
    <w:rsid w:val="00C0425F"/>
    <w:rsid w:val="00C0479E"/>
    <w:rsid w:val="00C0599E"/>
    <w:rsid w:val="00C0620D"/>
    <w:rsid w:val="00C064D8"/>
    <w:rsid w:val="00C064DC"/>
    <w:rsid w:val="00C065C2"/>
    <w:rsid w:val="00C1010F"/>
    <w:rsid w:val="00C112E0"/>
    <w:rsid w:val="00C114A9"/>
    <w:rsid w:val="00C128E1"/>
    <w:rsid w:val="00C1332D"/>
    <w:rsid w:val="00C137BF"/>
    <w:rsid w:val="00C13CB8"/>
    <w:rsid w:val="00C14101"/>
    <w:rsid w:val="00C1435C"/>
    <w:rsid w:val="00C147D4"/>
    <w:rsid w:val="00C149BD"/>
    <w:rsid w:val="00C151ED"/>
    <w:rsid w:val="00C15A45"/>
    <w:rsid w:val="00C15F8C"/>
    <w:rsid w:val="00C161A8"/>
    <w:rsid w:val="00C17111"/>
    <w:rsid w:val="00C17452"/>
    <w:rsid w:val="00C17DF5"/>
    <w:rsid w:val="00C2098C"/>
    <w:rsid w:val="00C20DD3"/>
    <w:rsid w:val="00C2161B"/>
    <w:rsid w:val="00C21811"/>
    <w:rsid w:val="00C21A01"/>
    <w:rsid w:val="00C2250B"/>
    <w:rsid w:val="00C22681"/>
    <w:rsid w:val="00C22AEE"/>
    <w:rsid w:val="00C231E5"/>
    <w:rsid w:val="00C233F8"/>
    <w:rsid w:val="00C238F2"/>
    <w:rsid w:val="00C23E81"/>
    <w:rsid w:val="00C2448E"/>
    <w:rsid w:val="00C24784"/>
    <w:rsid w:val="00C25473"/>
    <w:rsid w:val="00C25BDA"/>
    <w:rsid w:val="00C26413"/>
    <w:rsid w:val="00C27425"/>
    <w:rsid w:val="00C275B0"/>
    <w:rsid w:val="00C27ACE"/>
    <w:rsid w:val="00C30237"/>
    <w:rsid w:val="00C30D8E"/>
    <w:rsid w:val="00C31077"/>
    <w:rsid w:val="00C323F7"/>
    <w:rsid w:val="00C32C77"/>
    <w:rsid w:val="00C33104"/>
    <w:rsid w:val="00C332D4"/>
    <w:rsid w:val="00C3399B"/>
    <w:rsid w:val="00C33F96"/>
    <w:rsid w:val="00C34CE5"/>
    <w:rsid w:val="00C34F0D"/>
    <w:rsid w:val="00C3658E"/>
    <w:rsid w:val="00C3662B"/>
    <w:rsid w:val="00C36719"/>
    <w:rsid w:val="00C36E1C"/>
    <w:rsid w:val="00C379C9"/>
    <w:rsid w:val="00C40345"/>
    <w:rsid w:val="00C40F5A"/>
    <w:rsid w:val="00C423D3"/>
    <w:rsid w:val="00C42B30"/>
    <w:rsid w:val="00C4442B"/>
    <w:rsid w:val="00C44B46"/>
    <w:rsid w:val="00C4535A"/>
    <w:rsid w:val="00C45AA6"/>
    <w:rsid w:val="00C45BC8"/>
    <w:rsid w:val="00C46333"/>
    <w:rsid w:val="00C47277"/>
    <w:rsid w:val="00C4777E"/>
    <w:rsid w:val="00C50602"/>
    <w:rsid w:val="00C50DC9"/>
    <w:rsid w:val="00C51011"/>
    <w:rsid w:val="00C5162B"/>
    <w:rsid w:val="00C51B78"/>
    <w:rsid w:val="00C52F50"/>
    <w:rsid w:val="00C53B3C"/>
    <w:rsid w:val="00C5507E"/>
    <w:rsid w:val="00C55215"/>
    <w:rsid w:val="00C5553D"/>
    <w:rsid w:val="00C560AC"/>
    <w:rsid w:val="00C56853"/>
    <w:rsid w:val="00C56B03"/>
    <w:rsid w:val="00C56EB4"/>
    <w:rsid w:val="00C5781C"/>
    <w:rsid w:val="00C6012C"/>
    <w:rsid w:val="00C60343"/>
    <w:rsid w:val="00C60DF1"/>
    <w:rsid w:val="00C60FE5"/>
    <w:rsid w:val="00C614D3"/>
    <w:rsid w:val="00C61717"/>
    <w:rsid w:val="00C6422D"/>
    <w:rsid w:val="00C66236"/>
    <w:rsid w:val="00C66D5D"/>
    <w:rsid w:val="00C67127"/>
    <w:rsid w:val="00C674C8"/>
    <w:rsid w:val="00C70181"/>
    <w:rsid w:val="00C7024B"/>
    <w:rsid w:val="00C73193"/>
    <w:rsid w:val="00C738A6"/>
    <w:rsid w:val="00C73B45"/>
    <w:rsid w:val="00C7441A"/>
    <w:rsid w:val="00C76B56"/>
    <w:rsid w:val="00C76DA5"/>
    <w:rsid w:val="00C76FB7"/>
    <w:rsid w:val="00C77EED"/>
    <w:rsid w:val="00C802B6"/>
    <w:rsid w:val="00C80888"/>
    <w:rsid w:val="00C80C4C"/>
    <w:rsid w:val="00C81DF0"/>
    <w:rsid w:val="00C81F56"/>
    <w:rsid w:val="00C83EFB"/>
    <w:rsid w:val="00C83FE5"/>
    <w:rsid w:val="00C84558"/>
    <w:rsid w:val="00C85054"/>
    <w:rsid w:val="00C854D4"/>
    <w:rsid w:val="00C86362"/>
    <w:rsid w:val="00C867D6"/>
    <w:rsid w:val="00C86D95"/>
    <w:rsid w:val="00C87DBD"/>
    <w:rsid w:val="00C90556"/>
    <w:rsid w:val="00C90F63"/>
    <w:rsid w:val="00C91101"/>
    <w:rsid w:val="00C91B5A"/>
    <w:rsid w:val="00C91D20"/>
    <w:rsid w:val="00C92642"/>
    <w:rsid w:val="00C92816"/>
    <w:rsid w:val="00C92A33"/>
    <w:rsid w:val="00C92B9D"/>
    <w:rsid w:val="00C93371"/>
    <w:rsid w:val="00C93C0E"/>
    <w:rsid w:val="00C9421E"/>
    <w:rsid w:val="00C9486D"/>
    <w:rsid w:val="00C94E44"/>
    <w:rsid w:val="00C95C10"/>
    <w:rsid w:val="00C96409"/>
    <w:rsid w:val="00C977D5"/>
    <w:rsid w:val="00C97ACE"/>
    <w:rsid w:val="00C97D6B"/>
    <w:rsid w:val="00CA0D78"/>
    <w:rsid w:val="00CA173C"/>
    <w:rsid w:val="00CA1904"/>
    <w:rsid w:val="00CA1C8F"/>
    <w:rsid w:val="00CA4855"/>
    <w:rsid w:val="00CA5320"/>
    <w:rsid w:val="00CA5D90"/>
    <w:rsid w:val="00CA792D"/>
    <w:rsid w:val="00CA7DE4"/>
    <w:rsid w:val="00CA7F18"/>
    <w:rsid w:val="00CB1142"/>
    <w:rsid w:val="00CB24FE"/>
    <w:rsid w:val="00CB2E56"/>
    <w:rsid w:val="00CB30D4"/>
    <w:rsid w:val="00CB3293"/>
    <w:rsid w:val="00CB3D5E"/>
    <w:rsid w:val="00CB4312"/>
    <w:rsid w:val="00CB45F0"/>
    <w:rsid w:val="00CB6318"/>
    <w:rsid w:val="00CC16BF"/>
    <w:rsid w:val="00CC2AA0"/>
    <w:rsid w:val="00CC2C87"/>
    <w:rsid w:val="00CC2F68"/>
    <w:rsid w:val="00CC3674"/>
    <w:rsid w:val="00CC3684"/>
    <w:rsid w:val="00CC399B"/>
    <w:rsid w:val="00CC3B78"/>
    <w:rsid w:val="00CC4621"/>
    <w:rsid w:val="00CC4F6D"/>
    <w:rsid w:val="00CC5937"/>
    <w:rsid w:val="00CC5A98"/>
    <w:rsid w:val="00CC5A9D"/>
    <w:rsid w:val="00CC6B09"/>
    <w:rsid w:val="00CC7123"/>
    <w:rsid w:val="00CD00CA"/>
    <w:rsid w:val="00CD0900"/>
    <w:rsid w:val="00CD0B49"/>
    <w:rsid w:val="00CD166D"/>
    <w:rsid w:val="00CD2D87"/>
    <w:rsid w:val="00CD354C"/>
    <w:rsid w:val="00CD425F"/>
    <w:rsid w:val="00CD44D5"/>
    <w:rsid w:val="00CD4576"/>
    <w:rsid w:val="00CD47B2"/>
    <w:rsid w:val="00CD4D71"/>
    <w:rsid w:val="00CD4F7C"/>
    <w:rsid w:val="00CD58FD"/>
    <w:rsid w:val="00CD5AA6"/>
    <w:rsid w:val="00CD5C08"/>
    <w:rsid w:val="00CD6B35"/>
    <w:rsid w:val="00CD6E30"/>
    <w:rsid w:val="00CD7779"/>
    <w:rsid w:val="00CD7BD0"/>
    <w:rsid w:val="00CE04D1"/>
    <w:rsid w:val="00CE0B15"/>
    <w:rsid w:val="00CE15DF"/>
    <w:rsid w:val="00CE2B7B"/>
    <w:rsid w:val="00CE3ACA"/>
    <w:rsid w:val="00CE3F24"/>
    <w:rsid w:val="00CE44DD"/>
    <w:rsid w:val="00CE49BB"/>
    <w:rsid w:val="00CE55EC"/>
    <w:rsid w:val="00CE5DAF"/>
    <w:rsid w:val="00CE66D9"/>
    <w:rsid w:val="00CE7770"/>
    <w:rsid w:val="00CE7DAA"/>
    <w:rsid w:val="00CE7F83"/>
    <w:rsid w:val="00CF1337"/>
    <w:rsid w:val="00CF3290"/>
    <w:rsid w:val="00CF4915"/>
    <w:rsid w:val="00CF4922"/>
    <w:rsid w:val="00CF4BC5"/>
    <w:rsid w:val="00CF4D3A"/>
    <w:rsid w:val="00CF55AD"/>
    <w:rsid w:val="00CF57A6"/>
    <w:rsid w:val="00CF5A6F"/>
    <w:rsid w:val="00CF66EE"/>
    <w:rsid w:val="00CF744F"/>
    <w:rsid w:val="00CF7466"/>
    <w:rsid w:val="00CF7B32"/>
    <w:rsid w:val="00CF7E23"/>
    <w:rsid w:val="00D00372"/>
    <w:rsid w:val="00D00512"/>
    <w:rsid w:val="00D00726"/>
    <w:rsid w:val="00D02B40"/>
    <w:rsid w:val="00D03307"/>
    <w:rsid w:val="00D03444"/>
    <w:rsid w:val="00D0481A"/>
    <w:rsid w:val="00D055E8"/>
    <w:rsid w:val="00D06DBE"/>
    <w:rsid w:val="00D07172"/>
    <w:rsid w:val="00D07AC9"/>
    <w:rsid w:val="00D108A6"/>
    <w:rsid w:val="00D10A5F"/>
    <w:rsid w:val="00D10B33"/>
    <w:rsid w:val="00D119FE"/>
    <w:rsid w:val="00D1227C"/>
    <w:rsid w:val="00D12B03"/>
    <w:rsid w:val="00D12B27"/>
    <w:rsid w:val="00D1310A"/>
    <w:rsid w:val="00D1409F"/>
    <w:rsid w:val="00D1477D"/>
    <w:rsid w:val="00D14BFF"/>
    <w:rsid w:val="00D1549E"/>
    <w:rsid w:val="00D158AE"/>
    <w:rsid w:val="00D158E9"/>
    <w:rsid w:val="00D16442"/>
    <w:rsid w:val="00D16A85"/>
    <w:rsid w:val="00D1751C"/>
    <w:rsid w:val="00D20FC2"/>
    <w:rsid w:val="00D213C1"/>
    <w:rsid w:val="00D21F21"/>
    <w:rsid w:val="00D23A88"/>
    <w:rsid w:val="00D245CE"/>
    <w:rsid w:val="00D2672C"/>
    <w:rsid w:val="00D27450"/>
    <w:rsid w:val="00D277FF"/>
    <w:rsid w:val="00D278C4"/>
    <w:rsid w:val="00D300FE"/>
    <w:rsid w:val="00D30790"/>
    <w:rsid w:val="00D30DB8"/>
    <w:rsid w:val="00D31ED2"/>
    <w:rsid w:val="00D3315D"/>
    <w:rsid w:val="00D331D4"/>
    <w:rsid w:val="00D343FA"/>
    <w:rsid w:val="00D3459F"/>
    <w:rsid w:val="00D345C0"/>
    <w:rsid w:val="00D34868"/>
    <w:rsid w:val="00D36CDB"/>
    <w:rsid w:val="00D374CB"/>
    <w:rsid w:val="00D418FF"/>
    <w:rsid w:val="00D41FC0"/>
    <w:rsid w:val="00D434CD"/>
    <w:rsid w:val="00D435C3"/>
    <w:rsid w:val="00D43A12"/>
    <w:rsid w:val="00D4588C"/>
    <w:rsid w:val="00D45A7E"/>
    <w:rsid w:val="00D46CB0"/>
    <w:rsid w:val="00D476EF"/>
    <w:rsid w:val="00D506B9"/>
    <w:rsid w:val="00D50D42"/>
    <w:rsid w:val="00D51208"/>
    <w:rsid w:val="00D532A1"/>
    <w:rsid w:val="00D54F45"/>
    <w:rsid w:val="00D55865"/>
    <w:rsid w:val="00D5594D"/>
    <w:rsid w:val="00D56B3E"/>
    <w:rsid w:val="00D572E4"/>
    <w:rsid w:val="00D57826"/>
    <w:rsid w:val="00D57F81"/>
    <w:rsid w:val="00D6080D"/>
    <w:rsid w:val="00D6157E"/>
    <w:rsid w:val="00D61E23"/>
    <w:rsid w:val="00D6444D"/>
    <w:rsid w:val="00D648C0"/>
    <w:rsid w:val="00D64EF9"/>
    <w:rsid w:val="00D64FC7"/>
    <w:rsid w:val="00D65664"/>
    <w:rsid w:val="00D65815"/>
    <w:rsid w:val="00D65AA5"/>
    <w:rsid w:val="00D65C76"/>
    <w:rsid w:val="00D65E4C"/>
    <w:rsid w:val="00D66701"/>
    <w:rsid w:val="00D67011"/>
    <w:rsid w:val="00D67A34"/>
    <w:rsid w:val="00D67E54"/>
    <w:rsid w:val="00D713B7"/>
    <w:rsid w:val="00D71419"/>
    <w:rsid w:val="00D73432"/>
    <w:rsid w:val="00D734C7"/>
    <w:rsid w:val="00D74E5A"/>
    <w:rsid w:val="00D7542B"/>
    <w:rsid w:val="00D75E00"/>
    <w:rsid w:val="00D75E68"/>
    <w:rsid w:val="00D762F0"/>
    <w:rsid w:val="00D764A1"/>
    <w:rsid w:val="00D76FEC"/>
    <w:rsid w:val="00D771D5"/>
    <w:rsid w:val="00D801DB"/>
    <w:rsid w:val="00D80E3B"/>
    <w:rsid w:val="00D8351F"/>
    <w:rsid w:val="00D84D83"/>
    <w:rsid w:val="00D8651A"/>
    <w:rsid w:val="00D86E0B"/>
    <w:rsid w:val="00D873C0"/>
    <w:rsid w:val="00D87C72"/>
    <w:rsid w:val="00D901CA"/>
    <w:rsid w:val="00D905E7"/>
    <w:rsid w:val="00D90601"/>
    <w:rsid w:val="00D90D12"/>
    <w:rsid w:val="00D915A9"/>
    <w:rsid w:val="00D925F0"/>
    <w:rsid w:val="00D928AF"/>
    <w:rsid w:val="00D92B6A"/>
    <w:rsid w:val="00D92D44"/>
    <w:rsid w:val="00D936F6"/>
    <w:rsid w:val="00D93CD5"/>
    <w:rsid w:val="00D93F6D"/>
    <w:rsid w:val="00D94538"/>
    <w:rsid w:val="00D95234"/>
    <w:rsid w:val="00D9570E"/>
    <w:rsid w:val="00D9583C"/>
    <w:rsid w:val="00D96E5F"/>
    <w:rsid w:val="00D978B4"/>
    <w:rsid w:val="00DA10F7"/>
    <w:rsid w:val="00DA1235"/>
    <w:rsid w:val="00DA13A2"/>
    <w:rsid w:val="00DA1D32"/>
    <w:rsid w:val="00DA29BF"/>
    <w:rsid w:val="00DA2F73"/>
    <w:rsid w:val="00DA4410"/>
    <w:rsid w:val="00DA47D9"/>
    <w:rsid w:val="00DA5BEB"/>
    <w:rsid w:val="00DA793E"/>
    <w:rsid w:val="00DA7A55"/>
    <w:rsid w:val="00DA7C6E"/>
    <w:rsid w:val="00DB0B18"/>
    <w:rsid w:val="00DB0DA8"/>
    <w:rsid w:val="00DB1726"/>
    <w:rsid w:val="00DB1A62"/>
    <w:rsid w:val="00DB1AA2"/>
    <w:rsid w:val="00DB2B67"/>
    <w:rsid w:val="00DB3319"/>
    <w:rsid w:val="00DB397E"/>
    <w:rsid w:val="00DB3AFF"/>
    <w:rsid w:val="00DB3FD9"/>
    <w:rsid w:val="00DB6AF1"/>
    <w:rsid w:val="00DB7A09"/>
    <w:rsid w:val="00DB7EB0"/>
    <w:rsid w:val="00DC00BF"/>
    <w:rsid w:val="00DC177D"/>
    <w:rsid w:val="00DC18C4"/>
    <w:rsid w:val="00DC2571"/>
    <w:rsid w:val="00DC2A29"/>
    <w:rsid w:val="00DC307B"/>
    <w:rsid w:val="00DC343B"/>
    <w:rsid w:val="00DC3C75"/>
    <w:rsid w:val="00DC462F"/>
    <w:rsid w:val="00DC499A"/>
    <w:rsid w:val="00DC4EE6"/>
    <w:rsid w:val="00DC5355"/>
    <w:rsid w:val="00DC54AF"/>
    <w:rsid w:val="00DC5CA0"/>
    <w:rsid w:val="00DC71AD"/>
    <w:rsid w:val="00DC76A2"/>
    <w:rsid w:val="00DD10A8"/>
    <w:rsid w:val="00DD3D88"/>
    <w:rsid w:val="00DD3DC8"/>
    <w:rsid w:val="00DD5698"/>
    <w:rsid w:val="00DD5DBB"/>
    <w:rsid w:val="00DD6A21"/>
    <w:rsid w:val="00DD72CF"/>
    <w:rsid w:val="00DE09E8"/>
    <w:rsid w:val="00DE1461"/>
    <w:rsid w:val="00DE18A7"/>
    <w:rsid w:val="00DE1A76"/>
    <w:rsid w:val="00DE2EFB"/>
    <w:rsid w:val="00DE3F3A"/>
    <w:rsid w:val="00DE4575"/>
    <w:rsid w:val="00DE4D66"/>
    <w:rsid w:val="00DE4F1C"/>
    <w:rsid w:val="00DE5AC1"/>
    <w:rsid w:val="00DE5B6F"/>
    <w:rsid w:val="00DE6097"/>
    <w:rsid w:val="00DE60CA"/>
    <w:rsid w:val="00DE6744"/>
    <w:rsid w:val="00DE6CC5"/>
    <w:rsid w:val="00DE700F"/>
    <w:rsid w:val="00DF06C2"/>
    <w:rsid w:val="00DF20FF"/>
    <w:rsid w:val="00DF210D"/>
    <w:rsid w:val="00DF21B5"/>
    <w:rsid w:val="00DF286D"/>
    <w:rsid w:val="00DF2ADA"/>
    <w:rsid w:val="00DF30AB"/>
    <w:rsid w:val="00DF3B57"/>
    <w:rsid w:val="00DF4823"/>
    <w:rsid w:val="00DF65E4"/>
    <w:rsid w:val="00DF6ACD"/>
    <w:rsid w:val="00DF700D"/>
    <w:rsid w:val="00E00768"/>
    <w:rsid w:val="00E01183"/>
    <w:rsid w:val="00E02517"/>
    <w:rsid w:val="00E030D4"/>
    <w:rsid w:val="00E0367E"/>
    <w:rsid w:val="00E040B4"/>
    <w:rsid w:val="00E040F8"/>
    <w:rsid w:val="00E066A7"/>
    <w:rsid w:val="00E069B5"/>
    <w:rsid w:val="00E06D73"/>
    <w:rsid w:val="00E07644"/>
    <w:rsid w:val="00E103E9"/>
    <w:rsid w:val="00E10663"/>
    <w:rsid w:val="00E1172A"/>
    <w:rsid w:val="00E12D5E"/>
    <w:rsid w:val="00E13386"/>
    <w:rsid w:val="00E13770"/>
    <w:rsid w:val="00E13D7F"/>
    <w:rsid w:val="00E14833"/>
    <w:rsid w:val="00E14E2D"/>
    <w:rsid w:val="00E15BA9"/>
    <w:rsid w:val="00E15DEA"/>
    <w:rsid w:val="00E160C1"/>
    <w:rsid w:val="00E1675F"/>
    <w:rsid w:val="00E17538"/>
    <w:rsid w:val="00E203A8"/>
    <w:rsid w:val="00E207F7"/>
    <w:rsid w:val="00E2130A"/>
    <w:rsid w:val="00E21642"/>
    <w:rsid w:val="00E224F4"/>
    <w:rsid w:val="00E227D1"/>
    <w:rsid w:val="00E2310A"/>
    <w:rsid w:val="00E23B97"/>
    <w:rsid w:val="00E23D45"/>
    <w:rsid w:val="00E24734"/>
    <w:rsid w:val="00E24B54"/>
    <w:rsid w:val="00E24F4F"/>
    <w:rsid w:val="00E24FA3"/>
    <w:rsid w:val="00E25659"/>
    <w:rsid w:val="00E25CE8"/>
    <w:rsid w:val="00E26B28"/>
    <w:rsid w:val="00E26C4F"/>
    <w:rsid w:val="00E27281"/>
    <w:rsid w:val="00E27368"/>
    <w:rsid w:val="00E274BC"/>
    <w:rsid w:val="00E27CB7"/>
    <w:rsid w:val="00E31465"/>
    <w:rsid w:val="00E3188C"/>
    <w:rsid w:val="00E328CD"/>
    <w:rsid w:val="00E32E4C"/>
    <w:rsid w:val="00E33D29"/>
    <w:rsid w:val="00E33E28"/>
    <w:rsid w:val="00E3489E"/>
    <w:rsid w:val="00E35060"/>
    <w:rsid w:val="00E351FE"/>
    <w:rsid w:val="00E362F0"/>
    <w:rsid w:val="00E3685D"/>
    <w:rsid w:val="00E36B95"/>
    <w:rsid w:val="00E37FB4"/>
    <w:rsid w:val="00E4003F"/>
    <w:rsid w:val="00E4004B"/>
    <w:rsid w:val="00E40134"/>
    <w:rsid w:val="00E40B3F"/>
    <w:rsid w:val="00E41358"/>
    <w:rsid w:val="00E417EA"/>
    <w:rsid w:val="00E41AEE"/>
    <w:rsid w:val="00E422AC"/>
    <w:rsid w:val="00E422CF"/>
    <w:rsid w:val="00E4310A"/>
    <w:rsid w:val="00E441A9"/>
    <w:rsid w:val="00E44FBF"/>
    <w:rsid w:val="00E451AD"/>
    <w:rsid w:val="00E458E6"/>
    <w:rsid w:val="00E458F6"/>
    <w:rsid w:val="00E45954"/>
    <w:rsid w:val="00E46270"/>
    <w:rsid w:val="00E46704"/>
    <w:rsid w:val="00E46BA0"/>
    <w:rsid w:val="00E46C17"/>
    <w:rsid w:val="00E46FAE"/>
    <w:rsid w:val="00E47351"/>
    <w:rsid w:val="00E47439"/>
    <w:rsid w:val="00E50199"/>
    <w:rsid w:val="00E51BF2"/>
    <w:rsid w:val="00E5230B"/>
    <w:rsid w:val="00E52670"/>
    <w:rsid w:val="00E52E9C"/>
    <w:rsid w:val="00E53546"/>
    <w:rsid w:val="00E5409F"/>
    <w:rsid w:val="00E545C5"/>
    <w:rsid w:val="00E55F24"/>
    <w:rsid w:val="00E57FE9"/>
    <w:rsid w:val="00E6246F"/>
    <w:rsid w:val="00E65117"/>
    <w:rsid w:val="00E65CB4"/>
    <w:rsid w:val="00E65D14"/>
    <w:rsid w:val="00E665FF"/>
    <w:rsid w:val="00E66DF5"/>
    <w:rsid w:val="00E67846"/>
    <w:rsid w:val="00E67866"/>
    <w:rsid w:val="00E7123C"/>
    <w:rsid w:val="00E71453"/>
    <w:rsid w:val="00E71604"/>
    <w:rsid w:val="00E769D9"/>
    <w:rsid w:val="00E770E2"/>
    <w:rsid w:val="00E77296"/>
    <w:rsid w:val="00E77989"/>
    <w:rsid w:val="00E77ECB"/>
    <w:rsid w:val="00E77FC1"/>
    <w:rsid w:val="00E81D52"/>
    <w:rsid w:val="00E827B4"/>
    <w:rsid w:val="00E82A5D"/>
    <w:rsid w:val="00E82E04"/>
    <w:rsid w:val="00E83D7A"/>
    <w:rsid w:val="00E84C49"/>
    <w:rsid w:val="00E84D15"/>
    <w:rsid w:val="00E85564"/>
    <w:rsid w:val="00E8593D"/>
    <w:rsid w:val="00E85963"/>
    <w:rsid w:val="00E868C8"/>
    <w:rsid w:val="00E87733"/>
    <w:rsid w:val="00E8774A"/>
    <w:rsid w:val="00E87BD3"/>
    <w:rsid w:val="00E90108"/>
    <w:rsid w:val="00E90318"/>
    <w:rsid w:val="00E90B7B"/>
    <w:rsid w:val="00E91A0E"/>
    <w:rsid w:val="00E91C27"/>
    <w:rsid w:val="00E91C9D"/>
    <w:rsid w:val="00E92A59"/>
    <w:rsid w:val="00E93168"/>
    <w:rsid w:val="00E9381C"/>
    <w:rsid w:val="00E93D19"/>
    <w:rsid w:val="00E94060"/>
    <w:rsid w:val="00E940AB"/>
    <w:rsid w:val="00E94BF1"/>
    <w:rsid w:val="00E950E2"/>
    <w:rsid w:val="00E9548E"/>
    <w:rsid w:val="00E95633"/>
    <w:rsid w:val="00E95D96"/>
    <w:rsid w:val="00E960F2"/>
    <w:rsid w:val="00E96610"/>
    <w:rsid w:val="00E9662F"/>
    <w:rsid w:val="00E96823"/>
    <w:rsid w:val="00E96AB9"/>
    <w:rsid w:val="00E96FDE"/>
    <w:rsid w:val="00E9704D"/>
    <w:rsid w:val="00E970C1"/>
    <w:rsid w:val="00E97705"/>
    <w:rsid w:val="00EA1301"/>
    <w:rsid w:val="00EA33BF"/>
    <w:rsid w:val="00EA41F8"/>
    <w:rsid w:val="00EA4496"/>
    <w:rsid w:val="00EA44CC"/>
    <w:rsid w:val="00EA44D9"/>
    <w:rsid w:val="00EA4FD3"/>
    <w:rsid w:val="00EA51DE"/>
    <w:rsid w:val="00EA54DB"/>
    <w:rsid w:val="00EA5860"/>
    <w:rsid w:val="00EA6E03"/>
    <w:rsid w:val="00EA73ED"/>
    <w:rsid w:val="00EA7BEE"/>
    <w:rsid w:val="00EA7D9C"/>
    <w:rsid w:val="00EB13E6"/>
    <w:rsid w:val="00EB16A9"/>
    <w:rsid w:val="00EB1974"/>
    <w:rsid w:val="00EB23DC"/>
    <w:rsid w:val="00EB240E"/>
    <w:rsid w:val="00EB4452"/>
    <w:rsid w:val="00EB44E3"/>
    <w:rsid w:val="00EB5410"/>
    <w:rsid w:val="00EB640E"/>
    <w:rsid w:val="00EB65F0"/>
    <w:rsid w:val="00EB6A76"/>
    <w:rsid w:val="00EC0548"/>
    <w:rsid w:val="00EC05C0"/>
    <w:rsid w:val="00EC0A23"/>
    <w:rsid w:val="00EC0AC0"/>
    <w:rsid w:val="00EC2480"/>
    <w:rsid w:val="00EC2741"/>
    <w:rsid w:val="00EC2F7D"/>
    <w:rsid w:val="00EC69C2"/>
    <w:rsid w:val="00EC6EB1"/>
    <w:rsid w:val="00ED2375"/>
    <w:rsid w:val="00ED2DDD"/>
    <w:rsid w:val="00ED38F0"/>
    <w:rsid w:val="00ED41D1"/>
    <w:rsid w:val="00ED431F"/>
    <w:rsid w:val="00ED4945"/>
    <w:rsid w:val="00ED701E"/>
    <w:rsid w:val="00ED73AD"/>
    <w:rsid w:val="00ED7B87"/>
    <w:rsid w:val="00EE0F8E"/>
    <w:rsid w:val="00EE23A4"/>
    <w:rsid w:val="00EE243B"/>
    <w:rsid w:val="00EE3BB9"/>
    <w:rsid w:val="00EE41CB"/>
    <w:rsid w:val="00EE443C"/>
    <w:rsid w:val="00EE5431"/>
    <w:rsid w:val="00EE5A78"/>
    <w:rsid w:val="00EE60EF"/>
    <w:rsid w:val="00EE711D"/>
    <w:rsid w:val="00EE7E3A"/>
    <w:rsid w:val="00EF2833"/>
    <w:rsid w:val="00EF2B2D"/>
    <w:rsid w:val="00EF2EF9"/>
    <w:rsid w:val="00EF3606"/>
    <w:rsid w:val="00EF3901"/>
    <w:rsid w:val="00EF3E07"/>
    <w:rsid w:val="00EF4416"/>
    <w:rsid w:val="00EF458A"/>
    <w:rsid w:val="00EF47CF"/>
    <w:rsid w:val="00EF4E44"/>
    <w:rsid w:val="00EF60A2"/>
    <w:rsid w:val="00EF6FE0"/>
    <w:rsid w:val="00EF7D10"/>
    <w:rsid w:val="00F00136"/>
    <w:rsid w:val="00F010B1"/>
    <w:rsid w:val="00F034A3"/>
    <w:rsid w:val="00F04010"/>
    <w:rsid w:val="00F047FA"/>
    <w:rsid w:val="00F0487B"/>
    <w:rsid w:val="00F0540B"/>
    <w:rsid w:val="00F054B5"/>
    <w:rsid w:val="00F058C9"/>
    <w:rsid w:val="00F05D08"/>
    <w:rsid w:val="00F06E3F"/>
    <w:rsid w:val="00F06F8F"/>
    <w:rsid w:val="00F071FA"/>
    <w:rsid w:val="00F0799D"/>
    <w:rsid w:val="00F107A0"/>
    <w:rsid w:val="00F117F4"/>
    <w:rsid w:val="00F11850"/>
    <w:rsid w:val="00F127A8"/>
    <w:rsid w:val="00F134A4"/>
    <w:rsid w:val="00F14C6D"/>
    <w:rsid w:val="00F15D80"/>
    <w:rsid w:val="00F16A1C"/>
    <w:rsid w:val="00F175F4"/>
    <w:rsid w:val="00F20255"/>
    <w:rsid w:val="00F21D3B"/>
    <w:rsid w:val="00F21E37"/>
    <w:rsid w:val="00F220A5"/>
    <w:rsid w:val="00F2239E"/>
    <w:rsid w:val="00F22D04"/>
    <w:rsid w:val="00F24D0E"/>
    <w:rsid w:val="00F25ABE"/>
    <w:rsid w:val="00F25E69"/>
    <w:rsid w:val="00F2647C"/>
    <w:rsid w:val="00F264EC"/>
    <w:rsid w:val="00F30252"/>
    <w:rsid w:val="00F32192"/>
    <w:rsid w:val="00F32C8B"/>
    <w:rsid w:val="00F33DBD"/>
    <w:rsid w:val="00F342AC"/>
    <w:rsid w:val="00F34362"/>
    <w:rsid w:val="00F34BC9"/>
    <w:rsid w:val="00F35436"/>
    <w:rsid w:val="00F35511"/>
    <w:rsid w:val="00F3596D"/>
    <w:rsid w:val="00F35BFC"/>
    <w:rsid w:val="00F36C01"/>
    <w:rsid w:val="00F3711F"/>
    <w:rsid w:val="00F374D0"/>
    <w:rsid w:val="00F37BD0"/>
    <w:rsid w:val="00F40183"/>
    <w:rsid w:val="00F41189"/>
    <w:rsid w:val="00F41D29"/>
    <w:rsid w:val="00F42143"/>
    <w:rsid w:val="00F42362"/>
    <w:rsid w:val="00F43AD7"/>
    <w:rsid w:val="00F4455A"/>
    <w:rsid w:val="00F44750"/>
    <w:rsid w:val="00F448A5"/>
    <w:rsid w:val="00F45DFF"/>
    <w:rsid w:val="00F47148"/>
    <w:rsid w:val="00F506D9"/>
    <w:rsid w:val="00F50A37"/>
    <w:rsid w:val="00F513AE"/>
    <w:rsid w:val="00F51E1F"/>
    <w:rsid w:val="00F522DA"/>
    <w:rsid w:val="00F53F14"/>
    <w:rsid w:val="00F5429F"/>
    <w:rsid w:val="00F54C39"/>
    <w:rsid w:val="00F60928"/>
    <w:rsid w:val="00F6169F"/>
    <w:rsid w:val="00F6175B"/>
    <w:rsid w:val="00F6194E"/>
    <w:rsid w:val="00F61AE9"/>
    <w:rsid w:val="00F6216B"/>
    <w:rsid w:val="00F621B9"/>
    <w:rsid w:val="00F62EA1"/>
    <w:rsid w:val="00F62FB0"/>
    <w:rsid w:val="00F659AC"/>
    <w:rsid w:val="00F66353"/>
    <w:rsid w:val="00F67295"/>
    <w:rsid w:val="00F6731A"/>
    <w:rsid w:val="00F67448"/>
    <w:rsid w:val="00F67AAF"/>
    <w:rsid w:val="00F67E6A"/>
    <w:rsid w:val="00F7279B"/>
    <w:rsid w:val="00F72BF8"/>
    <w:rsid w:val="00F73811"/>
    <w:rsid w:val="00F73E2F"/>
    <w:rsid w:val="00F74B52"/>
    <w:rsid w:val="00F74D69"/>
    <w:rsid w:val="00F75A11"/>
    <w:rsid w:val="00F75C70"/>
    <w:rsid w:val="00F75FC1"/>
    <w:rsid w:val="00F768FD"/>
    <w:rsid w:val="00F769F6"/>
    <w:rsid w:val="00F77525"/>
    <w:rsid w:val="00F776AF"/>
    <w:rsid w:val="00F7782E"/>
    <w:rsid w:val="00F81113"/>
    <w:rsid w:val="00F82896"/>
    <w:rsid w:val="00F82CCD"/>
    <w:rsid w:val="00F8302E"/>
    <w:rsid w:val="00F84646"/>
    <w:rsid w:val="00F856BA"/>
    <w:rsid w:val="00F86B32"/>
    <w:rsid w:val="00F86DAB"/>
    <w:rsid w:val="00F8766D"/>
    <w:rsid w:val="00F90421"/>
    <w:rsid w:val="00F91186"/>
    <w:rsid w:val="00F92678"/>
    <w:rsid w:val="00F93140"/>
    <w:rsid w:val="00F9366E"/>
    <w:rsid w:val="00F936DB"/>
    <w:rsid w:val="00F9549B"/>
    <w:rsid w:val="00F95782"/>
    <w:rsid w:val="00F958BA"/>
    <w:rsid w:val="00F95FE7"/>
    <w:rsid w:val="00F96358"/>
    <w:rsid w:val="00F96CF7"/>
    <w:rsid w:val="00F9797A"/>
    <w:rsid w:val="00FA05DA"/>
    <w:rsid w:val="00FA1D83"/>
    <w:rsid w:val="00FA288C"/>
    <w:rsid w:val="00FA3D11"/>
    <w:rsid w:val="00FA4916"/>
    <w:rsid w:val="00FA560C"/>
    <w:rsid w:val="00FA5C36"/>
    <w:rsid w:val="00FA64CE"/>
    <w:rsid w:val="00FA732C"/>
    <w:rsid w:val="00FA789B"/>
    <w:rsid w:val="00FA7E5C"/>
    <w:rsid w:val="00FB00BE"/>
    <w:rsid w:val="00FB0EF1"/>
    <w:rsid w:val="00FB13AA"/>
    <w:rsid w:val="00FB193D"/>
    <w:rsid w:val="00FB3177"/>
    <w:rsid w:val="00FB321F"/>
    <w:rsid w:val="00FB3422"/>
    <w:rsid w:val="00FB3AE7"/>
    <w:rsid w:val="00FB4CF9"/>
    <w:rsid w:val="00FB4E1D"/>
    <w:rsid w:val="00FB59D3"/>
    <w:rsid w:val="00FB5BB9"/>
    <w:rsid w:val="00FB6302"/>
    <w:rsid w:val="00FB66AA"/>
    <w:rsid w:val="00FB747A"/>
    <w:rsid w:val="00FB754C"/>
    <w:rsid w:val="00FB7DBE"/>
    <w:rsid w:val="00FC050F"/>
    <w:rsid w:val="00FC0D09"/>
    <w:rsid w:val="00FC0E58"/>
    <w:rsid w:val="00FC0FD6"/>
    <w:rsid w:val="00FC1720"/>
    <w:rsid w:val="00FC3021"/>
    <w:rsid w:val="00FC35A9"/>
    <w:rsid w:val="00FC552B"/>
    <w:rsid w:val="00FC569F"/>
    <w:rsid w:val="00FC5B9B"/>
    <w:rsid w:val="00FC5E0F"/>
    <w:rsid w:val="00FC5ED6"/>
    <w:rsid w:val="00FC6163"/>
    <w:rsid w:val="00FC6724"/>
    <w:rsid w:val="00FC6AEC"/>
    <w:rsid w:val="00FC6D44"/>
    <w:rsid w:val="00FC7017"/>
    <w:rsid w:val="00FD01B5"/>
    <w:rsid w:val="00FD03CD"/>
    <w:rsid w:val="00FD3855"/>
    <w:rsid w:val="00FD40F2"/>
    <w:rsid w:val="00FD5082"/>
    <w:rsid w:val="00FD5202"/>
    <w:rsid w:val="00FD5608"/>
    <w:rsid w:val="00FD5769"/>
    <w:rsid w:val="00FD5BF0"/>
    <w:rsid w:val="00FD6179"/>
    <w:rsid w:val="00FD7CFC"/>
    <w:rsid w:val="00FE0000"/>
    <w:rsid w:val="00FE30ED"/>
    <w:rsid w:val="00FE36FB"/>
    <w:rsid w:val="00FE38C3"/>
    <w:rsid w:val="00FE42F4"/>
    <w:rsid w:val="00FE4607"/>
    <w:rsid w:val="00FE47DF"/>
    <w:rsid w:val="00FE5949"/>
    <w:rsid w:val="00FE5AED"/>
    <w:rsid w:val="00FE63A1"/>
    <w:rsid w:val="00FE6533"/>
    <w:rsid w:val="00FF00DD"/>
    <w:rsid w:val="00FF41BB"/>
    <w:rsid w:val="00FF46B3"/>
    <w:rsid w:val="00FF4EAD"/>
    <w:rsid w:val="00FF7602"/>
    <w:rsid w:val="00FF7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F1FF0F3"/>
  <w15:chartTrackingRefBased/>
  <w15:docId w15:val="{708EAD5B-BBA7-4109-A969-F0EE845A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uiPriority="1"/>
    <w:lsdException w:name="List Continue 4" w:locked="0"/>
    <w:lsdException w:name="Subtitle" w:qFormat="1"/>
    <w:lsdException w:name="Hyperlink" w:locked="0" w:uiPriority="99"/>
    <w:lsdException w:name="Strong" w:locked="0"/>
    <w:lsdException w:name="Emphasis" w:uiPriority="20" w:qFormat="1"/>
    <w:lsdException w:name="HTML Top of Form" w:locked="0"/>
    <w:lsdException w:name="HTML Bottom of Form" w:locked="0"/>
    <w:lsdException w:name="Normal (Web)" w:uiPriority="99"/>
    <w:lsdException w:name="HTML Preformatted" w:semiHidden="1" w:unhideWhenUsed="1"/>
    <w:lsdException w:name="Normal Table"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46"/>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aliases w:val="(a) subsection"/>
    <w:basedOn w:val="Heading3"/>
    <w:link w:val="HeaderChar"/>
    <w:qFormat/>
    <w:rsid w:val="000006D7"/>
    <w:rPr>
      <w:i/>
    </w:rPr>
  </w:style>
  <w:style w:type="character" w:customStyle="1" w:styleId="HeaderChar">
    <w:name w:val="Header Char"/>
    <w:aliases w:val="(a) subsection Char"/>
    <w:link w:val="Header"/>
    <w:rsid w:val="000006D7"/>
    <w:rPr>
      <w:rFonts w:ascii="Open Sans" w:eastAsia="MS Mincho" w:hAnsi="Open Sans"/>
      <w:bCs/>
      <w:i/>
      <w:sz w:val="24"/>
      <w:szCs w:val="26"/>
    </w:rPr>
  </w:style>
  <w:style w:type="paragraph" w:styleId="Footer">
    <w:name w:val="footer"/>
    <w:basedOn w:val="Normal"/>
    <w:link w:val="FooterChar"/>
    <w:uiPriority w:val="99"/>
    <w:rsid w:val="0063009F"/>
    <w:pPr>
      <w:tabs>
        <w:tab w:val="right" w:pos="2835"/>
        <w:tab w:val="right" w:pos="5670"/>
      </w:tabs>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ind w:left="720" w:hanging="720"/>
    </w:pPr>
    <w:rPr>
      <w:b/>
      <w:noProof/>
    </w:rPr>
  </w:style>
  <w:style w:type="paragraph" w:styleId="TOC2">
    <w:name w:val="toc 2"/>
    <w:basedOn w:val="Normal"/>
    <w:next w:val="Normal"/>
    <w:uiPriority w:val="39"/>
    <w:locked/>
    <w:rsid w:val="00A92F92"/>
    <w:pPr>
      <w:tabs>
        <w:tab w:val="right" w:leader="dot" w:pos="9060"/>
      </w:tabs>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after="360"/>
    </w:pPr>
    <w:rPr>
      <w:b/>
      <w:lang w:val="en-US" w:eastAsia="en-US"/>
    </w:rPr>
  </w:style>
  <w:style w:type="paragraph" w:styleId="EndnoteText">
    <w:name w:val="endnote text"/>
    <w:aliases w:val="Quote sub"/>
    <w:basedOn w:val="Normal"/>
    <w:link w:val="EndnoteTextChar1"/>
    <w:qFormat/>
    <w:rsid w:val="00B327AE"/>
    <w:pPr>
      <w:spacing w:before="120" w:after="120"/>
      <w:ind w:left="1134"/>
    </w:pPr>
    <w:rPr>
      <w:sz w:val="22"/>
      <w:szCs w:val="22"/>
      <w:lang w:val="en"/>
    </w:rPr>
  </w:style>
  <w:style w:type="character" w:customStyle="1" w:styleId="EndnoteTextChar1">
    <w:name w:val="Endnote Text Char1"/>
    <w:aliases w:val="Quote sub Char"/>
    <w:link w:val="EndnoteText"/>
    <w:rsid w:val="00B327AE"/>
    <w:rPr>
      <w:rFonts w:ascii="Open Sans" w:eastAsia="MS Mincho" w:hAnsi="Open Sans"/>
      <w:sz w:val="22"/>
      <w:szCs w:val="22"/>
      <w:lang w:val="en"/>
    </w:rPr>
  </w:style>
  <w:style w:type="character" w:styleId="EndnoteReference">
    <w:name w:val="endnote reference"/>
    <w:aliases w:val="QUOTE"/>
    <w:qFormat/>
    <w:rsid w:val="00B03B63"/>
    <w:rPr>
      <w:rFonts w:cs="Open Sans"/>
      <w:sz w:val="22"/>
      <w:szCs w:val="22"/>
      <w:lang w:val="en"/>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link w:val="ListBulletChar"/>
    <w:qFormat/>
    <w:rsid w:val="00024B07"/>
    <w:pPr>
      <w:numPr>
        <w:numId w:val="2"/>
      </w:numPr>
      <w:tabs>
        <w:tab w:val="clear" w:pos="1134"/>
        <w:tab w:val="left" w:pos="1418"/>
      </w:tabs>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link w:val="ListNumberChar"/>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aliases w:val="Quote AHRC"/>
    <w:basedOn w:val="ListNumber"/>
    <w:link w:val="SubtitleChar"/>
    <w:qFormat/>
    <w:rsid w:val="009066A2"/>
    <w:pPr>
      <w:numPr>
        <w:numId w:val="0"/>
      </w:numPr>
      <w:ind w:left="720"/>
    </w:pPr>
    <w:rPr>
      <w:sz w:val="22"/>
      <w:szCs w:val="22"/>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aliases w:val="Quote sub Char1"/>
    <w:locked/>
    <w:rsid w:val="00045C4B"/>
    <w:rPr>
      <w:rFonts w:ascii="Open Sans" w:hAnsi="Open Sans"/>
      <w:sz w:val="20"/>
      <w:lang w:bidi="ar-SA"/>
    </w:rPr>
  </w:style>
  <w:style w:type="character" w:customStyle="1" w:styleId="SubtitleChar">
    <w:name w:val="Subtitle Char"/>
    <w:aliases w:val="Quote AHRC Char"/>
    <w:link w:val="Subtitle"/>
    <w:rsid w:val="009066A2"/>
    <w:rPr>
      <w:rFonts w:ascii="Open Sans" w:eastAsia="MS Mincho" w:hAnsi="Open Sans"/>
      <w:sz w:val="22"/>
      <w:szCs w:val="22"/>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tx2">
    <w:name w:val="tx2"/>
    <w:basedOn w:val="Normal"/>
    <w:rsid w:val="00034483"/>
    <w:pPr>
      <w:ind w:firstLine="240"/>
    </w:pPr>
    <w:rPr>
      <w:rFonts w:ascii="Times New Roman" w:eastAsia="Times New Roman" w:hAnsi="Times New Roman"/>
    </w:rPr>
  </w:style>
  <w:style w:type="paragraph" w:customStyle="1" w:styleId="tx-11">
    <w:name w:val="tx-11"/>
    <w:basedOn w:val="Normal"/>
    <w:rsid w:val="00034483"/>
    <w:pPr>
      <w:ind w:firstLine="240"/>
    </w:pPr>
    <w:rPr>
      <w:rFonts w:ascii="Times New Roman" w:eastAsia="Times New Roman" w:hAnsi="Times New Roman"/>
    </w:rPr>
  </w:style>
  <w:style w:type="paragraph" w:styleId="FootnoteText">
    <w:name w:val="footnote text"/>
    <w:basedOn w:val="Normal"/>
    <w:link w:val="FootnoteTextChar"/>
    <w:uiPriority w:val="99"/>
    <w:locked/>
    <w:rsid w:val="006B02B1"/>
    <w:rPr>
      <w:sz w:val="20"/>
      <w:szCs w:val="20"/>
    </w:rPr>
  </w:style>
  <w:style w:type="character" w:customStyle="1" w:styleId="FootnoteTextChar">
    <w:name w:val="Footnote Text Char"/>
    <w:basedOn w:val="DefaultParagraphFont"/>
    <w:link w:val="FootnoteText"/>
    <w:uiPriority w:val="99"/>
    <w:rsid w:val="006B02B1"/>
    <w:rPr>
      <w:rFonts w:ascii="Open Sans" w:eastAsia="MS Mincho" w:hAnsi="Open Sans"/>
    </w:rPr>
  </w:style>
  <w:style w:type="character" w:styleId="FootnoteReference">
    <w:name w:val="footnote reference"/>
    <w:basedOn w:val="DefaultParagraphFont"/>
    <w:uiPriority w:val="99"/>
    <w:locked/>
    <w:rsid w:val="006B02B1"/>
    <w:rPr>
      <w:vertAlign w:val="superscript"/>
    </w:rPr>
  </w:style>
  <w:style w:type="paragraph" w:customStyle="1" w:styleId="Default">
    <w:name w:val="Default"/>
    <w:rsid w:val="00DA13A2"/>
    <w:pPr>
      <w:autoSpaceDE w:val="0"/>
      <w:autoSpaceDN w:val="0"/>
      <w:adjustRightInd w:val="0"/>
    </w:pPr>
    <w:rPr>
      <w:rFonts w:ascii="Arial" w:hAnsi="Arial" w:cs="Arial"/>
      <w:color w:val="000000"/>
      <w:sz w:val="24"/>
      <w:szCs w:val="24"/>
    </w:rPr>
  </w:style>
  <w:style w:type="paragraph" w:customStyle="1" w:styleId="Bullet">
    <w:name w:val="Bullet"/>
    <w:basedOn w:val="ListBullet"/>
    <w:link w:val="BulletChar"/>
    <w:qFormat/>
    <w:rsid w:val="00F67E6A"/>
  </w:style>
  <w:style w:type="character" w:customStyle="1" w:styleId="ListNumberChar">
    <w:name w:val="List Number Char"/>
    <w:basedOn w:val="DefaultParagraphFont"/>
    <w:link w:val="ListNumber"/>
    <w:rsid w:val="00F67E6A"/>
    <w:rPr>
      <w:rFonts w:ascii="Open Sans" w:eastAsia="MS Mincho" w:hAnsi="Open Sans"/>
      <w:sz w:val="24"/>
      <w:szCs w:val="24"/>
    </w:rPr>
  </w:style>
  <w:style w:type="character" w:customStyle="1" w:styleId="ListBulletChar">
    <w:name w:val="List Bullet Char"/>
    <w:basedOn w:val="ListNumberChar"/>
    <w:link w:val="ListBullet"/>
    <w:rsid w:val="00F67E6A"/>
    <w:rPr>
      <w:rFonts w:ascii="Open Sans" w:eastAsia="MS Mincho" w:hAnsi="Open Sans"/>
      <w:sz w:val="24"/>
      <w:szCs w:val="24"/>
    </w:rPr>
  </w:style>
  <w:style w:type="character" w:customStyle="1" w:styleId="BulletChar">
    <w:name w:val="Bullet Char"/>
    <w:basedOn w:val="ListBulletChar"/>
    <w:link w:val="Bullet"/>
    <w:rsid w:val="00F67E6A"/>
    <w:rPr>
      <w:rFonts w:ascii="Open Sans" w:eastAsia="MS Mincho" w:hAnsi="Open Sans"/>
      <w:sz w:val="24"/>
      <w:szCs w:val="24"/>
    </w:rPr>
  </w:style>
  <w:style w:type="character" w:customStyle="1" w:styleId="apple-converted-space">
    <w:name w:val="apple-converted-space"/>
    <w:basedOn w:val="DefaultParagraphFont"/>
    <w:rsid w:val="00812EBF"/>
  </w:style>
  <w:style w:type="character" w:customStyle="1" w:styleId="UnresolvedMention2">
    <w:name w:val="Unresolved Mention2"/>
    <w:basedOn w:val="DefaultParagraphFont"/>
    <w:uiPriority w:val="99"/>
    <w:semiHidden/>
    <w:unhideWhenUsed/>
    <w:rsid w:val="00F054B5"/>
    <w:rPr>
      <w:color w:val="605E5C"/>
      <w:shd w:val="clear" w:color="auto" w:fill="E1DFDD"/>
    </w:rPr>
  </w:style>
  <w:style w:type="character" w:customStyle="1" w:styleId="st1">
    <w:name w:val="st1"/>
    <w:basedOn w:val="DefaultParagraphFont"/>
    <w:rsid w:val="00036B70"/>
  </w:style>
  <w:style w:type="character" w:customStyle="1" w:styleId="Hyperlink0">
    <w:name w:val="Hyperlink.0"/>
    <w:rsid w:val="00FB00BE"/>
    <w:rPr>
      <w:color w:val="000000"/>
      <w:u w:val="none" w:color="000000"/>
    </w:rPr>
  </w:style>
  <w:style w:type="character" w:customStyle="1" w:styleId="UnresolvedMention3">
    <w:name w:val="Unresolved Mention3"/>
    <w:basedOn w:val="DefaultParagraphFont"/>
    <w:uiPriority w:val="99"/>
    <w:semiHidden/>
    <w:unhideWhenUsed/>
    <w:rsid w:val="00DC5355"/>
    <w:rPr>
      <w:color w:val="605E5C"/>
      <w:shd w:val="clear" w:color="auto" w:fill="E1DFDD"/>
    </w:rPr>
  </w:style>
  <w:style w:type="character" w:customStyle="1" w:styleId="UnresolvedMention">
    <w:name w:val="Unresolved Mention"/>
    <w:basedOn w:val="DefaultParagraphFont"/>
    <w:uiPriority w:val="99"/>
    <w:semiHidden/>
    <w:unhideWhenUsed/>
    <w:rsid w:val="00FD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214">
      <w:bodyDiv w:val="1"/>
      <w:marLeft w:val="0"/>
      <w:marRight w:val="0"/>
      <w:marTop w:val="0"/>
      <w:marBottom w:val="0"/>
      <w:divBdr>
        <w:top w:val="none" w:sz="0" w:space="0" w:color="auto"/>
        <w:left w:val="none" w:sz="0" w:space="0" w:color="auto"/>
        <w:bottom w:val="none" w:sz="0" w:space="0" w:color="auto"/>
        <w:right w:val="none" w:sz="0" w:space="0" w:color="auto"/>
      </w:divBdr>
      <w:divsChild>
        <w:div w:id="597325575">
          <w:marLeft w:val="0"/>
          <w:marRight w:val="0"/>
          <w:marTop w:val="0"/>
          <w:marBottom w:val="0"/>
          <w:divBdr>
            <w:top w:val="none" w:sz="0" w:space="0" w:color="auto"/>
            <w:left w:val="none" w:sz="0" w:space="0" w:color="auto"/>
            <w:bottom w:val="none" w:sz="0" w:space="0" w:color="auto"/>
            <w:right w:val="none" w:sz="0" w:space="0" w:color="auto"/>
          </w:divBdr>
          <w:divsChild>
            <w:div w:id="1861313470">
              <w:marLeft w:val="0"/>
              <w:marRight w:val="0"/>
              <w:marTop w:val="0"/>
              <w:marBottom w:val="0"/>
              <w:divBdr>
                <w:top w:val="none" w:sz="0" w:space="0" w:color="auto"/>
                <w:left w:val="none" w:sz="0" w:space="0" w:color="auto"/>
                <w:bottom w:val="none" w:sz="0" w:space="0" w:color="auto"/>
                <w:right w:val="none" w:sz="0" w:space="0" w:color="auto"/>
              </w:divBdr>
              <w:divsChild>
                <w:div w:id="1757432510">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1185">
      <w:bodyDiv w:val="1"/>
      <w:marLeft w:val="0"/>
      <w:marRight w:val="0"/>
      <w:marTop w:val="0"/>
      <w:marBottom w:val="0"/>
      <w:divBdr>
        <w:top w:val="none" w:sz="0" w:space="0" w:color="auto"/>
        <w:left w:val="none" w:sz="0" w:space="0" w:color="auto"/>
        <w:bottom w:val="none" w:sz="0" w:space="0" w:color="auto"/>
        <w:right w:val="none" w:sz="0" w:space="0" w:color="auto"/>
      </w:divBdr>
      <w:divsChild>
        <w:div w:id="755829364">
          <w:marLeft w:val="0"/>
          <w:marRight w:val="0"/>
          <w:marTop w:val="0"/>
          <w:marBottom w:val="0"/>
          <w:divBdr>
            <w:top w:val="none" w:sz="0" w:space="0" w:color="auto"/>
            <w:left w:val="none" w:sz="0" w:space="0" w:color="auto"/>
            <w:bottom w:val="none" w:sz="0" w:space="0" w:color="auto"/>
            <w:right w:val="none" w:sz="0" w:space="0" w:color="auto"/>
          </w:divBdr>
          <w:divsChild>
            <w:div w:id="153032460">
              <w:marLeft w:val="0"/>
              <w:marRight w:val="0"/>
              <w:marTop w:val="0"/>
              <w:marBottom w:val="0"/>
              <w:divBdr>
                <w:top w:val="none" w:sz="0" w:space="0" w:color="auto"/>
                <w:left w:val="none" w:sz="0" w:space="0" w:color="auto"/>
                <w:bottom w:val="none" w:sz="0" w:space="0" w:color="auto"/>
                <w:right w:val="none" w:sz="0" w:space="0" w:color="auto"/>
              </w:divBdr>
              <w:divsChild>
                <w:div w:id="571432566">
                  <w:marLeft w:val="0"/>
                  <w:marRight w:val="0"/>
                  <w:marTop w:val="0"/>
                  <w:marBottom w:val="0"/>
                  <w:divBdr>
                    <w:top w:val="none" w:sz="0" w:space="0" w:color="auto"/>
                    <w:left w:val="none" w:sz="0" w:space="0" w:color="auto"/>
                    <w:bottom w:val="none" w:sz="0" w:space="0" w:color="auto"/>
                    <w:right w:val="none" w:sz="0" w:space="0" w:color="auto"/>
                  </w:divBdr>
                  <w:divsChild>
                    <w:div w:id="513421900">
                      <w:marLeft w:val="0"/>
                      <w:marRight w:val="0"/>
                      <w:marTop w:val="0"/>
                      <w:marBottom w:val="0"/>
                      <w:divBdr>
                        <w:top w:val="none" w:sz="0" w:space="0" w:color="auto"/>
                        <w:left w:val="none" w:sz="0" w:space="0" w:color="auto"/>
                        <w:bottom w:val="none" w:sz="0" w:space="0" w:color="auto"/>
                        <w:right w:val="none" w:sz="0" w:space="0" w:color="auto"/>
                      </w:divBdr>
                      <w:divsChild>
                        <w:div w:id="15812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0690">
      <w:bodyDiv w:val="1"/>
      <w:marLeft w:val="0"/>
      <w:marRight w:val="0"/>
      <w:marTop w:val="0"/>
      <w:marBottom w:val="0"/>
      <w:divBdr>
        <w:top w:val="none" w:sz="0" w:space="0" w:color="auto"/>
        <w:left w:val="none" w:sz="0" w:space="0" w:color="auto"/>
        <w:bottom w:val="none" w:sz="0" w:space="0" w:color="auto"/>
        <w:right w:val="none" w:sz="0" w:space="0" w:color="auto"/>
      </w:divBdr>
      <w:divsChild>
        <w:div w:id="1275557473">
          <w:marLeft w:val="0"/>
          <w:marRight w:val="0"/>
          <w:marTop w:val="0"/>
          <w:marBottom w:val="0"/>
          <w:divBdr>
            <w:top w:val="none" w:sz="0" w:space="0" w:color="auto"/>
            <w:left w:val="none" w:sz="0" w:space="0" w:color="auto"/>
            <w:bottom w:val="none" w:sz="0" w:space="0" w:color="auto"/>
            <w:right w:val="none" w:sz="0" w:space="0" w:color="auto"/>
          </w:divBdr>
          <w:divsChild>
            <w:div w:id="2055614873">
              <w:marLeft w:val="0"/>
              <w:marRight w:val="0"/>
              <w:marTop w:val="0"/>
              <w:marBottom w:val="0"/>
              <w:divBdr>
                <w:top w:val="none" w:sz="0" w:space="0" w:color="auto"/>
                <w:left w:val="none" w:sz="0" w:space="0" w:color="auto"/>
                <w:bottom w:val="none" w:sz="0" w:space="0" w:color="auto"/>
                <w:right w:val="none" w:sz="0" w:space="0" w:color="auto"/>
              </w:divBdr>
              <w:divsChild>
                <w:div w:id="847327782">
                  <w:marLeft w:val="0"/>
                  <w:marRight w:val="0"/>
                  <w:marTop w:val="0"/>
                  <w:marBottom w:val="0"/>
                  <w:divBdr>
                    <w:top w:val="none" w:sz="0" w:space="0" w:color="auto"/>
                    <w:left w:val="none" w:sz="0" w:space="0" w:color="auto"/>
                    <w:bottom w:val="none" w:sz="0" w:space="0" w:color="auto"/>
                    <w:right w:val="none" w:sz="0" w:space="0" w:color="auto"/>
                  </w:divBdr>
                  <w:divsChild>
                    <w:div w:id="843593042">
                      <w:marLeft w:val="0"/>
                      <w:marRight w:val="0"/>
                      <w:marTop w:val="0"/>
                      <w:marBottom w:val="0"/>
                      <w:divBdr>
                        <w:top w:val="none" w:sz="0" w:space="0" w:color="auto"/>
                        <w:left w:val="none" w:sz="0" w:space="0" w:color="auto"/>
                        <w:bottom w:val="none" w:sz="0" w:space="0" w:color="auto"/>
                        <w:right w:val="none" w:sz="0" w:space="0" w:color="auto"/>
                      </w:divBdr>
                      <w:divsChild>
                        <w:div w:id="2070884513">
                          <w:marLeft w:val="0"/>
                          <w:marRight w:val="0"/>
                          <w:marTop w:val="0"/>
                          <w:marBottom w:val="0"/>
                          <w:divBdr>
                            <w:top w:val="none" w:sz="0" w:space="0" w:color="auto"/>
                            <w:left w:val="none" w:sz="0" w:space="0" w:color="auto"/>
                            <w:bottom w:val="none" w:sz="0" w:space="0" w:color="auto"/>
                            <w:right w:val="none" w:sz="0" w:space="0" w:color="auto"/>
                          </w:divBdr>
                          <w:divsChild>
                            <w:div w:id="360938111">
                              <w:marLeft w:val="0"/>
                              <w:marRight w:val="0"/>
                              <w:marTop w:val="0"/>
                              <w:marBottom w:val="0"/>
                              <w:divBdr>
                                <w:top w:val="none" w:sz="0" w:space="0" w:color="auto"/>
                                <w:left w:val="none" w:sz="0" w:space="0" w:color="auto"/>
                                <w:bottom w:val="none" w:sz="0" w:space="0" w:color="auto"/>
                                <w:right w:val="none" w:sz="0" w:space="0" w:color="auto"/>
                              </w:divBdr>
                              <w:divsChild>
                                <w:div w:id="108554541">
                                  <w:marLeft w:val="0"/>
                                  <w:marRight w:val="0"/>
                                  <w:marTop w:val="0"/>
                                  <w:marBottom w:val="0"/>
                                  <w:divBdr>
                                    <w:top w:val="none" w:sz="0" w:space="0" w:color="auto"/>
                                    <w:left w:val="none" w:sz="0" w:space="0" w:color="auto"/>
                                    <w:bottom w:val="none" w:sz="0" w:space="0" w:color="auto"/>
                                    <w:right w:val="none" w:sz="0" w:space="0" w:color="auto"/>
                                  </w:divBdr>
                                  <w:divsChild>
                                    <w:div w:id="810292883">
                                      <w:marLeft w:val="0"/>
                                      <w:marRight w:val="0"/>
                                      <w:marTop w:val="0"/>
                                      <w:marBottom w:val="0"/>
                                      <w:divBdr>
                                        <w:top w:val="none" w:sz="0" w:space="0" w:color="auto"/>
                                        <w:left w:val="none" w:sz="0" w:space="0" w:color="auto"/>
                                        <w:bottom w:val="none" w:sz="0" w:space="0" w:color="auto"/>
                                        <w:right w:val="none" w:sz="0" w:space="0" w:color="auto"/>
                                      </w:divBdr>
                                      <w:divsChild>
                                        <w:div w:id="49155401">
                                          <w:marLeft w:val="0"/>
                                          <w:marRight w:val="0"/>
                                          <w:marTop w:val="0"/>
                                          <w:marBottom w:val="0"/>
                                          <w:divBdr>
                                            <w:top w:val="none" w:sz="0" w:space="0" w:color="auto"/>
                                            <w:left w:val="none" w:sz="0" w:space="0" w:color="auto"/>
                                            <w:bottom w:val="none" w:sz="0" w:space="0" w:color="auto"/>
                                            <w:right w:val="none" w:sz="0" w:space="0" w:color="auto"/>
                                          </w:divBdr>
                                          <w:divsChild>
                                            <w:div w:id="122773858">
                                              <w:marLeft w:val="0"/>
                                              <w:marRight w:val="0"/>
                                              <w:marTop w:val="0"/>
                                              <w:marBottom w:val="0"/>
                                              <w:divBdr>
                                                <w:top w:val="none" w:sz="0" w:space="0" w:color="auto"/>
                                                <w:left w:val="none" w:sz="0" w:space="0" w:color="auto"/>
                                                <w:bottom w:val="none" w:sz="0" w:space="0" w:color="auto"/>
                                                <w:right w:val="none" w:sz="0" w:space="0" w:color="auto"/>
                                              </w:divBdr>
                                              <w:divsChild>
                                                <w:div w:id="541331677">
                                                  <w:marLeft w:val="0"/>
                                                  <w:marRight w:val="0"/>
                                                  <w:marTop w:val="0"/>
                                                  <w:marBottom w:val="0"/>
                                                  <w:divBdr>
                                                    <w:top w:val="none" w:sz="0" w:space="0" w:color="auto"/>
                                                    <w:left w:val="none" w:sz="0" w:space="0" w:color="auto"/>
                                                    <w:bottom w:val="none" w:sz="0" w:space="0" w:color="auto"/>
                                                    <w:right w:val="none" w:sz="0" w:space="0" w:color="auto"/>
                                                  </w:divBdr>
                                                  <w:divsChild>
                                                    <w:div w:id="1243762347">
                                                      <w:marLeft w:val="0"/>
                                                      <w:marRight w:val="0"/>
                                                      <w:marTop w:val="0"/>
                                                      <w:marBottom w:val="0"/>
                                                      <w:divBdr>
                                                        <w:top w:val="none" w:sz="0" w:space="0" w:color="auto"/>
                                                        <w:left w:val="none" w:sz="0" w:space="0" w:color="auto"/>
                                                        <w:bottom w:val="none" w:sz="0" w:space="0" w:color="auto"/>
                                                        <w:right w:val="none" w:sz="0" w:space="0" w:color="auto"/>
                                                      </w:divBdr>
                                                      <w:divsChild>
                                                        <w:div w:id="1945379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48030">
      <w:bodyDiv w:val="1"/>
      <w:marLeft w:val="0"/>
      <w:marRight w:val="0"/>
      <w:marTop w:val="0"/>
      <w:marBottom w:val="0"/>
      <w:divBdr>
        <w:top w:val="none" w:sz="0" w:space="0" w:color="auto"/>
        <w:left w:val="none" w:sz="0" w:space="0" w:color="auto"/>
        <w:bottom w:val="none" w:sz="0" w:space="0" w:color="auto"/>
        <w:right w:val="none" w:sz="0" w:space="0" w:color="auto"/>
      </w:divBdr>
    </w:div>
    <w:div w:id="95566031">
      <w:bodyDiv w:val="1"/>
      <w:marLeft w:val="0"/>
      <w:marRight w:val="0"/>
      <w:marTop w:val="0"/>
      <w:marBottom w:val="0"/>
      <w:divBdr>
        <w:top w:val="none" w:sz="0" w:space="0" w:color="auto"/>
        <w:left w:val="none" w:sz="0" w:space="0" w:color="auto"/>
        <w:bottom w:val="none" w:sz="0" w:space="0" w:color="auto"/>
        <w:right w:val="none" w:sz="0" w:space="0" w:color="auto"/>
      </w:divBdr>
      <w:divsChild>
        <w:div w:id="1753619681">
          <w:marLeft w:val="-225"/>
          <w:marRight w:val="-225"/>
          <w:marTop w:val="0"/>
          <w:marBottom w:val="0"/>
          <w:divBdr>
            <w:top w:val="none" w:sz="0" w:space="0" w:color="auto"/>
            <w:left w:val="none" w:sz="0" w:space="0" w:color="auto"/>
            <w:bottom w:val="none" w:sz="0" w:space="0" w:color="auto"/>
            <w:right w:val="none" w:sz="0" w:space="0" w:color="auto"/>
          </w:divBdr>
          <w:divsChild>
            <w:div w:id="16858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752">
      <w:bodyDiv w:val="1"/>
      <w:marLeft w:val="0"/>
      <w:marRight w:val="0"/>
      <w:marTop w:val="0"/>
      <w:marBottom w:val="0"/>
      <w:divBdr>
        <w:top w:val="none" w:sz="0" w:space="0" w:color="auto"/>
        <w:left w:val="none" w:sz="0" w:space="0" w:color="auto"/>
        <w:bottom w:val="none" w:sz="0" w:space="0" w:color="auto"/>
        <w:right w:val="none" w:sz="0" w:space="0" w:color="auto"/>
      </w:divBdr>
      <w:divsChild>
        <w:div w:id="197086694">
          <w:marLeft w:val="-225"/>
          <w:marRight w:val="-225"/>
          <w:marTop w:val="0"/>
          <w:marBottom w:val="0"/>
          <w:divBdr>
            <w:top w:val="none" w:sz="0" w:space="0" w:color="auto"/>
            <w:left w:val="none" w:sz="0" w:space="0" w:color="auto"/>
            <w:bottom w:val="none" w:sz="0" w:space="0" w:color="auto"/>
            <w:right w:val="none" w:sz="0" w:space="0" w:color="auto"/>
          </w:divBdr>
          <w:divsChild>
            <w:div w:id="768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2334">
      <w:bodyDiv w:val="1"/>
      <w:marLeft w:val="0"/>
      <w:marRight w:val="0"/>
      <w:marTop w:val="0"/>
      <w:marBottom w:val="0"/>
      <w:divBdr>
        <w:top w:val="none" w:sz="0" w:space="0" w:color="auto"/>
        <w:left w:val="none" w:sz="0" w:space="0" w:color="auto"/>
        <w:bottom w:val="none" w:sz="0" w:space="0" w:color="auto"/>
        <w:right w:val="none" w:sz="0" w:space="0" w:color="auto"/>
      </w:divBdr>
    </w:div>
    <w:div w:id="276521057">
      <w:bodyDiv w:val="1"/>
      <w:marLeft w:val="0"/>
      <w:marRight w:val="0"/>
      <w:marTop w:val="0"/>
      <w:marBottom w:val="0"/>
      <w:divBdr>
        <w:top w:val="none" w:sz="0" w:space="0" w:color="auto"/>
        <w:left w:val="none" w:sz="0" w:space="0" w:color="auto"/>
        <w:bottom w:val="none" w:sz="0" w:space="0" w:color="auto"/>
        <w:right w:val="none" w:sz="0" w:space="0" w:color="auto"/>
      </w:divBdr>
    </w:div>
    <w:div w:id="296379455">
      <w:bodyDiv w:val="1"/>
      <w:marLeft w:val="0"/>
      <w:marRight w:val="0"/>
      <w:marTop w:val="0"/>
      <w:marBottom w:val="0"/>
      <w:divBdr>
        <w:top w:val="none" w:sz="0" w:space="0" w:color="auto"/>
        <w:left w:val="none" w:sz="0" w:space="0" w:color="auto"/>
        <w:bottom w:val="none" w:sz="0" w:space="0" w:color="auto"/>
        <w:right w:val="none" w:sz="0" w:space="0" w:color="auto"/>
      </w:divBdr>
    </w:div>
    <w:div w:id="347098007">
      <w:bodyDiv w:val="1"/>
      <w:marLeft w:val="0"/>
      <w:marRight w:val="0"/>
      <w:marTop w:val="0"/>
      <w:marBottom w:val="0"/>
      <w:divBdr>
        <w:top w:val="none" w:sz="0" w:space="0" w:color="auto"/>
        <w:left w:val="none" w:sz="0" w:space="0" w:color="auto"/>
        <w:bottom w:val="none" w:sz="0" w:space="0" w:color="auto"/>
        <w:right w:val="none" w:sz="0" w:space="0" w:color="auto"/>
      </w:divBdr>
    </w:div>
    <w:div w:id="360518245">
      <w:bodyDiv w:val="1"/>
      <w:marLeft w:val="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sChild>
            <w:div w:id="801843750">
              <w:marLeft w:val="0"/>
              <w:marRight w:val="0"/>
              <w:marTop w:val="0"/>
              <w:marBottom w:val="0"/>
              <w:divBdr>
                <w:top w:val="none" w:sz="0" w:space="0" w:color="auto"/>
                <w:left w:val="none" w:sz="0" w:space="0" w:color="auto"/>
                <w:bottom w:val="none" w:sz="0" w:space="0" w:color="auto"/>
                <w:right w:val="none" w:sz="0" w:space="0" w:color="auto"/>
              </w:divBdr>
              <w:divsChild>
                <w:div w:id="2103181740">
                  <w:marLeft w:val="0"/>
                  <w:marRight w:val="0"/>
                  <w:marTop w:val="0"/>
                  <w:marBottom w:val="0"/>
                  <w:divBdr>
                    <w:top w:val="none" w:sz="0" w:space="0" w:color="auto"/>
                    <w:left w:val="none" w:sz="0" w:space="0" w:color="auto"/>
                    <w:bottom w:val="none" w:sz="0" w:space="0" w:color="auto"/>
                    <w:right w:val="none" w:sz="0" w:space="0" w:color="auto"/>
                  </w:divBdr>
                  <w:divsChild>
                    <w:div w:id="3267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481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298191013">
          <w:marLeft w:val="0"/>
          <w:marRight w:val="0"/>
          <w:marTop w:val="0"/>
          <w:marBottom w:val="0"/>
          <w:divBdr>
            <w:top w:val="none" w:sz="0" w:space="0" w:color="auto"/>
            <w:left w:val="none" w:sz="0" w:space="0" w:color="auto"/>
            <w:bottom w:val="none" w:sz="0" w:space="0" w:color="auto"/>
            <w:right w:val="none" w:sz="0" w:space="0" w:color="auto"/>
          </w:divBdr>
          <w:divsChild>
            <w:div w:id="631863849">
              <w:marLeft w:val="0"/>
              <w:marRight w:val="0"/>
              <w:marTop w:val="0"/>
              <w:marBottom w:val="0"/>
              <w:divBdr>
                <w:top w:val="none" w:sz="0" w:space="0" w:color="auto"/>
                <w:left w:val="none" w:sz="0" w:space="0" w:color="auto"/>
                <w:bottom w:val="none" w:sz="0" w:space="0" w:color="auto"/>
                <w:right w:val="none" w:sz="0" w:space="0" w:color="auto"/>
              </w:divBdr>
              <w:divsChild>
                <w:div w:id="141121823">
                  <w:marLeft w:val="0"/>
                  <w:marRight w:val="0"/>
                  <w:marTop w:val="0"/>
                  <w:marBottom w:val="0"/>
                  <w:divBdr>
                    <w:top w:val="none" w:sz="0" w:space="0" w:color="auto"/>
                    <w:left w:val="none" w:sz="0" w:space="0" w:color="auto"/>
                    <w:bottom w:val="none" w:sz="0" w:space="0" w:color="auto"/>
                    <w:right w:val="none" w:sz="0" w:space="0" w:color="auto"/>
                  </w:divBdr>
                  <w:divsChild>
                    <w:div w:id="1339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99264">
      <w:bodyDiv w:val="1"/>
      <w:marLeft w:val="0"/>
      <w:marRight w:val="0"/>
      <w:marTop w:val="0"/>
      <w:marBottom w:val="0"/>
      <w:divBdr>
        <w:top w:val="none" w:sz="0" w:space="0" w:color="auto"/>
        <w:left w:val="none" w:sz="0" w:space="0" w:color="auto"/>
        <w:bottom w:val="none" w:sz="0" w:space="0" w:color="auto"/>
        <w:right w:val="none" w:sz="0" w:space="0" w:color="auto"/>
      </w:divBdr>
      <w:divsChild>
        <w:div w:id="398402410">
          <w:marLeft w:val="0"/>
          <w:marRight w:val="0"/>
          <w:marTop w:val="0"/>
          <w:marBottom w:val="0"/>
          <w:divBdr>
            <w:top w:val="none" w:sz="0" w:space="0" w:color="auto"/>
            <w:left w:val="none" w:sz="0" w:space="0" w:color="auto"/>
            <w:bottom w:val="none" w:sz="0" w:space="0" w:color="auto"/>
            <w:right w:val="none" w:sz="0" w:space="0" w:color="auto"/>
          </w:divBdr>
          <w:divsChild>
            <w:div w:id="1720282117">
              <w:marLeft w:val="0"/>
              <w:marRight w:val="0"/>
              <w:marTop w:val="0"/>
              <w:marBottom w:val="0"/>
              <w:divBdr>
                <w:top w:val="none" w:sz="0" w:space="0" w:color="auto"/>
                <w:left w:val="none" w:sz="0" w:space="0" w:color="auto"/>
                <w:bottom w:val="none" w:sz="0" w:space="0" w:color="auto"/>
                <w:right w:val="none" w:sz="0" w:space="0" w:color="auto"/>
              </w:divBdr>
              <w:divsChild>
                <w:div w:id="579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790">
      <w:bodyDiv w:val="1"/>
      <w:marLeft w:val="0"/>
      <w:marRight w:val="0"/>
      <w:marTop w:val="0"/>
      <w:marBottom w:val="0"/>
      <w:divBdr>
        <w:top w:val="none" w:sz="0" w:space="0" w:color="auto"/>
        <w:left w:val="none" w:sz="0" w:space="0" w:color="auto"/>
        <w:bottom w:val="none" w:sz="0" w:space="0" w:color="auto"/>
        <w:right w:val="none" w:sz="0" w:space="0" w:color="auto"/>
      </w:divBdr>
      <w:divsChild>
        <w:div w:id="1810130772">
          <w:marLeft w:val="0"/>
          <w:marRight w:val="0"/>
          <w:marTop w:val="0"/>
          <w:marBottom w:val="0"/>
          <w:divBdr>
            <w:top w:val="none" w:sz="0" w:space="0" w:color="auto"/>
            <w:left w:val="none" w:sz="0" w:space="0" w:color="auto"/>
            <w:bottom w:val="none" w:sz="0" w:space="0" w:color="auto"/>
            <w:right w:val="none" w:sz="0" w:space="0" w:color="auto"/>
          </w:divBdr>
          <w:divsChild>
            <w:div w:id="1736659883">
              <w:marLeft w:val="0"/>
              <w:marRight w:val="0"/>
              <w:marTop w:val="0"/>
              <w:marBottom w:val="0"/>
              <w:divBdr>
                <w:top w:val="none" w:sz="0" w:space="0" w:color="auto"/>
                <w:left w:val="none" w:sz="0" w:space="0" w:color="auto"/>
                <w:bottom w:val="none" w:sz="0" w:space="0" w:color="auto"/>
                <w:right w:val="none" w:sz="0" w:space="0" w:color="auto"/>
              </w:divBdr>
              <w:divsChild>
                <w:div w:id="3351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8372">
      <w:bodyDiv w:val="1"/>
      <w:marLeft w:val="0"/>
      <w:marRight w:val="0"/>
      <w:marTop w:val="0"/>
      <w:marBottom w:val="0"/>
      <w:divBdr>
        <w:top w:val="none" w:sz="0" w:space="0" w:color="auto"/>
        <w:left w:val="none" w:sz="0" w:space="0" w:color="auto"/>
        <w:bottom w:val="none" w:sz="0" w:space="0" w:color="auto"/>
        <w:right w:val="none" w:sz="0" w:space="0" w:color="auto"/>
      </w:divBdr>
      <w:divsChild>
        <w:div w:id="1894852461">
          <w:marLeft w:val="0"/>
          <w:marRight w:val="0"/>
          <w:marTop w:val="0"/>
          <w:marBottom w:val="0"/>
          <w:divBdr>
            <w:top w:val="none" w:sz="0" w:space="0" w:color="auto"/>
            <w:left w:val="none" w:sz="0" w:space="0" w:color="auto"/>
            <w:bottom w:val="none" w:sz="0" w:space="0" w:color="auto"/>
            <w:right w:val="none" w:sz="0" w:space="0" w:color="auto"/>
          </w:divBdr>
          <w:divsChild>
            <w:div w:id="871455406">
              <w:marLeft w:val="0"/>
              <w:marRight w:val="0"/>
              <w:marTop w:val="0"/>
              <w:marBottom w:val="0"/>
              <w:divBdr>
                <w:top w:val="none" w:sz="0" w:space="0" w:color="auto"/>
                <w:left w:val="none" w:sz="0" w:space="0" w:color="auto"/>
                <w:bottom w:val="none" w:sz="0" w:space="0" w:color="auto"/>
                <w:right w:val="none" w:sz="0" w:space="0" w:color="auto"/>
              </w:divBdr>
              <w:divsChild>
                <w:div w:id="1402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954">
      <w:bodyDiv w:val="1"/>
      <w:marLeft w:val="0"/>
      <w:marRight w:val="0"/>
      <w:marTop w:val="0"/>
      <w:marBottom w:val="0"/>
      <w:divBdr>
        <w:top w:val="none" w:sz="0" w:space="0" w:color="auto"/>
        <w:left w:val="none" w:sz="0" w:space="0" w:color="auto"/>
        <w:bottom w:val="none" w:sz="0" w:space="0" w:color="auto"/>
        <w:right w:val="none" w:sz="0" w:space="0" w:color="auto"/>
      </w:divBdr>
      <w:divsChild>
        <w:div w:id="1668241902">
          <w:marLeft w:val="0"/>
          <w:marRight w:val="0"/>
          <w:marTop w:val="0"/>
          <w:marBottom w:val="0"/>
          <w:divBdr>
            <w:top w:val="none" w:sz="0" w:space="0" w:color="auto"/>
            <w:left w:val="none" w:sz="0" w:space="0" w:color="auto"/>
            <w:bottom w:val="none" w:sz="0" w:space="0" w:color="auto"/>
            <w:right w:val="none" w:sz="0" w:space="0" w:color="auto"/>
          </w:divBdr>
          <w:divsChild>
            <w:div w:id="473181690">
              <w:marLeft w:val="0"/>
              <w:marRight w:val="0"/>
              <w:marTop w:val="0"/>
              <w:marBottom w:val="0"/>
              <w:divBdr>
                <w:top w:val="none" w:sz="0" w:space="0" w:color="auto"/>
                <w:left w:val="none" w:sz="0" w:space="0" w:color="auto"/>
                <w:bottom w:val="none" w:sz="0" w:space="0" w:color="auto"/>
                <w:right w:val="none" w:sz="0" w:space="0" w:color="auto"/>
              </w:divBdr>
              <w:divsChild>
                <w:div w:id="1641760984">
                  <w:marLeft w:val="0"/>
                  <w:marRight w:val="0"/>
                  <w:marTop w:val="0"/>
                  <w:marBottom w:val="0"/>
                  <w:divBdr>
                    <w:top w:val="none" w:sz="0" w:space="0" w:color="auto"/>
                    <w:left w:val="none" w:sz="0" w:space="0" w:color="auto"/>
                    <w:bottom w:val="none" w:sz="0" w:space="0" w:color="auto"/>
                    <w:right w:val="none" w:sz="0" w:space="0" w:color="auto"/>
                  </w:divBdr>
                  <w:divsChild>
                    <w:div w:id="11537188">
                      <w:marLeft w:val="0"/>
                      <w:marRight w:val="0"/>
                      <w:marTop w:val="0"/>
                      <w:marBottom w:val="0"/>
                      <w:divBdr>
                        <w:top w:val="none" w:sz="0" w:space="0" w:color="auto"/>
                        <w:left w:val="none" w:sz="0" w:space="0" w:color="auto"/>
                        <w:bottom w:val="none" w:sz="0" w:space="0" w:color="auto"/>
                        <w:right w:val="none" w:sz="0" w:space="0" w:color="auto"/>
                      </w:divBdr>
                      <w:divsChild>
                        <w:div w:id="7548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9260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2340256">
      <w:bodyDiv w:val="1"/>
      <w:marLeft w:val="0"/>
      <w:marRight w:val="0"/>
      <w:marTop w:val="0"/>
      <w:marBottom w:val="0"/>
      <w:divBdr>
        <w:top w:val="none" w:sz="0" w:space="0" w:color="auto"/>
        <w:left w:val="none" w:sz="0" w:space="0" w:color="auto"/>
        <w:bottom w:val="none" w:sz="0" w:space="0" w:color="auto"/>
        <w:right w:val="none" w:sz="0" w:space="0" w:color="auto"/>
      </w:divBdr>
      <w:divsChild>
        <w:div w:id="678118466">
          <w:marLeft w:val="0"/>
          <w:marRight w:val="0"/>
          <w:marTop w:val="0"/>
          <w:marBottom w:val="0"/>
          <w:divBdr>
            <w:top w:val="single" w:sz="2" w:space="0" w:color="99BBE8"/>
            <w:left w:val="single" w:sz="2" w:space="0" w:color="99BBE8"/>
            <w:bottom w:val="single" w:sz="2" w:space="0" w:color="99BBE8"/>
            <w:right w:val="single" w:sz="2" w:space="0" w:color="99BBE8"/>
          </w:divBdr>
          <w:divsChild>
            <w:div w:id="1687554129">
              <w:marLeft w:val="0"/>
              <w:marRight w:val="0"/>
              <w:marTop w:val="0"/>
              <w:marBottom w:val="0"/>
              <w:divBdr>
                <w:top w:val="none" w:sz="0" w:space="0" w:color="auto"/>
                <w:left w:val="none" w:sz="0" w:space="0" w:color="auto"/>
                <w:bottom w:val="none" w:sz="0" w:space="0" w:color="auto"/>
                <w:right w:val="none" w:sz="0" w:space="0" w:color="auto"/>
              </w:divBdr>
              <w:divsChild>
                <w:div w:id="1389105813">
                  <w:marLeft w:val="0"/>
                  <w:marRight w:val="0"/>
                  <w:marTop w:val="0"/>
                  <w:marBottom w:val="0"/>
                  <w:divBdr>
                    <w:top w:val="none" w:sz="0" w:space="0" w:color="auto"/>
                    <w:left w:val="single" w:sz="6" w:space="0" w:color="99BBE8"/>
                    <w:bottom w:val="single" w:sz="6" w:space="0" w:color="99BBE8"/>
                    <w:right w:val="single" w:sz="6" w:space="0" w:color="99BBE8"/>
                  </w:divBdr>
                  <w:divsChild>
                    <w:div w:id="842938754">
                      <w:marLeft w:val="0"/>
                      <w:marRight w:val="0"/>
                      <w:marTop w:val="0"/>
                      <w:marBottom w:val="0"/>
                      <w:divBdr>
                        <w:top w:val="single" w:sz="2" w:space="0" w:color="99BBE8"/>
                        <w:left w:val="single" w:sz="2" w:space="0" w:color="99BBE8"/>
                        <w:bottom w:val="single" w:sz="2" w:space="0" w:color="99BBE8"/>
                        <w:right w:val="single" w:sz="2" w:space="0" w:color="99BBE8"/>
                      </w:divBdr>
                      <w:divsChild>
                        <w:div w:id="401758469">
                          <w:marLeft w:val="0"/>
                          <w:marRight w:val="0"/>
                          <w:marTop w:val="0"/>
                          <w:marBottom w:val="0"/>
                          <w:divBdr>
                            <w:top w:val="none" w:sz="0" w:space="0" w:color="auto"/>
                            <w:left w:val="none" w:sz="0" w:space="0" w:color="auto"/>
                            <w:bottom w:val="none" w:sz="0" w:space="0" w:color="auto"/>
                            <w:right w:val="none" w:sz="0" w:space="0" w:color="auto"/>
                          </w:divBdr>
                          <w:divsChild>
                            <w:div w:id="1038970074">
                              <w:marLeft w:val="0"/>
                              <w:marRight w:val="0"/>
                              <w:marTop w:val="0"/>
                              <w:marBottom w:val="0"/>
                              <w:divBdr>
                                <w:top w:val="none" w:sz="0" w:space="0" w:color="auto"/>
                                <w:left w:val="none" w:sz="0" w:space="0" w:color="auto"/>
                                <w:bottom w:val="none" w:sz="0" w:space="0" w:color="auto"/>
                                <w:right w:val="none" w:sz="0" w:space="0" w:color="auto"/>
                              </w:divBdr>
                              <w:divsChild>
                                <w:div w:id="258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14638620">
      <w:bodyDiv w:val="1"/>
      <w:marLeft w:val="0"/>
      <w:marRight w:val="0"/>
      <w:marTop w:val="0"/>
      <w:marBottom w:val="0"/>
      <w:divBdr>
        <w:top w:val="none" w:sz="0" w:space="0" w:color="auto"/>
        <w:left w:val="none" w:sz="0" w:space="0" w:color="auto"/>
        <w:bottom w:val="none" w:sz="0" w:space="0" w:color="auto"/>
        <w:right w:val="none" w:sz="0" w:space="0" w:color="auto"/>
      </w:divBdr>
    </w:div>
    <w:div w:id="815924649">
      <w:bodyDiv w:val="1"/>
      <w:marLeft w:val="0"/>
      <w:marRight w:val="0"/>
      <w:marTop w:val="0"/>
      <w:marBottom w:val="0"/>
      <w:divBdr>
        <w:top w:val="none" w:sz="0" w:space="0" w:color="auto"/>
        <w:left w:val="none" w:sz="0" w:space="0" w:color="auto"/>
        <w:bottom w:val="none" w:sz="0" w:space="0" w:color="auto"/>
        <w:right w:val="none" w:sz="0" w:space="0" w:color="auto"/>
      </w:divBdr>
    </w:div>
    <w:div w:id="842404060">
      <w:bodyDiv w:val="1"/>
      <w:marLeft w:val="0"/>
      <w:marRight w:val="0"/>
      <w:marTop w:val="0"/>
      <w:marBottom w:val="0"/>
      <w:divBdr>
        <w:top w:val="none" w:sz="0" w:space="0" w:color="auto"/>
        <w:left w:val="none" w:sz="0" w:space="0" w:color="auto"/>
        <w:bottom w:val="none" w:sz="0" w:space="0" w:color="auto"/>
        <w:right w:val="none" w:sz="0" w:space="0" w:color="auto"/>
      </w:divBdr>
    </w:div>
    <w:div w:id="863178139">
      <w:bodyDiv w:val="1"/>
      <w:marLeft w:val="0"/>
      <w:marRight w:val="0"/>
      <w:marTop w:val="0"/>
      <w:marBottom w:val="0"/>
      <w:divBdr>
        <w:top w:val="none" w:sz="0" w:space="0" w:color="auto"/>
        <w:left w:val="none" w:sz="0" w:space="0" w:color="auto"/>
        <w:bottom w:val="none" w:sz="0" w:space="0" w:color="auto"/>
        <w:right w:val="none" w:sz="0" w:space="0" w:color="auto"/>
      </w:divBdr>
    </w:div>
    <w:div w:id="863832914">
      <w:bodyDiv w:val="1"/>
      <w:marLeft w:val="0"/>
      <w:marRight w:val="0"/>
      <w:marTop w:val="0"/>
      <w:marBottom w:val="0"/>
      <w:divBdr>
        <w:top w:val="none" w:sz="0" w:space="0" w:color="auto"/>
        <w:left w:val="none" w:sz="0" w:space="0" w:color="auto"/>
        <w:bottom w:val="none" w:sz="0" w:space="0" w:color="auto"/>
        <w:right w:val="none" w:sz="0" w:space="0" w:color="auto"/>
      </w:divBdr>
    </w:div>
    <w:div w:id="886600307">
      <w:bodyDiv w:val="1"/>
      <w:marLeft w:val="0"/>
      <w:marRight w:val="0"/>
      <w:marTop w:val="0"/>
      <w:marBottom w:val="0"/>
      <w:divBdr>
        <w:top w:val="none" w:sz="0" w:space="0" w:color="auto"/>
        <w:left w:val="none" w:sz="0" w:space="0" w:color="auto"/>
        <w:bottom w:val="none" w:sz="0" w:space="0" w:color="auto"/>
        <w:right w:val="none" w:sz="0" w:space="0" w:color="auto"/>
      </w:divBdr>
      <w:divsChild>
        <w:div w:id="1106775703">
          <w:marLeft w:val="0"/>
          <w:marRight w:val="0"/>
          <w:marTop w:val="0"/>
          <w:marBottom w:val="0"/>
          <w:divBdr>
            <w:top w:val="none" w:sz="0" w:space="0" w:color="auto"/>
            <w:left w:val="none" w:sz="0" w:space="0" w:color="auto"/>
            <w:bottom w:val="none" w:sz="0" w:space="0" w:color="auto"/>
            <w:right w:val="none" w:sz="0" w:space="0" w:color="auto"/>
          </w:divBdr>
          <w:divsChild>
            <w:div w:id="92633989">
              <w:marLeft w:val="0"/>
              <w:marRight w:val="0"/>
              <w:marTop w:val="0"/>
              <w:marBottom w:val="0"/>
              <w:divBdr>
                <w:top w:val="none" w:sz="0" w:space="0" w:color="auto"/>
                <w:left w:val="none" w:sz="0" w:space="0" w:color="auto"/>
                <w:bottom w:val="none" w:sz="0" w:space="0" w:color="auto"/>
                <w:right w:val="none" w:sz="0" w:space="0" w:color="auto"/>
              </w:divBdr>
              <w:divsChild>
                <w:div w:id="11585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5759">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8705811">
      <w:bodyDiv w:val="1"/>
      <w:marLeft w:val="0"/>
      <w:marRight w:val="0"/>
      <w:marTop w:val="0"/>
      <w:marBottom w:val="0"/>
      <w:divBdr>
        <w:top w:val="none" w:sz="0" w:space="0" w:color="auto"/>
        <w:left w:val="none" w:sz="0" w:space="0" w:color="auto"/>
        <w:bottom w:val="none" w:sz="0" w:space="0" w:color="auto"/>
        <w:right w:val="none" w:sz="0" w:space="0" w:color="auto"/>
      </w:divBdr>
      <w:divsChild>
        <w:div w:id="1447040076">
          <w:marLeft w:val="0"/>
          <w:marRight w:val="0"/>
          <w:marTop w:val="0"/>
          <w:marBottom w:val="0"/>
          <w:divBdr>
            <w:top w:val="none" w:sz="0" w:space="0" w:color="auto"/>
            <w:left w:val="none" w:sz="0" w:space="0" w:color="auto"/>
            <w:bottom w:val="none" w:sz="0" w:space="0" w:color="auto"/>
            <w:right w:val="none" w:sz="0" w:space="0" w:color="auto"/>
          </w:divBdr>
          <w:divsChild>
            <w:div w:id="165753381">
              <w:marLeft w:val="0"/>
              <w:marRight w:val="0"/>
              <w:marTop w:val="0"/>
              <w:marBottom w:val="0"/>
              <w:divBdr>
                <w:top w:val="none" w:sz="0" w:space="0" w:color="auto"/>
                <w:left w:val="none" w:sz="0" w:space="0" w:color="auto"/>
                <w:bottom w:val="none" w:sz="0" w:space="0" w:color="auto"/>
                <w:right w:val="none" w:sz="0" w:space="0" w:color="auto"/>
              </w:divBdr>
              <w:divsChild>
                <w:div w:id="831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9811">
      <w:bodyDiv w:val="1"/>
      <w:marLeft w:val="0"/>
      <w:marRight w:val="0"/>
      <w:marTop w:val="0"/>
      <w:marBottom w:val="0"/>
      <w:divBdr>
        <w:top w:val="none" w:sz="0" w:space="0" w:color="auto"/>
        <w:left w:val="none" w:sz="0" w:space="0" w:color="auto"/>
        <w:bottom w:val="none" w:sz="0" w:space="0" w:color="auto"/>
        <w:right w:val="none" w:sz="0" w:space="0" w:color="auto"/>
      </w:divBdr>
    </w:div>
    <w:div w:id="1262445179">
      <w:bodyDiv w:val="1"/>
      <w:marLeft w:val="0"/>
      <w:marRight w:val="0"/>
      <w:marTop w:val="0"/>
      <w:marBottom w:val="0"/>
      <w:divBdr>
        <w:top w:val="none" w:sz="0" w:space="0" w:color="auto"/>
        <w:left w:val="none" w:sz="0" w:space="0" w:color="auto"/>
        <w:bottom w:val="none" w:sz="0" w:space="0" w:color="auto"/>
        <w:right w:val="none" w:sz="0" w:space="0" w:color="auto"/>
      </w:divBdr>
      <w:divsChild>
        <w:div w:id="937175045">
          <w:marLeft w:val="0"/>
          <w:marRight w:val="0"/>
          <w:marTop w:val="0"/>
          <w:marBottom w:val="0"/>
          <w:divBdr>
            <w:top w:val="none" w:sz="0" w:space="0" w:color="auto"/>
            <w:left w:val="none" w:sz="0" w:space="0" w:color="auto"/>
            <w:bottom w:val="none" w:sz="0" w:space="0" w:color="auto"/>
            <w:right w:val="none" w:sz="0" w:space="0" w:color="auto"/>
          </w:divBdr>
          <w:divsChild>
            <w:div w:id="1430465140">
              <w:marLeft w:val="0"/>
              <w:marRight w:val="0"/>
              <w:marTop w:val="0"/>
              <w:marBottom w:val="0"/>
              <w:divBdr>
                <w:top w:val="none" w:sz="0" w:space="0" w:color="auto"/>
                <w:left w:val="none" w:sz="0" w:space="0" w:color="auto"/>
                <w:bottom w:val="none" w:sz="0" w:space="0" w:color="auto"/>
                <w:right w:val="none" w:sz="0" w:space="0" w:color="auto"/>
              </w:divBdr>
              <w:divsChild>
                <w:div w:id="1470124303">
                  <w:marLeft w:val="0"/>
                  <w:marRight w:val="0"/>
                  <w:marTop w:val="0"/>
                  <w:marBottom w:val="0"/>
                  <w:divBdr>
                    <w:top w:val="none" w:sz="0" w:space="0" w:color="auto"/>
                    <w:left w:val="none" w:sz="0" w:space="0" w:color="auto"/>
                    <w:bottom w:val="none" w:sz="0" w:space="0" w:color="auto"/>
                    <w:right w:val="none" w:sz="0" w:space="0" w:color="auto"/>
                  </w:divBdr>
                  <w:divsChild>
                    <w:div w:id="882595308">
                      <w:marLeft w:val="0"/>
                      <w:marRight w:val="0"/>
                      <w:marTop w:val="0"/>
                      <w:marBottom w:val="0"/>
                      <w:divBdr>
                        <w:top w:val="none" w:sz="0" w:space="0" w:color="auto"/>
                        <w:left w:val="none" w:sz="0" w:space="0" w:color="auto"/>
                        <w:bottom w:val="none" w:sz="0" w:space="0" w:color="auto"/>
                        <w:right w:val="none" w:sz="0" w:space="0" w:color="auto"/>
                      </w:divBdr>
                      <w:divsChild>
                        <w:div w:id="18574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62887">
      <w:bodyDiv w:val="1"/>
      <w:marLeft w:val="0"/>
      <w:marRight w:val="0"/>
      <w:marTop w:val="0"/>
      <w:marBottom w:val="0"/>
      <w:divBdr>
        <w:top w:val="none" w:sz="0" w:space="0" w:color="auto"/>
        <w:left w:val="none" w:sz="0" w:space="0" w:color="auto"/>
        <w:bottom w:val="none" w:sz="0" w:space="0" w:color="auto"/>
        <w:right w:val="none" w:sz="0" w:space="0" w:color="auto"/>
      </w:divBdr>
      <w:divsChild>
        <w:div w:id="983124302">
          <w:marLeft w:val="0"/>
          <w:marRight w:val="0"/>
          <w:marTop w:val="0"/>
          <w:marBottom w:val="0"/>
          <w:divBdr>
            <w:top w:val="none" w:sz="0" w:space="0" w:color="auto"/>
            <w:left w:val="none" w:sz="0" w:space="0" w:color="auto"/>
            <w:bottom w:val="none" w:sz="0" w:space="0" w:color="auto"/>
            <w:right w:val="none" w:sz="0" w:space="0" w:color="auto"/>
          </w:divBdr>
          <w:divsChild>
            <w:div w:id="1070883088">
              <w:marLeft w:val="0"/>
              <w:marRight w:val="0"/>
              <w:marTop w:val="0"/>
              <w:marBottom w:val="0"/>
              <w:divBdr>
                <w:top w:val="none" w:sz="0" w:space="0" w:color="auto"/>
                <w:left w:val="none" w:sz="0" w:space="0" w:color="auto"/>
                <w:bottom w:val="none" w:sz="0" w:space="0" w:color="auto"/>
                <w:right w:val="none" w:sz="0" w:space="0" w:color="auto"/>
              </w:divBdr>
              <w:divsChild>
                <w:div w:id="802427807">
                  <w:marLeft w:val="0"/>
                  <w:marRight w:val="0"/>
                  <w:marTop w:val="0"/>
                  <w:marBottom w:val="0"/>
                  <w:divBdr>
                    <w:top w:val="none" w:sz="0" w:space="0" w:color="auto"/>
                    <w:left w:val="none" w:sz="0" w:space="0" w:color="auto"/>
                    <w:bottom w:val="none" w:sz="0" w:space="0" w:color="auto"/>
                    <w:right w:val="none" w:sz="0" w:space="0" w:color="auto"/>
                  </w:divBdr>
                  <w:divsChild>
                    <w:div w:id="15023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4569">
      <w:bodyDiv w:val="1"/>
      <w:marLeft w:val="0"/>
      <w:marRight w:val="0"/>
      <w:marTop w:val="0"/>
      <w:marBottom w:val="0"/>
      <w:divBdr>
        <w:top w:val="none" w:sz="0" w:space="0" w:color="auto"/>
        <w:left w:val="none" w:sz="0" w:space="0" w:color="auto"/>
        <w:bottom w:val="none" w:sz="0" w:space="0" w:color="auto"/>
        <w:right w:val="none" w:sz="0" w:space="0" w:color="auto"/>
      </w:divBdr>
    </w:div>
    <w:div w:id="1400401022">
      <w:bodyDiv w:val="1"/>
      <w:marLeft w:val="0"/>
      <w:marRight w:val="0"/>
      <w:marTop w:val="0"/>
      <w:marBottom w:val="0"/>
      <w:divBdr>
        <w:top w:val="none" w:sz="0" w:space="0" w:color="auto"/>
        <w:left w:val="none" w:sz="0" w:space="0" w:color="auto"/>
        <w:bottom w:val="none" w:sz="0" w:space="0" w:color="auto"/>
        <w:right w:val="none" w:sz="0" w:space="0" w:color="auto"/>
      </w:divBdr>
      <w:divsChild>
        <w:div w:id="1962805414">
          <w:marLeft w:val="0"/>
          <w:marRight w:val="0"/>
          <w:marTop w:val="0"/>
          <w:marBottom w:val="0"/>
          <w:divBdr>
            <w:top w:val="none" w:sz="0" w:space="0" w:color="auto"/>
            <w:left w:val="none" w:sz="0" w:space="0" w:color="auto"/>
            <w:bottom w:val="none" w:sz="0" w:space="0" w:color="auto"/>
            <w:right w:val="none" w:sz="0" w:space="0" w:color="auto"/>
          </w:divBdr>
          <w:divsChild>
            <w:div w:id="1693260128">
              <w:marLeft w:val="0"/>
              <w:marRight w:val="0"/>
              <w:marTop w:val="0"/>
              <w:marBottom w:val="0"/>
              <w:divBdr>
                <w:top w:val="none" w:sz="0" w:space="0" w:color="auto"/>
                <w:left w:val="none" w:sz="0" w:space="0" w:color="auto"/>
                <w:bottom w:val="none" w:sz="0" w:space="0" w:color="auto"/>
                <w:right w:val="none" w:sz="0" w:space="0" w:color="auto"/>
              </w:divBdr>
              <w:divsChild>
                <w:div w:id="703478994">
                  <w:marLeft w:val="0"/>
                  <w:marRight w:val="0"/>
                  <w:marTop w:val="0"/>
                  <w:marBottom w:val="0"/>
                  <w:divBdr>
                    <w:top w:val="none" w:sz="0" w:space="0" w:color="auto"/>
                    <w:left w:val="none" w:sz="0" w:space="0" w:color="auto"/>
                    <w:bottom w:val="none" w:sz="0" w:space="0" w:color="auto"/>
                    <w:right w:val="none" w:sz="0" w:space="0" w:color="auto"/>
                  </w:divBdr>
                  <w:divsChild>
                    <w:div w:id="1834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03805">
      <w:bodyDiv w:val="1"/>
      <w:marLeft w:val="0"/>
      <w:marRight w:val="0"/>
      <w:marTop w:val="0"/>
      <w:marBottom w:val="0"/>
      <w:divBdr>
        <w:top w:val="none" w:sz="0" w:space="0" w:color="auto"/>
        <w:left w:val="none" w:sz="0" w:space="0" w:color="auto"/>
        <w:bottom w:val="none" w:sz="0" w:space="0" w:color="auto"/>
        <w:right w:val="none" w:sz="0" w:space="0" w:color="auto"/>
      </w:divBdr>
      <w:divsChild>
        <w:div w:id="1654485432">
          <w:marLeft w:val="0"/>
          <w:marRight w:val="0"/>
          <w:marTop w:val="0"/>
          <w:marBottom w:val="0"/>
          <w:divBdr>
            <w:top w:val="none" w:sz="0" w:space="0" w:color="auto"/>
            <w:left w:val="none" w:sz="0" w:space="0" w:color="auto"/>
            <w:bottom w:val="none" w:sz="0" w:space="0" w:color="auto"/>
            <w:right w:val="none" w:sz="0" w:space="0" w:color="auto"/>
          </w:divBdr>
          <w:divsChild>
            <w:div w:id="125710258">
              <w:marLeft w:val="0"/>
              <w:marRight w:val="0"/>
              <w:marTop w:val="0"/>
              <w:marBottom w:val="0"/>
              <w:divBdr>
                <w:top w:val="none" w:sz="0" w:space="0" w:color="auto"/>
                <w:left w:val="none" w:sz="0" w:space="0" w:color="auto"/>
                <w:bottom w:val="none" w:sz="0" w:space="0" w:color="auto"/>
                <w:right w:val="none" w:sz="0" w:space="0" w:color="auto"/>
              </w:divBdr>
              <w:divsChild>
                <w:div w:id="19501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0085">
      <w:bodyDiv w:val="1"/>
      <w:marLeft w:val="0"/>
      <w:marRight w:val="0"/>
      <w:marTop w:val="0"/>
      <w:marBottom w:val="0"/>
      <w:divBdr>
        <w:top w:val="none" w:sz="0" w:space="0" w:color="auto"/>
        <w:left w:val="none" w:sz="0" w:space="0" w:color="auto"/>
        <w:bottom w:val="none" w:sz="0" w:space="0" w:color="auto"/>
        <w:right w:val="none" w:sz="0" w:space="0" w:color="auto"/>
      </w:divBdr>
      <w:divsChild>
        <w:div w:id="1833256470">
          <w:marLeft w:val="0"/>
          <w:marRight w:val="0"/>
          <w:marTop w:val="0"/>
          <w:marBottom w:val="0"/>
          <w:divBdr>
            <w:top w:val="none" w:sz="0" w:space="0" w:color="auto"/>
            <w:left w:val="none" w:sz="0" w:space="0" w:color="auto"/>
            <w:bottom w:val="none" w:sz="0" w:space="0" w:color="auto"/>
            <w:right w:val="none" w:sz="0" w:space="0" w:color="auto"/>
          </w:divBdr>
          <w:divsChild>
            <w:div w:id="470680569">
              <w:marLeft w:val="0"/>
              <w:marRight w:val="0"/>
              <w:marTop w:val="0"/>
              <w:marBottom w:val="0"/>
              <w:divBdr>
                <w:top w:val="none" w:sz="0" w:space="0" w:color="auto"/>
                <w:left w:val="none" w:sz="0" w:space="0" w:color="auto"/>
                <w:bottom w:val="none" w:sz="0" w:space="0" w:color="auto"/>
                <w:right w:val="none" w:sz="0" w:space="0" w:color="auto"/>
              </w:divBdr>
              <w:divsChild>
                <w:div w:id="8565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8520">
      <w:bodyDiv w:val="1"/>
      <w:marLeft w:val="0"/>
      <w:marRight w:val="0"/>
      <w:marTop w:val="0"/>
      <w:marBottom w:val="0"/>
      <w:divBdr>
        <w:top w:val="none" w:sz="0" w:space="0" w:color="auto"/>
        <w:left w:val="none" w:sz="0" w:space="0" w:color="auto"/>
        <w:bottom w:val="none" w:sz="0" w:space="0" w:color="auto"/>
        <w:right w:val="none" w:sz="0" w:space="0" w:color="auto"/>
      </w:divBdr>
      <w:divsChild>
        <w:div w:id="900793300">
          <w:marLeft w:val="0"/>
          <w:marRight w:val="0"/>
          <w:marTop w:val="0"/>
          <w:marBottom w:val="0"/>
          <w:divBdr>
            <w:top w:val="none" w:sz="0" w:space="0" w:color="auto"/>
            <w:left w:val="none" w:sz="0" w:space="0" w:color="auto"/>
            <w:bottom w:val="none" w:sz="0" w:space="0" w:color="auto"/>
            <w:right w:val="none" w:sz="0" w:space="0" w:color="auto"/>
          </w:divBdr>
          <w:divsChild>
            <w:div w:id="431509995">
              <w:marLeft w:val="0"/>
              <w:marRight w:val="0"/>
              <w:marTop w:val="0"/>
              <w:marBottom w:val="0"/>
              <w:divBdr>
                <w:top w:val="none" w:sz="0" w:space="0" w:color="auto"/>
                <w:left w:val="none" w:sz="0" w:space="0" w:color="auto"/>
                <w:bottom w:val="none" w:sz="0" w:space="0" w:color="auto"/>
                <w:right w:val="none" w:sz="0" w:space="0" w:color="auto"/>
              </w:divBdr>
              <w:divsChild>
                <w:div w:id="1176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9084">
      <w:bodyDiv w:val="1"/>
      <w:marLeft w:val="0"/>
      <w:marRight w:val="0"/>
      <w:marTop w:val="0"/>
      <w:marBottom w:val="0"/>
      <w:divBdr>
        <w:top w:val="none" w:sz="0" w:space="0" w:color="auto"/>
        <w:left w:val="none" w:sz="0" w:space="0" w:color="auto"/>
        <w:bottom w:val="none" w:sz="0" w:space="0" w:color="auto"/>
        <w:right w:val="none" w:sz="0" w:space="0" w:color="auto"/>
      </w:divBdr>
      <w:divsChild>
        <w:div w:id="2114283453">
          <w:marLeft w:val="0"/>
          <w:marRight w:val="0"/>
          <w:marTop w:val="0"/>
          <w:marBottom w:val="0"/>
          <w:divBdr>
            <w:top w:val="none" w:sz="0" w:space="0" w:color="auto"/>
            <w:left w:val="none" w:sz="0" w:space="0" w:color="auto"/>
            <w:bottom w:val="none" w:sz="0" w:space="0" w:color="auto"/>
            <w:right w:val="none" w:sz="0" w:space="0" w:color="auto"/>
          </w:divBdr>
          <w:divsChild>
            <w:div w:id="1415975760">
              <w:marLeft w:val="0"/>
              <w:marRight w:val="0"/>
              <w:marTop w:val="0"/>
              <w:marBottom w:val="0"/>
              <w:divBdr>
                <w:top w:val="none" w:sz="0" w:space="0" w:color="auto"/>
                <w:left w:val="none" w:sz="0" w:space="0" w:color="auto"/>
                <w:bottom w:val="none" w:sz="0" w:space="0" w:color="auto"/>
                <w:right w:val="none" w:sz="0" w:space="0" w:color="auto"/>
              </w:divBdr>
              <w:divsChild>
                <w:div w:id="1522860381">
                  <w:marLeft w:val="0"/>
                  <w:marRight w:val="0"/>
                  <w:marTop w:val="0"/>
                  <w:marBottom w:val="0"/>
                  <w:divBdr>
                    <w:top w:val="none" w:sz="0" w:space="0" w:color="auto"/>
                    <w:left w:val="none" w:sz="0" w:space="0" w:color="auto"/>
                    <w:bottom w:val="none" w:sz="0" w:space="0" w:color="auto"/>
                    <w:right w:val="none" w:sz="0" w:space="0" w:color="auto"/>
                  </w:divBdr>
                  <w:divsChild>
                    <w:div w:id="1754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6804">
      <w:bodyDiv w:val="1"/>
      <w:marLeft w:val="0"/>
      <w:marRight w:val="0"/>
      <w:marTop w:val="0"/>
      <w:marBottom w:val="0"/>
      <w:divBdr>
        <w:top w:val="none" w:sz="0" w:space="0" w:color="auto"/>
        <w:left w:val="none" w:sz="0" w:space="0" w:color="auto"/>
        <w:bottom w:val="none" w:sz="0" w:space="0" w:color="auto"/>
        <w:right w:val="none" w:sz="0" w:space="0" w:color="auto"/>
      </w:divBdr>
      <w:divsChild>
        <w:div w:id="763184439">
          <w:marLeft w:val="0"/>
          <w:marRight w:val="0"/>
          <w:marTop w:val="0"/>
          <w:marBottom w:val="0"/>
          <w:divBdr>
            <w:top w:val="none" w:sz="0" w:space="0" w:color="auto"/>
            <w:left w:val="none" w:sz="0" w:space="0" w:color="auto"/>
            <w:bottom w:val="none" w:sz="0" w:space="0" w:color="auto"/>
            <w:right w:val="none" w:sz="0" w:space="0" w:color="auto"/>
          </w:divBdr>
          <w:divsChild>
            <w:div w:id="2140416678">
              <w:marLeft w:val="0"/>
              <w:marRight w:val="0"/>
              <w:marTop w:val="0"/>
              <w:marBottom w:val="0"/>
              <w:divBdr>
                <w:top w:val="none" w:sz="0" w:space="0" w:color="auto"/>
                <w:left w:val="none" w:sz="0" w:space="0" w:color="auto"/>
                <w:bottom w:val="none" w:sz="0" w:space="0" w:color="auto"/>
                <w:right w:val="none" w:sz="0" w:space="0" w:color="auto"/>
              </w:divBdr>
              <w:divsChild>
                <w:div w:id="18658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1665">
      <w:bodyDiv w:val="1"/>
      <w:marLeft w:val="0"/>
      <w:marRight w:val="0"/>
      <w:marTop w:val="0"/>
      <w:marBottom w:val="0"/>
      <w:divBdr>
        <w:top w:val="none" w:sz="0" w:space="0" w:color="auto"/>
        <w:left w:val="none" w:sz="0" w:space="0" w:color="auto"/>
        <w:bottom w:val="none" w:sz="0" w:space="0" w:color="auto"/>
        <w:right w:val="none" w:sz="0" w:space="0" w:color="auto"/>
      </w:divBdr>
      <w:divsChild>
        <w:div w:id="627277495">
          <w:marLeft w:val="0"/>
          <w:marRight w:val="0"/>
          <w:marTop w:val="0"/>
          <w:marBottom w:val="0"/>
          <w:divBdr>
            <w:top w:val="none" w:sz="0" w:space="0" w:color="auto"/>
            <w:left w:val="none" w:sz="0" w:space="0" w:color="auto"/>
            <w:bottom w:val="none" w:sz="0" w:space="0" w:color="auto"/>
            <w:right w:val="none" w:sz="0" w:space="0" w:color="auto"/>
          </w:divBdr>
          <w:divsChild>
            <w:div w:id="1571496493">
              <w:marLeft w:val="0"/>
              <w:marRight w:val="0"/>
              <w:marTop w:val="0"/>
              <w:marBottom w:val="0"/>
              <w:divBdr>
                <w:top w:val="none" w:sz="0" w:space="0" w:color="auto"/>
                <w:left w:val="none" w:sz="0" w:space="0" w:color="auto"/>
                <w:bottom w:val="none" w:sz="0" w:space="0" w:color="auto"/>
                <w:right w:val="none" w:sz="0" w:space="0" w:color="auto"/>
              </w:divBdr>
              <w:divsChild>
                <w:div w:id="1266572303">
                  <w:marLeft w:val="0"/>
                  <w:marRight w:val="0"/>
                  <w:marTop w:val="0"/>
                  <w:marBottom w:val="0"/>
                  <w:divBdr>
                    <w:top w:val="none" w:sz="0" w:space="0" w:color="auto"/>
                    <w:left w:val="none" w:sz="0" w:space="0" w:color="auto"/>
                    <w:bottom w:val="none" w:sz="0" w:space="0" w:color="auto"/>
                    <w:right w:val="none" w:sz="0" w:space="0" w:color="auto"/>
                  </w:divBdr>
                  <w:divsChild>
                    <w:div w:id="206841864">
                      <w:marLeft w:val="0"/>
                      <w:marRight w:val="0"/>
                      <w:marTop w:val="0"/>
                      <w:marBottom w:val="0"/>
                      <w:divBdr>
                        <w:top w:val="none" w:sz="0" w:space="0" w:color="auto"/>
                        <w:left w:val="none" w:sz="0" w:space="0" w:color="auto"/>
                        <w:bottom w:val="none" w:sz="0" w:space="0" w:color="auto"/>
                        <w:right w:val="none" w:sz="0" w:space="0" w:color="auto"/>
                      </w:divBdr>
                      <w:divsChild>
                        <w:div w:id="5024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6284">
      <w:bodyDiv w:val="1"/>
      <w:marLeft w:val="0"/>
      <w:marRight w:val="0"/>
      <w:marTop w:val="0"/>
      <w:marBottom w:val="0"/>
      <w:divBdr>
        <w:top w:val="none" w:sz="0" w:space="0" w:color="auto"/>
        <w:left w:val="none" w:sz="0" w:space="0" w:color="auto"/>
        <w:bottom w:val="none" w:sz="0" w:space="0" w:color="auto"/>
        <w:right w:val="none" w:sz="0" w:space="0" w:color="auto"/>
      </w:divBdr>
      <w:divsChild>
        <w:div w:id="1033308220">
          <w:marLeft w:val="0"/>
          <w:marRight w:val="0"/>
          <w:marTop w:val="0"/>
          <w:marBottom w:val="0"/>
          <w:divBdr>
            <w:top w:val="none" w:sz="0" w:space="0" w:color="auto"/>
            <w:left w:val="none" w:sz="0" w:space="0" w:color="auto"/>
            <w:bottom w:val="none" w:sz="0" w:space="0" w:color="auto"/>
            <w:right w:val="none" w:sz="0" w:space="0" w:color="auto"/>
          </w:divBdr>
          <w:divsChild>
            <w:div w:id="583994454">
              <w:marLeft w:val="0"/>
              <w:marRight w:val="0"/>
              <w:marTop w:val="0"/>
              <w:marBottom w:val="0"/>
              <w:divBdr>
                <w:top w:val="none" w:sz="0" w:space="0" w:color="auto"/>
                <w:left w:val="none" w:sz="0" w:space="0" w:color="auto"/>
                <w:bottom w:val="none" w:sz="0" w:space="0" w:color="auto"/>
                <w:right w:val="none" w:sz="0" w:space="0" w:color="auto"/>
              </w:divBdr>
              <w:divsChild>
                <w:div w:id="16332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 w:id="1853177970">
      <w:bodyDiv w:val="1"/>
      <w:marLeft w:val="0"/>
      <w:marRight w:val="0"/>
      <w:marTop w:val="0"/>
      <w:marBottom w:val="0"/>
      <w:divBdr>
        <w:top w:val="none" w:sz="0" w:space="0" w:color="auto"/>
        <w:left w:val="none" w:sz="0" w:space="0" w:color="auto"/>
        <w:bottom w:val="none" w:sz="0" w:space="0" w:color="auto"/>
        <w:right w:val="none" w:sz="0" w:space="0" w:color="auto"/>
      </w:divBdr>
      <w:divsChild>
        <w:div w:id="1539467494">
          <w:marLeft w:val="0"/>
          <w:marRight w:val="0"/>
          <w:marTop w:val="0"/>
          <w:marBottom w:val="0"/>
          <w:divBdr>
            <w:top w:val="none" w:sz="0" w:space="0" w:color="auto"/>
            <w:left w:val="none" w:sz="0" w:space="0" w:color="auto"/>
            <w:bottom w:val="none" w:sz="0" w:space="0" w:color="auto"/>
            <w:right w:val="none" w:sz="0" w:space="0" w:color="auto"/>
          </w:divBdr>
          <w:divsChild>
            <w:div w:id="952173474">
              <w:marLeft w:val="0"/>
              <w:marRight w:val="0"/>
              <w:marTop w:val="0"/>
              <w:marBottom w:val="0"/>
              <w:divBdr>
                <w:top w:val="none" w:sz="0" w:space="0" w:color="auto"/>
                <w:left w:val="none" w:sz="0" w:space="0" w:color="auto"/>
                <w:bottom w:val="none" w:sz="0" w:space="0" w:color="auto"/>
                <w:right w:val="none" w:sz="0" w:space="0" w:color="auto"/>
              </w:divBdr>
              <w:divsChild>
                <w:div w:id="1913007736">
                  <w:marLeft w:val="0"/>
                  <w:marRight w:val="0"/>
                  <w:marTop w:val="0"/>
                  <w:marBottom w:val="0"/>
                  <w:divBdr>
                    <w:top w:val="none" w:sz="0" w:space="0" w:color="auto"/>
                    <w:left w:val="none" w:sz="0" w:space="0" w:color="auto"/>
                    <w:bottom w:val="none" w:sz="0" w:space="0" w:color="auto"/>
                    <w:right w:val="none" w:sz="0" w:space="0" w:color="auto"/>
                  </w:divBdr>
                  <w:divsChild>
                    <w:div w:id="10429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9294">
      <w:bodyDiv w:val="1"/>
      <w:marLeft w:val="0"/>
      <w:marRight w:val="0"/>
      <w:marTop w:val="0"/>
      <w:marBottom w:val="0"/>
      <w:divBdr>
        <w:top w:val="none" w:sz="0" w:space="0" w:color="auto"/>
        <w:left w:val="none" w:sz="0" w:space="0" w:color="auto"/>
        <w:bottom w:val="none" w:sz="0" w:space="0" w:color="auto"/>
        <w:right w:val="none" w:sz="0" w:space="0" w:color="auto"/>
      </w:divBdr>
      <w:divsChild>
        <w:div w:id="513569823">
          <w:marLeft w:val="0"/>
          <w:marRight w:val="0"/>
          <w:marTop w:val="0"/>
          <w:marBottom w:val="0"/>
          <w:divBdr>
            <w:top w:val="none" w:sz="0" w:space="0" w:color="auto"/>
            <w:left w:val="none" w:sz="0" w:space="0" w:color="auto"/>
            <w:bottom w:val="none" w:sz="0" w:space="0" w:color="auto"/>
            <w:right w:val="none" w:sz="0" w:space="0" w:color="auto"/>
          </w:divBdr>
          <w:divsChild>
            <w:div w:id="225192296">
              <w:marLeft w:val="-225"/>
              <w:marRight w:val="-225"/>
              <w:marTop w:val="0"/>
              <w:marBottom w:val="0"/>
              <w:divBdr>
                <w:top w:val="none" w:sz="0" w:space="0" w:color="auto"/>
                <w:left w:val="none" w:sz="0" w:space="0" w:color="auto"/>
                <w:bottom w:val="none" w:sz="0" w:space="0" w:color="auto"/>
                <w:right w:val="none" w:sz="0" w:space="0" w:color="auto"/>
              </w:divBdr>
              <w:divsChild>
                <w:div w:id="1698892254">
                  <w:marLeft w:val="0"/>
                  <w:marRight w:val="0"/>
                  <w:marTop w:val="0"/>
                  <w:marBottom w:val="0"/>
                  <w:divBdr>
                    <w:top w:val="none" w:sz="0" w:space="0" w:color="auto"/>
                    <w:left w:val="none" w:sz="0" w:space="0" w:color="auto"/>
                    <w:bottom w:val="none" w:sz="0" w:space="0" w:color="auto"/>
                    <w:right w:val="none" w:sz="0" w:space="0" w:color="auto"/>
                  </w:divBdr>
                  <w:divsChild>
                    <w:div w:id="1120030468">
                      <w:marLeft w:val="0"/>
                      <w:marRight w:val="0"/>
                      <w:marTop w:val="0"/>
                      <w:marBottom w:val="0"/>
                      <w:divBdr>
                        <w:top w:val="none" w:sz="0" w:space="0" w:color="auto"/>
                        <w:left w:val="none" w:sz="0" w:space="0" w:color="auto"/>
                        <w:bottom w:val="none" w:sz="0" w:space="0" w:color="auto"/>
                        <w:right w:val="none" w:sz="0" w:space="0" w:color="auto"/>
                      </w:divBdr>
                      <w:divsChild>
                        <w:div w:id="430013849">
                          <w:marLeft w:val="0"/>
                          <w:marRight w:val="0"/>
                          <w:marTop w:val="0"/>
                          <w:marBottom w:val="0"/>
                          <w:divBdr>
                            <w:top w:val="none" w:sz="0" w:space="0" w:color="auto"/>
                            <w:left w:val="none" w:sz="0" w:space="0" w:color="auto"/>
                            <w:bottom w:val="none" w:sz="0" w:space="0" w:color="auto"/>
                            <w:right w:val="none" w:sz="0" w:space="0" w:color="auto"/>
                          </w:divBdr>
                          <w:divsChild>
                            <w:div w:id="2027900634">
                              <w:marLeft w:val="0"/>
                              <w:marRight w:val="0"/>
                              <w:marTop w:val="0"/>
                              <w:marBottom w:val="0"/>
                              <w:divBdr>
                                <w:top w:val="none" w:sz="0" w:space="0" w:color="auto"/>
                                <w:left w:val="none" w:sz="0" w:space="0" w:color="auto"/>
                                <w:bottom w:val="none" w:sz="0" w:space="0" w:color="auto"/>
                                <w:right w:val="none" w:sz="0" w:space="0" w:color="auto"/>
                              </w:divBdr>
                              <w:divsChild>
                                <w:div w:id="1597321576">
                                  <w:marLeft w:val="-225"/>
                                  <w:marRight w:val="-225"/>
                                  <w:marTop w:val="0"/>
                                  <w:marBottom w:val="0"/>
                                  <w:divBdr>
                                    <w:top w:val="none" w:sz="0" w:space="0" w:color="auto"/>
                                    <w:left w:val="none" w:sz="0" w:space="0" w:color="auto"/>
                                    <w:bottom w:val="none" w:sz="0" w:space="0" w:color="auto"/>
                                    <w:right w:val="none" w:sz="0" w:space="0" w:color="auto"/>
                                  </w:divBdr>
                                  <w:divsChild>
                                    <w:div w:id="6173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1758">
                          <w:marLeft w:val="0"/>
                          <w:marRight w:val="0"/>
                          <w:marTop w:val="0"/>
                          <w:marBottom w:val="0"/>
                          <w:divBdr>
                            <w:top w:val="none" w:sz="0" w:space="0" w:color="auto"/>
                            <w:left w:val="none" w:sz="0" w:space="0" w:color="auto"/>
                            <w:bottom w:val="none" w:sz="0" w:space="0" w:color="auto"/>
                            <w:right w:val="none" w:sz="0" w:space="0" w:color="auto"/>
                          </w:divBdr>
                          <w:divsChild>
                            <w:div w:id="1267619485">
                              <w:marLeft w:val="0"/>
                              <w:marRight w:val="0"/>
                              <w:marTop w:val="0"/>
                              <w:marBottom w:val="0"/>
                              <w:divBdr>
                                <w:top w:val="none" w:sz="0" w:space="0" w:color="auto"/>
                                <w:left w:val="none" w:sz="0" w:space="0" w:color="auto"/>
                                <w:bottom w:val="none" w:sz="0" w:space="0" w:color="auto"/>
                                <w:right w:val="none" w:sz="0" w:space="0" w:color="auto"/>
                              </w:divBdr>
                              <w:divsChild>
                                <w:div w:id="822087042">
                                  <w:marLeft w:val="0"/>
                                  <w:marRight w:val="0"/>
                                  <w:marTop w:val="0"/>
                                  <w:marBottom w:val="0"/>
                                  <w:divBdr>
                                    <w:top w:val="none" w:sz="0" w:space="0" w:color="auto"/>
                                    <w:left w:val="none" w:sz="0" w:space="0" w:color="auto"/>
                                    <w:bottom w:val="none" w:sz="0" w:space="0" w:color="auto"/>
                                    <w:right w:val="none" w:sz="0" w:space="0" w:color="auto"/>
                                  </w:divBdr>
                                  <w:divsChild>
                                    <w:div w:id="1089077653">
                                      <w:marLeft w:val="0"/>
                                      <w:marRight w:val="0"/>
                                      <w:marTop w:val="0"/>
                                      <w:marBottom w:val="0"/>
                                      <w:divBdr>
                                        <w:top w:val="none" w:sz="0" w:space="0" w:color="auto"/>
                                        <w:left w:val="none" w:sz="0" w:space="0" w:color="auto"/>
                                        <w:bottom w:val="none" w:sz="0" w:space="0" w:color="auto"/>
                                        <w:right w:val="none" w:sz="0" w:space="0" w:color="auto"/>
                                      </w:divBdr>
                                      <w:divsChild>
                                        <w:div w:id="646982614">
                                          <w:marLeft w:val="0"/>
                                          <w:marRight w:val="0"/>
                                          <w:marTop w:val="0"/>
                                          <w:marBottom w:val="0"/>
                                          <w:divBdr>
                                            <w:top w:val="none" w:sz="0" w:space="0" w:color="auto"/>
                                            <w:left w:val="none" w:sz="0" w:space="0" w:color="auto"/>
                                            <w:bottom w:val="none" w:sz="0" w:space="0" w:color="auto"/>
                                            <w:right w:val="none" w:sz="0" w:space="0" w:color="auto"/>
                                          </w:divBdr>
                                          <w:divsChild>
                                            <w:div w:id="709695827">
                                              <w:marLeft w:val="0"/>
                                              <w:marRight w:val="0"/>
                                              <w:marTop w:val="0"/>
                                              <w:marBottom w:val="0"/>
                                              <w:divBdr>
                                                <w:top w:val="none" w:sz="0" w:space="0" w:color="auto"/>
                                                <w:left w:val="none" w:sz="0" w:space="0" w:color="auto"/>
                                                <w:bottom w:val="none" w:sz="0" w:space="0" w:color="auto"/>
                                                <w:right w:val="none" w:sz="0" w:space="0" w:color="auto"/>
                                              </w:divBdr>
                                              <w:divsChild>
                                                <w:div w:id="14427713">
                                                  <w:marLeft w:val="0"/>
                                                  <w:marRight w:val="0"/>
                                                  <w:marTop w:val="0"/>
                                                  <w:marBottom w:val="0"/>
                                                  <w:divBdr>
                                                    <w:top w:val="none" w:sz="0" w:space="0" w:color="auto"/>
                                                    <w:left w:val="none" w:sz="0" w:space="0" w:color="auto"/>
                                                    <w:bottom w:val="none" w:sz="0" w:space="0" w:color="auto"/>
                                                    <w:right w:val="none" w:sz="0" w:space="0" w:color="auto"/>
                                                  </w:divBdr>
                                                  <w:divsChild>
                                                    <w:div w:id="19079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6744">
                                              <w:marLeft w:val="0"/>
                                              <w:marRight w:val="0"/>
                                              <w:marTop w:val="0"/>
                                              <w:marBottom w:val="0"/>
                                              <w:divBdr>
                                                <w:top w:val="none" w:sz="0" w:space="0" w:color="auto"/>
                                                <w:left w:val="none" w:sz="0" w:space="0" w:color="auto"/>
                                                <w:bottom w:val="none" w:sz="0" w:space="0" w:color="auto"/>
                                                <w:right w:val="none" w:sz="0" w:space="0" w:color="auto"/>
                                              </w:divBdr>
                                              <w:divsChild>
                                                <w:div w:id="1626740343">
                                                  <w:marLeft w:val="0"/>
                                                  <w:marRight w:val="0"/>
                                                  <w:marTop w:val="0"/>
                                                  <w:marBottom w:val="0"/>
                                                  <w:divBdr>
                                                    <w:top w:val="none" w:sz="0" w:space="0" w:color="auto"/>
                                                    <w:left w:val="none" w:sz="0" w:space="0" w:color="auto"/>
                                                    <w:bottom w:val="none" w:sz="0" w:space="0" w:color="auto"/>
                                                    <w:right w:val="none" w:sz="0" w:space="0" w:color="auto"/>
                                                  </w:divBdr>
                                                  <w:divsChild>
                                                    <w:div w:id="1776092026">
                                                      <w:marLeft w:val="0"/>
                                                      <w:marRight w:val="0"/>
                                                      <w:marTop w:val="0"/>
                                                      <w:marBottom w:val="0"/>
                                                      <w:divBdr>
                                                        <w:top w:val="none" w:sz="0" w:space="0" w:color="auto"/>
                                                        <w:left w:val="none" w:sz="0" w:space="0" w:color="auto"/>
                                                        <w:bottom w:val="none" w:sz="0" w:space="0" w:color="auto"/>
                                                        <w:right w:val="none" w:sz="0" w:space="0" w:color="auto"/>
                                                      </w:divBdr>
                                                      <w:divsChild>
                                                        <w:div w:id="535848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0864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30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74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912503">
      <w:bodyDiv w:val="1"/>
      <w:marLeft w:val="0"/>
      <w:marRight w:val="0"/>
      <w:marTop w:val="0"/>
      <w:marBottom w:val="0"/>
      <w:divBdr>
        <w:top w:val="none" w:sz="0" w:space="0" w:color="auto"/>
        <w:left w:val="none" w:sz="0" w:space="0" w:color="auto"/>
        <w:bottom w:val="none" w:sz="0" w:space="0" w:color="auto"/>
        <w:right w:val="none" w:sz="0" w:space="0" w:color="auto"/>
      </w:divBdr>
      <w:divsChild>
        <w:div w:id="1736196827">
          <w:marLeft w:val="0"/>
          <w:marRight w:val="0"/>
          <w:marTop w:val="0"/>
          <w:marBottom w:val="0"/>
          <w:divBdr>
            <w:top w:val="none" w:sz="0" w:space="0" w:color="auto"/>
            <w:left w:val="none" w:sz="0" w:space="0" w:color="auto"/>
            <w:bottom w:val="none" w:sz="0" w:space="0" w:color="auto"/>
            <w:right w:val="none" w:sz="0" w:space="0" w:color="auto"/>
          </w:divBdr>
          <w:divsChild>
            <w:div w:id="1638340292">
              <w:marLeft w:val="0"/>
              <w:marRight w:val="0"/>
              <w:marTop w:val="0"/>
              <w:marBottom w:val="0"/>
              <w:divBdr>
                <w:top w:val="none" w:sz="0" w:space="0" w:color="auto"/>
                <w:left w:val="none" w:sz="0" w:space="0" w:color="auto"/>
                <w:bottom w:val="none" w:sz="0" w:space="0" w:color="auto"/>
                <w:right w:val="none" w:sz="0" w:space="0" w:color="auto"/>
              </w:divBdr>
              <w:divsChild>
                <w:div w:id="7567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8728">
      <w:bodyDiv w:val="1"/>
      <w:marLeft w:val="0"/>
      <w:marRight w:val="0"/>
      <w:marTop w:val="0"/>
      <w:marBottom w:val="0"/>
      <w:divBdr>
        <w:top w:val="none" w:sz="0" w:space="0" w:color="auto"/>
        <w:left w:val="none" w:sz="0" w:space="0" w:color="auto"/>
        <w:bottom w:val="none" w:sz="0" w:space="0" w:color="auto"/>
        <w:right w:val="none" w:sz="0" w:space="0" w:color="auto"/>
      </w:divBdr>
      <w:divsChild>
        <w:div w:id="1657031622">
          <w:marLeft w:val="0"/>
          <w:marRight w:val="0"/>
          <w:marTop w:val="0"/>
          <w:marBottom w:val="0"/>
          <w:divBdr>
            <w:top w:val="none" w:sz="0" w:space="0" w:color="auto"/>
            <w:left w:val="none" w:sz="0" w:space="0" w:color="auto"/>
            <w:bottom w:val="none" w:sz="0" w:space="0" w:color="auto"/>
            <w:right w:val="none" w:sz="0" w:space="0" w:color="auto"/>
          </w:divBdr>
          <w:divsChild>
            <w:div w:id="1023215179">
              <w:marLeft w:val="0"/>
              <w:marRight w:val="0"/>
              <w:marTop w:val="0"/>
              <w:marBottom w:val="0"/>
              <w:divBdr>
                <w:top w:val="none" w:sz="0" w:space="0" w:color="auto"/>
                <w:left w:val="none" w:sz="0" w:space="0" w:color="auto"/>
                <w:bottom w:val="none" w:sz="0" w:space="0" w:color="auto"/>
                <w:right w:val="none" w:sz="0" w:space="0" w:color="auto"/>
              </w:divBdr>
              <w:divsChild>
                <w:div w:id="6009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3833">
      <w:bodyDiv w:val="1"/>
      <w:marLeft w:val="0"/>
      <w:marRight w:val="0"/>
      <w:marTop w:val="0"/>
      <w:marBottom w:val="0"/>
      <w:divBdr>
        <w:top w:val="none" w:sz="0" w:space="0" w:color="auto"/>
        <w:left w:val="none" w:sz="0" w:space="0" w:color="auto"/>
        <w:bottom w:val="none" w:sz="0" w:space="0" w:color="auto"/>
        <w:right w:val="none" w:sz="0" w:space="0" w:color="auto"/>
      </w:divBdr>
    </w:div>
    <w:div w:id="2125033828">
      <w:bodyDiv w:val="1"/>
      <w:marLeft w:val="0"/>
      <w:marRight w:val="0"/>
      <w:marTop w:val="0"/>
      <w:marBottom w:val="0"/>
      <w:divBdr>
        <w:top w:val="none" w:sz="0" w:space="0" w:color="auto"/>
        <w:left w:val="none" w:sz="0" w:space="0" w:color="auto"/>
        <w:bottom w:val="none" w:sz="0" w:space="0" w:color="auto"/>
        <w:right w:val="none" w:sz="0" w:space="0" w:color="auto"/>
      </w:divBdr>
    </w:div>
    <w:div w:id="2133942686">
      <w:bodyDiv w:val="1"/>
      <w:marLeft w:val="0"/>
      <w:marRight w:val="0"/>
      <w:marTop w:val="0"/>
      <w:marBottom w:val="0"/>
      <w:divBdr>
        <w:top w:val="none" w:sz="0" w:space="0" w:color="auto"/>
        <w:left w:val="none" w:sz="0" w:space="0" w:color="auto"/>
        <w:bottom w:val="none" w:sz="0" w:space="0" w:color="auto"/>
        <w:right w:val="none" w:sz="0" w:space="0" w:color="auto"/>
      </w:divBdr>
      <w:divsChild>
        <w:div w:id="1648247606">
          <w:marLeft w:val="0"/>
          <w:marRight w:val="0"/>
          <w:marTop w:val="0"/>
          <w:marBottom w:val="0"/>
          <w:divBdr>
            <w:top w:val="none" w:sz="0" w:space="0" w:color="auto"/>
            <w:left w:val="none" w:sz="0" w:space="0" w:color="auto"/>
            <w:bottom w:val="none" w:sz="0" w:space="0" w:color="auto"/>
            <w:right w:val="none" w:sz="0" w:space="0" w:color="auto"/>
          </w:divBdr>
          <w:divsChild>
            <w:div w:id="548420865">
              <w:marLeft w:val="0"/>
              <w:marRight w:val="0"/>
              <w:marTop w:val="0"/>
              <w:marBottom w:val="0"/>
              <w:divBdr>
                <w:top w:val="none" w:sz="0" w:space="0" w:color="auto"/>
                <w:left w:val="none" w:sz="0" w:space="0" w:color="auto"/>
                <w:bottom w:val="none" w:sz="0" w:space="0" w:color="auto"/>
                <w:right w:val="none" w:sz="0" w:space="0" w:color="auto"/>
              </w:divBdr>
              <w:divsChild>
                <w:div w:id="1455440104">
                  <w:marLeft w:val="0"/>
                  <w:marRight w:val="0"/>
                  <w:marTop w:val="0"/>
                  <w:marBottom w:val="0"/>
                  <w:divBdr>
                    <w:top w:val="none" w:sz="0" w:space="0" w:color="auto"/>
                    <w:left w:val="none" w:sz="0" w:space="0" w:color="auto"/>
                    <w:bottom w:val="none" w:sz="0" w:space="0" w:color="auto"/>
                    <w:right w:val="none" w:sz="0" w:space="0" w:color="auto"/>
                  </w:divBdr>
                  <w:divsChild>
                    <w:div w:id="7392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3" Type="http://schemas.openxmlformats.org/officeDocument/2006/relationships/hyperlink" Target="http://www.opensocietyfoundations.org/publications/global-principles-national-security-and-freedom-information-tshwane-principles" TargetMode="External"/><Relationship Id="rId2" Type="http://schemas.openxmlformats.org/officeDocument/2006/relationships/hyperlink" Target="http://www.article19.org/data/files/pdfs/standards/joburgprinciples.pdf" TargetMode="External"/><Relationship Id="rId1" Type="http://schemas.openxmlformats.org/officeDocument/2006/relationships/hyperlink" Target="http://www.abc.net.au/news/2014-07-17/snowden-deserves-protection-from-prosecution3a-un-rights-chief/5603236" TargetMode="External"/><Relationship Id="rId4" Type="http://schemas.openxmlformats.org/officeDocument/2006/relationships/hyperlink" Target="http://www.abc.net.au/news/2014-07-17/snowden-deserves-protection-from-prosecution3a-un-rights-chief/56032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9A26-F5BC-4B48-A795-802FD3DA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123</TotalTime>
  <Pages>76</Pages>
  <Words>23575</Words>
  <Characters>130005</Characters>
  <Application>Microsoft Office Word</Application>
  <DocSecurity>0</DocSecurity>
  <Lines>1083</Lines>
  <Paragraphs>306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153274</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Lim</dc:creator>
  <cp:keywords/>
  <cp:lastModifiedBy>Jennifer Lim</cp:lastModifiedBy>
  <cp:revision>45</cp:revision>
  <cp:lastPrinted>2018-09-10T04:56:00Z</cp:lastPrinted>
  <dcterms:created xsi:type="dcterms:W3CDTF">2018-09-10T02:38:00Z</dcterms:created>
  <dcterms:modified xsi:type="dcterms:W3CDTF">2018-09-10T04:57:00Z</dcterms:modified>
</cp:coreProperties>
</file>