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72E22" w14:textId="4D6FF90C" w:rsidR="008A2AF7" w:rsidRDefault="00197A8A" w:rsidP="00061380">
      <w:pPr>
        <w:spacing w:before="0" w:after="0"/>
        <w:rPr>
          <w:b/>
        </w:rPr>
      </w:pPr>
      <w:r>
        <w:rPr>
          <w:b/>
        </w:rPr>
        <w:t xml:space="preserve">Attachment 1 - </w:t>
      </w:r>
      <w:r w:rsidRPr="00197A8A">
        <w:rPr>
          <w:b/>
        </w:rPr>
        <w:t xml:space="preserve">Approaches taken to exceptions in </w:t>
      </w:r>
      <w:r w:rsidR="00CD0478">
        <w:rPr>
          <w:b/>
        </w:rPr>
        <w:t>some comparable jurisdictions</w:t>
      </w:r>
    </w:p>
    <w:p w14:paraId="2694581E" w14:textId="77777777" w:rsidR="00EF4115" w:rsidRDefault="00EF4115" w:rsidP="00061380">
      <w:pPr>
        <w:spacing w:before="0" w:after="0"/>
        <w:rPr>
          <w:b/>
        </w:rPr>
      </w:pPr>
    </w:p>
    <w:tbl>
      <w:tblPr>
        <w:tblStyle w:val="GridTable1Light"/>
        <w:tblW w:w="14879" w:type="dxa"/>
        <w:tblLook w:val="04A0" w:firstRow="1" w:lastRow="0" w:firstColumn="1" w:lastColumn="0" w:noHBand="0" w:noVBand="1"/>
      </w:tblPr>
      <w:tblGrid>
        <w:gridCol w:w="1318"/>
        <w:gridCol w:w="1512"/>
        <w:gridCol w:w="1701"/>
        <w:gridCol w:w="1985"/>
        <w:gridCol w:w="1559"/>
        <w:gridCol w:w="1559"/>
        <w:gridCol w:w="1701"/>
        <w:gridCol w:w="1843"/>
        <w:gridCol w:w="1701"/>
      </w:tblGrid>
      <w:tr w:rsidR="00D0768E" w:rsidRPr="008C390A" w14:paraId="6231E3AE" w14:textId="77777777" w:rsidTr="0029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shd w:val="clear" w:color="auto" w:fill="F2F2F2" w:themeFill="background1" w:themeFillShade="F2"/>
          </w:tcPr>
          <w:p w14:paraId="690BE2C9" w14:textId="77777777" w:rsidR="002E5863" w:rsidRPr="008C390A" w:rsidRDefault="00867FF8" w:rsidP="00061380">
            <w:pPr>
              <w:spacing w:before="0" w:after="0"/>
              <w:rPr>
                <w:sz w:val="18"/>
              </w:rPr>
            </w:pPr>
            <w:r w:rsidRPr="008C390A">
              <w:rPr>
                <w:sz w:val="18"/>
              </w:rPr>
              <w:t>Jurisdiction</w:t>
            </w:r>
            <w:r w:rsidR="002E5863" w:rsidRPr="008C390A">
              <w:rPr>
                <w:sz w:val="18"/>
              </w:rPr>
              <w:t xml:space="preserve"> </w:t>
            </w:r>
          </w:p>
          <w:p w14:paraId="08081AE1" w14:textId="77777777" w:rsidR="002E5863" w:rsidRPr="008C390A" w:rsidRDefault="002E5863" w:rsidP="00061380">
            <w:pPr>
              <w:spacing w:before="0" w:after="0"/>
              <w:rPr>
                <w:sz w:val="18"/>
              </w:rPr>
            </w:pPr>
          </w:p>
          <w:p w14:paraId="39FBE5C2" w14:textId="4E9189EB" w:rsidR="00867FF8" w:rsidRPr="008C390A" w:rsidRDefault="002E5863" w:rsidP="00061380">
            <w:pPr>
              <w:spacing w:before="0" w:after="0"/>
              <w:rPr>
                <w:b w:val="0"/>
                <w:i/>
                <w:sz w:val="16"/>
              </w:rPr>
            </w:pPr>
            <w:r w:rsidRPr="008C390A">
              <w:rPr>
                <w:b w:val="0"/>
                <w:i/>
                <w:sz w:val="18"/>
              </w:rPr>
              <w:t xml:space="preserve">(date </w:t>
            </w:r>
            <w:r w:rsidR="004E2528">
              <w:rPr>
                <w:b w:val="0"/>
                <w:i/>
                <w:sz w:val="18"/>
              </w:rPr>
              <w:t>m</w:t>
            </w:r>
            <w:r w:rsidRPr="008C390A">
              <w:rPr>
                <w:b w:val="0"/>
                <w:i/>
                <w:sz w:val="18"/>
              </w:rPr>
              <w:t xml:space="preserve">arriage </w:t>
            </w:r>
            <w:r w:rsidR="004E2528">
              <w:rPr>
                <w:b w:val="0"/>
                <w:i/>
                <w:sz w:val="18"/>
              </w:rPr>
              <w:t>e</w:t>
            </w:r>
            <w:r w:rsidRPr="008C390A">
              <w:rPr>
                <w:b w:val="0"/>
                <w:i/>
                <w:sz w:val="18"/>
              </w:rPr>
              <w:t>quality legalised / method)</w:t>
            </w:r>
          </w:p>
        </w:tc>
        <w:tc>
          <w:tcPr>
            <w:tcW w:w="1512" w:type="dxa"/>
            <w:shd w:val="clear" w:color="auto" w:fill="F2F2F2" w:themeFill="background1" w:themeFillShade="F2"/>
          </w:tcPr>
          <w:p w14:paraId="0FAA09EA" w14:textId="34A3F998" w:rsidR="00867FF8" w:rsidRPr="008C390A" w:rsidRDefault="00B15258" w:rsidP="00867FF8">
            <w:pPr>
              <w:spacing w:before="0" w:after="0"/>
              <w:cnfStyle w:val="100000000000" w:firstRow="1" w:lastRow="0" w:firstColumn="0" w:lastColumn="0" w:oddVBand="0" w:evenVBand="0" w:oddHBand="0" w:evenHBand="0" w:firstRowFirstColumn="0" w:firstRowLastColumn="0" w:lastRowFirstColumn="0" w:lastRowLastColumn="0"/>
              <w:rPr>
                <w:sz w:val="18"/>
              </w:rPr>
            </w:pPr>
            <w:r>
              <w:rPr>
                <w:sz w:val="18"/>
              </w:rPr>
              <w:t xml:space="preserve">Can </w:t>
            </w:r>
            <w:r w:rsidR="00EA49B0">
              <w:rPr>
                <w:sz w:val="18"/>
              </w:rPr>
              <w:t>m</w:t>
            </w:r>
            <w:r w:rsidR="00867FF8" w:rsidRPr="008C390A">
              <w:rPr>
                <w:sz w:val="18"/>
              </w:rPr>
              <w:t xml:space="preserve">inisters of </w:t>
            </w:r>
            <w:r w:rsidR="00EA49B0">
              <w:rPr>
                <w:sz w:val="18"/>
              </w:rPr>
              <w:t>r</w:t>
            </w:r>
            <w:r w:rsidR="00867FF8" w:rsidRPr="008C390A">
              <w:rPr>
                <w:sz w:val="18"/>
              </w:rPr>
              <w:t xml:space="preserve">eligion refuse </w:t>
            </w:r>
            <w:r w:rsidR="00EA49B0">
              <w:rPr>
                <w:sz w:val="18"/>
              </w:rPr>
              <w:t xml:space="preserve">to </w:t>
            </w:r>
            <w:r w:rsidR="00867FF8" w:rsidRPr="008C390A">
              <w:rPr>
                <w:sz w:val="18"/>
              </w:rPr>
              <w:t>solemnis</w:t>
            </w:r>
            <w:r w:rsidR="00EA49B0">
              <w:rPr>
                <w:sz w:val="18"/>
              </w:rPr>
              <w:t>e</w:t>
            </w:r>
            <w:r w:rsidR="00867FF8" w:rsidRPr="008C390A">
              <w:rPr>
                <w:sz w:val="18"/>
              </w:rPr>
              <w:t xml:space="preserve"> a same-sex marriage?</w:t>
            </w:r>
            <w:r w:rsidR="00D8269A" w:rsidRPr="008C390A">
              <w:rPr>
                <w:sz w:val="18"/>
              </w:rPr>
              <w:t xml:space="preserve"> </w:t>
            </w:r>
          </w:p>
          <w:p w14:paraId="094AFF99" w14:textId="77777777" w:rsidR="00D8269A" w:rsidRPr="008C390A" w:rsidRDefault="00D8269A" w:rsidP="00867FF8">
            <w:pPr>
              <w:spacing w:before="0" w:after="0"/>
              <w:cnfStyle w:val="100000000000" w:firstRow="1" w:lastRow="0" w:firstColumn="0" w:lastColumn="0" w:oddVBand="0" w:evenVBand="0" w:oddHBand="0" w:evenHBand="0" w:firstRowFirstColumn="0" w:firstRowLastColumn="0" w:lastRowFirstColumn="0" w:lastRowLastColumn="0"/>
              <w:rPr>
                <w:sz w:val="16"/>
              </w:rPr>
            </w:pPr>
          </w:p>
          <w:p w14:paraId="1D3C3CCB" w14:textId="77777777" w:rsidR="00D8269A" w:rsidRPr="008C390A" w:rsidRDefault="00D8269A" w:rsidP="00867FF8">
            <w:pPr>
              <w:spacing w:before="0" w:after="0"/>
              <w:cnfStyle w:val="100000000000" w:firstRow="1" w:lastRow="0" w:firstColumn="0" w:lastColumn="0" w:oddVBand="0" w:evenVBand="0" w:oddHBand="0" w:evenHBand="0" w:firstRowFirstColumn="0" w:firstRowLastColumn="0" w:lastRowFirstColumn="0" w:lastRowLastColumn="0"/>
              <w:rPr>
                <w:b w:val="0"/>
                <w:i/>
                <w:sz w:val="16"/>
              </w:rPr>
            </w:pPr>
            <w:r w:rsidRPr="008C390A">
              <w:rPr>
                <w:b w:val="0"/>
                <w:i/>
                <w:sz w:val="16"/>
              </w:rPr>
              <w:t>Equivalent to the proposed s47 of the Exposure Draft</w:t>
            </w:r>
            <w:r w:rsidR="0022437B">
              <w:rPr>
                <w:b w:val="0"/>
                <w:i/>
                <w:sz w:val="16"/>
              </w:rPr>
              <w:t>.</w:t>
            </w:r>
          </w:p>
        </w:tc>
        <w:tc>
          <w:tcPr>
            <w:tcW w:w="1701" w:type="dxa"/>
            <w:shd w:val="clear" w:color="auto" w:fill="F2F2F2" w:themeFill="background1" w:themeFillShade="F2"/>
          </w:tcPr>
          <w:p w14:paraId="2AF4F1AB" w14:textId="33097316" w:rsidR="00867FF8" w:rsidRPr="008C390A" w:rsidRDefault="00B15258" w:rsidP="00867FF8">
            <w:pPr>
              <w:spacing w:before="0" w:after="0"/>
              <w:cnfStyle w:val="100000000000" w:firstRow="1" w:lastRow="0" w:firstColumn="0" w:lastColumn="0" w:oddVBand="0" w:evenVBand="0" w:oddHBand="0" w:evenHBand="0" w:firstRowFirstColumn="0" w:firstRowLastColumn="0" w:lastRowFirstColumn="0" w:lastRowLastColumn="0"/>
              <w:rPr>
                <w:sz w:val="18"/>
              </w:rPr>
            </w:pPr>
            <w:r>
              <w:rPr>
                <w:sz w:val="18"/>
              </w:rPr>
              <w:t>Can</w:t>
            </w:r>
            <w:r w:rsidR="00867FF8" w:rsidRPr="008C390A">
              <w:rPr>
                <w:sz w:val="18"/>
              </w:rPr>
              <w:t xml:space="preserve"> marriage celebrants refuse</w:t>
            </w:r>
            <w:r w:rsidR="008702A1">
              <w:rPr>
                <w:sz w:val="18"/>
              </w:rPr>
              <w:t xml:space="preserve"> to</w:t>
            </w:r>
            <w:r w:rsidR="00867FF8" w:rsidRPr="008C390A">
              <w:rPr>
                <w:sz w:val="18"/>
              </w:rPr>
              <w:t xml:space="preserve"> solemnis</w:t>
            </w:r>
            <w:r w:rsidR="008702A1">
              <w:rPr>
                <w:sz w:val="18"/>
              </w:rPr>
              <w:t>e</w:t>
            </w:r>
            <w:r w:rsidR="00867FF8" w:rsidRPr="008C390A">
              <w:rPr>
                <w:sz w:val="18"/>
              </w:rPr>
              <w:t xml:space="preserve"> a same-sex marriage?</w:t>
            </w:r>
          </w:p>
          <w:p w14:paraId="11E7F043" w14:textId="77777777" w:rsidR="00D8269A" w:rsidRPr="008C390A" w:rsidRDefault="00D8269A" w:rsidP="00867FF8">
            <w:pPr>
              <w:spacing w:before="0" w:after="0"/>
              <w:cnfStyle w:val="100000000000" w:firstRow="1" w:lastRow="0" w:firstColumn="0" w:lastColumn="0" w:oddVBand="0" w:evenVBand="0" w:oddHBand="0" w:evenHBand="0" w:firstRowFirstColumn="0" w:firstRowLastColumn="0" w:lastRowFirstColumn="0" w:lastRowLastColumn="0"/>
              <w:rPr>
                <w:sz w:val="16"/>
              </w:rPr>
            </w:pPr>
          </w:p>
          <w:p w14:paraId="09F8E43A" w14:textId="77777777" w:rsidR="00D8269A" w:rsidRPr="008C390A" w:rsidRDefault="00D8269A" w:rsidP="00867FF8">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the proposed s47A of the Exposure Draft</w:t>
            </w:r>
            <w:r w:rsidR="0022437B">
              <w:rPr>
                <w:b w:val="0"/>
                <w:i/>
                <w:sz w:val="16"/>
              </w:rPr>
              <w:t>.</w:t>
            </w:r>
          </w:p>
        </w:tc>
        <w:tc>
          <w:tcPr>
            <w:tcW w:w="1985" w:type="dxa"/>
            <w:shd w:val="clear" w:color="auto" w:fill="F2F2F2" w:themeFill="background1" w:themeFillShade="F2"/>
          </w:tcPr>
          <w:p w14:paraId="2C584D27" w14:textId="69076E0C" w:rsidR="00867FF8" w:rsidRPr="008C390A" w:rsidRDefault="00B15258" w:rsidP="00061380">
            <w:pPr>
              <w:spacing w:before="0" w:after="0"/>
              <w:cnfStyle w:val="100000000000" w:firstRow="1" w:lastRow="0" w:firstColumn="0" w:lastColumn="0" w:oddVBand="0" w:evenVBand="0" w:oddHBand="0" w:evenHBand="0" w:firstRowFirstColumn="0" w:firstRowLastColumn="0" w:lastRowFirstColumn="0" w:lastRowLastColumn="0"/>
              <w:rPr>
                <w:sz w:val="18"/>
              </w:rPr>
            </w:pPr>
            <w:r>
              <w:rPr>
                <w:sz w:val="18"/>
              </w:rPr>
              <w:t xml:space="preserve">Can </w:t>
            </w:r>
            <w:r w:rsidR="00867FF8" w:rsidRPr="008C390A">
              <w:rPr>
                <w:sz w:val="18"/>
              </w:rPr>
              <w:t xml:space="preserve">religious organisations refuse to provide </w:t>
            </w:r>
            <w:r w:rsidR="003020CF" w:rsidRPr="008C390A">
              <w:rPr>
                <w:sz w:val="18"/>
              </w:rPr>
              <w:t xml:space="preserve">same-sex couples with </w:t>
            </w:r>
            <w:r w:rsidR="00867FF8" w:rsidRPr="008C390A">
              <w:rPr>
                <w:sz w:val="18"/>
              </w:rPr>
              <w:t>goods and services related to</w:t>
            </w:r>
            <w:r w:rsidR="00F16342">
              <w:rPr>
                <w:sz w:val="18"/>
              </w:rPr>
              <w:t xml:space="preserve"> the</w:t>
            </w:r>
            <w:r w:rsidR="00867FF8" w:rsidRPr="008C390A">
              <w:rPr>
                <w:sz w:val="18"/>
              </w:rPr>
              <w:t xml:space="preserve"> marriage of same-sex couples?</w:t>
            </w:r>
          </w:p>
          <w:p w14:paraId="5294A0F7" w14:textId="77777777" w:rsidR="00D8269A" w:rsidRPr="008C390A" w:rsidRDefault="00D8269A" w:rsidP="00061380">
            <w:pPr>
              <w:spacing w:before="0" w:after="0"/>
              <w:cnfStyle w:val="100000000000" w:firstRow="1" w:lastRow="0" w:firstColumn="0" w:lastColumn="0" w:oddVBand="0" w:evenVBand="0" w:oddHBand="0" w:evenHBand="0" w:firstRowFirstColumn="0" w:firstRowLastColumn="0" w:lastRowFirstColumn="0" w:lastRowLastColumn="0"/>
              <w:rPr>
                <w:sz w:val="16"/>
              </w:rPr>
            </w:pPr>
          </w:p>
          <w:p w14:paraId="2AF00EBB" w14:textId="77777777" w:rsidR="00D8269A" w:rsidRPr="008C390A" w:rsidRDefault="00D8269A" w:rsidP="00D8269A">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the proposed s47B of the Exposure Draft</w:t>
            </w:r>
            <w:r w:rsidR="0022437B">
              <w:rPr>
                <w:b w:val="0"/>
                <w:i/>
                <w:sz w:val="16"/>
              </w:rPr>
              <w:t>.</w:t>
            </w:r>
          </w:p>
        </w:tc>
        <w:tc>
          <w:tcPr>
            <w:tcW w:w="1559" w:type="dxa"/>
            <w:shd w:val="clear" w:color="auto" w:fill="F2F2F2" w:themeFill="background1" w:themeFillShade="F2"/>
          </w:tcPr>
          <w:p w14:paraId="5671DE18" w14:textId="1100202E" w:rsidR="00867FF8" w:rsidRPr="008C390A" w:rsidRDefault="00B15258" w:rsidP="00B15258">
            <w:pPr>
              <w:spacing w:before="0" w:after="0"/>
              <w:cnfStyle w:val="100000000000" w:firstRow="1" w:lastRow="0" w:firstColumn="0" w:lastColumn="0" w:oddVBand="0" w:evenVBand="0" w:oddHBand="0" w:evenHBand="0" w:firstRowFirstColumn="0" w:firstRowLastColumn="0" w:lastRowFirstColumn="0" w:lastRowLastColumn="0"/>
              <w:rPr>
                <w:sz w:val="16"/>
              </w:rPr>
            </w:pPr>
            <w:r>
              <w:rPr>
                <w:sz w:val="18"/>
              </w:rPr>
              <w:t>Can</w:t>
            </w:r>
            <w:r w:rsidR="00867FF8" w:rsidRPr="008C390A">
              <w:rPr>
                <w:sz w:val="18"/>
              </w:rPr>
              <w:t xml:space="preserve"> anyone refuse to provide same-sex couples with goods and services related to marriage on the basis of religious belief or conscience?</w:t>
            </w:r>
          </w:p>
        </w:tc>
        <w:tc>
          <w:tcPr>
            <w:tcW w:w="1559" w:type="dxa"/>
            <w:shd w:val="clear" w:color="auto" w:fill="F2F2F2" w:themeFill="background1" w:themeFillShade="F2"/>
          </w:tcPr>
          <w:p w14:paraId="69622777" w14:textId="77777777" w:rsidR="00867FF8" w:rsidRPr="008C390A" w:rsidRDefault="002E5863" w:rsidP="00061380">
            <w:pPr>
              <w:spacing w:before="0" w:after="0"/>
              <w:cnfStyle w:val="100000000000" w:firstRow="1" w:lastRow="0" w:firstColumn="0" w:lastColumn="0" w:oddVBand="0" w:evenVBand="0" w:oddHBand="0" w:evenHBand="0" w:firstRowFirstColumn="0" w:firstRowLastColumn="0" w:lastRowFirstColumn="0" w:lastRowLastColumn="0"/>
              <w:rPr>
                <w:sz w:val="18"/>
              </w:rPr>
            </w:pPr>
            <w:r w:rsidRPr="008C390A">
              <w:rPr>
                <w:sz w:val="18"/>
              </w:rPr>
              <w:t>Is it unlawful to discriminate against a person on the ground of sexual orientation?</w:t>
            </w:r>
          </w:p>
          <w:p w14:paraId="7590FDE2" w14:textId="77777777" w:rsidR="00D8269A" w:rsidRPr="008C390A" w:rsidRDefault="00D8269A" w:rsidP="00061380">
            <w:pPr>
              <w:spacing w:before="0" w:after="0"/>
              <w:cnfStyle w:val="100000000000" w:firstRow="1" w:lastRow="0" w:firstColumn="0" w:lastColumn="0" w:oddVBand="0" w:evenVBand="0" w:oddHBand="0" w:evenHBand="0" w:firstRowFirstColumn="0" w:firstRowLastColumn="0" w:lastRowFirstColumn="0" w:lastRowLastColumn="0"/>
              <w:rPr>
                <w:sz w:val="16"/>
              </w:rPr>
            </w:pPr>
          </w:p>
          <w:p w14:paraId="5668B864" w14:textId="77777777" w:rsidR="00D8269A" w:rsidRPr="008C390A" w:rsidRDefault="00D8269A" w:rsidP="00D8269A">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s5A of the Sex Discrimination Act 1984 (</w:t>
            </w:r>
            <w:proofErr w:type="spellStart"/>
            <w:r w:rsidRPr="008C390A">
              <w:rPr>
                <w:b w:val="0"/>
                <w:i/>
                <w:sz w:val="16"/>
              </w:rPr>
              <w:t>Cth</w:t>
            </w:r>
            <w:proofErr w:type="spellEnd"/>
            <w:r w:rsidRPr="008C390A">
              <w:rPr>
                <w:b w:val="0"/>
                <w:i/>
                <w:sz w:val="16"/>
              </w:rPr>
              <w:t>)</w:t>
            </w:r>
            <w:r w:rsidR="0022437B">
              <w:rPr>
                <w:b w:val="0"/>
                <w:i/>
                <w:sz w:val="16"/>
              </w:rPr>
              <w:t>.</w:t>
            </w:r>
          </w:p>
        </w:tc>
        <w:tc>
          <w:tcPr>
            <w:tcW w:w="1701" w:type="dxa"/>
            <w:shd w:val="clear" w:color="auto" w:fill="F2F2F2" w:themeFill="background1" w:themeFillShade="F2"/>
          </w:tcPr>
          <w:p w14:paraId="0A76C6BF" w14:textId="4C10B023" w:rsidR="00867FF8" w:rsidRPr="008C390A" w:rsidRDefault="002E5863" w:rsidP="00061380">
            <w:pPr>
              <w:spacing w:before="0" w:after="0"/>
              <w:cnfStyle w:val="100000000000" w:firstRow="1" w:lastRow="0" w:firstColumn="0" w:lastColumn="0" w:oddVBand="0" w:evenVBand="0" w:oddHBand="0" w:evenHBand="0" w:firstRowFirstColumn="0" w:firstRowLastColumn="0" w:lastRowFirstColumn="0" w:lastRowLastColumn="0"/>
              <w:rPr>
                <w:sz w:val="18"/>
              </w:rPr>
            </w:pPr>
            <w:r w:rsidRPr="008C390A">
              <w:rPr>
                <w:sz w:val="18"/>
              </w:rPr>
              <w:t>I</w:t>
            </w:r>
            <w:r w:rsidR="00647282">
              <w:rPr>
                <w:sz w:val="18"/>
              </w:rPr>
              <w:t>s</w:t>
            </w:r>
            <w:r w:rsidRPr="008C390A">
              <w:rPr>
                <w:sz w:val="18"/>
              </w:rPr>
              <w:t xml:space="preserve"> i</w:t>
            </w:r>
            <w:r w:rsidR="00647282">
              <w:rPr>
                <w:sz w:val="18"/>
              </w:rPr>
              <w:t>t</w:t>
            </w:r>
            <w:r w:rsidRPr="008C390A">
              <w:rPr>
                <w:sz w:val="18"/>
              </w:rPr>
              <w:t xml:space="preserve"> </w:t>
            </w:r>
            <w:r w:rsidR="002F0BD1">
              <w:rPr>
                <w:sz w:val="18"/>
              </w:rPr>
              <w:t xml:space="preserve">generally </w:t>
            </w:r>
            <w:r w:rsidRPr="008C390A">
              <w:rPr>
                <w:sz w:val="18"/>
              </w:rPr>
              <w:t xml:space="preserve">unlawful </w:t>
            </w:r>
            <w:r w:rsidR="00A62548">
              <w:rPr>
                <w:sz w:val="18"/>
              </w:rPr>
              <w:t>f</w:t>
            </w:r>
            <w:r w:rsidRPr="008C390A">
              <w:rPr>
                <w:sz w:val="18"/>
              </w:rPr>
              <w:t>or a person to discriminate on the basis of sexual orientation in providing goods or services?</w:t>
            </w:r>
          </w:p>
          <w:p w14:paraId="09B34EE1" w14:textId="77777777" w:rsidR="00D8269A" w:rsidRPr="008C390A" w:rsidRDefault="00D8269A" w:rsidP="00061380">
            <w:pPr>
              <w:spacing w:before="0" w:after="0"/>
              <w:cnfStyle w:val="100000000000" w:firstRow="1" w:lastRow="0" w:firstColumn="0" w:lastColumn="0" w:oddVBand="0" w:evenVBand="0" w:oddHBand="0" w:evenHBand="0" w:firstRowFirstColumn="0" w:firstRowLastColumn="0" w:lastRowFirstColumn="0" w:lastRowLastColumn="0"/>
              <w:rPr>
                <w:sz w:val="16"/>
              </w:rPr>
            </w:pPr>
          </w:p>
          <w:p w14:paraId="3EE5B7C6" w14:textId="77777777" w:rsidR="00D8269A" w:rsidRPr="008C390A" w:rsidRDefault="00D8269A" w:rsidP="00D8269A">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s22 of the Sex Discrimination Act 1984 (</w:t>
            </w:r>
            <w:proofErr w:type="spellStart"/>
            <w:r w:rsidRPr="008C390A">
              <w:rPr>
                <w:b w:val="0"/>
                <w:i/>
                <w:sz w:val="16"/>
              </w:rPr>
              <w:t>Cth</w:t>
            </w:r>
            <w:proofErr w:type="spellEnd"/>
            <w:r w:rsidRPr="008C390A">
              <w:rPr>
                <w:b w:val="0"/>
                <w:i/>
                <w:sz w:val="16"/>
              </w:rPr>
              <w:t>)</w:t>
            </w:r>
            <w:r w:rsidR="0022437B">
              <w:rPr>
                <w:b w:val="0"/>
                <w:i/>
                <w:sz w:val="16"/>
              </w:rPr>
              <w:t>.</w:t>
            </w:r>
          </w:p>
        </w:tc>
        <w:tc>
          <w:tcPr>
            <w:tcW w:w="1843" w:type="dxa"/>
            <w:shd w:val="clear" w:color="auto" w:fill="F2F2F2" w:themeFill="background1" w:themeFillShade="F2"/>
          </w:tcPr>
          <w:p w14:paraId="0DC7FCF3" w14:textId="16F938A3" w:rsidR="00867FF8" w:rsidRPr="008C390A" w:rsidRDefault="0081588C" w:rsidP="002E5863">
            <w:pPr>
              <w:spacing w:before="0" w:after="0"/>
              <w:cnfStyle w:val="100000000000" w:firstRow="1" w:lastRow="0" w:firstColumn="0" w:lastColumn="0" w:oddVBand="0" w:evenVBand="0" w:oddHBand="0" w:evenHBand="0" w:firstRowFirstColumn="0" w:firstRowLastColumn="0" w:lastRowFirstColumn="0" w:lastRowLastColumn="0"/>
              <w:rPr>
                <w:sz w:val="18"/>
              </w:rPr>
            </w:pPr>
            <w:r w:rsidRPr="0081588C">
              <w:rPr>
                <w:sz w:val="18"/>
              </w:rPr>
              <w:t>Are there specific marriage</w:t>
            </w:r>
            <w:r>
              <w:rPr>
                <w:sz w:val="18"/>
              </w:rPr>
              <w:t xml:space="preserve"> law </w:t>
            </w:r>
            <w:r w:rsidRPr="0081588C">
              <w:rPr>
                <w:sz w:val="18"/>
              </w:rPr>
              <w:t xml:space="preserve">related exceptions </w:t>
            </w:r>
            <w:r>
              <w:rPr>
                <w:sz w:val="18"/>
              </w:rPr>
              <w:t xml:space="preserve">within the </w:t>
            </w:r>
            <w:r w:rsidRPr="0081588C">
              <w:rPr>
                <w:sz w:val="18"/>
              </w:rPr>
              <w:t>anti-discrimination law</w:t>
            </w:r>
            <w:r>
              <w:rPr>
                <w:sz w:val="18"/>
              </w:rPr>
              <w:t xml:space="preserve">? </w:t>
            </w:r>
          </w:p>
          <w:p w14:paraId="4C3FBDD5" w14:textId="77777777" w:rsidR="00D8269A" w:rsidRPr="008C390A" w:rsidRDefault="00D8269A" w:rsidP="002E5863">
            <w:pPr>
              <w:spacing w:before="0" w:after="0"/>
              <w:cnfStyle w:val="100000000000" w:firstRow="1" w:lastRow="0" w:firstColumn="0" w:lastColumn="0" w:oddVBand="0" w:evenVBand="0" w:oddHBand="0" w:evenHBand="0" w:firstRowFirstColumn="0" w:firstRowLastColumn="0" w:lastRowFirstColumn="0" w:lastRowLastColumn="0"/>
              <w:rPr>
                <w:sz w:val="16"/>
              </w:rPr>
            </w:pPr>
          </w:p>
          <w:p w14:paraId="44628020" w14:textId="77777777" w:rsidR="00D8269A" w:rsidRPr="008C390A" w:rsidRDefault="00D8269A" w:rsidP="00D8269A">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s40(2A) of the Sex Discrimination Act 1984 (</w:t>
            </w:r>
            <w:proofErr w:type="spellStart"/>
            <w:r w:rsidRPr="008C390A">
              <w:rPr>
                <w:b w:val="0"/>
                <w:i/>
                <w:sz w:val="16"/>
              </w:rPr>
              <w:t>Cth</w:t>
            </w:r>
            <w:proofErr w:type="spellEnd"/>
            <w:r w:rsidRPr="008C390A">
              <w:rPr>
                <w:b w:val="0"/>
                <w:i/>
                <w:sz w:val="16"/>
              </w:rPr>
              <w:t>)</w:t>
            </w:r>
            <w:r w:rsidR="0022437B">
              <w:rPr>
                <w:b w:val="0"/>
                <w:i/>
                <w:sz w:val="16"/>
              </w:rPr>
              <w:t>.</w:t>
            </w:r>
          </w:p>
        </w:tc>
        <w:tc>
          <w:tcPr>
            <w:tcW w:w="1701" w:type="dxa"/>
            <w:shd w:val="clear" w:color="auto" w:fill="F2F2F2" w:themeFill="background1" w:themeFillShade="F2"/>
          </w:tcPr>
          <w:p w14:paraId="11DA2D1C" w14:textId="1886ADF1" w:rsidR="00867FF8" w:rsidRPr="008C390A" w:rsidRDefault="002E5863" w:rsidP="002E5863">
            <w:pPr>
              <w:spacing w:before="0" w:after="0"/>
              <w:cnfStyle w:val="100000000000" w:firstRow="1" w:lastRow="0" w:firstColumn="0" w:lastColumn="0" w:oddVBand="0" w:evenVBand="0" w:oddHBand="0" w:evenHBand="0" w:firstRowFirstColumn="0" w:firstRowLastColumn="0" w:lastRowFirstColumn="0" w:lastRowLastColumn="0"/>
              <w:rPr>
                <w:sz w:val="18"/>
              </w:rPr>
            </w:pPr>
            <w:r w:rsidRPr="008C390A">
              <w:rPr>
                <w:sz w:val="18"/>
              </w:rPr>
              <w:t xml:space="preserve">Is there a broad exception </w:t>
            </w:r>
            <w:r w:rsidR="0032121A">
              <w:rPr>
                <w:sz w:val="18"/>
              </w:rPr>
              <w:t>allowing</w:t>
            </w:r>
            <w:r w:rsidRPr="008C390A">
              <w:rPr>
                <w:sz w:val="18"/>
              </w:rPr>
              <w:t xml:space="preserve"> religious bodies to discriminate on the basis of sexual orientation?</w:t>
            </w:r>
          </w:p>
          <w:p w14:paraId="7A014AB5" w14:textId="77777777" w:rsidR="00D8269A" w:rsidRPr="008C390A" w:rsidRDefault="00D8269A" w:rsidP="002E5863">
            <w:pPr>
              <w:spacing w:before="0" w:after="0"/>
              <w:cnfStyle w:val="100000000000" w:firstRow="1" w:lastRow="0" w:firstColumn="0" w:lastColumn="0" w:oddVBand="0" w:evenVBand="0" w:oddHBand="0" w:evenHBand="0" w:firstRowFirstColumn="0" w:firstRowLastColumn="0" w:lastRowFirstColumn="0" w:lastRowLastColumn="0"/>
              <w:rPr>
                <w:sz w:val="16"/>
              </w:rPr>
            </w:pPr>
          </w:p>
          <w:p w14:paraId="1E9C0328" w14:textId="77777777" w:rsidR="00D8269A" w:rsidRPr="008C390A" w:rsidRDefault="00D8269A" w:rsidP="00D8269A">
            <w:pPr>
              <w:spacing w:before="0" w:after="0"/>
              <w:cnfStyle w:val="100000000000" w:firstRow="1" w:lastRow="0" w:firstColumn="0" w:lastColumn="0" w:oddVBand="0" w:evenVBand="0" w:oddHBand="0" w:evenHBand="0" w:firstRowFirstColumn="0" w:firstRowLastColumn="0" w:lastRowFirstColumn="0" w:lastRowLastColumn="0"/>
              <w:rPr>
                <w:sz w:val="16"/>
              </w:rPr>
            </w:pPr>
            <w:r w:rsidRPr="008C390A">
              <w:rPr>
                <w:b w:val="0"/>
                <w:i/>
                <w:sz w:val="16"/>
              </w:rPr>
              <w:t>Equivalent to s37(1)(d) of the Sex Discrimination Act 1984 (</w:t>
            </w:r>
            <w:proofErr w:type="spellStart"/>
            <w:r w:rsidRPr="008C390A">
              <w:rPr>
                <w:b w:val="0"/>
                <w:i/>
                <w:sz w:val="16"/>
              </w:rPr>
              <w:t>Cth</w:t>
            </w:r>
            <w:proofErr w:type="spellEnd"/>
            <w:r w:rsidRPr="008C390A">
              <w:rPr>
                <w:b w:val="0"/>
                <w:i/>
                <w:sz w:val="16"/>
              </w:rPr>
              <w:t>)</w:t>
            </w:r>
            <w:r w:rsidR="0022437B">
              <w:rPr>
                <w:b w:val="0"/>
                <w:i/>
                <w:sz w:val="16"/>
              </w:rPr>
              <w:t>.</w:t>
            </w:r>
          </w:p>
        </w:tc>
      </w:tr>
      <w:tr w:rsidR="002F0BD1" w:rsidRPr="00867FF8" w14:paraId="4CEC6826" w14:textId="77777777" w:rsidTr="00D92939">
        <w:tc>
          <w:tcPr>
            <w:tcW w:w="1318" w:type="dxa"/>
          </w:tcPr>
          <w:p w14:paraId="2EF8755C" w14:textId="77777777" w:rsidR="00AF0220" w:rsidRDefault="00AF0220" w:rsidP="00061380">
            <w:pPr>
              <w:spacing w:before="0" w:after="0"/>
              <w:cnfStyle w:val="001000000000" w:firstRow="0" w:lastRow="0" w:firstColumn="1" w:lastColumn="0" w:oddVBand="0" w:evenVBand="0" w:oddHBand="0" w:evenHBand="0" w:firstRowFirstColumn="0" w:firstRowLastColumn="0" w:lastRowFirstColumn="0" w:lastRowLastColumn="0"/>
              <w:rPr>
                <w:sz w:val="18"/>
              </w:rPr>
            </w:pPr>
            <w:r>
              <w:rPr>
                <w:sz w:val="18"/>
              </w:rPr>
              <w:t xml:space="preserve">Australia </w:t>
            </w:r>
          </w:p>
          <w:p w14:paraId="0CBB1A86" w14:textId="77777777" w:rsidR="00AF0220" w:rsidRDefault="00AF0220" w:rsidP="00061380">
            <w:pPr>
              <w:spacing w:before="0" w:after="0"/>
              <w:cnfStyle w:val="001000000000" w:firstRow="0" w:lastRow="0" w:firstColumn="1" w:lastColumn="0" w:oddVBand="0" w:evenVBand="0" w:oddHBand="0" w:evenHBand="0" w:firstRowFirstColumn="0" w:firstRowLastColumn="0" w:lastRowFirstColumn="0" w:lastRowLastColumn="0"/>
              <w:rPr>
                <w:sz w:val="18"/>
              </w:rPr>
            </w:pPr>
          </w:p>
          <w:p w14:paraId="00F540D4" w14:textId="61DA9451" w:rsidR="00AF0220" w:rsidRPr="00AF0220" w:rsidRDefault="00AF0220" w:rsidP="00D0768E">
            <w:pPr>
              <w:spacing w:before="0" w:after="0"/>
              <w:cnfStyle w:val="001000000000" w:firstRow="0" w:lastRow="0" w:firstColumn="1" w:lastColumn="0" w:oddVBand="0" w:evenVBand="0" w:oddHBand="0" w:evenHBand="0" w:firstRowFirstColumn="0" w:firstRowLastColumn="0" w:lastRowFirstColumn="0" w:lastRowLastColumn="0"/>
              <w:rPr>
                <w:b w:val="0"/>
                <w:i/>
                <w:sz w:val="18"/>
              </w:rPr>
            </w:pPr>
            <w:r w:rsidRPr="00AF0220">
              <w:rPr>
                <w:b w:val="0"/>
                <w:i/>
                <w:sz w:val="18"/>
              </w:rPr>
              <w:t>(</w:t>
            </w:r>
            <w:r w:rsidR="00D0768E">
              <w:rPr>
                <w:b w:val="0"/>
                <w:i/>
                <w:sz w:val="18"/>
              </w:rPr>
              <w:t>current law</w:t>
            </w:r>
            <w:r w:rsidRPr="00AF0220">
              <w:rPr>
                <w:b w:val="0"/>
                <w:i/>
                <w:sz w:val="18"/>
              </w:rPr>
              <w:t>)</w:t>
            </w:r>
          </w:p>
        </w:tc>
        <w:tc>
          <w:tcPr>
            <w:tcW w:w="1512" w:type="dxa"/>
          </w:tcPr>
          <w:p w14:paraId="5BC4B6B1" w14:textId="77777777" w:rsidR="00AF0220" w:rsidRPr="00AF0220" w:rsidRDefault="00AF0220" w:rsidP="00061380">
            <w:pPr>
              <w:spacing w:before="0" w:after="0"/>
              <w:rPr>
                <w:sz w:val="18"/>
              </w:rPr>
            </w:pPr>
            <w:r>
              <w:rPr>
                <w:sz w:val="18"/>
              </w:rPr>
              <w:t>N/A</w:t>
            </w:r>
            <w:r w:rsidR="0070499A">
              <w:rPr>
                <w:rStyle w:val="EndnoteReference"/>
              </w:rPr>
              <w:endnoteReference w:id="1"/>
            </w:r>
          </w:p>
        </w:tc>
        <w:tc>
          <w:tcPr>
            <w:tcW w:w="1701" w:type="dxa"/>
          </w:tcPr>
          <w:p w14:paraId="24A18E8D" w14:textId="77777777" w:rsidR="00AF0220" w:rsidRPr="00AF0220" w:rsidRDefault="00AF0220" w:rsidP="00061380">
            <w:pPr>
              <w:spacing w:before="0" w:after="0"/>
              <w:rPr>
                <w:sz w:val="18"/>
              </w:rPr>
            </w:pPr>
            <w:r>
              <w:rPr>
                <w:sz w:val="18"/>
              </w:rPr>
              <w:t>N/A</w:t>
            </w:r>
            <w:r w:rsidR="00C2198A">
              <w:rPr>
                <w:rStyle w:val="EndnoteReference"/>
              </w:rPr>
              <w:endnoteReference w:id="2"/>
            </w:r>
          </w:p>
        </w:tc>
        <w:tc>
          <w:tcPr>
            <w:tcW w:w="1985" w:type="dxa"/>
          </w:tcPr>
          <w:p w14:paraId="64E68BE4" w14:textId="77777777" w:rsidR="00AF0220" w:rsidRPr="00AF0220" w:rsidRDefault="001E1EFB" w:rsidP="00061380">
            <w:pPr>
              <w:spacing w:before="0" w:after="0"/>
              <w:rPr>
                <w:sz w:val="18"/>
              </w:rPr>
            </w:pPr>
            <w:r>
              <w:rPr>
                <w:sz w:val="18"/>
              </w:rPr>
              <w:t>N/A</w:t>
            </w:r>
            <w:r w:rsidR="00C2198A">
              <w:rPr>
                <w:rStyle w:val="EndnoteReference"/>
              </w:rPr>
              <w:endnoteReference w:id="3"/>
            </w:r>
          </w:p>
        </w:tc>
        <w:tc>
          <w:tcPr>
            <w:tcW w:w="1559" w:type="dxa"/>
          </w:tcPr>
          <w:p w14:paraId="7B918D68" w14:textId="4A0A6689" w:rsidR="00AF0220" w:rsidRPr="00AF0220" w:rsidRDefault="00BB3484" w:rsidP="00061380">
            <w:pPr>
              <w:spacing w:before="0" w:after="0"/>
              <w:rPr>
                <w:sz w:val="18"/>
              </w:rPr>
            </w:pPr>
            <w:r w:rsidRPr="00BB3484">
              <w:rPr>
                <w:sz w:val="18"/>
              </w:rPr>
              <w:t>Rarely re</w:t>
            </w:r>
            <w:r w:rsidR="0045569A">
              <w:rPr>
                <w:sz w:val="18"/>
              </w:rPr>
              <w:t>:</w:t>
            </w:r>
            <w:r w:rsidRPr="00BB3484">
              <w:rPr>
                <w:sz w:val="18"/>
              </w:rPr>
              <w:t xml:space="preserve"> religious belief; no re conscience</w:t>
            </w:r>
            <w:r w:rsidR="00C2198A">
              <w:rPr>
                <w:rStyle w:val="EndnoteReference"/>
              </w:rPr>
              <w:endnoteReference w:id="4"/>
            </w:r>
          </w:p>
        </w:tc>
        <w:tc>
          <w:tcPr>
            <w:tcW w:w="1559" w:type="dxa"/>
          </w:tcPr>
          <w:p w14:paraId="19EAB7FC" w14:textId="77777777" w:rsidR="00AF0220" w:rsidRPr="00AF0220" w:rsidRDefault="001E1EFB" w:rsidP="00061380">
            <w:pPr>
              <w:spacing w:before="0" w:after="0"/>
              <w:rPr>
                <w:sz w:val="18"/>
              </w:rPr>
            </w:pPr>
            <w:r>
              <w:rPr>
                <w:sz w:val="18"/>
              </w:rPr>
              <w:t>Yes</w:t>
            </w:r>
            <w:r w:rsidR="00D62047">
              <w:rPr>
                <w:rStyle w:val="EndnoteReference"/>
              </w:rPr>
              <w:endnoteReference w:id="5"/>
            </w:r>
          </w:p>
        </w:tc>
        <w:tc>
          <w:tcPr>
            <w:tcW w:w="1701" w:type="dxa"/>
          </w:tcPr>
          <w:p w14:paraId="5CA0F2EC" w14:textId="77777777" w:rsidR="00AF0220" w:rsidRPr="00AF0220" w:rsidRDefault="001E1EFB" w:rsidP="00061380">
            <w:pPr>
              <w:spacing w:before="0" w:after="0"/>
              <w:rPr>
                <w:sz w:val="18"/>
              </w:rPr>
            </w:pPr>
            <w:r>
              <w:rPr>
                <w:sz w:val="18"/>
              </w:rPr>
              <w:t>Yes</w:t>
            </w:r>
            <w:r w:rsidR="00D62047">
              <w:rPr>
                <w:rStyle w:val="EndnoteReference"/>
              </w:rPr>
              <w:endnoteReference w:id="6"/>
            </w:r>
          </w:p>
        </w:tc>
        <w:tc>
          <w:tcPr>
            <w:tcW w:w="1843" w:type="dxa"/>
          </w:tcPr>
          <w:p w14:paraId="2594204D" w14:textId="77777777" w:rsidR="00AF0220" w:rsidRPr="00AF0220" w:rsidRDefault="001E1EFB" w:rsidP="00061380">
            <w:pPr>
              <w:spacing w:before="0" w:after="0"/>
              <w:rPr>
                <w:sz w:val="18"/>
              </w:rPr>
            </w:pPr>
            <w:r>
              <w:rPr>
                <w:sz w:val="18"/>
              </w:rPr>
              <w:t>Yes</w:t>
            </w:r>
            <w:r w:rsidR="00D62047">
              <w:rPr>
                <w:rStyle w:val="EndnoteReference"/>
              </w:rPr>
              <w:endnoteReference w:id="7"/>
            </w:r>
          </w:p>
        </w:tc>
        <w:tc>
          <w:tcPr>
            <w:tcW w:w="1701" w:type="dxa"/>
          </w:tcPr>
          <w:p w14:paraId="3EA7F846" w14:textId="77777777" w:rsidR="00AF0220" w:rsidRPr="00AF0220" w:rsidRDefault="00D62047" w:rsidP="00061380">
            <w:pPr>
              <w:spacing w:before="0" w:after="0"/>
              <w:rPr>
                <w:sz w:val="18"/>
              </w:rPr>
            </w:pPr>
            <w:r>
              <w:rPr>
                <w:sz w:val="18"/>
              </w:rPr>
              <w:t>Yes</w:t>
            </w:r>
            <w:r>
              <w:rPr>
                <w:rStyle w:val="EndnoteReference"/>
              </w:rPr>
              <w:endnoteReference w:id="8"/>
            </w:r>
          </w:p>
        </w:tc>
      </w:tr>
      <w:tr w:rsidR="00D0768E" w:rsidRPr="00867FF8" w14:paraId="187F65B7" w14:textId="77777777" w:rsidTr="00B803F5">
        <w:trPr>
          <w:trHeight w:val="1492"/>
        </w:trPr>
        <w:tc>
          <w:tcPr>
            <w:tcW w:w="1318" w:type="dxa"/>
          </w:tcPr>
          <w:p w14:paraId="24646807" w14:textId="77777777" w:rsidR="00AF0220" w:rsidRDefault="00AF0220" w:rsidP="00061380">
            <w:pPr>
              <w:spacing w:before="0" w:after="0"/>
              <w:cnfStyle w:val="001000000000" w:firstRow="0" w:lastRow="0" w:firstColumn="1" w:lastColumn="0" w:oddVBand="0" w:evenVBand="0" w:oddHBand="0" w:evenHBand="0" w:firstRowFirstColumn="0" w:firstRowLastColumn="0" w:lastRowFirstColumn="0" w:lastRowLastColumn="0"/>
              <w:rPr>
                <w:sz w:val="18"/>
              </w:rPr>
            </w:pPr>
            <w:r>
              <w:rPr>
                <w:sz w:val="18"/>
              </w:rPr>
              <w:t xml:space="preserve">Australia </w:t>
            </w:r>
          </w:p>
          <w:p w14:paraId="3AF78F70" w14:textId="77777777" w:rsidR="00AF0220" w:rsidRDefault="00AF0220" w:rsidP="00061380">
            <w:pPr>
              <w:spacing w:before="0" w:after="0"/>
              <w:cnfStyle w:val="001000000000" w:firstRow="0" w:lastRow="0" w:firstColumn="1" w:lastColumn="0" w:oddVBand="0" w:evenVBand="0" w:oddHBand="0" w:evenHBand="0" w:firstRowFirstColumn="0" w:firstRowLastColumn="0" w:lastRowFirstColumn="0" w:lastRowLastColumn="0"/>
              <w:rPr>
                <w:sz w:val="18"/>
              </w:rPr>
            </w:pPr>
          </w:p>
          <w:p w14:paraId="46468CAF" w14:textId="77B5AE18" w:rsidR="00AF0220" w:rsidRPr="00AF0220" w:rsidRDefault="00AF0220" w:rsidP="00D0768E">
            <w:pPr>
              <w:spacing w:before="0" w:after="0"/>
              <w:cnfStyle w:val="001000000000" w:firstRow="0" w:lastRow="0" w:firstColumn="1" w:lastColumn="0" w:oddVBand="0" w:evenVBand="0" w:oddHBand="0" w:evenHBand="0" w:firstRowFirstColumn="0" w:firstRowLastColumn="0" w:lastRowFirstColumn="0" w:lastRowLastColumn="0"/>
              <w:rPr>
                <w:b w:val="0"/>
                <w:i/>
                <w:sz w:val="18"/>
              </w:rPr>
            </w:pPr>
            <w:r w:rsidRPr="00AF0220">
              <w:rPr>
                <w:b w:val="0"/>
                <w:i/>
                <w:sz w:val="18"/>
              </w:rPr>
              <w:t xml:space="preserve">(incorporating </w:t>
            </w:r>
            <w:r w:rsidR="00D0768E" w:rsidRPr="00AF0220">
              <w:rPr>
                <w:b w:val="0"/>
                <w:i/>
                <w:sz w:val="18"/>
              </w:rPr>
              <w:t>Exposure Draft</w:t>
            </w:r>
            <w:r w:rsidR="00D0768E" w:rsidRPr="00AF0220" w:rsidDel="00D0768E">
              <w:rPr>
                <w:b w:val="0"/>
                <w:i/>
                <w:sz w:val="18"/>
              </w:rPr>
              <w:t xml:space="preserve"> </w:t>
            </w:r>
            <w:r w:rsidR="00D0768E">
              <w:rPr>
                <w:b w:val="0"/>
                <w:i/>
                <w:sz w:val="18"/>
              </w:rPr>
              <w:t>amendments</w:t>
            </w:r>
            <w:r w:rsidRPr="00AF0220">
              <w:rPr>
                <w:b w:val="0"/>
                <w:i/>
                <w:sz w:val="18"/>
              </w:rPr>
              <w:t>)</w:t>
            </w:r>
          </w:p>
        </w:tc>
        <w:tc>
          <w:tcPr>
            <w:tcW w:w="1512" w:type="dxa"/>
          </w:tcPr>
          <w:p w14:paraId="1B8FFCFA" w14:textId="77777777" w:rsidR="00AF0220" w:rsidRPr="00AF0220" w:rsidRDefault="001E1EFB" w:rsidP="00061380">
            <w:pPr>
              <w:spacing w:before="0" w:after="0"/>
              <w:rPr>
                <w:sz w:val="18"/>
              </w:rPr>
            </w:pPr>
            <w:r>
              <w:rPr>
                <w:sz w:val="18"/>
              </w:rPr>
              <w:t>Yes</w:t>
            </w:r>
            <w:r w:rsidR="0070499A">
              <w:rPr>
                <w:rStyle w:val="EndnoteReference"/>
              </w:rPr>
              <w:endnoteReference w:id="9"/>
            </w:r>
          </w:p>
        </w:tc>
        <w:tc>
          <w:tcPr>
            <w:tcW w:w="1701" w:type="dxa"/>
          </w:tcPr>
          <w:p w14:paraId="7DE8CFC5" w14:textId="77777777" w:rsidR="00AF0220" w:rsidRPr="00AF0220" w:rsidRDefault="001E1EFB" w:rsidP="00061380">
            <w:pPr>
              <w:spacing w:before="0" w:after="0"/>
              <w:rPr>
                <w:sz w:val="18"/>
              </w:rPr>
            </w:pPr>
            <w:r>
              <w:rPr>
                <w:sz w:val="18"/>
              </w:rPr>
              <w:t>Yes</w:t>
            </w:r>
            <w:r w:rsidR="0070499A">
              <w:rPr>
                <w:rStyle w:val="EndnoteReference"/>
              </w:rPr>
              <w:endnoteReference w:id="10"/>
            </w:r>
          </w:p>
        </w:tc>
        <w:tc>
          <w:tcPr>
            <w:tcW w:w="1985" w:type="dxa"/>
          </w:tcPr>
          <w:p w14:paraId="6777A74F" w14:textId="77777777" w:rsidR="00AF0220" w:rsidRPr="00AF0220" w:rsidRDefault="001E1EFB" w:rsidP="00061380">
            <w:pPr>
              <w:spacing w:before="0" w:after="0"/>
              <w:rPr>
                <w:sz w:val="18"/>
              </w:rPr>
            </w:pPr>
            <w:r>
              <w:rPr>
                <w:sz w:val="18"/>
              </w:rPr>
              <w:t>Yes</w:t>
            </w:r>
            <w:r w:rsidR="00522D1C">
              <w:rPr>
                <w:rStyle w:val="EndnoteReference"/>
              </w:rPr>
              <w:endnoteReference w:id="11"/>
            </w:r>
          </w:p>
        </w:tc>
        <w:tc>
          <w:tcPr>
            <w:tcW w:w="1559" w:type="dxa"/>
          </w:tcPr>
          <w:p w14:paraId="745A6D85" w14:textId="2EBE67E9" w:rsidR="00AF0220" w:rsidRPr="00AF0220" w:rsidRDefault="00BB3484" w:rsidP="00061380">
            <w:pPr>
              <w:spacing w:before="0" w:after="0"/>
              <w:rPr>
                <w:sz w:val="18"/>
              </w:rPr>
            </w:pPr>
            <w:r>
              <w:rPr>
                <w:sz w:val="18"/>
              </w:rPr>
              <w:t>Rarely re</w:t>
            </w:r>
            <w:r w:rsidR="0045569A">
              <w:rPr>
                <w:sz w:val="18"/>
              </w:rPr>
              <w:t>:</w:t>
            </w:r>
            <w:r>
              <w:rPr>
                <w:sz w:val="18"/>
              </w:rPr>
              <w:t xml:space="preserve"> religious belief; N</w:t>
            </w:r>
            <w:r w:rsidRPr="00BB3484">
              <w:rPr>
                <w:sz w:val="18"/>
              </w:rPr>
              <w:t>o re</w:t>
            </w:r>
            <w:r>
              <w:rPr>
                <w:sz w:val="18"/>
              </w:rPr>
              <w:t>:</w:t>
            </w:r>
            <w:r w:rsidRPr="00BB3484">
              <w:rPr>
                <w:sz w:val="18"/>
              </w:rPr>
              <w:t xml:space="preserve"> conscience</w:t>
            </w:r>
            <w:r w:rsidR="0076579E">
              <w:rPr>
                <w:rStyle w:val="EndnoteReference"/>
              </w:rPr>
              <w:endnoteReference w:id="12"/>
            </w:r>
          </w:p>
        </w:tc>
        <w:tc>
          <w:tcPr>
            <w:tcW w:w="1559" w:type="dxa"/>
          </w:tcPr>
          <w:p w14:paraId="4C286FC4" w14:textId="77777777" w:rsidR="00AF0220" w:rsidRPr="00AF0220" w:rsidRDefault="001E1EFB" w:rsidP="00061380">
            <w:pPr>
              <w:spacing w:before="0" w:after="0"/>
              <w:rPr>
                <w:sz w:val="18"/>
              </w:rPr>
            </w:pPr>
            <w:r>
              <w:rPr>
                <w:sz w:val="18"/>
              </w:rPr>
              <w:t>Yes</w:t>
            </w:r>
            <w:r w:rsidR="00AA1788">
              <w:rPr>
                <w:rStyle w:val="EndnoteReference"/>
              </w:rPr>
              <w:endnoteReference w:id="13"/>
            </w:r>
          </w:p>
        </w:tc>
        <w:tc>
          <w:tcPr>
            <w:tcW w:w="1701" w:type="dxa"/>
          </w:tcPr>
          <w:p w14:paraId="46549422" w14:textId="77777777" w:rsidR="00AF0220" w:rsidRPr="00AF0220" w:rsidRDefault="001E1EFB" w:rsidP="00061380">
            <w:pPr>
              <w:spacing w:before="0" w:after="0"/>
              <w:rPr>
                <w:sz w:val="18"/>
              </w:rPr>
            </w:pPr>
            <w:r>
              <w:rPr>
                <w:sz w:val="18"/>
              </w:rPr>
              <w:t>Yes</w:t>
            </w:r>
            <w:r w:rsidR="00FE57A5">
              <w:rPr>
                <w:rStyle w:val="EndnoteReference"/>
              </w:rPr>
              <w:endnoteReference w:id="14"/>
            </w:r>
          </w:p>
        </w:tc>
        <w:tc>
          <w:tcPr>
            <w:tcW w:w="1843" w:type="dxa"/>
          </w:tcPr>
          <w:p w14:paraId="35C3C5B4" w14:textId="77777777" w:rsidR="00AF0220" w:rsidRPr="00AF0220" w:rsidRDefault="001E1EFB" w:rsidP="00061380">
            <w:pPr>
              <w:spacing w:before="0" w:after="0"/>
              <w:rPr>
                <w:sz w:val="18"/>
              </w:rPr>
            </w:pPr>
            <w:r>
              <w:rPr>
                <w:sz w:val="18"/>
              </w:rPr>
              <w:t>Yes</w:t>
            </w:r>
            <w:r w:rsidR="00E646B8">
              <w:rPr>
                <w:rStyle w:val="EndnoteReference"/>
              </w:rPr>
              <w:endnoteReference w:id="15"/>
            </w:r>
          </w:p>
        </w:tc>
        <w:tc>
          <w:tcPr>
            <w:tcW w:w="1701" w:type="dxa"/>
          </w:tcPr>
          <w:p w14:paraId="32844CB4" w14:textId="77777777" w:rsidR="00AF0220" w:rsidRPr="00AF0220" w:rsidRDefault="00E646B8" w:rsidP="00061380">
            <w:pPr>
              <w:spacing w:before="0" w:after="0"/>
              <w:rPr>
                <w:sz w:val="18"/>
              </w:rPr>
            </w:pPr>
            <w:r>
              <w:rPr>
                <w:sz w:val="18"/>
              </w:rPr>
              <w:t>Yes</w:t>
            </w:r>
            <w:r>
              <w:rPr>
                <w:rStyle w:val="EndnoteReference"/>
              </w:rPr>
              <w:endnoteReference w:id="16"/>
            </w:r>
          </w:p>
        </w:tc>
      </w:tr>
      <w:tr w:rsidR="002F0BD1" w:rsidRPr="00867FF8" w14:paraId="11A7CA85"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6A6DEC87" w14:textId="77777777" w:rsidR="001E1EFB" w:rsidRDefault="001E1EFB" w:rsidP="00061380">
            <w:pPr>
              <w:spacing w:before="0" w:after="0"/>
              <w:rPr>
                <w:sz w:val="18"/>
              </w:rPr>
            </w:pPr>
            <w:r>
              <w:rPr>
                <w:sz w:val="18"/>
              </w:rPr>
              <w:t>Australia</w:t>
            </w:r>
          </w:p>
          <w:p w14:paraId="1617E916" w14:textId="77777777" w:rsidR="001E1EFB" w:rsidRDefault="001E1EFB" w:rsidP="00061380">
            <w:pPr>
              <w:spacing w:before="0" w:after="0"/>
              <w:rPr>
                <w:sz w:val="18"/>
              </w:rPr>
            </w:pPr>
          </w:p>
          <w:p w14:paraId="2E55B601" w14:textId="77777777" w:rsidR="001E1EFB" w:rsidRPr="001E1EFB" w:rsidRDefault="001E1EFB" w:rsidP="00197A8A">
            <w:pPr>
              <w:spacing w:before="0" w:after="0"/>
              <w:rPr>
                <w:b w:val="0"/>
                <w:i/>
                <w:sz w:val="18"/>
              </w:rPr>
            </w:pPr>
            <w:r w:rsidRPr="001E1EFB">
              <w:rPr>
                <w:b w:val="0"/>
                <w:i/>
                <w:sz w:val="18"/>
              </w:rPr>
              <w:t xml:space="preserve">(Australian Human Rights Commission proposed </w:t>
            </w:r>
            <w:r w:rsidR="00197A8A">
              <w:rPr>
                <w:b w:val="0"/>
                <w:i/>
                <w:sz w:val="18"/>
              </w:rPr>
              <w:t>amendments</w:t>
            </w:r>
            <w:r w:rsidRPr="001E1EFB">
              <w:rPr>
                <w:b w:val="0"/>
                <w:i/>
                <w:sz w:val="18"/>
              </w:rPr>
              <w:t>)</w:t>
            </w:r>
          </w:p>
        </w:tc>
        <w:tc>
          <w:tcPr>
            <w:tcW w:w="1512" w:type="dxa"/>
          </w:tcPr>
          <w:p w14:paraId="29340301" w14:textId="77777777" w:rsidR="001E1EFB" w:rsidRDefault="00AE4B5D"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8B1C2D">
              <w:rPr>
                <w:sz w:val="18"/>
              </w:rPr>
              <w:t>Yes</w:t>
            </w:r>
            <w:r w:rsidR="00A266EA" w:rsidRPr="008B1C2D">
              <w:rPr>
                <w:rStyle w:val="EndnoteReference"/>
              </w:rPr>
              <w:endnoteReference w:id="17"/>
            </w:r>
          </w:p>
        </w:tc>
        <w:tc>
          <w:tcPr>
            <w:tcW w:w="1701" w:type="dxa"/>
          </w:tcPr>
          <w:p w14:paraId="4B641182" w14:textId="77777777" w:rsidR="001E1EFB" w:rsidRDefault="00AE4B5D"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8B1C2D">
              <w:rPr>
                <w:sz w:val="18"/>
              </w:rPr>
              <w:t>No</w:t>
            </w:r>
            <w:r w:rsidR="00A266EA" w:rsidRPr="008B1C2D">
              <w:rPr>
                <w:rStyle w:val="EndnoteReference"/>
              </w:rPr>
              <w:endnoteReference w:id="18"/>
            </w:r>
          </w:p>
        </w:tc>
        <w:tc>
          <w:tcPr>
            <w:tcW w:w="1985" w:type="dxa"/>
          </w:tcPr>
          <w:p w14:paraId="59008164" w14:textId="024627FB" w:rsidR="001E1EFB" w:rsidRDefault="00316AA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In limited circumstances</w:t>
            </w:r>
            <w:r w:rsidR="00A266EA" w:rsidRPr="008B1C2D">
              <w:rPr>
                <w:rStyle w:val="EndnoteReference"/>
              </w:rPr>
              <w:endnoteReference w:id="19"/>
            </w:r>
          </w:p>
        </w:tc>
        <w:tc>
          <w:tcPr>
            <w:tcW w:w="1559" w:type="dxa"/>
          </w:tcPr>
          <w:p w14:paraId="0370B904" w14:textId="637B6C30" w:rsidR="001E1EFB" w:rsidRDefault="00BB3484"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BB3484">
              <w:rPr>
                <w:sz w:val="18"/>
              </w:rPr>
              <w:t>Rarely re</w:t>
            </w:r>
            <w:r>
              <w:rPr>
                <w:sz w:val="18"/>
              </w:rPr>
              <w:t>: religious belief; N</w:t>
            </w:r>
            <w:r w:rsidRPr="00BB3484">
              <w:rPr>
                <w:sz w:val="18"/>
              </w:rPr>
              <w:t>o re</w:t>
            </w:r>
            <w:r>
              <w:rPr>
                <w:sz w:val="18"/>
              </w:rPr>
              <w:t>:</w:t>
            </w:r>
            <w:r w:rsidRPr="00BB3484">
              <w:rPr>
                <w:sz w:val="18"/>
              </w:rPr>
              <w:t xml:space="preserve"> conscience</w:t>
            </w:r>
            <w:r w:rsidR="00A266EA" w:rsidRPr="006771F7">
              <w:rPr>
                <w:rStyle w:val="EndnoteReference"/>
              </w:rPr>
              <w:endnoteReference w:id="20"/>
            </w:r>
          </w:p>
        </w:tc>
        <w:tc>
          <w:tcPr>
            <w:tcW w:w="1559" w:type="dxa"/>
          </w:tcPr>
          <w:p w14:paraId="16768035" w14:textId="77777777" w:rsidR="001E1EFB" w:rsidRDefault="00A266E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Pr>
                <w:rStyle w:val="EndnoteReference"/>
              </w:rPr>
              <w:endnoteReference w:id="21"/>
            </w:r>
          </w:p>
        </w:tc>
        <w:tc>
          <w:tcPr>
            <w:tcW w:w="1701" w:type="dxa"/>
          </w:tcPr>
          <w:p w14:paraId="5B213C1B" w14:textId="77777777" w:rsidR="001E1EFB" w:rsidRDefault="00A266E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Pr>
                <w:rStyle w:val="EndnoteReference"/>
              </w:rPr>
              <w:endnoteReference w:id="22"/>
            </w:r>
          </w:p>
        </w:tc>
        <w:tc>
          <w:tcPr>
            <w:tcW w:w="1843" w:type="dxa"/>
          </w:tcPr>
          <w:p w14:paraId="250BC342" w14:textId="77777777" w:rsidR="001E1EFB" w:rsidRDefault="00A266E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Pr>
                <w:rStyle w:val="EndnoteReference"/>
              </w:rPr>
              <w:endnoteReference w:id="23"/>
            </w:r>
          </w:p>
        </w:tc>
        <w:tc>
          <w:tcPr>
            <w:tcW w:w="1701" w:type="dxa"/>
          </w:tcPr>
          <w:p w14:paraId="4F4E8096" w14:textId="77777777" w:rsidR="001E1EFB" w:rsidRPr="00AF0220" w:rsidRDefault="00A266E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Pr>
                <w:rStyle w:val="EndnoteReference"/>
              </w:rPr>
              <w:endnoteReference w:id="24"/>
            </w:r>
          </w:p>
        </w:tc>
      </w:tr>
      <w:tr w:rsidR="001E1EFB" w:rsidRPr="00867FF8" w14:paraId="40BFD4EF" w14:textId="77777777" w:rsidTr="008C390A">
        <w:tc>
          <w:tcPr>
            <w:cnfStyle w:val="001000000000" w:firstRow="0" w:lastRow="0" w:firstColumn="1" w:lastColumn="0" w:oddVBand="0" w:evenVBand="0" w:oddHBand="0" w:evenHBand="0" w:firstRowFirstColumn="0" w:firstRowLastColumn="0" w:lastRowFirstColumn="0" w:lastRowLastColumn="0"/>
            <w:tcW w:w="14879" w:type="dxa"/>
            <w:gridSpan w:val="9"/>
          </w:tcPr>
          <w:p w14:paraId="6D11037D" w14:textId="77777777" w:rsidR="001E1EFB" w:rsidRPr="00AF0220" w:rsidRDefault="001E1EFB" w:rsidP="00061380">
            <w:pPr>
              <w:spacing w:before="0" w:after="0"/>
              <w:rPr>
                <w:sz w:val="18"/>
              </w:rPr>
            </w:pPr>
          </w:p>
        </w:tc>
      </w:tr>
      <w:tr w:rsidR="002F0BD1" w:rsidRPr="00867FF8" w14:paraId="5460F2BB"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1A58BEDA" w14:textId="77777777" w:rsidR="007D1E6A" w:rsidRDefault="00867FF8" w:rsidP="00061380">
            <w:pPr>
              <w:spacing w:before="0" w:after="0"/>
              <w:rPr>
                <w:sz w:val="18"/>
              </w:rPr>
            </w:pPr>
            <w:r w:rsidRPr="00867FF8">
              <w:rPr>
                <w:sz w:val="18"/>
              </w:rPr>
              <w:t>New York</w:t>
            </w:r>
            <w:r w:rsidR="002E5863">
              <w:rPr>
                <w:sz w:val="18"/>
              </w:rPr>
              <w:t xml:space="preserve"> </w:t>
            </w:r>
          </w:p>
          <w:p w14:paraId="599E657E" w14:textId="77777777" w:rsidR="007D1E6A" w:rsidRDefault="007D1E6A" w:rsidP="00061380">
            <w:pPr>
              <w:spacing w:before="0" w:after="0"/>
              <w:rPr>
                <w:sz w:val="18"/>
              </w:rPr>
            </w:pPr>
          </w:p>
          <w:p w14:paraId="2CA88ABC" w14:textId="77777777" w:rsidR="00867FF8" w:rsidRPr="00AF0220" w:rsidRDefault="00C81E38" w:rsidP="00061380">
            <w:pPr>
              <w:spacing w:before="0" w:after="0"/>
              <w:rPr>
                <w:b w:val="0"/>
                <w:i/>
                <w:sz w:val="18"/>
              </w:rPr>
            </w:pPr>
            <w:r w:rsidRPr="00AF0220">
              <w:rPr>
                <w:b w:val="0"/>
                <w:i/>
                <w:sz w:val="18"/>
              </w:rPr>
              <w:t>(24 July 2011 / legislation)</w:t>
            </w:r>
          </w:p>
        </w:tc>
        <w:tc>
          <w:tcPr>
            <w:tcW w:w="1512" w:type="dxa"/>
          </w:tcPr>
          <w:p w14:paraId="58DF20B8" w14:textId="77777777" w:rsidR="00867FF8" w:rsidRPr="00AF0220" w:rsidRDefault="00867FF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932783">
              <w:rPr>
                <w:rStyle w:val="EndnoteReference"/>
              </w:rPr>
              <w:endnoteReference w:id="25"/>
            </w:r>
          </w:p>
        </w:tc>
        <w:tc>
          <w:tcPr>
            <w:tcW w:w="1701" w:type="dxa"/>
          </w:tcPr>
          <w:p w14:paraId="02F70532" w14:textId="77777777" w:rsidR="00867FF8" w:rsidRPr="00AF0220" w:rsidRDefault="006C3953"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No</w:t>
            </w:r>
            <w:r>
              <w:rPr>
                <w:rStyle w:val="EndnoteReference"/>
              </w:rPr>
              <w:endnoteReference w:id="26"/>
            </w:r>
          </w:p>
        </w:tc>
        <w:tc>
          <w:tcPr>
            <w:tcW w:w="1985" w:type="dxa"/>
          </w:tcPr>
          <w:p w14:paraId="598EF42D" w14:textId="77777777" w:rsidR="00867FF8" w:rsidRPr="00AF0220" w:rsidRDefault="00C81E3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012A6E">
              <w:rPr>
                <w:rStyle w:val="EndnoteReference"/>
              </w:rPr>
              <w:endnoteReference w:id="27"/>
            </w:r>
          </w:p>
        </w:tc>
        <w:tc>
          <w:tcPr>
            <w:tcW w:w="1559" w:type="dxa"/>
          </w:tcPr>
          <w:p w14:paraId="5C3A5836" w14:textId="77777777" w:rsidR="00867FF8" w:rsidRPr="00AF0220" w:rsidRDefault="000C17C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Unlikely</w:t>
            </w:r>
            <w:r w:rsidR="001257DA">
              <w:rPr>
                <w:rStyle w:val="EndnoteReference"/>
              </w:rPr>
              <w:endnoteReference w:id="28"/>
            </w:r>
          </w:p>
        </w:tc>
        <w:tc>
          <w:tcPr>
            <w:tcW w:w="1559" w:type="dxa"/>
          </w:tcPr>
          <w:p w14:paraId="4556F5BF" w14:textId="77777777" w:rsidR="00867FF8" w:rsidRPr="00AF0220" w:rsidRDefault="00C81E3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0C17C8">
              <w:rPr>
                <w:rStyle w:val="EndnoteReference"/>
              </w:rPr>
              <w:endnoteReference w:id="29"/>
            </w:r>
          </w:p>
        </w:tc>
        <w:tc>
          <w:tcPr>
            <w:tcW w:w="1701" w:type="dxa"/>
          </w:tcPr>
          <w:p w14:paraId="341E69F8" w14:textId="77777777" w:rsidR="00867FF8" w:rsidRPr="00AF0220" w:rsidRDefault="00C81E3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456879">
              <w:rPr>
                <w:rStyle w:val="EndnoteReference"/>
              </w:rPr>
              <w:endnoteReference w:id="30"/>
            </w:r>
          </w:p>
        </w:tc>
        <w:tc>
          <w:tcPr>
            <w:tcW w:w="1843" w:type="dxa"/>
          </w:tcPr>
          <w:p w14:paraId="0DD410CF" w14:textId="77777777" w:rsidR="00867FF8" w:rsidRPr="00AF0220" w:rsidRDefault="00C81E3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 exception found</w:t>
            </w:r>
            <w:r w:rsidR="00613D3D">
              <w:rPr>
                <w:rStyle w:val="EndnoteReference"/>
              </w:rPr>
              <w:endnoteReference w:id="31"/>
            </w:r>
          </w:p>
        </w:tc>
        <w:tc>
          <w:tcPr>
            <w:tcW w:w="1701" w:type="dxa"/>
          </w:tcPr>
          <w:p w14:paraId="1B959424" w14:textId="77777777" w:rsidR="00867FF8" w:rsidRPr="00AF0220" w:rsidRDefault="00C81E38"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287097">
              <w:rPr>
                <w:rStyle w:val="EndnoteReference"/>
              </w:rPr>
              <w:endnoteReference w:id="32"/>
            </w:r>
          </w:p>
        </w:tc>
      </w:tr>
      <w:tr w:rsidR="002F0BD1" w:rsidRPr="00867FF8" w14:paraId="4AD943F5"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264CDEFB" w14:textId="77777777" w:rsidR="007D1E6A" w:rsidRDefault="00C81E38" w:rsidP="00061380">
            <w:pPr>
              <w:spacing w:before="0" w:after="0"/>
              <w:rPr>
                <w:sz w:val="18"/>
              </w:rPr>
            </w:pPr>
            <w:r>
              <w:rPr>
                <w:sz w:val="18"/>
              </w:rPr>
              <w:t xml:space="preserve">Spain </w:t>
            </w:r>
          </w:p>
          <w:p w14:paraId="6E12FE00" w14:textId="77777777" w:rsidR="007D1E6A" w:rsidRDefault="007D1E6A" w:rsidP="00061380">
            <w:pPr>
              <w:spacing w:before="0" w:after="0"/>
              <w:rPr>
                <w:sz w:val="18"/>
              </w:rPr>
            </w:pPr>
          </w:p>
          <w:p w14:paraId="69A73664" w14:textId="77777777" w:rsidR="00867FF8" w:rsidRPr="00AF0220" w:rsidRDefault="00C81E38" w:rsidP="00061380">
            <w:pPr>
              <w:spacing w:before="0" w:after="0"/>
              <w:rPr>
                <w:b w:val="0"/>
                <w:i/>
                <w:sz w:val="18"/>
              </w:rPr>
            </w:pPr>
            <w:r w:rsidRPr="00AF0220">
              <w:rPr>
                <w:b w:val="0"/>
                <w:i/>
                <w:sz w:val="18"/>
              </w:rPr>
              <w:t>(3 July 2005 / legislation)</w:t>
            </w:r>
          </w:p>
        </w:tc>
        <w:tc>
          <w:tcPr>
            <w:tcW w:w="1512" w:type="dxa"/>
          </w:tcPr>
          <w:p w14:paraId="4EDE85DA" w14:textId="77777777" w:rsidR="00867FF8" w:rsidRPr="00AF0220" w:rsidRDefault="00841861"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Unlikely</w:t>
            </w:r>
            <w:r w:rsidR="00180AF8">
              <w:rPr>
                <w:rStyle w:val="EndnoteReference"/>
              </w:rPr>
              <w:endnoteReference w:id="33"/>
            </w:r>
          </w:p>
        </w:tc>
        <w:tc>
          <w:tcPr>
            <w:tcW w:w="1701" w:type="dxa"/>
          </w:tcPr>
          <w:p w14:paraId="49C1C8C6" w14:textId="77777777" w:rsidR="00867FF8" w:rsidRPr="00AF0220" w:rsidRDefault="00841861"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Unlikely</w:t>
            </w:r>
            <w:r w:rsidR="00E71B82">
              <w:rPr>
                <w:rStyle w:val="EndnoteReference"/>
              </w:rPr>
              <w:endnoteReference w:id="34"/>
            </w:r>
          </w:p>
        </w:tc>
        <w:tc>
          <w:tcPr>
            <w:tcW w:w="1985" w:type="dxa"/>
          </w:tcPr>
          <w:p w14:paraId="2A401FD5" w14:textId="77777777" w:rsidR="00867FF8" w:rsidRPr="00AF0220" w:rsidRDefault="00841861"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Unlikely</w:t>
            </w:r>
            <w:r w:rsidR="005564D8">
              <w:rPr>
                <w:rStyle w:val="EndnoteReference"/>
              </w:rPr>
              <w:endnoteReference w:id="35"/>
            </w:r>
          </w:p>
        </w:tc>
        <w:tc>
          <w:tcPr>
            <w:tcW w:w="1559" w:type="dxa"/>
          </w:tcPr>
          <w:p w14:paraId="7912084A" w14:textId="77777777" w:rsidR="00867FF8" w:rsidRPr="00AF0220" w:rsidRDefault="00CA3C3F"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Unlikely</w:t>
            </w:r>
            <w:r>
              <w:rPr>
                <w:rStyle w:val="EndnoteReference"/>
              </w:rPr>
              <w:endnoteReference w:id="36"/>
            </w:r>
          </w:p>
        </w:tc>
        <w:tc>
          <w:tcPr>
            <w:tcW w:w="1559" w:type="dxa"/>
          </w:tcPr>
          <w:p w14:paraId="43D4FDE3"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43081D">
              <w:rPr>
                <w:rStyle w:val="EndnoteReference"/>
              </w:rPr>
              <w:endnoteReference w:id="37"/>
            </w:r>
          </w:p>
        </w:tc>
        <w:tc>
          <w:tcPr>
            <w:tcW w:w="1701" w:type="dxa"/>
          </w:tcPr>
          <w:p w14:paraId="5D1CC2CF"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AC35DC">
              <w:rPr>
                <w:rStyle w:val="EndnoteReference"/>
              </w:rPr>
              <w:endnoteReference w:id="38"/>
            </w:r>
          </w:p>
        </w:tc>
        <w:tc>
          <w:tcPr>
            <w:tcW w:w="1843" w:type="dxa"/>
          </w:tcPr>
          <w:p w14:paraId="336A54C5" w14:textId="77777777" w:rsidR="00867FF8" w:rsidRPr="00AF0220" w:rsidRDefault="005C7D4F"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Unknown</w:t>
            </w:r>
            <w:r w:rsidR="00B008C8">
              <w:rPr>
                <w:rStyle w:val="EndnoteReference"/>
              </w:rPr>
              <w:endnoteReference w:id="39"/>
            </w:r>
          </w:p>
        </w:tc>
        <w:tc>
          <w:tcPr>
            <w:tcW w:w="1701" w:type="dxa"/>
          </w:tcPr>
          <w:p w14:paraId="1142CDAE"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Possibly</w:t>
            </w:r>
            <w:r w:rsidR="005C7D4F">
              <w:rPr>
                <w:rStyle w:val="EndnoteReference"/>
              </w:rPr>
              <w:endnoteReference w:id="40"/>
            </w:r>
          </w:p>
        </w:tc>
      </w:tr>
      <w:tr w:rsidR="002F0BD1" w:rsidRPr="00867FF8" w14:paraId="7DC762A2"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0C10ED3E" w14:textId="77777777" w:rsidR="007D1E6A" w:rsidRDefault="00E2141B" w:rsidP="00061380">
            <w:pPr>
              <w:spacing w:before="0" w:after="0"/>
              <w:rPr>
                <w:sz w:val="18"/>
              </w:rPr>
            </w:pPr>
            <w:r>
              <w:rPr>
                <w:sz w:val="18"/>
              </w:rPr>
              <w:t xml:space="preserve">Brazil </w:t>
            </w:r>
          </w:p>
          <w:p w14:paraId="006A11D5" w14:textId="77777777" w:rsidR="007D1E6A" w:rsidRDefault="007D1E6A" w:rsidP="00061380">
            <w:pPr>
              <w:spacing w:before="0" w:after="0"/>
              <w:rPr>
                <w:sz w:val="18"/>
              </w:rPr>
            </w:pPr>
          </w:p>
          <w:p w14:paraId="003AD599" w14:textId="77777777" w:rsidR="00867FF8" w:rsidRPr="00AF0220" w:rsidRDefault="00E2141B" w:rsidP="00061380">
            <w:pPr>
              <w:spacing w:before="0" w:after="0"/>
              <w:rPr>
                <w:b w:val="0"/>
                <w:i/>
                <w:sz w:val="18"/>
              </w:rPr>
            </w:pPr>
            <w:r w:rsidRPr="00AF0220">
              <w:rPr>
                <w:b w:val="0"/>
                <w:i/>
                <w:sz w:val="18"/>
              </w:rPr>
              <w:t>(14 May 2013 / legislation)</w:t>
            </w:r>
          </w:p>
        </w:tc>
        <w:tc>
          <w:tcPr>
            <w:tcW w:w="1512" w:type="dxa"/>
          </w:tcPr>
          <w:p w14:paraId="6C21116B"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Unknown</w:t>
            </w:r>
            <w:r w:rsidR="00E3301B">
              <w:rPr>
                <w:rStyle w:val="EndnoteReference"/>
              </w:rPr>
              <w:endnoteReference w:id="41"/>
            </w:r>
          </w:p>
        </w:tc>
        <w:tc>
          <w:tcPr>
            <w:tcW w:w="1701" w:type="dxa"/>
          </w:tcPr>
          <w:p w14:paraId="4BA61C1C"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Unknown</w:t>
            </w:r>
            <w:r w:rsidR="00E3301B">
              <w:rPr>
                <w:rStyle w:val="EndnoteReference"/>
              </w:rPr>
              <w:endnoteReference w:id="42"/>
            </w:r>
          </w:p>
        </w:tc>
        <w:tc>
          <w:tcPr>
            <w:tcW w:w="1985" w:type="dxa"/>
          </w:tcPr>
          <w:p w14:paraId="3E913145"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Unknown</w:t>
            </w:r>
            <w:r w:rsidR="00E3301B">
              <w:rPr>
                <w:rStyle w:val="EndnoteReference"/>
              </w:rPr>
              <w:endnoteReference w:id="43"/>
            </w:r>
          </w:p>
        </w:tc>
        <w:tc>
          <w:tcPr>
            <w:tcW w:w="1559" w:type="dxa"/>
          </w:tcPr>
          <w:p w14:paraId="631BE866"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Unknown</w:t>
            </w:r>
            <w:r w:rsidR="00E3301B">
              <w:rPr>
                <w:rStyle w:val="EndnoteReference"/>
              </w:rPr>
              <w:endnoteReference w:id="44"/>
            </w:r>
          </w:p>
        </w:tc>
        <w:tc>
          <w:tcPr>
            <w:tcW w:w="1559" w:type="dxa"/>
          </w:tcPr>
          <w:p w14:paraId="40AF8412"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C30D94">
              <w:rPr>
                <w:sz w:val="18"/>
              </w:rPr>
              <w:t>Yes</w:t>
            </w:r>
            <w:r w:rsidR="00C30D94">
              <w:rPr>
                <w:rStyle w:val="EndnoteReference"/>
              </w:rPr>
              <w:endnoteReference w:id="45"/>
            </w:r>
          </w:p>
        </w:tc>
        <w:tc>
          <w:tcPr>
            <w:tcW w:w="1701" w:type="dxa"/>
          </w:tcPr>
          <w:p w14:paraId="286A7969" w14:textId="77777777" w:rsidR="00867FF8" w:rsidRPr="00AF0220" w:rsidRDefault="009C74D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Likely</w:t>
            </w:r>
            <w:r w:rsidR="006967FB">
              <w:rPr>
                <w:rStyle w:val="EndnoteReference"/>
              </w:rPr>
              <w:endnoteReference w:id="46"/>
            </w:r>
          </w:p>
        </w:tc>
        <w:tc>
          <w:tcPr>
            <w:tcW w:w="1843" w:type="dxa"/>
          </w:tcPr>
          <w:p w14:paraId="17C086F1" w14:textId="77777777" w:rsidR="00867FF8" w:rsidRPr="00AF0220" w:rsidRDefault="00084B19"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Unknown</w:t>
            </w:r>
            <w:r>
              <w:rPr>
                <w:rStyle w:val="EndnoteReference"/>
              </w:rPr>
              <w:endnoteReference w:id="47"/>
            </w:r>
          </w:p>
        </w:tc>
        <w:tc>
          <w:tcPr>
            <w:tcW w:w="1701" w:type="dxa"/>
          </w:tcPr>
          <w:p w14:paraId="50057E34" w14:textId="77777777" w:rsidR="00867FF8" w:rsidRPr="00AF0220" w:rsidRDefault="00E2141B"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Unknown</w:t>
            </w:r>
            <w:r w:rsidR="00084B19">
              <w:rPr>
                <w:rStyle w:val="EndnoteReference"/>
              </w:rPr>
              <w:endnoteReference w:id="48"/>
            </w:r>
          </w:p>
        </w:tc>
      </w:tr>
      <w:tr w:rsidR="002F0BD1" w:rsidRPr="00867FF8" w14:paraId="353845EA"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651FE792" w14:textId="77777777" w:rsidR="007D1E6A" w:rsidRDefault="007D1E6A" w:rsidP="00061380">
            <w:pPr>
              <w:spacing w:before="0" w:after="0"/>
              <w:rPr>
                <w:sz w:val="18"/>
              </w:rPr>
            </w:pPr>
            <w:r>
              <w:rPr>
                <w:sz w:val="18"/>
              </w:rPr>
              <w:t xml:space="preserve">England and Wales </w:t>
            </w:r>
          </w:p>
          <w:p w14:paraId="1403BCA9" w14:textId="77777777" w:rsidR="007D1E6A" w:rsidRDefault="007D1E6A" w:rsidP="00061380">
            <w:pPr>
              <w:spacing w:before="0" w:after="0"/>
              <w:rPr>
                <w:sz w:val="18"/>
              </w:rPr>
            </w:pPr>
          </w:p>
          <w:p w14:paraId="6E695318" w14:textId="77777777" w:rsidR="00867FF8" w:rsidRPr="00AF0220" w:rsidRDefault="007D1E6A" w:rsidP="00061380">
            <w:pPr>
              <w:spacing w:before="0" w:after="0"/>
              <w:rPr>
                <w:b w:val="0"/>
                <w:i/>
                <w:sz w:val="18"/>
              </w:rPr>
            </w:pPr>
            <w:r w:rsidRPr="00AF0220">
              <w:rPr>
                <w:b w:val="0"/>
                <w:i/>
                <w:sz w:val="18"/>
              </w:rPr>
              <w:t>(12 March 2014 / legislation)</w:t>
            </w:r>
          </w:p>
        </w:tc>
        <w:tc>
          <w:tcPr>
            <w:tcW w:w="1512" w:type="dxa"/>
          </w:tcPr>
          <w:p w14:paraId="59A5A64B"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A16E73">
              <w:rPr>
                <w:rStyle w:val="EndnoteReference"/>
              </w:rPr>
              <w:endnoteReference w:id="49"/>
            </w:r>
          </w:p>
        </w:tc>
        <w:tc>
          <w:tcPr>
            <w:tcW w:w="1701" w:type="dxa"/>
          </w:tcPr>
          <w:p w14:paraId="42E97EB6"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F14FA1">
              <w:rPr>
                <w:rStyle w:val="EndnoteReference"/>
              </w:rPr>
              <w:endnoteReference w:id="50"/>
            </w:r>
          </w:p>
        </w:tc>
        <w:tc>
          <w:tcPr>
            <w:tcW w:w="1985" w:type="dxa"/>
          </w:tcPr>
          <w:p w14:paraId="12AEE270" w14:textId="77777777" w:rsidR="00867FF8" w:rsidRPr="00AF0220" w:rsidRDefault="00D30AEF"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Sometimes</w:t>
            </w:r>
            <w:r w:rsidR="00673BDB">
              <w:rPr>
                <w:rStyle w:val="EndnoteReference"/>
              </w:rPr>
              <w:endnoteReference w:id="51"/>
            </w:r>
          </w:p>
        </w:tc>
        <w:tc>
          <w:tcPr>
            <w:tcW w:w="1559" w:type="dxa"/>
          </w:tcPr>
          <w:p w14:paraId="5A319FC1"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5B2A62">
              <w:rPr>
                <w:rStyle w:val="EndnoteReference"/>
              </w:rPr>
              <w:endnoteReference w:id="52"/>
            </w:r>
          </w:p>
        </w:tc>
        <w:tc>
          <w:tcPr>
            <w:tcW w:w="1559" w:type="dxa"/>
          </w:tcPr>
          <w:p w14:paraId="3CCA8A60"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4858A2">
              <w:rPr>
                <w:rStyle w:val="EndnoteReference"/>
              </w:rPr>
              <w:endnoteReference w:id="53"/>
            </w:r>
          </w:p>
        </w:tc>
        <w:tc>
          <w:tcPr>
            <w:tcW w:w="1701" w:type="dxa"/>
          </w:tcPr>
          <w:p w14:paraId="412B67DB" w14:textId="77777777" w:rsidR="00867FF8" w:rsidRPr="00AF0220" w:rsidRDefault="00D30AEF"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sidR="004858A2">
              <w:rPr>
                <w:rStyle w:val="EndnoteReference"/>
              </w:rPr>
              <w:endnoteReference w:id="54"/>
            </w:r>
          </w:p>
        </w:tc>
        <w:tc>
          <w:tcPr>
            <w:tcW w:w="1843" w:type="dxa"/>
          </w:tcPr>
          <w:p w14:paraId="393C1460"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2A3E2B">
              <w:rPr>
                <w:rStyle w:val="EndnoteReference"/>
              </w:rPr>
              <w:endnoteReference w:id="55"/>
            </w:r>
          </w:p>
        </w:tc>
        <w:tc>
          <w:tcPr>
            <w:tcW w:w="1701" w:type="dxa"/>
          </w:tcPr>
          <w:p w14:paraId="50E67C38" w14:textId="77777777" w:rsidR="00867FF8"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EE667E">
              <w:rPr>
                <w:rStyle w:val="EndnoteReference"/>
              </w:rPr>
              <w:endnoteReference w:id="56"/>
            </w:r>
          </w:p>
        </w:tc>
      </w:tr>
      <w:tr w:rsidR="002F0BD1" w:rsidRPr="00867FF8" w14:paraId="52F4CA50"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4ADEE61E" w14:textId="77777777" w:rsidR="007D1E6A" w:rsidRDefault="000730E7" w:rsidP="00061380">
            <w:pPr>
              <w:spacing w:before="0" w:after="0"/>
              <w:rPr>
                <w:sz w:val="18"/>
              </w:rPr>
            </w:pPr>
            <w:r>
              <w:rPr>
                <w:sz w:val="18"/>
              </w:rPr>
              <w:t xml:space="preserve">Northern </w:t>
            </w:r>
            <w:r w:rsidR="007D1E6A">
              <w:rPr>
                <w:sz w:val="18"/>
              </w:rPr>
              <w:t xml:space="preserve">Ireland </w:t>
            </w:r>
          </w:p>
          <w:p w14:paraId="642EEB02" w14:textId="77777777" w:rsidR="007D1E6A" w:rsidRDefault="007D1E6A" w:rsidP="00061380">
            <w:pPr>
              <w:spacing w:before="0" w:after="0"/>
              <w:rPr>
                <w:sz w:val="18"/>
              </w:rPr>
            </w:pPr>
          </w:p>
          <w:p w14:paraId="76FA8AF5" w14:textId="77777777" w:rsidR="007D1E6A" w:rsidRPr="00AF0220" w:rsidRDefault="007D1E6A" w:rsidP="00061380">
            <w:pPr>
              <w:spacing w:before="0" w:after="0"/>
              <w:rPr>
                <w:b w:val="0"/>
                <w:i/>
                <w:sz w:val="18"/>
              </w:rPr>
            </w:pPr>
            <w:r w:rsidRPr="00AF0220">
              <w:rPr>
                <w:b w:val="0"/>
                <w:i/>
                <w:sz w:val="18"/>
              </w:rPr>
              <w:t>(22 May 2015 / popular referendum)</w:t>
            </w:r>
          </w:p>
        </w:tc>
        <w:tc>
          <w:tcPr>
            <w:tcW w:w="1512" w:type="dxa"/>
          </w:tcPr>
          <w:p w14:paraId="04B1D40A"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6225B5">
              <w:rPr>
                <w:rStyle w:val="EndnoteReference"/>
              </w:rPr>
              <w:endnoteReference w:id="57"/>
            </w:r>
          </w:p>
        </w:tc>
        <w:tc>
          <w:tcPr>
            <w:tcW w:w="1701" w:type="dxa"/>
          </w:tcPr>
          <w:p w14:paraId="35204100"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4A432E">
              <w:rPr>
                <w:rStyle w:val="EndnoteReference"/>
              </w:rPr>
              <w:endnoteReference w:id="58"/>
            </w:r>
          </w:p>
        </w:tc>
        <w:tc>
          <w:tcPr>
            <w:tcW w:w="1985" w:type="dxa"/>
          </w:tcPr>
          <w:p w14:paraId="316A6DC6"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556012">
              <w:rPr>
                <w:rStyle w:val="EndnoteReference"/>
              </w:rPr>
              <w:endnoteReference w:id="59"/>
            </w:r>
          </w:p>
        </w:tc>
        <w:tc>
          <w:tcPr>
            <w:tcW w:w="1559" w:type="dxa"/>
          </w:tcPr>
          <w:p w14:paraId="5B02176D"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864788">
              <w:rPr>
                <w:rStyle w:val="EndnoteReference"/>
              </w:rPr>
              <w:endnoteReference w:id="60"/>
            </w:r>
          </w:p>
        </w:tc>
        <w:tc>
          <w:tcPr>
            <w:tcW w:w="1559" w:type="dxa"/>
          </w:tcPr>
          <w:p w14:paraId="7A4989E9"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224F8A">
              <w:rPr>
                <w:rStyle w:val="EndnoteReference"/>
              </w:rPr>
              <w:endnoteReference w:id="61"/>
            </w:r>
          </w:p>
        </w:tc>
        <w:tc>
          <w:tcPr>
            <w:tcW w:w="1701" w:type="dxa"/>
          </w:tcPr>
          <w:p w14:paraId="723C9D43"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B563BF">
              <w:rPr>
                <w:rStyle w:val="EndnoteReference"/>
              </w:rPr>
              <w:endnoteReference w:id="62"/>
            </w:r>
          </w:p>
        </w:tc>
        <w:tc>
          <w:tcPr>
            <w:tcW w:w="1843" w:type="dxa"/>
          </w:tcPr>
          <w:p w14:paraId="1A6A09A7"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340732">
              <w:rPr>
                <w:rStyle w:val="EndnoteReference"/>
              </w:rPr>
              <w:endnoteReference w:id="63"/>
            </w:r>
          </w:p>
        </w:tc>
        <w:tc>
          <w:tcPr>
            <w:tcW w:w="1701" w:type="dxa"/>
          </w:tcPr>
          <w:p w14:paraId="71011E50" w14:textId="77777777" w:rsidR="007D1E6A" w:rsidRPr="00AF0220" w:rsidRDefault="007D1E6A"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D2756B">
              <w:rPr>
                <w:rStyle w:val="EndnoteReference"/>
              </w:rPr>
              <w:endnoteReference w:id="64"/>
            </w:r>
          </w:p>
        </w:tc>
      </w:tr>
      <w:tr w:rsidR="002F0BD1" w:rsidRPr="00867FF8" w14:paraId="22BE0679"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14024498" w14:textId="77777777" w:rsidR="00B055E0" w:rsidRDefault="007D1E6A" w:rsidP="00061380">
            <w:pPr>
              <w:spacing w:before="0" w:after="0"/>
              <w:rPr>
                <w:sz w:val="18"/>
              </w:rPr>
            </w:pPr>
            <w:r>
              <w:rPr>
                <w:sz w:val="18"/>
              </w:rPr>
              <w:t xml:space="preserve">Scotland </w:t>
            </w:r>
          </w:p>
          <w:p w14:paraId="360E336A" w14:textId="77777777" w:rsidR="00B055E0" w:rsidRDefault="00B055E0" w:rsidP="00061380">
            <w:pPr>
              <w:spacing w:before="0" w:after="0"/>
              <w:rPr>
                <w:sz w:val="18"/>
              </w:rPr>
            </w:pPr>
          </w:p>
          <w:p w14:paraId="59D74C30" w14:textId="77777777" w:rsidR="007D1E6A" w:rsidRPr="00AF0220" w:rsidRDefault="007D1E6A" w:rsidP="00061380">
            <w:pPr>
              <w:spacing w:before="0" w:after="0"/>
              <w:rPr>
                <w:b w:val="0"/>
                <w:i/>
                <w:sz w:val="18"/>
              </w:rPr>
            </w:pPr>
            <w:r w:rsidRPr="00AF0220">
              <w:rPr>
                <w:b w:val="0"/>
                <w:i/>
                <w:sz w:val="18"/>
              </w:rPr>
              <w:t>(</w:t>
            </w:r>
            <w:r w:rsidR="00B055E0" w:rsidRPr="00AF0220">
              <w:rPr>
                <w:b w:val="0"/>
                <w:i/>
                <w:sz w:val="18"/>
              </w:rPr>
              <w:t>February 2014 / legislation)</w:t>
            </w:r>
          </w:p>
        </w:tc>
        <w:tc>
          <w:tcPr>
            <w:tcW w:w="1512" w:type="dxa"/>
          </w:tcPr>
          <w:p w14:paraId="3392AFBF" w14:textId="77777777" w:rsidR="007D1E6A" w:rsidRPr="00AF0220" w:rsidRDefault="00B055E0" w:rsidP="009821EA">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9821EA">
              <w:rPr>
                <w:rStyle w:val="EndnoteReference"/>
              </w:rPr>
              <w:endnoteReference w:id="65"/>
            </w:r>
          </w:p>
        </w:tc>
        <w:tc>
          <w:tcPr>
            <w:tcW w:w="1701" w:type="dxa"/>
          </w:tcPr>
          <w:p w14:paraId="1D6CF1DA" w14:textId="77777777" w:rsidR="007D1E6A" w:rsidRPr="00AF0220" w:rsidRDefault="00B055E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1F5EE6">
              <w:rPr>
                <w:rStyle w:val="EndnoteReference"/>
              </w:rPr>
              <w:endnoteReference w:id="66"/>
            </w:r>
          </w:p>
        </w:tc>
        <w:tc>
          <w:tcPr>
            <w:tcW w:w="1985" w:type="dxa"/>
          </w:tcPr>
          <w:p w14:paraId="77870C43" w14:textId="77777777" w:rsidR="007D1E6A" w:rsidRPr="00AF0220" w:rsidRDefault="00762CFD"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sidR="007F787F">
              <w:rPr>
                <w:rStyle w:val="EndnoteReference"/>
              </w:rPr>
              <w:endnoteReference w:id="67"/>
            </w:r>
          </w:p>
        </w:tc>
        <w:tc>
          <w:tcPr>
            <w:tcW w:w="1559" w:type="dxa"/>
          </w:tcPr>
          <w:p w14:paraId="12EE5EE7" w14:textId="77777777" w:rsidR="007D1E6A" w:rsidRPr="00AF0220" w:rsidRDefault="00B218BC"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No</w:t>
            </w:r>
            <w:r>
              <w:rPr>
                <w:rStyle w:val="EndnoteReference"/>
              </w:rPr>
              <w:endnoteReference w:id="68"/>
            </w:r>
          </w:p>
        </w:tc>
        <w:tc>
          <w:tcPr>
            <w:tcW w:w="1559" w:type="dxa"/>
          </w:tcPr>
          <w:p w14:paraId="5DBB816F" w14:textId="77777777" w:rsidR="007D1E6A" w:rsidRPr="00AF0220" w:rsidRDefault="00B055E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01449D">
              <w:rPr>
                <w:rStyle w:val="EndnoteReference"/>
              </w:rPr>
              <w:endnoteReference w:id="69"/>
            </w:r>
          </w:p>
        </w:tc>
        <w:tc>
          <w:tcPr>
            <w:tcW w:w="1701" w:type="dxa"/>
          </w:tcPr>
          <w:p w14:paraId="7D615E08" w14:textId="77777777" w:rsidR="007D1E6A" w:rsidRPr="00AF0220" w:rsidRDefault="00B055E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194328">
              <w:rPr>
                <w:rStyle w:val="EndnoteReference"/>
              </w:rPr>
              <w:endnoteReference w:id="70"/>
            </w:r>
          </w:p>
        </w:tc>
        <w:tc>
          <w:tcPr>
            <w:tcW w:w="1843" w:type="dxa"/>
          </w:tcPr>
          <w:p w14:paraId="1B614987" w14:textId="77777777" w:rsidR="007D1E6A" w:rsidRPr="00AF0220" w:rsidRDefault="00B055E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 exception found</w:t>
            </w:r>
            <w:r w:rsidR="00E950C5">
              <w:rPr>
                <w:rStyle w:val="EndnoteReference"/>
              </w:rPr>
              <w:endnoteReference w:id="71"/>
            </w:r>
          </w:p>
        </w:tc>
        <w:tc>
          <w:tcPr>
            <w:tcW w:w="1701" w:type="dxa"/>
          </w:tcPr>
          <w:p w14:paraId="7E4E73D1" w14:textId="77777777" w:rsidR="007D1E6A" w:rsidRPr="00AF0220" w:rsidRDefault="00B003DE"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sidR="00767039">
              <w:rPr>
                <w:rStyle w:val="EndnoteReference"/>
              </w:rPr>
              <w:endnoteReference w:id="72"/>
            </w:r>
          </w:p>
        </w:tc>
      </w:tr>
      <w:tr w:rsidR="002F0BD1" w:rsidRPr="00867FF8" w14:paraId="21650D91" w14:textId="77777777" w:rsidTr="00D92939">
        <w:tc>
          <w:tcPr>
            <w:cnfStyle w:val="001000000000" w:firstRow="0" w:lastRow="0" w:firstColumn="1" w:lastColumn="0" w:oddVBand="0" w:evenVBand="0" w:oddHBand="0" w:evenHBand="0" w:firstRowFirstColumn="0" w:firstRowLastColumn="0" w:lastRowFirstColumn="0" w:lastRowLastColumn="0"/>
            <w:tcW w:w="1318" w:type="dxa"/>
          </w:tcPr>
          <w:p w14:paraId="6F0B1902" w14:textId="77777777" w:rsidR="007D1E6A" w:rsidRDefault="00AF0220" w:rsidP="00061380">
            <w:pPr>
              <w:spacing w:before="0" w:after="0"/>
              <w:rPr>
                <w:sz w:val="18"/>
              </w:rPr>
            </w:pPr>
            <w:r>
              <w:rPr>
                <w:sz w:val="18"/>
              </w:rPr>
              <w:t>New Zealand</w:t>
            </w:r>
          </w:p>
          <w:p w14:paraId="17CB65C1" w14:textId="77777777" w:rsidR="00AF0220" w:rsidRDefault="00AF0220" w:rsidP="00061380">
            <w:pPr>
              <w:spacing w:before="0" w:after="0"/>
              <w:rPr>
                <w:sz w:val="18"/>
              </w:rPr>
            </w:pPr>
          </w:p>
          <w:p w14:paraId="710B52AF" w14:textId="77777777" w:rsidR="00AF0220" w:rsidRPr="00AF0220" w:rsidRDefault="00AF0220" w:rsidP="00061380">
            <w:pPr>
              <w:spacing w:before="0" w:after="0"/>
              <w:rPr>
                <w:b w:val="0"/>
                <w:i/>
                <w:sz w:val="18"/>
              </w:rPr>
            </w:pPr>
            <w:r w:rsidRPr="00AF0220">
              <w:rPr>
                <w:b w:val="0"/>
                <w:i/>
                <w:sz w:val="18"/>
              </w:rPr>
              <w:t>(17 April 2013 / legislation)</w:t>
            </w:r>
          </w:p>
        </w:tc>
        <w:tc>
          <w:tcPr>
            <w:tcW w:w="1512" w:type="dxa"/>
          </w:tcPr>
          <w:p w14:paraId="5A6FFEE8"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796BE4">
              <w:rPr>
                <w:rStyle w:val="EndnoteReference"/>
              </w:rPr>
              <w:endnoteReference w:id="73"/>
            </w:r>
          </w:p>
        </w:tc>
        <w:tc>
          <w:tcPr>
            <w:tcW w:w="1701" w:type="dxa"/>
          </w:tcPr>
          <w:p w14:paraId="1592E386" w14:textId="77777777" w:rsidR="007D1E6A" w:rsidRPr="00AF0220" w:rsidRDefault="00796BE4"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Pr>
                <w:sz w:val="18"/>
              </w:rPr>
              <w:t>Yes</w:t>
            </w:r>
            <w:r>
              <w:rPr>
                <w:rStyle w:val="EndnoteReference"/>
              </w:rPr>
              <w:endnoteReference w:id="74"/>
            </w:r>
          </w:p>
        </w:tc>
        <w:tc>
          <w:tcPr>
            <w:tcW w:w="1985" w:type="dxa"/>
          </w:tcPr>
          <w:p w14:paraId="3F2F4BF8"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9831CE">
              <w:rPr>
                <w:rStyle w:val="EndnoteReference"/>
              </w:rPr>
              <w:endnoteReference w:id="75"/>
            </w:r>
          </w:p>
        </w:tc>
        <w:tc>
          <w:tcPr>
            <w:tcW w:w="1559" w:type="dxa"/>
          </w:tcPr>
          <w:p w14:paraId="14823D17"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w:t>
            </w:r>
            <w:r w:rsidR="000234C7">
              <w:rPr>
                <w:rStyle w:val="EndnoteReference"/>
              </w:rPr>
              <w:endnoteReference w:id="76"/>
            </w:r>
          </w:p>
        </w:tc>
        <w:tc>
          <w:tcPr>
            <w:tcW w:w="1559" w:type="dxa"/>
          </w:tcPr>
          <w:p w14:paraId="636E6695"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755492">
              <w:rPr>
                <w:rStyle w:val="EndnoteReference"/>
              </w:rPr>
              <w:endnoteReference w:id="77"/>
            </w:r>
          </w:p>
        </w:tc>
        <w:tc>
          <w:tcPr>
            <w:tcW w:w="1701" w:type="dxa"/>
          </w:tcPr>
          <w:p w14:paraId="1D624A0F"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Yes</w:t>
            </w:r>
            <w:r w:rsidR="00A64AF2">
              <w:rPr>
                <w:rStyle w:val="EndnoteReference"/>
              </w:rPr>
              <w:endnoteReference w:id="78"/>
            </w:r>
          </w:p>
        </w:tc>
        <w:tc>
          <w:tcPr>
            <w:tcW w:w="1843" w:type="dxa"/>
          </w:tcPr>
          <w:p w14:paraId="5EBFD273"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 exception found</w:t>
            </w:r>
            <w:r w:rsidR="00D645DE">
              <w:rPr>
                <w:rStyle w:val="EndnoteReference"/>
              </w:rPr>
              <w:endnoteReference w:id="79"/>
            </w:r>
          </w:p>
        </w:tc>
        <w:tc>
          <w:tcPr>
            <w:tcW w:w="1701" w:type="dxa"/>
          </w:tcPr>
          <w:p w14:paraId="7FF97E09" w14:textId="77777777" w:rsidR="007D1E6A" w:rsidRPr="00AF0220" w:rsidRDefault="00AF0220" w:rsidP="00061380">
            <w:pPr>
              <w:spacing w:before="0" w:after="0"/>
              <w:cnfStyle w:val="000000000000" w:firstRow="0" w:lastRow="0" w:firstColumn="0" w:lastColumn="0" w:oddVBand="0" w:evenVBand="0" w:oddHBand="0" w:evenHBand="0" w:firstRowFirstColumn="0" w:firstRowLastColumn="0" w:lastRowFirstColumn="0" w:lastRowLastColumn="0"/>
              <w:rPr>
                <w:sz w:val="18"/>
              </w:rPr>
            </w:pPr>
            <w:r w:rsidRPr="00AF0220">
              <w:rPr>
                <w:sz w:val="18"/>
              </w:rPr>
              <w:t>No exception found</w:t>
            </w:r>
            <w:r w:rsidR="00D645DE">
              <w:rPr>
                <w:rStyle w:val="EndnoteReference"/>
              </w:rPr>
              <w:endnoteReference w:id="80"/>
            </w:r>
          </w:p>
        </w:tc>
      </w:tr>
    </w:tbl>
    <w:p w14:paraId="3CC6358A" w14:textId="77777777" w:rsidR="00867FF8" w:rsidRPr="00867FF8" w:rsidRDefault="00867FF8" w:rsidP="00061380">
      <w:pPr>
        <w:spacing w:before="0" w:after="0"/>
        <w:rPr>
          <w:b/>
        </w:rPr>
      </w:pPr>
    </w:p>
    <w:sectPr w:rsidR="00867FF8" w:rsidRPr="00867FF8" w:rsidSect="00867FF8">
      <w:footerReference w:type="default" r:id="rId8"/>
      <w:endnotePr>
        <w:numFmt w:val="decimal"/>
      </w:endnotePr>
      <w:pgSz w:w="16838" w:h="11906"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D13B8" w14:textId="77777777" w:rsidR="003617F8" w:rsidRDefault="003617F8" w:rsidP="00F14C6D">
      <w:r>
        <w:separator/>
      </w:r>
    </w:p>
  </w:endnote>
  <w:endnote w:type="continuationSeparator" w:id="0">
    <w:p w14:paraId="593C0BF7" w14:textId="77777777" w:rsidR="003617F8" w:rsidRDefault="003617F8" w:rsidP="00F14C6D">
      <w:r>
        <w:continuationSeparator/>
      </w:r>
    </w:p>
  </w:endnote>
  <w:endnote w:id="1">
    <w:p w14:paraId="51064366" w14:textId="77777777" w:rsidR="007F787F" w:rsidRDefault="007F787F">
      <w:pPr>
        <w:pStyle w:val="EndnoteText"/>
      </w:pPr>
      <w:r>
        <w:rPr>
          <w:rStyle w:val="EndnoteReference"/>
        </w:rPr>
        <w:endnoteRef/>
      </w:r>
      <w:r>
        <w:t xml:space="preserve"> Same-sex marriage </w:t>
      </w:r>
      <w:r w:rsidR="008A5F1D">
        <w:t>has not been</w:t>
      </w:r>
      <w:r>
        <w:t xml:space="preserve"> legalised in Australia.</w:t>
      </w:r>
    </w:p>
  </w:endnote>
  <w:endnote w:id="2">
    <w:p w14:paraId="78547A6A" w14:textId="77777777" w:rsidR="007F787F" w:rsidRDefault="007F787F" w:rsidP="00C2198A">
      <w:pPr>
        <w:pStyle w:val="EndnoteText"/>
      </w:pPr>
      <w:r>
        <w:rPr>
          <w:rStyle w:val="EndnoteReference"/>
        </w:rPr>
        <w:endnoteRef/>
      </w:r>
      <w:r w:rsidR="000D597E">
        <w:t xml:space="preserve"> Same-sex marriage has not been legalised in Australia.</w:t>
      </w:r>
    </w:p>
  </w:endnote>
  <w:endnote w:id="3">
    <w:p w14:paraId="5BE936F5" w14:textId="77777777" w:rsidR="007F787F" w:rsidRDefault="007F787F" w:rsidP="00C2198A">
      <w:pPr>
        <w:pStyle w:val="EndnoteText"/>
      </w:pPr>
      <w:r>
        <w:rPr>
          <w:rStyle w:val="EndnoteReference"/>
        </w:rPr>
        <w:endnoteRef/>
      </w:r>
      <w:r>
        <w:t xml:space="preserve"> </w:t>
      </w:r>
      <w:r w:rsidR="000D597E">
        <w:t>Same-sex marriage has not been legalised in Australia.</w:t>
      </w:r>
    </w:p>
  </w:endnote>
  <w:endnote w:id="4">
    <w:p w14:paraId="1CEE37FD" w14:textId="5BAB6A99" w:rsidR="007F787F" w:rsidRPr="009A1209" w:rsidRDefault="007F787F" w:rsidP="00C2198A">
      <w:pPr>
        <w:pStyle w:val="EndnoteText"/>
      </w:pPr>
      <w:r>
        <w:rPr>
          <w:rStyle w:val="EndnoteReference"/>
        </w:rPr>
        <w:endnoteRef/>
      </w:r>
      <w:r>
        <w:t xml:space="preserve"> </w:t>
      </w:r>
      <w:r w:rsidR="000D597E">
        <w:t xml:space="preserve">Same-sex marriage has </w:t>
      </w:r>
      <w:r w:rsidR="009A1209">
        <w:t xml:space="preserve">not been legalised in Australia, therefore direct legislation governing marriage will not apply. However, the protections under the </w:t>
      </w:r>
      <w:r w:rsidR="009A1209">
        <w:rPr>
          <w:i/>
        </w:rPr>
        <w:t xml:space="preserve">Sex Discrimination Act 1984 </w:t>
      </w:r>
      <w:r w:rsidR="009A1209">
        <w:t>(</w:t>
      </w:r>
      <w:proofErr w:type="spellStart"/>
      <w:r w:rsidR="009A1209">
        <w:t>Cth</w:t>
      </w:r>
      <w:proofErr w:type="spellEnd"/>
      <w:r w:rsidR="009A1209">
        <w:t>) are likely to prevent service providers from discriminating on the ground of sexual orientation.</w:t>
      </w:r>
    </w:p>
  </w:endnote>
  <w:endnote w:id="5">
    <w:p w14:paraId="79E6965C" w14:textId="77777777" w:rsidR="007F787F" w:rsidRPr="00AA1788"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5A.</w:t>
      </w:r>
    </w:p>
  </w:endnote>
  <w:endnote w:id="6">
    <w:p w14:paraId="1E234322" w14:textId="77777777" w:rsidR="007F787F" w:rsidRDefault="007F787F" w:rsidP="00D62047">
      <w:pPr>
        <w:pStyle w:val="EndnoteText"/>
      </w:pPr>
      <w:r>
        <w:rPr>
          <w:rStyle w:val="EndnoteReference"/>
        </w:rPr>
        <w:endnoteRef/>
      </w:r>
      <w:r>
        <w:t xml:space="preserve"> </w:t>
      </w:r>
      <w:r>
        <w:rPr>
          <w:i/>
        </w:rPr>
        <w:t xml:space="preserve">Sex Discrimination Act 1984 </w:t>
      </w:r>
      <w:r>
        <w:t>(</w:t>
      </w:r>
      <w:proofErr w:type="spellStart"/>
      <w:r>
        <w:t>Cth</w:t>
      </w:r>
      <w:proofErr w:type="spellEnd"/>
      <w:r>
        <w:t>), s 22.</w:t>
      </w:r>
    </w:p>
  </w:endnote>
  <w:endnote w:id="7">
    <w:p w14:paraId="49D31EA2" w14:textId="77777777" w:rsidR="007F787F"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40(2A).</w:t>
      </w:r>
    </w:p>
  </w:endnote>
  <w:endnote w:id="8">
    <w:p w14:paraId="434AF7EE" w14:textId="77777777" w:rsidR="007F787F"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37(1)(d).</w:t>
      </w:r>
    </w:p>
  </w:endnote>
  <w:endnote w:id="9">
    <w:p w14:paraId="2E163F74" w14:textId="77777777" w:rsidR="007F787F" w:rsidRPr="0070499A" w:rsidRDefault="007F787F" w:rsidP="005B5627">
      <w:pPr>
        <w:pStyle w:val="EndnoteText"/>
      </w:pPr>
      <w:r>
        <w:rPr>
          <w:rStyle w:val="EndnoteReference"/>
        </w:rPr>
        <w:endnoteRef/>
      </w:r>
      <w:r>
        <w:t xml:space="preserve"> </w:t>
      </w:r>
      <w:r>
        <w:rPr>
          <w:i/>
        </w:rPr>
        <w:t xml:space="preserve">Marriage Amendment (Same-Sex Marriage) Bill 201X </w:t>
      </w:r>
      <w:r>
        <w:t>(</w:t>
      </w:r>
      <w:proofErr w:type="spellStart"/>
      <w:r>
        <w:t>Cth</w:t>
      </w:r>
      <w:proofErr w:type="spellEnd"/>
      <w:r>
        <w:t>)</w:t>
      </w:r>
      <w:r>
        <w:rPr>
          <w:i/>
        </w:rPr>
        <w:t xml:space="preserve">, </w:t>
      </w:r>
      <w:r>
        <w:t>s 47.</w:t>
      </w:r>
    </w:p>
  </w:endnote>
  <w:endnote w:id="10">
    <w:p w14:paraId="268CFE63" w14:textId="77777777" w:rsidR="007F787F" w:rsidRPr="005B5627" w:rsidRDefault="007F787F" w:rsidP="005B5627">
      <w:pPr>
        <w:pStyle w:val="EndnoteText"/>
      </w:pPr>
      <w:r>
        <w:rPr>
          <w:rStyle w:val="EndnoteReference"/>
        </w:rPr>
        <w:endnoteRef/>
      </w:r>
      <w:r>
        <w:t xml:space="preserve"> </w:t>
      </w:r>
      <w:r>
        <w:rPr>
          <w:i/>
        </w:rPr>
        <w:t xml:space="preserve">Marriage Amendment (Same-Sex Marriage) Bill 201X </w:t>
      </w:r>
      <w:r>
        <w:t>(</w:t>
      </w:r>
      <w:proofErr w:type="spellStart"/>
      <w:r>
        <w:t>Cth</w:t>
      </w:r>
      <w:proofErr w:type="spellEnd"/>
      <w:r>
        <w:t>), s 47A.</w:t>
      </w:r>
    </w:p>
  </w:endnote>
  <w:endnote w:id="11">
    <w:p w14:paraId="0A07ED1E" w14:textId="77777777" w:rsidR="007F787F" w:rsidRPr="005B5627" w:rsidRDefault="007F787F">
      <w:pPr>
        <w:pStyle w:val="EndnoteText"/>
      </w:pPr>
      <w:r>
        <w:rPr>
          <w:rStyle w:val="EndnoteReference"/>
        </w:rPr>
        <w:endnoteRef/>
      </w:r>
      <w:r>
        <w:t xml:space="preserve"> </w:t>
      </w:r>
      <w:r>
        <w:rPr>
          <w:i/>
        </w:rPr>
        <w:t xml:space="preserve">Marriage Amendments (Same-Sex Marriage) Bill 201X </w:t>
      </w:r>
      <w:r>
        <w:t>(</w:t>
      </w:r>
      <w:proofErr w:type="spellStart"/>
      <w:r>
        <w:t>Cth</w:t>
      </w:r>
      <w:proofErr w:type="spellEnd"/>
      <w:r>
        <w:t>), s</w:t>
      </w:r>
      <w:r w:rsidR="0098770B">
        <w:t xml:space="preserve"> </w:t>
      </w:r>
      <w:r>
        <w:t>47B.</w:t>
      </w:r>
    </w:p>
  </w:endnote>
  <w:endnote w:id="12">
    <w:p w14:paraId="6D204082" w14:textId="4507F401" w:rsidR="0076579E" w:rsidRPr="009A1209" w:rsidRDefault="0076579E">
      <w:pPr>
        <w:pStyle w:val="EndnoteText"/>
        <w:rPr>
          <w:i/>
        </w:rPr>
      </w:pPr>
      <w:r>
        <w:rPr>
          <w:rStyle w:val="EndnoteReference"/>
        </w:rPr>
        <w:endnoteRef/>
      </w:r>
      <w:r>
        <w:t xml:space="preserve"> This has not been </w:t>
      </w:r>
      <w:r w:rsidR="001D78A6">
        <w:t xml:space="preserve">explicitly </w:t>
      </w:r>
      <w:r>
        <w:t xml:space="preserve">addressed </w:t>
      </w:r>
      <w:r w:rsidR="001D78A6">
        <w:t>in</w:t>
      </w:r>
      <w:r>
        <w:t xml:space="preserve"> the </w:t>
      </w:r>
      <w:r>
        <w:rPr>
          <w:i/>
        </w:rPr>
        <w:t xml:space="preserve">Marriage Amendment (Same-Sex Marriage) Bill 201X </w:t>
      </w:r>
      <w:r w:rsidR="009A1209">
        <w:t>(</w:t>
      </w:r>
      <w:proofErr w:type="spellStart"/>
      <w:r w:rsidR="009A1209">
        <w:t>Cth</w:t>
      </w:r>
      <w:proofErr w:type="spellEnd"/>
      <w:r w:rsidR="009A1209">
        <w:t xml:space="preserve">), however, protections within the </w:t>
      </w:r>
      <w:r w:rsidR="009A1209">
        <w:rPr>
          <w:i/>
        </w:rPr>
        <w:t xml:space="preserve">Sex Discrimination Act 1984 </w:t>
      </w:r>
      <w:r w:rsidR="009A1209">
        <w:t>(</w:t>
      </w:r>
      <w:proofErr w:type="spellStart"/>
      <w:r w:rsidR="009A1209">
        <w:t>Cth</w:t>
      </w:r>
      <w:proofErr w:type="spellEnd"/>
      <w:r w:rsidR="009A1209">
        <w:t>)</w:t>
      </w:r>
      <w:r w:rsidR="009A1209">
        <w:t xml:space="preserve"> are likely to apply.</w:t>
      </w:r>
    </w:p>
  </w:endnote>
  <w:endnote w:id="13">
    <w:p w14:paraId="0957A64E" w14:textId="77777777" w:rsidR="007F787F" w:rsidRPr="00AA1788"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5A.</w:t>
      </w:r>
    </w:p>
  </w:endnote>
  <w:endnote w:id="14">
    <w:p w14:paraId="0293A12F" w14:textId="77777777" w:rsidR="007F787F"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22.</w:t>
      </w:r>
    </w:p>
  </w:endnote>
  <w:endnote w:id="15">
    <w:p w14:paraId="749B26F1" w14:textId="77777777" w:rsidR="007F787F"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40(2A).</w:t>
      </w:r>
      <w:bookmarkStart w:id="0" w:name="_GoBack"/>
      <w:bookmarkEnd w:id="0"/>
    </w:p>
  </w:endnote>
  <w:endnote w:id="16">
    <w:p w14:paraId="7F31E575" w14:textId="77777777" w:rsidR="007F787F" w:rsidRDefault="007F787F" w:rsidP="005B5627">
      <w:pPr>
        <w:pStyle w:val="EndnoteText"/>
      </w:pPr>
      <w:r>
        <w:rPr>
          <w:rStyle w:val="EndnoteReference"/>
        </w:rPr>
        <w:endnoteRef/>
      </w:r>
      <w:r>
        <w:t xml:space="preserve"> </w:t>
      </w:r>
      <w:r>
        <w:rPr>
          <w:i/>
        </w:rPr>
        <w:t xml:space="preserve">Sex Discrimination Act 1984 </w:t>
      </w:r>
      <w:r>
        <w:t>(</w:t>
      </w:r>
      <w:proofErr w:type="spellStart"/>
      <w:r>
        <w:t>Cth</w:t>
      </w:r>
      <w:proofErr w:type="spellEnd"/>
      <w:r>
        <w:t>), s 37(1)(d).</w:t>
      </w:r>
    </w:p>
  </w:endnote>
  <w:endnote w:id="17">
    <w:p w14:paraId="383CBEA7" w14:textId="77777777" w:rsidR="00A266EA" w:rsidRPr="00AE4B5D" w:rsidRDefault="00A266EA">
      <w:pPr>
        <w:pStyle w:val="EndnoteText"/>
      </w:pPr>
      <w:r>
        <w:rPr>
          <w:rStyle w:val="EndnoteReference"/>
        </w:rPr>
        <w:endnoteRef/>
      </w:r>
      <w:r>
        <w:t xml:space="preserve"> </w:t>
      </w:r>
      <w:r w:rsidR="00AE4B5D" w:rsidRPr="00AE4B5D">
        <w:t>See submission.</w:t>
      </w:r>
    </w:p>
  </w:endnote>
  <w:endnote w:id="18">
    <w:p w14:paraId="0D6ADDF8" w14:textId="77777777" w:rsidR="00A266EA" w:rsidRDefault="00A266EA" w:rsidP="00A266EA">
      <w:pPr>
        <w:pStyle w:val="EndnoteText"/>
      </w:pPr>
      <w:r w:rsidRPr="00AE4B5D">
        <w:rPr>
          <w:rStyle w:val="EndnoteReference"/>
        </w:rPr>
        <w:endnoteRef/>
      </w:r>
      <w:r w:rsidRPr="00AE4B5D">
        <w:t xml:space="preserve"> </w:t>
      </w:r>
      <w:r w:rsidR="00AE4B5D" w:rsidRPr="00AE4B5D">
        <w:t>See submission</w:t>
      </w:r>
      <w:r w:rsidR="0022437B">
        <w:t>.</w:t>
      </w:r>
    </w:p>
  </w:endnote>
  <w:endnote w:id="19">
    <w:p w14:paraId="57D229A4" w14:textId="1FB12231" w:rsidR="00A266EA" w:rsidRPr="00AE4B5D" w:rsidRDefault="00A266EA" w:rsidP="00A266EA">
      <w:pPr>
        <w:pStyle w:val="EndnoteText"/>
      </w:pPr>
      <w:r w:rsidRPr="008B1C2D">
        <w:rPr>
          <w:rStyle w:val="EndnoteReference"/>
        </w:rPr>
        <w:endnoteRef/>
      </w:r>
      <w:r w:rsidRPr="008B1C2D">
        <w:t xml:space="preserve"> </w:t>
      </w:r>
      <w:r w:rsidR="0045569A" w:rsidRPr="008B1C2D">
        <w:t>This will only apply to religious</w:t>
      </w:r>
      <w:r w:rsidR="0045569A">
        <w:t xml:space="preserve"> organisations as per s 37(1)(d) of the </w:t>
      </w:r>
      <w:r w:rsidR="0045569A">
        <w:rPr>
          <w:i/>
        </w:rPr>
        <w:t xml:space="preserve">Sex Discrimination Act 1984 </w:t>
      </w:r>
      <w:r w:rsidR="0045569A">
        <w:t>(</w:t>
      </w:r>
      <w:proofErr w:type="spellStart"/>
      <w:r w:rsidR="0045569A">
        <w:t>Cth</w:t>
      </w:r>
      <w:proofErr w:type="spellEnd"/>
      <w:r w:rsidR="0045569A">
        <w:t>).</w:t>
      </w:r>
    </w:p>
  </w:endnote>
  <w:endnote w:id="20">
    <w:p w14:paraId="34945B69" w14:textId="4DF0887E" w:rsidR="00A266EA" w:rsidRPr="008B1C2D" w:rsidRDefault="00A266EA" w:rsidP="00A266EA">
      <w:pPr>
        <w:pStyle w:val="EndnoteText"/>
      </w:pPr>
      <w:r w:rsidRPr="008B1C2D">
        <w:rPr>
          <w:rStyle w:val="EndnoteReference"/>
        </w:rPr>
        <w:endnoteRef/>
      </w:r>
      <w:r w:rsidRPr="008B1C2D">
        <w:t xml:space="preserve"> </w:t>
      </w:r>
      <w:r w:rsidR="0045569A">
        <w:t xml:space="preserve">This has not been explicitly addressed in the </w:t>
      </w:r>
      <w:r w:rsidR="0045569A">
        <w:rPr>
          <w:i/>
        </w:rPr>
        <w:t xml:space="preserve">Marriage Amendment (Same-Sex Marriage) Bill 201X </w:t>
      </w:r>
      <w:r w:rsidR="0045569A">
        <w:t>(</w:t>
      </w:r>
      <w:proofErr w:type="spellStart"/>
      <w:r w:rsidR="0045569A">
        <w:t>Cth</w:t>
      </w:r>
      <w:proofErr w:type="spellEnd"/>
      <w:r w:rsidR="0045569A">
        <w:t xml:space="preserve">), however, protections within the </w:t>
      </w:r>
      <w:r w:rsidR="0045569A">
        <w:rPr>
          <w:i/>
        </w:rPr>
        <w:t xml:space="preserve">Sex Discrimination Act 1984 </w:t>
      </w:r>
      <w:r w:rsidR="0045569A">
        <w:t>(</w:t>
      </w:r>
      <w:proofErr w:type="spellStart"/>
      <w:r w:rsidR="0045569A">
        <w:t>Cth</w:t>
      </w:r>
      <w:proofErr w:type="spellEnd"/>
      <w:r w:rsidR="0045569A">
        <w:t xml:space="preserve">) are likely to apply. </w:t>
      </w:r>
    </w:p>
  </w:endnote>
  <w:endnote w:id="21">
    <w:p w14:paraId="3A839506" w14:textId="77777777" w:rsidR="00A266EA" w:rsidRPr="00AA1788" w:rsidRDefault="00A266EA" w:rsidP="00A266EA">
      <w:pPr>
        <w:pStyle w:val="EndnoteText"/>
      </w:pPr>
      <w:r>
        <w:rPr>
          <w:rStyle w:val="EndnoteReference"/>
        </w:rPr>
        <w:endnoteRef/>
      </w:r>
      <w:r>
        <w:t xml:space="preserve"> </w:t>
      </w:r>
      <w:r>
        <w:rPr>
          <w:i/>
        </w:rPr>
        <w:t xml:space="preserve">Sex Discrimination Act 1984 </w:t>
      </w:r>
      <w:r>
        <w:t>(</w:t>
      </w:r>
      <w:proofErr w:type="spellStart"/>
      <w:r>
        <w:t>Cth</w:t>
      </w:r>
      <w:proofErr w:type="spellEnd"/>
      <w:r>
        <w:t>), s 5A.</w:t>
      </w:r>
    </w:p>
  </w:endnote>
  <w:endnote w:id="22">
    <w:p w14:paraId="64F8E4C3" w14:textId="77777777" w:rsidR="00A266EA" w:rsidRDefault="00A266EA" w:rsidP="00A266EA">
      <w:pPr>
        <w:pStyle w:val="EndnoteText"/>
      </w:pPr>
      <w:r>
        <w:rPr>
          <w:rStyle w:val="EndnoteReference"/>
        </w:rPr>
        <w:endnoteRef/>
      </w:r>
      <w:r>
        <w:t xml:space="preserve"> </w:t>
      </w:r>
      <w:r>
        <w:rPr>
          <w:i/>
        </w:rPr>
        <w:t xml:space="preserve">Sex Discrimination Act 1984 </w:t>
      </w:r>
      <w:r>
        <w:t>(</w:t>
      </w:r>
      <w:proofErr w:type="spellStart"/>
      <w:r>
        <w:t>Cth</w:t>
      </w:r>
      <w:proofErr w:type="spellEnd"/>
      <w:r>
        <w:t>), s 22.</w:t>
      </w:r>
    </w:p>
  </w:endnote>
  <w:endnote w:id="23">
    <w:p w14:paraId="3B6D0806" w14:textId="77777777" w:rsidR="00A266EA" w:rsidRDefault="00A266EA" w:rsidP="00A266EA">
      <w:pPr>
        <w:pStyle w:val="EndnoteText"/>
      </w:pPr>
      <w:r>
        <w:rPr>
          <w:rStyle w:val="EndnoteReference"/>
        </w:rPr>
        <w:endnoteRef/>
      </w:r>
      <w:r>
        <w:t xml:space="preserve"> </w:t>
      </w:r>
      <w:r>
        <w:rPr>
          <w:i/>
        </w:rPr>
        <w:t xml:space="preserve">Sex Discrimination Act 1984 </w:t>
      </w:r>
      <w:r>
        <w:t>(</w:t>
      </w:r>
      <w:proofErr w:type="spellStart"/>
      <w:r>
        <w:t>Cth</w:t>
      </w:r>
      <w:proofErr w:type="spellEnd"/>
      <w:r>
        <w:t>), s 40(2A).</w:t>
      </w:r>
    </w:p>
  </w:endnote>
  <w:endnote w:id="24">
    <w:p w14:paraId="60D99955" w14:textId="77777777" w:rsidR="00A266EA" w:rsidRDefault="00A266EA" w:rsidP="00A266EA">
      <w:pPr>
        <w:pStyle w:val="EndnoteText"/>
      </w:pPr>
      <w:r>
        <w:rPr>
          <w:rStyle w:val="EndnoteReference"/>
        </w:rPr>
        <w:endnoteRef/>
      </w:r>
      <w:r>
        <w:t xml:space="preserve"> </w:t>
      </w:r>
      <w:r>
        <w:rPr>
          <w:i/>
        </w:rPr>
        <w:t xml:space="preserve">Sex Discrimination Act 1984 </w:t>
      </w:r>
      <w:r>
        <w:t>(</w:t>
      </w:r>
      <w:proofErr w:type="spellStart"/>
      <w:r>
        <w:t>Cth</w:t>
      </w:r>
      <w:proofErr w:type="spellEnd"/>
      <w:r>
        <w:t>), s 37(1)(d).</w:t>
      </w:r>
    </w:p>
  </w:endnote>
  <w:endnote w:id="25">
    <w:p w14:paraId="16DC32D7" w14:textId="77777777" w:rsidR="007F787F" w:rsidRPr="005B5627" w:rsidRDefault="007F787F" w:rsidP="005B5627">
      <w:pPr>
        <w:pStyle w:val="EndnoteText"/>
      </w:pPr>
      <w:r>
        <w:rPr>
          <w:rStyle w:val="EndnoteReference"/>
        </w:rPr>
        <w:endnoteRef/>
      </w:r>
      <w:r>
        <w:t xml:space="preserve"> </w:t>
      </w:r>
      <w:r>
        <w:rPr>
          <w:i/>
        </w:rPr>
        <w:t xml:space="preserve">Marriage Equality Act 2011 </w:t>
      </w:r>
      <w:r>
        <w:t>(New York), s 5(1)(a).</w:t>
      </w:r>
    </w:p>
  </w:endnote>
  <w:endnote w:id="26">
    <w:p w14:paraId="1897173B" w14:textId="77777777" w:rsidR="007F787F" w:rsidRPr="006C3953" w:rsidRDefault="007F787F">
      <w:pPr>
        <w:pStyle w:val="EndnoteText"/>
      </w:pPr>
      <w:r>
        <w:rPr>
          <w:rStyle w:val="EndnoteReference"/>
        </w:rPr>
        <w:endnoteRef/>
      </w:r>
      <w:r>
        <w:t xml:space="preserve"> The exception under s5(1)(a) of the </w:t>
      </w:r>
      <w:r>
        <w:rPr>
          <w:i/>
        </w:rPr>
        <w:t>Marriage Equality Act 2011</w:t>
      </w:r>
      <w:r>
        <w:t xml:space="preserve"> (New York) only applies to a minister or clergyman, meaning a minister or clergy</w:t>
      </w:r>
      <w:r w:rsidR="0098770B">
        <w:t>man</w:t>
      </w:r>
      <w:r>
        <w:t xml:space="preserve"> of a religious faith. </w:t>
      </w:r>
      <w:r w:rsidR="0098770B">
        <w:t>The exception then only applies to those with</w:t>
      </w:r>
      <w:r>
        <w:t xml:space="preserve"> a direct connection </w:t>
      </w:r>
      <w:r w:rsidR="00BD1384">
        <w:t>to</w:t>
      </w:r>
      <w:r>
        <w:t xml:space="preserve"> a religious body, and therefore is unlikely to extend to include celebrants who are not affiliated or registered with a religious body.</w:t>
      </w:r>
    </w:p>
  </w:endnote>
  <w:endnote w:id="27">
    <w:p w14:paraId="776303F4" w14:textId="77777777" w:rsidR="007F787F" w:rsidRPr="008E4A74" w:rsidRDefault="007F787F">
      <w:pPr>
        <w:pStyle w:val="EndnoteText"/>
      </w:pPr>
      <w:r>
        <w:rPr>
          <w:rStyle w:val="EndnoteReference"/>
        </w:rPr>
        <w:endnoteRef/>
      </w:r>
      <w:r>
        <w:t xml:space="preserve"> Religious corporations can refuse ‘accommodations, advantages, facilities or privilege</w:t>
      </w:r>
      <w:r w:rsidR="00AF1B86">
        <w:t>’</w:t>
      </w:r>
      <w:r>
        <w:t xml:space="preserve"> related to the solemnization or celebration of </w:t>
      </w:r>
      <w:r w:rsidR="00AF1B86">
        <w:t xml:space="preserve">same-sex </w:t>
      </w:r>
      <w:r>
        <w:t xml:space="preserve">marriage under s10(b)(1) of the </w:t>
      </w:r>
      <w:r>
        <w:rPr>
          <w:i/>
        </w:rPr>
        <w:t xml:space="preserve">Marriage Equality Act 2011 </w:t>
      </w:r>
      <w:r>
        <w:t xml:space="preserve">(New York). This only applies to ‘religious corporations’, with the requirement of being incorporated under the education law or the religious corporations law. Section 10(b)(2) of the </w:t>
      </w:r>
      <w:r>
        <w:rPr>
          <w:i/>
        </w:rPr>
        <w:t xml:space="preserve">Marriage Equality Act 2011 </w:t>
      </w:r>
      <w:r>
        <w:t>(New York) prevents a civil claim or cause of action being brought against a religious</w:t>
      </w:r>
      <w:r w:rsidR="0020632B">
        <w:t xml:space="preserve"> corporation on the</w:t>
      </w:r>
      <w:r>
        <w:t xml:space="preserve"> basis</w:t>
      </w:r>
      <w:r w:rsidR="0020632B">
        <w:t xml:space="preserve"> of sexual orientation</w:t>
      </w:r>
      <w:r w:rsidR="00AF1B86">
        <w:t xml:space="preserve"> in the context of </w:t>
      </w:r>
      <w:r w:rsidR="00A266EA">
        <w:t xml:space="preserve">services for </w:t>
      </w:r>
      <w:r w:rsidR="00AF1B86">
        <w:t>marriage</w:t>
      </w:r>
      <w:r>
        <w:t>.</w:t>
      </w:r>
    </w:p>
  </w:endnote>
  <w:endnote w:id="28">
    <w:p w14:paraId="2C9B9975" w14:textId="77777777" w:rsidR="007F787F" w:rsidRPr="001257DA" w:rsidRDefault="007F787F">
      <w:pPr>
        <w:pStyle w:val="EndnoteText"/>
      </w:pPr>
      <w:r>
        <w:rPr>
          <w:rStyle w:val="EndnoteReference"/>
        </w:rPr>
        <w:endnoteRef/>
      </w:r>
      <w:r>
        <w:t xml:space="preserve"> Section 10(a)(2) of the </w:t>
      </w:r>
      <w:r>
        <w:rPr>
          <w:i/>
        </w:rPr>
        <w:t xml:space="preserve">Marriage Equality Act 2011 </w:t>
      </w:r>
      <w:r w:rsidR="00601D37">
        <w:t>(New York) ensures that same</w:t>
      </w:r>
      <w:r w:rsidR="00F15C0A">
        <w:t>-sex marriages receive</w:t>
      </w:r>
      <w:r>
        <w:t xml:space="preserve"> the same government treatment afforded to heterosexual marriages. </w:t>
      </w:r>
      <w:r w:rsidR="00F15C0A">
        <w:t>In relation to other service</w:t>
      </w:r>
      <w:r w:rsidR="00601D37">
        <w:t xml:space="preserve"> providers (being non-religious)</w:t>
      </w:r>
      <w:r>
        <w:t xml:space="preserve">, it was held in the case of </w:t>
      </w:r>
      <w:r>
        <w:rPr>
          <w:i/>
        </w:rPr>
        <w:t xml:space="preserve">Gifford v McCarthy </w:t>
      </w:r>
      <w:r>
        <w:t xml:space="preserve">23 N.Y.S.3d 422 (2016) that a business </w:t>
      </w:r>
      <w:r w:rsidR="00F15C0A">
        <w:t>could not</w:t>
      </w:r>
      <w:r>
        <w:t xml:space="preserve"> discriminate against customers “on the basis of sexual orientation or any other sexual characteristic”. The </w:t>
      </w:r>
      <w:r>
        <w:rPr>
          <w:i/>
        </w:rPr>
        <w:t xml:space="preserve">Gifford </w:t>
      </w:r>
      <w:r>
        <w:t>case illustrates an emerging intolerance of discrimination towards same-s</w:t>
      </w:r>
      <w:r w:rsidR="00F15C0A">
        <w:t>ex couples in providing services, where those services are not provided by a religious organisation</w:t>
      </w:r>
      <w:r>
        <w:t xml:space="preserve">. </w:t>
      </w:r>
    </w:p>
  </w:endnote>
  <w:endnote w:id="29">
    <w:p w14:paraId="685AF40B" w14:textId="77777777" w:rsidR="007F787F" w:rsidRPr="009D5B93" w:rsidRDefault="007F787F">
      <w:pPr>
        <w:pStyle w:val="EndnoteText"/>
      </w:pPr>
      <w:r>
        <w:rPr>
          <w:rStyle w:val="EndnoteReference"/>
        </w:rPr>
        <w:endnoteRef/>
      </w:r>
      <w:r>
        <w:t xml:space="preserve"> The </w:t>
      </w:r>
      <w:r>
        <w:rPr>
          <w:i/>
        </w:rPr>
        <w:t xml:space="preserve">Sexual Orientation Non-Discrimination Act 2003 </w:t>
      </w:r>
      <w:r>
        <w:t>(New York) prohibits discrimination on the basis of actual or perceived sexual orientation.</w:t>
      </w:r>
    </w:p>
  </w:endnote>
  <w:endnote w:id="30">
    <w:p w14:paraId="04514256" w14:textId="77777777" w:rsidR="007F787F" w:rsidRDefault="007F787F">
      <w:pPr>
        <w:pStyle w:val="EndnoteText"/>
      </w:pPr>
      <w:r>
        <w:rPr>
          <w:rStyle w:val="EndnoteReference"/>
        </w:rPr>
        <w:endnoteRef/>
      </w:r>
      <w:r>
        <w:t xml:space="preserve"> The </w:t>
      </w:r>
      <w:r>
        <w:rPr>
          <w:i/>
        </w:rPr>
        <w:t xml:space="preserve">Sexual Orientation Non-Discrimination Act 2003 </w:t>
      </w:r>
      <w:r>
        <w:t>(New York) prohibits discrimination on the basis of actual or perceived sexual orientation. This includes services</w:t>
      </w:r>
      <w:r w:rsidR="004D233A">
        <w:t>, amongst other things,</w:t>
      </w:r>
      <w:r>
        <w:t xml:space="preserve"> for housing, public accommodations, education and credit. An exception for religious or denominational institutions will apply where an organisation for charitable or educational purposes is controlled by or in connection with that religious institution to the extent that the institution may limit, give preference or take action to promote religious principles and choose those of the same religion in providing the services. </w:t>
      </w:r>
    </w:p>
  </w:endnote>
  <w:endnote w:id="31">
    <w:p w14:paraId="3C6A85C7" w14:textId="77777777" w:rsidR="00613D3D" w:rsidRDefault="00613D3D">
      <w:pPr>
        <w:pStyle w:val="EndnoteText"/>
      </w:pPr>
      <w:r>
        <w:rPr>
          <w:rStyle w:val="EndnoteReference"/>
        </w:rPr>
        <w:endnoteRef/>
      </w:r>
      <w:r>
        <w:t xml:space="preserve"> There appears to be no direct reference to marriage legislation, with respect to an exception under the relevant discrimination law.</w:t>
      </w:r>
    </w:p>
  </w:endnote>
  <w:endnote w:id="32">
    <w:p w14:paraId="5D9B0765" w14:textId="77777777" w:rsidR="007F787F" w:rsidRDefault="007F787F">
      <w:pPr>
        <w:pStyle w:val="EndnoteText"/>
      </w:pPr>
      <w:r>
        <w:rPr>
          <w:rStyle w:val="EndnoteReference"/>
        </w:rPr>
        <w:endnoteRef/>
      </w:r>
      <w:r w:rsidR="00A266EA">
        <w:t xml:space="preserve"> See endnote 30</w:t>
      </w:r>
      <w:r>
        <w:t>.</w:t>
      </w:r>
    </w:p>
  </w:endnote>
  <w:endnote w:id="33">
    <w:p w14:paraId="1F77A14F" w14:textId="77777777" w:rsidR="007F787F" w:rsidRPr="00697B29" w:rsidRDefault="007F787F">
      <w:pPr>
        <w:pStyle w:val="EndnoteText"/>
      </w:pPr>
      <w:r>
        <w:rPr>
          <w:rStyle w:val="EndnoteReference"/>
        </w:rPr>
        <w:endnoteRef/>
      </w:r>
      <w:r>
        <w:t xml:space="preserve"> It is unlikely that discrimination, even by Ministers, would be tolerated under Spanish law with reference to the </w:t>
      </w:r>
      <w:proofErr w:type="spellStart"/>
      <w:r w:rsidRPr="00180AF8">
        <w:rPr>
          <w:i/>
        </w:rPr>
        <w:t>Constitución</w:t>
      </w:r>
      <w:proofErr w:type="spellEnd"/>
      <w:r w:rsidRPr="00180AF8">
        <w:rPr>
          <w:i/>
        </w:rPr>
        <w:t xml:space="preserve"> Española</w:t>
      </w:r>
      <w:r>
        <w:rPr>
          <w:i/>
        </w:rPr>
        <w:t xml:space="preserve">, </w:t>
      </w:r>
      <w:r>
        <w:t xml:space="preserve">Art14; </w:t>
      </w:r>
      <w:proofErr w:type="spellStart"/>
      <w:r w:rsidRPr="00697B29">
        <w:rPr>
          <w:i/>
        </w:rPr>
        <w:t>Código</w:t>
      </w:r>
      <w:proofErr w:type="spellEnd"/>
      <w:r w:rsidRPr="00697B29">
        <w:rPr>
          <w:i/>
        </w:rPr>
        <w:t xml:space="preserve"> Civil </w:t>
      </w:r>
      <w:r>
        <w:t>(Spain), Title IV.</w:t>
      </w:r>
      <w:r w:rsidR="00601D37">
        <w:t xml:space="preserve"> Unable to source equivalent reference in marriage legislation</w:t>
      </w:r>
      <w:r w:rsidR="00B53062">
        <w:t xml:space="preserve"> due to language limitations</w:t>
      </w:r>
      <w:r w:rsidR="00601D37">
        <w:t>.</w:t>
      </w:r>
    </w:p>
  </w:endnote>
  <w:endnote w:id="34">
    <w:p w14:paraId="4B741197" w14:textId="77777777" w:rsidR="007F787F" w:rsidRDefault="007F787F">
      <w:pPr>
        <w:pStyle w:val="EndnoteText"/>
      </w:pPr>
      <w:r>
        <w:rPr>
          <w:rStyle w:val="EndnoteReference"/>
        </w:rPr>
        <w:endnoteRef/>
      </w:r>
      <w:r>
        <w:t xml:space="preserve"> It is unlikely that discrimination by celebrants would be tolerated under Spanish law with reference to the </w:t>
      </w:r>
      <w:proofErr w:type="spellStart"/>
      <w:r w:rsidRPr="00180AF8">
        <w:rPr>
          <w:i/>
        </w:rPr>
        <w:t>Constitución</w:t>
      </w:r>
      <w:proofErr w:type="spellEnd"/>
      <w:r w:rsidRPr="00180AF8">
        <w:rPr>
          <w:i/>
        </w:rPr>
        <w:t xml:space="preserve"> Española</w:t>
      </w:r>
      <w:r>
        <w:rPr>
          <w:i/>
        </w:rPr>
        <w:t xml:space="preserve">, </w:t>
      </w:r>
      <w:r>
        <w:t xml:space="preserve">Art 14; </w:t>
      </w:r>
      <w:proofErr w:type="spellStart"/>
      <w:r w:rsidRPr="00697B29">
        <w:rPr>
          <w:i/>
        </w:rPr>
        <w:t>Código</w:t>
      </w:r>
      <w:proofErr w:type="spellEnd"/>
      <w:r w:rsidRPr="00697B29">
        <w:rPr>
          <w:i/>
        </w:rPr>
        <w:t xml:space="preserve"> Civil </w:t>
      </w:r>
      <w:r>
        <w:t>(Spain), Title IV.</w:t>
      </w:r>
      <w:r w:rsidR="00601D37" w:rsidRPr="00601D37">
        <w:t xml:space="preserve"> </w:t>
      </w:r>
      <w:r w:rsidR="00601D37">
        <w:t>Unable to source equivalent reference in marriage legislation</w:t>
      </w:r>
      <w:r w:rsidR="004164DF">
        <w:t xml:space="preserve"> due to language limitations</w:t>
      </w:r>
      <w:r w:rsidR="00601D37">
        <w:t>.</w:t>
      </w:r>
    </w:p>
  </w:endnote>
  <w:endnote w:id="35">
    <w:p w14:paraId="3ED3A90B" w14:textId="77777777" w:rsidR="007F787F" w:rsidRDefault="007F787F">
      <w:pPr>
        <w:pStyle w:val="EndnoteText"/>
      </w:pPr>
      <w:r>
        <w:rPr>
          <w:rStyle w:val="EndnoteReference"/>
        </w:rPr>
        <w:endnoteRef/>
      </w:r>
      <w:r>
        <w:t xml:space="preserve"> Under </w:t>
      </w:r>
      <w:proofErr w:type="spellStart"/>
      <w:r w:rsidRPr="00697B29">
        <w:rPr>
          <w:i/>
        </w:rPr>
        <w:t>Código</w:t>
      </w:r>
      <w:proofErr w:type="spellEnd"/>
      <w:r w:rsidRPr="00697B29">
        <w:rPr>
          <w:i/>
        </w:rPr>
        <w:t xml:space="preserve"> Civil </w:t>
      </w:r>
      <w:r>
        <w:t>(Spain), Title IV</w:t>
      </w:r>
      <w:r w:rsidR="00587C94">
        <w:t>, Art 44</w:t>
      </w:r>
      <w:r>
        <w:t>, a religious organisation is unlikely to be able to discriminate in providing services related to marriage.</w:t>
      </w:r>
      <w:r w:rsidR="00601D37">
        <w:t xml:space="preserve"> Unable to source equivalent reference in marriage legislation</w:t>
      </w:r>
      <w:r w:rsidR="004164DF">
        <w:t xml:space="preserve"> due to language limitations</w:t>
      </w:r>
      <w:r w:rsidR="00601D37">
        <w:t>.</w:t>
      </w:r>
    </w:p>
  </w:endnote>
  <w:endnote w:id="36">
    <w:p w14:paraId="5908E702" w14:textId="77777777" w:rsidR="007F787F" w:rsidRDefault="007F787F">
      <w:pPr>
        <w:pStyle w:val="EndnoteText"/>
      </w:pPr>
      <w:r>
        <w:rPr>
          <w:rStyle w:val="EndnoteReference"/>
        </w:rPr>
        <w:endnoteRef/>
      </w:r>
      <w:r>
        <w:t xml:space="preserve"> Under </w:t>
      </w:r>
      <w:proofErr w:type="spellStart"/>
      <w:r w:rsidRPr="00697B29">
        <w:rPr>
          <w:i/>
        </w:rPr>
        <w:t>Código</w:t>
      </w:r>
      <w:proofErr w:type="spellEnd"/>
      <w:r w:rsidRPr="00697B29">
        <w:rPr>
          <w:i/>
        </w:rPr>
        <w:t xml:space="preserve"> Civil </w:t>
      </w:r>
      <w:r>
        <w:t>(Spain), Title IV</w:t>
      </w:r>
      <w:r w:rsidR="00587C94">
        <w:t>, Art 44</w:t>
      </w:r>
      <w:r>
        <w:t>, an organisation is unlikely to be able to discriminate in providing services related to marriage.</w:t>
      </w:r>
      <w:r w:rsidR="00601D37">
        <w:t xml:space="preserve"> Unable to source equivalent reference in marriage legislation</w:t>
      </w:r>
      <w:r w:rsidR="004164DF">
        <w:t xml:space="preserve"> due to language limitations</w:t>
      </w:r>
      <w:r w:rsidR="00601D37">
        <w:t>.</w:t>
      </w:r>
    </w:p>
  </w:endnote>
  <w:endnote w:id="37">
    <w:p w14:paraId="459313AA" w14:textId="77777777" w:rsidR="007F787F" w:rsidRPr="0043081D" w:rsidRDefault="007F787F">
      <w:pPr>
        <w:pStyle w:val="EndnoteText"/>
      </w:pPr>
      <w:r>
        <w:rPr>
          <w:rStyle w:val="EndnoteReference"/>
        </w:rPr>
        <w:endnoteRef/>
      </w:r>
      <w:r>
        <w:t xml:space="preserve"> </w:t>
      </w:r>
      <w:proofErr w:type="spellStart"/>
      <w:r w:rsidRPr="00180AF8">
        <w:rPr>
          <w:i/>
        </w:rPr>
        <w:t>Constitución</w:t>
      </w:r>
      <w:proofErr w:type="spellEnd"/>
      <w:r w:rsidRPr="00180AF8">
        <w:rPr>
          <w:i/>
        </w:rPr>
        <w:t xml:space="preserve"> Española</w:t>
      </w:r>
      <w:r>
        <w:rPr>
          <w:i/>
        </w:rPr>
        <w:t xml:space="preserve">, </w:t>
      </w:r>
      <w:r>
        <w:t>Arts 14 and 18.</w:t>
      </w:r>
      <w:r w:rsidR="00935764">
        <w:t xml:space="preserve"> A specific reference to discrimination legislation could not be found due to language limitations. </w:t>
      </w:r>
    </w:p>
  </w:endnote>
  <w:endnote w:id="38">
    <w:p w14:paraId="366635BA" w14:textId="77777777" w:rsidR="007F787F" w:rsidRDefault="007F787F" w:rsidP="00935764">
      <w:pPr>
        <w:pStyle w:val="EndnoteText"/>
      </w:pPr>
      <w:r>
        <w:rPr>
          <w:rStyle w:val="EndnoteReference"/>
        </w:rPr>
        <w:endnoteRef/>
      </w:r>
      <w:r>
        <w:t xml:space="preserve"> </w:t>
      </w:r>
      <w:proofErr w:type="spellStart"/>
      <w:r w:rsidRPr="00180AF8">
        <w:rPr>
          <w:i/>
        </w:rPr>
        <w:t>Constitución</w:t>
      </w:r>
      <w:proofErr w:type="spellEnd"/>
      <w:r w:rsidRPr="00180AF8">
        <w:rPr>
          <w:i/>
        </w:rPr>
        <w:t xml:space="preserve"> Española</w:t>
      </w:r>
      <w:r>
        <w:rPr>
          <w:i/>
        </w:rPr>
        <w:t xml:space="preserve">, </w:t>
      </w:r>
      <w:r>
        <w:t>Arts 14 and 18.</w:t>
      </w:r>
      <w:r w:rsidR="00935764" w:rsidRPr="00935764">
        <w:t xml:space="preserve"> </w:t>
      </w:r>
      <w:r w:rsidR="00935764">
        <w:t>A specific reference to discrimination legislation could not be found due to language limitations.</w:t>
      </w:r>
    </w:p>
  </w:endnote>
  <w:endnote w:id="39">
    <w:p w14:paraId="0A27F9AA" w14:textId="77777777" w:rsidR="00B008C8" w:rsidRDefault="00B008C8" w:rsidP="00B008C8">
      <w:pPr>
        <w:pStyle w:val="EndnoteText"/>
      </w:pPr>
      <w:r>
        <w:rPr>
          <w:rStyle w:val="EndnoteReference"/>
        </w:rPr>
        <w:endnoteRef/>
      </w:r>
      <w:r>
        <w:t xml:space="preserve"> A specific reference to discrimination legislation could not be found due to language limitations.</w:t>
      </w:r>
    </w:p>
  </w:endnote>
  <w:endnote w:id="40">
    <w:p w14:paraId="3AA1A11C" w14:textId="77777777" w:rsidR="007F787F" w:rsidRPr="001E1BAE" w:rsidRDefault="007F787F" w:rsidP="00935764">
      <w:pPr>
        <w:pStyle w:val="EndnoteText"/>
      </w:pPr>
      <w:r>
        <w:rPr>
          <w:rStyle w:val="EndnoteReference"/>
        </w:rPr>
        <w:endnoteRef/>
      </w:r>
      <w:r>
        <w:t xml:space="preserve"> Art 16 of the </w:t>
      </w:r>
      <w:proofErr w:type="spellStart"/>
      <w:r w:rsidRPr="00180AF8">
        <w:rPr>
          <w:i/>
        </w:rPr>
        <w:t>Constitución</w:t>
      </w:r>
      <w:proofErr w:type="spellEnd"/>
      <w:r w:rsidRPr="00180AF8">
        <w:rPr>
          <w:i/>
        </w:rPr>
        <w:t xml:space="preserve"> Española</w:t>
      </w:r>
      <w:r>
        <w:rPr>
          <w:i/>
        </w:rPr>
        <w:t xml:space="preserve"> </w:t>
      </w:r>
      <w:r w:rsidR="00935764">
        <w:t>addresses</w:t>
      </w:r>
      <w:r>
        <w:t xml:space="preserve"> religious freedom. </w:t>
      </w:r>
      <w:r w:rsidR="00935764">
        <w:t>A specific reference to discrimination legislation or case law could not be found due to language limitations.</w:t>
      </w:r>
    </w:p>
  </w:endnote>
  <w:endnote w:id="41">
    <w:p w14:paraId="65AE8B68" w14:textId="77777777" w:rsidR="007F787F" w:rsidRDefault="007F787F">
      <w:pPr>
        <w:pStyle w:val="EndnoteText"/>
      </w:pPr>
      <w:r>
        <w:rPr>
          <w:rStyle w:val="EndnoteReference"/>
        </w:rPr>
        <w:endnoteRef/>
      </w:r>
      <w:r>
        <w:t xml:space="preserve"> </w:t>
      </w:r>
      <w:r w:rsidR="006A0335">
        <w:t xml:space="preserve">A specific reference to marriage legislation could not be found due to language limitations. </w:t>
      </w:r>
    </w:p>
  </w:endnote>
  <w:endnote w:id="42">
    <w:p w14:paraId="7427059F" w14:textId="77777777" w:rsidR="007F787F" w:rsidRDefault="007F787F" w:rsidP="00D1369B">
      <w:pPr>
        <w:pStyle w:val="EndnoteText"/>
      </w:pPr>
      <w:r>
        <w:rPr>
          <w:rStyle w:val="EndnoteReference"/>
        </w:rPr>
        <w:endnoteRef/>
      </w:r>
      <w:r>
        <w:t xml:space="preserve"> </w:t>
      </w:r>
      <w:r w:rsidR="00D1369B">
        <w:t>A specific reference to marriage legislation could not be found due to language limitations.</w:t>
      </w:r>
    </w:p>
  </w:endnote>
  <w:endnote w:id="43">
    <w:p w14:paraId="180F93BC" w14:textId="77777777" w:rsidR="007F787F" w:rsidRDefault="007F787F" w:rsidP="00D1369B">
      <w:pPr>
        <w:pStyle w:val="EndnoteText"/>
      </w:pPr>
      <w:r>
        <w:rPr>
          <w:rStyle w:val="EndnoteReference"/>
        </w:rPr>
        <w:endnoteRef/>
      </w:r>
      <w:r>
        <w:t xml:space="preserve"> </w:t>
      </w:r>
      <w:r w:rsidR="00D1369B">
        <w:t>A specific reference to marriage legislation could not be found due to language limitations.</w:t>
      </w:r>
      <w:r w:rsidR="002B7B8B">
        <w:t xml:space="preserve"> </w:t>
      </w:r>
    </w:p>
  </w:endnote>
  <w:endnote w:id="44">
    <w:p w14:paraId="28A34739" w14:textId="77777777" w:rsidR="007F787F" w:rsidRDefault="007F787F" w:rsidP="00D1369B">
      <w:pPr>
        <w:pStyle w:val="EndnoteText"/>
      </w:pPr>
      <w:r>
        <w:rPr>
          <w:rStyle w:val="EndnoteReference"/>
        </w:rPr>
        <w:endnoteRef/>
      </w:r>
      <w:r>
        <w:t xml:space="preserve"> </w:t>
      </w:r>
      <w:r w:rsidR="00D1369B">
        <w:t>A specific reference to marriage legislation could not be found due to language limitations.</w:t>
      </w:r>
    </w:p>
  </w:endnote>
  <w:endnote w:id="45">
    <w:p w14:paraId="1AF02AD4" w14:textId="77777777" w:rsidR="007F787F" w:rsidRPr="00C30D94" w:rsidRDefault="007F787F">
      <w:pPr>
        <w:pStyle w:val="EndnoteText"/>
      </w:pPr>
      <w:r>
        <w:rPr>
          <w:rStyle w:val="EndnoteReference"/>
        </w:rPr>
        <w:endnoteRef/>
      </w:r>
      <w:r>
        <w:t xml:space="preserve"> </w:t>
      </w:r>
      <w:r>
        <w:rPr>
          <w:i/>
        </w:rPr>
        <w:t>Constitution of the Federal Republic of Brazil,</w:t>
      </w:r>
      <w:r>
        <w:t xml:space="preserve"> Art 3. This prohibition of discrimination is also echoed throughout the states of Brazil in their municipal statutes.</w:t>
      </w:r>
      <w:r w:rsidR="002B7B8B">
        <w:t xml:space="preserve"> A specific reference to discrimination legislation could not be found due to language limitations. </w:t>
      </w:r>
    </w:p>
  </w:endnote>
  <w:endnote w:id="46">
    <w:p w14:paraId="0AA7C7AF" w14:textId="77777777" w:rsidR="007F787F" w:rsidRDefault="007F787F" w:rsidP="006967FB">
      <w:pPr>
        <w:pStyle w:val="EndnoteText"/>
      </w:pPr>
      <w:r>
        <w:rPr>
          <w:rStyle w:val="EndnoteReference"/>
        </w:rPr>
        <w:endnoteRef/>
      </w:r>
      <w:r w:rsidR="00EA2C0F">
        <w:t xml:space="preserve"> Art</w:t>
      </w:r>
      <w:r>
        <w:t xml:space="preserve"> 3 of the </w:t>
      </w:r>
      <w:r>
        <w:rPr>
          <w:i/>
        </w:rPr>
        <w:t>Constitution of the Federal Republic of Brazil</w:t>
      </w:r>
      <w:r>
        <w:t xml:space="preserve"> provides a broad prohibition towards discrimination</w:t>
      </w:r>
      <w:r w:rsidR="002B7B8B">
        <w:t xml:space="preserve">. A specific reference to discrimination legislation could not be found due to language limitations. </w:t>
      </w:r>
    </w:p>
  </w:endnote>
  <w:endnote w:id="47">
    <w:p w14:paraId="61A42EAF" w14:textId="77777777" w:rsidR="007F787F" w:rsidRDefault="007F787F" w:rsidP="00084B19">
      <w:pPr>
        <w:pStyle w:val="EndnoteText"/>
      </w:pPr>
      <w:r>
        <w:rPr>
          <w:rStyle w:val="EndnoteReference"/>
        </w:rPr>
        <w:endnoteRef/>
      </w:r>
      <w:r>
        <w:t xml:space="preserve"> </w:t>
      </w:r>
      <w:r w:rsidR="002B7B8B">
        <w:t xml:space="preserve">A specific reference to discrimination legislation could not be found due to language limitations. </w:t>
      </w:r>
    </w:p>
  </w:endnote>
  <w:endnote w:id="48">
    <w:p w14:paraId="729FCC8F" w14:textId="77777777" w:rsidR="007F787F" w:rsidRDefault="007F787F" w:rsidP="00084B19">
      <w:pPr>
        <w:pStyle w:val="EndnoteText"/>
      </w:pPr>
      <w:r>
        <w:rPr>
          <w:rStyle w:val="EndnoteReference"/>
        </w:rPr>
        <w:endnoteRef/>
      </w:r>
      <w:r>
        <w:t xml:space="preserve"> </w:t>
      </w:r>
      <w:r w:rsidR="002B7B8B">
        <w:t xml:space="preserve">A specific reference to discrimination legislation could not be found due to language limitations. </w:t>
      </w:r>
    </w:p>
  </w:endnote>
  <w:endnote w:id="49">
    <w:p w14:paraId="777773BF" w14:textId="77777777" w:rsidR="007F787F" w:rsidRPr="00351DE5" w:rsidRDefault="007F787F">
      <w:pPr>
        <w:pStyle w:val="EndnoteText"/>
      </w:pPr>
      <w:r>
        <w:rPr>
          <w:rStyle w:val="EndnoteReference"/>
        </w:rPr>
        <w:endnoteRef/>
      </w:r>
      <w:r>
        <w:t xml:space="preserve"> </w:t>
      </w:r>
      <w:r>
        <w:rPr>
          <w:i/>
        </w:rPr>
        <w:t xml:space="preserve">Marriage (Same Sex Couples) Act 2013 </w:t>
      </w:r>
      <w:r>
        <w:t>(UK)</w:t>
      </w:r>
      <w:r>
        <w:rPr>
          <w:i/>
        </w:rPr>
        <w:t>,</w:t>
      </w:r>
      <w:r w:rsidR="00EA2C0F">
        <w:t xml:space="preserve"> P</w:t>
      </w:r>
      <w:r>
        <w:t>t 1.</w:t>
      </w:r>
      <w:r w:rsidR="00BE4555">
        <w:t xml:space="preserve"> The legislation provides a ‘quadruple lock’ which protects religious organisations and officials with respect to solemnising same-sex marriages.</w:t>
      </w:r>
      <w:r w:rsidR="00351DE5">
        <w:t xml:space="preserve"> The Church of England carries a separate set of rules under the </w:t>
      </w:r>
      <w:r w:rsidR="00351DE5">
        <w:rPr>
          <w:i/>
        </w:rPr>
        <w:t xml:space="preserve">Marriage (Same Sex Couples) Act 2013 </w:t>
      </w:r>
      <w:r w:rsidR="00351DE5">
        <w:t>(UK).</w:t>
      </w:r>
    </w:p>
  </w:endnote>
  <w:endnote w:id="50">
    <w:p w14:paraId="3CA05282" w14:textId="77777777" w:rsidR="007F787F" w:rsidRPr="00912E49" w:rsidRDefault="007F787F">
      <w:pPr>
        <w:pStyle w:val="EndnoteText"/>
      </w:pPr>
      <w:r>
        <w:rPr>
          <w:rStyle w:val="EndnoteReference"/>
        </w:rPr>
        <w:endnoteRef/>
      </w:r>
      <w:r>
        <w:t xml:space="preserve"> A celebrant isn’t directly referred to in the </w:t>
      </w:r>
      <w:r>
        <w:rPr>
          <w:i/>
        </w:rPr>
        <w:t>Marriage (Same Sex Couples) Act 2013</w:t>
      </w:r>
      <w:r w:rsidR="003C0811">
        <w:rPr>
          <w:i/>
        </w:rPr>
        <w:t xml:space="preserve"> </w:t>
      </w:r>
      <w:r w:rsidR="003C0811">
        <w:t>(UK)</w:t>
      </w:r>
      <w:r>
        <w:rPr>
          <w:i/>
        </w:rPr>
        <w:t>,</w:t>
      </w:r>
      <w:r>
        <w:t xml:space="preserve"> however, the exception afforded to religious orga</w:t>
      </w:r>
      <w:r w:rsidR="00CF2028">
        <w:t>nisations in solemnising a same-</w:t>
      </w:r>
      <w:r>
        <w:t xml:space="preserve">sex marriage will not extend to a ‘registrar, superintendent registrar or the Registrar General’ (section 2(4) of the </w:t>
      </w:r>
      <w:r>
        <w:rPr>
          <w:i/>
        </w:rPr>
        <w:t>Marriage (Same Sex Couples) Act 2013</w:t>
      </w:r>
      <w:r w:rsidR="003852B9">
        <w:rPr>
          <w:i/>
        </w:rPr>
        <w:t xml:space="preserve"> </w:t>
      </w:r>
      <w:r w:rsidR="003852B9">
        <w:t>(UK)</w:t>
      </w:r>
      <w:r w:rsidRPr="00E61C6F">
        <w:t>)</w:t>
      </w:r>
      <w:r>
        <w:t xml:space="preserve">. These positions are analogous to the role of a celebrant in the Australian context. Therefore, </w:t>
      </w:r>
      <w:r w:rsidR="00CF2028">
        <w:t xml:space="preserve">it is unlikely that </w:t>
      </w:r>
      <w:r>
        <w:t xml:space="preserve">celebrants (or their equivalent) are permitted to refuse to solemnise a same-sex marriage on the basis of religious belief, conscience or any other grounds. </w:t>
      </w:r>
    </w:p>
  </w:endnote>
  <w:endnote w:id="51">
    <w:p w14:paraId="6D8A2342" w14:textId="77777777" w:rsidR="007F787F" w:rsidRPr="0070070A" w:rsidRDefault="007F787F">
      <w:pPr>
        <w:pStyle w:val="EndnoteText"/>
      </w:pPr>
      <w:r>
        <w:rPr>
          <w:rStyle w:val="EndnoteReference"/>
        </w:rPr>
        <w:endnoteRef/>
      </w:r>
      <w:r>
        <w:t xml:space="preserve"> </w:t>
      </w:r>
      <w:r w:rsidR="009E73CE">
        <w:t xml:space="preserve">Section 2(6) of the </w:t>
      </w:r>
      <w:r w:rsidR="009E73CE">
        <w:rPr>
          <w:i/>
        </w:rPr>
        <w:t xml:space="preserve">Marriage (Same Sex Couples) Act 2013 </w:t>
      </w:r>
      <w:r w:rsidR="009E73CE">
        <w:t xml:space="preserve">(UK) explicitly states that an exception is to be drafted into the </w:t>
      </w:r>
      <w:r w:rsidRPr="009E73CE">
        <w:rPr>
          <w:i/>
        </w:rPr>
        <w:t xml:space="preserve">Equality Act 2010 </w:t>
      </w:r>
      <w:r w:rsidRPr="009E73CE">
        <w:t>(UK)</w:t>
      </w:r>
      <w:r w:rsidRPr="009E73CE">
        <w:rPr>
          <w:i/>
        </w:rPr>
        <w:t xml:space="preserve">, </w:t>
      </w:r>
      <w:proofErr w:type="spellStart"/>
      <w:r w:rsidRPr="009E73CE">
        <w:t>Sch</w:t>
      </w:r>
      <w:proofErr w:type="spellEnd"/>
      <w:r w:rsidR="00EA2C0F">
        <w:t xml:space="preserve"> 3, P</w:t>
      </w:r>
      <w:r w:rsidRPr="009E73CE">
        <w:t>t 6A, s</w:t>
      </w:r>
      <w:r w:rsidR="000855FB">
        <w:t xml:space="preserve"> </w:t>
      </w:r>
      <w:r w:rsidRPr="009E73CE">
        <w:t>25</w:t>
      </w:r>
      <w:proofErr w:type="gramStart"/>
      <w:r w:rsidRPr="009E73CE">
        <w:t>A(</w:t>
      </w:r>
      <w:proofErr w:type="gramEnd"/>
      <w:r w:rsidRPr="009E73CE">
        <w:t>1).</w:t>
      </w:r>
      <w:r>
        <w:t xml:space="preserve"> This exception is narrow</w:t>
      </w:r>
      <w:r w:rsidR="00E42FC4">
        <w:t>ed</w:t>
      </w:r>
      <w:r>
        <w:t xml:space="preserve"> to services provided </w:t>
      </w:r>
      <w:r w:rsidR="00E42FC4">
        <w:t>in order to</w:t>
      </w:r>
      <w:r>
        <w:t xml:space="preserve"> conduct a marriage</w:t>
      </w:r>
      <w:r w:rsidR="00E625F7">
        <w:t xml:space="preserve"> for </w:t>
      </w:r>
      <w:r w:rsidR="008E7059">
        <w:t>a religious organisation.</w:t>
      </w:r>
    </w:p>
  </w:endnote>
  <w:endnote w:id="52">
    <w:p w14:paraId="6777999A" w14:textId="77777777" w:rsidR="007F787F" w:rsidRDefault="007F787F">
      <w:pPr>
        <w:pStyle w:val="EndnoteText"/>
      </w:pPr>
      <w:r>
        <w:rPr>
          <w:rStyle w:val="EndnoteReference"/>
        </w:rPr>
        <w:endnoteRef/>
      </w:r>
      <w:r>
        <w:t xml:space="preserve"> The scope of the e</w:t>
      </w:r>
      <w:r w:rsidR="00C55D12">
        <w:t>xception as stated in endnote 51</w:t>
      </w:r>
      <w:r>
        <w:t xml:space="preserve"> does not extend to all persons</w:t>
      </w:r>
      <w:r w:rsidR="002754E6">
        <w:t>, explicitly, it will not include a ‘registrar, a superintendent registrar or the Registrar General’</w:t>
      </w:r>
      <w:r>
        <w:t xml:space="preserve">. Therefore, </w:t>
      </w:r>
      <w:r w:rsidR="00940F2E">
        <w:t xml:space="preserve">it is unlikely that the exception will extend to all </w:t>
      </w:r>
      <w:r>
        <w:t>service providers</w:t>
      </w:r>
      <w:r w:rsidR="00534FA5">
        <w:t>, meaning that not all service providers will be</w:t>
      </w:r>
      <w:r w:rsidR="00940F2E">
        <w:t xml:space="preserve"> </w:t>
      </w:r>
      <w:r>
        <w:t>permitted to refuse services to same-sex couples on the basis of religious belief or conscience.</w:t>
      </w:r>
    </w:p>
  </w:endnote>
  <w:endnote w:id="53">
    <w:p w14:paraId="724CA83F" w14:textId="77777777" w:rsidR="007F787F" w:rsidRPr="004858A2" w:rsidRDefault="007F787F">
      <w:pPr>
        <w:pStyle w:val="EndnoteText"/>
      </w:pPr>
      <w:r>
        <w:rPr>
          <w:rStyle w:val="EndnoteReference"/>
        </w:rPr>
        <w:endnoteRef/>
      </w:r>
      <w:r>
        <w:t xml:space="preserve"> </w:t>
      </w:r>
      <w:r>
        <w:rPr>
          <w:i/>
        </w:rPr>
        <w:t xml:space="preserve">Equality Act 2010 </w:t>
      </w:r>
      <w:r w:rsidR="00EA2C0F">
        <w:t>(UK), P</w:t>
      </w:r>
      <w:r>
        <w:t>t 2</w:t>
      </w:r>
      <w:r w:rsidR="00100330">
        <w:t>, s 12</w:t>
      </w:r>
      <w:r>
        <w:t>.</w:t>
      </w:r>
    </w:p>
  </w:endnote>
  <w:endnote w:id="54">
    <w:p w14:paraId="01DF6A08" w14:textId="77777777" w:rsidR="007F787F" w:rsidRPr="003569B3" w:rsidRDefault="007F787F">
      <w:pPr>
        <w:pStyle w:val="EndnoteText"/>
      </w:pPr>
      <w:r>
        <w:rPr>
          <w:rStyle w:val="EndnoteReference"/>
        </w:rPr>
        <w:endnoteRef/>
      </w:r>
      <w:r>
        <w:t xml:space="preserve"> </w:t>
      </w:r>
      <w:r>
        <w:rPr>
          <w:i/>
        </w:rPr>
        <w:t xml:space="preserve">Equality Act 2010 </w:t>
      </w:r>
      <w:r w:rsidR="00EA2C0F">
        <w:t>(UK), P</w:t>
      </w:r>
      <w:r>
        <w:t>t 3, s 29(1).</w:t>
      </w:r>
    </w:p>
  </w:endnote>
  <w:endnote w:id="55">
    <w:p w14:paraId="72F3732B" w14:textId="77777777" w:rsidR="007F787F" w:rsidRPr="002A3E2B" w:rsidRDefault="007F787F">
      <w:pPr>
        <w:pStyle w:val="EndnoteText"/>
      </w:pPr>
      <w:r>
        <w:rPr>
          <w:rStyle w:val="EndnoteReference"/>
        </w:rPr>
        <w:endnoteRef/>
      </w:r>
      <w:r>
        <w:t xml:space="preserve"> </w:t>
      </w:r>
      <w:r>
        <w:rPr>
          <w:i/>
        </w:rPr>
        <w:t>Equality Act 2010</w:t>
      </w:r>
      <w:r w:rsidR="001F4983">
        <w:t xml:space="preserve"> (UK), </w:t>
      </w:r>
      <w:proofErr w:type="spellStart"/>
      <w:r w:rsidR="001F4983">
        <w:t>Sch</w:t>
      </w:r>
      <w:proofErr w:type="spellEnd"/>
      <w:r w:rsidR="00EA2C0F">
        <w:t xml:space="preserve"> 3, P</w:t>
      </w:r>
      <w:r w:rsidR="001F4983">
        <w:t>t</w:t>
      </w:r>
      <w:r>
        <w:t xml:space="preserve"> 6A, s 2(6).</w:t>
      </w:r>
    </w:p>
  </w:endnote>
  <w:endnote w:id="56">
    <w:p w14:paraId="009636A8" w14:textId="77777777" w:rsidR="007F787F" w:rsidRPr="00EE667E" w:rsidRDefault="007F787F">
      <w:pPr>
        <w:pStyle w:val="EndnoteText"/>
      </w:pPr>
      <w:r>
        <w:rPr>
          <w:rStyle w:val="EndnoteReference"/>
        </w:rPr>
        <w:endnoteRef/>
      </w:r>
      <w:r>
        <w:t xml:space="preserve"> There is a broad exemption for religious organisations with reference to religion or belief or sexual orientation with respect to particular acts of the organisation. This will include participation, membership and provision of services by that organisation</w:t>
      </w:r>
      <w:r w:rsidR="006771F7">
        <w:t xml:space="preserve"> to others</w:t>
      </w:r>
      <w:r>
        <w:t xml:space="preserve">. This is outlined in </w:t>
      </w:r>
      <w:proofErr w:type="spellStart"/>
      <w:r>
        <w:t>Sch</w:t>
      </w:r>
      <w:proofErr w:type="spellEnd"/>
      <w:r>
        <w:t xml:space="preserve"> 23, s 2 of the </w:t>
      </w:r>
      <w:r>
        <w:rPr>
          <w:i/>
        </w:rPr>
        <w:t>Equality Act 2010</w:t>
      </w:r>
      <w:r>
        <w:t xml:space="preserve"> (UK).</w:t>
      </w:r>
    </w:p>
  </w:endnote>
  <w:endnote w:id="57">
    <w:p w14:paraId="1DBB8328" w14:textId="77777777" w:rsidR="007F787F" w:rsidRPr="00B35466" w:rsidRDefault="007F787F">
      <w:pPr>
        <w:pStyle w:val="EndnoteText"/>
      </w:pPr>
      <w:r>
        <w:rPr>
          <w:rStyle w:val="EndnoteReference"/>
        </w:rPr>
        <w:endnoteRef/>
      </w:r>
      <w:r>
        <w:t xml:space="preserve"> </w:t>
      </w:r>
      <w:r>
        <w:rPr>
          <w:i/>
        </w:rPr>
        <w:t xml:space="preserve">Marriage Act 2015 </w:t>
      </w:r>
      <w:r>
        <w:t>(Ireland), s 7.</w:t>
      </w:r>
      <w:r w:rsidR="00B35466">
        <w:t xml:space="preserve"> </w:t>
      </w:r>
      <w:r w:rsidR="00860450">
        <w:t>The exemption will only apply where the</w:t>
      </w:r>
      <w:r w:rsidR="00B35466">
        <w:t xml:space="preserve"> Minister</w:t>
      </w:r>
      <w:r w:rsidR="00860450">
        <w:t xml:space="preserve"> is part of a religious body that does not recognise same-sex marriage </w:t>
      </w:r>
      <w:r w:rsidR="00B35466">
        <w:t xml:space="preserve">(s 7(1)(b) </w:t>
      </w:r>
      <w:r w:rsidR="00B35466">
        <w:rPr>
          <w:i/>
        </w:rPr>
        <w:t xml:space="preserve">Marriage Act 2015 </w:t>
      </w:r>
      <w:r w:rsidR="00B35466">
        <w:t>(Ireland).</w:t>
      </w:r>
    </w:p>
  </w:endnote>
  <w:endnote w:id="58">
    <w:p w14:paraId="3DA34AE2" w14:textId="77777777" w:rsidR="007F787F" w:rsidRPr="004A432E" w:rsidRDefault="007F787F">
      <w:pPr>
        <w:pStyle w:val="EndnoteText"/>
      </w:pPr>
      <w:r>
        <w:rPr>
          <w:rStyle w:val="EndnoteReference"/>
        </w:rPr>
        <w:endnoteRef/>
      </w:r>
      <w:r>
        <w:t xml:space="preserve"> There is no explicit exemption afforded to celebrants in the </w:t>
      </w:r>
      <w:r>
        <w:rPr>
          <w:i/>
        </w:rPr>
        <w:t xml:space="preserve">Marriage Act 2015 </w:t>
      </w:r>
      <w:r>
        <w:t xml:space="preserve">(Ireland) or the </w:t>
      </w:r>
      <w:r>
        <w:rPr>
          <w:i/>
        </w:rPr>
        <w:t xml:space="preserve">Civil Partnership Act 2004 </w:t>
      </w:r>
      <w:r>
        <w:t>(Ireland).</w:t>
      </w:r>
    </w:p>
  </w:endnote>
  <w:endnote w:id="59">
    <w:p w14:paraId="3C7C8BAB" w14:textId="77777777" w:rsidR="007F787F" w:rsidRPr="009E211F" w:rsidRDefault="007F787F" w:rsidP="005269A1">
      <w:pPr>
        <w:pStyle w:val="EndnoteText"/>
      </w:pPr>
      <w:r>
        <w:rPr>
          <w:rStyle w:val="EndnoteReference"/>
        </w:rPr>
        <w:endnoteRef/>
      </w:r>
      <w:r>
        <w:t xml:space="preserve"> The </w:t>
      </w:r>
      <w:r>
        <w:rPr>
          <w:i/>
        </w:rPr>
        <w:t xml:space="preserve">Marriage Act 2015 </w:t>
      </w:r>
      <w:r>
        <w:t>(Northern Ireland) is silent on ‘goods and services’.</w:t>
      </w:r>
      <w:r w:rsidR="005269A1">
        <w:t xml:space="preserve"> s 16 of the </w:t>
      </w:r>
      <w:r w:rsidR="005269A1">
        <w:rPr>
          <w:i/>
        </w:rPr>
        <w:t>Equality Act (Sexual Orientation) Regulations</w:t>
      </w:r>
      <w:r w:rsidR="005269A1" w:rsidRPr="00556012">
        <w:rPr>
          <w:i/>
        </w:rPr>
        <w:t xml:space="preserve"> (Northern Ireland)</w:t>
      </w:r>
      <w:r w:rsidR="005269A1">
        <w:rPr>
          <w:i/>
        </w:rPr>
        <w:t xml:space="preserve"> 2006 </w:t>
      </w:r>
      <w:r w:rsidR="005269A1">
        <w:t>provides an exception to religious organisations to restrict membership, participation, provision of goods and restrict use of premises on the basis of sexual orientation.</w:t>
      </w:r>
      <w:r w:rsidR="00F8671A">
        <w:t xml:space="preserve"> </w:t>
      </w:r>
    </w:p>
  </w:endnote>
  <w:endnote w:id="60">
    <w:p w14:paraId="1106ECE6" w14:textId="77777777" w:rsidR="007F787F" w:rsidRDefault="007F787F">
      <w:pPr>
        <w:pStyle w:val="EndnoteText"/>
      </w:pPr>
      <w:r>
        <w:rPr>
          <w:rStyle w:val="EndnoteReference"/>
        </w:rPr>
        <w:endnoteRef/>
      </w:r>
      <w:r>
        <w:t xml:space="preserve"> The</w:t>
      </w:r>
      <w:r w:rsidR="00F8671A">
        <w:t xml:space="preserve"> exemptions listed in endnote 59</w:t>
      </w:r>
      <w:r>
        <w:t xml:space="preserve"> are restricted to religious organisations and do not extend to any person.</w:t>
      </w:r>
    </w:p>
  </w:endnote>
  <w:endnote w:id="61">
    <w:p w14:paraId="51BAFBDC" w14:textId="77777777" w:rsidR="007F787F" w:rsidRPr="00F910BD" w:rsidRDefault="007F787F">
      <w:pPr>
        <w:pStyle w:val="EndnoteText"/>
      </w:pPr>
      <w:r>
        <w:rPr>
          <w:rStyle w:val="EndnoteReference"/>
        </w:rPr>
        <w:endnoteRef/>
      </w:r>
      <w:r>
        <w:t xml:space="preserve"> </w:t>
      </w:r>
      <w:r>
        <w:rPr>
          <w:i/>
        </w:rPr>
        <w:t xml:space="preserve">Equality Act (Sexual Orientation) Regulations (Northern Ireland) 2006, </w:t>
      </w:r>
      <w:r>
        <w:t>s 3.</w:t>
      </w:r>
    </w:p>
  </w:endnote>
  <w:endnote w:id="62">
    <w:p w14:paraId="0D5D0BA1" w14:textId="77777777" w:rsidR="007F787F" w:rsidRDefault="007F787F">
      <w:pPr>
        <w:pStyle w:val="EndnoteText"/>
      </w:pPr>
      <w:r>
        <w:rPr>
          <w:rStyle w:val="EndnoteReference"/>
        </w:rPr>
        <w:endnoteRef/>
      </w:r>
      <w:r>
        <w:t xml:space="preserve"> </w:t>
      </w:r>
      <w:r>
        <w:rPr>
          <w:i/>
        </w:rPr>
        <w:t xml:space="preserve">Equality Act (Sexual Orientation) Regulations (Northern Ireland) 2006, </w:t>
      </w:r>
      <w:r>
        <w:t>s 5.</w:t>
      </w:r>
    </w:p>
  </w:endnote>
  <w:endnote w:id="63">
    <w:p w14:paraId="4593D7C2" w14:textId="77777777" w:rsidR="007F787F" w:rsidRDefault="007F787F">
      <w:pPr>
        <w:pStyle w:val="EndnoteText"/>
      </w:pPr>
      <w:r>
        <w:rPr>
          <w:rStyle w:val="EndnoteReference"/>
        </w:rPr>
        <w:endnoteRef/>
      </w:r>
      <w:r>
        <w:t xml:space="preserve"> </w:t>
      </w:r>
      <w:r>
        <w:rPr>
          <w:i/>
        </w:rPr>
        <w:t xml:space="preserve">Equality Act (Sexual Orientation) Regulations (Northern Ireland) 2006, </w:t>
      </w:r>
      <w:r>
        <w:t>s 16.</w:t>
      </w:r>
    </w:p>
  </w:endnote>
  <w:endnote w:id="64">
    <w:p w14:paraId="53C91720" w14:textId="77777777" w:rsidR="007F787F" w:rsidRDefault="007F787F">
      <w:pPr>
        <w:pStyle w:val="EndnoteText"/>
      </w:pPr>
      <w:r>
        <w:rPr>
          <w:rStyle w:val="EndnoteReference"/>
        </w:rPr>
        <w:endnoteRef/>
      </w:r>
      <w:r>
        <w:t xml:space="preserve"> </w:t>
      </w:r>
      <w:r>
        <w:rPr>
          <w:i/>
        </w:rPr>
        <w:t xml:space="preserve">Equality Act (Sexual Orientation) Regulations (Northern Ireland) 2006, </w:t>
      </w:r>
      <w:r>
        <w:t>s 7(1).</w:t>
      </w:r>
    </w:p>
  </w:endnote>
  <w:endnote w:id="65">
    <w:p w14:paraId="648904CF" w14:textId="77777777" w:rsidR="007F787F" w:rsidRDefault="007F787F">
      <w:pPr>
        <w:pStyle w:val="EndnoteText"/>
      </w:pPr>
      <w:r>
        <w:rPr>
          <w:rStyle w:val="EndnoteReference"/>
        </w:rPr>
        <w:endnoteRef/>
      </w:r>
      <w:r>
        <w:t xml:space="preserve"> </w:t>
      </w:r>
      <w:r>
        <w:rPr>
          <w:i/>
        </w:rPr>
        <w:t>Marriage and Civil Partnership (Scotland) Act 2014</w:t>
      </w:r>
      <w:r>
        <w:t xml:space="preserve">, s 16; </w:t>
      </w:r>
      <w:r>
        <w:rPr>
          <w:i/>
        </w:rPr>
        <w:t xml:space="preserve">Equality Act 2010 </w:t>
      </w:r>
      <w:r>
        <w:t xml:space="preserve">(UK), </w:t>
      </w:r>
      <w:proofErr w:type="spellStart"/>
      <w:r>
        <w:t>Sch</w:t>
      </w:r>
      <w:proofErr w:type="spellEnd"/>
      <w:r>
        <w:t xml:space="preserve"> 3, </w:t>
      </w:r>
      <w:r w:rsidR="00EA2C0F">
        <w:t>P</w:t>
      </w:r>
      <w:r>
        <w:t>t 6B, s 25B.</w:t>
      </w:r>
    </w:p>
  </w:endnote>
  <w:endnote w:id="66">
    <w:p w14:paraId="778A5F66" w14:textId="77777777" w:rsidR="007F787F" w:rsidRPr="007F787F" w:rsidRDefault="007F787F">
      <w:pPr>
        <w:pStyle w:val="EndnoteText"/>
      </w:pPr>
      <w:r>
        <w:rPr>
          <w:rStyle w:val="EndnoteReference"/>
        </w:rPr>
        <w:endnoteRef/>
      </w:r>
      <w:r>
        <w:t xml:space="preserve"> </w:t>
      </w:r>
      <w:r>
        <w:rPr>
          <w:i/>
        </w:rPr>
        <w:t>Marriage and Civil Partnership (Scotland) Act 2014</w:t>
      </w:r>
      <w:r>
        <w:t xml:space="preserve">, s 16; </w:t>
      </w:r>
      <w:r>
        <w:rPr>
          <w:i/>
        </w:rPr>
        <w:t xml:space="preserve">Equality Act 2010 </w:t>
      </w:r>
      <w:r>
        <w:t xml:space="preserve">(UK), </w:t>
      </w:r>
      <w:proofErr w:type="spellStart"/>
      <w:r>
        <w:t>Sch</w:t>
      </w:r>
      <w:proofErr w:type="spellEnd"/>
      <w:r w:rsidR="00EA2C0F">
        <w:t xml:space="preserve"> 3, P</w:t>
      </w:r>
      <w:r>
        <w:t>t 6B, s 25B.</w:t>
      </w:r>
    </w:p>
  </w:endnote>
  <w:endnote w:id="67">
    <w:p w14:paraId="127AC2F8" w14:textId="77777777" w:rsidR="007F787F" w:rsidRDefault="007F787F">
      <w:pPr>
        <w:pStyle w:val="EndnoteText"/>
      </w:pPr>
      <w:r>
        <w:rPr>
          <w:rStyle w:val="EndnoteReference"/>
        </w:rPr>
        <w:endnoteRef/>
      </w:r>
      <w:r>
        <w:t xml:space="preserve"> </w:t>
      </w:r>
      <w:r w:rsidR="008C5FFF">
        <w:rPr>
          <w:i/>
        </w:rPr>
        <w:t>Marriage and Civil Partnership (Scotland) Act 2014</w:t>
      </w:r>
      <w:r w:rsidR="008C5FFF">
        <w:t xml:space="preserve">, s 16; </w:t>
      </w:r>
      <w:r w:rsidR="008C5FFF">
        <w:rPr>
          <w:i/>
        </w:rPr>
        <w:t xml:space="preserve">Equality Act 2010 </w:t>
      </w:r>
      <w:r w:rsidR="008C5FFF">
        <w:t>(</w:t>
      </w:r>
      <w:r w:rsidR="00E73B7D">
        <w:t xml:space="preserve">UK), </w:t>
      </w:r>
      <w:proofErr w:type="spellStart"/>
      <w:r w:rsidR="00E73B7D">
        <w:t>Sch</w:t>
      </w:r>
      <w:proofErr w:type="spellEnd"/>
      <w:r w:rsidR="00EA2C0F">
        <w:t xml:space="preserve"> 3, P</w:t>
      </w:r>
      <w:r w:rsidR="00E73B7D">
        <w:t xml:space="preserve">t 6B, s 25B; </w:t>
      </w:r>
      <w:r w:rsidR="00E73B7D">
        <w:rPr>
          <w:i/>
        </w:rPr>
        <w:t>The Equality Act (Sexual Orientation) Regulations 2007</w:t>
      </w:r>
      <w:r w:rsidR="00762CFD">
        <w:t>, s 14(3).</w:t>
      </w:r>
    </w:p>
  </w:endnote>
  <w:endnote w:id="68">
    <w:p w14:paraId="0A9661C3" w14:textId="77777777" w:rsidR="00B218BC" w:rsidRDefault="00B218BC">
      <w:pPr>
        <w:pStyle w:val="EndnoteText"/>
      </w:pPr>
      <w:r>
        <w:rPr>
          <w:rStyle w:val="EndnoteReference"/>
        </w:rPr>
        <w:endnoteRef/>
      </w:r>
      <w:r w:rsidR="00F8671A">
        <w:t xml:space="preserve"> The scope in endnote 67</w:t>
      </w:r>
      <w:r>
        <w:t xml:space="preserve"> does not extend beyond religious organisations.</w:t>
      </w:r>
    </w:p>
  </w:endnote>
  <w:endnote w:id="69">
    <w:p w14:paraId="46313C1F" w14:textId="77777777" w:rsidR="0001449D" w:rsidRPr="0001449D" w:rsidRDefault="0001449D">
      <w:pPr>
        <w:pStyle w:val="EndnoteText"/>
      </w:pPr>
      <w:r>
        <w:rPr>
          <w:rStyle w:val="EndnoteReference"/>
        </w:rPr>
        <w:endnoteRef/>
      </w:r>
      <w:r>
        <w:t xml:space="preserve"> </w:t>
      </w:r>
      <w:r>
        <w:rPr>
          <w:i/>
        </w:rPr>
        <w:t xml:space="preserve">Equality Act 2010 </w:t>
      </w:r>
      <w:r>
        <w:t xml:space="preserve">(UK), s 12; </w:t>
      </w:r>
      <w:r w:rsidR="002D71F1">
        <w:rPr>
          <w:i/>
        </w:rPr>
        <w:t>The Equality Act (Sexual Orientation) Regulations 2007</w:t>
      </w:r>
      <w:r w:rsidR="002D71F1">
        <w:t>, s 3.</w:t>
      </w:r>
    </w:p>
  </w:endnote>
  <w:endnote w:id="70">
    <w:p w14:paraId="69DC59A2" w14:textId="77777777" w:rsidR="00194328" w:rsidRDefault="00194328">
      <w:pPr>
        <w:pStyle w:val="EndnoteText"/>
      </w:pPr>
      <w:r>
        <w:rPr>
          <w:rStyle w:val="EndnoteReference"/>
        </w:rPr>
        <w:endnoteRef/>
      </w:r>
      <w:r>
        <w:t xml:space="preserve"> </w:t>
      </w:r>
      <w:r w:rsidR="007259FB">
        <w:rPr>
          <w:i/>
        </w:rPr>
        <w:t xml:space="preserve">Equality Act 2010 </w:t>
      </w:r>
      <w:r w:rsidR="007259FB">
        <w:t xml:space="preserve">(UK), s 12; </w:t>
      </w:r>
      <w:r>
        <w:rPr>
          <w:i/>
        </w:rPr>
        <w:t>The Equality Act (Sexual Orientation) Regulations 2007</w:t>
      </w:r>
      <w:r>
        <w:t>, s 4.</w:t>
      </w:r>
    </w:p>
  </w:endnote>
  <w:endnote w:id="71">
    <w:p w14:paraId="45679D07" w14:textId="77777777" w:rsidR="00E950C5" w:rsidRPr="003A31A0" w:rsidRDefault="00E950C5">
      <w:pPr>
        <w:pStyle w:val="EndnoteText"/>
        <w:rPr>
          <w:i/>
        </w:rPr>
      </w:pPr>
      <w:r>
        <w:rPr>
          <w:rStyle w:val="EndnoteReference"/>
        </w:rPr>
        <w:endnoteRef/>
      </w:r>
      <w:r>
        <w:t xml:space="preserve"> </w:t>
      </w:r>
      <w:r w:rsidR="003A31A0">
        <w:t xml:space="preserve">No equivalent explicit exception </w:t>
      </w:r>
      <w:r w:rsidR="00F8671A">
        <w:t xml:space="preserve">appears </w:t>
      </w:r>
      <w:r w:rsidR="003A31A0">
        <w:t xml:space="preserve">in the </w:t>
      </w:r>
      <w:r w:rsidR="003A31A0">
        <w:rPr>
          <w:i/>
        </w:rPr>
        <w:t>Marriage and Civil Partnership (Scotland) Act 2014.</w:t>
      </w:r>
    </w:p>
  </w:endnote>
  <w:endnote w:id="72">
    <w:p w14:paraId="32FFF514" w14:textId="77777777" w:rsidR="00767039" w:rsidRDefault="00767039">
      <w:pPr>
        <w:pStyle w:val="EndnoteText"/>
      </w:pPr>
      <w:r>
        <w:rPr>
          <w:rStyle w:val="EndnoteReference"/>
        </w:rPr>
        <w:endnoteRef/>
      </w:r>
      <w:r>
        <w:t xml:space="preserve"> </w:t>
      </w:r>
      <w:r>
        <w:rPr>
          <w:i/>
        </w:rPr>
        <w:t>Marriage and Civil Partnership (Scotland) Act 2014</w:t>
      </w:r>
      <w:r>
        <w:t>, s 16</w:t>
      </w:r>
      <w:r w:rsidR="00882B9D">
        <w:t>(1)(a)</w:t>
      </w:r>
      <w:r w:rsidR="00796BE4">
        <w:t>.</w:t>
      </w:r>
      <w:r w:rsidR="00882B9D">
        <w:t xml:space="preserve"> This is a broad exception, as it states that the </w:t>
      </w:r>
      <w:r w:rsidR="00013E73">
        <w:t>solemnisation</w:t>
      </w:r>
      <w:r w:rsidR="00882B9D">
        <w:t xml:space="preserve"> of a same-sex couple will not affect the exercise of the ‘Convention right to freedom of thought, conscience and religion’. </w:t>
      </w:r>
    </w:p>
  </w:endnote>
  <w:endnote w:id="73">
    <w:p w14:paraId="2069CA72" w14:textId="77777777" w:rsidR="00796BE4" w:rsidRPr="00796BE4" w:rsidRDefault="00796BE4">
      <w:pPr>
        <w:pStyle w:val="EndnoteText"/>
      </w:pPr>
      <w:r>
        <w:rPr>
          <w:rStyle w:val="EndnoteReference"/>
        </w:rPr>
        <w:endnoteRef/>
      </w:r>
      <w:r>
        <w:t xml:space="preserve"> </w:t>
      </w:r>
      <w:r>
        <w:rPr>
          <w:i/>
        </w:rPr>
        <w:t>Marriage Act 1955</w:t>
      </w:r>
      <w:r>
        <w:t xml:space="preserve"> (New Zealand), s29(2).</w:t>
      </w:r>
    </w:p>
  </w:endnote>
  <w:endnote w:id="74">
    <w:p w14:paraId="15884A83" w14:textId="77777777" w:rsidR="00796BE4" w:rsidRDefault="00796BE4">
      <w:pPr>
        <w:pStyle w:val="EndnoteText"/>
      </w:pPr>
      <w:r>
        <w:rPr>
          <w:rStyle w:val="EndnoteReference"/>
        </w:rPr>
        <w:endnoteRef/>
      </w:r>
      <w:r>
        <w:t xml:space="preserve"> </w:t>
      </w:r>
      <w:r>
        <w:rPr>
          <w:i/>
        </w:rPr>
        <w:t>Marriage Act 1955</w:t>
      </w:r>
      <w:r>
        <w:t xml:space="preserve"> (New Zealand), s29. The celebrant must be from an ‘approved organisation’ as under s</w:t>
      </w:r>
      <w:r w:rsidR="00EE68B6">
        <w:t xml:space="preserve"> </w:t>
      </w:r>
      <w:r>
        <w:t xml:space="preserve">10 of the </w:t>
      </w:r>
      <w:r>
        <w:rPr>
          <w:i/>
        </w:rPr>
        <w:t>Marriage Act 1955</w:t>
      </w:r>
      <w:r>
        <w:t xml:space="preserve"> (New Zealand)</w:t>
      </w:r>
      <w:r w:rsidR="00714859">
        <w:t xml:space="preserve"> to fall under the exception</w:t>
      </w:r>
      <w:r>
        <w:t>.</w:t>
      </w:r>
    </w:p>
  </w:endnote>
  <w:endnote w:id="75">
    <w:p w14:paraId="289F47ED" w14:textId="77777777" w:rsidR="009831CE" w:rsidRPr="0065208C" w:rsidRDefault="009831CE">
      <w:pPr>
        <w:pStyle w:val="EndnoteText"/>
      </w:pPr>
      <w:r>
        <w:rPr>
          <w:rStyle w:val="EndnoteReference"/>
        </w:rPr>
        <w:endnoteRef/>
      </w:r>
      <w:r>
        <w:t xml:space="preserve"> </w:t>
      </w:r>
      <w:r>
        <w:rPr>
          <w:i/>
        </w:rPr>
        <w:t xml:space="preserve">Human Rights Act 1993 </w:t>
      </w:r>
      <w:r>
        <w:t xml:space="preserve">(New Zealand), </w:t>
      </w:r>
      <w:proofErr w:type="spellStart"/>
      <w:r>
        <w:t>ss</w:t>
      </w:r>
      <w:proofErr w:type="spellEnd"/>
      <w:r>
        <w:t xml:space="preserve"> 44 and 53 (note exceptions in </w:t>
      </w:r>
      <w:proofErr w:type="spellStart"/>
      <w:r>
        <w:t>ss</w:t>
      </w:r>
      <w:proofErr w:type="spellEnd"/>
      <w:r>
        <w:t xml:space="preserve"> 54 and 55).</w:t>
      </w:r>
      <w:r w:rsidR="0065208C">
        <w:t xml:space="preserve"> There is no explicit right to refuse in the </w:t>
      </w:r>
      <w:r w:rsidR="0065208C">
        <w:rPr>
          <w:i/>
        </w:rPr>
        <w:t xml:space="preserve">Marriage Act 1955 </w:t>
      </w:r>
      <w:r w:rsidR="0065208C">
        <w:t>(New Zealand).</w:t>
      </w:r>
    </w:p>
  </w:endnote>
  <w:endnote w:id="76">
    <w:p w14:paraId="01971BC1" w14:textId="77777777" w:rsidR="000234C7" w:rsidRDefault="000234C7">
      <w:pPr>
        <w:pStyle w:val="EndnoteText"/>
      </w:pPr>
      <w:r>
        <w:rPr>
          <w:rStyle w:val="EndnoteReference"/>
        </w:rPr>
        <w:endnoteRef/>
      </w:r>
      <w:r>
        <w:t xml:space="preserve"> </w:t>
      </w:r>
      <w:r>
        <w:rPr>
          <w:i/>
        </w:rPr>
        <w:t xml:space="preserve">Human Rights Act 1993 </w:t>
      </w:r>
      <w:r>
        <w:t xml:space="preserve">(New Zealand), </w:t>
      </w:r>
      <w:proofErr w:type="spellStart"/>
      <w:r>
        <w:t>ss</w:t>
      </w:r>
      <w:proofErr w:type="spellEnd"/>
      <w:r>
        <w:t xml:space="preserve"> 44 and 53 (note exceptions in </w:t>
      </w:r>
      <w:proofErr w:type="spellStart"/>
      <w:r>
        <w:t>ss</w:t>
      </w:r>
      <w:proofErr w:type="spellEnd"/>
      <w:r>
        <w:t xml:space="preserve"> 54 and 55).</w:t>
      </w:r>
      <w:r w:rsidR="0065208C">
        <w:t xml:space="preserve"> There is no explicit right to refuse in the </w:t>
      </w:r>
      <w:r w:rsidR="0065208C">
        <w:rPr>
          <w:i/>
        </w:rPr>
        <w:t xml:space="preserve">Marriage Act 1955 </w:t>
      </w:r>
      <w:r w:rsidR="0065208C">
        <w:t>(New Zealand).</w:t>
      </w:r>
    </w:p>
  </w:endnote>
  <w:endnote w:id="77">
    <w:p w14:paraId="1D1067A0" w14:textId="77777777" w:rsidR="00755492" w:rsidRDefault="00755492" w:rsidP="00755492">
      <w:pPr>
        <w:pStyle w:val="EndnoteText"/>
      </w:pPr>
      <w:r>
        <w:rPr>
          <w:rStyle w:val="EndnoteReference"/>
        </w:rPr>
        <w:endnoteRef/>
      </w:r>
      <w:r>
        <w:t xml:space="preserve"> </w:t>
      </w:r>
      <w:r>
        <w:rPr>
          <w:i/>
        </w:rPr>
        <w:t xml:space="preserve">Human Rights Act 1993 </w:t>
      </w:r>
      <w:r>
        <w:t>(New Zealand), s 21(1)(m).</w:t>
      </w:r>
    </w:p>
  </w:endnote>
  <w:endnote w:id="78">
    <w:p w14:paraId="1964148F" w14:textId="77777777" w:rsidR="00A64AF2" w:rsidRDefault="00A64AF2">
      <w:pPr>
        <w:pStyle w:val="EndnoteText"/>
      </w:pPr>
      <w:r>
        <w:rPr>
          <w:rStyle w:val="EndnoteReference"/>
        </w:rPr>
        <w:endnoteRef/>
      </w:r>
      <w:r>
        <w:t xml:space="preserve"> </w:t>
      </w:r>
      <w:r>
        <w:rPr>
          <w:i/>
        </w:rPr>
        <w:t xml:space="preserve">Human Rights Act 1993 </w:t>
      </w:r>
      <w:r>
        <w:t xml:space="preserve">(New Zealand), </w:t>
      </w:r>
      <w:proofErr w:type="spellStart"/>
      <w:r>
        <w:t>ss</w:t>
      </w:r>
      <w:proofErr w:type="spellEnd"/>
      <w:r>
        <w:t xml:space="preserve"> 44 and 53 (note exceptions in </w:t>
      </w:r>
      <w:proofErr w:type="spellStart"/>
      <w:r>
        <w:t>ss</w:t>
      </w:r>
      <w:proofErr w:type="spellEnd"/>
      <w:r>
        <w:t xml:space="preserve"> 54 and 55).</w:t>
      </w:r>
    </w:p>
  </w:endnote>
  <w:endnote w:id="79">
    <w:p w14:paraId="2F75701B" w14:textId="77777777" w:rsidR="00D645DE" w:rsidRDefault="00D645DE">
      <w:pPr>
        <w:pStyle w:val="EndnoteText"/>
      </w:pPr>
      <w:r>
        <w:rPr>
          <w:rStyle w:val="EndnoteReference"/>
        </w:rPr>
        <w:endnoteRef/>
      </w:r>
      <w:r>
        <w:t xml:space="preserve"> No direct reference to marriage found.</w:t>
      </w:r>
    </w:p>
  </w:endnote>
  <w:endnote w:id="80">
    <w:p w14:paraId="475A75D7" w14:textId="77777777" w:rsidR="00D645DE" w:rsidRDefault="00D645DE">
      <w:pPr>
        <w:pStyle w:val="EndnoteText"/>
      </w:pPr>
      <w:r>
        <w:rPr>
          <w:rStyle w:val="EndnoteReference"/>
        </w:rPr>
        <w:endnoteRef/>
      </w:r>
      <w:r>
        <w:t xml:space="preserve"> No direct reference to marriage found.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5FE4" w14:textId="5F9AF065" w:rsidR="007F787F" w:rsidRDefault="007F787F" w:rsidP="00CE7182">
    <w:pPr>
      <w:pStyle w:val="Footer"/>
      <w:spacing w:before="0"/>
    </w:pPr>
    <w:r w:rsidRPr="0090165F">
      <w:fldChar w:fldCharType="begin"/>
    </w:r>
    <w:r w:rsidRPr="0090165F">
      <w:instrText xml:space="preserve"> PAGE   \* MERGEFORMAT </w:instrText>
    </w:r>
    <w:r w:rsidRPr="0090165F">
      <w:fldChar w:fldCharType="separate"/>
    </w:r>
    <w:r w:rsidR="0045569A">
      <w:rPr>
        <w:noProof/>
      </w:rPr>
      <w:t>5</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E8BB" w14:textId="77777777" w:rsidR="003617F8" w:rsidRDefault="003617F8" w:rsidP="00F14C6D">
      <w:r>
        <w:separator/>
      </w:r>
    </w:p>
  </w:footnote>
  <w:footnote w:type="continuationSeparator" w:id="0">
    <w:p w14:paraId="25191365" w14:textId="77777777" w:rsidR="003617F8" w:rsidRDefault="003617F8"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F8"/>
    <w:rsid w:val="0001254B"/>
    <w:rsid w:val="00012A6E"/>
    <w:rsid w:val="00012F63"/>
    <w:rsid w:val="00013272"/>
    <w:rsid w:val="00013E73"/>
    <w:rsid w:val="0001449D"/>
    <w:rsid w:val="00016352"/>
    <w:rsid w:val="00021134"/>
    <w:rsid w:val="000234C7"/>
    <w:rsid w:val="000540A0"/>
    <w:rsid w:val="000579B1"/>
    <w:rsid w:val="00061380"/>
    <w:rsid w:val="000730E7"/>
    <w:rsid w:val="00074750"/>
    <w:rsid w:val="00074CD6"/>
    <w:rsid w:val="00084B19"/>
    <w:rsid w:val="000855FB"/>
    <w:rsid w:val="000B0A5D"/>
    <w:rsid w:val="000C17C8"/>
    <w:rsid w:val="000D597E"/>
    <w:rsid w:val="00100330"/>
    <w:rsid w:val="001011C8"/>
    <w:rsid w:val="001257DA"/>
    <w:rsid w:val="00132462"/>
    <w:rsid w:val="00140077"/>
    <w:rsid w:val="001523D8"/>
    <w:rsid w:val="001566D4"/>
    <w:rsid w:val="00162A8D"/>
    <w:rsid w:val="00180AF8"/>
    <w:rsid w:val="00184098"/>
    <w:rsid w:val="001867A2"/>
    <w:rsid w:val="00194328"/>
    <w:rsid w:val="00197A8A"/>
    <w:rsid w:val="001A5D46"/>
    <w:rsid w:val="001B0353"/>
    <w:rsid w:val="001C139C"/>
    <w:rsid w:val="001C451B"/>
    <w:rsid w:val="001D78A6"/>
    <w:rsid w:val="001E1BAE"/>
    <w:rsid w:val="001E1EFB"/>
    <w:rsid w:val="001F2BBB"/>
    <w:rsid w:val="001F4983"/>
    <w:rsid w:val="001F5EE6"/>
    <w:rsid w:val="00200A8F"/>
    <w:rsid w:val="0020632B"/>
    <w:rsid w:val="0020759E"/>
    <w:rsid w:val="0022437B"/>
    <w:rsid w:val="00224F8A"/>
    <w:rsid w:val="00231ED1"/>
    <w:rsid w:val="0023303F"/>
    <w:rsid w:val="0024300C"/>
    <w:rsid w:val="0024557E"/>
    <w:rsid w:val="002702D9"/>
    <w:rsid w:val="002754E6"/>
    <w:rsid w:val="00281193"/>
    <w:rsid w:val="00287097"/>
    <w:rsid w:val="00297FE8"/>
    <w:rsid w:val="002A2F2A"/>
    <w:rsid w:val="002A3E2B"/>
    <w:rsid w:val="002B038D"/>
    <w:rsid w:val="002B7B8B"/>
    <w:rsid w:val="002D71F1"/>
    <w:rsid w:val="002E5863"/>
    <w:rsid w:val="002F0BD1"/>
    <w:rsid w:val="003020CF"/>
    <w:rsid w:val="003040CA"/>
    <w:rsid w:val="00305A10"/>
    <w:rsid w:val="00310ED4"/>
    <w:rsid w:val="0031492A"/>
    <w:rsid w:val="0031581A"/>
    <w:rsid w:val="00316504"/>
    <w:rsid w:val="00316AAB"/>
    <w:rsid w:val="00316C1A"/>
    <w:rsid w:val="003203F6"/>
    <w:rsid w:val="0032121A"/>
    <w:rsid w:val="00321AF0"/>
    <w:rsid w:val="00340732"/>
    <w:rsid w:val="0034741C"/>
    <w:rsid w:val="00351DE5"/>
    <w:rsid w:val="003569B3"/>
    <w:rsid w:val="003617F8"/>
    <w:rsid w:val="00377C8F"/>
    <w:rsid w:val="003852B9"/>
    <w:rsid w:val="003931C7"/>
    <w:rsid w:val="003955AE"/>
    <w:rsid w:val="00395B25"/>
    <w:rsid w:val="003A31A0"/>
    <w:rsid w:val="003A533F"/>
    <w:rsid w:val="003B18A7"/>
    <w:rsid w:val="003C0811"/>
    <w:rsid w:val="003F0CEE"/>
    <w:rsid w:val="004164DF"/>
    <w:rsid w:val="004215B3"/>
    <w:rsid w:val="00423BD3"/>
    <w:rsid w:val="0043081D"/>
    <w:rsid w:val="00444303"/>
    <w:rsid w:val="00444D52"/>
    <w:rsid w:val="0045569A"/>
    <w:rsid w:val="004561BE"/>
    <w:rsid w:val="00456879"/>
    <w:rsid w:val="004569C7"/>
    <w:rsid w:val="00462D4C"/>
    <w:rsid w:val="00473DB9"/>
    <w:rsid w:val="00474063"/>
    <w:rsid w:val="00476EEA"/>
    <w:rsid w:val="004858A2"/>
    <w:rsid w:val="0049131E"/>
    <w:rsid w:val="00494D4B"/>
    <w:rsid w:val="004A432E"/>
    <w:rsid w:val="004A722D"/>
    <w:rsid w:val="004D233A"/>
    <w:rsid w:val="004E2528"/>
    <w:rsid w:val="004F3A80"/>
    <w:rsid w:val="004F53EF"/>
    <w:rsid w:val="00503E04"/>
    <w:rsid w:val="00504B28"/>
    <w:rsid w:val="00513540"/>
    <w:rsid w:val="00522CED"/>
    <w:rsid w:val="00522D1C"/>
    <w:rsid w:val="005269A1"/>
    <w:rsid w:val="00534FA5"/>
    <w:rsid w:val="00554C04"/>
    <w:rsid w:val="00556012"/>
    <w:rsid w:val="005564D8"/>
    <w:rsid w:val="005750CA"/>
    <w:rsid w:val="00587C94"/>
    <w:rsid w:val="005B2A62"/>
    <w:rsid w:val="005B5627"/>
    <w:rsid w:val="005B7515"/>
    <w:rsid w:val="005C1654"/>
    <w:rsid w:val="005C7D4F"/>
    <w:rsid w:val="005D04F4"/>
    <w:rsid w:val="005D1F34"/>
    <w:rsid w:val="005E61F6"/>
    <w:rsid w:val="005E6ED6"/>
    <w:rsid w:val="005E75DB"/>
    <w:rsid w:val="005F5F45"/>
    <w:rsid w:val="00601D37"/>
    <w:rsid w:val="00613D3D"/>
    <w:rsid w:val="006225B5"/>
    <w:rsid w:val="00647282"/>
    <w:rsid w:val="00651028"/>
    <w:rsid w:val="0065208C"/>
    <w:rsid w:val="00673BDB"/>
    <w:rsid w:val="006771F7"/>
    <w:rsid w:val="00690313"/>
    <w:rsid w:val="00692BE7"/>
    <w:rsid w:val="00692F9B"/>
    <w:rsid w:val="00696390"/>
    <w:rsid w:val="006963D8"/>
    <w:rsid w:val="006967FB"/>
    <w:rsid w:val="00697B29"/>
    <w:rsid w:val="006A0335"/>
    <w:rsid w:val="006A6BB3"/>
    <w:rsid w:val="006B3680"/>
    <w:rsid w:val="006C2D6D"/>
    <w:rsid w:val="006C3953"/>
    <w:rsid w:val="006D5EE5"/>
    <w:rsid w:val="006E06ED"/>
    <w:rsid w:val="006E06F5"/>
    <w:rsid w:val="0070070A"/>
    <w:rsid w:val="007039FC"/>
    <w:rsid w:val="0070499A"/>
    <w:rsid w:val="00706FAB"/>
    <w:rsid w:val="00707793"/>
    <w:rsid w:val="00714859"/>
    <w:rsid w:val="007160B5"/>
    <w:rsid w:val="007169BB"/>
    <w:rsid w:val="00722281"/>
    <w:rsid w:val="007259FB"/>
    <w:rsid w:val="00725D5E"/>
    <w:rsid w:val="007548CA"/>
    <w:rsid w:val="00755492"/>
    <w:rsid w:val="00762CFD"/>
    <w:rsid w:val="0076579E"/>
    <w:rsid w:val="00767039"/>
    <w:rsid w:val="00770DCB"/>
    <w:rsid w:val="007716A5"/>
    <w:rsid w:val="00775485"/>
    <w:rsid w:val="00780C0F"/>
    <w:rsid w:val="00783D6D"/>
    <w:rsid w:val="007841E1"/>
    <w:rsid w:val="00796BE4"/>
    <w:rsid w:val="007D1E6A"/>
    <w:rsid w:val="007D40BD"/>
    <w:rsid w:val="007E1866"/>
    <w:rsid w:val="007E6434"/>
    <w:rsid w:val="007F787F"/>
    <w:rsid w:val="00810ABF"/>
    <w:rsid w:val="008125EE"/>
    <w:rsid w:val="0081588C"/>
    <w:rsid w:val="008173D2"/>
    <w:rsid w:val="0083209A"/>
    <w:rsid w:val="00841861"/>
    <w:rsid w:val="00860450"/>
    <w:rsid w:val="00864788"/>
    <w:rsid w:val="00867FF8"/>
    <w:rsid w:val="008702A1"/>
    <w:rsid w:val="008724DE"/>
    <w:rsid w:val="00882B9D"/>
    <w:rsid w:val="008A2AF7"/>
    <w:rsid w:val="008A3D57"/>
    <w:rsid w:val="008A5F1D"/>
    <w:rsid w:val="008B1C2D"/>
    <w:rsid w:val="008C390A"/>
    <w:rsid w:val="008C5FFF"/>
    <w:rsid w:val="008E26BD"/>
    <w:rsid w:val="008E3D60"/>
    <w:rsid w:val="008E4A74"/>
    <w:rsid w:val="008E7059"/>
    <w:rsid w:val="0090165F"/>
    <w:rsid w:val="00912E49"/>
    <w:rsid w:val="00921CB7"/>
    <w:rsid w:val="00923C4F"/>
    <w:rsid w:val="00932783"/>
    <w:rsid w:val="00935764"/>
    <w:rsid w:val="00940F2E"/>
    <w:rsid w:val="009472C4"/>
    <w:rsid w:val="00950E88"/>
    <w:rsid w:val="00966C2F"/>
    <w:rsid w:val="009800AA"/>
    <w:rsid w:val="009802F3"/>
    <w:rsid w:val="009821EA"/>
    <w:rsid w:val="009831CE"/>
    <w:rsid w:val="0098770B"/>
    <w:rsid w:val="00993A04"/>
    <w:rsid w:val="009A1209"/>
    <w:rsid w:val="009A5753"/>
    <w:rsid w:val="009C5FB8"/>
    <w:rsid w:val="009C74DB"/>
    <w:rsid w:val="009D5B93"/>
    <w:rsid w:val="009E211F"/>
    <w:rsid w:val="009E73CE"/>
    <w:rsid w:val="009E74E2"/>
    <w:rsid w:val="009E7FC4"/>
    <w:rsid w:val="009F51D9"/>
    <w:rsid w:val="009F7AAC"/>
    <w:rsid w:val="00A02F56"/>
    <w:rsid w:val="00A0406E"/>
    <w:rsid w:val="00A16567"/>
    <w:rsid w:val="00A16E73"/>
    <w:rsid w:val="00A266EA"/>
    <w:rsid w:val="00A41355"/>
    <w:rsid w:val="00A43B42"/>
    <w:rsid w:val="00A43B92"/>
    <w:rsid w:val="00A44720"/>
    <w:rsid w:val="00A6179E"/>
    <w:rsid w:val="00A62548"/>
    <w:rsid w:val="00A63050"/>
    <w:rsid w:val="00A64AF2"/>
    <w:rsid w:val="00A66F67"/>
    <w:rsid w:val="00A908A2"/>
    <w:rsid w:val="00AA1788"/>
    <w:rsid w:val="00AA2C0E"/>
    <w:rsid w:val="00AB7DCD"/>
    <w:rsid w:val="00AC27AB"/>
    <w:rsid w:val="00AC35DC"/>
    <w:rsid w:val="00AC6A34"/>
    <w:rsid w:val="00AE4B5D"/>
    <w:rsid w:val="00AE76EB"/>
    <w:rsid w:val="00AF0220"/>
    <w:rsid w:val="00AF1B86"/>
    <w:rsid w:val="00B003DE"/>
    <w:rsid w:val="00B008C8"/>
    <w:rsid w:val="00B055E0"/>
    <w:rsid w:val="00B07DC9"/>
    <w:rsid w:val="00B15258"/>
    <w:rsid w:val="00B218BC"/>
    <w:rsid w:val="00B22697"/>
    <w:rsid w:val="00B277E0"/>
    <w:rsid w:val="00B35466"/>
    <w:rsid w:val="00B52E2D"/>
    <w:rsid w:val="00B53062"/>
    <w:rsid w:val="00B563BF"/>
    <w:rsid w:val="00B76653"/>
    <w:rsid w:val="00B803F5"/>
    <w:rsid w:val="00BA262D"/>
    <w:rsid w:val="00BB3484"/>
    <w:rsid w:val="00BB438F"/>
    <w:rsid w:val="00BC79EB"/>
    <w:rsid w:val="00BD1384"/>
    <w:rsid w:val="00BE4555"/>
    <w:rsid w:val="00BE4A6D"/>
    <w:rsid w:val="00BF1765"/>
    <w:rsid w:val="00C076F2"/>
    <w:rsid w:val="00C2198A"/>
    <w:rsid w:val="00C247EB"/>
    <w:rsid w:val="00C25BDA"/>
    <w:rsid w:val="00C30D94"/>
    <w:rsid w:val="00C53971"/>
    <w:rsid w:val="00C54FB1"/>
    <w:rsid w:val="00C55D12"/>
    <w:rsid w:val="00C80F9F"/>
    <w:rsid w:val="00C81E38"/>
    <w:rsid w:val="00CA0D78"/>
    <w:rsid w:val="00CA3C3F"/>
    <w:rsid w:val="00CA448A"/>
    <w:rsid w:val="00CB27A8"/>
    <w:rsid w:val="00CD0478"/>
    <w:rsid w:val="00CE7182"/>
    <w:rsid w:val="00CF2028"/>
    <w:rsid w:val="00D0768E"/>
    <w:rsid w:val="00D1369B"/>
    <w:rsid w:val="00D26894"/>
    <w:rsid w:val="00D2756B"/>
    <w:rsid w:val="00D30AEF"/>
    <w:rsid w:val="00D36D90"/>
    <w:rsid w:val="00D45160"/>
    <w:rsid w:val="00D62047"/>
    <w:rsid w:val="00D645DE"/>
    <w:rsid w:val="00D65C76"/>
    <w:rsid w:val="00D8269A"/>
    <w:rsid w:val="00D92939"/>
    <w:rsid w:val="00DA2F73"/>
    <w:rsid w:val="00DA42E8"/>
    <w:rsid w:val="00DC193F"/>
    <w:rsid w:val="00DC3C4F"/>
    <w:rsid w:val="00DC462F"/>
    <w:rsid w:val="00DE22EC"/>
    <w:rsid w:val="00E2141B"/>
    <w:rsid w:val="00E24FA3"/>
    <w:rsid w:val="00E328CD"/>
    <w:rsid w:val="00E3301B"/>
    <w:rsid w:val="00E42FC4"/>
    <w:rsid w:val="00E45954"/>
    <w:rsid w:val="00E61C6F"/>
    <w:rsid w:val="00E625F7"/>
    <w:rsid w:val="00E646B8"/>
    <w:rsid w:val="00E711DE"/>
    <w:rsid w:val="00E71B82"/>
    <w:rsid w:val="00E73B7D"/>
    <w:rsid w:val="00E75401"/>
    <w:rsid w:val="00E75D90"/>
    <w:rsid w:val="00E835AF"/>
    <w:rsid w:val="00E950C5"/>
    <w:rsid w:val="00E97EF8"/>
    <w:rsid w:val="00EA0209"/>
    <w:rsid w:val="00EA2C0F"/>
    <w:rsid w:val="00EA49B0"/>
    <w:rsid w:val="00EE44D7"/>
    <w:rsid w:val="00EE667E"/>
    <w:rsid w:val="00EE68B6"/>
    <w:rsid w:val="00EF4115"/>
    <w:rsid w:val="00F04D28"/>
    <w:rsid w:val="00F14C6D"/>
    <w:rsid w:val="00F14FA1"/>
    <w:rsid w:val="00F15C0A"/>
    <w:rsid w:val="00F16342"/>
    <w:rsid w:val="00F3100E"/>
    <w:rsid w:val="00F71A6E"/>
    <w:rsid w:val="00F83E55"/>
    <w:rsid w:val="00F8671A"/>
    <w:rsid w:val="00F9078E"/>
    <w:rsid w:val="00F910BD"/>
    <w:rsid w:val="00F95982"/>
    <w:rsid w:val="00FC582E"/>
    <w:rsid w:val="00FD754C"/>
    <w:rsid w:val="00FE57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169D5"/>
  <w15:chartTrackingRefBased/>
  <w15:docId w15:val="{33831A5A-5478-45DD-9085-F299703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table" w:styleId="GridTable5Dark-Accent5">
    <w:name w:val="Grid Table 5 Dark Accent 5"/>
    <w:basedOn w:val="TableNormal"/>
    <w:uiPriority w:val="50"/>
    <w:rsid w:val="00867F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
    <w:name w:val="Grid Table 5 Dark"/>
    <w:basedOn w:val="TableNormal"/>
    <w:uiPriority w:val="50"/>
    <w:rsid w:val="00867F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3">
    <w:name w:val="Plain Table 3"/>
    <w:basedOn w:val="TableNormal"/>
    <w:uiPriority w:val="43"/>
    <w:rsid w:val="00AF02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F02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locked/>
    <w:rsid w:val="00F1634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F16342"/>
    <w:rPr>
      <w:rFonts w:ascii="Segoe UI" w:hAnsi="Segoe UI" w:cs="Segoe UI"/>
      <w:sz w:val="18"/>
      <w:szCs w:val="18"/>
    </w:rPr>
  </w:style>
  <w:style w:type="paragraph" w:styleId="Revision">
    <w:name w:val="Revision"/>
    <w:hidden/>
    <w:uiPriority w:val="99"/>
    <w:semiHidden/>
    <w:rsid w:val="00444D5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F09C8-1018-4E04-8C34-F5180CB3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376</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Alicia Wells</dc:creator>
  <cp:keywords/>
  <dc:description/>
  <cp:lastModifiedBy>Alicia Wells</cp:lastModifiedBy>
  <cp:revision>11</cp:revision>
  <cp:lastPrinted>2017-01-12T03:23:00Z</cp:lastPrinted>
  <dcterms:created xsi:type="dcterms:W3CDTF">2017-01-12T06:19:00Z</dcterms:created>
  <dcterms:modified xsi:type="dcterms:W3CDTF">2017-01-12T06:59:00Z</dcterms:modified>
</cp:coreProperties>
</file>