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028DC" w14:textId="77777777" w:rsidR="00591951" w:rsidRPr="00654793" w:rsidRDefault="000037CC"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65FF07C3" wp14:editId="03D9A3E7">
                <wp:simplePos x="0" y="0"/>
                <wp:positionH relativeFrom="column">
                  <wp:posOffset>1128395</wp:posOffset>
                </wp:positionH>
                <wp:positionV relativeFrom="paragraph">
                  <wp:posOffset>1999615</wp:posOffset>
                </wp:positionV>
                <wp:extent cx="4606290" cy="75692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56920"/>
                        </a:xfrm>
                        <a:prstGeom prst="rect">
                          <a:avLst/>
                        </a:prstGeom>
                        <a:noFill/>
                        <a:ln w="6350">
                          <a:noFill/>
                        </a:ln>
                        <a:effectLst/>
                      </wps:spPr>
                      <wps:txbx>
                        <w:txbxContent>
                          <w:p w14:paraId="7B8FC10F" w14:textId="77777777" w:rsidR="0096267B" w:rsidRPr="00B74219" w:rsidRDefault="0096267B" w:rsidP="00A11307">
                            <w:pPr>
                              <w:pStyle w:val="Subtitle"/>
                            </w:pPr>
                            <w:bookmarkStart w:id="0" w:name="_Toc488410871"/>
                            <w:r w:rsidRPr="002863D7">
                              <w:t>Aust</w:t>
                            </w:r>
                            <w:r>
                              <w:t>ralian Human Rights Commission s</w:t>
                            </w:r>
                            <w:r w:rsidRPr="002863D7">
                              <w:t xml:space="preserve">ubmission to the </w:t>
                            </w:r>
                            <w:r>
                              <w:t>Senate Legal and Constitutional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F07C3" id="_x0000_t202" coordsize="21600,21600" o:spt="202" path="m,l,21600r21600,l21600,xe">
                <v:stroke joinstyle="miter"/>
                <v:path gradientshapeok="t" o:connecttype="rect"/>
              </v:shapetype>
              <v:shape id="Text Box 3" o:spid="_x0000_s1026" type="#_x0000_t202" style="position:absolute;margin-left:88.85pt;margin-top:157.45pt;width:362.7pt;height:5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OlPAIAAHgEAAAOAAAAZHJzL2Uyb0RvYy54bWysVEuP2jAQvlfqf7B8LwnPLRFhRXdFVQnt&#10;rgTVno1jk6iOx7UNCf31HTuBRdueql6cseeb5zeTxX1bK3IS1lWgczocpJQIzaGo9CGn33frT58p&#10;cZ7pginQIqdn4ej98uOHRWMyMYISVCEsQSfaZY3Jaem9yZLE8VLUzA3ACI1KCbZmHq/2kBSWNei9&#10;VskoTWdJA7YwFrhwDl8fOyVdRv9SCu6fpXTCE5VTzM3H08ZzH85kuWDZwTJTVrxPg/1DFjWrNAa9&#10;unpknpGjrf5wVVfcggPpBxzqBKSsuIg1YDXD9F0125IZEWvB5jhzbZP7f2750+nFkqrI6ZgSzWqk&#10;aCdaT75AS8ahO41xGYK2BmG+xWdkOVbqzAb4D4eQ5AbTGThEh2600tbhi3USNEQCztemhygcHyez&#10;dDaao4qj7m46m48iK8mbtbHOfxVQkyDk1CKpMQN22jgf4rPsAgnBNKwrpSKxSpMmp7PxNI0GVw1a&#10;KB2wIo5I7yaU0WUeJN/u277+PRRnLN9CNz7O8HWFqWyY8y/M4rxg9rgD/hkPqQBDQi9RUoL99bf3&#10;gEcaUUtJg/OXU/fzyKygRH3TSPB8OJmEgY2XyfQOu0LsrWZ/q9HH+gFwxIe4bYZHMeC9uojSQv2K&#10;q7IKUVHFNMfYOfUX8cF3W4GrxsVqFUE4oob5jd4afmE9NHrXvjJrejY88vgEl0ll2TtSOmxHy+ro&#10;QVaRsdDgrqv9+OB4RyL7VQz7c3uPqLcfxvI3AAAA//8DAFBLAwQUAAYACAAAACEA2b+nHeEAAAAL&#10;AQAADwAAAGRycy9kb3ducmV2LnhtbEyPy07DMBBF90j8gzVI7KgTEpE2jVNVCDZICLVUQt1N4yEO&#10;+BFstw1/j1nB8mqO7j3TrCaj2Yl8GJwVkM8yYGQ7JwfbC9i9Pt7MgYWIVqJ2lgR8U4BVe3nRYC3d&#10;2W7otI09SyU21ChAxTjWnIdOkcEwcyPZdHt33mBM0fdcejyncqP5bZbdcYODTQsKR7pX1H1uj0ZA&#10;Nd9L9eGfpt3b8/pLvYxcPyAX4vpqWi+BRZriHwy/+kkd2uR0cEcrA9MpV1WVUAFFXi6AJWKRFTmw&#10;g4CyKHPgbcP//9D+AAAA//8DAFBLAQItABQABgAIAAAAIQC2gziS/gAAAOEBAAATAAAAAAAAAAAA&#10;AAAAAAAAAABbQ29udGVudF9UeXBlc10ueG1sUEsBAi0AFAAGAAgAAAAhADj9If/WAAAAlAEAAAsA&#10;AAAAAAAAAAAAAAAALwEAAF9yZWxzLy5yZWxzUEsBAi0AFAAGAAgAAAAhANAd06U8AgAAeAQAAA4A&#10;AAAAAAAAAAAAAAAALgIAAGRycy9lMm9Eb2MueG1sUEsBAi0AFAAGAAgAAAAhANm/px3hAAAACwEA&#10;AA8AAAAAAAAAAAAAAAAAlgQAAGRycy9kb3ducmV2LnhtbFBLBQYAAAAABAAEAPMAAACkBQAAAAA=&#10;" filled="f" stroked="f" strokeweight=".5pt">
                <v:path arrowok="t"/>
                <v:textbox>
                  <w:txbxContent>
                    <w:p w14:paraId="7B8FC10F" w14:textId="77777777" w:rsidR="0096267B" w:rsidRPr="00B74219" w:rsidRDefault="0096267B" w:rsidP="00A11307">
                      <w:pPr>
                        <w:pStyle w:val="Subtitle"/>
                      </w:pPr>
                      <w:bookmarkStart w:id="1" w:name="_Toc488410871"/>
                      <w:r w:rsidRPr="002863D7">
                        <w:t>Aust</w:t>
                      </w:r>
                      <w:r>
                        <w:t>ralian Human Rights Commission s</w:t>
                      </w:r>
                      <w:r w:rsidRPr="002863D7">
                        <w:t xml:space="preserve">ubmission to the </w:t>
                      </w:r>
                      <w:r>
                        <w:t>Senate Legal and Constitutional Affairs Legislation Committee</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F718326" wp14:editId="50C1256A">
                <wp:simplePos x="0" y="0"/>
                <wp:positionH relativeFrom="column">
                  <wp:posOffset>-252730</wp:posOffset>
                </wp:positionH>
                <wp:positionV relativeFrom="paragraph">
                  <wp:posOffset>-48260</wp:posOffset>
                </wp:positionV>
                <wp:extent cx="5990590" cy="2057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0590" cy="2057400"/>
                        </a:xfrm>
                        <a:prstGeom prst="rect">
                          <a:avLst/>
                        </a:prstGeom>
                        <a:noFill/>
                        <a:ln w="6350">
                          <a:noFill/>
                        </a:ln>
                        <a:effectLst/>
                      </wps:spPr>
                      <wps:txbx>
                        <w:txbxContent>
                          <w:p w14:paraId="56BE8BEA" w14:textId="77777777" w:rsidR="0096267B" w:rsidRDefault="0096267B" w:rsidP="00FD01B5">
                            <w:pPr>
                              <w:pStyle w:val="MainTitle"/>
                            </w:pPr>
                            <w:r>
                              <w:t xml:space="preserve">Australian Citizenship Legislation (Strengthening the Requirements for Australian Citizenship and Other Measures) Bill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18326" id="Text Box 1" o:spid="_x0000_s1027" type="#_x0000_t202" style="position:absolute;margin-left:-19.9pt;margin-top:-3.8pt;width:471.7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n1PgIAAIAEAAAOAAAAZHJzL2Uyb0RvYy54bWysVN9v2jAQfp+0/8Hy+0hg0JaIULFWTJNQ&#10;WwmmPhvHJtFsn2cbEvbX7+wARd2epr04Z993P7+7zO47rchBON+AKelwkFMiDIeqMbuSft8sP91R&#10;4gMzFVNgREmPwtP7+ccPs9YWYgQ1qEo4gk6ML1pb0joEW2SZ57XQzA/ACoNKCU6zgFe3yyrHWvSu&#10;VTbK85usBVdZB1x4j6+PvZLOk38pBQ/PUnoRiCop5hbS6dK5jWc2n7Fi55itG35Kg/1DFpo1BoNe&#10;XD2ywMjeNX+40g134EGGAQedgZQNF6kGrGaYv6tmXTMrUi3YHG8vbfL/zy1/Orw40lQlHVFimEaK&#10;NqIL5At0ZBi701pfIGhtERY6fEaWU6XeroD/8AjJrjC9gUd07EYnnY5frJOgIRJwvDQ9RuH4OJlO&#10;88kUVRx1o3xyO84TLdmbuXU+fBWgSRRK6pDVlAI7rHyICbDiDInRDCwbpRKzypC2pDefJ3kyuGjQ&#10;QpmIFWlGTm5iHX3qUQrdtkudufRhC9UR2+CgHyNv+bLBjFbMhxfmcG6wCtyF8IyHVICR4SRRUoP7&#10;9bf3iEc6UUtJi3NYUv9zz5ygRH0zSPR0OB7HwU2X8eR2hBd3rdlea8xePwCO+hC3zvIkRnxQZ1E6&#10;0K+4MosYFVXMcIxd0nAWH0K/HbhyXCwWCYSjallYmbXlZ/ZjvzfdK3P2REpAPp/gPLGseMdNj+3Z&#10;WewDyCYRF/vcd/U0Rjjmic/TSsY9ur4n1NuPY/4bAAD//wMAUEsDBBQABgAIAAAAIQDz8aWa4AAA&#10;AAoBAAAPAAAAZHJzL2Rvd25yZXYueG1sTI/BTsMwEETvSPyDtUjcWqcEpW0ap6oQXJAQolRC3Lax&#10;GwfsdYjdNvw9ywlus5rRzNtqPXonTmaIXSAFs2kGwlATdEetgt3rw2QBIiYkjS6QUfBtIqzry4sK&#10;Sx3O9GJO29QKLqFYogKbUl9KGRtrPMZp6A2xdwiDx8Tn0Eo94JnLvZM3WVZIjx3xgsXe3FnTfG6P&#10;XsF88a7tx/A47t6eNl/2uZfuHqVS11fjZgUimTH9heEXn9GhZqZ9OJKOwimY5EtGTyzmBQgOLLOc&#10;xV5BPituQdaV/P9C/QMAAP//AwBQSwECLQAUAAYACAAAACEAtoM4kv4AAADhAQAAEwAAAAAAAAAA&#10;AAAAAAAAAAAAW0NvbnRlbnRfVHlwZXNdLnhtbFBLAQItABQABgAIAAAAIQA4/SH/1gAAAJQBAAAL&#10;AAAAAAAAAAAAAAAAAC8BAABfcmVscy8ucmVsc1BLAQItABQABgAIAAAAIQB1VEn1PgIAAIAEAAAO&#10;AAAAAAAAAAAAAAAAAC4CAABkcnMvZTJvRG9jLnhtbFBLAQItABQABgAIAAAAIQDz8aWa4AAAAAoB&#10;AAAPAAAAAAAAAAAAAAAAAJgEAABkcnMvZG93bnJldi54bWxQSwUGAAAAAAQABADzAAAApQUAAAAA&#10;" filled="f" stroked="f" strokeweight=".5pt">
                <v:path arrowok="t"/>
                <v:textbox>
                  <w:txbxContent>
                    <w:p w14:paraId="56BE8BEA" w14:textId="77777777" w:rsidR="0096267B" w:rsidRDefault="0096267B" w:rsidP="00FD01B5">
                      <w:pPr>
                        <w:pStyle w:val="MainTitle"/>
                      </w:pPr>
                      <w:r>
                        <w:t xml:space="preserve">Australian Citizenship Legislation (Strengthening the Requirements for Australian Citizenship and Other Measures) Bill 2017 </w:t>
                      </w:r>
                    </w:p>
                  </w:txbxContent>
                </v:textbox>
              </v:shape>
            </w:pict>
          </mc:Fallback>
        </mc:AlternateContent>
      </w:r>
    </w:p>
    <w:bookmarkStart w:id="1" w:name="_GoBack"/>
    <w:bookmarkEnd w:id="1"/>
    <w:p w14:paraId="449C50C5" w14:textId="77777777" w:rsidR="00591951" w:rsidRPr="00827DE2" w:rsidRDefault="000037CC"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1CC540D5" wp14:editId="5654DF61">
                <wp:simplePos x="0" y="0"/>
                <wp:positionH relativeFrom="column">
                  <wp:posOffset>1959610</wp:posOffset>
                </wp:positionH>
                <wp:positionV relativeFrom="paragraph">
                  <wp:posOffset>635635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17D8C0FF" w14:textId="77777777" w:rsidR="0096267B" w:rsidRPr="00B74219" w:rsidRDefault="0096267B" w:rsidP="002863D7">
                            <w:pPr>
                              <w:pStyle w:val="Date"/>
                            </w:pPr>
                            <w:r>
                              <w:t>21 July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540D5" id="Text Box 4" o:spid="_x0000_s1028" type="#_x0000_t202" style="position:absolute;left:0;text-align:left;margin-left:154.3pt;margin-top:50.0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C7dFqbg&#10;AAAACwEAAA8AAABkcnMvZG93bnJldi54bWxMj0FPwzAMhe9I/IfISNxYMia2rms6TQguSAgxJiFu&#10;XmOaQpOUJNvKv8ec4Gb7PT1/r1qPrhdHiqkLXsN0okCQb4LpfKth93J/VYBIGb3BPnjS8E0J1vX5&#10;WYWlCSf/TMdtbgWH+FSiBpvzUEqZGksO0yQM5Fl7D9Fh5jW20kQ8cbjr5bVSc+mw8/zB4kC3lprP&#10;7cFpWBRvxn7Eh3H3+rj5sk+D7O9Qan15MW5WIDKN+c8Mv/iMDjUz7cPBmyR6DTNVzNnKglJTEOxY&#10;qhkPe77cLBTIupL/O9Q/AAAA//8DAFBLAQItABQABgAIAAAAIQC2gziS/gAAAOEBAAATAAAAAAAA&#10;AAAAAAAAAAAAAABbQ29udGVudF9UeXBlc10ueG1sUEsBAi0AFAAGAAgAAAAhADj9If/WAAAAlAEA&#10;AAsAAAAAAAAAAAAAAAAALwEAAF9yZWxzLy5yZWxzUEsBAi0AFAAGAAgAAAAhAD4RTZ9AAgAAfwQA&#10;AA4AAAAAAAAAAAAAAAAALgIAAGRycy9lMm9Eb2MueG1sUEsBAi0AFAAGAAgAAAAhAC7dFqbgAAAA&#10;CwEAAA8AAAAAAAAAAAAAAAAAmgQAAGRycy9kb3ducmV2LnhtbFBLBQYAAAAABAAEAPMAAACnBQAA&#10;AAA=&#10;" filled="f" stroked="f" strokeweight=".5pt">
                <v:path arrowok="t"/>
                <v:textbox>
                  <w:txbxContent>
                    <w:p w14:paraId="17D8C0FF" w14:textId="77777777" w:rsidR="0096267B" w:rsidRPr="00B74219" w:rsidRDefault="0096267B" w:rsidP="002863D7">
                      <w:pPr>
                        <w:pStyle w:val="Date"/>
                      </w:pPr>
                      <w:r>
                        <w:t>21 July 2017</w:t>
                      </w:r>
                    </w:p>
                  </w:txbxContent>
                </v:textbox>
              </v:shape>
            </w:pict>
          </mc:Fallback>
        </mc:AlternateContent>
      </w:r>
    </w:p>
    <w:p w14:paraId="3BD36F08"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14:paraId="39575B1A" w14:textId="77777777"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14:paraId="5B3B3272" w14:textId="2C67C4FA" w:rsidR="0096267B" w:rsidRPr="0096267B" w:rsidRDefault="00B63D24">
      <w:pPr>
        <w:pStyle w:val="TOC2"/>
        <w:rPr>
          <w:rFonts w:asciiTheme="minorHAnsi" w:eastAsiaTheme="minorEastAsia" w:hAnsiTheme="minorHAnsi" w:cstheme="minorBidi"/>
          <w:b w:val="0"/>
          <w:i w:val="0"/>
        </w:rPr>
      </w:pPr>
      <w:r w:rsidRPr="0096267B">
        <w:fldChar w:fldCharType="begin"/>
      </w:r>
      <w:r w:rsidRPr="0096267B">
        <w:instrText xml:space="preserve"> TOC \o "1-4" \h \z \u </w:instrText>
      </w:r>
      <w:r w:rsidRPr="0096267B">
        <w:fldChar w:fldCharType="separate"/>
      </w:r>
      <w:hyperlink r:id="rId13" w:anchor="_Toc488410871" w:history="1">
        <w:r w:rsidR="0096267B" w:rsidRPr="0096267B">
          <w:rPr>
            <w:rStyle w:val="Hyperlink"/>
          </w:rPr>
          <w:t>Australian Human Rights Commission submission to the Senate Legal and Constitutional Affairs Legislation Committee</w:t>
        </w:r>
        <w:r w:rsidR="0096267B" w:rsidRPr="0096267B">
          <w:rPr>
            <w:webHidden/>
          </w:rPr>
          <w:tab/>
        </w:r>
        <w:r w:rsidR="0096267B" w:rsidRPr="0096267B">
          <w:rPr>
            <w:webHidden/>
          </w:rPr>
          <w:fldChar w:fldCharType="begin"/>
        </w:r>
        <w:r w:rsidR="0096267B" w:rsidRPr="0096267B">
          <w:rPr>
            <w:webHidden/>
          </w:rPr>
          <w:instrText xml:space="preserve"> PAGEREF _Toc488410871 \h </w:instrText>
        </w:r>
        <w:r w:rsidR="0096267B" w:rsidRPr="0096267B">
          <w:rPr>
            <w:webHidden/>
          </w:rPr>
        </w:r>
        <w:r w:rsidR="0096267B" w:rsidRPr="0096267B">
          <w:rPr>
            <w:webHidden/>
          </w:rPr>
          <w:fldChar w:fldCharType="separate"/>
        </w:r>
        <w:r w:rsidR="00286AA5">
          <w:rPr>
            <w:webHidden/>
          </w:rPr>
          <w:t>1</w:t>
        </w:r>
        <w:r w:rsidR="0096267B" w:rsidRPr="0096267B">
          <w:rPr>
            <w:webHidden/>
          </w:rPr>
          <w:fldChar w:fldCharType="end"/>
        </w:r>
      </w:hyperlink>
    </w:p>
    <w:p w14:paraId="090B23F9" w14:textId="4AF7B1E0" w:rsidR="0096267B" w:rsidRPr="0096267B" w:rsidRDefault="00286AA5">
      <w:pPr>
        <w:pStyle w:val="TOC1"/>
        <w:rPr>
          <w:rFonts w:asciiTheme="minorHAnsi" w:eastAsiaTheme="minorEastAsia" w:hAnsiTheme="minorHAnsi" w:cstheme="minorBidi"/>
          <w:b w:val="0"/>
          <w:sz w:val="24"/>
        </w:rPr>
      </w:pPr>
      <w:hyperlink w:anchor="_Toc488410872" w:history="1">
        <w:r w:rsidR="0096267B" w:rsidRPr="0096267B">
          <w:rPr>
            <w:rStyle w:val="Hyperlink"/>
            <w:sz w:val="24"/>
          </w:rPr>
          <w:t>1</w:t>
        </w:r>
        <w:r w:rsidR="0096267B" w:rsidRPr="0096267B">
          <w:rPr>
            <w:rFonts w:asciiTheme="minorHAnsi" w:eastAsiaTheme="minorEastAsia" w:hAnsiTheme="minorHAnsi" w:cstheme="minorBidi"/>
            <w:b w:val="0"/>
            <w:sz w:val="24"/>
          </w:rPr>
          <w:tab/>
        </w:r>
        <w:r w:rsidR="0096267B" w:rsidRPr="0096267B">
          <w:rPr>
            <w:rStyle w:val="Hyperlink"/>
            <w:sz w:val="24"/>
          </w:rPr>
          <w:t>Introduction</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_Toc488410872 \h </w:instrText>
        </w:r>
        <w:r w:rsidR="0096267B" w:rsidRPr="0096267B">
          <w:rPr>
            <w:webHidden/>
            <w:sz w:val="24"/>
          </w:rPr>
        </w:r>
        <w:r w:rsidR="0096267B" w:rsidRPr="0096267B">
          <w:rPr>
            <w:webHidden/>
            <w:sz w:val="24"/>
          </w:rPr>
          <w:fldChar w:fldCharType="separate"/>
        </w:r>
        <w:r>
          <w:rPr>
            <w:webHidden/>
            <w:sz w:val="24"/>
          </w:rPr>
          <w:t>3</w:t>
        </w:r>
        <w:r w:rsidR="0096267B" w:rsidRPr="0096267B">
          <w:rPr>
            <w:webHidden/>
            <w:sz w:val="24"/>
          </w:rPr>
          <w:fldChar w:fldCharType="end"/>
        </w:r>
      </w:hyperlink>
    </w:p>
    <w:p w14:paraId="0B6FB1CC" w14:textId="266879C3" w:rsidR="0096267B" w:rsidRPr="0096267B" w:rsidRDefault="00286AA5">
      <w:pPr>
        <w:pStyle w:val="TOC1"/>
        <w:rPr>
          <w:rFonts w:asciiTheme="minorHAnsi" w:eastAsiaTheme="minorEastAsia" w:hAnsiTheme="minorHAnsi" w:cstheme="minorBidi"/>
          <w:b w:val="0"/>
          <w:sz w:val="24"/>
        </w:rPr>
      </w:pPr>
      <w:hyperlink w:anchor="_Toc488410873" w:history="1">
        <w:r w:rsidR="0096267B" w:rsidRPr="0096267B">
          <w:rPr>
            <w:rStyle w:val="Hyperlink"/>
            <w:sz w:val="24"/>
          </w:rPr>
          <w:t>2</w:t>
        </w:r>
        <w:r w:rsidR="0096267B" w:rsidRPr="0096267B">
          <w:rPr>
            <w:rFonts w:asciiTheme="minorHAnsi" w:eastAsiaTheme="minorEastAsia" w:hAnsiTheme="minorHAnsi" w:cstheme="minorBidi"/>
            <w:b w:val="0"/>
            <w:sz w:val="24"/>
          </w:rPr>
          <w:tab/>
        </w:r>
        <w:r w:rsidR="0096267B" w:rsidRPr="0096267B">
          <w:rPr>
            <w:rStyle w:val="Hyperlink"/>
            <w:sz w:val="24"/>
          </w:rPr>
          <w:t>Summary</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_Toc488410873 \h </w:instrText>
        </w:r>
        <w:r w:rsidR="0096267B" w:rsidRPr="0096267B">
          <w:rPr>
            <w:webHidden/>
            <w:sz w:val="24"/>
          </w:rPr>
        </w:r>
        <w:r w:rsidR="0096267B" w:rsidRPr="0096267B">
          <w:rPr>
            <w:webHidden/>
            <w:sz w:val="24"/>
          </w:rPr>
          <w:fldChar w:fldCharType="separate"/>
        </w:r>
        <w:r>
          <w:rPr>
            <w:webHidden/>
            <w:sz w:val="24"/>
          </w:rPr>
          <w:t>3</w:t>
        </w:r>
        <w:r w:rsidR="0096267B" w:rsidRPr="0096267B">
          <w:rPr>
            <w:webHidden/>
            <w:sz w:val="24"/>
          </w:rPr>
          <w:fldChar w:fldCharType="end"/>
        </w:r>
      </w:hyperlink>
    </w:p>
    <w:p w14:paraId="57048446" w14:textId="42DFF04A" w:rsidR="0096267B" w:rsidRPr="0096267B" w:rsidRDefault="00286AA5">
      <w:pPr>
        <w:pStyle w:val="TOC1"/>
        <w:rPr>
          <w:rFonts w:asciiTheme="minorHAnsi" w:eastAsiaTheme="minorEastAsia" w:hAnsiTheme="minorHAnsi" w:cstheme="minorBidi"/>
          <w:b w:val="0"/>
          <w:sz w:val="24"/>
        </w:rPr>
      </w:pPr>
      <w:hyperlink w:anchor="_Toc488410874" w:history="1">
        <w:r w:rsidR="0096267B" w:rsidRPr="0096267B">
          <w:rPr>
            <w:rStyle w:val="Hyperlink"/>
            <w:sz w:val="24"/>
          </w:rPr>
          <w:t>3</w:t>
        </w:r>
        <w:r w:rsidR="0096267B" w:rsidRPr="0096267B">
          <w:rPr>
            <w:rFonts w:asciiTheme="minorHAnsi" w:eastAsiaTheme="minorEastAsia" w:hAnsiTheme="minorHAnsi" w:cstheme="minorBidi"/>
            <w:b w:val="0"/>
            <w:sz w:val="24"/>
          </w:rPr>
          <w:tab/>
        </w:r>
        <w:r w:rsidR="0096267B" w:rsidRPr="0096267B">
          <w:rPr>
            <w:rStyle w:val="Hyperlink"/>
            <w:sz w:val="24"/>
          </w:rPr>
          <w:t>Recommendation</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_Toc488410874 \h </w:instrText>
        </w:r>
        <w:r w:rsidR="0096267B" w:rsidRPr="0096267B">
          <w:rPr>
            <w:webHidden/>
            <w:sz w:val="24"/>
          </w:rPr>
        </w:r>
        <w:r w:rsidR="0096267B" w:rsidRPr="0096267B">
          <w:rPr>
            <w:webHidden/>
            <w:sz w:val="24"/>
          </w:rPr>
          <w:fldChar w:fldCharType="separate"/>
        </w:r>
        <w:r>
          <w:rPr>
            <w:webHidden/>
            <w:sz w:val="24"/>
          </w:rPr>
          <w:t>4</w:t>
        </w:r>
        <w:r w:rsidR="0096267B" w:rsidRPr="0096267B">
          <w:rPr>
            <w:webHidden/>
            <w:sz w:val="24"/>
          </w:rPr>
          <w:fldChar w:fldCharType="end"/>
        </w:r>
      </w:hyperlink>
    </w:p>
    <w:p w14:paraId="63534EDD" w14:textId="63874D05" w:rsidR="0096267B" w:rsidRPr="0096267B" w:rsidRDefault="00286AA5">
      <w:pPr>
        <w:pStyle w:val="TOC1"/>
        <w:rPr>
          <w:rFonts w:asciiTheme="minorHAnsi" w:eastAsiaTheme="minorEastAsia" w:hAnsiTheme="minorHAnsi" w:cstheme="minorBidi"/>
          <w:b w:val="0"/>
          <w:sz w:val="24"/>
        </w:rPr>
      </w:pPr>
      <w:hyperlink w:anchor="_Toc488410875" w:history="1">
        <w:r w:rsidR="0096267B" w:rsidRPr="0096267B">
          <w:rPr>
            <w:rStyle w:val="Hyperlink"/>
            <w:sz w:val="24"/>
          </w:rPr>
          <w:t>4</w:t>
        </w:r>
        <w:r w:rsidR="0096267B" w:rsidRPr="0096267B">
          <w:rPr>
            <w:rFonts w:asciiTheme="minorHAnsi" w:eastAsiaTheme="minorEastAsia" w:hAnsiTheme="minorHAnsi" w:cstheme="minorBidi"/>
            <w:b w:val="0"/>
            <w:sz w:val="24"/>
          </w:rPr>
          <w:tab/>
        </w:r>
        <w:r w:rsidR="0096267B" w:rsidRPr="0096267B">
          <w:rPr>
            <w:rStyle w:val="Hyperlink"/>
            <w:sz w:val="24"/>
          </w:rPr>
          <w:t>Additional requirements for people seeking citizenship by conferral</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_Toc488410875 \h </w:instrText>
        </w:r>
        <w:r w:rsidR="0096267B" w:rsidRPr="0096267B">
          <w:rPr>
            <w:webHidden/>
            <w:sz w:val="24"/>
          </w:rPr>
        </w:r>
        <w:r w:rsidR="0096267B" w:rsidRPr="0096267B">
          <w:rPr>
            <w:webHidden/>
            <w:sz w:val="24"/>
          </w:rPr>
          <w:fldChar w:fldCharType="separate"/>
        </w:r>
        <w:r>
          <w:rPr>
            <w:webHidden/>
            <w:sz w:val="24"/>
          </w:rPr>
          <w:t>5</w:t>
        </w:r>
        <w:r w:rsidR="0096267B" w:rsidRPr="0096267B">
          <w:rPr>
            <w:webHidden/>
            <w:sz w:val="24"/>
          </w:rPr>
          <w:fldChar w:fldCharType="end"/>
        </w:r>
      </w:hyperlink>
    </w:p>
    <w:p w14:paraId="0E056189" w14:textId="71E0B1AE" w:rsidR="0096267B" w:rsidRPr="0096267B" w:rsidRDefault="00286AA5">
      <w:pPr>
        <w:pStyle w:val="TOC2"/>
        <w:rPr>
          <w:rFonts w:asciiTheme="minorHAnsi" w:eastAsiaTheme="minorEastAsia" w:hAnsiTheme="minorHAnsi" w:cstheme="minorBidi"/>
          <w:b w:val="0"/>
          <w:i w:val="0"/>
        </w:rPr>
      </w:pPr>
      <w:hyperlink w:anchor="_Toc488410876" w:history="1">
        <w:r w:rsidR="0096267B" w:rsidRPr="0096267B">
          <w:rPr>
            <w:rStyle w:val="Hyperlink"/>
          </w:rPr>
          <w:t>4.1</w:t>
        </w:r>
        <w:r w:rsidR="0096267B" w:rsidRPr="0096267B">
          <w:rPr>
            <w:rFonts w:asciiTheme="minorHAnsi" w:eastAsiaTheme="minorEastAsia" w:hAnsiTheme="minorHAnsi" w:cstheme="minorBidi"/>
            <w:b w:val="0"/>
            <w:i w:val="0"/>
          </w:rPr>
          <w:tab/>
        </w:r>
        <w:r w:rsidR="0096267B" w:rsidRPr="0096267B">
          <w:rPr>
            <w:rStyle w:val="Hyperlink"/>
          </w:rPr>
          <w:t>Four years permanent residency</w:t>
        </w:r>
        <w:r w:rsidR="0096267B" w:rsidRPr="0096267B">
          <w:rPr>
            <w:webHidden/>
          </w:rPr>
          <w:tab/>
        </w:r>
        <w:r w:rsidR="0096267B" w:rsidRPr="0096267B">
          <w:rPr>
            <w:webHidden/>
          </w:rPr>
          <w:fldChar w:fldCharType="begin"/>
        </w:r>
        <w:r w:rsidR="0096267B" w:rsidRPr="0096267B">
          <w:rPr>
            <w:webHidden/>
          </w:rPr>
          <w:instrText xml:space="preserve"> PAGEREF _Toc488410876 \h </w:instrText>
        </w:r>
        <w:r w:rsidR="0096267B" w:rsidRPr="0096267B">
          <w:rPr>
            <w:webHidden/>
          </w:rPr>
        </w:r>
        <w:r w:rsidR="0096267B" w:rsidRPr="0096267B">
          <w:rPr>
            <w:webHidden/>
          </w:rPr>
          <w:fldChar w:fldCharType="separate"/>
        </w:r>
        <w:r>
          <w:rPr>
            <w:webHidden/>
          </w:rPr>
          <w:t>5</w:t>
        </w:r>
        <w:r w:rsidR="0096267B" w:rsidRPr="0096267B">
          <w:rPr>
            <w:webHidden/>
          </w:rPr>
          <w:fldChar w:fldCharType="end"/>
        </w:r>
      </w:hyperlink>
    </w:p>
    <w:p w14:paraId="7F7B71CC" w14:textId="1F751D0D" w:rsidR="0096267B" w:rsidRPr="0096267B" w:rsidRDefault="00286AA5">
      <w:pPr>
        <w:pStyle w:val="TOC2"/>
        <w:rPr>
          <w:rFonts w:asciiTheme="minorHAnsi" w:eastAsiaTheme="minorEastAsia" w:hAnsiTheme="minorHAnsi" w:cstheme="minorBidi"/>
          <w:b w:val="0"/>
          <w:i w:val="0"/>
        </w:rPr>
      </w:pPr>
      <w:hyperlink w:anchor="_Toc488410877" w:history="1">
        <w:r w:rsidR="0096267B" w:rsidRPr="0096267B">
          <w:rPr>
            <w:rStyle w:val="Hyperlink"/>
          </w:rPr>
          <w:t>4.2</w:t>
        </w:r>
        <w:r w:rsidR="0096267B" w:rsidRPr="0096267B">
          <w:rPr>
            <w:rFonts w:asciiTheme="minorHAnsi" w:eastAsiaTheme="minorEastAsia" w:hAnsiTheme="minorHAnsi" w:cstheme="minorBidi"/>
            <w:b w:val="0"/>
            <w:i w:val="0"/>
          </w:rPr>
          <w:tab/>
        </w:r>
        <w:r w:rsidR="0096267B" w:rsidRPr="0096267B">
          <w:rPr>
            <w:rStyle w:val="Hyperlink"/>
          </w:rPr>
          <w:t>English language requirements</w:t>
        </w:r>
        <w:r w:rsidR="0096267B" w:rsidRPr="0096267B">
          <w:rPr>
            <w:webHidden/>
          </w:rPr>
          <w:tab/>
        </w:r>
        <w:r w:rsidR="0096267B" w:rsidRPr="0096267B">
          <w:rPr>
            <w:webHidden/>
          </w:rPr>
          <w:fldChar w:fldCharType="begin"/>
        </w:r>
        <w:r w:rsidR="0096267B" w:rsidRPr="0096267B">
          <w:rPr>
            <w:webHidden/>
          </w:rPr>
          <w:instrText xml:space="preserve"> PAGEREF _Toc488410877 \h </w:instrText>
        </w:r>
        <w:r w:rsidR="0096267B" w:rsidRPr="0096267B">
          <w:rPr>
            <w:webHidden/>
          </w:rPr>
        </w:r>
        <w:r w:rsidR="0096267B" w:rsidRPr="0096267B">
          <w:rPr>
            <w:webHidden/>
          </w:rPr>
          <w:fldChar w:fldCharType="separate"/>
        </w:r>
        <w:r>
          <w:rPr>
            <w:webHidden/>
          </w:rPr>
          <w:t>7</w:t>
        </w:r>
        <w:r w:rsidR="0096267B" w:rsidRPr="0096267B">
          <w:rPr>
            <w:webHidden/>
          </w:rPr>
          <w:fldChar w:fldCharType="end"/>
        </w:r>
      </w:hyperlink>
    </w:p>
    <w:p w14:paraId="3DC9A5AE" w14:textId="6B2209C5" w:rsidR="0096267B" w:rsidRPr="0096267B" w:rsidRDefault="00286AA5">
      <w:pPr>
        <w:pStyle w:val="TOC2"/>
        <w:rPr>
          <w:rFonts w:asciiTheme="minorHAnsi" w:eastAsiaTheme="minorEastAsia" w:hAnsiTheme="minorHAnsi" w:cstheme="minorBidi"/>
          <w:b w:val="0"/>
          <w:i w:val="0"/>
        </w:rPr>
      </w:pPr>
      <w:hyperlink w:anchor="_Toc488410878" w:history="1">
        <w:r w:rsidR="0096267B" w:rsidRPr="0096267B">
          <w:rPr>
            <w:rStyle w:val="Hyperlink"/>
          </w:rPr>
          <w:t>4.3</w:t>
        </w:r>
        <w:r w:rsidR="0096267B" w:rsidRPr="0096267B">
          <w:rPr>
            <w:rFonts w:asciiTheme="minorHAnsi" w:eastAsiaTheme="minorEastAsia" w:hAnsiTheme="minorHAnsi" w:cstheme="minorBidi"/>
            <w:b w:val="0"/>
            <w:i w:val="0"/>
          </w:rPr>
          <w:tab/>
        </w:r>
        <w:r w:rsidR="0096267B" w:rsidRPr="0096267B">
          <w:rPr>
            <w:rStyle w:val="Hyperlink"/>
          </w:rPr>
          <w:t>Integration into the Australian community</w:t>
        </w:r>
        <w:r w:rsidR="0096267B" w:rsidRPr="0096267B">
          <w:rPr>
            <w:webHidden/>
          </w:rPr>
          <w:tab/>
        </w:r>
        <w:r w:rsidR="0096267B" w:rsidRPr="0096267B">
          <w:rPr>
            <w:webHidden/>
          </w:rPr>
          <w:fldChar w:fldCharType="begin"/>
        </w:r>
        <w:r w:rsidR="0096267B" w:rsidRPr="0096267B">
          <w:rPr>
            <w:webHidden/>
          </w:rPr>
          <w:instrText xml:space="preserve"> PAGEREF _Toc488410878 \h </w:instrText>
        </w:r>
        <w:r w:rsidR="0096267B" w:rsidRPr="0096267B">
          <w:rPr>
            <w:webHidden/>
          </w:rPr>
        </w:r>
        <w:r w:rsidR="0096267B" w:rsidRPr="0096267B">
          <w:rPr>
            <w:webHidden/>
          </w:rPr>
          <w:fldChar w:fldCharType="separate"/>
        </w:r>
        <w:r>
          <w:rPr>
            <w:webHidden/>
          </w:rPr>
          <w:t>8</w:t>
        </w:r>
        <w:r w:rsidR="0096267B" w:rsidRPr="0096267B">
          <w:rPr>
            <w:webHidden/>
          </w:rPr>
          <w:fldChar w:fldCharType="end"/>
        </w:r>
      </w:hyperlink>
    </w:p>
    <w:p w14:paraId="7BE5E6BD" w14:textId="3E1200D1" w:rsidR="0096267B" w:rsidRPr="0096267B" w:rsidRDefault="00286AA5">
      <w:pPr>
        <w:pStyle w:val="TOC2"/>
        <w:rPr>
          <w:rFonts w:asciiTheme="minorHAnsi" w:eastAsiaTheme="minorEastAsia" w:hAnsiTheme="minorHAnsi" w:cstheme="minorBidi"/>
          <w:b w:val="0"/>
          <w:i w:val="0"/>
        </w:rPr>
      </w:pPr>
      <w:hyperlink w:anchor="_Toc488410879" w:history="1">
        <w:r w:rsidR="0096267B" w:rsidRPr="0096267B">
          <w:rPr>
            <w:rStyle w:val="Hyperlink"/>
          </w:rPr>
          <w:t>4.4</w:t>
        </w:r>
        <w:r w:rsidR="0096267B" w:rsidRPr="0096267B">
          <w:rPr>
            <w:rFonts w:asciiTheme="minorHAnsi" w:eastAsiaTheme="minorEastAsia" w:hAnsiTheme="minorHAnsi" w:cstheme="minorBidi"/>
            <w:b w:val="0"/>
            <w:i w:val="0"/>
          </w:rPr>
          <w:tab/>
        </w:r>
        <w:r w:rsidR="0096267B" w:rsidRPr="0096267B">
          <w:rPr>
            <w:rStyle w:val="Hyperlink"/>
          </w:rPr>
          <w:t>‘Australian values’</w:t>
        </w:r>
        <w:r w:rsidR="0096267B" w:rsidRPr="0096267B">
          <w:rPr>
            <w:webHidden/>
          </w:rPr>
          <w:tab/>
        </w:r>
        <w:r w:rsidR="0096267B" w:rsidRPr="0096267B">
          <w:rPr>
            <w:webHidden/>
          </w:rPr>
          <w:fldChar w:fldCharType="begin"/>
        </w:r>
        <w:r w:rsidR="0096267B" w:rsidRPr="0096267B">
          <w:rPr>
            <w:webHidden/>
          </w:rPr>
          <w:instrText xml:space="preserve"> PAGEREF _Toc488410879 \h </w:instrText>
        </w:r>
        <w:r w:rsidR="0096267B" w:rsidRPr="0096267B">
          <w:rPr>
            <w:webHidden/>
          </w:rPr>
        </w:r>
        <w:r w:rsidR="0096267B" w:rsidRPr="0096267B">
          <w:rPr>
            <w:webHidden/>
          </w:rPr>
          <w:fldChar w:fldCharType="separate"/>
        </w:r>
        <w:r>
          <w:rPr>
            <w:webHidden/>
          </w:rPr>
          <w:t>10</w:t>
        </w:r>
        <w:r w:rsidR="0096267B" w:rsidRPr="0096267B">
          <w:rPr>
            <w:webHidden/>
          </w:rPr>
          <w:fldChar w:fldCharType="end"/>
        </w:r>
      </w:hyperlink>
    </w:p>
    <w:p w14:paraId="3DD1DB65" w14:textId="0B475795" w:rsidR="0096267B" w:rsidRPr="0096267B" w:rsidRDefault="00286AA5">
      <w:pPr>
        <w:pStyle w:val="TOC2"/>
        <w:rPr>
          <w:rFonts w:asciiTheme="minorHAnsi" w:eastAsiaTheme="minorEastAsia" w:hAnsiTheme="minorHAnsi" w:cstheme="minorBidi"/>
          <w:b w:val="0"/>
          <w:i w:val="0"/>
        </w:rPr>
      </w:pPr>
      <w:hyperlink w:anchor="_Toc488410880" w:history="1">
        <w:r w:rsidR="0096267B" w:rsidRPr="0096267B">
          <w:rPr>
            <w:rStyle w:val="Hyperlink"/>
          </w:rPr>
          <w:t>4.5</w:t>
        </w:r>
        <w:r w:rsidR="0096267B" w:rsidRPr="0096267B">
          <w:rPr>
            <w:rFonts w:asciiTheme="minorHAnsi" w:eastAsiaTheme="minorEastAsia" w:hAnsiTheme="minorHAnsi" w:cstheme="minorBidi"/>
            <w:b w:val="0"/>
            <w:i w:val="0"/>
          </w:rPr>
          <w:tab/>
        </w:r>
        <w:r w:rsidR="0096267B" w:rsidRPr="0096267B">
          <w:rPr>
            <w:rStyle w:val="Hyperlink"/>
          </w:rPr>
          <w:t>Eligibility to sit the citizenship test</w:t>
        </w:r>
        <w:r w:rsidR="0096267B" w:rsidRPr="0096267B">
          <w:rPr>
            <w:webHidden/>
          </w:rPr>
          <w:tab/>
        </w:r>
        <w:r w:rsidR="0096267B" w:rsidRPr="0096267B">
          <w:rPr>
            <w:webHidden/>
          </w:rPr>
          <w:fldChar w:fldCharType="begin"/>
        </w:r>
        <w:r w:rsidR="0096267B" w:rsidRPr="0096267B">
          <w:rPr>
            <w:webHidden/>
          </w:rPr>
          <w:instrText xml:space="preserve"> PAGEREF _Toc488410880 \h </w:instrText>
        </w:r>
        <w:r w:rsidR="0096267B" w:rsidRPr="0096267B">
          <w:rPr>
            <w:webHidden/>
          </w:rPr>
        </w:r>
        <w:r w:rsidR="0096267B" w:rsidRPr="0096267B">
          <w:rPr>
            <w:webHidden/>
          </w:rPr>
          <w:fldChar w:fldCharType="separate"/>
        </w:r>
        <w:r>
          <w:rPr>
            <w:webHidden/>
          </w:rPr>
          <w:t>11</w:t>
        </w:r>
        <w:r w:rsidR="0096267B" w:rsidRPr="0096267B">
          <w:rPr>
            <w:webHidden/>
          </w:rPr>
          <w:fldChar w:fldCharType="end"/>
        </w:r>
      </w:hyperlink>
    </w:p>
    <w:p w14:paraId="36DA798C" w14:textId="18F5082F" w:rsidR="0096267B" w:rsidRPr="0096267B" w:rsidRDefault="00286AA5">
      <w:pPr>
        <w:pStyle w:val="TOC1"/>
        <w:rPr>
          <w:rFonts w:asciiTheme="minorHAnsi" w:eastAsiaTheme="minorEastAsia" w:hAnsiTheme="minorHAnsi" w:cstheme="minorBidi"/>
          <w:b w:val="0"/>
          <w:sz w:val="24"/>
        </w:rPr>
      </w:pPr>
      <w:hyperlink w:anchor="_Toc488410881" w:history="1">
        <w:r w:rsidR="0096267B" w:rsidRPr="0096267B">
          <w:rPr>
            <w:rStyle w:val="Hyperlink"/>
            <w:sz w:val="24"/>
          </w:rPr>
          <w:t>5</w:t>
        </w:r>
        <w:r w:rsidR="0096267B" w:rsidRPr="0096267B">
          <w:rPr>
            <w:rFonts w:asciiTheme="minorHAnsi" w:eastAsiaTheme="minorEastAsia" w:hAnsiTheme="minorHAnsi" w:cstheme="minorBidi"/>
            <w:b w:val="0"/>
            <w:sz w:val="24"/>
          </w:rPr>
          <w:tab/>
        </w:r>
        <w:r w:rsidR="0096267B" w:rsidRPr="0096267B">
          <w:rPr>
            <w:rStyle w:val="Hyperlink"/>
            <w:sz w:val="24"/>
          </w:rPr>
          <w:t>Centralisation of Ministerial power</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_Toc488410881 \h </w:instrText>
        </w:r>
        <w:r w:rsidR="0096267B" w:rsidRPr="0096267B">
          <w:rPr>
            <w:webHidden/>
            <w:sz w:val="24"/>
          </w:rPr>
        </w:r>
        <w:r w:rsidR="0096267B" w:rsidRPr="0096267B">
          <w:rPr>
            <w:webHidden/>
            <w:sz w:val="24"/>
          </w:rPr>
          <w:fldChar w:fldCharType="separate"/>
        </w:r>
        <w:r>
          <w:rPr>
            <w:webHidden/>
            <w:sz w:val="24"/>
          </w:rPr>
          <w:t>12</w:t>
        </w:r>
        <w:r w:rsidR="0096267B" w:rsidRPr="0096267B">
          <w:rPr>
            <w:webHidden/>
            <w:sz w:val="24"/>
          </w:rPr>
          <w:fldChar w:fldCharType="end"/>
        </w:r>
      </w:hyperlink>
    </w:p>
    <w:p w14:paraId="7675D11D" w14:textId="55BC2D2E" w:rsidR="0096267B" w:rsidRPr="0096267B" w:rsidRDefault="00286AA5">
      <w:pPr>
        <w:pStyle w:val="TOC2"/>
        <w:rPr>
          <w:rFonts w:asciiTheme="minorHAnsi" w:eastAsiaTheme="minorEastAsia" w:hAnsiTheme="minorHAnsi" w:cstheme="minorBidi"/>
          <w:b w:val="0"/>
          <w:i w:val="0"/>
        </w:rPr>
      </w:pPr>
      <w:hyperlink w:anchor="_Toc488410882" w:history="1">
        <w:r w:rsidR="0096267B" w:rsidRPr="0096267B">
          <w:rPr>
            <w:rStyle w:val="Hyperlink"/>
          </w:rPr>
          <w:t>5.1</w:t>
        </w:r>
        <w:r w:rsidR="0096267B" w:rsidRPr="0096267B">
          <w:rPr>
            <w:rFonts w:asciiTheme="minorHAnsi" w:eastAsiaTheme="minorEastAsia" w:hAnsiTheme="minorHAnsi" w:cstheme="minorBidi"/>
            <w:b w:val="0"/>
            <w:i w:val="0"/>
          </w:rPr>
          <w:tab/>
        </w:r>
        <w:r w:rsidR="0096267B" w:rsidRPr="0096267B">
          <w:rPr>
            <w:rStyle w:val="Hyperlink"/>
          </w:rPr>
          <w:t>Minister to have power to overrule Administrative Appeals Tribunal</w:t>
        </w:r>
        <w:r w:rsidR="0096267B" w:rsidRPr="0096267B">
          <w:rPr>
            <w:webHidden/>
          </w:rPr>
          <w:tab/>
        </w:r>
        <w:r w:rsidR="0096267B" w:rsidRPr="0096267B">
          <w:rPr>
            <w:webHidden/>
          </w:rPr>
          <w:fldChar w:fldCharType="begin"/>
        </w:r>
        <w:r w:rsidR="0096267B" w:rsidRPr="0096267B">
          <w:rPr>
            <w:webHidden/>
          </w:rPr>
          <w:instrText xml:space="preserve"> PAGEREF _Toc488410882 \h </w:instrText>
        </w:r>
        <w:r w:rsidR="0096267B" w:rsidRPr="0096267B">
          <w:rPr>
            <w:webHidden/>
          </w:rPr>
        </w:r>
        <w:r w:rsidR="0096267B" w:rsidRPr="0096267B">
          <w:rPr>
            <w:webHidden/>
          </w:rPr>
          <w:fldChar w:fldCharType="separate"/>
        </w:r>
        <w:r>
          <w:rPr>
            <w:webHidden/>
          </w:rPr>
          <w:t>13</w:t>
        </w:r>
        <w:r w:rsidR="0096267B" w:rsidRPr="0096267B">
          <w:rPr>
            <w:webHidden/>
          </w:rPr>
          <w:fldChar w:fldCharType="end"/>
        </w:r>
      </w:hyperlink>
    </w:p>
    <w:p w14:paraId="20E43CE6" w14:textId="3196E118" w:rsidR="0096267B" w:rsidRPr="0096267B" w:rsidRDefault="00286AA5">
      <w:pPr>
        <w:pStyle w:val="TOC3"/>
        <w:rPr>
          <w:rFonts w:asciiTheme="minorHAnsi" w:eastAsiaTheme="minorEastAsia" w:hAnsiTheme="minorHAnsi" w:cstheme="minorBidi"/>
          <w:i w:val="0"/>
        </w:rPr>
      </w:pPr>
      <w:hyperlink w:anchor="_Toc488410883" w:history="1">
        <w:r w:rsidR="0096267B" w:rsidRPr="0096267B">
          <w:rPr>
            <w:rStyle w:val="Hyperlink"/>
          </w:rPr>
          <w:t>(a)</w:t>
        </w:r>
        <w:r w:rsidR="0096267B" w:rsidRPr="0096267B">
          <w:rPr>
            <w:rFonts w:asciiTheme="minorHAnsi" w:eastAsiaTheme="minorEastAsia" w:hAnsiTheme="minorHAnsi" w:cstheme="minorBidi"/>
            <w:i w:val="0"/>
          </w:rPr>
          <w:tab/>
        </w:r>
        <w:r w:rsidR="0096267B" w:rsidRPr="0096267B">
          <w:rPr>
            <w:rStyle w:val="Hyperlink"/>
          </w:rPr>
          <w:t>Australia’s system of merits review</w:t>
        </w:r>
        <w:r w:rsidR="0096267B" w:rsidRPr="0096267B">
          <w:rPr>
            <w:webHidden/>
          </w:rPr>
          <w:tab/>
        </w:r>
        <w:r w:rsidR="0096267B" w:rsidRPr="0096267B">
          <w:rPr>
            <w:webHidden/>
          </w:rPr>
          <w:fldChar w:fldCharType="begin"/>
        </w:r>
        <w:r w:rsidR="0096267B" w:rsidRPr="0096267B">
          <w:rPr>
            <w:webHidden/>
          </w:rPr>
          <w:instrText xml:space="preserve"> PAGEREF _Toc488410883 \h </w:instrText>
        </w:r>
        <w:r w:rsidR="0096267B" w:rsidRPr="0096267B">
          <w:rPr>
            <w:webHidden/>
          </w:rPr>
        </w:r>
        <w:r w:rsidR="0096267B" w:rsidRPr="0096267B">
          <w:rPr>
            <w:webHidden/>
          </w:rPr>
          <w:fldChar w:fldCharType="separate"/>
        </w:r>
        <w:r>
          <w:rPr>
            <w:webHidden/>
          </w:rPr>
          <w:t>13</w:t>
        </w:r>
        <w:r w:rsidR="0096267B" w:rsidRPr="0096267B">
          <w:rPr>
            <w:webHidden/>
          </w:rPr>
          <w:fldChar w:fldCharType="end"/>
        </w:r>
      </w:hyperlink>
    </w:p>
    <w:p w14:paraId="6F0104AA" w14:textId="0FE3DD6E" w:rsidR="0096267B" w:rsidRPr="0096267B" w:rsidRDefault="00286AA5">
      <w:pPr>
        <w:pStyle w:val="TOC3"/>
        <w:rPr>
          <w:rFonts w:asciiTheme="minorHAnsi" w:eastAsiaTheme="minorEastAsia" w:hAnsiTheme="minorHAnsi" w:cstheme="minorBidi"/>
          <w:i w:val="0"/>
        </w:rPr>
      </w:pPr>
      <w:hyperlink w:anchor="_Toc488410884" w:history="1">
        <w:r w:rsidR="0096267B" w:rsidRPr="0096267B">
          <w:rPr>
            <w:rStyle w:val="Hyperlink"/>
          </w:rPr>
          <w:t>(b)</w:t>
        </w:r>
        <w:r w:rsidR="0096267B" w:rsidRPr="0096267B">
          <w:rPr>
            <w:rFonts w:asciiTheme="minorHAnsi" w:eastAsiaTheme="minorEastAsia" w:hAnsiTheme="minorHAnsi" w:cstheme="minorBidi"/>
            <w:i w:val="0"/>
          </w:rPr>
          <w:tab/>
        </w:r>
        <w:r w:rsidR="0096267B" w:rsidRPr="0096267B">
          <w:rPr>
            <w:rStyle w:val="Hyperlink"/>
          </w:rPr>
          <w:t>Right to a fair and public hearing by an independent and impartial tribunal</w:t>
        </w:r>
        <w:r w:rsidR="0096267B" w:rsidRPr="0096267B">
          <w:rPr>
            <w:webHidden/>
          </w:rPr>
          <w:tab/>
        </w:r>
        <w:r w:rsidR="0096267B" w:rsidRPr="0096267B">
          <w:rPr>
            <w:webHidden/>
          </w:rPr>
          <w:fldChar w:fldCharType="begin"/>
        </w:r>
        <w:r w:rsidR="0096267B" w:rsidRPr="0096267B">
          <w:rPr>
            <w:webHidden/>
          </w:rPr>
          <w:instrText xml:space="preserve"> PAGEREF _Toc488410884 \h </w:instrText>
        </w:r>
        <w:r w:rsidR="0096267B" w:rsidRPr="0096267B">
          <w:rPr>
            <w:webHidden/>
          </w:rPr>
        </w:r>
        <w:r w:rsidR="0096267B" w:rsidRPr="0096267B">
          <w:rPr>
            <w:webHidden/>
          </w:rPr>
          <w:fldChar w:fldCharType="separate"/>
        </w:r>
        <w:r>
          <w:rPr>
            <w:webHidden/>
          </w:rPr>
          <w:t>14</w:t>
        </w:r>
        <w:r w:rsidR="0096267B" w:rsidRPr="0096267B">
          <w:rPr>
            <w:webHidden/>
          </w:rPr>
          <w:fldChar w:fldCharType="end"/>
        </w:r>
      </w:hyperlink>
    </w:p>
    <w:p w14:paraId="151CE80B" w14:textId="63E52E47" w:rsidR="0096267B" w:rsidRPr="0096267B" w:rsidRDefault="00286AA5">
      <w:pPr>
        <w:pStyle w:val="TOC3"/>
        <w:rPr>
          <w:rFonts w:asciiTheme="minorHAnsi" w:eastAsiaTheme="minorEastAsia" w:hAnsiTheme="minorHAnsi" w:cstheme="minorBidi"/>
          <w:i w:val="0"/>
        </w:rPr>
      </w:pPr>
      <w:hyperlink w:anchor="_Toc488410885" w:history="1">
        <w:r w:rsidR="0096267B" w:rsidRPr="0096267B">
          <w:rPr>
            <w:rStyle w:val="Hyperlink"/>
          </w:rPr>
          <w:t>(c)</w:t>
        </w:r>
        <w:r w:rsidR="0096267B" w:rsidRPr="0096267B">
          <w:rPr>
            <w:rFonts w:asciiTheme="minorHAnsi" w:eastAsiaTheme="minorEastAsia" w:hAnsiTheme="minorHAnsi" w:cstheme="minorBidi"/>
            <w:i w:val="0"/>
          </w:rPr>
          <w:tab/>
        </w:r>
        <w:r w:rsidR="0096267B" w:rsidRPr="0096267B">
          <w:rPr>
            <w:rStyle w:val="Hyperlink"/>
          </w:rPr>
          <w:t>Minister to be able to set aside certain AAT decisions</w:t>
        </w:r>
        <w:r w:rsidR="0096267B" w:rsidRPr="0096267B">
          <w:rPr>
            <w:webHidden/>
          </w:rPr>
          <w:tab/>
        </w:r>
        <w:r w:rsidR="0096267B" w:rsidRPr="0096267B">
          <w:rPr>
            <w:webHidden/>
          </w:rPr>
          <w:fldChar w:fldCharType="begin"/>
        </w:r>
        <w:r w:rsidR="0096267B" w:rsidRPr="0096267B">
          <w:rPr>
            <w:webHidden/>
          </w:rPr>
          <w:instrText xml:space="preserve"> PAGEREF _Toc488410885 \h </w:instrText>
        </w:r>
        <w:r w:rsidR="0096267B" w:rsidRPr="0096267B">
          <w:rPr>
            <w:webHidden/>
          </w:rPr>
        </w:r>
        <w:r w:rsidR="0096267B" w:rsidRPr="0096267B">
          <w:rPr>
            <w:webHidden/>
          </w:rPr>
          <w:fldChar w:fldCharType="separate"/>
        </w:r>
        <w:r>
          <w:rPr>
            <w:webHidden/>
          </w:rPr>
          <w:t>14</w:t>
        </w:r>
        <w:r w:rsidR="0096267B" w:rsidRPr="0096267B">
          <w:rPr>
            <w:webHidden/>
          </w:rPr>
          <w:fldChar w:fldCharType="end"/>
        </w:r>
      </w:hyperlink>
    </w:p>
    <w:p w14:paraId="10FEB242" w14:textId="633C7E5C" w:rsidR="0096267B" w:rsidRPr="0096267B" w:rsidRDefault="00286AA5">
      <w:pPr>
        <w:pStyle w:val="TOC2"/>
        <w:rPr>
          <w:rFonts w:asciiTheme="minorHAnsi" w:eastAsiaTheme="minorEastAsia" w:hAnsiTheme="minorHAnsi" w:cstheme="minorBidi"/>
          <w:b w:val="0"/>
          <w:i w:val="0"/>
        </w:rPr>
      </w:pPr>
      <w:hyperlink w:anchor="_Toc488410886" w:history="1">
        <w:r w:rsidR="0096267B" w:rsidRPr="0096267B">
          <w:rPr>
            <w:rStyle w:val="Hyperlink"/>
          </w:rPr>
          <w:t>5.2</w:t>
        </w:r>
        <w:r w:rsidR="0096267B" w:rsidRPr="0096267B">
          <w:rPr>
            <w:rFonts w:asciiTheme="minorHAnsi" w:eastAsiaTheme="minorEastAsia" w:hAnsiTheme="minorHAnsi" w:cstheme="minorBidi"/>
            <w:b w:val="0"/>
            <w:i w:val="0"/>
          </w:rPr>
          <w:tab/>
        </w:r>
        <w:r w:rsidR="0096267B" w:rsidRPr="0096267B">
          <w:rPr>
            <w:rStyle w:val="Hyperlink"/>
          </w:rPr>
          <w:t>Personal decisions of Minister no longer reviewable by Administrative Appeals Tribunal</w:t>
        </w:r>
        <w:r w:rsidR="0096267B" w:rsidRPr="0096267B">
          <w:rPr>
            <w:webHidden/>
          </w:rPr>
          <w:tab/>
        </w:r>
        <w:r w:rsidR="0096267B" w:rsidRPr="0096267B">
          <w:rPr>
            <w:webHidden/>
          </w:rPr>
          <w:fldChar w:fldCharType="begin"/>
        </w:r>
        <w:r w:rsidR="0096267B" w:rsidRPr="0096267B">
          <w:rPr>
            <w:webHidden/>
          </w:rPr>
          <w:instrText xml:space="preserve"> PAGEREF _Toc488410886 \h </w:instrText>
        </w:r>
        <w:r w:rsidR="0096267B" w:rsidRPr="0096267B">
          <w:rPr>
            <w:webHidden/>
          </w:rPr>
        </w:r>
        <w:r w:rsidR="0096267B" w:rsidRPr="0096267B">
          <w:rPr>
            <w:webHidden/>
          </w:rPr>
          <w:fldChar w:fldCharType="separate"/>
        </w:r>
        <w:r>
          <w:rPr>
            <w:webHidden/>
          </w:rPr>
          <w:t>16</w:t>
        </w:r>
        <w:r w:rsidR="0096267B" w:rsidRPr="0096267B">
          <w:rPr>
            <w:webHidden/>
          </w:rPr>
          <w:fldChar w:fldCharType="end"/>
        </w:r>
      </w:hyperlink>
    </w:p>
    <w:p w14:paraId="160953AA" w14:textId="7D9A9F96" w:rsidR="0096267B" w:rsidRPr="0096267B" w:rsidRDefault="00286AA5">
      <w:pPr>
        <w:pStyle w:val="TOC2"/>
        <w:rPr>
          <w:rFonts w:asciiTheme="minorHAnsi" w:eastAsiaTheme="minorEastAsia" w:hAnsiTheme="minorHAnsi" w:cstheme="minorBidi"/>
          <w:b w:val="0"/>
          <w:i w:val="0"/>
        </w:rPr>
      </w:pPr>
      <w:hyperlink w:anchor="_Toc488410887" w:history="1">
        <w:r w:rsidR="0096267B" w:rsidRPr="0096267B">
          <w:rPr>
            <w:rStyle w:val="Hyperlink"/>
          </w:rPr>
          <w:t>5.3</w:t>
        </w:r>
        <w:r w:rsidR="0096267B" w:rsidRPr="0096267B">
          <w:rPr>
            <w:rFonts w:asciiTheme="minorHAnsi" w:eastAsiaTheme="minorEastAsia" w:hAnsiTheme="minorHAnsi" w:cstheme="minorBidi"/>
            <w:b w:val="0"/>
            <w:i w:val="0"/>
          </w:rPr>
          <w:tab/>
        </w:r>
        <w:r w:rsidR="0096267B" w:rsidRPr="0096267B">
          <w:rPr>
            <w:rStyle w:val="Hyperlink"/>
          </w:rPr>
          <w:t>Minister to have power to revoke citizenship if ‘satisfied’ of fraud or misrepresentation</w:t>
        </w:r>
        <w:r w:rsidR="0096267B" w:rsidRPr="0096267B">
          <w:rPr>
            <w:webHidden/>
          </w:rPr>
          <w:tab/>
        </w:r>
        <w:r w:rsidR="0096267B" w:rsidRPr="0096267B">
          <w:rPr>
            <w:webHidden/>
          </w:rPr>
          <w:fldChar w:fldCharType="begin"/>
        </w:r>
        <w:r w:rsidR="0096267B" w:rsidRPr="0096267B">
          <w:rPr>
            <w:webHidden/>
          </w:rPr>
          <w:instrText xml:space="preserve"> PAGEREF _Toc488410887 \h </w:instrText>
        </w:r>
        <w:r w:rsidR="0096267B" w:rsidRPr="0096267B">
          <w:rPr>
            <w:webHidden/>
          </w:rPr>
        </w:r>
        <w:r w:rsidR="0096267B" w:rsidRPr="0096267B">
          <w:rPr>
            <w:webHidden/>
          </w:rPr>
          <w:fldChar w:fldCharType="separate"/>
        </w:r>
        <w:r>
          <w:rPr>
            <w:webHidden/>
          </w:rPr>
          <w:t>18</w:t>
        </w:r>
        <w:r w:rsidR="0096267B" w:rsidRPr="0096267B">
          <w:rPr>
            <w:webHidden/>
          </w:rPr>
          <w:fldChar w:fldCharType="end"/>
        </w:r>
      </w:hyperlink>
    </w:p>
    <w:p w14:paraId="7EDB5162" w14:textId="20D41424" w:rsidR="0096267B" w:rsidRPr="0096267B" w:rsidRDefault="00286AA5">
      <w:pPr>
        <w:pStyle w:val="TOC3"/>
        <w:rPr>
          <w:rFonts w:asciiTheme="minorHAnsi" w:eastAsiaTheme="minorEastAsia" w:hAnsiTheme="minorHAnsi" w:cstheme="minorBidi"/>
          <w:i w:val="0"/>
        </w:rPr>
      </w:pPr>
      <w:hyperlink w:anchor="_Toc488410888" w:history="1">
        <w:r w:rsidR="0096267B" w:rsidRPr="0096267B">
          <w:rPr>
            <w:rStyle w:val="Hyperlink"/>
          </w:rPr>
          <w:t>(a)</w:t>
        </w:r>
        <w:r w:rsidR="0096267B" w:rsidRPr="0096267B">
          <w:rPr>
            <w:rFonts w:asciiTheme="minorHAnsi" w:eastAsiaTheme="minorEastAsia" w:hAnsiTheme="minorHAnsi" w:cstheme="minorBidi"/>
            <w:i w:val="0"/>
          </w:rPr>
          <w:tab/>
        </w:r>
        <w:r w:rsidR="0096267B" w:rsidRPr="0096267B">
          <w:rPr>
            <w:rStyle w:val="Hyperlink"/>
          </w:rPr>
          <w:t>Removal of safeguard of court findings</w:t>
        </w:r>
        <w:r w:rsidR="0096267B" w:rsidRPr="0096267B">
          <w:rPr>
            <w:webHidden/>
          </w:rPr>
          <w:tab/>
        </w:r>
        <w:r w:rsidR="0096267B" w:rsidRPr="0096267B">
          <w:rPr>
            <w:webHidden/>
          </w:rPr>
          <w:fldChar w:fldCharType="begin"/>
        </w:r>
        <w:r w:rsidR="0096267B" w:rsidRPr="0096267B">
          <w:rPr>
            <w:webHidden/>
          </w:rPr>
          <w:instrText xml:space="preserve"> PAGEREF _Toc488410888 \h </w:instrText>
        </w:r>
        <w:r w:rsidR="0096267B" w:rsidRPr="0096267B">
          <w:rPr>
            <w:webHidden/>
          </w:rPr>
        </w:r>
        <w:r w:rsidR="0096267B" w:rsidRPr="0096267B">
          <w:rPr>
            <w:webHidden/>
          </w:rPr>
          <w:fldChar w:fldCharType="separate"/>
        </w:r>
        <w:r>
          <w:rPr>
            <w:webHidden/>
          </w:rPr>
          <w:t>18</w:t>
        </w:r>
        <w:r w:rsidR="0096267B" w:rsidRPr="0096267B">
          <w:rPr>
            <w:webHidden/>
          </w:rPr>
          <w:fldChar w:fldCharType="end"/>
        </w:r>
      </w:hyperlink>
    </w:p>
    <w:p w14:paraId="3ECE1862" w14:textId="69217C00" w:rsidR="0096267B" w:rsidRPr="0096267B" w:rsidRDefault="00286AA5">
      <w:pPr>
        <w:pStyle w:val="TOC3"/>
        <w:rPr>
          <w:rFonts w:asciiTheme="minorHAnsi" w:eastAsiaTheme="minorEastAsia" w:hAnsiTheme="minorHAnsi" w:cstheme="minorBidi"/>
          <w:i w:val="0"/>
        </w:rPr>
      </w:pPr>
      <w:hyperlink w:anchor="_Toc488410889" w:history="1">
        <w:r w:rsidR="0096267B" w:rsidRPr="0096267B">
          <w:rPr>
            <w:rStyle w:val="Hyperlink"/>
          </w:rPr>
          <w:t>(b)</w:t>
        </w:r>
        <w:r w:rsidR="0096267B" w:rsidRPr="0096267B">
          <w:rPr>
            <w:rFonts w:asciiTheme="minorHAnsi" w:eastAsiaTheme="minorEastAsia" w:hAnsiTheme="minorHAnsi" w:cstheme="minorBidi"/>
            <w:i w:val="0"/>
          </w:rPr>
          <w:tab/>
        </w:r>
        <w:r w:rsidR="0096267B" w:rsidRPr="0096267B">
          <w:rPr>
            <w:rStyle w:val="Hyperlink"/>
          </w:rPr>
          <w:t>Potential of revocation for 10 years after grant of citizenship</w:t>
        </w:r>
        <w:r w:rsidR="0096267B" w:rsidRPr="0096267B">
          <w:rPr>
            <w:webHidden/>
          </w:rPr>
          <w:tab/>
        </w:r>
        <w:r w:rsidR="0096267B" w:rsidRPr="0096267B">
          <w:rPr>
            <w:webHidden/>
          </w:rPr>
          <w:fldChar w:fldCharType="begin"/>
        </w:r>
        <w:r w:rsidR="0096267B" w:rsidRPr="0096267B">
          <w:rPr>
            <w:webHidden/>
          </w:rPr>
          <w:instrText xml:space="preserve"> PAGEREF _Toc488410889 \h </w:instrText>
        </w:r>
        <w:r w:rsidR="0096267B" w:rsidRPr="0096267B">
          <w:rPr>
            <w:webHidden/>
          </w:rPr>
        </w:r>
        <w:r w:rsidR="0096267B" w:rsidRPr="0096267B">
          <w:rPr>
            <w:webHidden/>
          </w:rPr>
          <w:fldChar w:fldCharType="separate"/>
        </w:r>
        <w:r>
          <w:rPr>
            <w:webHidden/>
          </w:rPr>
          <w:t>20</w:t>
        </w:r>
        <w:r w:rsidR="0096267B" w:rsidRPr="0096267B">
          <w:rPr>
            <w:webHidden/>
          </w:rPr>
          <w:fldChar w:fldCharType="end"/>
        </w:r>
      </w:hyperlink>
    </w:p>
    <w:p w14:paraId="038A4424" w14:textId="23090210" w:rsidR="0096267B" w:rsidRPr="0096267B" w:rsidRDefault="00286AA5">
      <w:pPr>
        <w:pStyle w:val="TOC3"/>
        <w:rPr>
          <w:rFonts w:asciiTheme="minorHAnsi" w:eastAsiaTheme="minorEastAsia" w:hAnsiTheme="minorHAnsi" w:cstheme="minorBidi"/>
          <w:i w:val="0"/>
        </w:rPr>
      </w:pPr>
      <w:hyperlink w:anchor="_Toc488410890" w:history="1">
        <w:r w:rsidR="0096267B" w:rsidRPr="0096267B">
          <w:rPr>
            <w:rStyle w:val="Hyperlink"/>
          </w:rPr>
          <w:t>(c)</w:t>
        </w:r>
        <w:r w:rsidR="0096267B" w:rsidRPr="0096267B">
          <w:rPr>
            <w:rFonts w:asciiTheme="minorHAnsi" w:eastAsiaTheme="minorEastAsia" w:hAnsiTheme="minorHAnsi" w:cstheme="minorBidi"/>
            <w:i w:val="0"/>
          </w:rPr>
          <w:tab/>
        </w:r>
        <w:r w:rsidR="0096267B" w:rsidRPr="0096267B">
          <w:rPr>
            <w:rStyle w:val="Hyperlink"/>
          </w:rPr>
          <w:t>Potential for children to become stateless</w:t>
        </w:r>
        <w:r w:rsidR="0096267B" w:rsidRPr="0096267B">
          <w:rPr>
            <w:webHidden/>
          </w:rPr>
          <w:tab/>
        </w:r>
        <w:r w:rsidR="0096267B" w:rsidRPr="0096267B">
          <w:rPr>
            <w:webHidden/>
          </w:rPr>
          <w:fldChar w:fldCharType="begin"/>
        </w:r>
        <w:r w:rsidR="0096267B" w:rsidRPr="0096267B">
          <w:rPr>
            <w:webHidden/>
          </w:rPr>
          <w:instrText xml:space="preserve"> PAGEREF _Toc488410890 \h </w:instrText>
        </w:r>
        <w:r w:rsidR="0096267B" w:rsidRPr="0096267B">
          <w:rPr>
            <w:webHidden/>
          </w:rPr>
        </w:r>
        <w:r w:rsidR="0096267B" w:rsidRPr="0096267B">
          <w:rPr>
            <w:webHidden/>
          </w:rPr>
          <w:fldChar w:fldCharType="separate"/>
        </w:r>
        <w:r>
          <w:rPr>
            <w:webHidden/>
          </w:rPr>
          <w:t>20</w:t>
        </w:r>
        <w:r w:rsidR="0096267B" w:rsidRPr="0096267B">
          <w:rPr>
            <w:webHidden/>
          </w:rPr>
          <w:fldChar w:fldCharType="end"/>
        </w:r>
      </w:hyperlink>
    </w:p>
    <w:p w14:paraId="6A64D911" w14:textId="547D480E" w:rsidR="0096267B" w:rsidRPr="0096267B" w:rsidRDefault="00286AA5">
      <w:pPr>
        <w:pStyle w:val="TOC2"/>
        <w:rPr>
          <w:rFonts w:asciiTheme="minorHAnsi" w:eastAsiaTheme="minorEastAsia" w:hAnsiTheme="minorHAnsi" w:cstheme="minorBidi"/>
          <w:b w:val="0"/>
          <w:i w:val="0"/>
        </w:rPr>
      </w:pPr>
      <w:hyperlink w:anchor="_Toc488410891" w:history="1">
        <w:r w:rsidR="0096267B" w:rsidRPr="0096267B">
          <w:rPr>
            <w:rStyle w:val="Hyperlink"/>
          </w:rPr>
          <w:t>5.4</w:t>
        </w:r>
        <w:r w:rsidR="0096267B" w:rsidRPr="0096267B">
          <w:rPr>
            <w:rFonts w:asciiTheme="minorHAnsi" w:eastAsiaTheme="minorEastAsia" w:hAnsiTheme="minorHAnsi" w:cstheme="minorBidi"/>
            <w:b w:val="0"/>
            <w:i w:val="0"/>
          </w:rPr>
          <w:tab/>
        </w:r>
        <w:r w:rsidR="0096267B" w:rsidRPr="0096267B">
          <w:rPr>
            <w:rStyle w:val="Hyperlink"/>
          </w:rPr>
          <w:t>Minister to have power to revoke citizenship by descent if later ‘satisfied’ that applicant was not of good character</w:t>
        </w:r>
        <w:r w:rsidR="0096267B" w:rsidRPr="0096267B">
          <w:rPr>
            <w:webHidden/>
          </w:rPr>
          <w:tab/>
        </w:r>
        <w:r w:rsidR="0096267B" w:rsidRPr="0096267B">
          <w:rPr>
            <w:webHidden/>
          </w:rPr>
          <w:fldChar w:fldCharType="begin"/>
        </w:r>
        <w:r w:rsidR="0096267B" w:rsidRPr="0096267B">
          <w:rPr>
            <w:webHidden/>
          </w:rPr>
          <w:instrText xml:space="preserve"> PAGEREF _Toc488410891 \h </w:instrText>
        </w:r>
        <w:r w:rsidR="0096267B" w:rsidRPr="0096267B">
          <w:rPr>
            <w:webHidden/>
          </w:rPr>
        </w:r>
        <w:r w:rsidR="0096267B" w:rsidRPr="0096267B">
          <w:rPr>
            <w:webHidden/>
          </w:rPr>
          <w:fldChar w:fldCharType="separate"/>
        </w:r>
        <w:r>
          <w:rPr>
            <w:webHidden/>
          </w:rPr>
          <w:t>22</w:t>
        </w:r>
        <w:r w:rsidR="0096267B" w:rsidRPr="0096267B">
          <w:rPr>
            <w:webHidden/>
          </w:rPr>
          <w:fldChar w:fldCharType="end"/>
        </w:r>
      </w:hyperlink>
    </w:p>
    <w:p w14:paraId="39E83FA9" w14:textId="32AB57CF" w:rsidR="0096267B" w:rsidRPr="0096267B" w:rsidRDefault="00286AA5">
      <w:pPr>
        <w:pStyle w:val="TOC1"/>
        <w:rPr>
          <w:rFonts w:asciiTheme="minorHAnsi" w:eastAsiaTheme="minorEastAsia" w:hAnsiTheme="minorHAnsi" w:cstheme="minorBidi"/>
          <w:b w:val="0"/>
          <w:sz w:val="24"/>
        </w:rPr>
      </w:pPr>
      <w:hyperlink w:anchor="_Toc488410892" w:history="1">
        <w:r w:rsidR="0096267B" w:rsidRPr="0096267B">
          <w:rPr>
            <w:rStyle w:val="Hyperlink"/>
            <w:sz w:val="24"/>
          </w:rPr>
          <w:t>6</w:t>
        </w:r>
        <w:r w:rsidR="0096267B" w:rsidRPr="0096267B">
          <w:rPr>
            <w:rFonts w:asciiTheme="minorHAnsi" w:eastAsiaTheme="minorEastAsia" w:hAnsiTheme="minorHAnsi" w:cstheme="minorBidi"/>
            <w:b w:val="0"/>
            <w:sz w:val="24"/>
          </w:rPr>
          <w:tab/>
        </w:r>
        <w:r w:rsidR="0096267B" w:rsidRPr="0096267B">
          <w:rPr>
            <w:rStyle w:val="Hyperlink"/>
            <w:sz w:val="24"/>
          </w:rPr>
          <w:t>Reduced ability of particular groups to qualify for citizenship</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_Toc488410892 \h </w:instrText>
        </w:r>
        <w:r w:rsidR="0096267B" w:rsidRPr="0096267B">
          <w:rPr>
            <w:webHidden/>
            <w:sz w:val="24"/>
          </w:rPr>
        </w:r>
        <w:r w:rsidR="0096267B" w:rsidRPr="0096267B">
          <w:rPr>
            <w:webHidden/>
            <w:sz w:val="24"/>
          </w:rPr>
          <w:fldChar w:fldCharType="separate"/>
        </w:r>
        <w:r>
          <w:rPr>
            <w:webHidden/>
            <w:sz w:val="24"/>
          </w:rPr>
          <w:t>22</w:t>
        </w:r>
        <w:r w:rsidR="0096267B" w:rsidRPr="0096267B">
          <w:rPr>
            <w:webHidden/>
            <w:sz w:val="24"/>
          </w:rPr>
          <w:fldChar w:fldCharType="end"/>
        </w:r>
      </w:hyperlink>
    </w:p>
    <w:p w14:paraId="1DDF121C" w14:textId="29E11116" w:rsidR="0096267B" w:rsidRPr="0096267B" w:rsidRDefault="00286AA5">
      <w:pPr>
        <w:pStyle w:val="TOC2"/>
        <w:rPr>
          <w:rFonts w:asciiTheme="minorHAnsi" w:eastAsiaTheme="minorEastAsia" w:hAnsiTheme="minorHAnsi" w:cstheme="minorBidi"/>
          <w:b w:val="0"/>
          <w:i w:val="0"/>
        </w:rPr>
      </w:pPr>
      <w:hyperlink w:anchor="_Toc488410893" w:history="1">
        <w:r w:rsidR="0096267B" w:rsidRPr="0096267B">
          <w:rPr>
            <w:rStyle w:val="Hyperlink"/>
          </w:rPr>
          <w:t>6.1</w:t>
        </w:r>
        <w:r w:rsidR="0096267B" w:rsidRPr="0096267B">
          <w:rPr>
            <w:rFonts w:asciiTheme="minorHAnsi" w:eastAsiaTheme="minorEastAsia" w:hAnsiTheme="minorHAnsi" w:cstheme="minorBidi"/>
            <w:b w:val="0"/>
            <w:i w:val="0"/>
          </w:rPr>
          <w:tab/>
        </w:r>
        <w:r w:rsidR="0096267B" w:rsidRPr="0096267B">
          <w:rPr>
            <w:rStyle w:val="Hyperlink"/>
          </w:rPr>
          <w:t>Ten year old children who were born in Australia</w:t>
        </w:r>
        <w:r w:rsidR="0096267B" w:rsidRPr="0096267B">
          <w:rPr>
            <w:webHidden/>
          </w:rPr>
          <w:tab/>
        </w:r>
        <w:r w:rsidR="0096267B" w:rsidRPr="0096267B">
          <w:rPr>
            <w:webHidden/>
          </w:rPr>
          <w:fldChar w:fldCharType="begin"/>
        </w:r>
        <w:r w:rsidR="0096267B" w:rsidRPr="0096267B">
          <w:rPr>
            <w:webHidden/>
          </w:rPr>
          <w:instrText xml:space="preserve"> PAGEREF _Toc488410893 \h </w:instrText>
        </w:r>
        <w:r w:rsidR="0096267B" w:rsidRPr="0096267B">
          <w:rPr>
            <w:webHidden/>
          </w:rPr>
        </w:r>
        <w:r w:rsidR="0096267B" w:rsidRPr="0096267B">
          <w:rPr>
            <w:webHidden/>
          </w:rPr>
          <w:fldChar w:fldCharType="separate"/>
        </w:r>
        <w:r>
          <w:rPr>
            <w:webHidden/>
          </w:rPr>
          <w:t>22</w:t>
        </w:r>
        <w:r w:rsidR="0096267B" w:rsidRPr="0096267B">
          <w:rPr>
            <w:webHidden/>
          </w:rPr>
          <w:fldChar w:fldCharType="end"/>
        </w:r>
      </w:hyperlink>
    </w:p>
    <w:p w14:paraId="11C67C3D" w14:textId="0FE28605" w:rsidR="0096267B" w:rsidRPr="0096267B" w:rsidRDefault="00286AA5">
      <w:pPr>
        <w:pStyle w:val="TOC3"/>
        <w:rPr>
          <w:rFonts w:asciiTheme="minorHAnsi" w:eastAsiaTheme="minorEastAsia" w:hAnsiTheme="minorHAnsi" w:cstheme="minorBidi"/>
          <w:i w:val="0"/>
        </w:rPr>
      </w:pPr>
      <w:hyperlink w:anchor="_Toc488410894" w:history="1">
        <w:r w:rsidR="0096267B" w:rsidRPr="0096267B">
          <w:rPr>
            <w:rStyle w:val="Hyperlink"/>
          </w:rPr>
          <w:t>(a)</w:t>
        </w:r>
        <w:r w:rsidR="0096267B" w:rsidRPr="0096267B">
          <w:rPr>
            <w:rFonts w:asciiTheme="minorHAnsi" w:eastAsiaTheme="minorEastAsia" w:hAnsiTheme="minorHAnsi" w:cstheme="minorBidi"/>
            <w:i w:val="0"/>
          </w:rPr>
          <w:tab/>
        </w:r>
        <w:r w:rsidR="0096267B" w:rsidRPr="0096267B">
          <w:rPr>
            <w:rStyle w:val="Hyperlink"/>
          </w:rPr>
          <w:t>Children of asylum seekers and refugees</w:t>
        </w:r>
        <w:r w:rsidR="0096267B" w:rsidRPr="0096267B">
          <w:rPr>
            <w:webHidden/>
          </w:rPr>
          <w:tab/>
        </w:r>
        <w:r w:rsidR="0096267B" w:rsidRPr="0096267B">
          <w:rPr>
            <w:webHidden/>
          </w:rPr>
          <w:fldChar w:fldCharType="begin"/>
        </w:r>
        <w:r w:rsidR="0096267B" w:rsidRPr="0096267B">
          <w:rPr>
            <w:webHidden/>
          </w:rPr>
          <w:instrText xml:space="preserve"> PAGEREF _Toc488410894 \h </w:instrText>
        </w:r>
        <w:r w:rsidR="0096267B" w:rsidRPr="0096267B">
          <w:rPr>
            <w:webHidden/>
          </w:rPr>
        </w:r>
        <w:r w:rsidR="0096267B" w:rsidRPr="0096267B">
          <w:rPr>
            <w:webHidden/>
          </w:rPr>
          <w:fldChar w:fldCharType="separate"/>
        </w:r>
        <w:r>
          <w:rPr>
            <w:webHidden/>
          </w:rPr>
          <w:t>23</w:t>
        </w:r>
        <w:r w:rsidR="0096267B" w:rsidRPr="0096267B">
          <w:rPr>
            <w:webHidden/>
          </w:rPr>
          <w:fldChar w:fldCharType="end"/>
        </w:r>
      </w:hyperlink>
    </w:p>
    <w:p w14:paraId="0698EF41" w14:textId="1E93C363" w:rsidR="0096267B" w:rsidRPr="0096267B" w:rsidRDefault="00286AA5">
      <w:pPr>
        <w:pStyle w:val="TOC3"/>
        <w:rPr>
          <w:rFonts w:asciiTheme="minorHAnsi" w:eastAsiaTheme="minorEastAsia" w:hAnsiTheme="minorHAnsi" w:cstheme="minorBidi"/>
          <w:i w:val="0"/>
        </w:rPr>
      </w:pPr>
      <w:hyperlink w:anchor="_Toc488410895" w:history="1">
        <w:r w:rsidR="0096267B" w:rsidRPr="0096267B">
          <w:rPr>
            <w:rStyle w:val="Hyperlink"/>
          </w:rPr>
          <w:t>(b)</w:t>
        </w:r>
        <w:r w:rsidR="0096267B" w:rsidRPr="0096267B">
          <w:rPr>
            <w:rFonts w:asciiTheme="minorHAnsi" w:eastAsiaTheme="minorEastAsia" w:hAnsiTheme="minorHAnsi" w:cstheme="minorBidi"/>
            <w:i w:val="0"/>
          </w:rPr>
          <w:tab/>
        </w:r>
        <w:r w:rsidR="0096267B" w:rsidRPr="0096267B">
          <w:rPr>
            <w:rStyle w:val="Hyperlink"/>
          </w:rPr>
          <w:t>Children of parents who overstayed their visa</w:t>
        </w:r>
        <w:r w:rsidR="0096267B" w:rsidRPr="0096267B">
          <w:rPr>
            <w:webHidden/>
          </w:rPr>
          <w:tab/>
        </w:r>
        <w:r w:rsidR="0096267B" w:rsidRPr="0096267B">
          <w:rPr>
            <w:webHidden/>
          </w:rPr>
          <w:fldChar w:fldCharType="begin"/>
        </w:r>
        <w:r w:rsidR="0096267B" w:rsidRPr="0096267B">
          <w:rPr>
            <w:webHidden/>
          </w:rPr>
          <w:instrText xml:space="preserve"> PAGEREF _Toc488410895 \h </w:instrText>
        </w:r>
        <w:r w:rsidR="0096267B" w:rsidRPr="0096267B">
          <w:rPr>
            <w:webHidden/>
          </w:rPr>
        </w:r>
        <w:r w:rsidR="0096267B" w:rsidRPr="0096267B">
          <w:rPr>
            <w:webHidden/>
          </w:rPr>
          <w:fldChar w:fldCharType="separate"/>
        </w:r>
        <w:r>
          <w:rPr>
            <w:webHidden/>
          </w:rPr>
          <w:t>25</w:t>
        </w:r>
        <w:r w:rsidR="0096267B" w:rsidRPr="0096267B">
          <w:rPr>
            <w:webHidden/>
          </w:rPr>
          <w:fldChar w:fldCharType="end"/>
        </w:r>
      </w:hyperlink>
    </w:p>
    <w:p w14:paraId="341F41D8" w14:textId="1FDA35D6" w:rsidR="0096267B" w:rsidRPr="0096267B" w:rsidRDefault="00286AA5">
      <w:pPr>
        <w:pStyle w:val="TOC2"/>
        <w:rPr>
          <w:rFonts w:asciiTheme="minorHAnsi" w:eastAsiaTheme="minorEastAsia" w:hAnsiTheme="minorHAnsi" w:cstheme="minorBidi"/>
          <w:b w:val="0"/>
          <w:i w:val="0"/>
        </w:rPr>
      </w:pPr>
      <w:hyperlink w:anchor="_Toc488410896" w:history="1">
        <w:r w:rsidR="0096267B" w:rsidRPr="0096267B">
          <w:rPr>
            <w:rStyle w:val="Hyperlink"/>
          </w:rPr>
          <w:t>6.2</w:t>
        </w:r>
        <w:r w:rsidR="0096267B" w:rsidRPr="0096267B">
          <w:rPr>
            <w:rFonts w:asciiTheme="minorHAnsi" w:eastAsiaTheme="minorEastAsia" w:hAnsiTheme="minorHAnsi" w:cstheme="minorBidi"/>
            <w:b w:val="0"/>
            <w:i w:val="0"/>
          </w:rPr>
          <w:tab/>
        </w:r>
        <w:r w:rsidR="0096267B" w:rsidRPr="0096267B">
          <w:rPr>
            <w:rStyle w:val="Hyperlink"/>
          </w:rPr>
          <w:t>Children found abandoned in Australia</w:t>
        </w:r>
        <w:r w:rsidR="0096267B" w:rsidRPr="0096267B">
          <w:rPr>
            <w:webHidden/>
          </w:rPr>
          <w:tab/>
        </w:r>
        <w:r w:rsidR="0096267B" w:rsidRPr="0096267B">
          <w:rPr>
            <w:webHidden/>
          </w:rPr>
          <w:fldChar w:fldCharType="begin"/>
        </w:r>
        <w:r w:rsidR="0096267B" w:rsidRPr="0096267B">
          <w:rPr>
            <w:webHidden/>
          </w:rPr>
          <w:instrText xml:space="preserve"> PAGEREF _Toc488410896 \h </w:instrText>
        </w:r>
        <w:r w:rsidR="0096267B" w:rsidRPr="0096267B">
          <w:rPr>
            <w:webHidden/>
          </w:rPr>
        </w:r>
        <w:r w:rsidR="0096267B" w:rsidRPr="0096267B">
          <w:rPr>
            <w:webHidden/>
          </w:rPr>
          <w:fldChar w:fldCharType="separate"/>
        </w:r>
        <w:r>
          <w:rPr>
            <w:webHidden/>
          </w:rPr>
          <w:t>28</w:t>
        </w:r>
        <w:r w:rsidR="0096267B" w:rsidRPr="0096267B">
          <w:rPr>
            <w:webHidden/>
          </w:rPr>
          <w:fldChar w:fldCharType="end"/>
        </w:r>
      </w:hyperlink>
    </w:p>
    <w:p w14:paraId="2E2DBBE9" w14:textId="48A08645" w:rsidR="0096267B" w:rsidRPr="0096267B" w:rsidRDefault="00286AA5">
      <w:pPr>
        <w:pStyle w:val="TOC2"/>
        <w:rPr>
          <w:rFonts w:asciiTheme="minorHAnsi" w:eastAsiaTheme="minorEastAsia" w:hAnsiTheme="minorHAnsi" w:cstheme="minorBidi"/>
          <w:b w:val="0"/>
          <w:i w:val="0"/>
        </w:rPr>
      </w:pPr>
      <w:hyperlink w:anchor="_Toc488410897" w:history="1">
        <w:r w:rsidR="0096267B" w:rsidRPr="0096267B">
          <w:rPr>
            <w:rStyle w:val="Hyperlink"/>
          </w:rPr>
          <w:t>6.3</w:t>
        </w:r>
        <w:r w:rsidR="0096267B" w:rsidRPr="0096267B">
          <w:rPr>
            <w:rFonts w:asciiTheme="minorHAnsi" w:eastAsiaTheme="minorEastAsia" w:hAnsiTheme="minorHAnsi" w:cstheme="minorBidi"/>
            <w:b w:val="0"/>
            <w:i w:val="0"/>
          </w:rPr>
          <w:tab/>
        </w:r>
        <w:r w:rsidR="0096267B" w:rsidRPr="0096267B">
          <w:rPr>
            <w:rStyle w:val="Hyperlink"/>
          </w:rPr>
          <w:t>Children considered not to be of ‘good character’</w:t>
        </w:r>
        <w:r w:rsidR="0096267B" w:rsidRPr="0096267B">
          <w:rPr>
            <w:webHidden/>
          </w:rPr>
          <w:tab/>
        </w:r>
        <w:r w:rsidR="0096267B" w:rsidRPr="0096267B">
          <w:rPr>
            <w:webHidden/>
          </w:rPr>
          <w:fldChar w:fldCharType="begin"/>
        </w:r>
        <w:r w:rsidR="0096267B" w:rsidRPr="0096267B">
          <w:rPr>
            <w:webHidden/>
          </w:rPr>
          <w:instrText xml:space="preserve"> PAGEREF _Toc488410897 \h </w:instrText>
        </w:r>
        <w:r w:rsidR="0096267B" w:rsidRPr="0096267B">
          <w:rPr>
            <w:webHidden/>
          </w:rPr>
        </w:r>
        <w:r w:rsidR="0096267B" w:rsidRPr="0096267B">
          <w:rPr>
            <w:webHidden/>
          </w:rPr>
          <w:fldChar w:fldCharType="separate"/>
        </w:r>
        <w:r>
          <w:rPr>
            <w:webHidden/>
          </w:rPr>
          <w:t>29</w:t>
        </w:r>
        <w:r w:rsidR="0096267B" w:rsidRPr="0096267B">
          <w:rPr>
            <w:webHidden/>
          </w:rPr>
          <w:fldChar w:fldCharType="end"/>
        </w:r>
      </w:hyperlink>
    </w:p>
    <w:p w14:paraId="2B8E9537" w14:textId="68512954" w:rsidR="0096267B" w:rsidRPr="0096267B" w:rsidRDefault="00286AA5">
      <w:pPr>
        <w:pStyle w:val="TOC2"/>
        <w:rPr>
          <w:rFonts w:asciiTheme="minorHAnsi" w:eastAsiaTheme="minorEastAsia" w:hAnsiTheme="minorHAnsi" w:cstheme="minorBidi"/>
          <w:b w:val="0"/>
          <w:i w:val="0"/>
        </w:rPr>
      </w:pPr>
      <w:hyperlink w:anchor="_Toc488410898" w:history="1">
        <w:r w:rsidR="0096267B" w:rsidRPr="0096267B">
          <w:rPr>
            <w:rStyle w:val="Hyperlink"/>
          </w:rPr>
          <w:t>6.4</w:t>
        </w:r>
        <w:r w:rsidR="0096267B" w:rsidRPr="0096267B">
          <w:rPr>
            <w:rFonts w:asciiTheme="minorHAnsi" w:eastAsiaTheme="minorEastAsia" w:hAnsiTheme="minorHAnsi" w:cstheme="minorBidi"/>
            <w:b w:val="0"/>
            <w:i w:val="0"/>
          </w:rPr>
          <w:tab/>
        </w:r>
        <w:r w:rsidR="0096267B" w:rsidRPr="0096267B">
          <w:rPr>
            <w:rStyle w:val="Hyperlink"/>
          </w:rPr>
          <w:t>People with intellectual disability or cognitive impairment</w:t>
        </w:r>
        <w:r w:rsidR="0096267B" w:rsidRPr="0096267B">
          <w:rPr>
            <w:webHidden/>
          </w:rPr>
          <w:tab/>
        </w:r>
        <w:r w:rsidR="0096267B" w:rsidRPr="0096267B">
          <w:rPr>
            <w:webHidden/>
          </w:rPr>
          <w:fldChar w:fldCharType="begin"/>
        </w:r>
        <w:r w:rsidR="0096267B" w:rsidRPr="0096267B">
          <w:rPr>
            <w:webHidden/>
          </w:rPr>
          <w:instrText xml:space="preserve"> PAGEREF _Toc488410898 \h </w:instrText>
        </w:r>
        <w:r w:rsidR="0096267B" w:rsidRPr="0096267B">
          <w:rPr>
            <w:webHidden/>
          </w:rPr>
        </w:r>
        <w:r w:rsidR="0096267B" w:rsidRPr="0096267B">
          <w:rPr>
            <w:webHidden/>
          </w:rPr>
          <w:fldChar w:fldCharType="separate"/>
        </w:r>
        <w:r>
          <w:rPr>
            <w:webHidden/>
          </w:rPr>
          <w:t>31</w:t>
        </w:r>
        <w:r w:rsidR="0096267B" w:rsidRPr="0096267B">
          <w:rPr>
            <w:webHidden/>
          </w:rPr>
          <w:fldChar w:fldCharType="end"/>
        </w:r>
      </w:hyperlink>
    </w:p>
    <w:p w14:paraId="17FF21F8" w14:textId="26F2F355" w:rsidR="0096267B" w:rsidRPr="0096267B" w:rsidRDefault="00286AA5">
      <w:pPr>
        <w:pStyle w:val="TOC1"/>
        <w:rPr>
          <w:rFonts w:asciiTheme="minorHAnsi" w:eastAsiaTheme="minorEastAsia" w:hAnsiTheme="minorHAnsi" w:cstheme="minorBidi"/>
          <w:b w:val="0"/>
          <w:sz w:val="24"/>
        </w:rPr>
      </w:pPr>
      <w:hyperlink w:anchor="_Toc488410899" w:history="1">
        <w:r w:rsidR="0096267B" w:rsidRPr="0096267B">
          <w:rPr>
            <w:rStyle w:val="Hyperlink"/>
            <w:sz w:val="24"/>
          </w:rPr>
          <w:t>Schedule: Australian Values Statement</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_Toc488410899 \h </w:instrText>
        </w:r>
        <w:r w:rsidR="0096267B" w:rsidRPr="0096267B">
          <w:rPr>
            <w:webHidden/>
            <w:sz w:val="24"/>
          </w:rPr>
        </w:r>
        <w:r w:rsidR="0096267B" w:rsidRPr="0096267B">
          <w:rPr>
            <w:webHidden/>
            <w:sz w:val="24"/>
          </w:rPr>
          <w:fldChar w:fldCharType="separate"/>
        </w:r>
        <w:r>
          <w:rPr>
            <w:webHidden/>
            <w:sz w:val="24"/>
          </w:rPr>
          <w:t>34</w:t>
        </w:r>
        <w:r w:rsidR="0096267B" w:rsidRPr="0096267B">
          <w:rPr>
            <w:webHidden/>
            <w:sz w:val="24"/>
          </w:rPr>
          <w:fldChar w:fldCharType="end"/>
        </w:r>
      </w:hyperlink>
    </w:p>
    <w:p w14:paraId="31C6E968" w14:textId="7B81544F" w:rsidR="0096267B" w:rsidRPr="0096267B" w:rsidRDefault="00286AA5">
      <w:pPr>
        <w:pStyle w:val="TOC1"/>
        <w:rPr>
          <w:rFonts w:asciiTheme="minorHAnsi" w:eastAsiaTheme="minorEastAsia" w:hAnsiTheme="minorHAnsi" w:cstheme="minorBidi"/>
          <w:b w:val="0"/>
          <w:sz w:val="24"/>
        </w:rPr>
      </w:pPr>
      <w:hyperlink w:anchor="_Toc488410900" w:history="1">
        <w:r w:rsidR="0096267B" w:rsidRPr="0096267B">
          <w:rPr>
            <w:rStyle w:val="Hyperlink"/>
            <w:sz w:val="24"/>
          </w:rPr>
          <w:t>Endnotes</w:t>
        </w:r>
        <w:r w:rsidR="0096267B" w:rsidRPr="0096267B">
          <w:rPr>
            <w:webHidden/>
            <w:sz w:val="24"/>
          </w:rPr>
          <w:tab/>
        </w:r>
        <w:r w:rsidR="0096267B" w:rsidRPr="0096267B">
          <w:rPr>
            <w:webHidden/>
            <w:sz w:val="24"/>
          </w:rPr>
          <w:fldChar w:fldCharType="begin"/>
        </w:r>
        <w:r w:rsidR="0096267B" w:rsidRPr="0096267B">
          <w:rPr>
            <w:webHidden/>
            <w:sz w:val="24"/>
          </w:rPr>
          <w:instrText xml:space="preserve"> PAGEREF _Toc488410900 \h </w:instrText>
        </w:r>
        <w:r w:rsidR="0096267B" w:rsidRPr="0096267B">
          <w:rPr>
            <w:webHidden/>
            <w:sz w:val="24"/>
          </w:rPr>
        </w:r>
        <w:r w:rsidR="0096267B" w:rsidRPr="0096267B">
          <w:rPr>
            <w:webHidden/>
            <w:sz w:val="24"/>
          </w:rPr>
          <w:fldChar w:fldCharType="separate"/>
        </w:r>
        <w:r>
          <w:rPr>
            <w:webHidden/>
            <w:sz w:val="24"/>
          </w:rPr>
          <w:t>35</w:t>
        </w:r>
        <w:r w:rsidR="0096267B" w:rsidRPr="0096267B">
          <w:rPr>
            <w:webHidden/>
            <w:sz w:val="24"/>
          </w:rPr>
          <w:fldChar w:fldCharType="end"/>
        </w:r>
      </w:hyperlink>
    </w:p>
    <w:p w14:paraId="107B51EF" w14:textId="2D5CC696" w:rsidR="00B34946" w:rsidRPr="00D1480B" w:rsidRDefault="00B63D24" w:rsidP="00B63D24">
      <w:r w:rsidRPr="0096267B">
        <w:fldChar w:fldCharType="end"/>
      </w:r>
    </w:p>
    <w:p w14:paraId="6602EFB9" w14:textId="77777777" w:rsidR="00B34946" w:rsidRDefault="00B34946">
      <w:pPr>
        <w:spacing w:before="0" w:after="0"/>
      </w:pPr>
      <w:r>
        <w:br w:type="page"/>
      </w:r>
    </w:p>
    <w:p w14:paraId="19B38B5D" w14:textId="77777777" w:rsidR="00B34946" w:rsidRPr="00836FE1" w:rsidRDefault="00B34946" w:rsidP="00836FE1">
      <w:pPr>
        <w:pStyle w:val="Heading1"/>
      </w:pPr>
      <w:bookmarkStart w:id="4" w:name="_Toc207761830"/>
      <w:bookmarkStart w:id="5" w:name="_Toc209578266"/>
      <w:bookmarkStart w:id="6" w:name="_Toc488410872"/>
      <w:r w:rsidRPr="00836FE1">
        <w:lastRenderedPageBreak/>
        <w:t>Introduction</w:t>
      </w:r>
      <w:bookmarkEnd w:id="4"/>
      <w:bookmarkEnd w:id="5"/>
      <w:bookmarkEnd w:id="6"/>
      <w:r w:rsidRPr="00836FE1">
        <w:t xml:space="preserve"> </w:t>
      </w:r>
    </w:p>
    <w:p w14:paraId="17F62BA1" w14:textId="77777777" w:rsidR="00B34946" w:rsidRDefault="00B34946" w:rsidP="009504FC">
      <w:pPr>
        <w:pStyle w:val="SubmissionNormal"/>
        <w:tabs>
          <w:tab w:val="clear" w:pos="720"/>
        </w:tabs>
        <w:ind w:hanging="720"/>
      </w:pPr>
      <w:r w:rsidRPr="00C5786C">
        <w:t>The Aust</w:t>
      </w:r>
      <w:r w:rsidR="00074319">
        <w:t>ralian Human Rights Commission</w:t>
      </w:r>
      <w:r w:rsidRPr="00C5786C">
        <w:t xml:space="preserve"> makes this submission to the </w:t>
      </w:r>
      <w:r w:rsidR="00927E9B">
        <w:t>Senate Legal and Constitutional Affairs Legislation Committee</w:t>
      </w:r>
      <w:r w:rsidR="00B148BF">
        <w:t>’s</w:t>
      </w:r>
      <w:r w:rsidR="00927E9B">
        <w:t xml:space="preserve"> inquiry into the </w:t>
      </w:r>
      <w:r w:rsidR="000037CC" w:rsidRPr="000037CC">
        <w:t xml:space="preserve">Australian Citizenship Legislation (Strengthening the Requirements for Australian Citizenship and Other Measures) Bill 2017 </w:t>
      </w:r>
      <w:r w:rsidR="00927E9B">
        <w:t>(Cth)</w:t>
      </w:r>
      <w:r w:rsidR="00FF6FE9">
        <w:t xml:space="preserve"> introduced by the Australian Government</w:t>
      </w:r>
      <w:r w:rsidR="00927E9B">
        <w:t xml:space="preserve">. </w:t>
      </w:r>
    </w:p>
    <w:p w14:paraId="59F485D8" w14:textId="77777777" w:rsidR="00B34946" w:rsidRPr="00836FE1" w:rsidRDefault="00B34946" w:rsidP="00836FE1">
      <w:pPr>
        <w:pStyle w:val="Heading1"/>
      </w:pPr>
      <w:bookmarkStart w:id="7" w:name="_Toc162769290"/>
      <w:bookmarkStart w:id="8" w:name="_Toc207761831"/>
      <w:bookmarkStart w:id="9" w:name="_Toc209578267"/>
      <w:bookmarkStart w:id="10" w:name="_Toc488410873"/>
      <w:r w:rsidRPr="00836FE1">
        <w:t>Summary</w:t>
      </w:r>
      <w:bookmarkEnd w:id="7"/>
      <w:bookmarkEnd w:id="8"/>
      <w:bookmarkEnd w:id="9"/>
      <w:bookmarkEnd w:id="10"/>
    </w:p>
    <w:p w14:paraId="14BF9ED1" w14:textId="77777777" w:rsidR="000D3FDF" w:rsidRDefault="00FE32BF" w:rsidP="00D81E80">
      <w:pPr>
        <w:pStyle w:val="SubmissionNormal"/>
        <w:tabs>
          <w:tab w:val="clear" w:pos="720"/>
        </w:tabs>
        <w:ind w:hanging="720"/>
      </w:pPr>
      <w:r>
        <w:t xml:space="preserve">The Commission welcomes the opportunity to make a submission to this inquiry. </w:t>
      </w:r>
      <w:r w:rsidR="009504FC">
        <w:t xml:space="preserve"> </w:t>
      </w:r>
    </w:p>
    <w:p w14:paraId="163C6842" w14:textId="77777777" w:rsidR="00FE32BF" w:rsidRPr="000D3FDF" w:rsidRDefault="009504FC" w:rsidP="00D81E80">
      <w:pPr>
        <w:pStyle w:val="SubmissionNormal"/>
        <w:tabs>
          <w:tab w:val="clear" w:pos="720"/>
        </w:tabs>
        <w:ind w:hanging="720"/>
      </w:pPr>
      <w:r>
        <w:t xml:space="preserve">The Commission made two written submissions and gave oral evidence in relation to this Committee’s inquiry into the </w:t>
      </w:r>
      <w:r w:rsidR="000D3FDF" w:rsidRPr="000D3FDF">
        <w:t>Australian Citizenship and Other Legislation Amendment Bill 2014</w:t>
      </w:r>
      <w:r w:rsidR="000D3FDF">
        <w:t xml:space="preserve"> (Cth).</w:t>
      </w:r>
      <w:r w:rsidR="000D3FDF" w:rsidRPr="00D81E80">
        <w:rPr>
          <w:sz w:val="20"/>
          <w:vertAlign w:val="superscript"/>
        </w:rPr>
        <w:endnoteReference w:id="1"/>
      </w:r>
      <w:r w:rsidR="000D3FDF">
        <w:t xml:space="preserve">  That Bill did not proceed and lapsed </w:t>
      </w:r>
      <w:r w:rsidR="000D3FDF" w:rsidRPr="000D3FDF">
        <w:t>at the prorogation of Parliament in April 2016</w:t>
      </w:r>
      <w:r w:rsidR="000D3FDF">
        <w:t xml:space="preserve">.  The current Bill incorporates large parts of the previous Bill.  The Commission’s present submission draws substantially on submissions previously made to this Committee. </w:t>
      </w:r>
    </w:p>
    <w:p w14:paraId="26786586" w14:textId="77777777" w:rsidR="00BD6D76" w:rsidRDefault="00B01184" w:rsidP="00C34C57">
      <w:pPr>
        <w:pStyle w:val="SubmissionNormal"/>
        <w:tabs>
          <w:tab w:val="clear" w:pos="720"/>
        </w:tabs>
        <w:ind w:hanging="720"/>
      </w:pPr>
      <w:r>
        <w:t xml:space="preserve">This submission deals with </w:t>
      </w:r>
      <w:r w:rsidR="009504FC">
        <w:t xml:space="preserve">three </w:t>
      </w:r>
      <w:r>
        <w:t xml:space="preserve">broad themes in the amendments proposed by the Bill. </w:t>
      </w:r>
    </w:p>
    <w:p w14:paraId="73DB8C56" w14:textId="77777777" w:rsidR="00B7743B" w:rsidRDefault="009504FC" w:rsidP="00C34C57">
      <w:pPr>
        <w:pStyle w:val="SubmissionNormal"/>
        <w:tabs>
          <w:tab w:val="clear" w:pos="720"/>
        </w:tabs>
        <w:ind w:hanging="720"/>
      </w:pPr>
      <w:r>
        <w:t xml:space="preserve">The first theme involves </w:t>
      </w:r>
      <w:r w:rsidR="000D3FDF">
        <w:t xml:space="preserve">the imposition of </w:t>
      </w:r>
      <w:r w:rsidR="000D3FDF" w:rsidRPr="0049722C">
        <w:rPr>
          <w:u w:val="single"/>
        </w:rPr>
        <w:t>additional requirements</w:t>
      </w:r>
      <w:r w:rsidR="000D3FDF">
        <w:t xml:space="preserve"> </w:t>
      </w:r>
      <w:r w:rsidR="00980E2A">
        <w:t>on</w:t>
      </w:r>
      <w:r w:rsidR="000D3FDF">
        <w:t xml:space="preserve"> people seeking to obtain Australian citizenship</w:t>
      </w:r>
      <w:r w:rsidR="00A26AA6">
        <w:t xml:space="preserve"> by conferral</w:t>
      </w:r>
      <w:r w:rsidR="000D3FDF">
        <w:t xml:space="preserve">.  The proposed additional requirements include: </w:t>
      </w:r>
    </w:p>
    <w:p w14:paraId="48A3A418" w14:textId="77777777" w:rsidR="0049722C" w:rsidRDefault="0049722C" w:rsidP="00B7743B">
      <w:pPr>
        <w:pStyle w:val="SubmissionNormal"/>
        <w:numPr>
          <w:ilvl w:val="1"/>
          <w:numId w:val="15"/>
        </w:numPr>
      </w:pPr>
      <w:r>
        <w:rPr>
          <w:b/>
        </w:rPr>
        <w:t>r</w:t>
      </w:r>
      <w:r w:rsidRPr="0049722C">
        <w:rPr>
          <w:b/>
        </w:rPr>
        <w:t>esidency:</w:t>
      </w:r>
      <w:r>
        <w:t xml:space="preserve"> </w:t>
      </w:r>
      <w:r w:rsidR="00B7743B">
        <w:t>changing</w:t>
      </w:r>
      <w:r w:rsidR="000D3FDF">
        <w:t xml:space="preserve"> the </w:t>
      </w:r>
      <w:r>
        <w:t>‘</w:t>
      </w:r>
      <w:r w:rsidR="00B7743B">
        <w:t>general residence requirement</w:t>
      </w:r>
      <w:r>
        <w:t>’</w:t>
      </w:r>
      <w:r w:rsidR="00B7743B">
        <w:t xml:space="preserve"> from the current position of four years</w:t>
      </w:r>
      <w:r>
        <w:t xml:space="preserve"> lawful</w:t>
      </w:r>
      <w:r w:rsidR="00B7743B">
        <w:t xml:space="preserve"> residency including one year as a permanent resident, to four years permanent reside</w:t>
      </w:r>
      <w:r>
        <w:t>ncy</w:t>
      </w:r>
    </w:p>
    <w:p w14:paraId="48DB1971" w14:textId="77777777" w:rsidR="009504FC" w:rsidRDefault="0049722C" w:rsidP="00B7743B">
      <w:pPr>
        <w:pStyle w:val="SubmissionNormal"/>
        <w:numPr>
          <w:ilvl w:val="1"/>
          <w:numId w:val="15"/>
        </w:numPr>
      </w:pPr>
      <w:r w:rsidRPr="00980E2A">
        <w:rPr>
          <w:b/>
        </w:rPr>
        <w:t>English language:</w:t>
      </w:r>
      <w:r>
        <w:t xml:space="preserve"> </w:t>
      </w:r>
      <w:r w:rsidR="00980E2A">
        <w:t xml:space="preserve">changing the language requirements from satisfaction that a person </w:t>
      </w:r>
      <w:r w:rsidR="00D1520A">
        <w:t xml:space="preserve">‘possesses a </w:t>
      </w:r>
      <w:r w:rsidR="00980E2A">
        <w:t xml:space="preserve">basic </w:t>
      </w:r>
      <w:r w:rsidR="00D1520A">
        <w:t xml:space="preserve">knowledge of the </w:t>
      </w:r>
      <w:r w:rsidR="00980E2A">
        <w:t>English</w:t>
      </w:r>
      <w:r w:rsidR="00D1520A">
        <w:t xml:space="preserve"> language</w:t>
      </w:r>
      <w:r w:rsidR="00980E2A">
        <w:t xml:space="preserve">’ to </w:t>
      </w:r>
      <w:r w:rsidR="00D1520A">
        <w:t>proof that a person has ‘competent English’</w:t>
      </w:r>
    </w:p>
    <w:p w14:paraId="186BCD09" w14:textId="77777777" w:rsidR="0049722C" w:rsidRDefault="00D1520A" w:rsidP="00B7743B">
      <w:pPr>
        <w:pStyle w:val="SubmissionNormal"/>
        <w:numPr>
          <w:ilvl w:val="1"/>
          <w:numId w:val="15"/>
        </w:numPr>
      </w:pPr>
      <w:r w:rsidRPr="00A26AA6">
        <w:rPr>
          <w:b/>
        </w:rPr>
        <w:t>integration:</w:t>
      </w:r>
      <w:r>
        <w:t xml:space="preserve"> </w:t>
      </w:r>
      <w:r w:rsidR="00A26AA6">
        <w:t>a new requirement that a person ‘has integrated into the Australian community’ as judged by reference to matters to be determined by the Minister</w:t>
      </w:r>
    </w:p>
    <w:p w14:paraId="7AA58298" w14:textId="77777777" w:rsidR="00D454A1" w:rsidRDefault="00F006A6" w:rsidP="00B7743B">
      <w:pPr>
        <w:pStyle w:val="SubmissionNormal"/>
        <w:numPr>
          <w:ilvl w:val="1"/>
          <w:numId w:val="15"/>
        </w:numPr>
      </w:pPr>
      <w:r>
        <w:rPr>
          <w:b/>
        </w:rPr>
        <w:t>‘</w:t>
      </w:r>
      <w:r w:rsidR="00A26AA6" w:rsidRPr="00F006A6">
        <w:rPr>
          <w:b/>
        </w:rPr>
        <w:t>Australian values</w:t>
      </w:r>
      <w:r>
        <w:rPr>
          <w:b/>
        </w:rPr>
        <w:t>’</w:t>
      </w:r>
      <w:r w:rsidR="00A26AA6" w:rsidRPr="00F006A6">
        <w:rPr>
          <w:b/>
        </w:rPr>
        <w:t>:</w:t>
      </w:r>
      <w:r w:rsidR="00A26AA6">
        <w:t xml:space="preserve"> </w:t>
      </w:r>
      <w:r>
        <w:t>an ability for the Minister to determine the content of an ‘Australian Values Statement’ (in a form that is not disallowable by the Senate) and require, for example, that the statement be read, understood and signed by an applicant</w:t>
      </w:r>
    </w:p>
    <w:p w14:paraId="3A90077E" w14:textId="77777777" w:rsidR="00A26AA6" w:rsidRDefault="000B2216" w:rsidP="00B7743B">
      <w:pPr>
        <w:pStyle w:val="SubmissionNormal"/>
        <w:numPr>
          <w:ilvl w:val="1"/>
          <w:numId w:val="15"/>
        </w:numPr>
      </w:pPr>
      <w:r>
        <w:rPr>
          <w:b/>
        </w:rPr>
        <w:t>eligibility to sit test:</w:t>
      </w:r>
      <w:r w:rsidRPr="000B2216">
        <w:t xml:space="preserve"> a </w:t>
      </w:r>
      <w:r>
        <w:t>limit of three attempts to pass the citizenship test before having to wait two years to apply again</w:t>
      </w:r>
      <w:r w:rsidR="00F006A6">
        <w:t>.</w:t>
      </w:r>
    </w:p>
    <w:p w14:paraId="427C336E" w14:textId="77777777" w:rsidR="00BA3A7D" w:rsidRDefault="00BD6D76" w:rsidP="00C34C57">
      <w:pPr>
        <w:pStyle w:val="SubmissionNormal"/>
        <w:tabs>
          <w:tab w:val="clear" w:pos="720"/>
        </w:tabs>
        <w:ind w:hanging="720"/>
      </w:pPr>
      <w:r>
        <w:t xml:space="preserve">The </w:t>
      </w:r>
      <w:r w:rsidR="000D3FDF">
        <w:t>second</w:t>
      </w:r>
      <w:r>
        <w:t xml:space="preserve"> </w:t>
      </w:r>
      <w:r w:rsidR="00B01184">
        <w:t xml:space="preserve">theme </w:t>
      </w:r>
      <w:r>
        <w:t xml:space="preserve">involves the </w:t>
      </w:r>
      <w:r w:rsidRPr="0049722C">
        <w:rPr>
          <w:u w:val="single"/>
        </w:rPr>
        <w:t>centralisation of discretionary power</w:t>
      </w:r>
      <w:r>
        <w:t xml:space="preserve"> in the hands of the Minister </w:t>
      </w:r>
      <w:r w:rsidR="00DE7630">
        <w:t xml:space="preserve">for </w:t>
      </w:r>
      <w:r>
        <w:t>Immigration and Border Protection to make decisions about who should and who should not be an Australian citizen.</w:t>
      </w:r>
      <w:r w:rsidR="007C5CBE">
        <w:t xml:space="preserve"> </w:t>
      </w:r>
    </w:p>
    <w:p w14:paraId="31CDE7D1" w14:textId="77777777" w:rsidR="00537B67" w:rsidRDefault="00BD6D76" w:rsidP="00C34C57">
      <w:pPr>
        <w:pStyle w:val="SubmissionNormal"/>
        <w:tabs>
          <w:tab w:val="clear" w:pos="720"/>
        </w:tabs>
        <w:ind w:hanging="720"/>
      </w:pPr>
      <w:r>
        <w:lastRenderedPageBreak/>
        <w:t xml:space="preserve">This is done in a number of ways. </w:t>
      </w:r>
      <w:r w:rsidR="00537B67">
        <w:t>For example, under the amendments the M</w:t>
      </w:r>
      <w:r>
        <w:t>inister would have the power to:</w:t>
      </w:r>
    </w:p>
    <w:p w14:paraId="43430322" w14:textId="77777777" w:rsidR="000B2216" w:rsidRDefault="000B2216" w:rsidP="005F64ED">
      <w:pPr>
        <w:pStyle w:val="SubmissionNormal"/>
        <w:numPr>
          <w:ilvl w:val="1"/>
          <w:numId w:val="15"/>
        </w:numPr>
      </w:pPr>
      <w:r>
        <w:t xml:space="preserve">set aside certain decisions of the Administrative Appeals Tribunal that deal with whether a person was of good character </w:t>
      </w:r>
    </w:p>
    <w:p w14:paraId="7CDC10C1" w14:textId="77777777" w:rsidR="000B2216" w:rsidRDefault="000B2216" w:rsidP="005F64ED">
      <w:pPr>
        <w:pStyle w:val="SubmissionNormal"/>
        <w:numPr>
          <w:ilvl w:val="1"/>
          <w:numId w:val="15"/>
        </w:numPr>
      </w:pPr>
      <w:r>
        <w:t>prevent administrative decisions about citizenship from being reviewed on the merits by the Administrative Appeals Tribunal by making the decision personally and stating that the decision was made in the public interest</w:t>
      </w:r>
    </w:p>
    <w:p w14:paraId="217BC16A" w14:textId="77777777" w:rsidR="000F3F88" w:rsidRDefault="000F3F88" w:rsidP="005F64ED">
      <w:pPr>
        <w:pStyle w:val="SubmissionNormal"/>
        <w:numPr>
          <w:ilvl w:val="1"/>
          <w:numId w:val="15"/>
        </w:numPr>
      </w:pPr>
      <w:r>
        <w:t xml:space="preserve">revoke a person’s citizenship </w:t>
      </w:r>
      <w:r w:rsidR="00C26F69">
        <w:t xml:space="preserve">for a period of up to </w:t>
      </w:r>
      <w:r w:rsidR="009A5C41">
        <w:t xml:space="preserve">10 years after it was granted </w:t>
      </w:r>
      <w:r w:rsidR="00BA3A7D">
        <w:t xml:space="preserve">if the Minister </w:t>
      </w:r>
      <w:r w:rsidR="00A222D8">
        <w:t xml:space="preserve">becomes </w:t>
      </w:r>
      <w:r w:rsidR="00BA3A7D">
        <w:t xml:space="preserve">satisfied that there was </w:t>
      </w:r>
      <w:r w:rsidR="00A222D8">
        <w:t xml:space="preserve">a relevant </w:t>
      </w:r>
      <w:r w:rsidR="00BA3A7D">
        <w:t>fraud or misrepresentation</w:t>
      </w:r>
      <w:r w:rsidR="000B2216">
        <w:t xml:space="preserve"> (even if the applicant was not aware of it)</w:t>
      </w:r>
      <w:r w:rsidR="009A5C41">
        <w:t>, without</w:t>
      </w:r>
      <w:r w:rsidR="00BA3A7D">
        <w:t xml:space="preserve"> </w:t>
      </w:r>
      <w:r w:rsidR="009A5C41">
        <w:t>the safeguard of having to prove that frau</w:t>
      </w:r>
      <w:r w:rsidR="004E7204">
        <w:t>d or misrepresentation in court</w:t>
      </w:r>
    </w:p>
    <w:p w14:paraId="23B7B861" w14:textId="77777777" w:rsidR="005A4FB6" w:rsidRDefault="00EF71C3" w:rsidP="000B2216">
      <w:pPr>
        <w:pStyle w:val="SubmissionNormal"/>
        <w:numPr>
          <w:ilvl w:val="1"/>
          <w:numId w:val="15"/>
        </w:numPr>
      </w:pPr>
      <w:r>
        <w:t xml:space="preserve">revoke a person’s citizenship </w:t>
      </w:r>
      <w:r w:rsidR="003F607C">
        <w:t xml:space="preserve">acquired </w:t>
      </w:r>
      <w:r w:rsidR="004022C7">
        <w:t xml:space="preserve">by descent </w:t>
      </w:r>
      <w:r>
        <w:t xml:space="preserve">if the Minister </w:t>
      </w:r>
      <w:r w:rsidR="004022C7">
        <w:t xml:space="preserve">later </w:t>
      </w:r>
      <w:r>
        <w:t>becomes satisfied that the person was not of good character at the time th</w:t>
      </w:r>
      <w:r w:rsidR="004022C7">
        <w:t>ey were registered as a citizen</w:t>
      </w:r>
      <w:r w:rsidR="000B2216">
        <w:t>.</w:t>
      </w:r>
    </w:p>
    <w:p w14:paraId="5A2935E8" w14:textId="77777777" w:rsidR="00BA3A7D" w:rsidRDefault="00BA3A7D" w:rsidP="00BA3A7D">
      <w:pPr>
        <w:pStyle w:val="SubmissionNormal"/>
        <w:tabs>
          <w:tab w:val="clear" w:pos="720"/>
        </w:tabs>
        <w:ind w:hanging="720"/>
      </w:pPr>
      <w:r>
        <w:t>The amendments would increase individual Ministerial discretion and reduce independent merits re</w:t>
      </w:r>
      <w:r w:rsidR="00D40ACC">
        <w:t>view of administrative decision-</w:t>
      </w:r>
      <w:r>
        <w:t xml:space="preserve">making. This is contrary to </w:t>
      </w:r>
      <w:r w:rsidR="004E7204">
        <w:t xml:space="preserve">a primary focus </w:t>
      </w:r>
      <w:r w:rsidR="006618BE">
        <w:t xml:space="preserve">of administrative law over the last 40 years, which </w:t>
      </w:r>
      <w:r w:rsidR="004E7204">
        <w:t>has</w:t>
      </w:r>
      <w:r w:rsidR="006618BE">
        <w:t xml:space="preserve"> aimed at making administrative decisions more principled and consistent by allowing independent merits review of decisions that have a significant effect on individual rights.</w:t>
      </w:r>
    </w:p>
    <w:p w14:paraId="7A05E8DC" w14:textId="77777777" w:rsidR="007C5CBE" w:rsidRDefault="007C5CBE" w:rsidP="001E4A9E">
      <w:pPr>
        <w:pStyle w:val="SubmissionNormal"/>
        <w:tabs>
          <w:tab w:val="clear" w:pos="720"/>
        </w:tabs>
        <w:ind w:hanging="720"/>
      </w:pPr>
      <w:r>
        <w:t xml:space="preserve">The </w:t>
      </w:r>
      <w:r w:rsidR="00126F38">
        <w:t>third</w:t>
      </w:r>
      <w:r>
        <w:t xml:space="preserve"> theme</w:t>
      </w:r>
      <w:r w:rsidR="006618BE">
        <w:t xml:space="preserve"> that emerges from the amendments is a </w:t>
      </w:r>
      <w:r w:rsidR="006618BE" w:rsidRPr="00126F38">
        <w:rPr>
          <w:u w:val="single"/>
        </w:rPr>
        <w:t>reduction in</w:t>
      </w:r>
      <w:r w:rsidRPr="00126F38">
        <w:rPr>
          <w:u w:val="single"/>
        </w:rPr>
        <w:t xml:space="preserve"> the ability of particular groups of people to qualify for citizenship</w:t>
      </w:r>
      <w:r>
        <w:t xml:space="preserve">. For example, </w:t>
      </w:r>
      <w:r w:rsidR="00B93FD8">
        <w:t>the amendments would make it more difficult for the following groups to become citizens:</w:t>
      </w:r>
    </w:p>
    <w:p w14:paraId="4FC3291F" w14:textId="77777777" w:rsidR="00B93FD8" w:rsidRDefault="00B93FD8" w:rsidP="00B93FD8">
      <w:pPr>
        <w:pStyle w:val="SubmissionNormal"/>
        <w:numPr>
          <w:ilvl w:val="1"/>
          <w:numId w:val="15"/>
        </w:numPr>
      </w:pPr>
      <w:r>
        <w:t xml:space="preserve">children </w:t>
      </w:r>
      <w:r w:rsidR="00126F38">
        <w:t xml:space="preserve">born in Australia to </w:t>
      </w:r>
      <w:r w:rsidR="00722D63">
        <w:t xml:space="preserve">asylum seeker or </w:t>
      </w:r>
      <w:r w:rsidR="00126F38">
        <w:t>refugee parents, even after those children</w:t>
      </w:r>
      <w:r>
        <w:t xml:space="preserve"> have been law</w:t>
      </w:r>
      <w:r w:rsidR="004E7204">
        <w:t xml:space="preserve">fully in Australia for </w:t>
      </w:r>
      <w:r w:rsidR="00722D63">
        <w:t xml:space="preserve">up to </w:t>
      </w:r>
      <w:r w:rsidR="004E7204">
        <w:t>10 years</w:t>
      </w:r>
    </w:p>
    <w:p w14:paraId="0D0D6501" w14:textId="77777777" w:rsidR="00722D63" w:rsidRDefault="00722D63" w:rsidP="00B93FD8">
      <w:pPr>
        <w:pStyle w:val="SubmissionNormal"/>
        <w:numPr>
          <w:ilvl w:val="1"/>
          <w:numId w:val="15"/>
        </w:numPr>
      </w:pPr>
      <w:r>
        <w:t>children born in Australia to parents who had a valid visa but overstayed the visa before the child’s 10</w:t>
      </w:r>
      <w:r w:rsidRPr="00722D63">
        <w:rPr>
          <w:vertAlign w:val="superscript"/>
        </w:rPr>
        <w:t>th</w:t>
      </w:r>
      <w:r>
        <w:t xml:space="preserve"> birthday</w:t>
      </w:r>
    </w:p>
    <w:p w14:paraId="55E88990" w14:textId="77777777" w:rsidR="00126F38" w:rsidRDefault="00126F38" w:rsidP="00B93FD8">
      <w:pPr>
        <w:pStyle w:val="SubmissionNormal"/>
        <w:numPr>
          <w:ilvl w:val="1"/>
          <w:numId w:val="15"/>
        </w:numPr>
      </w:pPr>
      <w:r>
        <w:t>children who are found abandoned in Australia</w:t>
      </w:r>
    </w:p>
    <w:p w14:paraId="54F24DFA" w14:textId="77777777" w:rsidR="00126F38" w:rsidRDefault="00126F38" w:rsidP="00B93FD8">
      <w:pPr>
        <w:pStyle w:val="SubmissionNormal"/>
        <w:numPr>
          <w:ilvl w:val="1"/>
          <w:numId w:val="15"/>
        </w:numPr>
      </w:pPr>
      <w:r>
        <w:t xml:space="preserve">children as young as 10 </w:t>
      </w:r>
      <w:r w:rsidR="00722D63">
        <w:t xml:space="preserve">years old </w:t>
      </w:r>
      <w:r>
        <w:t xml:space="preserve">that the Minister considers are not of good character </w:t>
      </w:r>
    </w:p>
    <w:p w14:paraId="6EA6428A" w14:textId="77777777" w:rsidR="00B93FD8" w:rsidRPr="001C1599" w:rsidRDefault="00B93FD8" w:rsidP="00126F38">
      <w:pPr>
        <w:pStyle w:val="SubmissionNormal"/>
        <w:numPr>
          <w:ilvl w:val="1"/>
          <w:numId w:val="15"/>
        </w:numPr>
      </w:pPr>
      <w:r>
        <w:t>people with mental illness or cognitive impairment who come into contact w</w:t>
      </w:r>
      <w:r w:rsidR="004E7204">
        <w:t>ith the criminal justice system</w:t>
      </w:r>
      <w:r w:rsidR="00126F38">
        <w:t>.</w:t>
      </w:r>
    </w:p>
    <w:p w14:paraId="7B539659" w14:textId="77777777" w:rsidR="00B34946" w:rsidRPr="00836FE1" w:rsidRDefault="00B34946" w:rsidP="00836FE1">
      <w:pPr>
        <w:pStyle w:val="Heading1"/>
      </w:pPr>
      <w:bookmarkStart w:id="11" w:name="_Toc162769291"/>
      <w:bookmarkStart w:id="12" w:name="_Toc207761832"/>
      <w:bookmarkStart w:id="13" w:name="_Toc209578268"/>
      <w:bookmarkStart w:id="14" w:name="_Toc488410874"/>
      <w:r w:rsidRPr="00836FE1">
        <w:t>Recommendation</w:t>
      </w:r>
      <w:bookmarkEnd w:id="11"/>
      <w:bookmarkEnd w:id="12"/>
      <w:bookmarkEnd w:id="13"/>
      <w:bookmarkEnd w:id="14"/>
    </w:p>
    <w:p w14:paraId="50BBDC07" w14:textId="0E57015C" w:rsidR="00B34946" w:rsidRDefault="00B34946" w:rsidP="00C34C57">
      <w:pPr>
        <w:pStyle w:val="SubmissionNormal"/>
        <w:tabs>
          <w:tab w:val="clear" w:pos="720"/>
        </w:tabs>
        <w:ind w:hanging="720"/>
      </w:pPr>
      <w:r w:rsidRPr="008A0C37">
        <w:t xml:space="preserve">The Australian Human Rights Commission </w:t>
      </w:r>
      <w:r w:rsidR="008F7DE8">
        <w:t>recommends that the Bill not be passed in its current form.</w:t>
      </w:r>
      <w:r w:rsidR="00995989">
        <w:t xml:space="preserve">  </w:t>
      </w:r>
      <w:r w:rsidR="00116B0F">
        <w:t xml:space="preserve">This submission identifies particular issues of concern with the Bill.  </w:t>
      </w:r>
      <w:r w:rsidR="00995989">
        <w:t xml:space="preserve">The Commission is available to appear before the </w:t>
      </w:r>
      <w:r w:rsidR="00995989">
        <w:lastRenderedPageBreak/>
        <w:t xml:space="preserve">Committee to provide further oral evidence in support of this submission </w:t>
      </w:r>
      <w:r w:rsidR="00116B0F">
        <w:t xml:space="preserve">including the extent to which any of the issues it has identified may be able to be </w:t>
      </w:r>
      <w:r w:rsidR="00995989">
        <w:t xml:space="preserve">addressed by way of amendment. </w:t>
      </w:r>
    </w:p>
    <w:p w14:paraId="51F4D095" w14:textId="77777777" w:rsidR="00921898" w:rsidRDefault="00921898" w:rsidP="00921898">
      <w:pPr>
        <w:pStyle w:val="Heading1"/>
      </w:pPr>
      <w:bookmarkStart w:id="15" w:name="_Toc488410875"/>
      <w:r>
        <w:t>Additional requirements for people seeking citizenship by conferral</w:t>
      </w:r>
      <w:bookmarkEnd w:id="15"/>
    </w:p>
    <w:p w14:paraId="37F2CE61" w14:textId="77777777" w:rsidR="001B1579" w:rsidRDefault="001B1579" w:rsidP="001B1579">
      <w:pPr>
        <w:pStyle w:val="SubmissionNormal"/>
        <w:tabs>
          <w:tab w:val="clear" w:pos="720"/>
        </w:tabs>
        <w:ind w:hanging="720"/>
      </w:pPr>
      <w:r>
        <w:t xml:space="preserve">Some people acquire Australian citizenship automatically, for example if they are born in Australia and have a parent who is an Australian citizen or permanent resident, or if they were born in Australia and live in Australia for </w:t>
      </w:r>
      <w:r w:rsidR="00C5534B">
        <w:t xml:space="preserve">the next </w:t>
      </w:r>
      <w:r>
        <w:t>10 years.</w:t>
      </w:r>
      <w:r>
        <w:rPr>
          <w:rStyle w:val="EndnoteReference"/>
        </w:rPr>
        <w:endnoteReference w:id="2"/>
      </w:r>
      <w:r>
        <w:t xml:space="preserve"> </w:t>
      </w:r>
    </w:p>
    <w:p w14:paraId="78E42871" w14:textId="77777777" w:rsidR="001B1579" w:rsidRDefault="001B1579" w:rsidP="001B1579">
      <w:pPr>
        <w:pStyle w:val="SubmissionNormal"/>
        <w:tabs>
          <w:tab w:val="clear" w:pos="720"/>
        </w:tabs>
        <w:ind w:hanging="720"/>
      </w:pPr>
      <w:r>
        <w:t>Some people can apply to become Australian citizens. Broadly speaking, there are three categories of people who can apply for citizenship. These are:</w:t>
      </w:r>
    </w:p>
    <w:p w14:paraId="63F062A5" w14:textId="77777777" w:rsidR="001B1579" w:rsidRDefault="001B1579" w:rsidP="001B1579">
      <w:pPr>
        <w:pStyle w:val="SubmissionNormal"/>
        <w:numPr>
          <w:ilvl w:val="1"/>
          <w:numId w:val="15"/>
        </w:numPr>
      </w:pPr>
      <w:r>
        <w:t>people born outside Australia to an Australian citizen (‘citizenship by descent’)</w:t>
      </w:r>
      <w:r>
        <w:rPr>
          <w:rStyle w:val="EndnoteReference"/>
        </w:rPr>
        <w:endnoteReference w:id="3"/>
      </w:r>
    </w:p>
    <w:p w14:paraId="18054DDA" w14:textId="77777777" w:rsidR="001B1579" w:rsidRDefault="001B1579" w:rsidP="001B1579">
      <w:pPr>
        <w:pStyle w:val="SubmissionNormal"/>
        <w:numPr>
          <w:ilvl w:val="1"/>
          <w:numId w:val="15"/>
        </w:numPr>
      </w:pPr>
      <w:r>
        <w:t>people adopted outside Australia to an Australian citizen (‘citizenship by intercountry adoption’)</w:t>
      </w:r>
      <w:r>
        <w:rPr>
          <w:rStyle w:val="EndnoteReference"/>
        </w:rPr>
        <w:endnoteReference w:id="4"/>
      </w:r>
    </w:p>
    <w:p w14:paraId="1E886BFB" w14:textId="77777777" w:rsidR="001B1579" w:rsidRDefault="001B1579" w:rsidP="001B1579">
      <w:pPr>
        <w:pStyle w:val="SubmissionNormal"/>
        <w:numPr>
          <w:ilvl w:val="1"/>
          <w:numId w:val="15"/>
        </w:numPr>
      </w:pPr>
      <w:r>
        <w:t>other people entitled to apply for citizenship, for example people who have been lawfully in Australia for four years and have been permanent residents for a year and have passed a citizenship test (‘citizenship by conferral’).</w:t>
      </w:r>
      <w:r>
        <w:rPr>
          <w:rStyle w:val="EndnoteReference"/>
        </w:rPr>
        <w:endnoteReference w:id="5"/>
      </w:r>
    </w:p>
    <w:p w14:paraId="72A3301B" w14:textId="77777777" w:rsidR="001B1579" w:rsidRDefault="00D40ACC" w:rsidP="001B1579">
      <w:pPr>
        <w:pStyle w:val="SubmissionNormal"/>
        <w:tabs>
          <w:tab w:val="clear" w:pos="720"/>
        </w:tabs>
        <w:ind w:hanging="720"/>
      </w:pPr>
      <w:r>
        <w:t>The Bill proposes</w:t>
      </w:r>
      <w:r w:rsidR="002D08ED">
        <w:t xml:space="preserve"> to impose a number of additional requirements on people who make an application for citizenship by conferral. </w:t>
      </w:r>
      <w:r w:rsidR="00837773">
        <w:t xml:space="preserve"> These requirements are considered in more detail below.</w:t>
      </w:r>
    </w:p>
    <w:p w14:paraId="7979774A" w14:textId="77777777" w:rsidR="00837773" w:rsidRDefault="00837773" w:rsidP="001B1579">
      <w:pPr>
        <w:pStyle w:val="SubmissionNormal"/>
        <w:tabs>
          <w:tab w:val="clear" w:pos="720"/>
        </w:tabs>
        <w:ind w:hanging="720"/>
      </w:pPr>
      <w:r>
        <w:t>The additional requirements are retrospective in nature.  They will apply to any applications for citizenship by conferral made on or after 20 April 2017.</w:t>
      </w:r>
      <w:r>
        <w:rPr>
          <w:rStyle w:val="EndnoteReference"/>
        </w:rPr>
        <w:endnoteReference w:id="6"/>
      </w:r>
      <w:r>
        <w:t xml:space="preserve">  </w:t>
      </w:r>
      <w:r w:rsidR="003E7120">
        <w:t>The Explanatory Memorandum says that the Bill will apply retrospectively ‘[t]o reflect the announcement made by the Prime Minister and the Minister’ on that date.</w:t>
      </w:r>
      <w:r w:rsidR="003E7120">
        <w:rPr>
          <w:rStyle w:val="EndnoteReference"/>
        </w:rPr>
        <w:endnoteReference w:id="7"/>
      </w:r>
    </w:p>
    <w:p w14:paraId="43E238E9" w14:textId="77777777" w:rsidR="00921898" w:rsidRDefault="00921898" w:rsidP="00921898">
      <w:pPr>
        <w:pStyle w:val="Heading2"/>
      </w:pPr>
      <w:bookmarkStart w:id="16" w:name="_Toc488410876"/>
      <w:r>
        <w:t>Four years permanent residency</w:t>
      </w:r>
      <w:bookmarkEnd w:id="16"/>
    </w:p>
    <w:p w14:paraId="58AE1331" w14:textId="77777777" w:rsidR="00075EC9" w:rsidRDefault="00075EC9" w:rsidP="00075EC9">
      <w:pPr>
        <w:pStyle w:val="SubmissionNormal"/>
        <w:tabs>
          <w:tab w:val="clear" w:pos="720"/>
        </w:tabs>
        <w:ind w:hanging="720"/>
      </w:pPr>
      <w:r>
        <w:t>At present, applicants for citizenship by conferral must satisfy a ‘general residence requirement’.  They must have been lawfully present in Australia for 4 years prior to making an application and they must have been a permanent resident for at least 12 months.</w:t>
      </w:r>
      <w:r>
        <w:rPr>
          <w:rStyle w:val="EndnoteReference"/>
        </w:rPr>
        <w:endnoteReference w:id="8"/>
      </w:r>
    </w:p>
    <w:p w14:paraId="292322C2" w14:textId="77777777" w:rsidR="00075EC9" w:rsidRDefault="00075EC9" w:rsidP="00075EC9">
      <w:pPr>
        <w:pStyle w:val="SubmissionNormal"/>
        <w:tabs>
          <w:tab w:val="clear" w:pos="720"/>
        </w:tabs>
        <w:ind w:hanging="720"/>
      </w:pPr>
      <w:r>
        <w:t>The Bill proposes to change this requirement so that the person must have been a permanent resident for at least 4 years (regardless of how long they have been lawfully present in Australia prior to obtaining permanent residency).</w:t>
      </w:r>
      <w:r>
        <w:rPr>
          <w:rStyle w:val="EndnoteReference"/>
        </w:rPr>
        <w:endnoteReference w:id="9"/>
      </w:r>
    </w:p>
    <w:p w14:paraId="43F92BCB" w14:textId="77777777" w:rsidR="00C621B6" w:rsidRDefault="00C621B6" w:rsidP="00BF6E8D">
      <w:pPr>
        <w:pStyle w:val="SubmissionNormal"/>
        <w:tabs>
          <w:tab w:val="clear" w:pos="720"/>
        </w:tabs>
        <w:ind w:hanging="720"/>
      </w:pPr>
      <w:r>
        <w:t xml:space="preserve">The proposed changes to the residence requirement may create significant disparities between different groups of migrants </w:t>
      </w:r>
      <w:r w:rsidR="00BF6E8D">
        <w:t>in relation</w:t>
      </w:r>
      <w:r>
        <w:t xml:space="preserve"> to </w:t>
      </w:r>
      <w:r w:rsidR="00BF6E8D">
        <w:t xml:space="preserve">their </w:t>
      </w:r>
      <w:r>
        <w:t xml:space="preserve">access to citizenship. For migrants who arrive in Australia on permanent visas, the </w:t>
      </w:r>
      <w:r>
        <w:lastRenderedPageBreak/>
        <w:t xml:space="preserve">residence requirement will essentially remain the same. Those who initially arrive on temporary visas and are subsequently granted permanent residency, however, may face a significantly longer residence requirement than is the case under current legislation, even if they have lived in Australia </w:t>
      </w:r>
      <w:r w:rsidR="00BF6E8D">
        <w:t xml:space="preserve">lawfully </w:t>
      </w:r>
      <w:r>
        <w:t>for many years.</w:t>
      </w:r>
    </w:p>
    <w:p w14:paraId="4911D0E1" w14:textId="77777777" w:rsidR="00C621B6" w:rsidRDefault="00C621B6" w:rsidP="00BF6E8D">
      <w:pPr>
        <w:pStyle w:val="SubmissionNormal"/>
        <w:tabs>
          <w:tab w:val="clear" w:pos="720"/>
        </w:tabs>
        <w:ind w:hanging="720"/>
      </w:pPr>
      <w:r>
        <w:t xml:space="preserve">For example, a person arriving on a Skilled Independent visa </w:t>
      </w:r>
      <w:r w:rsidR="00E24E56">
        <w:t xml:space="preserve">becomes a </w:t>
      </w:r>
      <w:r w:rsidR="00C40F42">
        <w:t xml:space="preserve">permanent resident on arrival. </w:t>
      </w:r>
      <w:r w:rsidR="00E24E56">
        <w:t xml:space="preserve">Under the current residence requirement, such a person would become eligible for citizenship after residing in Australia </w:t>
      </w:r>
      <w:r w:rsidR="00C40F42">
        <w:t xml:space="preserve">on that visa </w:t>
      </w:r>
      <w:r w:rsidR="00E24E56">
        <w:t>for four years</w:t>
      </w:r>
      <w:r w:rsidR="00C40F42">
        <w:t xml:space="preserve"> (they will have four years residency, with the last year as a permanent resident)</w:t>
      </w:r>
      <w:r>
        <w:t xml:space="preserve">. </w:t>
      </w:r>
      <w:r w:rsidR="00C40F42">
        <w:t xml:space="preserve">Under the proposed amendments, </w:t>
      </w:r>
      <w:r>
        <w:t xml:space="preserve">the residence period for citizenship eligibility would in effect remain unchanged </w:t>
      </w:r>
      <w:r w:rsidR="00C40F42">
        <w:t>(</w:t>
      </w:r>
      <w:r w:rsidR="00E27D8F">
        <w:t>the person</w:t>
      </w:r>
      <w:r w:rsidR="00C40F42">
        <w:t xml:space="preserve"> would have four years residency, all as a permanent resident)</w:t>
      </w:r>
      <w:r>
        <w:t>.</w:t>
      </w:r>
    </w:p>
    <w:p w14:paraId="4B87222D" w14:textId="77777777" w:rsidR="00C621B6" w:rsidRDefault="00C621B6" w:rsidP="00BF6E8D">
      <w:pPr>
        <w:pStyle w:val="SubmissionNormal"/>
        <w:tabs>
          <w:tab w:val="clear" w:pos="720"/>
        </w:tabs>
        <w:ind w:hanging="720"/>
      </w:pPr>
      <w:r>
        <w:t xml:space="preserve">By contrast, a person </w:t>
      </w:r>
      <w:r w:rsidR="00E71247">
        <w:t xml:space="preserve">who arrives in Australia on a temporary visa will have to wait longer to be eligible for citizenship. For example, a person may have arrived in </w:t>
      </w:r>
      <w:r>
        <w:t xml:space="preserve">Australia on a Student visa </w:t>
      </w:r>
      <w:r w:rsidR="00E71247">
        <w:t xml:space="preserve">before </w:t>
      </w:r>
      <w:r>
        <w:t xml:space="preserve">transitioning to Temporary Graduate visa </w:t>
      </w:r>
      <w:r w:rsidR="00E71247">
        <w:t xml:space="preserve">and after a few years transitioning again onto a (permanent) Skilled Independent visa. Under the current residence requirement, such a person would become eligible for citizenship after residing in Australia on the Skilled Independent visa for a year.  Under the proposed amendments, </w:t>
      </w:r>
      <w:r>
        <w:t xml:space="preserve">this person would need to reside in Australia for an additional three years as a permanent resident in order to become eligible for citizenship – despite the fact that they may have already been living in Australia for close to a decade in total. </w:t>
      </w:r>
    </w:p>
    <w:p w14:paraId="1A36FB68" w14:textId="77777777" w:rsidR="00C621B6" w:rsidRDefault="00C621B6" w:rsidP="00BF6E8D">
      <w:pPr>
        <w:pStyle w:val="SubmissionNormal"/>
        <w:tabs>
          <w:tab w:val="clear" w:pos="720"/>
        </w:tabs>
        <w:ind w:hanging="720"/>
      </w:pPr>
      <w:r>
        <w:t>The Statement of Compatibility with Human Rights states that the new residence requirement</w:t>
      </w:r>
      <w:r w:rsidR="00CD7B93">
        <w:t>:</w:t>
      </w:r>
      <w:r>
        <w:t xml:space="preserve"> </w:t>
      </w:r>
    </w:p>
    <w:p w14:paraId="4A577D34" w14:textId="77777777" w:rsidR="00C621B6" w:rsidRPr="00BF6E8D" w:rsidRDefault="00C621B6" w:rsidP="00BF6E8D">
      <w:pPr>
        <w:pStyle w:val="SubmissionNormal"/>
        <w:numPr>
          <w:ilvl w:val="0"/>
          <w:numId w:val="0"/>
        </w:numPr>
        <w:ind w:left="1418"/>
        <w:rPr>
          <w:sz w:val="22"/>
        </w:rPr>
      </w:pPr>
      <w:r w:rsidRPr="00BF6E8D">
        <w:rPr>
          <w:sz w:val="22"/>
        </w:rPr>
        <w:t>is aimed at the legitimate objective of ensuring aspiring citizens will be given a sufficient amount of time to integrate into the Australian community, gain an understanding of shared Australian values, and the commitment they must make to become an Australian citizen. It would also provide a basis for assessing aspiring citizens’ commitment and contribution to Australia.</w:t>
      </w:r>
      <w:r w:rsidR="0083187A">
        <w:rPr>
          <w:rStyle w:val="EndnoteReference"/>
        </w:rPr>
        <w:endnoteReference w:id="10"/>
      </w:r>
    </w:p>
    <w:p w14:paraId="196B051E" w14:textId="5368BFC4" w:rsidR="00522BD7" w:rsidRDefault="00522BD7" w:rsidP="008B00C1">
      <w:pPr>
        <w:pStyle w:val="SubmissionNormal"/>
        <w:tabs>
          <w:tab w:val="clear" w:pos="720"/>
        </w:tabs>
        <w:ind w:hanging="720"/>
      </w:pPr>
      <w:r>
        <w:t xml:space="preserve">That statement seems to ignore the fact that people here on temporary visas </w:t>
      </w:r>
      <w:r w:rsidR="00495232">
        <w:t xml:space="preserve">may be just as able </w:t>
      </w:r>
      <w:r>
        <w:t xml:space="preserve">to integrate into the Australian community and gain an understanding of </w:t>
      </w:r>
      <w:r w:rsidR="00495232">
        <w:t>shared Australian values</w:t>
      </w:r>
      <w:r w:rsidR="00D40ACC">
        <w:t xml:space="preserve"> as those on permanent visas</w:t>
      </w:r>
      <w:r w:rsidR="00495232">
        <w:t xml:space="preserve">. </w:t>
      </w:r>
      <w:r w:rsidR="008B00C1">
        <w:t xml:space="preserve"> The differential treatment based on visa class does not advance the Government’s stated objective of integrating aspiring citizens into the Australian community.</w:t>
      </w:r>
    </w:p>
    <w:p w14:paraId="39AFFF7B" w14:textId="5A6B7428" w:rsidR="00C621B6" w:rsidRDefault="00C621B6" w:rsidP="00BF6E8D">
      <w:pPr>
        <w:pStyle w:val="SubmissionNormal"/>
        <w:tabs>
          <w:tab w:val="clear" w:pos="720"/>
        </w:tabs>
        <w:ind w:hanging="720"/>
      </w:pPr>
      <w:r>
        <w:t>The Explanatory Memorandum further states that</w:t>
      </w:r>
      <w:r w:rsidR="00CD7B93">
        <w:t>:</w:t>
      </w:r>
      <w:r>
        <w:t xml:space="preserve"> </w:t>
      </w:r>
    </w:p>
    <w:p w14:paraId="2FE8D246" w14:textId="77777777" w:rsidR="00C621B6" w:rsidRDefault="00C621B6" w:rsidP="00BF6E8D">
      <w:pPr>
        <w:pStyle w:val="SubmissionNormal"/>
        <w:numPr>
          <w:ilvl w:val="0"/>
          <w:numId w:val="0"/>
        </w:numPr>
        <w:ind w:left="1418"/>
      </w:pPr>
      <w:r w:rsidRPr="00BF6E8D">
        <w:rPr>
          <w:sz w:val="22"/>
        </w:rPr>
        <w:t>Extending the general residency period strengthens the integrity of the citizenship programme by providing more time to examine a person’s character as a permanent resident in Australia.</w:t>
      </w:r>
      <w:r w:rsidR="006F1428">
        <w:rPr>
          <w:rStyle w:val="EndnoteReference"/>
        </w:rPr>
        <w:endnoteReference w:id="11"/>
      </w:r>
    </w:p>
    <w:p w14:paraId="11D790F0" w14:textId="77777777" w:rsidR="00C621B6" w:rsidRDefault="00C621B6" w:rsidP="00BF6E8D">
      <w:pPr>
        <w:pStyle w:val="SubmissionNormal"/>
        <w:tabs>
          <w:tab w:val="clear" w:pos="720"/>
        </w:tabs>
        <w:ind w:hanging="720"/>
      </w:pPr>
      <w:r>
        <w:t xml:space="preserve">However, </w:t>
      </w:r>
      <w:r w:rsidR="00495232">
        <w:t>as noted above, the general residency period is only extended for people who arrived in Australia on temporar</w:t>
      </w:r>
      <w:r w:rsidR="00492281">
        <w:t xml:space="preserve">y rather than permanent visas. </w:t>
      </w:r>
      <w:r w:rsidR="00495232">
        <w:t>I</w:t>
      </w:r>
      <w:r>
        <w:t xml:space="preserve">t is unclear why a four-year period is </w:t>
      </w:r>
      <w:r w:rsidR="00492281">
        <w:t xml:space="preserve">no longer </w:t>
      </w:r>
      <w:r>
        <w:t xml:space="preserve">considered sufficient to achieve these objectives in cases where a person arrives as a </w:t>
      </w:r>
      <w:r w:rsidR="00492281">
        <w:t xml:space="preserve">temporary </w:t>
      </w:r>
      <w:r>
        <w:t xml:space="preserve">resident, </w:t>
      </w:r>
      <w:r w:rsidR="00492281">
        <w:t xml:space="preserve">or why those who arrive on temporary visas may in some cases be required to wait more than twice as long as someone who arrives as a permanent </w:t>
      </w:r>
      <w:r w:rsidR="00492281">
        <w:lastRenderedPageBreak/>
        <w:t xml:space="preserve">resident before being eligible to apply for citizenship. </w:t>
      </w:r>
      <w:r>
        <w:t xml:space="preserve">As such, there is a risk that the new residence requirement may create unreasonable distinctions between different groups of migrants on the basis of criteria which do not accurately reflect their level of commitment and contributions to Australia.  </w:t>
      </w:r>
    </w:p>
    <w:p w14:paraId="15E001EF" w14:textId="77777777" w:rsidR="00921898" w:rsidRDefault="00921898" w:rsidP="00921898">
      <w:pPr>
        <w:pStyle w:val="Heading2"/>
      </w:pPr>
      <w:bookmarkStart w:id="17" w:name="_Toc488410877"/>
      <w:r>
        <w:t>English language requirements</w:t>
      </w:r>
      <w:bookmarkEnd w:id="17"/>
    </w:p>
    <w:p w14:paraId="4DB6F0E2" w14:textId="77777777" w:rsidR="00921898" w:rsidRDefault="00880174" w:rsidP="00921898">
      <w:pPr>
        <w:pStyle w:val="SubmissionNormal"/>
        <w:tabs>
          <w:tab w:val="clear" w:pos="720"/>
        </w:tabs>
        <w:ind w:hanging="720"/>
      </w:pPr>
      <w:r>
        <w:t>The Bill seeks to increase the level of English language ability required in order to obtain citizenship by conferral.</w:t>
      </w:r>
    </w:p>
    <w:p w14:paraId="7E43FDBE" w14:textId="77777777" w:rsidR="006B4193" w:rsidRDefault="00880174" w:rsidP="00921898">
      <w:pPr>
        <w:pStyle w:val="SubmissionNormal"/>
        <w:tabs>
          <w:tab w:val="clear" w:pos="720"/>
        </w:tabs>
        <w:ind w:hanging="720"/>
      </w:pPr>
      <w:r>
        <w:t>At present, a person is eligible to become an Australian citizen if the Minister is satisfied that the person ‘possesses a basic knowledge of the English language’.</w:t>
      </w:r>
      <w:r>
        <w:rPr>
          <w:rStyle w:val="EndnoteReference"/>
        </w:rPr>
        <w:endnoteReference w:id="12"/>
      </w:r>
      <w:r>
        <w:t xml:space="preserve">  </w:t>
      </w:r>
      <w:r w:rsidR="006B4193">
        <w:t>This is assessed indirectly by applicants for citizenship having to complete a citizenship test in English.</w:t>
      </w:r>
      <w:r w:rsidR="006B4193">
        <w:rPr>
          <w:rStyle w:val="EndnoteReference"/>
        </w:rPr>
        <w:endnoteReference w:id="13"/>
      </w:r>
    </w:p>
    <w:p w14:paraId="116A5498" w14:textId="77777777" w:rsidR="00880174" w:rsidRDefault="00880174" w:rsidP="00921898">
      <w:pPr>
        <w:pStyle w:val="SubmissionNormal"/>
        <w:tabs>
          <w:tab w:val="clear" w:pos="720"/>
        </w:tabs>
        <w:ind w:hanging="720"/>
      </w:pPr>
      <w:r>
        <w:t xml:space="preserve">The Bill increases </w:t>
      </w:r>
      <w:r w:rsidR="006B4193">
        <w:t>the</w:t>
      </w:r>
      <w:r>
        <w:t xml:space="preserve"> level </w:t>
      </w:r>
      <w:r w:rsidR="006B4193">
        <w:t xml:space="preserve">of language ability required </w:t>
      </w:r>
      <w:r>
        <w:t>to ‘competent English’</w:t>
      </w:r>
      <w:r w:rsidR="001548D9">
        <w:t>,</w:t>
      </w:r>
      <w:r>
        <w:rPr>
          <w:rStyle w:val="EndnoteReference"/>
        </w:rPr>
        <w:endnoteReference w:id="14"/>
      </w:r>
      <w:r>
        <w:t xml:space="preserve"> </w:t>
      </w:r>
      <w:r w:rsidR="00FE22E8">
        <w:t>extends the requirement to 16 and 17 year olds,</w:t>
      </w:r>
      <w:r w:rsidR="00FE22E8">
        <w:rPr>
          <w:rStyle w:val="EndnoteReference"/>
        </w:rPr>
        <w:endnoteReference w:id="15"/>
      </w:r>
      <w:r w:rsidR="00FE22E8">
        <w:t xml:space="preserve"> and give</w:t>
      </w:r>
      <w:r w:rsidR="00C072AE">
        <w:t>s</w:t>
      </w:r>
      <w:r w:rsidR="00FE22E8">
        <w:t xml:space="preserve"> a broad discretion to the Minister to determine:</w:t>
      </w:r>
    </w:p>
    <w:p w14:paraId="373BF45B" w14:textId="77777777" w:rsidR="00FE22E8" w:rsidRDefault="00FE22E8" w:rsidP="00FE22E8">
      <w:pPr>
        <w:pStyle w:val="SubmissionNormal"/>
        <w:numPr>
          <w:ilvl w:val="1"/>
          <w:numId w:val="15"/>
        </w:numPr>
      </w:pPr>
      <w:r>
        <w:t xml:space="preserve">the circumstances in which a person has </w:t>
      </w:r>
      <w:r w:rsidR="003604A6">
        <w:t>‘</w:t>
      </w:r>
      <w:r>
        <w:t>competent English</w:t>
      </w:r>
      <w:r w:rsidR="003604A6">
        <w:t>’</w:t>
      </w:r>
      <w:r>
        <w:t>; and</w:t>
      </w:r>
    </w:p>
    <w:p w14:paraId="121A1630" w14:textId="77777777" w:rsidR="00FE22E8" w:rsidRDefault="00FE22E8" w:rsidP="00FE22E8">
      <w:pPr>
        <w:pStyle w:val="SubmissionNormal"/>
        <w:numPr>
          <w:ilvl w:val="1"/>
          <w:numId w:val="15"/>
        </w:numPr>
      </w:pPr>
      <w:r>
        <w:t xml:space="preserve">the information or documents </w:t>
      </w:r>
      <w:r w:rsidR="003604A6">
        <w:t xml:space="preserve">about a person’s English competency </w:t>
      </w:r>
      <w:r>
        <w:t>that must accompany a citizenship application in order for it to be valid.</w:t>
      </w:r>
      <w:r>
        <w:rPr>
          <w:rStyle w:val="EndnoteReference"/>
        </w:rPr>
        <w:endnoteReference w:id="16"/>
      </w:r>
    </w:p>
    <w:p w14:paraId="0DD1DBB9" w14:textId="77777777" w:rsidR="00880174" w:rsidRDefault="00880174" w:rsidP="00921898">
      <w:pPr>
        <w:pStyle w:val="SubmissionNormal"/>
        <w:tabs>
          <w:tab w:val="clear" w:pos="720"/>
        </w:tabs>
        <w:ind w:hanging="720"/>
      </w:pPr>
      <w:r>
        <w:t xml:space="preserve">The Bill would maintain the existing exemption from the language requirement for people with a permanent or enduring physical or mental incapacity that means that they are not capable of </w:t>
      </w:r>
      <w:r w:rsidR="001548D9">
        <w:t>having the required standard of English.</w:t>
      </w:r>
      <w:r w:rsidR="001548D9">
        <w:rPr>
          <w:rStyle w:val="EndnoteReference"/>
        </w:rPr>
        <w:endnoteReference w:id="17"/>
      </w:r>
      <w:r w:rsidR="001548D9">
        <w:t xml:space="preserve"> </w:t>
      </w:r>
    </w:p>
    <w:p w14:paraId="46E70918" w14:textId="77777777" w:rsidR="00FD769A" w:rsidRDefault="003604A6" w:rsidP="00921898">
      <w:pPr>
        <w:pStyle w:val="SubmissionNormal"/>
        <w:tabs>
          <w:tab w:val="clear" w:pos="720"/>
        </w:tabs>
        <w:ind w:hanging="720"/>
      </w:pPr>
      <w:r>
        <w:t xml:space="preserve">The Explanatory Memorandum does not specify the level of English </w:t>
      </w:r>
      <w:r w:rsidR="00B10D58">
        <w:t>language proficiency necessary for the Minister to be satisfied that an applicant has ‘competent English’.  It says that the Minister will be empowered to determine that a person has ‘competent English’</w:t>
      </w:r>
      <w:r w:rsidR="00FD769A">
        <w:t>:</w:t>
      </w:r>
    </w:p>
    <w:p w14:paraId="2854C319" w14:textId="77777777" w:rsidR="001548D9" w:rsidRPr="00FD769A" w:rsidRDefault="00FD769A" w:rsidP="00FD769A">
      <w:pPr>
        <w:pStyle w:val="SubmissionNormal"/>
        <w:numPr>
          <w:ilvl w:val="0"/>
          <w:numId w:val="0"/>
        </w:numPr>
        <w:ind w:left="1440"/>
        <w:rPr>
          <w:sz w:val="22"/>
        </w:rPr>
      </w:pPr>
      <w:r w:rsidRPr="00FD769A">
        <w:rPr>
          <w:sz w:val="22"/>
        </w:rPr>
        <w:t xml:space="preserve">for example … </w:t>
      </w:r>
      <w:r w:rsidR="00B10D58" w:rsidRPr="00FD769A">
        <w:rPr>
          <w:sz w:val="22"/>
        </w:rPr>
        <w:t>where the person has sat an examination administered by a particular entity and the person achieved at least a particular score.  The Minister could determine that the person must have completed this examination</w:t>
      </w:r>
      <w:r w:rsidRPr="00FD769A">
        <w:rPr>
          <w:sz w:val="22"/>
        </w:rPr>
        <w:t xml:space="preserve"> within, for example, three years ending on the day the person made an application for citizenship.  The determination could specify other circumstances in which a person has competent English, for example, if they are a passport holder of the United Kingdom, the Republic of Ireland, Canada, the United States of America or New Zealand, or through specified English language studies at a recognised Australian education provider.</w:t>
      </w:r>
      <w:r>
        <w:rPr>
          <w:rStyle w:val="EndnoteReference"/>
        </w:rPr>
        <w:endnoteReference w:id="18"/>
      </w:r>
    </w:p>
    <w:p w14:paraId="56CD66B4" w14:textId="77777777" w:rsidR="00777593" w:rsidRDefault="0001749A" w:rsidP="00FD769A">
      <w:pPr>
        <w:pStyle w:val="SubmissionNormal"/>
        <w:tabs>
          <w:tab w:val="clear" w:pos="720"/>
        </w:tabs>
        <w:ind w:hanging="720"/>
      </w:pPr>
      <w:r>
        <w:t>A document released by the Government on 20 April 2017, said that aspiring citizens ‘will be required to undertake separate upfront English language testing with an accredited provider and achieve a minimum level of “competent”’.</w:t>
      </w:r>
      <w:r>
        <w:rPr>
          <w:rStyle w:val="EndnoteReference"/>
        </w:rPr>
        <w:endnoteReference w:id="19"/>
      </w:r>
      <w:r>
        <w:t xml:space="preserve">  </w:t>
      </w:r>
      <w:r w:rsidR="00747B07">
        <w:t>During the course of t</w:t>
      </w:r>
      <w:r w:rsidR="00777593">
        <w:t xml:space="preserve">he announcement made </w:t>
      </w:r>
      <w:r w:rsidR="00747B07">
        <w:t>on 20 April 2017, the Minister said that the English language requirement would be ‘IELTS Level 6 equivalent’.</w:t>
      </w:r>
      <w:r w:rsidR="00747B07">
        <w:rPr>
          <w:rStyle w:val="EndnoteReference"/>
        </w:rPr>
        <w:endnoteReference w:id="20"/>
      </w:r>
      <w:r w:rsidR="00747B07">
        <w:t xml:space="preserve"> </w:t>
      </w:r>
      <w:r w:rsidR="00410E33">
        <w:t>I</w:t>
      </w:r>
      <w:r w:rsidR="00EC49F4">
        <w:t xml:space="preserve">n a 21 June 2017 media release the Minister noted </w:t>
      </w:r>
      <w:r w:rsidR="004B259E">
        <w:t>‘</w:t>
      </w:r>
      <w:r w:rsidR="00EC49F4">
        <w:t xml:space="preserve">competent equates to Level 6 of the </w:t>
      </w:r>
      <w:r w:rsidR="004B259E">
        <w:t>International English Language Testing System’</w:t>
      </w:r>
      <w:r w:rsidR="00EC49F4">
        <w:t>.</w:t>
      </w:r>
      <w:r w:rsidR="00EC49F4">
        <w:rPr>
          <w:rStyle w:val="EndnoteReference"/>
        </w:rPr>
        <w:endnoteReference w:id="21"/>
      </w:r>
    </w:p>
    <w:p w14:paraId="20E9F251" w14:textId="77777777" w:rsidR="00EC49F4" w:rsidRDefault="00EC49F4" w:rsidP="004B259E">
      <w:pPr>
        <w:pStyle w:val="SubmissionNormal"/>
        <w:tabs>
          <w:tab w:val="clear" w:pos="720"/>
        </w:tabs>
        <w:ind w:hanging="720"/>
      </w:pPr>
      <w:r>
        <w:lastRenderedPageBreak/>
        <w:t xml:space="preserve">The proposed change </w:t>
      </w:r>
      <w:r w:rsidR="00410E33">
        <w:t xml:space="preserve">to require specific testing to IELTS Level 6 standard </w:t>
      </w:r>
      <w:r>
        <w:t xml:space="preserve">would involve a significant increase on the current </w:t>
      </w:r>
      <w:r w:rsidR="00410E33">
        <w:t>requirements</w:t>
      </w:r>
      <w:r>
        <w:t>. For example, undergraduate academic admission to many Australian universities requires minimum overall band scores of between 5.5 and 6.5.</w:t>
      </w:r>
      <w:r w:rsidR="00CC1B0E">
        <w:rPr>
          <w:rStyle w:val="EndnoteReference"/>
        </w:rPr>
        <w:endnoteReference w:id="22"/>
      </w:r>
      <w:r>
        <w:t xml:space="preserve"> Many Australia-born citizens would not possess a written or spoken command of English equivalent to this standard.</w:t>
      </w:r>
    </w:p>
    <w:p w14:paraId="4A01C89E" w14:textId="17CAB47A" w:rsidR="00EC49F4" w:rsidRDefault="00EC49F4" w:rsidP="004B259E">
      <w:pPr>
        <w:pStyle w:val="SubmissionNormal"/>
        <w:tabs>
          <w:tab w:val="clear" w:pos="720"/>
        </w:tabs>
        <w:ind w:hanging="720"/>
      </w:pPr>
      <w:r>
        <w:t xml:space="preserve">The impact of this change would likely be considerable. One recent analysis of immigrants in the Adult Migrant English Program </w:t>
      </w:r>
      <w:r w:rsidR="00CC1B0E">
        <w:t xml:space="preserve">(AEMP) </w:t>
      </w:r>
      <w:r>
        <w:t>indicates that anywhere between 30,000 and 40,000 new migrants each year are highly unlikely to meet the proposed English proficiency level for Australian citizenship in their first decade of settlement.</w:t>
      </w:r>
      <w:r w:rsidR="004B259E" w:rsidRPr="00410E33">
        <w:rPr>
          <w:sz w:val="20"/>
          <w:vertAlign w:val="superscript"/>
        </w:rPr>
        <w:endnoteReference w:id="23"/>
      </w:r>
      <w:r w:rsidR="004B259E">
        <w:t xml:space="preserve"> </w:t>
      </w:r>
      <w:r>
        <w:t>Those on humanitarian visas may be disproportionately affected.</w:t>
      </w:r>
      <w:r w:rsidR="00B23FE1">
        <w:t xml:space="preserve"> The Government’s 2015 report into Australian citizenship noted</w:t>
      </w:r>
      <w:r w:rsidR="00C81BF0">
        <w:t xml:space="preserve"> there is already</w:t>
      </w:r>
      <w:r w:rsidR="00B23FE1">
        <w:t xml:space="preserve"> </w:t>
      </w:r>
      <w:r w:rsidR="0098056E">
        <w:t>‘strong evidence’</w:t>
      </w:r>
      <w:r w:rsidR="00B23FE1">
        <w:t xml:space="preserve"> that humanitarian entrants have difficulty in achieving citizenship</w:t>
      </w:r>
      <w:r w:rsidR="008B00C1">
        <w:t>, apparently</w:t>
      </w:r>
      <w:r w:rsidR="00B23FE1">
        <w:t xml:space="preserve"> due to their level of English language ability.</w:t>
      </w:r>
      <w:r w:rsidR="003B0004">
        <w:rPr>
          <w:rStyle w:val="EndnoteReference"/>
        </w:rPr>
        <w:endnoteReference w:id="24"/>
      </w:r>
      <w:r w:rsidR="00B23FE1">
        <w:t xml:space="preserve"> </w:t>
      </w:r>
    </w:p>
    <w:p w14:paraId="417A4245" w14:textId="77777777" w:rsidR="00EC49F4" w:rsidRDefault="00EC49F4" w:rsidP="004B259E">
      <w:pPr>
        <w:pStyle w:val="SubmissionNormal"/>
        <w:tabs>
          <w:tab w:val="clear" w:pos="720"/>
        </w:tabs>
        <w:ind w:hanging="720"/>
      </w:pPr>
      <w:r>
        <w:t xml:space="preserve">Such a scenario represents a concerning prospect. There </w:t>
      </w:r>
      <w:r w:rsidR="003B0004">
        <w:t>is</w:t>
      </w:r>
      <w:r>
        <w:t xml:space="preserve"> a danger that </w:t>
      </w:r>
      <w:r w:rsidR="00D05668">
        <w:t>this</w:t>
      </w:r>
      <w:r>
        <w:t xml:space="preserve"> cohort of immigrants could find it difficult to become Australian citizens within a reasonable time.</w:t>
      </w:r>
    </w:p>
    <w:p w14:paraId="0A4D27FD" w14:textId="77777777" w:rsidR="001C73F9" w:rsidRDefault="00B23FE1" w:rsidP="005537E6">
      <w:pPr>
        <w:pStyle w:val="SubmissionNormal"/>
        <w:tabs>
          <w:tab w:val="clear" w:pos="720"/>
        </w:tabs>
        <w:ind w:hanging="720"/>
      </w:pPr>
      <w:r>
        <w:t>The</w:t>
      </w:r>
      <w:r w:rsidR="00C143B7">
        <w:t xml:space="preserve"> 2015</w:t>
      </w:r>
      <w:r>
        <w:t xml:space="preserve"> report recommended</w:t>
      </w:r>
      <w:r w:rsidR="001C73F9">
        <w:t xml:space="preserve"> that </w:t>
      </w:r>
      <w:r>
        <w:t>t</w:t>
      </w:r>
      <w:r w:rsidR="001C73F9">
        <w:t>he Government should improve the AMEP</w:t>
      </w:r>
      <w:r>
        <w:t xml:space="preserve"> and increase the language ability on exit. The report</w:t>
      </w:r>
      <w:r w:rsidR="00C143B7">
        <w:t xml:space="preserve"> further stated</w:t>
      </w:r>
      <w:r w:rsidR="001C73F9">
        <w:t xml:space="preserve"> that:</w:t>
      </w:r>
    </w:p>
    <w:p w14:paraId="4D03BCFF" w14:textId="77777777" w:rsidR="004B675C" w:rsidRDefault="001C73F9" w:rsidP="004B259E">
      <w:pPr>
        <w:pStyle w:val="SubmissionNormal"/>
        <w:numPr>
          <w:ilvl w:val="0"/>
          <w:numId w:val="0"/>
        </w:numPr>
        <w:ind w:left="1440"/>
        <w:rPr>
          <w:sz w:val="22"/>
        </w:rPr>
      </w:pPr>
      <w:r w:rsidRPr="004B675C">
        <w:rPr>
          <w:sz w:val="22"/>
        </w:rPr>
        <w:t>The AMEP provides up to 510 hours of free English language tuition to eligible new migrants and humanitarian entrants</w:t>
      </w:r>
      <w:r w:rsidR="004B675C" w:rsidRPr="004B675C">
        <w:rPr>
          <w:sz w:val="22"/>
        </w:rPr>
        <w:t>.  The recent evaluation of the AMEP revealed that it is valued but the findings indicate a number of areas where further improvement can be sought.  In particular the review also found that the proficiency level at exit is generally insufficient for employment.</w:t>
      </w:r>
      <w:r w:rsidR="00B23FE1">
        <w:rPr>
          <w:rStyle w:val="EndnoteReference"/>
        </w:rPr>
        <w:endnoteReference w:id="25"/>
      </w:r>
    </w:p>
    <w:p w14:paraId="2376634C" w14:textId="77777777" w:rsidR="003B0004" w:rsidRPr="004B675C" w:rsidRDefault="003B0004" w:rsidP="003B0004">
      <w:pPr>
        <w:pStyle w:val="SubmissionNormal"/>
        <w:tabs>
          <w:tab w:val="clear" w:pos="720"/>
        </w:tabs>
        <w:ind w:hanging="720"/>
      </w:pPr>
      <w:r>
        <w:t>The Commission is of the view that rather than introducing a higher English language requirement as a prerequisite for citizenship, the Government could consider strengthening</w:t>
      </w:r>
      <w:r w:rsidRPr="00FA2B06">
        <w:t xml:space="preserve"> English language support for migrants and humanitarian entrants </w:t>
      </w:r>
      <w:r>
        <w:t>to assist them in attaining English proficiency. This would include supporting those who are children to complete their primary and secondary education, which may have been disrupted.</w:t>
      </w:r>
    </w:p>
    <w:p w14:paraId="0FCC1A3A" w14:textId="77777777" w:rsidR="00921898" w:rsidRDefault="00921898" w:rsidP="00921898">
      <w:pPr>
        <w:pStyle w:val="Heading2"/>
      </w:pPr>
      <w:bookmarkStart w:id="18" w:name="_Toc488410878"/>
      <w:r>
        <w:t>Integration into the Australian community</w:t>
      </w:r>
      <w:bookmarkEnd w:id="18"/>
    </w:p>
    <w:p w14:paraId="2416DEB7" w14:textId="77777777" w:rsidR="00FD769A" w:rsidRDefault="00783A20" w:rsidP="00921898">
      <w:pPr>
        <w:pStyle w:val="SubmissionNormal"/>
        <w:tabs>
          <w:tab w:val="clear" w:pos="720"/>
        </w:tabs>
        <w:ind w:hanging="720"/>
      </w:pPr>
      <w:r>
        <w:t xml:space="preserve">The Bill introduces a new requirement that </w:t>
      </w:r>
      <w:r w:rsidR="0092341F">
        <w:t>an applicant</w:t>
      </w:r>
      <w:r>
        <w:t xml:space="preserve"> for citizenship </w:t>
      </w:r>
      <w:r w:rsidR="0092341F">
        <w:t xml:space="preserve">by </w:t>
      </w:r>
      <w:r>
        <w:t xml:space="preserve">conferral must </w:t>
      </w:r>
      <w:r w:rsidR="0092341F">
        <w:t>have ‘</w:t>
      </w:r>
      <w:r>
        <w:t>integrated into the Australian community’.</w:t>
      </w:r>
      <w:r>
        <w:rPr>
          <w:rStyle w:val="EndnoteReference"/>
        </w:rPr>
        <w:endnoteReference w:id="26"/>
      </w:r>
    </w:p>
    <w:p w14:paraId="1C6ADC70" w14:textId="77777777" w:rsidR="00783A20" w:rsidRDefault="006F0D58" w:rsidP="00921898">
      <w:pPr>
        <w:pStyle w:val="SubmissionNormal"/>
        <w:tabs>
          <w:tab w:val="clear" w:pos="720"/>
        </w:tabs>
        <w:ind w:hanging="720"/>
      </w:pPr>
      <w:r>
        <w:t>The Bill would give the Minister a broad discretion to determine the matters that the Minister may or must have regard to when determining whether a person has ‘integrated into the Australian community’.</w:t>
      </w:r>
      <w:r>
        <w:rPr>
          <w:rStyle w:val="EndnoteReference"/>
        </w:rPr>
        <w:endnoteReference w:id="27"/>
      </w:r>
    </w:p>
    <w:p w14:paraId="4A9772E1" w14:textId="77777777" w:rsidR="00921898" w:rsidRDefault="00FD769A" w:rsidP="00921898">
      <w:pPr>
        <w:pStyle w:val="SubmissionNormal"/>
        <w:tabs>
          <w:tab w:val="clear" w:pos="720"/>
        </w:tabs>
        <w:ind w:hanging="720"/>
      </w:pPr>
      <w:r>
        <w:t xml:space="preserve">The Explanatory Memorandum does not specify the matters that the Minister </w:t>
      </w:r>
      <w:r w:rsidR="0092341F">
        <w:t xml:space="preserve">may or </w:t>
      </w:r>
      <w:r>
        <w:t>must have regard to</w:t>
      </w:r>
      <w:r w:rsidR="008A764B">
        <w:t xml:space="preserve">.  </w:t>
      </w:r>
      <w:r>
        <w:t xml:space="preserve">It says that the Minister will be empowered to determine that </w:t>
      </w:r>
      <w:r w:rsidR="008A764B">
        <w:t>regard may be had to:</w:t>
      </w:r>
    </w:p>
    <w:p w14:paraId="2F1EF270" w14:textId="77777777" w:rsidR="008A764B" w:rsidRPr="008A764B" w:rsidRDefault="008A764B" w:rsidP="008A764B">
      <w:pPr>
        <w:pStyle w:val="SubmissionNormal"/>
        <w:numPr>
          <w:ilvl w:val="0"/>
          <w:numId w:val="0"/>
        </w:numPr>
        <w:ind w:left="1440"/>
        <w:rPr>
          <w:sz w:val="22"/>
        </w:rPr>
      </w:pPr>
      <w:r w:rsidRPr="008A764B">
        <w:rPr>
          <w:sz w:val="22"/>
        </w:rPr>
        <w:t xml:space="preserve">for example, a person’s employment status, study being undertaken by the person, the person’s involvement with community groups, the school </w:t>
      </w:r>
      <w:r w:rsidRPr="008A764B">
        <w:rPr>
          <w:sz w:val="22"/>
        </w:rPr>
        <w:lastRenderedPageBreak/>
        <w:t>participation of the person’s children, or, adversely, the person’s criminality or conduct that is inconsistent with the Australian values to which they committed throughout their application process.</w:t>
      </w:r>
      <w:r>
        <w:rPr>
          <w:rStyle w:val="EndnoteReference"/>
        </w:rPr>
        <w:endnoteReference w:id="28"/>
      </w:r>
    </w:p>
    <w:p w14:paraId="51477E37" w14:textId="77777777" w:rsidR="00747B07" w:rsidRDefault="00FB7B98" w:rsidP="00FB7B98">
      <w:pPr>
        <w:pStyle w:val="SubmissionNormal"/>
        <w:tabs>
          <w:tab w:val="clear" w:pos="720"/>
        </w:tabs>
        <w:ind w:hanging="720"/>
      </w:pPr>
      <w:r>
        <w:t>The announcement made by the Prime Minister</w:t>
      </w:r>
      <w:r w:rsidR="00B7761A">
        <w:t xml:space="preserve"> and the Minister for Immigration and Border Protection </w:t>
      </w:r>
      <w:r>
        <w:t>on 20 April 2017 said that examples of steps applicants would be required to take to demonstrate integration ‘would include evidence of employment, membership of community organisations and school enrolment for all eligible children’.</w:t>
      </w:r>
      <w:r>
        <w:rPr>
          <w:rStyle w:val="EndnoteReference"/>
        </w:rPr>
        <w:endnoteReference w:id="29"/>
      </w:r>
      <w:r>
        <w:t xml:space="preserve">  </w:t>
      </w:r>
    </w:p>
    <w:p w14:paraId="3EC1E16B" w14:textId="77777777" w:rsidR="000728ED" w:rsidRDefault="000728ED" w:rsidP="00FB7B98">
      <w:pPr>
        <w:pStyle w:val="SubmissionNormal"/>
        <w:tabs>
          <w:tab w:val="clear" w:pos="720"/>
        </w:tabs>
        <w:ind w:hanging="720"/>
      </w:pPr>
      <w:r>
        <w:t>The document released by the Government on 20 April 2017 provided further detail, saying:</w:t>
      </w:r>
    </w:p>
    <w:p w14:paraId="2EF18CC1" w14:textId="77777777" w:rsidR="000728ED" w:rsidRPr="000728ED" w:rsidRDefault="000728ED" w:rsidP="000728ED">
      <w:pPr>
        <w:pStyle w:val="SubmissionNormal"/>
        <w:numPr>
          <w:ilvl w:val="0"/>
          <w:numId w:val="0"/>
        </w:numPr>
        <w:ind w:left="1440"/>
        <w:rPr>
          <w:sz w:val="22"/>
        </w:rPr>
      </w:pPr>
      <w:r w:rsidRPr="000728ED">
        <w:rPr>
          <w:sz w:val="22"/>
        </w:rPr>
        <w:t>Applicants will need to demonstrate their integration into the Australian community, by providing, for example, documentation to the effect that people who can work are working, or are actively looking for work or to educate themselves; or that people are contributing to the community by being actively involved in community or voluntary organisations; that people are properly paying their taxes, adhering to social security laws and ensuring their children are being educated. Applicants’ criminal records are also relevant.</w:t>
      </w:r>
    </w:p>
    <w:p w14:paraId="03B19B83" w14:textId="77777777" w:rsidR="000728ED" w:rsidRPr="000728ED" w:rsidRDefault="000728ED" w:rsidP="000728ED">
      <w:pPr>
        <w:pStyle w:val="SubmissionNormal"/>
        <w:numPr>
          <w:ilvl w:val="0"/>
          <w:numId w:val="0"/>
        </w:numPr>
        <w:ind w:left="1440"/>
        <w:rPr>
          <w:sz w:val="22"/>
        </w:rPr>
      </w:pPr>
      <w:r w:rsidRPr="000728ED">
        <w:rPr>
          <w:sz w:val="22"/>
        </w:rPr>
        <w:t>In addition to existing police checks which are undertaken as part of any application for citizenship, an applicant will also be assessed for any conduct that is inconsistent with Australian values, such as domestic or family violence, criminality including procuring or facilitating female genital mutilation and involvement in gangs and organised crime.</w:t>
      </w:r>
      <w:r>
        <w:rPr>
          <w:rStyle w:val="EndnoteReference"/>
        </w:rPr>
        <w:endnoteReference w:id="30"/>
      </w:r>
    </w:p>
    <w:p w14:paraId="4FA7AA6F" w14:textId="77777777" w:rsidR="00FB7B98" w:rsidRDefault="00747B07" w:rsidP="00FB7B98">
      <w:pPr>
        <w:pStyle w:val="SubmissionNormal"/>
        <w:tabs>
          <w:tab w:val="clear" w:pos="720"/>
        </w:tabs>
        <w:ind w:hanging="720"/>
      </w:pPr>
      <w:r>
        <w:t>T</w:t>
      </w:r>
      <w:r w:rsidR="00FB7B98">
        <w:t>he lack of certainty</w:t>
      </w:r>
      <w:r w:rsidR="005E5D40">
        <w:t xml:space="preserve"> around these issues</w:t>
      </w:r>
      <w:r w:rsidR="00FB7B98">
        <w:t xml:space="preserve"> is a concern given that the relevant provisions of the Bill will apply retrospectively, from 20 April 2017.</w:t>
      </w:r>
    </w:p>
    <w:p w14:paraId="6E4246DA" w14:textId="77777777" w:rsidR="00883699" w:rsidRDefault="00C143B7" w:rsidP="00F07125">
      <w:pPr>
        <w:pStyle w:val="SubmissionNormal"/>
        <w:tabs>
          <w:tab w:val="clear" w:pos="720"/>
        </w:tabs>
        <w:ind w:hanging="720"/>
      </w:pPr>
      <w:r>
        <w:t>In principle, t</w:t>
      </w:r>
      <w:r w:rsidR="00883699">
        <w:t xml:space="preserve">he Commission welcomes the Government’s interest in strengthening citizenship and promoting a more cohesive society. Australia’s multicultural society is only successful because immigrants and their descendants, over time, become full members of Australian society. </w:t>
      </w:r>
    </w:p>
    <w:p w14:paraId="7FA513ED" w14:textId="77777777" w:rsidR="00883699" w:rsidRDefault="00C143B7" w:rsidP="00F07125">
      <w:pPr>
        <w:pStyle w:val="SubmissionNormal"/>
        <w:tabs>
          <w:tab w:val="clear" w:pos="720"/>
        </w:tabs>
        <w:ind w:hanging="720"/>
      </w:pPr>
      <w:r>
        <w:t>It should, however, be noted that t</w:t>
      </w:r>
      <w:r w:rsidR="00883699">
        <w:t>he path of integration can traverse more than one generation.</w:t>
      </w:r>
      <w:r w:rsidRPr="00F07125">
        <w:rPr>
          <w:sz w:val="20"/>
          <w:vertAlign w:val="superscript"/>
        </w:rPr>
        <w:endnoteReference w:id="31"/>
      </w:r>
      <w:r w:rsidR="00883699">
        <w:t xml:space="preserve"> This reality should inform the design of any citizenship test. It would be misplaced to measure integration only by the contribution that immigrants currently make to Australian society, without recognising the future contributions they and their children will make.</w:t>
      </w:r>
    </w:p>
    <w:p w14:paraId="7AFA5950" w14:textId="77777777" w:rsidR="00883699" w:rsidRDefault="00883699" w:rsidP="00F07125">
      <w:pPr>
        <w:pStyle w:val="SubmissionNormal"/>
        <w:tabs>
          <w:tab w:val="clear" w:pos="720"/>
        </w:tabs>
        <w:ind w:hanging="720"/>
      </w:pPr>
      <w:r>
        <w:t>Moreover, the task of civic integration is not confined to aspiring citizens. There is considerable scope for improving the civic literacy of Australian-born citizens. Research surveys indicate there is a poor average level of knowledge that citizens have about the operation of the political system.</w:t>
      </w:r>
      <w:bookmarkStart w:id="19" w:name="b6"/>
      <w:bookmarkEnd w:id="19"/>
      <w:r w:rsidR="00F07125" w:rsidRPr="00DA714D">
        <w:rPr>
          <w:sz w:val="20"/>
          <w:vertAlign w:val="superscript"/>
        </w:rPr>
        <w:endnoteReference w:id="32"/>
      </w:r>
      <w:r w:rsidR="00F07125">
        <w:t xml:space="preserve"> </w:t>
      </w:r>
      <w:r>
        <w:t xml:space="preserve">It would be anomalous to hold naturalised citizens to a standard that is significantly more stringent than the standard expected of Australian </w:t>
      </w:r>
      <w:r w:rsidR="00DA714D">
        <w:t xml:space="preserve">born </w:t>
      </w:r>
      <w:r>
        <w:t>citizens (who are not tested on their civic knowledge or participation in society).</w:t>
      </w:r>
    </w:p>
    <w:p w14:paraId="714159C1" w14:textId="77777777" w:rsidR="005E1B4C" w:rsidRDefault="005E1B4C" w:rsidP="00F07125">
      <w:pPr>
        <w:pStyle w:val="SubmissionNormal"/>
        <w:tabs>
          <w:tab w:val="clear" w:pos="720"/>
        </w:tabs>
        <w:ind w:hanging="720"/>
      </w:pPr>
      <w:r>
        <w:t xml:space="preserve">The Commission also notes the disproportionate impact that the change could have on humanitarian entrants and others who may not have significant capacity to participate in formal community work. Accessing forms of employment, upgrading qualifications, and learning English may be priorities for these groups. Moreover, what is characterised as formal volunteering or </w:t>
      </w:r>
      <w:r>
        <w:lastRenderedPageBreak/>
        <w:t xml:space="preserve">community involvement for the purpose of proving ‘integration’ may not capture more informal work which is often carried out through decentralised community groups or structures. Research has found that refugee-driven refugee community organisations play a critical role in settling and integrating new humanitarian entrants. These groups can include </w:t>
      </w:r>
      <w:r w:rsidR="00DA714D">
        <w:t>‘</w:t>
      </w:r>
      <w:r>
        <w:t>informal social and cultural groups that come together for mutual su</w:t>
      </w:r>
      <w:r w:rsidR="00DA714D">
        <w:t>pport’.</w:t>
      </w:r>
      <w:r w:rsidRPr="00DA714D">
        <w:rPr>
          <w:sz w:val="20"/>
          <w:vertAlign w:val="superscript"/>
        </w:rPr>
        <w:endnoteReference w:id="33"/>
      </w:r>
      <w:r>
        <w:t xml:space="preserve"> Activities might include fostering social participation, economic wellbeing, and community connectedness. This is on top of the regular voluntary interpersonal support that new migrants and refugees provide each other, outside of any group or structure.</w:t>
      </w:r>
    </w:p>
    <w:p w14:paraId="731D3F84" w14:textId="77777777" w:rsidR="00921898" w:rsidRDefault="00921898" w:rsidP="00921898">
      <w:pPr>
        <w:pStyle w:val="Heading2"/>
      </w:pPr>
      <w:bookmarkStart w:id="20" w:name="_Toc488410879"/>
      <w:r>
        <w:t>‘Australian values’</w:t>
      </w:r>
      <w:bookmarkEnd w:id="20"/>
    </w:p>
    <w:p w14:paraId="441A9547" w14:textId="77777777" w:rsidR="00921898" w:rsidRDefault="0092341F" w:rsidP="00921898">
      <w:pPr>
        <w:pStyle w:val="SubmissionNormal"/>
        <w:tabs>
          <w:tab w:val="clear" w:pos="720"/>
        </w:tabs>
        <w:ind w:hanging="720"/>
      </w:pPr>
      <w:r>
        <w:t>The Bill would give the Minister the ability to determine the content of an ‘Australian Values Statement’ and require, for example, that the statement be read, understood and signed by an applicant.</w:t>
      </w:r>
      <w:r w:rsidR="00883321">
        <w:rPr>
          <w:rStyle w:val="EndnoteReference"/>
        </w:rPr>
        <w:endnoteReference w:id="34"/>
      </w:r>
      <w:r w:rsidR="004353E7">
        <w:t xml:space="preserve"> </w:t>
      </w:r>
    </w:p>
    <w:p w14:paraId="4ADD950A" w14:textId="1459D56C" w:rsidR="0092341F" w:rsidRDefault="0092341F" w:rsidP="0092341F">
      <w:pPr>
        <w:pStyle w:val="SubmissionNormal"/>
        <w:tabs>
          <w:tab w:val="clear" w:pos="720"/>
        </w:tabs>
        <w:ind w:hanging="720"/>
      </w:pPr>
      <w:r>
        <w:t>The form of the Australian Values Statement determined by the Minister would not be disallowable by the Senate.</w:t>
      </w:r>
      <w:r w:rsidR="00883321">
        <w:rPr>
          <w:rStyle w:val="EndnoteReference"/>
        </w:rPr>
        <w:endnoteReference w:id="35"/>
      </w:r>
      <w:r w:rsidR="00883321">
        <w:t xml:space="preserve">  The Explanatory Memorandum asserts that </w:t>
      </w:r>
      <w:r w:rsidR="00B7761A">
        <w:t xml:space="preserve">the statement </w:t>
      </w:r>
      <w:r w:rsidR="00883321">
        <w:t xml:space="preserve">should be exempt from disallowance because </w:t>
      </w:r>
      <w:r w:rsidR="00B7761A">
        <w:t xml:space="preserve">it </w:t>
      </w:r>
      <w:r w:rsidR="00883321">
        <w:t>‘concerns matters which should be under Executive control’.</w:t>
      </w:r>
      <w:r w:rsidR="00883321">
        <w:rPr>
          <w:rStyle w:val="EndnoteReference"/>
        </w:rPr>
        <w:endnoteReference w:id="36"/>
      </w:r>
      <w:r w:rsidR="0032768F">
        <w:t xml:space="preserve">  By contrast, the Scrutiny of Bills Committee has said that these matters, going to the substance of citizenship policy, would appear to be appropriate for parliamentary oversight.</w:t>
      </w:r>
      <w:r w:rsidR="0032768F">
        <w:rPr>
          <w:rStyle w:val="EndnoteReference"/>
        </w:rPr>
        <w:endnoteReference w:id="37"/>
      </w:r>
      <w:r w:rsidR="009A4D5B">
        <w:t xml:space="preserve">  Similar</w:t>
      </w:r>
      <w:r w:rsidR="00037F5F">
        <w:t>l</w:t>
      </w:r>
      <w:r w:rsidR="009A4D5B">
        <w:t xml:space="preserve">y, the Australian Law Reform Commission in its recent report on </w:t>
      </w:r>
      <w:r w:rsidR="009A4D5B" w:rsidRPr="009A4D5B">
        <w:rPr>
          <w:i/>
        </w:rPr>
        <w:t>Traditional Rights and Freedoms</w:t>
      </w:r>
      <w:r w:rsidR="009A4D5B">
        <w:t xml:space="preserve"> has said that laws that have a significant impact on individual rights should be made by Parliament and not subject to delegation to the executive.</w:t>
      </w:r>
      <w:r w:rsidR="009A4D5B">
        <w:rPr>
          <w:rStyle w:val="EndnoteReference"/>
        </w:rPr>
        <w:endnoteReference w:id="38"/>
      </w:r>
    </w:p>
    <w:p w14:paraId="31AB8F14" w14:textId="77777777" w:rsidR="00D57C95" w:rsidRDefault="00D57C95" w:rsidP="0092341F">
      <w:pPr>
        <w:pStyle w:val="SubmissionNormal"/>
        <w:tabs>
          <w:tab w:val="clear" w:pos="720"/>
        </w:tabs>
        <w:ind w:hanging="720"/>
      </w:pPr>
      <w:r>
        <w:t>There is currently an Australian Values Statement that applicants for provisional, permanent and a small number of temporary visas are required to sign.  The form of this statement is set out in a schedule to this submission.  The Government has said that it intends to ‘strengthen’ the Australian Values Statement by adding a reference to the requirement of allegiance to Australia and by requiring applicants to make an undertaking to integrate into and contribute to the Australian community.</w:t>
      </w:r>
      <w:r w:rsidR="00C621B3">
        <w:rPr>
          <w:rStyle w:val="EndnoteReference"/>
        </w:rPr>
        <w:endnoteReference w:id="39"/>
      </w:r>
      <w:r>
        <w:t xml:space="preserve">  It is not clear whether any other changes to the Australian Values Statement are proposed.</w:t>
      </w:r>
    </w:p>
    <w:p w14:paraId="1D9CC211" w14:textId="362A032C" w:rsidR="005E5D40" w:rsidRDefault="00511261" w:rsidP="00C621B3">
      <w:pPr>
        <w:pStyle w:val="SubmissionNormal"/>
        <w:tabs>
          <w:tab w:val="clear" w:pos="720"/>
        </w:tabs>
        <w:ind w:hanging="720"/>
      </w:pPr>
      <w:r>
        <w:t xml:space="preserve">When announcing </w:t>
      </w:r>
      <w:r w:rsidR="00BA36D3">
        <w:t>these legislative changes on 20 April 2017, t</w:t>
      </w:r>
      <w:r>
        <w:t xml:space="preserve">he Prime Minister suggested </w:t>
      </w:r>
      <w:r w:rsidR="006372EB">
        <w:t>that our common values included</w:t>
      </w:r>
      <w:r w:rsidR="00BA36D3">
        <w:t xml:space="preserve"> ‘the rule of law, democracy, freedom, mutual respect, equality for men and women’.</w:t>
      </w:r>
      <w:r w:rsidR="00BA36D3">
        <w:rPr>
          <w:rStyle w:val="EndnoteReference"/>
        </w:rPr>
        <w:endnoteReference w:id="40"/>
      </w:r>
      <w:r w:rsidR="00747B07">
        <w:t xml:space="preserve">  </w:t>
      </w:r>
      <w:r w:rsidR="00C621B3">
        <w:t xml:space="preserve">At the same time, the </w:t>
      </w:r>
      <w:r w:rsidR="005E5D40">
        <w:t>Minister for Immigration and Border Protection said in relation to ‘the issue around Australian values and integration’ that:</w:t>
      </w:r>
    </w:p>
    <w:p w14:paraId="21CDCAD0" w14:textId="77777777" w:rsidR="005E5D40" w:rsidRDefault="005E5D40" w:rsidP="005E5D40">
      <w:pPr>
        <w:pStyle w:val="SubmissionNormal"/>
        <w:numPr>
          <w:ilvl w:val="0"/>
          <w:numId w:val="0"/>
        </w:numPr>
        <w:ind w:left="1440"/>
      </w:pPr>
      <w:r w:rsidRPr="005E5D40">
        <w:rPr>
          <w:sz w:val="22"/>
        </w:rPr>
        <w:t>There will be further tests, further questions placed in the test as it currently operates, and there will be opportunity for people to comment on some of these changes over the course of the next, over the course of the period between now and 1 June.  So we will consult around the questions around the values issues and we can provide further detail.</w:t>
      </w:r>
      <w:r>
        <w:rPr>
          <w:rStyle w:val="EndnoteReference"/>
        </w:rPr>
        <w:endnoteReference w:id="41"/>
      </w:r>
      <w:r>
        <w:t xml:space="preserve">  </w:t>
      </w:r>
    </w:p>
    <w:p w14:paraId="6EEA4FB9" w14:textId="77777777" w:rsidR="005E5D40" w:rsidRDefault="005E5D40" w:rsidP="005E5D40">
      <w:pPr>
        <w:pStyle w:val="SubmissionNormal"/>
        <w:tabs>
          <w:tab w:val="clear" w:pos="720"/>
        </w:tabs>
        <w:ind w:hanging="720"/>
      </w:pPr>
      <w:r>
        <w:t>As one example, the Minister said:</w:t>
      </w:r>
    </w:p>
    <w:p w14:paraId="2E0154F5" w14:textId="77777777" w:rsidR="005E5D40" w:rsidRPr="005E5D40" w:rsidRDefault="005E5D40" w:rsidP="005E5D40">
      <w:pPr>
        <w:pStyle w:val="SubmissionNormal"/>
        <w:numPr>
          <w:ilvl w:val="0"/>
          <w:numId w:val="0"/>
        </w:numPr>
        <w:ind w:left="1440"/>
        <w:rPr>
          <w:sz w:val="22"/>
        </w:rPr>
      </w:pPr>
      <w:r w:rsidRPr="005E5D40">
        <w:rPr>
          <w:sz w:val="22"/>
        </w:rPr>
        <w:lastRenderedPageBreak/>
        <w:t>We would ask questions for example, as we’re seeing in Melbourne at the moment, if kids are roaming the street at night as part of gangs in the Apex gangs or elsewhere in cities like Melbourne, whether or not that is adopting an Australian value. Clearly it’s not.</w:t>
      </w:r>
      <w:r>
        <w:rPr>
          <w:rStyle w:val="EndnoteReference"/>
        </w:rPr>
        <w:endnoteReference w:id="42"/>
      </w:r>
    </w:p>
    <w:p w14:paraId="04251273" w14:textId="77777777" w:rsidR="00C621B3" w:rsidRDefault="00C621B3" w:rsidP="0092341F">
      <w:pPr>
        <w:pStyle w:val="SubmissionNormal"/>
        <w:tabs>
          <w:tab w:val="clear" w:pos="720"/>
        </w:tabs>
        <w:ind w:hanging="720"/>
      </w:pPr>
      <w:r>
        <w:t>The comments by the Minister above may have been intended to refer to changes to the citizenship test under s 23A of the Australian Citizenship Act, rather than changes to the Australian Values Statement.</w:t>
      </w:r>
    </w:p>
    <w:p w14:paraId="1D417848" w14:textId="77777777" w:rsidR="00883321" w:rsidRDefault="005E5D40" w:rsidP="0092341F">
      <w:pPr>
        <w:pStyle w:val="SubmissionNormal"/>
        <w:tabs>
          <w:tab w:val="clear" w:pos="720"/>
        </w:tabs>
        <w:ind w:hanging="720"/>
      </w:pPr>
      <w:r>
        <w:t>Again, as noted above, the lack of certainty around these issues is a concern given</w:t>
      </w:r>
      <w:r w:rsidR="00811DB7">
        <w:t xml:space="preserve"> the lack of Parliamentary oversight and given</w:t>
      </w:r>
      <w:r>
        <w:t xml:space="preserve"> that the relevant provisions of the Bill will apply retrospectively, from 20 April 2017.</w:t>
      </w:r>
    </w:p>
    <w:p w14:paraId="73B025F7" w14:textId="77777777" w:rsidR="00E86A00" w:rsidRDefault="007E22A3" w:rsidP="00811DB7">
      <w:pPr>
        <w:pStyle w:val="SubmissionNormal"/>
        <w:tabs>
          <w:tab w:val="clear" w:pos="720"/>
        </w:tabs>
        <w:ind w:hanging="720"/>
      </w:pPr>
      <w:r>
        <w:t>The rights and responsibilities of citizenship are defined by Australia’s liberal democratic tradition and values – its parliamentary democracy, its rule of law, its respect for rights and freedoms. Citizenship is not defined by ancestry, ethnicity, race or lifestyle. Becoming an Australian citizen leaves room for a citizen to express their cultural heritage and identity, so long as they uphold their civic responsibilities.</w:t>
      </w:r>
    </w:p>
    <w:p w14:paraId="47AD5D55" w14:textId="77777777" w:rsidR="007E22A3" w:rsidRDefault="00E86A00" w:rsidP="00811DB7">
      <w:pPr>
        <w:pStyle w:val="SubmissionNormal"/>
        <w:tabs>
          <w:tab w:val="clear" w:pos="720"/>
        </w:tabs>
        <w:ind w:hanging="720"/>
      </w:pPr>
      <w:r>
        <w:t>The Bill would also rename the ‘pledge of commitment’ the ‘pledge of allegiance’ and amend the pledge to require a person to pledge their allegiance to Australia and its people. The Commission has stated in previous submissions to the Department</w:t>
      </w:r>
      <w:r w:rsidR="00811DB7">
        <w:t xml:space="preserve"> of Immigration and Border Protection</w:t>
      </w:r>
      <w:r>
        <w:t xml:space="preserve"> that the current Pledge of Commitment contains an appropriate statement of the rights and responsibilities of Australian Citizenship.</w:t>
      </w:r>
      <w:r w:rsidR="00811DB7" w:rsidRPr="00811DB7">
        <w:rPr>
          <w:sz w:val="20"/>
          <w:vertAlign w:val="superscript"/>
        </w:rPr>
        <w:endnoteReference w:id="43"/>
      </w:r>
      <w:r w:rsidR="00811DB7">
        <w:t xml:space="preserve"> </w:t>
      </w:r>
      <w:r w:rsidR="007E22A3">
        <w:t xml:space="preserve"> </w:t>
      </w:r>
    </w:p>
    <w:p w14:paraId="60E24F3B" w14:textId="77777777" w:rsidR="004353E7" w:rsidRDefault="006E1D09" w:rsidP="004353E7">
      <w:pPr>
        <w:pStyle w:val="Heading2"/>
      </w:pPr>
      <w:bookmarkStart w:id="21" w:name="_Toc488410880"/>
      <w:r>
        <w:t>Eligibility to sit the c</w:t>
      </w:r>
      <w:r w:rsidR="004353E7">
        <w:t>itizenship test</w:t>
      </w:r>
      <w:bookmarkEnd w:id="21"/>
    </w:p>
    <w:p w14:paraId="650683F7" w14:textId="223D708A" w:rsidR="004353E7" w:rsidRDefault="00412974" w:rsidP="00921898">
      <w:pPr>
        <w:pStyle w:val="SubmissionNormal"/>
        <w:tabs>
          <w:tab w:val="clear" w:pos="720"/>
        </w:tabs>
        <w:ind w:hanging="720"/>
      </w:pPr>
      <w:r>
        <w:t xml:space="preserve">The Australian Citizenship Act currently provides that applicants for citizenship by conferral must pass a citizenship test.  </w:t>
      </w:r>
      <w:r w:rsidR="0034039B">
        <w:t>If a person passes the citizenship test, they are taken to have satisfied the requirements that they</w:t>
      </w:r>
      <w:r w:rsidR="007F1169">
        <w:t>:</w:t>
      </w:r>
      <w:r w:rsidR="0034039B">
        <w:t xml:space="preserve"> </w:t>
      </w:r>
      <w:r>
        <w:t>understand th</w:t>
      </w:r>
      <w:r w:rsidR="007F1169">
        <w:t>e</w:t>
      </w:r>
      <w:r>
        <w:t xml:space="preserve"> nature of the application for citizenship, possess a basic knowledge of the English language and </w:t>
      </w:r>
      <w:r w:rsidR="0034039B">
        <w:t xml:space="preserve">have </w:t>
      </w:r>
      <w:r>
        <w:t xml:space="preserve">an </w:t>
      </w:r>
      <w:r w:rsidR="005E7BFB">
        <w:t>adequate knowledge of Australia</w:t>
      </w:r>
      <w:r>
        <w:t xml:space="preserve"> and of the responsibilities and privileges of Australian citizenship.</w:t>
      </w:r>
      <w:r>
        <w:rPr>
          <w:rStyle w:val="EndnoteReference"/>
        </w:rPr>
        <w:endnoteReference w:id="44"/>
      </w:r>
    </w:p>
    <w:p w14:paraId="46018C66" w14:textId="77777777" w:rsidR="00F1680A" w:rsidRDefault="00412974" w:rsidP="00921898">
      <w:pPr>
        <w:pStyle w:val="SubmissionNormal"/>
        <w:tabs>
          <w:tab w:val="clear" w:pos="720"/>
        </w:tabs>
        <w:ind w:hanging="720"/>
      </w:pPr>
      <w:r>
        <w:t xml:space="preserve">The Minister currently has the power to determine the eligibility criteria a person must satisfy in order to be able to sit the test.  </w:t>
      </w:r>
    </w:p>
    <w:p w14:paraId="4473ED96" w14:textId="77777777" w:rsidR="00FF0461" w:rsidRDefault="00412974" w:rsidP="00921898">
      <w:pPr>
        <w:pStyle w:val="SubmissionNormal"/>
        <w:tabs>
          <w:tab w:val="clear" w:pos="720"/>
        </w:tabs>
        <w:ind w:hanging="720"/>
      </w:pPr>
      <w:r>
        <w:t xml:space="preserve">The Bill </w:t>
      </w:r>
      <w:r w:rsidR="00F1680A">
        <w:t xml:space="preserve">lists </w:t>
      </w:r>
      <w:r>
        <w:t xml:space="preserve">a number of specific </w:t>
      </w:r>
      <w:r w:rsidR="00F1680A">
        <w:t xml:space="preserve">eligibility </w:t>
      </w:r>
      <w:r>
        <w:t xml:space="preserve">criteria that the Minister </w:t>
      </w:r>
      <w:r w:rsidR="00145FE5">
        <w:t xml:space="preserve">would be able to </w:t>
      </w:r>
      <w:r>
        <w:t>incl</w:t>
      </w:r>
      <w:r w:rsidR="00F1680A">
        <w:t>ude, such as criteria relating to the fact that a person has previously failed the test.</w:t>
      </w:r>
      <w:r w:rsidR="00F1680A">
        <w:rPr>
          <w:rStyle w:val="EndnoteReference"/>
        </w:rPr>
        <w:endnoteReference w:id="45"/>
      </w:r>
      <w:r w:rsidR="00F1680A">
        <w:t xml:space="preserve">  </w:t>
      </w:r>
    </w:p>
    <w:p w14:paraId="2E6E66BD" w14:textId="77777777" w:rsidR="00195099" w:rsidRDefault="00511261" w:rsidP="00921898">
      <w:pPr>
        <w:pStyle w:val="SubmissionNormal"/>
        <w:tabs>
          <w:tab w:val="clear" w:pos="720"/>
        </w:tabs>
        <w:ind w:hanging="720"/>
      </w:pPr>
      <w:r>
        <w:t xml:space="preserve">The Prime Minister </w:t>
      </w:r>
      <w:r w:rsidR="0060066E">
        <w:t xml:space="preserve">and the Minister for Immigration and Border Protection </w:t>
      </w:r>
      <w:r>
        <w:t>announced on 20 April 2017 that they intended to limit the number of times an applicant could fai</w:t>
      </w:r>
      <w:r w:rsidR="005E7BFB">
        <w:t>l the citizenship test to three,</w:t>
      </w:r>
      <w:r>
        <w:rPr>
          <w:rStyle w:val="EndnoteReference"/>
        </w:rPr>
        <w:endnoteReference w:id="46"/>
      </w:r>
      <w:r>
        <w:t xml:space="preserve"> </w:t>
      </w:r>
      <w:r w:rsidR="005E7BFB">
        <w:t xml:space="preserve">and that after three </w:t>
      </w:r>
      <w:r w:rsidR="00002411">
        <w:t xml:space="preserve">unsuccessful </w:t>
      </w:r>
      <w:r w:rsidR="005E7BFB">
        <w:t>attempts their application will not be approved.</w:t>
      </w:r>
      <w:r w:rsidR="005E7BFB">
        <w:rPr>
          <w:rStyle w:val="EndnoteReference"/>
        </w:rPr>
        <w:endnoteReference w:id="47"/>
      </w:r>
    </w:p>
    <w:p w14:paraId="5C6832EE" w14:textId="77777777" w:rsidR="006C1251" w:rsidRDefault="005E7BFB" w:rsidP="00675533">
      <w:pPr>
        <w:pStyle w:val="SubmissionNormal"/>
        <w:tabs>
          <w:tab w:val="clear" w:pos="720"/>
        </w:tabs>
        <w:ind w:hanging="720"/>
      </w:pPr>
      <w:r>
        <w:t>In addition, the document released by the Government on 20 April 2017 says that it intends to introduce ‘a two-year ban on making a new application after a previous application is refused’.</w:t>
      </w:r>
      <w:r>
        <w:rPr>
          <w:rStyle w:val="EndnoteReference"/>
        </w:rPr>
        <w:endnoteReference w:id="48"/>
      </w:r>
      <w:r w:rsidR="006C1251">
        <w:t xml:space="preserve">  </w:t>
      </w:r>
    </w:p>
    <w:p w14:paraId="2476BF3C" w14:textId="77777777" w:rsidR="006C1251" w:rsidRDefault="006C1251" w:rsidP="00675533">
      <w:pPr>
        <w:pStyle w:val="SubmissionNormal"/>
        <w:tabs>
          <w:tab w:val="clear" w:pos="720"/>
        </w:tabs>
        <w:ind w:hanging="720"/>
      </w:pPr>
      <w:r>
        <w:lastRenderedPageBreak/>
        <w:t>The document further states that ‘the course-based test will no longer be offered to applicants who are unable to pass the standard or assisted citizenship test’.</w:t>
      </w:r>
      <w:r w:rsidR="00866F9F">
        <w:rPr>
          <w:rStyle w:val="EndnoteReference"/>
        </w:rPr>
        <w:endnoteReference w:id="49"/>
      </w:r>
      <w:r>
        <w:t xml:space="preserve"> The current course-based test is designed to assist people who experience difficulties in passing the standard test, particularly those with a low level of English literacy or schooling, and is available by referral to people who have failed the standard or assisted test three or more times.</w:t>
      </w:r>
      <w:r w:rsidR="00866F9F">
        <w:rPr>
          <w:rStyle w:val="EndnoteReference"/>
        </w:rPr>
        <w:endnoteReference w:id="50"/>
      </w:r>
      <w:r>
        <w:t xml:space="preserve"> </w:t>
      </w:r>
    </w:p>
    <w:p w14:paraId="7A93346A" w14:textId="77777777" w:rsidR="00D84B74" w:rsidRDefault="00D84B74" w:rsidP="005E7BFB">
      <w:pPr>
        <w:pStyle w:val="SubmissionNormal"/>
        <w:tabs>
          <w:tab w:val="clear" w:pos="720"/>
        </w:tabs>
        <w:ind w:hanging="720"/>
      </w:pPr>
      <w:r>
        <w:t>Based on the two years to June 2015, approximately 4,000 applicants each year would find themselves in the situation of not passing the test on three occasions and having to wait two years before applying again</w:t>
      </w:r>
      <w:r w:rsidR="00675533">
        <w:t>, without the current ability to take advantage of the course-based test</w:t>
      </w:r>
      <w:r>
        <w:t>.</w:t>
      </w:r>
      <w:r>
        <w:rPr>
          <w:rStyle w:val="EndnoteReference"/>
        </w:rPr>
        <w:endnoteReference w:id="51"/>
      </w:r>
    </w:p>
    <w:p w14:paraId="7C4EBB9E" w14:textId="77777777" w:rsidR="00940DB4" w:rsidRDefault="00940DB4" w:rsidP="00675533">
      <w:pPr>
        <w:pStyle w:val="SubmissionNormal"/>
        <w:tabs>
          <w:tab w:val="clear" w:pos="720"/>
        </w:tabs>
        <w:ind w:hanging="720"/>
      </w:pPr>
      <w:r>
        <w:t xml:space="preserve">The proposed limit on citizenship test attempts and the length of the subsequent ban on new applications may significantly delay access to citizenship and its associated rights for some migrants. In a similar manner to the proposed English language requirement, these measures are likely to have a </w:t>
      </w:r>
      <w:r w:rsidRPr="00A346D2">
        <w:t>dispropo</w:t>
      </w:r>
      <w:r>
        <w:t>rtionate impact on</w:t>
      </w:r>
      <w:r w:rsidRPr="00A346D2">
        <w:t xml:space="preserve"> people</w:t>
      </w:r>
      <w:r>
        <w:t xml:space="preserve"> who are vulnerable or disadvantaged, such as those from refugee backgrounds. This is of particular concern given that the course-based test will no longer provide an alternative pathway to citizenship for people who face difficulties in passing the standard test.</w:t>
      </w:r>
    </w:p>
    <w:p w14:paraId="73809900" w14:textId="77777777" w:rsidR="00940DB4" w:rsidRDefault="00940DB4" w:rsidP="00675533">
      <w:pPr>
        <w:pStyle w:val="SubmissionNormal"/>
        <w:tabs>
          <w:tab w:val="clear" w:pos="720"/>
        </w:tabs>
        <w:ind w:hanging="720"/>
      </w:pPr>
      <w:r>
        <w:t>The Explanatory Memorandum states that these amendments are intended to s</w:t>
      </w:r>
      <w:r w:rsidRPr="006B6807">
        <w:t>trengthen the integrity of the citi</w:t>
      </w:r>
      <w:r>
        <w:t xml:space="preserve">zenship testing arrangements, noting that they would also allow the Minister to </w:t>
      </w:r>
      <w:r w:rsidRPr="005C3AF2">
        <w:t xml:space="preserve">determine that a person is not eligible to sit the citizenship test </w:t>
      </w:r>
      <w:r>
        <w:t xml:space="preserve">if they did not comply </w:t>
      </w:r>
      <w:r w:rsidRPr="005C3AF2">
        <w:t>with</w:t>
      </w:r>
      <w:r>
        <w:t xml:space="preserve"> the rules of conduct relating to the test, or if they are</w:t>
      </w:r>
      <w:r w:rsidRPr="005C3AF2">
        <w:t xml:space="preserve"> found to have cheated during the test.</w:t>
      </w:r>
      <w:r w:rsidR="005021BB">
        <w:rPr>
          <w:rStyle w:val="EndnoteReference"/>
        </w:rPr>
        <w:endnoteReference w:id="52"/>
      </w:r>
    </w:p>
    <w:p w14:paraId="277A97E7" w14:textId="77777777" w:rsidR="00940DB4" w:rsidRDefault="00940DB4" w:rsidP="00675533">
      <w:pPr>
        <w:pStyle w:val="SubmissionNormal"/>
        <w:tabs>
          <w:tab w:val="clear" w:pos="720"/>
        </w:tabs>
        <w:ind w:hanging="720"/>
      </w:pPr>
      <w:r>
        <w:t xml:space="preserve">However, the imposition of a lengthy ban on new applications may not be a reasonable and proportionate measure to ensure the integrity of testing arrangements in cases where a person has failed the test but has otherwise complied with all necessary rules of conduct and has not engaged in fraudulent or deceptive conduct. Indeed, merely failing the test due to factors such as low English literacy or schooling </w:t>
      </w:r>
      <w:r w:rsidR="00BC492B">
        <w:t xml:space="preserve">does not </w:t>
      </w:r>
      <w:r>
        <w:t xml:space="preserve">threaten the integrity of testing measures. </w:t>
      </w:r>
    </w:p>
    <w:p w14:paraId="252238FC" w14:textId="3A6B0914" w:rsidR="00BC492B" w:rsidRDefault="00940DB4" w:rsidP="00BC492B">
      <w:pPr>
        <w:pStyle w:val="SubmissionNormal"/>
        <w:tabs>
          <w:tab w:val="clear" w:pos="720"/>
        </w:tabs>
        <w:ind w:hanging="720"/>
      </w:pPr>
      <w:r>
        <w:t>The Statement of Compatibility with</w:t>
      </w:r>
      <w:r w:rsidR="00BC492B">
        <w:t xml:space="preserve"> Human Rights does not address</w:t>
      </w:r>
      <w:r>
        <w:t xml:space="preserve"> the proposed restrictions on citizenship test attempts. However, this measure may engage Australia’s international human rights obligations </w:t>
      </w:r>
      <w:r w:rsidR="006372EB">
        <w:t>because</w:t>
      </w:r>
      <w:r>
        <w:t xml:space="preserve"> it may unreasonably delay access to citizenship and its associated rights and is likely to</w:t>
      </w:r>
      <w:r w:rsidR="00BC492B">
        <w:t xml:space="preserve"> have a disproportionate impact</w:t>
      </w:r>
      <w:r>
        <w:t xml:space="preserve"> on particular groups. </w:t>
      </w:r>
    </w:p>
    <w:p w14:paraId="2CF0DAA3" w14:textId="77777777" w:rsidR="00FD45F2" w:rsidRDefault="00921898" w:rsidP="00921898">
      <w:pPr>
        <w:pStyle w:val="Heading1"/>
      </w:pPr>
      <w:bookmarkStart w:id="22" w:name="_Toc488410881"/>
      <w:r>
        <w:t>Centralisation of Ministerial power</w:t>
      </w:r>
      <w:bookmarkEnd w:id="22"/>
    </w:p>
    <w:p w14:paraId="2F0076CF" w14:textId="77777777" w:rsidR="008F7DE8" w:rsidRPr="008F7DE8" w:rsidRDefault="008F7DE8" w:rsidP="008F7DE8">
      <w:pPr>
        <w:pStyle w:val="SubmissionNormal"/>
        <w:tabs>
          <w:tab w:val="clear" w:pos="720"/>
        </w:tabs>
        <w:ind w:hanging="720"/>
      </w:pPr>
      <w:r>
        <w:t xml:space="preserve">This section of the submission considers a number of ways in which the Bill seeks to increase the power of the </w:t>
      </w:r>
      <w:r w:rsidR="00DE0C44">
        <w:t>Minister for Immigration and Border Protection (Minister)</w:t>
      </w:r>
      <w:r w:rsidR="00DE0C44">
        <w:rPr>
          <w:rStyle w:val="EndnoteReference"/>
        </w:rPr>
        <w:endnoteReference w:id="53"/>
      </w:r>
      <w:r w:rsidR="00DE0C44">
        <w:t xml:space="preserve"> </w:t>
      </w:r>
      <w:r>
        <w:t xml:space="preserve">personally </w:t>
      </w:r>
      <w:r w:rsidR="00255D05">
        <w:t xml:space="preserve">to </w:t>
      </w:r>
      <w:r>
        <w:t xml:space="preserve">decide whether someone should be a citizen, and to reduce the ability of the Administrative Appeals Tribunal </w:t>
      </w:r>
      <w:r w:rsidR="004D7618">
        <w:t xml:space="preserve">(AAT) </w:t>
      </w:r>
      <w:r>
        <w:t>to provide independent overs</w:t>
      </w:r>
      <w:r w:rsidR="00255D05">
        <w:t>ight of administrative decision-</w:t>
      </w:r>
      <w:r>
        <w:t>making.</w:t>
      </w:r>
    </w:p>
    <w:p w14:paraId="3FDAA3A3" w14:textId="77777777" w:rsidR="00836FE1" w:rsidRPr="00C34C57" w:rsidRDefault="006064D7" w:rsidP="00FD45F2">
      <w:pPr>
        <w:pStyle w:val="Heading2"/>
      </w:pPr>
      <w:bookmarkStart w:id="23" w:name="_Toc488410882"/>
      <w:r>
        <w:lastRenderedPageBreak/>
        <w:t xml:space="preserve">Minister to </w:t>
      </w:r>
      <w:r w:rsidR="00D1480B">
        <w:t>have</w:t>
      </w:r>
      <w:r>
        <w:t xml:space="preserve"> power to overrule Administrative Appeals Tribunal</w:t>
      </w:r>
      <w:bookmarkEnd w:id="23"/>
      <w:r w:rsidR="00537F36">
        <w:t xml:space="preserve"> </w:t>
      </w:r>
    </w:p>
    <w:p w14:paraId="41C48625" w14:textId="77777777" w:rsidR="008F7DE8" w:rsidRPr="00F1770A" w:rsidRDefault="00F1770A" w:rsidP="00F1770A">
      <w:pPr>
        <w:pStyle w:val="Heading3"/>
        <w:rPr>
          <w:sz w:val="28"/>
        </w:rPr>
      </w:pPr>
      <w:bookmarkStart w:id="24" w:name="_Toc488410883"/>
      <w:r w:rsidRPr="00F1770A">
        <w:rPr>
          <w:sz w:val="28"/>
        </w:rPr>
        <w:t>Australia’s system of merits review</w:t>
      </w:r>
      <w:bookmarkEnd w:id="24"/>
    </w:p>
    <w:p w14:paraId="2B5B22CB" w14:textId="77777777" w:rsidR="00F1770A" w:rsidRDefault="00CD79B8" w:rsidP="00F1770A">
      <w:pPr>
        <w:pStyle w:val="SubmissionNormal"/>
        <w:tabs>
          <w:tab w:val="clear" w:pos="720"/>
        </w:tabs>
        <w:ind w:hanging="720"/>
      </w:pPr>
      <w:r>
        <w:t xml:space="preserve">For the past 40 years, Australia has a strong and </w:t>
      </w:r>
      <w:r w:rsidR="00244FE1">
        <w:t>robust</w:t>
      </w:r>
      <w:r>
        <w:t xml:space="preserve"> system for seeking review of decision making by government.</w:t>
      </w:r>
      <w:r w:rsidR="004D7618">
        <w:t xml:space="preserve">  This system seeks to ensure that administrative decision-making is principled and consistent.</w:t>
      </w:r>
    </w:p>
    <w:p w14:paraId="6252880E" w14:textId="77777777" w:rsidR="009D38DF" w:rsidRDefault="004D7618" w:rsidP="001A12C5">
      <w:pPr>
        <w:pStyle w:val="SubmissionNormal"/>
        <w:tabs>
          <w:tab w:val="clear" w:pos="720"/>
        </w:tabs>
        <w:spacing w:after="120"/>
        <w:ind w:hanging="720"/>
      </w:pPr>
      <w:r>
        <w:t xml:space="preserve">A wide range of government decisions </w:t>
      </w:r>
      <w:r w:rsidR="009D38DF">
        <w:t>is</w:t>
      </w:r>
      <w:r>
        <w:t xml:space="preserve"> subject to merits review by independent tribunals.  Merits review </w:t>
      </w:r>
      <w:r w:rsidR="009D38DF">
        <w:t>is a process by which a person or body:</w:t>
      </w:r>
    </w:p>
    <w:p w14:paraId="133A77C7" w14:textId="77777777" w:rsidR="009D38DF" w:rsidRDefault="009D38DF" w:rsidP="009D38DF">
      <w:pPr>
        <w:pStyle w:val="SubmissionNormal"/>
        <w:numPr>
          <w:ilvl w:val="1"/>
          <w:numId w:val="15"/>
        </w:numPr>
      </w:pPr>
      <w:r>
        <w:t>other than the primary decision maker</w:t>
      </w:r>
    </w:p>
    <w:p w14:paraId="4511B5FB" w14:textId="77777777" w:rsidR="009D38DF" w:rsidRDefault="009D38DF" w:rsidP="009D38DF">
      <w:pPr>
        <w:pStyle w:val="SubmissionNormal"/>
        <w:numPr>
          <w:ilvl w:val="1"/>
          <w:numId w:val="15"/>
        </w:numPr>
      </w:pPr>
      <w:r>
        <w:t>reconsiders the facts, law and policy aspects of the original decision; and</w:t>
      </w:r>
    </w:p>
    <w:p w14:paraId="537F29DC" w14:textId="77777777" w:rsidR="009D38DF" w:rsidRDefault="009D38DF" w:rsidP="009D38DF">
      <w:pPr>
        <w:pStyle w:val="SubmissionNormal"/>
        <w:numPr>
          <w:ilvl w:val="1"/>
          <w:numId w:val="15"/>
        </w:numPr>
      </w:pPr>
      <w:r>
        <w:t>determines what is the correct and preferable decision.</w:t>
      </w:r>
    </w:p>
    <w:p w14:paraId="5075C84B" w14:textId="77777777" w:rsidR="009D38DF" w:rsidRDefault="009D38DF" w:rsidP="001A12C5">
      <w:pPr>
        <w:pStyle w:val="SubmissionNormal"/>
        <w:tabs>
          <w:tab w:val="clear" w:pos="720"/>
        </w:tabs>
        <w:spacing w:after="120"/>
        <w:ind w:hanging="720"/>
      </w:pPr>
      <w:r>
        <w:t xml:space="preserve">This process is often described as ‘stepping into the shoes’ of the primary decision maker. The starting point is that an administrative decision that is likely to affect the interests of a person should ordinarily be subject to merits review. </w:t>
      </w:r>
    </w:p>
    <w:p w14:paraId="5191CA40" w14:textId="260808CF" w:rsidR="00F1770A" w:rsidRDefault="00F1770A" w:rsidP="00F1770A">
      <w:pPr>
        <w:pStyle w:val="SubmissionNormal"/>
        <w:tabs>
          <w:tab w:val="clear" w:pos="720"/>
        </w:tabs>
        <w:ind w:hanging="720"/>
      </w:pPr>
      <w:r>
        <w:t>The Adm</w:t>
      </w:r>
      <w:r w:rsidR="004D7618">
        <w:t>inistrative Review Council noted</w:t>
      </w:r>
      <w:r>
        <w:t xml:space="preserve"> that ‘review tribunals make a strong contribution to openness and accountability of government by providing persons affected by government decisions with a fair and open process for testing those decisions’.</w:t>
      </w:r>
      <w:r>
        <w:rPr>
          <w:rStyle w:val="EndnoteReference"/>
        </w:rPr>
        <w:endnoteReference w:id="54"/>
      </w:r>
      <w:r w:rsidR="0034039B">
        <w:t xml:space="preserve">  The former Chief Justice of the High Court described merits review as ‘in a way more important than judicial review because it can offer a complete answer, not available through the courts, to a person affected by a decision’.</w:t>
      </w:r>
      <w:r w:rsidR="00062FF6">
        <w:rPr>
          <w:rStyle w:val="EndnoteReference"/>
        </w:rPr>
        <w:endnoteReference w:id="55"/>
      </w:r>
    </w:p>
    <w:p w14:paraId="6108CD65" w14:textId="77777777" w:rsidR="00F1770A" w:rsidRDefault="00F1770A" w:rsidP="00F1770A">
      <w:pPr>
        <w:pStyle w:val="SubmissionNormal"/>
        <w:tabs>
          <w:tab w:val="clear" w:pos="720"/>
        </w:tabs>
        <w:ind w:hanging="720"/>
      </w:pPr>
      <w:r>
        <w:t>The overall objective of the merits review system is to ensure that all administrative decisions of government are correct and preferable.</w:t>
      </w:r>
      <w:r>
        <w:rPr>
          <w:rStyle w:val="EndnoteReference"/>
        </w:rPr>
        <w:endnoteReference w:id="56"/>
      </w:r>
      <w:r>
        <w:t xml:space="preserve"> A ‘correct’ decision is one made according to law. The ‘preferable’ decision is the best decision that could have been made on the basis of the relevant facts.</w:t>
      </w:r>
      <w:r>
        <w:rPr>
          <w:rStyle w:val="EndnoteReference"/>
        </w:rPr>
        <w:endnoteReference w:id="57"/>
      </w:r>
    </w:p>
    <w:p w14:paraId="29BC74DC" w14:textId="77777777" w:rsidR="00F1770A" w:rsidRDefault="00F1770A" w:rsidP="00F1770A">
      <w:pPr>
        <w:pStyle w:val="SubmissionNormal"/>
        <w:tabs>
          <w:tab w:val="clear" w:pos="720"/>
        </w:tabs>
        <w:ind w:hanging="720"/>
      </w:pPr>
      <w:r>
        <w:t xml:space="preserve">If there are factual errors made by a primary decision maker, merits review provides an opportunity to correct these errors. </w:t>
      </w:r>
      <w:r w:rsidR="00D601BC">
        <w:t xml:space="preserve"> Typically, a review tribunal may also take into account </w:t>
      </w:r>
      <w:r>
        <w:t xml:space="preserve">new information that was not before the original decision maker and that is relevant to consider. </w:t>
      </w:r>
      <w:r w:rsidR="00D601BC">
        <w:t xml:space="preserve"> </w:t>
      </w:r>
      <w:r>
        <w:t>Tribunals tend to deal with a lower volume of decisions than primary decision makers and can therefore devote more time and resources to the consideration of individual cases. This gives them a greater prospect of coming to the best possible (preferable) decision.</w:t>
      </w:r>
      <w:r>
        <w:rPr>
          <w:rStyle w:val="EndnoteReference"/>
        </w:rPr>
        <w:endnoteReference w:id="58"/>
      </w:r>
    </w:p>
    <w:p w14:paraId="3DDBD53E" w14:textId="77777777" w:rsidR="003475F6" w:rsidRDefault="00D601BC" w:rsidP="00F1770A">
      <w:pPr>
        <w:pStyle w:val="SubmissionNormal"/>
        <w:tabs>
          <w:tab w:val="clear" w:pos="720"/>
        </w:tabs>
        <w:ind w:hanging="720"/>
      </w:pPr>
      <w:r>
        <w:t>The usual stages available in review of ad</w:t>
      </w:r>
      <w:r w:rsidR="00145685">
        <w:t>ministrative decisions involve</w:t>
      </w:r>
      <w:r>
        <w:t>:</w:t>
      </w:r>
    </w:p>
    <w:p w14:paraId="359083A4" w14:textId="77777777" w:rsidR="00D601BC" w:rsidRDefault="00D601BC" w:rsidP="00D601BC">
      <w:pPr>
        <w:pStyle w:val="SubmissionNormal"/>
        <w:numPr>
          <w:ilvl w:val="1"/>
          <w:numId w:val="15"/>
        </w:numPr>
      </w:pPr>
      <w:r>
        <w:t>an original decision, for example by a Minister, a delegate of a Minister, or another public offici</w:t>
      </w:r>
      <w:r w:rsidR="00145685">
        <w:t>al with power to make decisions</w:t>
      </w:r>
    </w:p>
    <w:p w14:paraId="0416F56F" w14:textId="77777777" w:rsidR="00D601BC" w:rsidRDefault="00D601BC" w:rsidP="00D601BC">
      <w:pPr>
        <w:pStyle w:val="SubmissionNormal"/>
        <w:numPr>
          <w:ilvl w:val="1"/>
          <w:numId w:val="15"/>
        </w:numPr>
      </w:pPr>
      <w:r>
        <w:t>merits review of that decision by an independent tribunal</w:t>
      </w:r>
    </w:p>
    <w:p w14:paraId="7FD26868" w14:textId="77777777" w:rsidR="00D601BC" w:rsidRDefault="00D601BC" w:rsidP="00D601BC">
      <w:pPr>
        <w:pStyle w:val="SubmissionNormal"/>
        <w:numPr>
          <w:ilvl w:val="1"/>
          <w:numId w:val="15"/>
        </w:numPr>
      </w:pPr>
      <w:r>
        <w:lastRenderedPageBreak/>
        <w:t>judicial review, if it is alleged that there were legal errors in the decision of the tribunal.</w:t>
      </w:r>
    </w:p>
    <w:p w14:paraId="45FC49C1" w14:textId="77777777" w:rsidR="00787239" w:rsidRPr="00244FE1" w:rsidRDefault="00787239" w:rsidP="00244FE1">
      <w:pPr>
        <w:pStyle w:val="Heading3"/>
        <w:rPr>
          <w:sz w:val="28"/>
        </w:rPr>
      </w:pPr>
      <w:bookmarkStart w:id="25" w:name="_Toc488410884"/>
      <w:r w:rsidRPr="00244FE1">
        <w:rPr>
          <w:sz w:val="28"/>
        </w:rPr>
        <w:t xml:space="preserve">Right to </w:t>
      </w:r>
      <w:r w:rsidR="00244FE1">
        <w:rPr>
          <w:sz w:val="28"/>
        </w:rPr>
        <w:t xml:space="preserve">a </w:t>
      </w:r>
      <w:r w:rsidRPr="00244FE1">
        <w:rPr>
          <w:sz w:val="28"/>
        </w:rPr>
        <w:t xml:space="preserve">fair and public hearing </w:t>
      </w:r>
      <w:r w:rsidR="00341096">
        <w:rPr>
          <w:sz w:val="28"/>
        </w:rPr>
        <w:t>by an independent and impartial tribunal</w:t>
      </w:r>
      <w:bookmarkEnd w:id="25"/>
    </w:p>
    <w:p w14:paraId="7AA64135" w14:textId="77777777" w:rsidR="00787239" w:rsidRDefault="00787239" w:rsidP="00787239">
      <w:pPr>
        <w:pStyle w:val="SubmissionNormal"/>
        <w:tabs>
          <w:tab w:val="clear" w:pos="720"/>
        </w:tabs>
        <w:spacing w:after="120"/>
        <w:ind w:hanging="720"/>
      </w:pPr>
      <w:r>
        <w:t xml:space="preserve">Article 14 of the </w:t>
      </w:r>
      <w:r w:rsidRPr="002114C7">
        <w:rPr>
          <w:i/>
        </w:rPr>
        <w:t>International Covenant on Civil and Political Rights</w:t>
      </w:r>
      <w:r>
        <w:t xml:space="preserve"> (ICCPR)</w:t>
      </w:r>
      <w:r>
        <w:rPr>
          <w:rStyle w:val="EndnoteReference"/>
        </w:rPr>
        <w:endnoteReference w:id="59"/>
      </w:r>
      <w:r>
        <w:t xml:space="preserve"> contains due process guarantees in relation to legal proceedings. It relevantly provides:</w:t>
      </w:r>
    </w:p>
    <w:p w14:paraId="57209520" w14:textId="77777777" w:rsidR="00787239" w:rsidRDefault="00787239" w:rsidP="00787239">
      <w:pPr>
        <w:pStyle w:val="SubmissionNormal"/>
        <w:numPr>
          <w:ilvl w:val="0"/>
          <w:numId w:val="0"/>
        </w:numPr>
        <w:ind w:left="1440"/>
        <w:rPr>
          <w:sz w:val="22"/>
        </w:rPr>
      </w:pPr>
      <w:r w:rsidRPr="00D648A2">
        <w:rPr>
          <w:sz w:val="22"/>
        </w:rPr>
        <w:t xml:space="preserve">All persons shall be equal before the courts and tribunals. In the determination of </w:t>
      </w:r>
      <w:r>
        <w:rPr>
          <w:sz w:val="22"/>
        </w:rPr>
        <w:t xml:space="preserve">… </w:t>
      </w:r>
      <w:r w:rsidRPr="00D648A2">
        <w:rPr>
          <w:sz w:val="22"/>
        </w:rPr>
        <w:t xml:space="preserve">his rights and obligations in a suit at law, everyone shall be entitled to a fair and public hearing by a competent, independent and impartial tribunal established by law. </w:t>
      </w:r>
    </w:p>
    <w:p w14:paraId="1805C4AB" w14:textId="77777777" w:rsidR="00787239" w:rsidRDefault="00787239" w:rsidP="00787239">
      <w:pPr>
        <w:pStyle w:val="SubmissionNormal"/>
        <w:tabs>
          <w:tab w:val="clear" w:pos="720"/>
        </w:tabs>
        <w:ind w:hanging="720"/>
      </w:pPr>
      <w:r>
        <w:t>The concept of ‘suit at law’ encompasses judicial procedures aimed at determining civil rights and obligations as well as equivalent notions in the area of administrative law.</w:t>
      </w:r>
      <w:r w:rsidRPr="00983F00">
        <w:rPr>
          <w:sz w:val="20"/>
          <w:vertAlign w:val="superscript"/>
        </w:rPr>
        <w:endnoteReference w:id="60"/>
      </w:r>
      <w:r>
        <w:t xml:space="preserve"> It includes procedures for determining applications for citizenship.</w:t>
      </w:r>
    </w:p>
    <w:p w14:paraId="30569802" w14:textId="77777777" w:rsidR="00787239" w:rsidRDefault="00787239" w:rsidP="00787239">
      <w:pPr>
        <w:pStyle w:val="SubmissionNormal"/>
        <w:tabs>
          <w:tab w:val="clear" w:pos="720"/>
        </w:tabs>
        <w:ind w:hanging="720"/>
      </w:pPr>
      <w:r>
        <w:t xml:space="preserve">The current process of review by the AAT satisfies the criteria of review of administrative decisions by a competent, independent and impartial tribunal. </w:t>
      </w:r>
    </w:p>
    <w:p w14:paraId="05124DEF" w14:textId="77777777" w:rsidR="00787239" w:rsidRDefault="00787239" w:rsidP="00787239">
      <w:pPr>
        <w:pStyle w:val="SubmissionNormal"/>
        <w:tabs>
          <w:tab w:val="clear" w:pos="720"/>
        </w:tabs>
        <w:ind w:hanging="720"/>
      </w:pPr>
      <w:r>
        <w:t>The right of access to courts and tribunals and equality before them, is not limited to citizens. The United Nations Human Rights Committee has said that it must also be available to all individuals, regardless of nationality or statelessness who find themselves in the territory of a state.</w:t>
      </w:r>
      <w:r w:rsidRPr="00983F00">
        <w:rPr>
          <w:sz w:val="20"/>
          <w:vertAlign w:val="superscript"/>
        </w:rPr>
        <w:endnoteReference w:id="61"/>
      </w:r>
      <w:r>
        <w:t xml:space="preserve"> </w:t>
      </w:r>
    </w:p>
    <w:p w14:paraId="2A448F0F" w14:textId="77777777" w:rsidR="00F1770A" w:rsidRPr="00244FE1" w:rsidRDefault="001A12C5" w:rsidP="00244FE1">
      <w:pPr>
        <w:pStyle w:val="Heading3"/>
        <w:rPr>
          <w:sz w:val="28"/>
        </w:rPr>
      </w:pPr>
      <w:bookmarkStart w:id="26" w:name="_Toc488410885"/>
      <w:r>
        <w:rPr>
          <w:sz w:val="28"/>
        </w:rPr>
        <w:t xml:space="preserve">Minister to be </w:t>
      </w:r>
      <w:r w:rsidR="00341096">
        <w:rPr>
          <w:sz w:val="28"/>
        </w:rPr>
        <w:t>able</w:t>
      </w:r>
      <w:r>
        <w:rPr>
          <w:sz w:val="28"/>
        </w:rPr>
        <w:t xml:space="preserve"> to set aside certain AAT </w:t>
      </w:r>
      <w:r w:rsidR="00D74175">
        <w:rPr>
          <w:sz w:val="28"/>
        </w:rPr>
        <w:t>decisions</w:t>
      </w:r>
      <w:bookmarkEnd w:id="26"/>
    </w:p>
    <w:p w14:paraId="233105FF" w14:textId="77777777" w:rsidR="005B31E6" w:rsidRDefault="005E256C" w:rsidP="00C34C57">
      <w:pPr>
        <w:pStyle w:val="SubmissionNormal"/>
        <w:tabs>
          <w:tab w:val="clear" w:pos="720"/>
        </w:tabs>
        <w:ind w:hanging="720"/>
      </w:pPr>
      <w:r>
        <w:t xml:space="preserve">The </w:t>
      </w:r>
      <w:r w:rsidR="00DE0C44" w:rsidRPr="0009756C">
        <w:rPr>
          <w:i/>
        </w:rPr>
        <w:t>Australian Citizenship Act 2007</w:t>
      </w:r>
      <w:r w:rsidR="00DE0C44">
        <w:t xml:space="preserve"> (Cth) (Australian Citizenship Act) </w:t>
      </w:r>
      <w:r>
        <w:t xml:space="preserve">contains a system for independent merits review of decisions made by </w:t>
      </w:r>
      <w:r w:rsidR="008C5529">
        <w:t xml:space="preserve">either </w:t>
      </w:r>
      <w:r>
        <w:t xml:space="preserve">the Minister </w:t>
      </w:r>
      <w:r w:rsidR="005F64ED">
        <w:t>or a delegate of the Minister</w:t>
      </w:r>
      <w:r>
        <w:t xml:space="preserve">. </w:t>
      </w:r>
    </w:p>
    <w:p w14:paraId="2ABFCF6B" w14:textId="77777777" w:rsidR="005E256C" w:rsidRDefault="005E256C" w:rsidP="00C34C57">
      <w:pPr>
        <w:pStyle w:val="SubmissionNormal"/>
        <w:tabs>
          <w:tab w:val="clear" w:pos="720"/>
        </w:tabs>
        <w:ind w:hanging="720"/>
      </w:pPr>
      <w:r>
        <w:t xml:space="preserve">Merits review is conducted by the AAT. Among other things, the AAT may review decisions to refuse </w:t>
      </w:r>
      <w:r w:rsidR="005F64ED">
        <w:t>to approve a person becoming an Australian citizen.</w:t>
      </w:r>
      <w:r w:rsidR="00224B25">
        <w:rPr>
          <w:rStyle w:val="EndnoteReference"/>
        </w:rPr>
        <w:endnoteReference w:id="62"/>
      </w:r>
    </w:p>
    <w:p w14:paraId="1B85162A" w14:textId="77777777" w:rsidR="00D74175" w:rsidRDefault="00D74175" w:rsidP="00C34C57">
      <w:pPr>
        <w:pStyle w:val="SubmissionNormal"/>
        <w:tabs>
          <w:tab w:val="clear" w:pos="720"/>
        </w:tabs>
        <w:ind w:hanging="720"/>
      </w:pPr>
      <w:r>
        <w:t xml:space="preserve">At present, if the </w:t>
      </w:r>
      <w:r w:rsidR="00776865">
        <w:t xml:space="preserve">Minister </w:t>
      </w:r>
      <w:r>
        <w:t xml:space="preserve">considers that the AAT’s decision is legally flawed, the </w:t>
      </w:r>
      <w:r w:rsidR="00776865">
        <w:t xml:space="preserve">Minister </w:t>
      </w:r>
      <w:r>
        <w:t xml:space="preserve">may seek judicial review of that decision. </w:t>
      </w:r>
    </w:p>
    <w:p w14:paraId="5BAFF803" w14:textId="77777777" w:rsidR="00DD4C40" w:rsidRDefault="008D0F25" w:rsidP="00C34C57">
      <w:pPr>
        <w:pStyle w:val="SubmissionNormal"/>
        <w:tabs>
          <w:tab w:val="clear" w:pos="720"/>
        </w:tabs>
        <w:ind w:hanging="720"/>
      </w:pPr>
      <w:r>
        <w:t xml:space="preserve">Proposed s 52A </w:t>
      </w:r>
      <w:r w:rsidR="000427EF">
        <w:t xml:space="preserve">of the Bill </w:t>
      </w:r>
      <w:r>
        <w:t xml:space="preserve">would </w:t>
      </w:r>
      <w:r w:rsidR="000427EF">
        <w:t xml:space="preserve">change the usual process followed in the review of administrative decision making by </w:t>
      </w:r>
      <w:r>
        <w:t>allow</w:t>
      </w:r>
      <w:r w:rsidR="000427EF">
        <w:t>ing</w:t>
      </w:r>
      <w:r>
        <w:t xml:space="preserve"> the Minister to </w:t>
      </w:r>
      <w:r w:rsidR="00785324">
        <w:t>set aside</w:t>
      </w:r>
      <w:r>
        <w:t xml:space="preserve"> </w:t>
      </w:r>
      <w:r w:rsidR="000C77EA">
        <w:t xml:space="preserve">certain </w:t>
      </w:r>
      <w:r>
        <w:t xml:space="preserve">decisions </w:t>
      </w:r>
      <w:r w:rsidR="000427EF">
        <w:t xml:space="preserve">of the </w:t>
      </w:r>
      <w:r w:rsidR="00E4578A">
        <w:t>AAT.</w:t>
      </w:r>
      <w:r w:rsidR="0091270C">
        <w:rPr>
          <w:rStyle w:val="EndnoteReference"/>
        </w:rPr>
        <w:endnoteReference w:id="63"/>
      </w:r>
      <w:r w:rsidR="00E4578A">
        <w:t xml:space="preserve"> </w:t>
      </w:r>
      <w:r w:rsidR="000427EF">
        <w:t>In particular, i</w:t>
      </w:r>
      <w:r w:rsidR="00E4578A">
        <w:t xml:space="preserve">f a </w:t>
      </w:r>
      <w:r w:rsidR="008C5529">
        <w:t>delegate of the Minister refuses</w:t>
      </w:r>
      <w:r w:rsidR="00E4578A">
        <w:t xml:space="preserve"> to approve a person becoming an Australian citizen because the delegate </w:t>
      </w:r>
      <w:r w:rsidR="008C5529">
        <w:t xml:space="preserve">is </w:t>
      </w:r>
      <w:r w:rsidR="00E4578A">
        <w:t>not satisfied that t</w:t>
      </w:r>
      <w:r w:rsidR="000C77EA">
        <w:t>he person was of good character</w:t>
      </w:r>
      <w:r w:rsidR="00E4578A">
        <w:t xml:space="preserve"> or </w:t>
      </w:r>
      <w:r w:rsidR="008C5529">
        <w:t xml:space="preserve">is </w:t>
      </w:r>
      <w:r w:rsidR="00E4578A">
        <w:t>not satisfied of the identity of the person, and the AAT sets that decision</w:t>
      </w:r>
      <w:r w:rsidR="0091270C">
        <w:t xml:space="preserve"> aside, then the Minister would be able to set aside the AAT’s decision</w:t>
      </w:r>
      <w:r w:rsidR="00F67B23">
        <w:t xml:space="preserve"> and </w:t>
      </w:r>
      <w:r w:rsidR="00440E8D">
        <w:t>make a</w:t>
      </w:r>
      <w:r w:rsidR="00F67B23">
        <w:t xml:space="preserve"> decision </w:t>
      </w:r>
      <w:r w:rsidR="00440E8D">
        <w:t xml:space="preserve">in accordance with the original decision by </w:t>
      </w:r>
      <w:r w:rsidR="00F67B23">
        <w:t>the Minister’s delegate</w:t>
      </w:r>
      <w:r w:rsidR="0091270C">
        <w:t xml:space="preserve">. </w:t>
      </w:r>
    </w:p>
    <w:p w14:paraId="08CA721F" w14:textId="62836D39" w:rsidR="005F64ED" w:rsidRDefault="0091270C" w:rsidP="00C34C57">
      <w:pPr>
        <w:pStyle w:val="SubmissionNormal"/>
        <w:tabs>
          <w:tab w:val="clear" w:pos="720"/>
        </w:tabs>
        <w:ind w:hanging="720"/>
      </w:pPr>
      <w:r>
        <w:t>The only criteri</w:t>
      </w:r>
      <w:r w:rsidR="00F23D27">
        <w:t>on</w:t>
      </w:r>
      <w:r>
        <w:t xml:space="preserve"> required to be met is that the Minister is satisfied that it is in the public interest to set aside the AAT’s decision. </w:t>
      </w:r>
      <w:r w:rsidR="00DD4C40">
        <w:t xml:space="preserve">If the Minister sets aside a </w:t>
      </w:r>
      <w:r w:rsidR="00DD4C40">
        <w:lastRenderedPageBreak/>
        <w:t xml:space="preserve">decision of the AAT, the Minister would be required to table in Parliament a statement that </w:t>
      </w:r>
      <w:r w:rsidR="006735DE">
        <w:t>includes</w:t>
      </w:r>
      <w:r w:rsidR="00DD4C40">
        <w:t xml:space="preserve"> the reasons for </w:t>
      </w:r>
      <w:r w:rsidR="006735DE">
        <w:t xml:space="preserve">setting aside the AAT’s </w:t>
      </w:r>
      <w:r w:rsidR="00DD4C40">
        <w:t>decision</w:t>
      </w:r>
      <w:r w:rsidR="006735DE">
        <w:t>.</w:t>
      </w:r>
      <w:r w:rsidR="006735DE">
        <w:rPr>
          <w:rStyle w:val="EndnoteReference"/>
        </w:rPr>
        <w:endnoteReference w:id="64"/>
      </w:r>
    </w:p>
    <w:p w14:paraId="5988B95F" w14:textId="6BD53388" w:rsidR="0091270C" w:rsidRDefault="0091270C" w:rsidP="00C34C57">
      <w:pPr>
        <w:pStyle w:val="SubmissionNormal"/>
        <w:tabs>
          <w:tab w:val="clear" w:pos="720"/>
        </w:tabs>
        <w:ind w:hanging="720"/>
      </w:pPr>
      <w:r>
        <w:t xml:space="preserve">The proposed amendment significantly reduces the </w:t>
      </w:r>
      <w:r w:rsidR="006458F2">
        <w:t xml:space="preserve">scope </w:t>
      </w:r>
      <w:r>
        <w:t>of independent merits review</w:t>
      </w:r>
      <w:r w:rsidR="000F6175">
        <w:t>. The aim of an independent merits review tribunal is to provide fo</w:t>
      </w:r>
      <w:r w:rsidR="006372EB">
        <w:t>r a check on executive decision-</w:t>
      </w:r>
      <w:r w:rsidR="000F6175">
        <w:t xml:space="preserve">making. These amendments provide the opposite: an executive check on independent tribunal decisions. </w:t>
      </w:r>
    </w:p>
    <w:p w14:paraId="6D3C4E7F" w14:textId="77777777" w:rsidR="003974DD" w:rsidRDefault="003974DD" w:rsidP="00C34C57">
      <w:pPr>
        <w:pStyle w:val="SubmissionNormal"/>
        <w:tabs>
          <w:tab w:val="clear" w:pos="720"/>
        </w:tabs>
        <w:ind w:hanging="720"/>
      </w:pPr>
      <w:r>
        <w:t>As the Senate’s Scrutiny of Bills Committee has said in relation to these proposed amendments:</w:t>
      </w:r>
    </w:p>
    <w:p w14:paraId="3D9C47F0" w14:textId="77777777" w:rsidR="003974DD" w:rsidRPr="003974DD" w:rsidRDefault="003974DD" w:rsidP="003974DD">
      <w:pPr>
        <w:pStyle w:val="SubmissionNormal"/>
        <w:numPr>
          <w:ilvl w:val="0"/>
          <w:numId w:val="0"/>
        </w:numPr>
        <w:ind w:left="1440"/>
        <w:rPr>
          <w:sz w:val="22"/>
        </w:rPr>
      </w:pPr>
      <w:r w:rsidRPr="003974DD">
        <w:rPr>
          <w:sz w:val="22"/>
        </w:rPr>
        <w:t>Any system of independent merits review runs the risk that a tribunal may reverse a decision preferred by the original decision-maker or the Minister.  However, overriding a decision by an independent decision-maker poses a risk to community perceptions about the availability of independent merits review and the risk that individual cases may be unduly influenced by political considerations.</w:t>
      </w:r>
      <w:r>
        <w:rPr>
          <w:rStyle w:val="EndnoteReference"/>
        </w:rPr>
        <w:endnoteReference w:id="65"/>
      </w:r>
    </w:p>
    <w:p w14:paraId="2F8087F2" w14:textId="77777777" w:rsidR="00BE6884" w:rsidRDefault="00BE6884" w:rsidP="00C34C57">
      <w:pPr>
        <w:pStyle w:val="SubmissionNormal"/>
        <w:tabs>
          <w:tab w:val="clear" w:pos="720"/>
        </w:tabs>
        <w:ind w:hanging="720"/>
      </w:pPr>
      <w:r>
        <w:t xml:space="preserve">The Government suggests that this change will have no impact on due process rights under article 14 of the ICCPR because if a Minister </w:t>
      </w:r>
      <w:r w:rsidR="00440E8D">
        <w:t>sets aside a decision of</w:t>
      </w:r>
      <w:r>
        <w:t xml:space="preserve"> the AAT and refuses to approve citizenship, the person ‘will still be entitled to seek judicial review of the Minister’s decisions under s 75(v)</w:t>
      </w:r>
      <w:r w:rsidR="005141CF">
        <w:t xml:space="preserve"> of the Constitution and s 39B of the </w:t>
      </w:r>
      <w:r w:rsidR="005141CF" w:rsidRPr="005141CF">
        <w:rPr>
          <w:i/>
        </w:rPr>
        <w:t>Judiciary Act 1903</w:t>
      </w:r>
      <w:r w:rsidR="005141CF">
        <w:t>’.</w:t>
      </w:r>
      <w:r w:rsidR="004607E4">
        <w:rPr>
          <w:rStyle w:val="EndnoteReference"/>
        </w:rPr>
        <w:endnoteReference w:id="66"/>
      </w:r>
      <w:r w:rsidR="005141CF">
        <w:t xml:space="preserve"> This suggestion ignores </w:t>
      </w:r>
      <w:r w:rsidR="00570F26">
        <w:t xml:space="preserve">a number of </w:t>
      </w:r>
      <w:r w:rsidR="004607E4">
        <w:t>points</w:t>
      </w:r>
      <w:r w:rsidR="005141CF">
        <w:t>:</w:t>
      </w:r>
    </w:p>
    <w:p w14:paraId="70EC2CDF" w14:textId="77777777" w:rsidR="00570F26" w:rsidRDefault="00570F26" w:rsidP="005141CF">
      <w:pPr>
        <w:pStyle w:val="SubmissionNormal"/>
        <w:numPr>
          <w:ilvl w:val="1"/>
          <w:numId w:val="15"/>
        </w:numPr>
      </w:pPr>
      <w:r>
        <w:t>the applicant has already been successful at the AAT, and these amendments effectively require the applicant to win twice: once at the AAT and then again on judicial review;</w:t>
      </w:r>
    </w:p>
    <w:p w14:paraId="2F825EAC" w14:textId="77777777" w:rsidR="005141CF" w:rsidRDefault="005141CF" w:rsidP="005141CF">
      <w:pPr>
        <w:pStyle w:val="SubmissionNormal"/>
        <w:numPr>
          <w:ilvl w:val="1"/>
          <w:numId w:val="15"/>
        </w:numPr>
      </w:pPr>
      <w:r>
        <w:t>in any judicial review, a court will not be able to consider the merits of the application</w:t>
      </w:r>
      <w:r w:rsidR="00C55BE4">
        <w:t xml:space="preserve"> – that is, there will be no reassessment of the substantive question of whether the applicant was of ‘good character’;</w:t>
      </w:r>
    </w:p>
    <w:p w14:paraId="3776C979" w14:textId="77777777" w:rsidR="00C55BE4" w:rsidRDefault="00C55BE4" w:rsidP="005141CF">
      <w:pPr>
        <w:pStyle w:val="SubmissionNormal"/>
        <w:numPr>
          <w:ilvl w:val="1"/>
          <w:numId w:val="15"/>
        </w:numPr>
      </w:pPr>
      <w:r>
        <w:t>in any judicial review, a court will be limited to considering only whether the Minister made a jurisdictional error in overruling the AAT.</w:t>
      </w:r>
    </w:p>
    <w:p w14:paraId="631BEA64" w14:textId="7D88AA23" w:rsidR="00A0163D" w:rsidRDefault="00A0163D" w:rsidP="00C55BE4">
      <w:pPr>
        <w:pStyle w:val="SubmissionNormal"/>
        <w:tabs>
          <w:tab w:val="clear" w:pos="720"/>
        </w:tabs>
        <w:ind w:hanging="720"/>
      </w:pPr>
      <w:r>
        <w:t>The judicial review identified by the Government is the minimum level of judicial review required by the Constitution. It is the only type of judicial review that cannot be removed by statute</w:t>
      </w:r>
      <w:r w:rsidR="00F23D27">
        <w:t xml:space="preserve">. It is narrower in scope than that available under the </w:t>
      </w:r>
      <w:r w:rsidR="00F23D27">
        <w:rPr>
          <w:i/>
        </w:rPr>
        <w:t xml:space="preserve">Administrative Decisions (Judicial Review) Act 1977 </w:t>
      </w:r>
      <w:r w:rsidR="00F23D27">
        <w:t>(Cth) (ADJR Act) in respect of most f</w:t>
      </w:r>
      <w:r w:rsidR="006372EB">
        <w:t>orms of administrative decision-</w:t>
      </w:r>
      <w:r w:rsidR="00F23D27">
        <w:t>making</w:t>
      </w:r>
      <w:r>
        <w:t>.</w:t>
      </w:r>
      <w:r w:rsidR="00F23D27">
        <w:t xml:space="preserve"> In other words, certain legal errors that could be reviewed and corrected by the courts if the Minister’s decisions were amenable to judicial review under the ADJR Act cannot be addressed by the courts. Such errors, if made by the Minister, simply cannot be corrected.</w:t>
      </w:r>
    </w:p>
    <w:p w14:paraId="40FBEA73" w14:textId="77777777" w:rsidR="00666EF7" w:rsidRDefault="007C0AA1" w:rsidP="00C55BE4">
      <w:pPr>
        <w:pStyle w:val="SubmissionNormal"/>
        <w:tabs>
          <w:tab w:val="clear" w:pos="720"/>
        </w:tabs>
        <w:ind w:hanging="720"/>
      </w:pPr>
      <w:r>
        <w:t>It is incorrect to suggest</w:t>
      </w:r>
      <w:r w:rsidR="00C55BE4">
        <w:t xml:space="preserve"> that </w:t>
      </w:r>
      <w:r w:rsidR="00A0163D">
        <w:t xml:space="preserve">a </w:t>
      </w:r>
      <w:r w:rsidR="00257DF5">
        <w:t>limitation</w:t>
      </w:r>
      <w:r w:rsidR="00A0163D">
        <w:t xml:space="preserve"> of review rights to the minimum</w:t>
      </w:r>
      <w:r w:rsidR="0069651D">
        <w:t xml:space="preserve"> level of</w:t>
      </w:r>
      <w:r w:rsidR="00A0163D">
        <w:t xml:space="preserve"> review possible </w:t>
      </w:r>
      <w:r w:rsidR="00C55BE4">
        <w:t xml:space="preserve">will have no impact on a person’s rights under article 14 of the ICCPR. </w:t>
      </w:r>
      <w:r w:rsidR="000C77EA">
        <w:t xml:space="preserve">Because the Government assumes that there will be no impact, there is no attempt to justify the </w:t>
      </w:r>
      <w:r w:rsidR="00666EF7">
        <w:t>limitation of rights as being reasonable, necessary and proportionate to a legitimate object.</w:t>
      </w:r>
    </w:p>
    <w:p w14:paraId="1B5E1BBD" w14:textId="77777777" w:rsidR="00AC205F" w:rsidRDefault="00666EF7" w:rsidP="00EC49F4">
      <w:pPr>
        <w:pStyle w:val="SubmissionNormal"/>
        <w:tabs>
          <w:tab w:val="clear" w:pos="720"/>
        </w:tabs>
        <w:ind w:hanging="720"/>
      </w:pPr>
      <w:r>
        <w:lastRenderedPageBreak/>
        <w:t xml:space="preserve">The </w:t>
      </w:r>
      <w:r w:rsidR="00E04779">
        <w:t xml:space="preserve">primary </w:t>
      </w:r>
      <w:r w:rsidR="00DD789D">
        <w:t xml:space="preserve">rationale </w:t>
      </w:r>
      <w:r>
        <w:t xml:space="preserve">given in the </w:t>
      </w:r>
      <w:r w:rsidR="00570F26">
        <w:t>Explanatory Memorandum</w:t>
      </w:r>
      <w:r>
        <w:t xml:space="preserve"> for the proposed amendment is that </w:t>
      </w:r>
      <w:r w:rsidR="00524061">
        <w:t xml:space="preserve">since early 2011 </w:t>
      </w:r>
      <w:r>
        <w:t xml:space="preserve">the AAT has made </w:t>
      </w:r>
      <w:r w:rsidR="000624B6">
        <w:t xml:space="preserve">six </w:t>
      </w:r>
      <w:r>
        <w:t>decisions that the Government does not agree with.</w:t>
      </w:r>
      <w:r>
        <w:rPr>
          <w:rStyle w:val="EndnoteReference"/>
        </w:rPr>
        <w:endnoteReference w:id="67"/>
      </w:r>
      <w:r>
        <w:t xml:space="preserve"> </w:t>
      </w:r>
      <w:r w:rsidR="00DD789D">
        <w:t xml:space="preserve"> </w:t>
      </w:r>
      <w:r w:rsidR="00524061">
        <w:t xml:space="preserve">Over the period from </w:t>
      </w:r>
      <w:r w:rsidR="00B52FE1">
        <w:t>1 July</w:t>
      </w:r>
      <w:r w:rsidR="00524061">
        <w:t xml:space="preserve"> 2010 to 30 </w:t>
      </w:r>
      <w:r w:rsidR="00B52FE1">
        <w:t>June 2016</w:t>
      </w:r>
      <w:r w:rsidR="00524061">
        <w:t xml:space="preserve"> the AAT finalised 1,250 cases dealing with citizenship.</w:t>
      </w:r>
      <w:r w:rsidR="00524061">
        <w:rPr>
          <w:rStyle w:val="EndnoteReference"/>
        </w:rPr>
        <w:endnoteReference w:id="68"/>
      </w:r>
      <w:r w:rsidR="00524061">
        <w:t xml:space="preserve">  </w:t>
      </w:r>
      <w:r w:rsidR="00DD789D">
        <w:t>When the 2014 Bill was being considered, the department identified these six cases in an answer to a question taken on notice.</w:t>
      </w:r>
      <w:r w:rsidR="00DD789D">
        <w:rPr>
          <w:rStyle w:val="EndnoteReference"/>
        </w:rPr>
        <w:endnoteReference w:id="69"/>
      </w:r>
      <w:r w:rsidR="00776865">
        <w:t xml:space="preserve">  </w:t>
      </w:r>
      <w:r w:rsidR="00524061">
        <w:t>The</w:t>
      </w:r>
      <w:r w:rsidR="00E04779">
        <w:t xml:space="preserve"> cases involved people who had been previously convicted of criminal offences.</w:t>
      </w:r>
    </w:p>
    <w:p w14:paraId="045AF2F6" w14:textId="77777777" w:rsidR="008F41EA" w:rsidRDefault="008F41EA" w:rsidP="00135D1C">
      <w:pPr>
        <w:pStyle w:val="SubmissionNormal"/>
        <w:keepNext/>
        <w:tabs>
          <w:tab w:val="clear" w:pos="720"/>
        </w:tabs>
        <w:ind w:hanging="720"/>
      </w:pPr>
      <w:r>
        <w:t>As the Australian Citizenship Council has noted:</w:t>
      </w:r>
    </w:p>
    <w:p w14:paraId="30277DEB" w14:textId="77777777" w:rsidR="008F41EA" w:rsidRPr="008F41EA" w:rsidRDefault="008F41EA" w:rsidP="008F41EA">
      <w:pPr>
        <w:pStyle w:val="SubmissionNormal"/>
        <w:numPr>
          <w:ilvl w:val="0"/>
          <w:numId w:val="0"/>
        </w:numPr>
        <w:ind w:left="1440"/>
        <w:rPr>
          <w:sz w:val="22"/>
        </w:rPr>
      </w:pPr>
      <w:r w:rsidRPr="008F41EA">
        <w:rPr>
          <w:sz w:val="22"/>
        </w:rPr>
        <w:t>The fact that a person has a criminal record does not itself automatically preclude the grant of Citizenship.  Length of time since the offence, seriousness of the offence and the chance of recidivism are all matters that are taken into consideration.</w:t>
      </w:r>
      <w:r>
        <w:rPr>
          <w:rStyle w:val="EndnoteReference"/>
        </w:rPr>
        <w:endnoteReference w:id="70"/>
      </w:r>
    </w:p>
    <w:p w14:paraId="76165CD6" w14:textId="77777777" w:rsidR="00AC205F" w:rsidRDefault="008F41EA" w:rsidP="00C55BE4">
      <w:pPr>
        <w:pStyle w:val="SubmissionNormal"/>
        <w:tabs>
          <w:tab w:val="clear" w:pos="720"/>
        </w:tabs>
        <w:ind w:hanging="720"/>
      </w:pPr>
      <w:r>
        <w:t>A review of the six</w:t>
      </w:r>
      <w:r w:rsidR="00AC205F">
        <w:t xml:space="preserve"> cases </w:t>
      </w:r>
      <w:r>
        <w:t xml:space="preserve">identified by the Government </w:t>
      </w:r>
      <w:r w:rsidR="00AC205F">
        <w:t xml:space="preserve">indicates that, in addition to considering the </w:t>
      </w:r>
      <w:r w:rsidR="009109DA">
        <w:t xml:space="preserve">criminal conduct engaged in by the applicant, the AAT also took into account a range of other relevant factors including: the period of time since the offending conduct, whether the incident was an isolated one, whether the applicant has demonstrated remorse, whether the applicant has demonstrated that they have engaged in rehabilitation, </w:t>
      </w:r>
      <w:r w:rsidR="00B70088">
        <w:t>whether the applicant</w:t>
      </w:r>
      <w:r w:rsidR="009109DA">
        <w:t xml:space="preserve"> was suffering from a psychiatric illness at the time of the offending conduct</w:t>
      </w:r>
      <w:r w:rsidR="00B70088">
        <w:t xml:space="preserve"> that is now being treated</w:t>
      </w:r>
      <w:r w:rsidR="009109DA">
        <w:t xml:space="preserve">, and character references from reputable Australians. </w:t>
      </w:r>
    </w:p>
    <w:p w14:paraId="52F46DFC" w14:textId="51A1312B" w:rsidR="00DD789D" w:rsidRDefault="00AC205F" w:rsidP="00C55BE4">
      <w:pPr>
        <w:pStyle w:val="SubmissionNormal"/>
        <w:tabs>
          <w:tab w:val="clear" w:pos="720"/>
        </w:tabs>
        <w:ind w:hanging="720"/>
      </w:pPr>
      <w:r>
        <w:t>Significantly, i</w:t>
      </w:r>
      <w:r w:rsidR="00776865">
        <w:t xml:space="preserve">t appears that the Minister </w:t>
      </w:r>
      <w:r w:rsidR="008F25BB">
        <w:t xml:space="preserve">did not </w:t>
      </w:r>
      <w:r w:rsidR="00776865">
        <w:t>seek judicial review of the decision of the AAT</w:t>
      </w:r>
      <w:r w:rsidR="008F25BB">
        <w:t xml:space="preserve"> in any of these cases</w:t>
      </w:r>
      <w:r w:rsidR="00776865">
        <w:t xml:space="preserve">.  That is, although these are the instances that the Government has identified as being the most problematic decisions made by the AAT, no attempt was made </w:t>
      </w:r>
      <w:r w:rsidR="00F23D27">
        <w:t xml:space="preserve">by the Government </w:t>
      </w:r>
      <w:r w:rsidR="00776865">
        <w:t xml:space="preserve">to challenge those decisions using the </w:t>
      </w:r>
      <w:r w:rsidR="008F25BB">
        <w:t xml:space="preserve">currently </w:t>
      </w:r>
      <w:r w:rsidR="00776865">
        <w:t>available judicial review mechanism</w:t>
      </w:r>
      <w:r w:rsidR="00524061">
        <w:t>s</w:t>
      </w:r>
      <w:r w:rsidR="00776865">
        <w:t>.</w:t>
      </w:r>
    </w:p>
    <w:p w14:paraId="062C3A49" w14:textId="77777777" w:rsidR="00C55BE4" w:rsidRDefault="00E04779" w:rsidP="00C55BE4">
      <w:pPr>
        <w:pStyle w:val="SubmissionNormal"/>
        <w:tabs>
          <w:tab w:val="clear" w:pos="720"/>
        </w:tabs>
        <w:ind w:hanging="720"/>
      </w:pPr>
      <w:r>
        <w:t>T</w:t>
      </w:r>
      <w:r w:rsidR="00AC205F">
        <w:t xml:space="preserve">he Commission considers that a case has not been made out for a change to the current structure for review of administrative </w:t>
      </w:r>
      <w:r>
        <w:t>decision-</w:t>
      </w:r>
      <w:r w:rsidR="00AC205F">
        <w:t xml:space="preserve">making. </w:t>
      </w:r>
    </w:p>
    <w:p w14:paraId="69C4BEE9" w14:textId="77777777" w:rsidR="005F64ED" w:rsidRDefault="000C60C2" w:rsidP="00FD45F2">
      <w:pPr>
        <w:pStyle w:val="Heading2"/>
      </w:pPr>
      <w:bookmarkStart w:id="27" w:name="_Toc488410886"/>
      <w:r>
        <w:t>Personal d</w:t>
      </w:r>
      <w:r w:rsidR="008D0F25">
        <w:t>ecisions of Minister no longer review</w:t>
      </w:r>
      <w:r w:rsidR="00D1480B">
        <w:t>able</w:t>
      </w:r>
      <w:r w:rsidR="008D0F25">
        <w:t xml:space="preserve"> by Administrative Appeals Tribunal</w:t>
      </w:r>
      <w:bookmarkEnd w:id="27"/>
      <w:r w:rsidR="008D0F25">
        <w:t xml:space="preserve"> </w:t>
      </w:r>
    </w:p>
    <w:p w14:paraId="3BDCD9EB" w14:textId="77777777" w:rsidR="00663B68" w:rsidRDefault="00663B68" w:rsidP="008D0F25">
      <w:pPr>
        <w:pStyle w:val="SubmissionNormal"/>
        <w:tabs>
          <w:tab w:val="clear" w:pos="720"/>
        </w:tabs>
        <w:ind w:hanging="720"/>
      </w:pPr>
      <w:r>
        <w:t>As noted above, the current position is that decisions by the Minister or the Minister’s delegate can be reviewed by the AAT.</w:t>
      </w:r>
    </w:p>
    <w:p w14:paraId="22A0EE14" w14:textId="77777777" w:rsidR="005F64ED" w:rsidRDefault="00F913BE" w:rsidP="008D0F25">
      <w:pPr>
        <w:pStyle w:val="SubmissionNormal"/>
        <w:tabs>
          <w:tab w:val="clear" w:pos="720"/>
        </w:tabs>
        <w:ind w:hanging="720"/>
      </w:pPr>
      <w:r>
        <w:t>Proposed s 52(4) would exempt from review any decision that the Minister makes personally, provided that the Minister’s notice of reasons includes a statement that the Minister is satisfied that the decision was made in the public interest.</w:t>
      </w:r>
      <w:r>
        <w:rPr>
          <w:rStyle w:val="EndnoteReference"/>
        </w:rPr>
        <w:endnoteReference w:id="71"/>
      </w:r>
      <w:r w:rsidR="00DD4C40">
        <w:t xml:space="preserve"> The Minister would be required to table in Parliament a statement that sets out the decision and the reasons for making the decision.</w:t>
      </w:r>
      <w:r w:rsidR="00DD4C40">
        <w:rPr>
          <w:rStyle w:val="EndnoteReference"/>
        </w:rPr>
        <w:endnoteReference w:id="72"/>
      </w:r>
    </w:p>
    <w:p w14:paraId="12DA49B7" w14:textId="77777777" w:rsidR="00984460" w:rsidRDefault="00EA7427" w:rsidP="008D0F25">
      <w:pPr>
        <w:pStyle w:val="SubmissionNormal"/>
        <w:tabs>
          <w:tab w:val="clear" w:pos="720"/>
        </w:tabs>
        <w:ind w:hanging="720"/>
      </w:pPr>
      <w:r>
        <w:t xml:space="preserve">Personal decisions of the Minister </w:t>
      </w:r>
      <w:r w:rsidR="00984460">
        <w:t xml:space="preserve">that could be exempted from </w:t>
      </w:r>
      <w:r>
        <w:t xml:space="preserve">independent merits </w:t>
      </w:r>
      <w:r w:rsidR="00984460">
        <w:t>review by the AAT include:</w:t>
      </w:r>
      <w:r w:rsidR="005948D1">
        <w:rPr>
          <w:rStyle w:val="EndnoteReference"/>
        </w:rPr>
        <w:endnoteReference w:id="73"/>
      </w:r>
    </w:p>
    <w:p w14:paraId="5B4A99CA" w14:textId="77777777" w:rsidR="00500EE8" w:rsidRDefault="00984460" w:rsidP="00984460">
      <w:pPr>
        <w:pStyle w:val="SubmissionNormal"/>
        <w:numPr>
          <w:ilvl w:val="1"/>
          <w:numId w:val="15"/>
        </w:numPr>
      </w:pPr>
      <w:r>
        <w:t xml:space="preserve">a decision to </w:t>
      </w:r>
      <w:r w:rsidR="00EA7427">
        <w:t>refuse to approve a person becoming</w:t>
      </w:r>
      <w:r>
        <w:t xml:space="preserve"> a citizen by descent (s 17)</w:t>
      </w:r>
    </w:p>
    <w:p w14:paraId="57FACFF2" w14:textId="77777777" w:rsidR="005948D1" w:rsidRDefault="005948D1" w:rsidP="005948D1">
      <w:pPr>
        <w:pStyle w:val="SubmissionNormal"/>
        <w:numPr>
          <w:ilvl w:val="1"/>
          <w:numId w:val="15"/>
        </w:numPr>
      </w:pPr>
      <w:r>
        <w:lastRenderedPageBreak/>
        <w:t xml:space="preserve">a decision to cancel an approval of citizenship by descent (proposed s 17A) </w:t>
      </w:r>
    </w:p>
    <w:p w14:paraId="4C085087" w14:textId="77777777" w:rsidR="00984460" w:rsidRDefault="00EA7427" w:rsidP="00984460">
      <w:pPr>
        <w:pStyle w:val="SubmissionNormal"/>
        <w:numPr>
          <w:ilvl w:val="1"/>
          <w:numId w:val="15"/>
        </w:numPr>
      </w:pPr>
      <w:r>
        <w:t>a decision to refuse to approve a person becoming a citizen as a result of intercountry adoption (s 19D)</w:t>
      </w:r>
    </w:p>
    <w:p w14:paraId="76062E2C" w14:textId="77777777" w:rsidR="005948D1" w:rsidRDefault="005948D1" w:rsidP="005948D1">
      <w:pPr>
        <w:pStyle w:val="SubmissionNormal"/>
        <w:numPr>
          <w:ilvl w:val="1"/>
          <w:numId w:val="15"/>
        </w:numPr>
      </w:pPr>
      <w:r>
        <w:t xml:space="preserve">a decision to cancel an approval of citizenship by intercountry adoption (proposed s 19DA) </w:t>
      </w:r>
    </w:p>
    <w:p w14:paraId="662633BC" w14:textId="77777777" w:rsidR="00EA7427" w:rsidRDefault="00EA7427" w:rsidP="00984460">
      <w:pPr>
        <w:pStyle w:val="SubmissionNormal"/>
        <w:numPr>
          <w:ilvl w:val="1"/>
          <w:numId w:val="15"/>
        </w:numPr>
      </w:pPr>
      <w:r>
        <w:t>a decision to refuse to approve a person becoming a citizen by conferral (s 24)</w:t>
      </w:r>
    </w:p>
    <w:p w14:paraId="629BA6E9" w14:textId="77777777" w:rsidR="00344273" w:rsidRDefault="00344273" w:rsidP="00984460">
      <w:pPr>
        <w:pStyle w:val="SubmissionNormal"/>
        <w:numPr>
          <w:ilvl w:val="1"/>
          <w:numId w:val="15"/>
        </w:numPr>
      </w:pPr>
      <w:r>
        <w:t xml:space="preserve">a decision to cancel an approval of citizenship by conferral (s 25) </w:t>
      </w:r>
    </w:p>
    <w:p w14:paraId="085F1CE7" w14:textId="77777777" w:rsidR="00EA7427" w:rsidRDefault="00344273" w:rsidP="00984460">
      <w:pPr>
        <w:pStyle w:val="SubmissionNormal"/>
        <w:numPr>
          <w:ilvl w:val="1"/>
          <w:numId w:val="15"/>
        </w:numPr>
      </w:pPr>
      <w:r>
        <w:t xml:space="preserve">a decision to refuse to approve a person resuming citizenship </w:t>
      </w:r>
      <w:r w:rsidR="00AA66B6">
        <w:t xml:space="preserve">if they have ceased to be an Australian citizen </w:t>
      </w:r>
      <w:r>
        <w:t>(s 30)</w:t>
      </w:r>
    </w:p>
    <w:p w14:paraId="43E47EBE" w14:textId="77777777" w:rsidR="00164EBD" w:rsidRDefault="00164EBD" w:rsidP="00164EBD">
      <w:pPr>
        <w:pStyle w:val="SubmissionNormal"/>
        <w:numPr>
          <w:ilvl w:val="1"/>
          <w:numId w:val="15"/>
        </w:numPr>
      </w:pPr>
      <w:r>
        <w:t xml:space="preserve">a decision to cancel an approval of a person resuming citizenship if they have ceased to be an Australian citizen (proposed s 30A) </w:t>
      </w:r>
    </w:p>
    <w:p w14:paraId="2FDF1B09" w14:textId="77777777" w:rsidR="00941A42" w:rsidRPr="00BB5E49" w:rsidRDefault="00AA66B6" w:rsidP="00984460">
      <w:pPr>
        <w:pStyle w:val="SubmissionNormal"/>
        <w:numPr>
          <w:ilvl w:val="1"/>
          <w:numId w:val="15"/>
        </w:numPr>
      </w:pPr>
      <w:r w:rsidRPr="00BB5E49">
        <w:t>a decision to revoke a person’s citizenship (ss </w:t>
      </w:r>
      <w:r w:rsidR="00BB5E49" w:rsidRPr="00BB5E49">
        <w:t xml:space="preserve">34 and </w:t>
      </w:r>
      <w:r w:rsidRPr="00BB5E49">
        <w:t>36</w:t>
      </w:r>
      <w:r w:rsidR="00BB5E49" w:rsidRPr="00BB5E49">
        <w:t>(1)</w:t>
      </w:r>
      <w:r w:rsidRPr="00BB5E49">
        <w:t xml:space="preserve">, and proposed </w:t>
      </w:r>
      <w:r w:rsidR="00EF71C3" w:rsidRPr="00BB5E49">
        <w:t>s</w:t>
      </w:r>
      <w:r w:rsidRPr="00BB5E49">
        <w:t>s </w:t>
      </w:r>
      <w:r w:rsidR="00EF71C3" w:rsidRPr="00BB5E49">
        <w:t xml:space="preserve">33A </w:t>
      </w:r>
      <w:r w:rsidR="00BB5E49" w:rsidRPr="00BB5E49">
        <w:t xml:space="preserve">and </w:t>
      </w:r>
      <w:r w:rsidRPr="00BB5E49">
        <w:t>34AA)</w:t>
      </w:r>
      <w:r w:rsidR="0049217E" w:rsidRPr="00BB5E49">
        <w:t>.</w:t>
      </w:r>
    </w:p>
    <w:p w14:paraId="1D1D0436" w14:textId="77777777" w:rsidR="00AA66B6" w:rsidRDefault="00941A42" w:rsidP="00FF7ABB">
      <w:pPr>
        <w:pStyle w:val="SubmissionNormal"/>
        <w:tabs>
          <w:tab w:val="clear" w:pos="720"/>
        </w:tabs>
        <w:ind w:hanging="720"/>
      </w:pPr>
      <w:r>
        <w:t xml:space="preserve">The justification given by the Government for removing </w:t>
      </w:r>
      <w:r w:rsidR="00E77528">
        <w:t xml:space="preserve">independent </w:t>
      </w:r>
      <w:r>
        <w:t xml:space="preserve">merits review for such decisions is that </w:t>
      </w:r>
      <w:r w:rsidR="00C84F9A">
        <w:t xml:space="preserve">as an elected Member of Parliament </w:t>
      </w:r>
      <w:r>
        <w:t xml:space="preserve">the Minister has ‘a particular insight into </w:t>
      </w:r>
      <w:r w:rsidR="00C84F9A">
        <w:t xml:space="preserve">Australian </w:t>
      </w:r>
      <w:r>
        <w:t>community standards and values</w:t>
      </w:r>
      <w:r w:rsidR="00C84F9A">
        <w:t xml:space="preserve"> and what is in Australia’s public interest</w:t>
      </w:r>
      <w:r>
        <w:t>’</w:t>
      </w:r>
      <w:r w:rsidR="002712B9">
        <w:t xml:space="preserve"> and that the Minister’s personal decisions should be protected from ‘an unelected administrative tribunal’</w:t>
      </w:r>
      <w:r>
        <w:t>.</w:t>
      </w:r>
      <w:r>
        <w:rPr>
          <w:rStyle w:val="EndnoteReference"/>
        </w:rPr>
        <w:endnoteReference w:id="74"/>
      </w:r>
    </w:p>
    <w:p w14:paraId="7D373A38" w14:textId="77777777" w:rsidR="006D68C1" w:rsidRDefault="006D68C1" w:rsidP="00FF7ABB">
      <w:pPr>
        <w:pStyle w:val="SubmissionNormal"/>
        <w:tabs>
          <w:tab w:val="clear" w:pos="720"/>
        </w:tabs>
        <w:ind w:hanging="720"/>
      </w:pPr>
      <w:r>
        <w:t xml:space="preserve">However, this seems to ignore the extent to which administrative tribunals will have regard to government policy.  Justice Brennan, in his </w:t>
      </w:r>
      <w:r w:rsidR="00A51828">
        <w:t xml:space="preserve">then </w:t>
      </w:r>
      <w:r>
        <w:t xml:space="preserve">capacity as the President of </w:t>
      </w:r>
      <w:r w:rsidR="00544B8A">
        <w:t xml:space="preserve">the AAT, considered this issue in </w:t>
      </w:r>
      <w:r w:rsidR="00544B8A" w:rsidRPr="00544B8A">
        <w:rPr>
          <w:i/>
        </w:rPr>
        <w:t>Re Drake and Minister for Immigration and Ethnic Affairs (No 2)</w:t>
      </w:r>
      <w:r w:rsidR="00544B8A">
        <w:t xml:space="preserve"> (1979) 2 ALD 634.  In that case, his Honour said (at 644-645):</w:t>
      </w:r>
    </w:p>
    <w:p w14:paraId="4AC175CC" w14:textId="77777777" w:rsidR="00544B8A" w:rsidRPr="00544B8A" w:rsidRDefault="00544B8A" w:rsidP="00544B8A">
      <w:pPr>
        <w:pStyle w:val="SubmissionNormal"/>
        <w:numPr>
          <w:ilvl w:val="0"/>
          <w:numId w:val="0"/>
        </w:numPr>
        <w:ind w:left="1440"/>
        <w:rPr>
          <w:sz w:val="22"/>
        </w:rPr>
      </w:pPr>
      <w:r w:rsidRPr="00544B8A">
        <w:rPr>
          <w:sz w:val="22"/>
        </w:rPr>
        <w:t>When the Tribunal is reviewing the exercise of a discretionary power reposed in a Minister, and the Minister has adopted a general policy to guide him in the exercise of the power, the Tribunal will ordinarily apply that policy in reviewing the decision, unless the policy is unlawful or unless its application tends to produce an unjust decision in the circumstances of the particular case. Where the policy would ordinarily be applied, an argument against the policy itself or against its application in the particular case will be considered, but cogent reasons will have to be shown against its application, especially if the policy is shown to have been exposed to parliamentary scrutiny.</w:t>
      </w:r>
    </w:p>
    <w:p w14:paraId="7AD0EBE5" w14:textId="77777777" w:rsidR="00031E70" w:rsidRDefault="00EF052F" w:rsidP="00FF7ABB">
      <w:pPr>
        <w:pStyle w:val="SubmissionNormal"/>
        <w:tabs>
          <w:tab w:val="clear" w:pos="720"/>
        </w:tabs>
        <w:ind w:hanging="720"/>
      </w:pPr>
      <w:r>
        <w:t>Prior to its abolition in 2015, t</w:t>
      </w:r>
      <w:r w:rsidR="00E77528">
        <w:t>he Admin</w:t>
      </w:r>
      <w:r>
        <w:t>istrative Review Council advised</w:t>
      </w:r>
      <w:r w:rsidR="00E77528">
        <w:t xml:space="preserve"> the Attorney-General on the classes of administrative actions that should be subject to merits review. </w:t>
      </w:r>
      <w:r w:rsidR="00A43F49">
        <w:t xml:space="preserve">The Council </w:t>
      </w:r>
      <w:r>
        <w:t>said</w:t>
      </w:r>
      <w:r w:rsidR="00A43F49">
        <w:t xml:space="preserve"> that, a</w:t>
      </w:r>
      <w:r w:rsidR="00E77528">
        <w:t xml:space="preserve">s a matter of principle, </w:t>
      </w:r>
      <w:r w:rsidR="00A43F49">
        <w:t>an administrative decision that will or is likely to affect the interests of a person should be subject to merits review.</w:t>
      </w:r>
      <w:r w:rsidR="00A43F49">
        <w:rPr>
          <w:rStyle w:val="EndnoteReference"/>
        </w:rPr>
        <w:endnoteReference w:id="75"/>
      </w:r>
      <w:r w:rsidR="00A43F49">
        <w:t xml:space="preserve"> </w:t>
      </w:r>
    </w:p>
    <w:p w14:paraId="3BF6B9C3" w14:textId="74F85150" w:rsidR="002712B9" w:rsidRDefault="00031E70" w:rsidP="00FF7ABB">
      <w:pPr>
        <w:pStyle w:val="SubmissionNormal"/>
        <w:tabs>
          <w:tab w:val="clear" w:pos="720"/>
        </w:tabs>
        <w:ind w:hanging="720"/>
      </w:pPr>
      <w:r>
        <w:lastRenderedPageBreak/>
        <w:t xml:space="preserve">There </w:t>
      </w:r>
      <w:r w:rsidR="006372EB">
        <w:t>is</w:t>
      </w:r>
      <w:r>
        <w:t xml:space="preserve"> a limited range of factors that may justify excluding merits review for particular decisions. However, factors that do not justify excluding merits review include:</w:t>
      </w:r>
    </w:p>
    <w:p w14:paraId="03413434" w14:textId="77777777" w:rsidR="00031E70" w:rsidRDefault="00D81402" w:rsidP="00031E70">
      <w:pPr>
        <w:pStyle w:val="SubmissionNormal"/>
        <w:numPr>
          <w:ilvl w:val="1"/>
          <w:numId w:val="15"/>
        </w:numPr>
      </w:pPr>
      <w:r>
        <w:t>the fact that the decision maker is an expert; and</w:t>
      </w:r>
    </w:p>
    <w:p w14:paraId="777C5181" w14:textId="77777777" w:rsidR="00D81402" w:rsidRDefault="00D81402" w:rsidP="00031E70">
      <w:pPr>
        <w:pStyle w:val="SubmissionNormal"/>
        <w:numPr>
          <w:ilvl w:val="1"/>
          <w:numId w:val="15"/>
        </w:numPr>
      </w:pPr>
      <w:r>
        <w:t>the fact that a decision maker is of a high status.</w:t>
      </w:r>
      <w:r>
        <w:rPr>
          <w:rStyle w:val="EndnoteReference"/>
        </w:rPr>
        <w:endnoteReference w:id="76"/>
      </w:r>
    </w:p>
    <w:p w14:paraId="774FBEEB" w14:textId="77777777" w:rsidR="00D81402" w:rsidRDefault="00D81402" w:rsidP="00135D1C">
      <w:pPr>
        <w:pStyle w:val="SubmissionNormal"/>
        <w:keepNext/>
        <w:tabs>
          <w:tab w:val="clear" w:pos="720"/>
        </w:tabs>
        <w:ind w:hanging="720"/>
      </w:pPr>
      <w:r>
        <w:t>In relation to the second of these categories, the Council said:</w:t>
      </w:r>
    </w:p>
    <w:p w14:paraId="495C3448" w14:textId="77777777" w:rsidR="00D81402" w:rsidRPr="000C60C2" w:rsidRDefault="00D81402" w:rsidP="00D81402">
      <w:pPr>
        <w:pStyle w:val="SubmissionNormal"/>
        <w:numPr>
          <w:ilvl w:val="0"/>
          <w:numId w:val="0"/>
        </w:numPr>
        <w:ind w:left="1440"/>
        <w:rPr>
          <w:sz w:val="22"/>
        </w:rPr>
      </w:pPr>
      <w:r w:rsidRPr="000C60C2">
        <w:rPr>
          <w:sz w:val="22"/>
        </w:rPr>
        <w:t>The status of the primary decision-maker is not a factor that, alone, will make decisions of that person inappropriate for merits review.</w:t>
      </w:r>
    </w:p>
    <w:p w14:paraId="714E922F" w14:textId="77777777" w:rsidR="00D81402" w:rsidRPr="000C60C2" w:rsidRDefault="00D81402" w:rsidP="00D81402">
      <w:pPr>
        <w:pStyle w:val="SubmissionNormal"/>
        <w:numPr>
          <w:ilvl w:val="0"/>
          <w:numId w:val="0"/>
        </w:numPr>
        <w:ind w:left="1440"/>
        <w:rPr>
          <w:sz w:val="22"/>
        </w:rPr>
      </w:pPr>
      <w:r w:rsidRPr="000C60C2">
        <w:rPr>
          <w:sz w:val="22"/>
        </w:rPr>
        <w:t>For exam</w:t>
      </w:r>
      <w:r w:rsidR="00E91E52">
        <w:rPr>
          <w:sz w:val="22"/>
        </w:rPr>
        <w:t>ple, the fact that the decision-</w:t>
      </w:r>
      <w:r w:rsidRPr="000C60C2">
        <w:rPr>
          <w:sz w:val="22"/>
        </w:rPr>
        <w:t>maker is a Minister or the Governor-General, is not, of itself, relevant to the question of review. Rather, it is the character of the decision-making power, in particular its capacity to affect the interests of individuals, that is relevant.</w:t>
      </w:r>
      <w:r w:rsidR="000C60C2">
        <w:rPr>
          <w:rStyle w:val="EndnoteReference"/>
        </w:rPr>
        <w:endnoteReference w:id="77"/>
      </w:r>
    </w:p>
    <w:p w14:paraId="6E4B01B8" w14:textId="77777777" w:rsidR="00483D58" w:rsidRDefault="001B1CB0" w:rsidP="00C3043D">
      <w:pPr>
        <w:pStyle w:val="SubmissionNormal"/>
        <w:tabs>
          <w:tab w:val="clear" w:pos="720"/>
        </w:tabs>
        <w:ind w:hanging="720"/>
      </w:pPr>
      <w:r>
        <w:t>The Explanatory Memorandum says that this proposal ‘would bring the exclusion of personal decisions of the Minister from merits review under the Citizenship Act more in line with similar provisions involving personal decisions of the Minister under the Migration Act’.</w:t>
      </w:r>
      <w:r>
        <w:rPr>
          <w:rStyle w:val="EndnoteReference"/>
        </w:rPr>
        <w:endnoteReference w:id="78"/>
      </w:r>
      <w:r w:rsidR="00544B8A">
        <w:t xml:space="preserve">  However, these provisions of the </w:t>
      </w:r>
      <w:r w:rsidR="00544B8A" w:rsidRPr="00444FAF">
        <w:rPr>
          <w:i/>
        </w:rPr>
        <w:t xml:space="preserve">Migration Act </w:t>
      </w:r>
      <w:r w:rsidR="00444FAF" w:rsidRPr="00444FAF">
        <w:rPr>
          <w:i/>
        </w:rPr>
        <w:t>1958</w:t>
      </w:r>
      <w:r w:rsidR="00444FAF">
        <w:t xml:space="preserve"> (Cth) </w:t>
      </w:r>
      <w:r w:rsidR="00544B8A">
        <w:t>should be considered to be exceptional.</w:t>
      </w:r>
      <w:r w:rsidR="00444FAF">
        <w:t xml:space="preserve">  Good reasons would need to be shown to apply such a regime to the Australian Citizenship Act, particularly where it impacts on the rights and interests of individuals who are affected by decisions.  </w:t>
      </w:r>
    </w:p>
    <w:p w14:paraId="4E8DD85E" w14:textId="77777777" w:rsidR="008F7DE8" w:rsidRDefault="008F7DE8" w:rsidP="008F7DE8">
      <w:pPr>
        <w:pStyle w:val="Heading2"/>
      </w:pPr>
      <w:bookmarkStart w:id="28" w:name="_Toc488410887"/>
      <w:r>
        <w:t>Minister to have power to revoke citizenship if ‘satisfied’ of fraud or misrepresentation</w:t>
      </w:r>
      <w:bookmarkEnd w:id="28"/>
    </w:p>
    <w:p w14:paraId="32B276F9" w14:textId="77777777" w:rsidR="008F7DE8" w:rsidRPr="00FD45F2" w:rsidRDefault="008F7DE8" w:rsidP="008F7DE8">
      <w:pPr>
        <w:pStyle w:val="Heading3"/>
        <w:rPr>
          <w:sz w:val="28"/>
        </w:rPr>
      </w:pPr>
      <w:bookmarkStart w:id="29" w:name="_Ref402965123"/>
      <w:bookmarkStart w:id="30" w:name="_Toc488410888"/>
      <w:r w:rsidRPr="00FD45F2">
        <w:rPr>
          <w:sz w:val="28"/>
        </w:rPr>
        <w:t>Removal of safeguard of court findings</w:t>
      </w:r>
      <w:bookmarkEnd w:id="29"/>
      <w:bookmarkEnd w:id="30"/>
      <w:r w:rsidRPr="00FD45F2">
        <w:rPr>
          <w:sz w:val="28"/>
        </w:rPr>
        <w:t xml:space="preserve"> </w:t>
      </w:r>
    </w:p>
    <w:p w14:paraId="038B0CB9" w14:textId="77777777" w:rsidR="008F7DE8" w:rsidRDefault="008F7DE8" w:rsidP="008F7DE8">
      <w:pPr>
        <w:pStyle w:val="SubmissionNormal"/>
        <w:tabs>
          <w:tab w:val="clear" w:pos="720"/>
        </w:tabs>
        <w:ind w:hanging="720"/>
      </w:pPr>
      <w:r>
        <w:t xml:space="preserve">The </w:t>
      </w:r>
      <w:r w:rsidRPr="00DE0C44">
        <w:t>Australian Citizenship Act</w:t>
      </w:r>
      <w:r w:rsidRPr="0009756C">
        <w:rPr>
          <w:i/>
        </w:rPr>
        <w:t xml:space="preserve"> </w:t>
      </w:r>
      <w:r>
        <w:t>currently provides that if a person applied for and was granted Australian citizenship as a result of descent, intercountry adoption or conferral, the Minister may revoke the person’s citizenship if:</w:t>
      </w:r>
    </w:p>
    <w:p w14:paraId="0873B5A8" w14:textId="77777777" w:rsidR="008F7DE8" w:rsidRDefault="008F7DE8" w:rsidP="008F7DE8">
      <w:pPr>
        <w:pStyle w:val="SubmissionNormal"/>
        <w:numPr>
          <w:ilvl w:val="1"/>
          <w:numId w:val="15"/>
        </w:numPr>
      </w:pPr>
      <w:r>
        <w:t>the person was convicted of a criminal offence involving fraud or misrepresentation in relation to the citizenship application; or</w:t>
      </w:r>
    </w:p>
    <w:p w14:paraId="5A0C9418" w14:textId="77777777" w:rsidR="008F7DE8" w:rsidRDefault="008F7DE8" w:rsidP="008F7DE8">
      <w:pPr>
        <w:pStyle w:val="SubmissionNormal"/>
        <w:numPr>
          <w:ilvl w:val="1"/>
          <w:numId w:val="15"/>
        </w:numPr>
      </w:pPr>
      <w:r>
        <w:t>the person obtained citizenship as a result of fraud for which a third party was convicted.</w:t>
      </w:r>
      <w:r>
        <w:rPr>
          <w:rStyle w:val="EndnoteReference"/>
        </w:rPr>
        <w:endnoteReference w:id="79"/>
      </w:r>
    </w:p>
    <w:p w14:paraId="2F9A410D" w14:textId="77777777" w:rsidR="008F7DE8" w:rsidRDefault="008F7DE8" w:rsidP="008F7DE8">
      <w:pPr>
        <w:pStyle w:val="SubmissionNormal"/>
        <w:tabs>
          <w:tab w:val="clear" w:pos="720"/>
        </w:tabs>
        <w:ind w:hanging="720"/>
      </w:pPr>
      <w:r>
        <w:t xml:space="preserve">As the law presently stands, allegations of fraud or misrepresentation must be proved in court beyond a reasonable doubt. </w:t>
      </w:r>
    </w:p>
    <w:p w14:paraId="4BBE4B84" w14:textId="77777777" w:rsidR="008F7DE8" w:rsidRDefault="008F7DE8" w:rsidP="008F7DE8">
      <w:pPr>
        <w:pStyle w:val="SubmissionNormal"/>
        <w:tabs>
          <w:tab w:val="clear" w:pos="720"/>
        </w:tabs>
        <w:ind w:hanging="720"/>
      </w:pPr>
      <w:r>
        <w:t>The Australian Citizenship Council explained the rationale for this threshold as follows:</w:t>
      </w:r>
    </w:p>
    <w:p w14:paraId="5E63DED8" w14:textId="77777777" w:rsidR="008F7DE8" w:rsidRPr="00DC4FE2" w:rsidRDefault="008F7DE8" w:rsidP="008F7DE8">
      <w:pPr>
        <w:pStyle w:val="SubmissionNormal"/>
        <w:numPr>
          <w:ilvl w:val="0"/>
          <w:numId w:val="0"/>
        </w:numPr>
        <w:ind w:left="1440"/>
        <w:rPr>
          <w:sz w:val="22"/>
        </w:rPr>
      </w:pPr>
      <w:r w:rsidRPr="00DC4FE2">
        <w:rPr>
          <w:sz w:val="22"/>
        </w:rPr>
        <w:t xml:space="preserve">Generally speaking, the policy underlying the power of government to deprive an Australian citizen of his or her Citizenship is based on the idea that there should be certainty of Australian Citizenship status, that the status should not </w:t>
      </w:r>
      <w:r w:rsidRPr="00DC4FE2">
        <w:rPr>
          <w:sz w:val="22"/>
        </w:rPr>
        <w:lastRenderedPageBreak/>
        <w:t>be easily taken away, and should not be taken away simply by an administrative action by government.</w:t>
      </w:r>
      <w:r>
        <w:rPr>
          <w:rStyle w:val="EndnoteReference"/>
        </w:rPr>
        <w:endnoteReference w:id="80"/>
      </w:r>
    </w:p>
    <w:p w14:paraId="3868E0C8" w14:textId="77777777" w:rsidR="008F7DE8" w:rsidRDefault="008F7DE8" w:rsidP="008F7DE8">
      <w:pPr>
        <w:pStyle w:val="SubmissionNormal"/>
        <w:tabs>
          <w:tab w:val="clear" w:pos="720"/>
        </w:tabs>
        <w:ind w:hanging="720"/>
      </w:pPr>
      <w:r>
        <w:t xml:space="preserve">The Council noted that the requirement </w:t>
      </w:r>
      <w:r w:rsidR="00255D05">
        <w:t>of</w:t>
      </w:r>
      <w:r>
        <w:t xml:space="preserve"> conviction </w:t>
      </w:r>
      <w:r w:rsidR="00255D05">
        <w:t xml:space="preserve">for </w:t>
      </w:r>
      <w:r>
        <w:t>an offence in relation to fraud or misrepresentation was ‘an important safeguard’ and recommended that it continue.</w:t>
      </w:r>
      <w:r>
        <w:rPr>
          <w:rStyle w:val="EndnoteReference"/>
        </w:rPr>
        <w:endnoteReference w:id="81"/>
      </w:r>
    </w:p>
    <w:p w14:paraId="2A842A1B" w14:textId="77777777" w:rsidR="00F369C6" w:rsidRDefault="00F369C6" w:rsidP="00F369C6">
      <w:pPr>
        <w:pStyle w:val="SubmissionNormal"/>
        <w:tabs>
          <w:tab w:val="clear" w:pos="720"/>
        </w:tabs>
        <w:ind w:hanging="720"/>
      </w:pPr>
      <w:r>
        <w:t xml:space="preserve">The current procedure provides a balance between ensuring certainty of citizenship status while allowing serious cases of fraud and misrepresentation involved in the citizenship process to be prosecuted and result in a revocation of citizenship. </w:t>
      </w:r>
    </w:p>
    <w:p w14:paraId="2B50124B" w14:textId="77777777" w:rsidR="00F369C6" w:rsidRDefault="00F369C6" w:rsidP="00F369C6">
      <w:pPr>
        <w:pStyle w:val="SubmissionNormal"/>
        <w:tabs>
          <w:tab w:val="clear" w:pos="720"/>
        </w:tabs>
        <w:ind w:hanging="720"/>
      </w:pPr>
      <w:r>
        <w:t>It is a power that has been used rarely, but is available in appropriate cases. The Australian Citizenship Council in its February 2000 report identified five cases where individuals had been convicted of making false statements in their applications for Australian Citizenship and had their citizenship revoked as a result.</w:t>
      </w:r>
      <w:r>
        <w:rPr>
          <w:rStyle w:val="EndnoteReference"/>
        </w:rPr>
        <w:endnoteReference w:id="82"/>
      </w:r>
    </w:p>
    <w:p w14:paraId="39DAA1D6" w14:textId="77777777" w:rsidR="008F7DE8" w:rsidRDefault="008F7DE8" w:rsidP="008F7DE8">
      <w:pPr>
        <w:pStyle w:val="SubmissionNormal"/>
        <w:tabs>
          <w:tab w:val="clear" w:pos="720"/>
        </w:tabs>
        <w:ind w:hanging="720"/>
      </w:pPr>
      <w:r>
        <w:t xml:space="preserve">The Bill proposes to change the threshold for revocation in exactly the kind of way that the Council warned against. </w:t>
      </w:r>
    </w:p>
    <w:p w14:paraId="137F5960" w14:textId="77777777" w:rsidR="008F7DE8" w:rsidRDefault="008F7DE8" w:rsidP="008F7DE8">
      <w:pPr>
        <w:pStyle w:val="SubmissionNormal"/>
        <w:tabs>
          <w:tab w:val="clear" w:pos="720"/>
        </w:tabs>
        <w:ind w:hanging="720"/>
      </w:pPr>
      <w:r>
        <w:t>Proposed s 34AA would allow the Minister to revoke a person’s citizenship if the Minister was ‘satisfied’ that the person obtained approval to become a citizen as a result of fraud or misrepresentation connected with:</w:t>
      </w:r>
    </w:p>
    <w:p w14:paraId="1794680F" w14:textId="77777777" w:rsidR="008F7DE8" w:rsidRDefault="008F7DE8" w:rsidP="008F7DE8">
      <w:pPr>
        <w:pStyle w:val="SubmissionNormal"/>
        <w:numPr>
          <w:ilvl w:val="1"/>
          <w:numId w:val="15"/>
        </w:numPr>
      </w:pPr>
      <w:r>
        <w:t>the citizenship approval granted by the Minister;</w:t>
      </w:r>
    </w:p>
    <w:p w14:paraId="3368B30F" w14:textId="77777777" w:rsidR="008F7DE8" w:rsidRDefault="008F7DE8" w:rsidP="008F7DE8">
      <w:pPr>
        <w:pStyle w:val="SubmissionNormal"/>
        <w:numPr>
          <w:ilvl w:val="1"/>
          <w:numId w:val="15"/>
        </w:numPr>
      </w:pPr>
      <w:r>
        <w:t>the person’s entry into Australia;</w:t>
      </w:r>
    </w:p>
    <w:p w14:paraId="52AA1559" w14:textId="77777777" w:rsidR="008F7DE8" w:rsidRDefault="008F7DE8" w:rsidP="008F7DE8">
      <w:pPr>
        <w:pStyle w:val="SubmissionNormal"/>
        <w:numPr>
          <w:ilvl w:val="1"/>
          <w:numId w:val="15"/>
        </w:numPr>
      </w:pPr>
      <w:r>
        <w:t>the grant of any visa to the person prior to the approval to become a citizen.</w:t>
      </w:r>
      <w:r>
        <w:rPr>
          <w:rStyle w:val="EndnoteReference"/>
        </w:rPr>
        <w:endnoteReference w:id="83"/>
      </w:r>
    </w:p>
    <w:p w14:paraId="6201DB6F" w14:textId="77777777" w:rsidR="008F7DE8" w:rsidRDefault="008F7DE8" w:rsidP="008F7DE8">
      <w:pPr>
        <w:pStyle w:val="SubmissionNormal"/>
        <w:tabs>
          <w:tab w:val="clear" w:pos="720"/>
        </w:tabs>
        <w:ind w:hanging="720"/>
      </w:pPr>
      <w:r>
        <w:t>This would significantly decrease the degree of proof of fraud or misrepresentation required. There would no longer be any requirement for the allegations to be tested in court. The Minister’s satisfaction would be sufficient. Citizenship could be taken away ‘simply by an administrative action by government’.</w:t>
      </w:r>
    </w:p>
    <w:p w14:paraId="7C4C24EF" w14:textId="77777777" w:rsidR="008F7DE8" w:rsidRDefault="008F7DE8" w:rsidP="008F7DE8">
      <w:pPr>
        <w:pStyle w:val="SubmissionNormal"/>
        <w:tabs>
          <w:tab w:val="clear" w:pos="720"/>
        </w:tabs>
        <w:ind w:hanging="720"/>
      </w:pPr>
      <w:r>
        <w:t>The person need not have engaged in any fraud or misrepresentation themselves or even have known that there was any fraud or misrepresentation involved. For example, the Explanatory Memorandum suggests that a person’s citizenship could be revoked if the Minister becomes satisfied that a misrepresentation was made by a person’s migration agent</w:t>
      </w:r>
      <w:r w:rsidR="00D860D2">
        <w:t xml:space="preserve"> of which the person was unaware</w:t>
      </w:r>
      <w:r>
        <w:t>.</w:t>
      </w:r>
      <w:r>
        <w:rPr>
          <w:rStyle w:val="EndnoteReference"/>
        </w:rPr>
        <w:endnoteReference w:id="84"/>
      </w:r>
    </w:p>
    <w:p w14:paraId="1031EF72" w14:textId="77777777" w:rsidR="00D860D2" w:rsidRDefault="00D860D2" w:rsidP="00D860D2">
      <w:pPr>
        <w:pStyle w:val="SubmissionNormal"/>
        <w:tabs>
          <w:tab w:val="clear" w:pos="720"/>
        </w:tabs>
        <w:ind w:hanging="720"/>
      </w:pPr>
      <w:r>
        <w:t>Given the grave consequences involved for an individual if citizenship is revoked, the Commission considers that any allegations of fraud or misrepresentation used as the basis for revoking citizenship should be established as a result of a fair and public hearing by a competent, independent and impartial tribunal established by law.</w:t>
      </w:r>
    </w:p>
    <w:p w14:paraId="66BB9D63" w14:textId="77777777" w:rsidR="00D860D2" w:rsidRDefault="00D860D2" w:rsidP="00D860D2">
      <w:pPr>
        <w:pStyle w:val="SubmissionNormal"/>
        <w:tabs>
          <w:tab w:val="clear" w:pos="720"/>
        </w:tabs>
        <w:ind w:hanging="720"/>
      </w:pPr>
      <w:r>
        <w:lastRenderedPageBreak/>
        <w:t xml:space="preserve">The proposal to remove this important safeguard and allow citizenship to be taken away simply by an administrative action by government is contrary to these principles of due process. </w:t>
      </w:r>
    </w:p>
    <w:p w14:paraId="4691C8EA" w14:textId="77777777" w:rsidR="00D860D2" w:rsidRPr="00D860D2" w:rsidRDefault="00D860D2" w:rsidP="00D860D2">
      <w:pPr>
        <w:pStyle w:val="Heading3"/>
        <w:rPr>
          <w:sz w:val="28"/>
        </w:rPr>
      </w:pPr>
      <w:bookmarkStart w:id="31" w:name="_Ref486527964"/>
      <w:bookmarkStart w:id="32" w:name="_Toc488410889"/>
      <w:r w:rsidRPr="00D860D2">
        <w:rPr>
          <w:sz w:val="28"/>
        </w:rPr>
        <w:t>Potential of revocation for 10 years after grant of citizenship</w:t>
      </w:r>
      <w:bookmarkEnd w:id="31"/>
      <w:bookmarkEnd w:id="32"/>
    </w:p>
    <w:p w14:paraId="61D58CB3" w14:textId="77777777" w:rsidR="008F7DE8" w:rsidRDefault="008F7DE8" w:rsidP="008F7DE8">
      <w:pPr>
        <w:pStyle w:val="SubmissionNormal"/>
        <w:tabs>
          <w:tab w:val="clear" w:pos="720"/>
        </w:tabs>
        <w:ind w:hanging="720"/>
      </w:pPr>
      <w:r>
        <w:t xml:space="preserve">A person’s citizenship could be revoked under this provision for a period of up to </w:t>
      </w:r>
      <w:r w:rsidRPr="00FF5C34">
        <w:t>10 years</w:t>
      </w:r>
      <w:r>
        <w:t xml:space="preserve"> after it was granted.</w:t>
      </w:r>
      <w:r>
        <w:rPr>
          <w:rStyle w:val="EndnoteReference"/>
        </w:rPr>
        <w:endnoteReference w:id="85"/>
      </w:r>
    </w:p>
    <w:p w14:paraId="5883AB1B" w14:textId="323659B4" w:rsidR="00FF5C34" w:rsidRDefault="00FF5C34" w:rsidP="00FF5C34">
      <w:pPr>
        <w:pStyle w:val="SubmissionNormal"/>
        <w:tabs>
          <w:tab w:val="clear" w:pos="720"/>
        </w:tabs>
        <w:ind w:hanging="720"/>
      </w:pPr>
      <w:r>
        <w:t xml:space="preserve">Similarly, proposed s 33A would allow the Minister to revoke citizenship acquired by descent for an undefined period after it was granted if the Minister </w:t>
      </w:r>
      <w:r w:rsidR="00834734">
        <w:t xml:space="preserve">later </w:t>
      </w:r>
      <w:r>
        <w:t xml:space="preserve">becomes </w:t>
      </w:r>
      <w:r w:rsidR="00834734">
        <w:t>‘</w:t>
      </w:r>
      <w:r>
        <w:t>satisfied</w:t>
      </w:r>
      <w:r w:rsidR="00834734">
        <w:t>’</w:t>
      </w:r>
      <w:r>
        <w:t xml:space="preserve"> that the person was not of good character at the time they were registered as a citizen</w:t>
      </w:r>
      <w:r w:rsidR="00834734">
        <w:t xml:space="preserve"> (see section </w:t>
      </w:r>
      <w:r w:rsidR="00834734">
        <w:fldChar w:fldCharType="begin"/>
      </w:r>
      <w:r w:rsidR="00834734">
        <w:instrText xml:space="preserve"> REF _Ref486520574 \r \h </w:instrText>
      </w:r>
      <w:r w:rsidR="00834734">
        <w:fldChar w:fldCharType="separate"/>
      </w:r>
      <w:r w:rsidR="00286AA5">
        <w:t>5.4</w:t>
      </w:r>
      <w:r w:rsidR="00834734">
        <w:fldChar w:fldCharType="end"/>
      </w:r>
      <w:r w:rsidR="00834734">
        <w:t xml:space="preserve"> below)</w:t>
      </w:r>
      <w:r>
        <w:t>.</w:t>
      </w:r>
    </w:p>
    <w:p w14:paraId="4E482338" w14:textId="77777777" w:rsidR="00FF5C34" w:rsidRDefault="00FF5C34" w:rsidP="00FF5C34">
      <w:pPr>
        <w:pStyle w:val="SubmissionNormal"/>
        <w:tabs>
          <w:tab w:val="clear" w:pos="720"/>
        </w:tabs>
        <w:ind w:hanging="720"/>
      </w:pPr>
      <w:r>
        <w:t>Allowing citizenship to be contingent on the satisfaction of the Minister about various matters for a period of 10 years</w:t>
      </w:r>
      <w:r w:rsidR="00834734">
        <w:t xml:space="preserve"> (or more)</w:t>
      </w:r>
      <w:r>
        <w:t xml:space="preserve"> after it is granted creates significant uncertainty about citizenship status. It is apt to create two classes of citizen: one whose rights are secure and one whose rights may be removed by a simple administrative decision by Government. </w:t>
      </w:r>
    </w:p>
    <w:p w14:paraId="407BF136" w14:textId="77777777" w:rsidR="00FF5C34" w:rsidRDefault="00FF5C34" w:rsidP="00FF5C34">
      <w:pPr>
        <w:pStyle w:val="SubmissionNormal"/>
        <w:tabs>
          <w:tab w:val="clear" w:pos="720"/>
        </w:tabs>
        <w:ind w:hanging="720"/>
      </w:pPr>
      <w:r>
        <w:t>In one sense, those who are granted citizenship following application would be on a period of probation for 10 years, albeit citizenship could only be revoked based on events that occurred prior to its acquisition.</w:t>
      </w:r>
    </w:p>
    <w:p w14:paraId="6DE18499" w14:textId="77777777" w:rsidR="00FF5C34" w:rsidRDefault="00FF5C34" w:rsidP="00FF5C34">
      <w:pPr>
        <w:pStyle w:val="SubmissionNormal"/>
        <w:tabs>
          <w:tab w:val="clear" w:pos="720"/>
        </w:tabs>
        <w:ind w:hanging="720"/>
      </w:pPr>
      <w:r>
        <w:t>The longer the period of time before a decision to revoke citizenship, the greater the potential unfairness to the citizen. For example, if a decision is made to revoke citizenship because of an alleged misrepresentation in relation to an application for a visa that was made by the citizen many years ago, the citizen may no longer have access to documents or witnesses to meet this claim.</w:t>
      </w:r>
    </w:p>
    <w:p w14:paraId="7FA8D591" w14:textId="77777777" w:rsidR="008F7DE8" w:rsidRPr="00FD45F2" w:rsidRDefault="008F7DE8" w:rsidP="008F7DE8">
      <w:pPr>
        <w:pStyle w:val="Heading3"/>
        <w:rPr>
          <w:sz w:val="28"/>
        </w:rPr>
      </w:pPr>
      <w:bookmarkStart w:id="33" w:name="_Toc488410890"/>
      <w:r w:rsidRPr="00FD45F2">
        <w:rPr>
          <w:sz w:val="28"/>
        </w:rPr>
        <w:t>Potential for children to become stateless</w:t>
      </w:r>
      <w:bookmarkEnd w:id="33"/>
      <w:r w:rsidRPr="00FD45F2">
        <w:rPr>
          <w:sz w:val="28"/>
        </w:rPr>
        <w:t xml:space="preserve"> </w:t>
      </w:r>
    </w:p>
    <w:p w14:paraId="0B1622C6" w14:textId="77777777" w:rsidR="00687577" w:rsidRDefault="00715A44" w:rsidP="008F7DE8">
      <w:pPr>
        <w:pStyle w:val="SubmissionNormal"/>
        <w:tabs>
          <w:tab w:val="clear" w:pos="720"/>
        </w:tabs>
        <w:ind w:hanging="720"/>
      </w:pPr>
      <w:r>
        <w:t xml:space="preserve">When the 2014 Bill was introduced, </w:t>
      </w:r>
      <w:r w:rsidR="008F7DE8">
        <w:t xml:space="preserve">the Government </w:t>
      </w:r>
      <w:r>
        <w:t xml:space="preserve">said </w:t>
      </w:r>
      <w:r w:rsidR="008F7DE8">
        <w:t xml:space="preserve">that the Minister could use </w:t>
      </w:r>
      <w:r>
        <w:t xml:space="preserve">the </w:t>
      </w:r>
      <w:r w:rsidR="008F7DE8">
        <w:t xml:space="preserve">power </w:t>
      </w:r>
      <w:r>
        <w:t xml:space="preserve">under proposed s 34AA </w:t>
      </w:r>
      <w:r w:rsidR="008F7DE8">
        <w:t xml:space="preserve">to revoke a child’s citizenship, </w:t>
      </w:r>
      <w:r w:rsidR="008F7DE8" w:rsidRPr="005B38D1">
        <w:t>‘</w:t>
      </w:r>
      <w:r w:rsidR="008F7DE8" w:rsidRPr="003303B7">
        <w:t>even if [this] would make that child stateless’</w:t>
      </w:r>
      <w:r w:rsidR="008F7DE8">
        <w:t>.</w:t>
      </w:r>
      <w:r>
        <w:rPr>
          <w:rStyle w:val="EndnoteReference"/>
        </w:rPr>
        <w:endnoteReference w:id="86"/>
      </w:r>
      <w:r w:rsidR="008F7DE8">
        <w:t xml:space="preserve"> </w:t>
      </w:r>
      <w:r w:rsidR="00687577">
        <w:t xml:space="preserve"> This was confirmed by officers of the Attorney-General’s department during </w:t>
      </w:r>
      <w:r w:rsidR="00E86C98">
        <w:t xml:space="preserve">this Committee’s </w:t>
      </w:r>
      <w:r w:rsidR="00584121">
        <w:t>public hearing into the Bill,</w:t>
      </w:r>
      <w:r w:rsidR="00687577">
        <w:rPr>
          <w:rStyle w:val="EndnoteReference"/>
        </w:rPr>
        <w:endnoteReference w:id="87"/>
      </w:r>
      <w:r w:rsidR="00584121">
        <w:t xml:space="preserve"> and by the </w:t>
      </w:r>
      <w:r w:rsidR="00680D0B">
        <w:t xml:space="preserve">department’s </w:t>
      </w:r>
      <w:r w:rsidR="00584121">
        <w:t>subsequent written submission to the Committee.</w:t>
      </w:r>
      <w:r w:rsidR="00584121">
        <w:rPr>
          <w:rStyle w:val="EndnoteReference"/>
        </w:rPr>
        <w:endnoteReference w:id="88"/>
      </w:r>
      <w:r w:rsidR="00680D0B">
        <w:t xml:space="preserve">  The department’s supplementary written submission sought to justify this outcome by saying that the child thus rendered stateless ‘should never have been an Australian citizen in the first place’.</w:t>
      </w:r>
      <w:r w:rsidR="00680D0B">
        <w:rPr>
          <w:rStyle w:val="EndnoteReference"/>
        </w:rPr>
        <w:endnoteReference w:id="89"/>
      </w:r>
    </w:p>
    <w:p w14:paraId="6B40CC96" w14:textId="77777777" w:rsidR="0026178A" w:rsidRDefault="0026178A" w:rsidP="008F7DE8">
      <w:pPr>
        <w:pStyle w:val="SubmissionNormal"/>
        <w:tabs>
          <w:tab w:val="clear" w:pos="720"/>
        </w:tabs>
        <w:ind w:hanging="720"/>
      </w:pPr>
      <w:r>
        <w:t>This was a</w:t>
      </w:r>
      <w:r w:rsidR="001C375A">
        <w:t>n</w:t>
      </w:r>
      <w:r>
        <w:t xml:space="preserve"> </w:t>
      </w:r>
      <w:r w:rsidR="001C375A">
        <w:t xml:space="preserve">issue of significant </w:t>
      </w:r>
      <w:r>
        <w:t xml:space="preserve">concern for </w:t>
      </w:r>
      <w:r w:rsidR="001C375A">
        <w:t xml:space="preserve">the Government </w:t>
      </w:r>
      <w:r>
        <w:t>members of this Committee in relation to the 2014 Bill.</w:t>
      </w:r>
      <w:r>
        <w:rPr>
          <w:rStyle w:val="EndnoteReference"/>
        </w:rPr>
        <w:endnoteReference w:id="90"/>
      </w:r>
    </w:p>
    <w:p w14:paraId="2FF57B59" w14:textId="77777777" w:rsidR="00E86C98" w:rsidRDefault="00E86C98" w:rsidP="008F7DE8">
      <w:pPr>
        <w:pStyle w:val="SubmissionNormal"/>
        <w:tabs>
          <w:tab w:val="clear" w:pos="720"/>
        </w:tabs>
        <w:ind w:hanging="720"/>
      </w:pPr>
      <w:r>
        <w:t xml:space="preserve">Unlike s 36(3) in the Act as it currently stands, there is no provision in proposed s 34AA which provides that the Minister must not revoke a child’s Australian citizenship under that section if that would result in the child becoming stateless. </w:t>
      </w:r>
    </w:p>
    <w:p w14:paraId="7789CBB0" w14:textId="77777777" w:rsidR="00E86C98" w:rsidRDefault="00E86C98" w:rsidP="00DC783D">
      <w:pPr>
        <w:pStyle w:val="SubmissionNormal"/>
        <w:tabs>
          <w:tab w:val="clear" w:pos="720"/>
        </w:tabs>
        <w:ind w:hanging="720"/>
      </w:pPr>
      <w:r>
        <w:lastRenderedPageBreak/>
        <w:t xml:space="preserve">The </w:t>
      </w:r>
      <w:r w:rsidR="007331EE">
        <w:t xml:space="preserve">Explanatory Memorandum to the </w:t>
      </w:r>
      <w:r>
        <w:t xml:space="preserve">present Bill </w:t>
      </w:r>
      <w:r w:rsidR="007331EE">
        <w:t xml:space="preserve">says that ‘the potential for the child to be rendered stateless’ </w:t>
      </w:r>
      <w:r w:rsidR="00DC783D">
        <w:t>is one of the ‘[f]actors to be considered’ when deciding whether to revoke a child’s citizenship and that</w:t>
      </w:r>
      <w:r w:rsidR="007331EE">
        <w:t>, in practice, ‘[t]he Department would not act to render a child, or adult, stateless’.</w:t>
      </w:r>
      <w:r w:rsidR="007331EE">
        <w:rPr>
          <w:rStyle w:val="EndnoteReference"/>
        </w:rPr>
        <w:endnoteReference w:id="91"/>
      </w:r>
      <w:r w:rsidR="007331EE">
        <w:t xml:space="preserve">  If this is the intention, then the legislation </w:t>
      </w:r>
      <w:r w:rsidR="00B43964">
        <w:t xml:space="preserve">should </w:t>
      </w:r>
      <w:r w:rsidR="007331EE">
        <w:t>not provide a discretion to do so.</w:t>
      </w:r>
    </w:p>
    <w:p w14:paraId="7C580E47" w14:textId="77777777" w:rsidR="00682C5D" w:rsidRDefault="001F50A7" w:rsidP="00DC783D">
      <w:pPr>
        <w:pStyle w:val="SubmissionNormal"/>
        <w:tabs>
          <w:tab w:val="clear" w:pos="720"/>
        </w:tabs>
        <w:ind w:hanging="720"/>
      </w:pPr>
      <w:r>
        <w:t>The Statement of Compatibility with Human Rights also seems to suggest that the note at the end of proposed s 34AA somehow ‘confirms’ that the Department would not act to render a child, or adult stateless.</w:t>
      </w:r>
      <w:r>
        <w:rPr>
          <w:rStyle w:val="EndnoteReference"/>
        </w:rPr>
        <w:endnoteReference w:id="92"/>
      </w:r>
      <w:r>
        <w:t xml:space="preserve">  That note draws attention to the fact that a child may have their citizenship revoked under s 36 if their parent</w:t>
      </w:r>
      <w:r w:rsidR="00682C5D">
        <w:t xml:space="preserve"> loses their </w:t>
      </w:r>
      <w:r>
        <w:t xml:space="preserve">citizenship under </w:t>
      </w:r>
      <w:r w:rsidR="00682C5D">
        <w:t>one of a number of provisions</w:t>
      </w:r>
      <w:r>
        <w:t xml:space="preserve">.  However, as the Explanatory Memorandum </w:t>
      </w:r>
      <w:r w:rsidR="00682C5D">
        <w:t xml:space="preserve">also </w:t>
      </w:r>
      <w:r>
        <w:t>recognises</w:t>
      </w:r>
      <w:r w:rsidR="00682C5D">
        <w:t>:</w:t>
      </w:r>
    </w:p>
    <w:p w14:paraId="5928B6FF" w14:textId="77777777" w:rsidR="00682C5D" w:rsidRDefault="00682C5D" w:rsidP="00682C5D">
      <w:pPr>
        <w:pStyle w:val="SubmissionNormal"/>
        <w:numPr>
          <w:ilvl w:val="0"/>
          <w:numId w:val="0"/>
        </w:numPr>
        <w:ind w:left="1440"/>
      </w:pPr>
      <w:r w:rsidRPr="00682C5D">
        <w:rPr>
          <w:sz w:val="22"/>
        </w:rPr>
        <w:t xml:space="preserve">The power under section 36 of the Act to revoke a child’s citizenship would be enlivened if the fraud related to the parent’s application.  However, </w:t>
      </w:r>
      <w:r w:rsidR="001F50A7" w:rsidRPr="00682C5D">
        <w:rPr>
          <w:sz w:val="22"/>
        </w:rPr>
        <w:t>if the fraud is in relation to the child’s application, then the relevant revocation provision would be new section</w:t>
      </w:r>
      <w:r w:rsidRPr="00682C5D">
        <w:rPr>
          <w:sz w:val="22"/>
        </w:rPr>
        <w:t xml:space="preserve"> 34AA</w:t>
      </w:r>
      <w:r w:rsidR="001F50A7" w:rsidRPr="00682C5D">
        <w:rPr>
          <w:sz w:val="22"/>
        </w:rPr>
        <w:t>.</w:t>
      </w:r>
      <w:r>
        <w:rPr>
          <w:rStyle w:val="EndnoteReference"/>
        </w:rPr>
        <w:endnoteReference w:id="93"/>
      </w:r>
      <w:r w:rsidR="001F50A7">
        <w:t xml:space="preserve">  </w:t>
      </w:r>
    </w:p>
    <w:p w14:paraId="0A01428F" w14:textId="77777777" w:rsidR="001F50A7" w:rsidRDefault="001F50A7" w:rsidP="00682C5D">
      <w:pPr>
        <w:pStyle w:val="SubmissionNormal"/>
        <w:numPr>
          <w:ilvl w:val="0"/>
          <w:numId w:val="0"/>
        </w:numPr>
        <w:ind w:left="720"/>
      </w:pPr>
      <w:r>
        <w:t xml:space="preserve">As noted above, </w:t>
      </w:r>
      <w:r w:rsidR="00682C5D">
        <w:t>the</w:t>
      </w:r>
      <w:r>
        <w:t xml:space="preserve"> </w:t>
      </w:r>
      <w:r w:rsidR="00682C5D">
        <w:t xml:space="preserve">new </w:t>
      </w:r>
      <w:r>
        <w:t xml:space="preserve">proposed </w:t>
      </w:r>
      <w:r w:rsidR="00682C5D">
        <w:t xml:space="preserve">s 34AA </w:t>
      </w:r>
      <w:r>
        <w:t xml:space="preserve">does not contain a legislative protection against statelessness. </w:t>
      </w:r>
    </w:p>
    <w:p w14:paraId="6D632D55" w14:textId="77777777" w:rsidR="008F7DE8" w:rsidRDefault="00DC783D" w:rsidP="008F7DE8">
      <w:pPr>
        <w:pStyle w:val="SubmissionNormal"/>
        <w:tabs>
          <w:tab w:val="clear" w:pos="720"/>
        </w:tabs>
        <w:ind w:hanging="720"/>
      </w:pPr>
      <w:r>
        <w:t xml:space="preserve">The potential for children to be rendered stateless </w:t>
      </w:r>
      <w:r w:rsidR="008F7DE8">
        <w:t xml:space="preserve">raises a serious risk of conflict with article 15(2) of the </w:t>
      </w:r>
      <w:r w:rsidR="008F7DE8" w:rsidRPr="002114C7">
        <w:rPr>
          <w:i/>
        </w:rPr>
        <w:t>Universal Declaration of Human Rights</w:t>
      </w:r>
      <w:r w:rsidR="008F7DE8">
        <w:t xml:space="preserve"> which provides that ‘n</w:t>
      </w:r>
      <w:r w:rsidR="008F7DE8" w:rsidRPr="00102460">
        <w:t>o one shall be arbitrarily deprived of his nationality</w:t>
      </w:r>
      <w:r w:rsidR="008F7DE8">
        <w:t xml:space="preserve">’. </w:t>
      </w:r>
      <w:r w:rsidR="000F6C82">
        <w:t>It also raises a serious risk of conflict with provisions of</w:t>
      </w:r>
      <w:r w:rsidR="008F7DE8">
        <w:t xml:space="preserve"> the </w:t>
      </w:r>
      <w:r w:rsidR="008F7DE8" w:rsidRPr="002114C7">
        <w:rPr>
          <w:i/>
        </w:rPr>
        <w:t>Convention on the Rights of the Child</w:t>
      </w:r>
      <w:r w:rsidR="008F7DE8">
        <w:t xml:space="preserve"> (CRC)</w:t>
      </w:r>
      <w:r w:rsidR="008F7DE8">
        <w:rPr>
          <w:rStyle w:val="EndnoteReference"/>
        </w:rPr>
        <w:endnoteReference w:id="94"/>
      </w:r>
      <w:r w:rsidR="008F7DE8">
        <w:t xml:space="preserve"> and the </w:t>
      </w:r>
      <w:r w:rsidR="008F7DE8" w:rsidRPr="002114C7">
        <w:rPr>
          <w:i/>
        </w:rPr>
        <w:t>Convention on the Reduction of Statelessness</w:t>
      </w:r>
      <w:r w:rsidR="008F7DE8">
        <w:t>.</w:t>
      </w:r>
      <w:r w:rsidR="008F7DE8" w:rsidRPr="00102460">
        <w:rPr>
          <w:sz w:val="20"/>
          <w:vertAlign w:val="superscript"/>
        </w:rPr>
        <w:endnoteReference w:id="95"/>
      </w:r>
    </w:p>
    <w:p w14:paraId="10CEF75D" w14:textId="77777777" w:rsidR="008F7DE8" w:rsidRDefault="008F7DE8" w:rsidP="008F7DE8">
      <w:pPr>
        <w:pStyle w:val="SubmissionNormal"/>
        <w:tabs>
          <w:tab w:val="clear" w:pos="720"/>
        </w:tabs>
        <w:ind w:hanging="720"/>
      </w:pPr>
      <w:r>
        <w:t xml:space="preserve">Article 8 of the CRC provides that children have the right to preserve their identity, including their nationality, without unlawful interference. </w:t>
      </w:r>
      <w:r w:rsidR="00B43964">
        <w:t>Article 7 of the CRC provides that States Parties must ensure the implementation of the right of the child to acquire a nationality in accordance with their obligations under relevant international instruments, in particular where the child would otherwise be stateless.</w:t>
      </w:r>
      <w:r w:rsidR="000F6C82">
        <w:t xml:space="preserve"> </w:t>
      </w:r>
    </w:p>
    <w:p w14:paraId="6EF46A66" w14:textId="77777777" w:rsidR="008F7DE8" w:rsidRDefault="008F7DE8" w:rsidP="008F7DE8">
      <w:pPr>
        <w:pStyle w:val="SubmissionNormal"/>
        <w:tabs>
          <w:tab w:val="clear" w:pos="720"/>
        </w:tabs>
        <w:ind w:hanging="720"/>
      </w:pPr>
      <w:r>
        <w:t xml:space="preserve">Article 8(1) of the </w:t>
      </w:r>
      <w:r w:rsidRPr="00B5680D">
        <w:rPr>
          <w:i/>
        </w:rPr>
        <w:t>Convention on the Reduction of Statelessness</w:t>
      </w:r>
      <w:r>
        <w:t xml:space="preserve"> provides that a state shall not deprive a person of its nationality if such deprivation would render the person stateless. There is an exception in article 8(2)(b) if </w:t>
      </w:r>
      <w:r w:rsidRPr="00112CEA">
        <w:t>the nationality has been obtained by misrepresentation or fraud</w:t>
      </w:r>
      <w:r>
        <w:t>. However, there are limitations to this exception.</w:t>
      </w:r>
    </w:p>
    <w:p w14:paraId="31A2AD10" w14:textId="77777777" w:rsidR="008F7DE8" w:rsidRDefault="008F7DE8" w:rsidP="008F7DE8">
      <w:pPr>
        <w:pStyle w:val="SubmissionNormal"/>
        <w:tabs>
          <w:tab w:val="clear" w:pos="720"/>
        </w:tabs>
        <w:ind w:hanging="720"/>
      </w:pPr>
      <w:r>
        <w:t xml:space="preserve">First, based on the </w:t>
      </w:r>
      <w:r w:rsidRPr="000322E2">
        <w:rPr>
          <w:i/>
        </w:rPr>
        <w:t>travaux préparatoires</w:t>
      </w:r>
      <w:r>
        <w:t>, there is a reasonable basis to conclude that ‘misrepresentation’ in the context of this exception means ‘dishonest misrepresentation’.</w:t>
      </w:r>
      <w:r>
        <w:rPr>
          <w:rStyle w:val="EndnoteReference"/>
        </w:rPr>
        <w:endnoteReference w:id="96"/>
      </w:r>
    </w:p>
    <w:p w14:paraId="48D608C4" w14:textId="77777777" w:rsidR="008F7DE8" w:rsidRDefault="008F7DE8" w:rsidP="008F7DE8">
      <w:pPr>
        <w:pStyle w:val="SubmissionNormal"/>
        <w:tabs>
          <w:tab w:val="clear" w:pos="720"/>
        </w:tabs>
        <w:ind w:hanging="720"/>
      </w:pPr>
      <w:r>
        <w:t>Secondly, deprivation would not be justified if the person whose citizenship may be revoked was not aware and could not have been aware that the information provided during the application for citizenship was untrue.</w:t>
      </w:r>
      <w:r>
        <w:rPr>
          <w:rStyle w:val="EndnoteReference"/>
        </w:rPr>
        <w:endnoteReference w:id="97"/>
      </w:r>
    </w:p>
    <w:p w14:paraId="561B2BC2" w14:textId="77777777" w:rsidR="008F7DE8" w:rsidRPr="00AB3DB8" w:rsidRDefault="008F7DE8" w:rsidP="008F7DE8">
      <w:pPr>
        <w:pStyle w:val="SubmissionNormal"/>
        <w:tabs>
          <w:tab w:val="clear" w:pos="720"/>
        </w:tabs>
        <w:ind w:hanging="720"/>
      </w:pPr>
      <w:r>
        <w:t xml:space="preserve">On these bases, it appears that the current drafting of the Minister’s powers of revocation are broader than permitted under the </w:t>
      </w:r>
      <w:r w:rsidRPr="00B5680D">
        <w:rPr>
          <w:i/>
        </w:rPr>
        <w:t>Convention on the Reduction of Statelessness</w:t>
      </w:r>
      <w:r>
        <w:t xml:space="preserve"> as they could result in the revocation of a person’s citizenship as a result of a misrepresentation </w:t>
      </w:r>
      <w:r w:rsidR="00DC783D">
        <w:t xml:space="preserve">by a third party (such as a migration agent) </w:t>
      </w:r>
      <w:r>
        <w:t xml:space="preserve">of which they were unaware. </w:t>
      </w:r>
    </w:p>
    <w:p w14:paraId="6B6A822C" w14:textId="77777777" w:rsidR="00EC7B8E" w:rsidRDefault="00834734" w:rsidP="00834734">
      <w:pPr>
        <w:pStyle w:val="Heading2"/>
      </w:pPr>
      <w:bookmarkStart w:id="34" w:name="_Ref486520574"/>
      <w:bookmarkStart w:id="35" w:name="_Toc488410891"/>
      <w:r>
        <w:lastRenderedPageBreak/>
        <w:t>Minister to have power to revoke citizenship by descent if later ‘satisfied’ that applicant was not of good character</w:t>
      </w:r>
      <w:bookmarkEnd w:id="34"/>
      <w:bookmarkEnd w:id="35"/>
    </w:p>
    <w:p w14:paraId="7010C3DF" w14:textId="77777777" w:rsidR="00EC7B8E" w:rsidRDefault="00C302B3" w:rsidP="00EC7B8E">
      <w:pPr>
        <w:pStyle w:val="SubmissionNormal"/>
        <w:tabs>
          <w:tab w:val="clear" w:pos="720"/>
        </w:tabs>
        <w:ind w:hanging="720"/>
      </w:pPr>
      <w:r>
        <w:t>A person qualifies for citizenship by descent, in broad terms, if they are born outside Australia and one of their parents is an Australian citizen.</w:t>
      </w:r>
      <w:r>
        <w:rPr>
          <w:rStyle w:val="EndnoteReference"/>
        </w:rPr>
        <w:endnoteReference w:id="98"/>
      </w:r>
      <w:r>
        <w:t xml:space="preserve">  </w:t>
      </w:r>
      <w:r w:rsidR="00EC7B8E">
        <w:t xml:space="preserve">People applying for citizenship by descent currently </w:t>
      </w:r>
      <w:r>
        <w:t xml:space="preserve">also </w:t>
      </w:r>
      <w:r w:rsidR="00EC7B8E">
        <w:t>need to satisfy the Minister that they are of good character.</w:t>
      </w:r>
      <w:r w:rsidR="00EC7B8E">
        <w:rPr>
          <w:rStyle w:val="EndnoteReference"/>
        </w:rPr>
        <w:endnoteReference w:id="99"/>
      </w:r>
      <w:r w:rsidR="00EC7B8E">
        <w:t xml:space="preserve"> </w:t>
      </w:r>
    </w:p>
    <w:p w14:paraId="4E3745CF" w14:textId="77777777" w:rsidR="00EC7B8E" w:rsidRDefault="00EC7B8E" w:rsidP="00EC7B8E">
      <w:pPr>
        <w:pStyle w:val="SubmissionNormal"/>
        <w:tabs>
          <w:tab w:val="clear" w:pos="720"/>
        </w:tabs>
        <w:ind w:hanging="720"/>
      </w:pPr>
      <w:r>
        <w:t>Currently, s 19A provides that a person does not become an Australian citizen by descent, even if approved, unless a parent of the person was in fact an Australian citizen.</w:t>
      </w:r>
      <w:r w:rsidR="00C302B3">
        <w:t xml:space="preserve">  The Government recognises that </w:t>
      </w:r>
      <w:r w:rsidR="000161CE">
        <w:t>the mandatory nature of this provision has the potential to cause unfairness, for example if a person has been in Australia for a long period of time as a citizen but it is later discovered that they did not have an Australian citizen parent when they were born.</w:t>
      </w:r>
    </w:p>
    <w:p w14:paraId="397E0385" w14:textId="77777777" w:rsidR="00EC7B8E" w:rsidRDefault="00EC7B8E" w:rsidP="00EC7B8E">
      <w:pPr>
        <w:pStyle w:val="SubmissionNormal"/>
        <w:tabs>
          <w:tab w:val="clear" w:pos="720"/>
        </w:tabs>
        <w:ind w:hanging="720"/>
      </w:pPr>
      <w:r>
        <w:t xml:space="preserve">The Bill proposes to remove </w:t>
      </w:r>
      <w:r w:rsidR="00CE41A7">
        <w:t xml:space="preserve">the mandatory </w:t>
      </w:r>
      <w:r>
        <w:t>s 19A and replace it with a broader discretionary power</w:t>
      </w:r>
      <w:r w:rsidR="00CE41A7">
        <w:t xml:space="preserve"> vested in the Minister to revoke citizenship by descent</w:t>
      </w:r>
      <w:r>
        <w:t xml:space="preserve">. </w:t>
      </w:r>
      <w:r w:rsidR="00CE41A7">
        <w:t xml:space="preserve"> </w:t>
      </w:r>
      <w:r>
        <w:t xml:space="preserve">Proposed s 33A </w:t>
      </w:r>
      <w:r w:rsidR="00CE41A7">
        <w:t>would</w:t>
      </w:r>
      <w:r>
        <w:t xml:space="preserve"> give the Minister </w:t>
      </w:r>
      <w:r w:rsidR="00CE41A7">
        <w:t xml:space="preserve">the </w:t>
      </w:r>
      <w:r>
        <w:t>discretion to revoke a person’s citizenship obtained by descent ‘if the Minister is satisfied that the approval should not have been given’.</w:t>
      </w:r>
      <w:r>
        <w:rPr>
          <w:rStyle w:val="EndnoteReference"/>
        </w:rPr>
        <w:endnoteReference w:id="100"/>
      </w:r>
      <w:r w:rsidR="00CE41A7">
        <w:t xml:space="preserve">  However, this discretion would apply to </w:t>
      </w:r>
      <w:r w:rsidR="00CE41A7" w:rsidRPr="000161CE">
        <w:rPr>
          <w:b/>
        </w:rPr>
        <w:t>all</w:t>
      </w:r>
      <w:r w:rsidR="00CE41A7">
        <w:t xml:space="preserve"> elements of the eligibility requirements for citizenship by descent, including the character requirements.  </w:t>
      </w:r>
    </w:p>
    <w:p w14:paraId="3259DFAE" w14:textId="77777777" w:rsidR="00EC7B8E" w:rsidRDefault="00EC7B8E" w:rsidP="00EC7B8E">
      <w:pPr>
        <w:pStyle w:val="SubmissionNormal"/>
        <w:tabs>
          <w:tab w:val="clear" w:pos="720"/>
        </w:tabs>
        <w:ind w:hanging="720"/>
      </w:pPr>
      <w:r>
        <w:t>Significantly,</w:t>
      </w:r>
      <w:r w:rsidR="00CE41A7">
        <w:t xml:space="preserve"> this means that </w:t>
      </w:r>
      <w:r>
        <w:t>s 33A will allow the Minister to revoke citizenship by descent if the Minister later becomes satisfied that the person was not of good character at the time they were registered as a citizen.</w:t>
      </w:r>
      <w:r>
        <w:rPr>
          <w:rStyle w:val="EndnoteReference"/>
        </w:rPr>
        <w:endnoteReference w:id="101"/>
      </w:r>
      <w:r w:rsidR="00CE41A7">
        <w:t xml:space="preserve">  There is no time limit for the exercise of this discretion. </w:t>
      </w:r>
    </w:p>
    <w:p w14:paraId="3CE6F24C" w14:textId="55ECA958" w:rsidR="00EC7B8E" w:rsidRPr="00822CFB" w:rsidRDefault="00EC7B8E" w:rsidP="00EC7B8E">
      <w:pPr>
        <w:pStyle w:val="SubmissionNormal"/>
        <w:tabs>
          <w:tab w:val="clear" w:pos="720"/>
        </w:tabs>
        <w:ind w:hanging="720"/>
      </w:pPr>
      <w:r>
        <w:t>This amendment raises similar problems as those set out</w:t>
      </w:r>
      <w:r w:rsidR="00562000">
        <w:t xml:space="preserve"> in section </w:t>
      </w:r>
      <w:r w:rsidR="00562000">
        <w:fldChar w:fldCharType="begin"/>
      </w:r>
      <w:r w:rsidR="00562000">
        <w:instrText xml:space="preserve"> REF _Ref486527964 \r \h </w:instrText>
      </w:r>
      <w:r w:rsidR="00562000">
        <w:fldChar w:fldCharType="separate"/>
      </w:r>
      <w:r w:rsidR="00286AA5">
        <w:t>5.3(b)</w:t>
      </w:r>
      <w:r w:rsidR="00562000">
        <w:fldChar w:fldCharType="end"/>
      </w:r>
      <w:r>
        <w:t xml:space="preserve"> above of uncertainty of citizenship status </w:t>
      </w:r>
      <w:r w:rsidR="00562000">
        <w:t xml:space="preserve">for a prolonged period of time </w:t>
      </w:r>
      <w:r>
        <w:t>and the prospect of citizenship being revoked ‘simply by an administrative action by government’.</w:t>
      </w:r>
      <w:r w:rsidR="00B9191D">
        <w:t xml:space="preserve">  It also creates problems of retrospectivity.  The Minister will be given the power to interfere with vested rights of citizenship based on a later assessment that a person </w:t>
      </w:r>
      <w:r w:rsidR="002803F5">
        <w:t xml:space="preserve">did not satisfy the requirement to be of </w:t>
      </w:r>
      <w:r w:rsidR="00B9191D">
        <w:t>good character when the application for citizenship was made.</w:t>
      </w:r>
      <w:r w:rsidR="00B9191D">
        <w:rPr>
          <w:rStyle w:val="EndnoteReference"/>
        </w:rPr>
        <w:endnoteReference w:id="102"/>
      </w:r>
      <w:r w:rsidR="00B9191D">
        <w:t xml:space="preserve"> </w:t>
      </w:r>
    </w:p>
    <w:p w14:paraId="02EA3085" w14:textId="77777777" w:rsidR="00FD45F2" w:rsidRDefault="00FD45F2" w:rsidP="007F2AF2">
      <w:pPr>
        <w:pStyle w:val="Heading1"/>
      </w:pPr>
      <w:bookmarkStart w:id="36" w:name="_Toc488410892"/>
      <w:r>
        <w:t>Reduced ability of particular groups to qualify for citizenship</w:t>
      </w:r>
      <w:bookmarkEnd w:id="36"/>
    </w:p>
    <w:p w14:paraId="6D5408CC" w14:textId="77777777" w:rsidR="007F2AF2" w:rsidRPr="00836FE1" w:rsidRDefault="007F2AF2" w:rsidP="00FD45F2">
      <w:pPr>
        <w:pStyle w:val="Heading2"/>
      </w:pPr>
      <w:bookmarkStart w:id="37" w:name="_Toc488410893"/>
      <w:r w:rsidRPr="00836FE1">
        <w:t xml:space="preserve">Ten year old children </w:t>
      </w:r>
      <w:r w:rsidR="00B6465B">
        <w:t xml:space="preserve">who were </w:t>
      </w:r>
      <w:r w:rsidRPr="00836FE1">
        <w:t>born in Australia</w:t>
      </w:r>
      <w:bookmarkEnd w:id="37"/>
    </w:p>
    <w:p w14:paraId="4BE279F0" w14:textId="77777777" w:rsidR="007F2AF2" w:rsidRDefault="007F2AF2" w:rsidP="007F2AF2">
      <w:pPr>
        <w:pStyle w:val="SubmissionNormal"/>
        <w:tabs>
          <w:tab w:val="clear" w:pos="720"/>
        </w:tabs>
        <w:ind w:hanging="720"/>
      </w:pPr>
      <w:r>
        <w:t>The Australian Citizenship Act currently provides that if a child is born in Australia and lives in Australia for 10 years then the child becomes an Australian citizen on his or her tenth birthday.</w:t>
      </w:r>
      <w:r>
        <w:rPr>
          <w:rStyle w:val="EndnoteReference"/>
        </w:rPr>
        <w:endnoteReference w:id="103"/>
      </w:r>
      <w:r>
        <w:t xml:space="preserve"> This provision is referred to below as the ‘</w:t>
      </w:r>
      <w:r w:rsidR="004B163A">
        <w:t>10</w:t>
      </w:r>
      <w:r>
        <w:t xml:space="preserve"> year rule’.</w:t>
      </w:r>
    </w:p>
    <w:p w14:paraId="4A6CD875" w14:textId="77777777" w:rsidR="007F2AF2" w:rsidRDefault="007F2AF2" w:rsidP="007F2AF2">
      <w:pPr>
        <w:pStyle w:val="SubmissionNormal"/>
        <w:tabs>
          <w:tab w:val="clear" w:pos="720"/>
        </w:tabs>
        <w:ind w:hanging="720"/>
      </w:pPr>
      <w:r>
        <w:t xml:space="preserve">The Australian Citizenship Council explained that the intention behind the </w:t>
      </w:r>
      <w:r w:rsidR="004B163A">
        <w:t>10</w:t>
      </w:r>
      <w:r>
        <w:t xml:space="preserve"> year rule is:</w:t>
      </w:r>
    </w:p>
    <w:p w14:paraId="4CB8EC66" w14:textId="77777777" w:rsidR="007F2AF2" w:rsidRPr="00E104B1" w:rsidRDefault="007F2AF2" w:rsidP="007F2AF2">
      <w:pPr>
        <w:pStyle w:val="SubmissionNormal"/>
        <w:numPr>
          <w:ilvl w:val="0"/>
          <w:numId w:val="0"/>
        </w:numPr>
        <w:ind w:left="1440"/>
        <w:rPr>
          <w:sz w:val="22"/>
        </w:rPr>
      </w:pPr>
      <w:r w:rsidRPr="00E104B1">
        <w:rPr>
          <w:sz w:val="22"/>
        </w:rPr>
        <w:t>to ensure that young children who have only known Australia as their home country in the first ten years are able to become Australian Citizens.</w:t>
      </w:r>
      <w:r>
        <w:rPr>
          <w:rStyle w:val="EndnoteReference"/>
        </w:rPr>
        <w:endnoteReference w:id="104"/>
      </w:r>
    </w:p>
    <w:p w14:paraId="6D51F478" w14:textId="77777777" w:rsidR="007F2AF2" w:rsidRDefault="007F2AF2" w:rsidP="007F2AF2">
      <w:pPr>
        <w:pStyle w:val="SubmissionNormal"/>
        <w:tabs>
          <w:tab w:val="clear" w:pos="720"/>
        </w:tabs>
        <w:ind w:hanging="720"/>
      </w:pPr>
      <w:r>
        <w:lastRenderedPageBreak/>
        <w:t xml:space="preserve">If passed, the Bill </w:t>
      </w:r>
      <w:r w:rsidR="00B6465B">
        <w:t>would</w:t>
      </w:r>
      <w:r>
        <w:t xml:space="preserve"> mean that the </w:t>
      </w:r>
      <w:r w:rsidR="004B163A">
        <w:t>10</w:t>
      </w:r>
      <w:r>
        <w:t xml:space="preserve"> year rule </w:t>
      </w:r>
      <w:r w:rsidR="001226D6">
        <w:t>no longer applies</w:t>
      </w:r>
      <w:r>
        <w:t xml:space="preserve"> to several </w:t>
      </w:r>
      <w:r w:rsidR="001226D6">
        <w:t>groups</w:t>
      </w:r>
      <w:r>
        <w:t xml:space="preserve"> of </w:t>
      </w:r>
      <w:r w:rsidR="001226D6">
        <w:t>children</w:t>
      </w:r>
      <w:r w:rsidR="00B6465B">
        <w:t xml:space="preserve"> who were born in Australia</w:t>
      </w:r>
      <w:r>
        <w:t xml:space="preserve">. Broadly speaking, these </w:t>
      </w:r>
      <w:r w:rsidR="00766AC9">
        <w:t>groups</w:t>
      </w:r>
      <w:r>
        <w:t xml:space="preserve"> are:</w:t>
      </w:r>
      <w:r>
        <w:rPr>
          <w:rStyle w:val="EndnoteReference"/>
        </w:rPr>
        <w:endnoteReference w:id="105"/>
      </w:r>
    </w:p>
    <w:p w14:paraId="7C1CA39D" w14:textId="77777777" w:rsidR="007F2AF2" w:rsidRDefault="007F2AF2" w:rsidP="007F2AF2">
      <w:pPr>
        <w:pStyle w:val="SubmissionNormal"/>
        <w:numPr>
          <w:ilvl w:val="1"/>
          <w:numId w:val="15"/>
        </w:numPr>
      </w:pPr>
      <w:r>
        <w:t>children of foreign diplomats</w:t>
      </w:r>
    </w:p>
    <w:p w14:paraId="71BDC055" w14:textId="77777777" w:rsidR="007F2AF2" w:rsidRDefault="007F2AF2" w:rsidP="007F2AF2">
      <w:pPr>
        <w:pStyle w:val="SubmissionNormal"/>
        <w:numPr>
          <w:ilvl w:val="1"/>
          <w:numId w:val="15"/>
        </w:numPr>
      </w:pPr>
      <w:r>
        <w:t xml:space="preserve">children who were ‘unlawful non-citizens’ at any time before their tenth birthday </w:t>
      </w:r>
    </w:p>
    <w:p w14:paraId="1788784A" w14:textId="77777777" w:rsidR="007F2AF2" w:rsidRDefault="007F2AF2" w:rsidP="007F2AF2">
      <w:pPr>
        <w:pStyle w:val="SubmissionNormal"/>
        <w:numPr>
          <w:ilvl w:val="1"/>
          <w:numId w:val="15"/>
        </w:numPr>
      </w:pPr>
      <w:r>
        <w:t xml:space="preserve">children </w:t>
      </w:r>
      <w:r w:rsidR="00B6465B">
        <w:t xml:space="preserve">(other than New Zealand citizens) </w:t>
      </w:r>
      <w:r>
        <w:t>who left Australia at any time before their tenth birthday and did not hold a visa entitling them to return to Australia</w:t>
      </w:r>
    </w:p>
    <w:p w14:paraId="697B68A6" w14:textId="77777777" w:rsidR="007F2AF2" w:rsidRDefault="007F2AF2" w:rsidP="007F2AF2">
      <w:pPr>
        <w:pStyle w:val="SubmissionNormal"/>
        <w:numPr>
          <w:ilvl w:val="1"/>
          <w:numId w:val="15"/>
        </w:numPr>
      </w:pPr>
      <w:r>
        <w:t>children who have a parent that was an ‘unlawful non-citizen’ and who did not hold a substantive visa when the child was born.</w:t>
      </w:r>
    </w:p>
    <w:p w14:paraId="3E6AAA3B" w14:textId="77777777" w:rsidR="007F2AF2" w:rsidRDefault="003E35B3" w:rsidP="007F2AF2">
      <w:pPr>
        <w:pStyle w:val="SubmissionNormal"/>
        <w:tabs>
          <w:tab w:val="clear" w:pos="720"/>
        </w:tabs>
        <w:ind w:hanging="720"/>
      </w:pPr>
      <w:r>
        <w:t>This submission</w:t>
      </w:r>
      <w:r w:rsidR="007F2AF2">
        <w:t xml:space="preserve"> will focus on two categories of children born in Australia: children of refugees and children of people who lawfully entered Australia but overstayed their visa.</w:t>
      </w:r>
    </w:p>
    <w:p w14:paraId="1D1171ED" w14:textId="77777777" w:rsidR="007F2AF2" w:rsidRPr="001B4974" w:rsidRDefault="007F2AF2" w:rsidP="001B4974">
      <w:pPr>
        <w:pStyle w:val="Heading3"/>
        <w:rPr>
          <w:sz w:val="28"/>
        </w:rPr>
      </w:pPr>
      <w:bookmarkStart w:id="38" w:name="_Toc488410894"/>
      <w:r w:rsidRPr="001B4974">
        <w:rPr>
          <w:sz w:val="28"/>
        </w:rPr>
        <w:t xml:space="preserve">Children of </w:t>
      </w:r>
      <w:r w:rsidR="00E43D5D" w:rsidRPr="001B4974">
        <w:rPr>
          <w:sz w:val="28"/>
        </w:rPr>
        <w:t xml:space="preserve">asylum seekers and </w:t>
      </w:r>
      <w:r w:rsidRPr="001B4974">
        <w:rPr>
          <w:sz w:val="28"/>
        </w:rPr>
        <w:t>refugees</w:t>
      </w:r>
      <w:bookmarkEnd w:id="38"/>
    </w:p>
    <w:p w14:paraId="414C586E" w14:textId="77777777" w:rsidR="00E43D5D" w:rsidRDefault="007F2AF2" w:rsidP="00A7389D">
      <w:pPr>
        <w:pStyle w:val="SubmissionNormal"/>
        <w:tabs>
          <w:tab w:val="clear" w:pos="720"/>
        </w:tabs>
        <w:ind w:hanging="720"/>
      </w:pPr>
      <w:r>
        <w:t xml:space="preserve">Under this Bill, children born in Australia to parents who are </w:t>
      </w:r>
      <w:r w:rsidR="00E43D5D">
        <w:t xml:space="preserve">asylum seekers and </w:t>
      </w:r>
      <w:r>
        <w:t xml:space="preserve">refugees may be denied citizenship when they turn </w:t>
      </w:r>
      <w:r w:rsidR="004B163A">
        <w:t>10</w:t>
      </w:r>
      <w:r>
        <w:t xml:space="preserve"> years old.</w:t>
      </w:r>
      <w:r w:rsidR="0094749B">
        <w:t xml:space="preserve">  </w:t>
      </w:r>
      <w:r w:rsidR="00E43D5D">
        <w:t>There are two ways in which this could occur.</w:t>
      </w:r>
    </w:p>
    <w:p w14:paraId="28E94ACE" w14:textId="71153F9F" w:rsidR="00E43D5D" w:rsidRDefault="00E43D5D" w:rsidP="007F2AF2">
      <w:pPr>
        <w:pStyle w:val="SubmissionNormal"/>
        <w:tabs>
          <w:tab w:val="clear" w:pos="720"/>
        </w:tabs>
        <w:ind w:hanging="720"/>
      </w:pPr>
      <w:r>
        <w:t xml:space="preserve">First, if a child is born </w:t>
      </w:r>
      <w:r w:rsidR="00E370D3">
        <w:t xml:space="preserve">in Australia </w:t>
      </w:r>
      <w:r>
        <w:t xml:space="preserve">to parents who are in immigration detention or in community detention, then the child will be an unlawful non-citizen when they are born.  </w:t>
      </w:r>
      <w:r w:rsidR="00E370D3">
        <w:t>Proposed s 12(4) mean</w:t>
      </w:r>
      <w:r w:rsidR="00064688">
        <w:t>s</w:t>
      </w:r>
      <w:r w:rsidR="00E370D3">
        <w:t xml:space="preserve"> that the 10 year rule would not apply to that child</w:t>
      </w:r>
      <w:r w:rsidR="00473805">
        <w:t xml:space="preserve">.  That is, </w:t>
      </w:r>
      <w:r w:rsidR="00E370D3">
        <w:t>even if t</w:t>
      </w:r>
      <w:r w:rsidR="00473805">
        <w:t xml:space="preserve">he child’s </w:t>
      </w:r>
      <w:r w:rsidR="00E370D3">
        <w:t>parents are ultimately found to be refugees</w:t>
      </w:r>
      <w:r w:rsidR="0094749B">
        <w:t xml:space="preserve"> and are granted </w:t>
      </w:r>
      <w:r w:rsidR="00E370D3">
        <w:t>protection visa</w:t>
      </w:r>
      <w:r w:rsidR="0094749B">
        <w:t>s</w:t>
      </w:r>
      <w:r w:rsidR="00473805">
        <w:t xml:space="preserve">, and the child </w:t>
      </w:r>
      <w:r w:rsidR="00064688">
        <w:t xml:space="preserve">is lawfully in Australia from that point until they turn 10 years old, </w:t>
      </w:r>
      <w:r w:rsidR="00B14BA7">
        <w:t>the child</w:t>
      </w:r>
      <w:r w:rsidR="00064688">
        <w:t xml:space="preserve"> will not be entitled to citizenship under the 10 year rule</w:t>
      </w:r>
      <w:r w:rsidR="00E370D3">
        <w:t>.</w:t>
      </w:r>
      <w:r w:rsidR="0094749B">
        <w:t xml:space="preserve">  Significantly, s 12(4) applies with retrospective effect.  That is, it applies to children who have already been born in Australia, but who have not yet turned 10 years old, if they were unlawful non-citizens for any period of time</w:t>
      </w:r>
      <w:r w:rsidR="00AA4FD7">
        <w:t>,</w:t>
      </w:r>
      <w:r w:rsidR="0094749B">
        <w:t xml:space="preserve"> however brief.</w:t>
      </w:r>
      <w:r w:rsidR="0094749B">
        <w:rPr>
          <w:rStyle w:val="EndnoteReference"/>
        </w:rPr>
        <w:endnoteReference w:id="106"/>
      </w:r>
      <w:r w:rsidR="004374D8">
        <w:t xml:space="preserve">  The Scrutiny of Bills Committee has raised concerns about the fairness of the retrospective application of this provision.</w:t>
      </w:r>
      <w:r w:rsidR="004374D8">
        <w:rPr>
          <w:rStyle w:val="EndnoteReference"/>
        </w:rPr>
        <w:endnoteReference w:id="107"/>
      </w:r>
      <w:r w:rsidR="002803F5">
        <w:t xml:space="preserve">  As noted by the Australian Law Reform Commission in its report on </w:t>
      </w:r>
      <w:r w:rsidR="002803F5" w:rsidRPr="00C50E8C">
        <w:rPr>
          <w:i/>
        </w:rPr>
        <w:t>Traditional Rights and Freedoms</w:t>
      </w:r>
      <w:r w:rsidR="002803F5">
        <w:t xml:space="preserve">, the Scrutiny of Bills Committee will typically </w:t>
      </w:r>
      <w:r w:rsidR="00C50E8C">
        <w:t>seek a detailed explanation of the reasons why a Bill seeks to operate retrospectively, particularly when it will ‘trespass unduly on personal rights and liberties’ such as the eligibility of a person for citizenship.</w:t>
      </w:r>
      <w:r w:rsidR="00C50E8C">
        <w:rPr>
          <w:rStyle w:val="EndnoteReference"/>
        </w:rPr>
        <w:endnoteReference w:id="108"/>
      </w:r>
    </w:p>
    <w:p w14:paraId="18E78852" w14:textId="77777777" w:rsidR="0094749B" w:rsidRDefault="0094749B" w:rsidP="007F2AF2">
      <w:pPr>
        <w:pStyle w:val="SubmissionNormal"/>
        <w:tabs>
          <w:tab w:val="clear" w:pos="720"/>
        </w:tabs>
        <w:ind w:hanging="720"/>
      </w:pPr>
      <w:r>
        <w:t xml:space="preserve">Secondly, if a child is born in Australia to parents who </w:t>
      </w:r>
      <w:r w:rsidR="00AA4FD7">
        <w:t>arrived in Australia as unlawful non-citizens but had been released from immigration detention into the community on a bridging visa, then the child will be taken to have been granted a bridging visa when they are born.</w:t>
      </w:r>
      <w:r w:rsidR="00AA4FD7">
        <w:rPr>
          <w:rStyle w:val="EndnoteReference"/>
        </w:rPr>
        <w:endnoteReference w:id="109"/>
      </w:r>
      <w:r w:rsidR="00AA4FD7">
        <w:t xml:space="preserve">  A bridging visa is not a substantive visa</w:t>
      </w:r>
      <w:r w:rsidR="00064688">
        <w:t>,</w:t>
      </w:r>
      <w:r w:rsidR="00E12B87">
        <w:rPr>
          <w:rStyle w:val="EndnoteReference"/>
        </w:rPr>
        <w:endnoteReference w:id="110"/>
      </w:r>
      <w:r w:rsidR="00064688">
        <w:t xml:space="preserve"> but a child who holds a bridging visa when they are born is a </w:t>
      </w:r>
      <w:r w:rsidR="00E12B87">
        <w:t>lawful non-citizen</w:t>
      </w:r>
      <w:r w:rsidR="00AA4FD7">
        <w:t>.</w:t>
      </w:r>
      <w:r w:rsidR="00AA4FD7">
        <w:rPr>
          <w:rStyle w:val="EndnoteReference"/>
        </w:rPr>
        <w:endnoteReference w:id="111"/>
      </w:r>
      <w:r w:rsidR="00473805">
        <w:t xml:space="preserve">  Proposed s 12(7) mean</w:t>
      </w:r>
      <w:r w:rsidR="00064688">
        <w:t>s</w:t>
      </w:r>
      <w:r w:rsidR="00473805">
        <w:t xml:space="preserve"> that the 10 year rule would not apply to that child</w:t>
      </w:r>
      <w:r w:rsidR="00064688">
        <w:t xml:space="preserve">.  </w:t>
      </w:r>
      <w:r w:rsidR="00B14BA7">
        <w:t xml:space="preserve">This will be because the child’s parents did not hold a ‘substantive visa’ when the child was born, the parents entered Australia </w:t>
      </w:r>
      <w:r w:rsidR="00B14BA7">
        <w:lastRenderedPageBreak/>
        <w:t>before the child was born, and when they first entered Australia the parents were unlawful non-citizens.  E</w:t>
      </w:r>
      <w:r w:rsidR="00064688">
        <w:t xml:space="preserve">ven if the child’s parents are ultimately found to be refugees and are granted protection visas, and </w:t>
      </w:r>
      <w:r w:rsidR="00B14BA7">
        <w:t xml:space="preserve">even if </w:t>
      </w:r>
      <w:r w:rsidR="00064688">
        <w:t xml:space="preserve">the child has been lawfully in Australia for </w:t>
      </w:r>
      <w:r w:rsidR="007F78FE">
        <w:t>his or her</w:t>
      </w:r>
      <w:r w:rsidR="00064688">
        <w:t xml:space="preserve"> entire life up to the age of 10, </w:t>
      </w:r>
      <w:r w:rsidR="007F78FE">
        <w:t xml:space="preserve">the </w:t>
      </w:r>
      <w:r w:rsidR="007B501A">
        <w:t>child</w:t>
      </w:r>
      <w:r w:rsidR="00064688">
        <w:t xml:space="preserve"> will not be entitled to citizenship under the 10 year rule.  </w:t>
      </w:r>
      <w:r w:rsidR="00473805">
        <w:t>Section 12(7) applies to children born in Australia after the commencement of the section.</w:t>
      </w:r>
    </w:p>
    <w:p w14:paraId="05657035" w14:textId="77777777" w:rsidR="007F2AF2" w:rsidRDefault="009D09F2" w:rsidP="007F2AF2">
      <w:pPr>
        <w:pStyle w:val="SubmissionNormal"/>
        <w:tabs>
          <w:tab w:val="clear" w:pos="720"/>
        </w:tabs>
        <w:ind w:hanging="720"/>
      </w:pPr>
      <w:r>
        <w:t xml:space="preserve">These proposed sections </w:t>
      </w:r>
      <w:r w:rsidR="007F2AF2">
        <w:t xml:space="preserve">would deny citizenship by birth to certain children born in Australia solely based on the immigration status of the child’s parents. The child may have held </w:t>
      </w:r>
      <w:r w:rsidR="007F78FE">
        <w:t xml:space="preserve">valid </w:t>
      </w:r>
      <w:r w:rsidR="007F2AF2">
        <w:t>visa</w:t>
      </w:r>
      <w:r w:rsidR="007F78FE">
        <w:t>s</w:t>
      </w:r>
      <w:r w:rsidR="007F2AF2">
        <w:t xml:space="preserve"> and been lawfully present in Australia for his or her entire life, but will be denied citizenship </w:t>
      </w:r>
      <w:r>
        <w:t xml:space="preserve">under the 10 year rule </w:t>
      </w:r>
      <w:r w:rsidR="007F2AF2">
        <w:t xml:space="preserve">because his or her parents </w:t>
      </w:r>
      <w:r>
        <w:t>arrived in Australia without a valid visa</w:t>
      </w:r>
      <w:r w:rsidR="007F2AF2">
        <w:t xml:space="preserve">. </w:t>
      </w:r>
    </w:p>
    <w:p w14:paraId="1F8E607F" w14:textId="77777777" w:rsidR="007F2AF2" w:rsidRDefault="007F2AF2" w:rsidP="007F2AF2">
      <w:pPr>
        <w:pStyle w:val="SubmissionNormal"/>
        <w:tabs>
          <w:tab w:val="clear" w:pos="720"/>
        </w:tabs>
        <w:ind w:hanging="720"/>
      </w:pPr>
      <w:r>
        <w:t>In its report to the Australian Government in 2000, the Australian Citizenship Council noted that a central role of Australian citizenship laws in the foreseeable future would be to include migrants and humanitarian entrants as full participants in a multicultural Australian society.</w:t>
      </w:r>
      <w:r>
        <w:rPr>
          <w:rStyle w:val="EndnoteReference"/>
        </w:rPr>
        <w:endnoteReference w:id="112"/>
      </w:r>
      <w:r>
        <w:t xml:space="preserve"> The Council recommended that:</w:t>
      </w:r>
    </w:p>
    <w:p w14:paraId="3418A74D" w14:textId="77777777" w:rsidR="007F2AF2" w:rsidRPr="005E6EB9" w:rsidRDefault="007F2AF2" w:rsidP="007F2AF2">
      <w:pPr>
        <w:pStyle w:val="SubmissionNormal"/>
        <w:numPr>
          <w:ilvl w:val="0"/>
          <w:numId w:val="0"/>
        </w:numPr>
        <w:ind w:left="1440"/>
        <w:rPr>
          <w:sz w:val="22"/>
        </w:rPr>
      </w:pPr>
      <w:r w:rsidRPr="005E6EB9">
        <w:rPr>
          <w:sz w:val="22"/>
        </w:rPr>
        <w:t>the overall inclusive and non-discriminatory approach to Australian Citizenship, that is characterised in current Australian Citizenship law, of welcoming, without undue barriers, migrants and humanitarian entrants who come to Australia as part of the planned migration and humanitarian program, continue to be accepted by governments as the basis for future Australian Citizenship policy and law.</w:t>
      </w:r>
      <w:r>
        <w:rPr>
          <w:rStyle w:val="EndnoteReference"/>
        </w:rPr>
        <w:endnoteReference w:id="113"/>
      </w:r>
    </w:p>
    <w:p w14:paraId="30D71389" w14:textId="77777777" w:rsidR="007F2AF2" w:rsidRDefault="007F2AF2" w:rsidP="007F2AF2">
      <w:pPr>
        <w:pStyle w:val="SubmissionNormal"/>
        <w:tabs>
          <w:tab w:val="clear" w:pos="720"/>
        </w:tabs>
        <w:ind w:hanging="720"/>
      </w:pPr>
      <w:r>
        <w:t xml:space="preserve">The Commission agrees with the ‘inclusive and non-discriminatory approach’ articulated by the Council and considers that this should apply to </w:t>
      </w:r>
      <w:r w:rsidR="00587FDB">
        <w:t>refugees in Australia to whom Australia has acknowledged it has protection obligations</w:t>
      </w:r>
      <w:r>
        <w:t>.</w:t>
      </w:r>
    </w:p>
    <w:p w14:paraId="46152B16" w14:textId="781B50CA" w:rsidR="007F2AF2" w:rsidRDefault="007F2AF2" w:rsidP="007F2AF2">
      <w:pPr>
        <w:pStyle w:val="SubmissionNormal"/>
        <w:tabs>
          <w:tab w:val="clear" w:pos="720"/>
        </w:tabs>
        <w:ind w:hanging="720"/>
      </w:pPr>
      <w:r>
        <w:t xml:space="preserve">Article 7(1) of the CRC provides that </w:t>
      </w:r>
      <w:r w:rsidR="002A65D1">
        <w:t xml:space="preserve">every child has </w:t>
      </w:r>
      <w:r>
        <w:t>‘the right to acquire a nationality’. The same provision appears in article 24(3) of the ICCPR. The UN Human Rights Committee has said that:</w:t>
      </w:r>
    </w:p>
    <w:p w14:paraId="3522CD4D" w14:textId="68F8BD2A" w:rsidR="007F2AF2" w:rsidRPr="00953F06" w:rsidRDefault="007F2AF2" w:rsidP="007F2AF2">
      <w:pPr>
        <w:pStyle w:val="SubmissionNormal"/>
        <w:numPr>
          <w:ilvl w:val="0"/>
          <w:numId w:val="0"/>
        </w:numPr>
        <w:ind w:left="1440"/>
        <w:rPr>
          <w:sz w:val="22"/>
        </w:rPr>
      </w:pPr>
      <w:r w:rsidRPr="00953F06">
        <w:rPr>
          <w:sz w:val="22"/>
        </w:rPr>
        <w:t>While the purpose of this provision is to prevent a child from being afforded less protection by society and the State because he is stateless, it does not necessarily make it an obligation for States to give their nationality to every child born in their territory.</w:t>
      </w:r>
      <w:r w:rsidR="007568E5">
        <w:rPr>
          <w:rStyle w:val="EndnoteReference"/>
        </w:rPr>
        <w:endnoteReference w:id="114"/>
      </w:r>
    </w:p>
    <w:p w14:paraId="132AC271" w14:textId="77777777" w:rsidR="007F2AF2" w:rsidRDefault="007F2AF2" w:rsidP="007F2AF2">
      <w:pPr>
        <w:pStyle w:val="SubmissionNormal"/>
        <w:tabs>
          <w:tab w:val="clear" w:pos="720"/>
        </w:tabs>
        <w:ind w:hanging="720"/>
      </w:pPr>
      <w:r>
        <w:t>Nevertheless, where rights to citizenship are implemented by states ‘in accordance with their national law’,</w:t>
      </w:r>
      <w:r>
        <w:rPr>
          <w:rStyle w:val="EndnoteReference"/>
        </w:rPr>
        <w:endnoteReference w:id="115"/>
      </w:r>
      <w:r>
        <w:t xml:space="preserve"> these rights are to be ensured without discrimination of any kind including the status of the children’s parents.</w:t>
      </w:r>
      <w:r>
        <w:rPr>
          <w:rStyle w:val="EndnoteReference"/>
        </w:rPr>
        <w:endnoteReference w:id="116"/>
      </w:r>
      <w:r>
        <w:t xml:space="preserve"> The Human Rights Committee has emphasised that there should be no discrimination in accessing citizenship, for example, based on whether children are legitimate or based on the nationality status of one or both of the parents.</w:t>
      </w:r>
      <w:r w:rsidR="00691B53">
        <w:rPr>
          <w:rStyle w:val="EndnoteReference"/>
        </w:rPr>
        <w:endnoteReference w:id="117"/>
      </w:r>
      <w:r>
        <w:t xml:space="preserve"> </w:t>
      </w:r>
    </w:p>
    <w:p w14:paraId="6A7216C1" w14:textId="77777777" w:rsidR="007F2AF2" w:rsidRDefault="007F2AF2" w:rsidP="007F2AF2">
      <w:pPr>
        <w:pStyle w:val="SubmissionNormal"/>
        <w:tabs>
          <w:tab w:val="clear" w:pos="720"/>
        </w:tabs>
        <w:ind w:hanging="720"/>
      </w:pPr>
      <w:r>
        <w:t xml:space="preserve">This Bill would discriminate </w:t>
      </w:r>
      <w:r w:rsidR="005360A2">
        <w:t xml:space="preserve">against </w:t>
      </w:r>
      <w:r w:rsidR="0055023D">
        <w:t xml:space="preserve">certain </w:t>
      </w:r>
      <w:r>
        <w:t xml:space="preserve">children who were born in Australia and have been lawfully present in Australia for </w:t>
      </w:r>
      <w:r w:rsidR="00691B53">
        <w:t xml:space="preserve">up to </w:t>
      </w:r>
      <w:r>
        <w:t>10 years</w:t>
      </w:r>
      <w:r w:rsidR="00AA132E">
        <w:t xml:space="preserve"> (and in some cases for the whole of their lives)</w:t>
      </w:r>
      <w:r>
        <w:t>, based on the initial immigration status of their parents. The Explanatory Memorandum to the Bill does not deal with this issue at all</w:t>
      </w:r>
      <w:r w:rsidR="00CB00E2">
        <w:t>, despite it being raised by the Commission in relation to the 2014 Bill</w:t>
      </w:r>
      <w:r>
        <w:t>.</w:t>
      </w:r>
      <w:r>
        <w:rPr>
          <w:rStyle w:val="EndnoteReference"/>
        </w:rPr>
        <w:endnoteReference w:id="118"/>
      </w:r>
      <w:r>
        <w:t xml:space="preserve"> No legitimate object has been put forward in order to justify the </w:t>
      </w:r>
      <w:r>
        <w:lastRenderedPageBreak/>
        <w:t>discriminatory treatment. In the absence of a legitimate object, the provisions will be in breach of articles 2 and 7 of the CRC</w:t>
      </w:r>
      <w:r w:rsidR="0002304F">
        <w:t xml:space="preserve"> and articles 2 and 24(3) of the ICCPR</w:t>
      </w:r>
      <w:r>
        <w:t>.</w:t>
      </w:r>
    </w:p>
    <w:p w14:paraId="35DFE2AD" w14:textId="77777777" w:rsidR="002A2641" w:rsidRDefault="002A2641" w:rsidP="0055023D">
      <w:pPr>
        <w:pStyle w:val="SubmissionNormal"/>
        <w:tabs>
          <w:tab w:val="clear" w:pos="720"/>
        </w:tabs>
        <w:ind w:hanging="720"/>
      </w:pPr>
      <w:r>
        <w:t>In some instances, the proposed changes to</w:t>
      </w:r>
      <w:r w:rsidR="009B69F3">
        <w:t xml:space="preserve"> the 10 year rule may result in </w:t>
      </w:r>
      <w:r>
        <w:t>children facing long-term exclusion from effective citizenship. While the</w:t>
      </w:r>
      <w:r w:rsidR="004D3423">
        <w:t xml:space="preserve"> </w:t>
      </w:r>
      <w:r>
        <w:t xml:space="preserve">children of asylum seekers and refugees may remain citizens of their parents’ country of origin, they may be unable to enjoy the benefits of that citizenship due to having a well-founded fear of persecution in that country. </w:t>
      </w:r>
      <w:r w:rsidR="00FE3584">
        <w:t>T</w:t>
      </w:r>
      <w:r>
        <w:t xml:space="preserve">his lack of access to effective citizenship may amount to </w:t>
      </w:r>
      <w:r w:rsidRPr="002A2641">
        <w:rPr>
          <w:i/>
        </w:rPr>
        <w:t xml:space="preserve">de facto </w:t>
      </w:r>
      <w:r>
        <w:t xml:space="preserve">statelessness. </w:t>
      </w:r>
      <w:r w:rsidR="00E20AC4">
        <w:t>For example, i</w:t>
      </w:r>
      <w:r w:rsidR="00FE3584">
        <w:t>t has been argued that</w:t>
      </w:r>
      <w:r w:rsidR="00E20AC4">
        <w:t xml:space="preserve"> </w:t>
      </w:r>
      <w:r w:rsidR="009E41D0">
        <w:t xml:space="preserve">refugees, by virtue of being unable or unwilling to avail themselves of the protection of their country of nationality, are in effect </w:t>
      </w:r>
      <w:r w:rsidR="009E41D0" w:rsidRPr="005537E6">
        <w:rPr>
          <w:i/>
        </w:rPr>
        <w:t>de facto</w:t>
      </w:r>
      <w:r w:rsidR="009E41D0">
        <w:t xml:space="preserve"> stateless.</w:t>
      </w:r>
      <w:r w:rsidR="00DF31AC">
        <w:rPr>
          <w:rStyle w:val="EndnoteReference"/>
        </w:rPr>
        <w:endnoteReference w:id="119"/>
      </w:r>
    </w:p>
    <w:p w14:paraId="6907C449" w14:textId="77777777" w:rsidR="00E54BAD" w:rsidRDefault="002A2641" w:rsidP="0072683A">
      <w:pPr>
        <w:pStyle w:val="SubmissionNormal"/>
        <w:tabs>
          <w:tab w:val="clear" w:pos="720"/>
        </w:tabs>
        <w:ind w:hanging="720"/>
      </w:pPr>
      <w:r>
        <w:t xml:space="preserve">If children in these circumstances can no longer obtain citizenship under the 10 year rule, they may have no means of accessing effective citizenship and its associated rights. As a result, the proposed changes may in some cases engage Australia’s obligations </w:t>
      </w:r>
      <w:r w:rsidR="00E54BAD">
        <w:t>relating to stateless people.</w:t>
      </w:r>
      <w:r w:rsidR="0087764D">
        <w:rPr>
          <w:rStyle w:val="EndnoteReference"/>
        </w:rPr>
        <w:endnoteReference w:id="120"/>
      </w:r>
      <w:r w:rsidR="00E54BAD">
        <w:rPr>
          <w:rStyle w:val="CommentReference"/>
          <w:rFonts w:eastAsia="MS Mincho"/>
        </w:rPr>
        <w:t xml:space="preserve"> </w:t>
      </w:r>
      <w:r w:rsidR="005360A2">
        <w:t xml:space="preserve"> In particular, </w:t>
      </w:r>
      <w:r w:rsidR="00872EF0">
        <w:t xml:space="preserve">the Commission notes </w:t>
      </w:r>
      <w:r w:rsidR="005360A2">
        <w:t>Australia</w:t>
      </w:r>
      <w:r w:rsidR="00872EF0">
        <w:t>’s</w:t>
      </w:r>
      <w:r w:rsidR="005360A2">
        <w:t xml:space="preserve"> obligation under Article 7(2) of the CRC to ensure the implementation of the right of the child to acquire a nationality in accordance with </w:t>
      </w:r>
      <w:r w:rsidR="00872EF0">
        <w:t>its</w:t>
      </w:r>
      <w:r w:rsidR="005360A2">
        <w:t xml:space="preserve"> obligations under relevant international instruments, in particular where the child would otherwise be stateless.</w:t>
      </w:r>
      <w:r w:rsidR="000058A2">
        <w:t xml:space="preserve"> Australi</w:t>
      </w:r>
      <w:r w:rsidR="00580BC2">
        <w:t>a also has an obligation under A</w:t>
      </w:r>
      <w:r w:rsidR="000058A2">
        <w:t>rticle 3</w:t>
      </w:r>
      <w:r w:rsidR="00F6356B">
        <w:t>4</w:t>
      </w:r>
      <w:r w:rsidR="000058A2">
        <w:t xml:space="preserve"> to </w:t>
      </w:r>
      <w:r w:rsidR="0072683A">
        <w:t xml:space="preserve">of </w:t>
      </w:r>
      <w:r w:rsidR="00E54BAD">
        <w:t xml:space="preserve">the </w:t>
      </w:r>
      <w:r w:rsidR="00E54BAD" w:rsidRPr="0072683A">
        <w:rPr>
          <w:i/>
        </w:rPr>
        <w:t xml:space="preserve">Convention relating to the Status of Refugees </w:t>
      </w:r>
      <w:r w:rsidR="00E54BAD">
        <w:t>to facilitate and expedite</w:t>
      </w:r>
      <w:r w:rsidR="00EA3398">
        <w:t xml:space="preserve"> the naturalisation of refugees.</w:t>
      </w:r>
    </w:p>
    <w:p w14:paraId="6A02229F" w14:textId="77777777" w:rsidR="007F2AF2" w:rsidRPr="001B4974" w:rsidRDefault="007F2AF2" w:rsidP="001B4974">
      <w:pPr>
        <w:pStyle w:val="Heading3"/>
        <w:rPr>
          <w:sz w:val="28"/>
        </w:rPr>
      </w:pPr>
      <w:bookmarkStart w:id="39" w:name="_Toc488410895"/>
      <w:r w:rsidRPr="001B4974">
        <w:rPr>
          <w:sz w:val="28"/>
        </w:rPr>
        <w:t>Children of parents who overstayed their visa</w:t>
      </w:r>
      <w:bookmarkEnd w:id="39"/>
    </w:p>
    <w:p w14:paraId="6EF7227F" w14:textId="77777777" w:rsidR="007F2AF2" w:rsidRDefault="007F2AF2" w:rsidP="007F2AF2">
      <w:pPr>
        <w:pStyle w:val="SubmissionNormal"/>
        <w:tabs>
          <w:tab w:val="clear" w:pos="720"/>
        </w:tabs>
        <w:ind w:hanging="720"/>
      </w:pPr>
      <w:r>
        <w:t xml:space="preserve">A second category of children born in Australia who will be denied citizenship when they turn </w:t>
      </w:r>
      <w:r w:rsidR="004B163A">
        <w:t>10</w:t>
      </w:r>
      <w:r>
        <w:t xml:space="preserve"> years old comprises children who </w:t>
      </w:r>
      <w:r w:rsidR="00C105F6">
        <w:t xml:space="preserve">born to parents who arrived in Australia lawfully but who overstayed their visas and became unlawful </w:t>
      </w:r>
      <w:r>
        <w:t xml:space="preserve">non-citizens at any time prior to </w:t>
      </w:r>
      <w:r w:rsidR="00C105F6">
        <w:t xml:space="preserve">the child’s </w:t>
      </w:r>
      <w:r>
        <w:t>tenth birthday.</w:t>
      </w:r>
      <w:r>
        <w:rPr>
          <w:rStyle w:val="EndnoteReference"/>
        </w:rPr>
        <w:endnoteReference w:id="121"/>
      </w:r>
    </w:p>
    <w:p w14:paraId="19F36231" w14:textId="77777777" w:rsidR="002D73AA" w:rsidRDefault="002D73AA" w:rsidP="007F2AF2">
      <w:pPr>
        <w:pStyle w:val="SubmissionNormal"/>
        <w:tabs>
          <w:tab w:val="clear" w:pos="720"/>
        </w:tabs>
        <w:ind w:hanging="720"/>
      </w:pPr>
      <w:r>
        <w:t>As noted above:</w:t>
      </w:r>
    </w:p>
    <w:p w14:paraId="290AB59D" w14:textId="77777777" w:rsidR="002D73AA" w:rsidRDefault="00C105F6" w:rsidP="002D73AA">
      <w:pPr>
        <w:pStyle w:val="SubmissionNormal"/>
        <w:numPr>
          <w:ilvl w:val="1"/>
          <w:numId w:val="15"/>
        </w:numPr>
      </w:pPr>
      <w:r>
        <w:t>p</w:t>
      </w:r>
      <w:r w:rsidR="007F2AF2">
        <w:t xml:space="preserve">roposed s 12(4) provides that a child who is born in Australia and lives in Australia until he or she turns ten does not become a citizen if at any time he or </w:t>
      </w:r>
      <w:r w:rsidR="002D73AA">
        <w:t>she was an unlawful non-citizen; and</w:t>
      </w:r>
    </w:p>
    <w:p w14:paraId="1AE60A46" w14:textId="77777777" w:rsidR="007F2AF2" w:rsidRDefault="002D73AA" w:rsidP="002D73AA">
      <w:pPr>
        <w:pStyle w:val="SubmissionNormal"/>
        <w:numPr>
          <w:ilvl w:val="1"/>
          <w:numId w:val="15"/>
        </w:numPr>
      </w:pPr>
      <w:r>
        <w:t>t</w:t>
      </w:r>
      <w:r w:rsidR="00B83EC3">
        <w:t xml:space="preserve">his provision </w:t>
      </w:r>
      <w:r>
        <w:t>has retrospective effect in that it applies to children who have already been born in Australia, but who have not yet turned 10 years old, if they were unlawful non-citizens for any period of time</w:t>
      </w:r>
      <w:r w:rsidR="00B83EC3">
        <w:t>.</w:t>
      </w:r>
      <w:r w:rsidR="00B83EC3">
        <w:rPr>
          <w:rStyle w:val="EndnoteReference"/>
        </w:rPr>
        <w:endnoteReference w:id="122"/>
      </w:r>
    </w:p>
    <w:p w14:paraId="0624E8CA" w14:textId="77777777" w:rsidR="00001E31" w:rsidRDefault="007F2AF2" w:rsidP="007F2AF2">
      <w:pPr>
        <w:pStyle w:val="SubmissionNormal"/>
        <w:tabs>
          <w:tab w:val="clear" w:pos="720"/>
        </w:tabs>
        <w:ind w:hanging="720"/>
      </w:pPr>
      <w:r>
        <w:t xml:space="preserve">The Government says that the aim of this amendment is to discourage ‘abuse of the </w:t>
      </w:r>
      <w:r w:rsidR="004B163A">
        <w:t>10</w:t>
      </w:r>
      <w:r>
        <w:t xml:space="preserve"> year rule by unlawful non-citizens’.</w:t>
      </w:r>
      <w:r>
        <w:rPr>
          <w:rStyle w:val="EndnoteReference"/>
        </w:rPr>
        <w:endnoteReference w:id="123"/>
      </w:r>
      <w:r>
        <w:t xml:space="preserve"> </w:t>
      </w:r>
      <w:r w:rsidR="00CF7374">
        <w:t xml:space="preserve"> </w:t>
      </w:r>
      <w:r w:rsidR="009A09E9">
        <w:t>T</w:t>
      </w:r>
      <w:r w:rsidR="006440F8">
        <w:t xml:space="preserve">he </w:t>
      </w:r>
      <w:r w:rsidR="009A09E9">
        <w:t xml:space="preserve">Australian Citizenship </w:t>
      </w:r>
      <w:r>
        <w:t xml:space="preserve">Council </w:t>
      </w:r>
      <w:r w:rsidR="006440F8">
        <w:t xml:space="preserve">reported </w:t>
      </w:r>
      <w:r w:rsidR="009A09E9">
        <w:t xml:space="preserve">on the 10 year rule </w:t>
      </w:r>
      <w:r w:rsidR="006440F8">
        <w:t xml:space="preserve">in February 2000 </w:t>
      </w:r>
      <w:r w:rsidR="009A09E9">
        <w:t xml:space="preserve">and said that </w:t>
      </w:r>
      <w:r>
        <w:t>‘there is no strong evidence of abuse of this provision occurring’.</w:t>
      </w:r>
      <w:r>
        <w:rPr>
          <w:rStyle w:val="EndnoteReference"/>
        </w:rPr>
        <w:endnoteReference w:id="124"/>
      </w:r>
      <w:r>
        <w:t xml:space="preserve"> </w:t>
      </w:r>
      <w:r w:rsidR="00001E31">
        <w:t xml:space="preserve"> </w:t>
      </w:r>
      <w:r w:rsidR="009A09E9">
        <w:t xml:space="preserve">It recommended that the provisions relating to acquisition of citizenship by birth </w:t>
      </w:r>
      <w:r w:rsidR="00CF7374">
        <w:t>remain un</w:t>
      </w:r>
      <w:r w:rsidR="009A09E9">
        <w:t xml:space="preserve">changed but that </w:t>
      </w:r>
      <w:r>
        <w:t xml:space="preserve">the Government monitor the use of the </w:t>
      </w:r>
      <w:r w:rsidR="004B163A">
        <w:t>10</w:t>
      </w:r>
      <w:r>
        <w:t xml:space="preserve"> year rule and take appropriate action to tighten the provision if evidence of abuse emerged.</w:t>
      </w:r>
      <w:r>
        <w:rPr>
          <w:rStyle w:val="EndnoteReference"/>
        </w:rPr>
        <w:endnoteReference w:id="125"/>
      </w:r>
      <w:r w:rsidR="00001E31">
        <w:t xml:space="preserve">  </w:t>
      </w:r>
    </w:p>
    <w:p w14:paraId="51033A30" w14:textId="77777777" w:rsidR="007F2AF2" w:rsidRDefault="00001E31" w:rsidP="007F2AF2">
      <w:pPr>
        <w:pStyle w:val="SubmissionNormal"/>
        <w:tabs>
          <w:tab w:val="clear" w:pos="720"/>
        </w:tabs>
        <w:ind w:hanging="720"/>
      </w:pPr>
      <w:r>
        <w:lastRenderedPageBreak/>
        <w:t xml:space="preserve">The Explanatory Memorandum does not identify any ‘strong evidence of abuse’.  Instead, there </w:t>
      </w:r>
      <w:r w:rsidR="00E24B98">
        <w:t xml:space="preserve">are </w:t>
      </w:r>
      <w:r>
        <w:t>assertion</w:t>
      </w:r>
      <w:r w:rsidR="00E24B98">
        <w:t>s</w:t>
      </w:r>
      <w:r>
        <w:t xml:space="preserve"> </w:t>
      </w:r>
      <w:r w:rsidR="00E24B98">
        <w:t xml:space="preserve">in general terms </w:t>
      </w:r>
      <w:r>
        <w:t>that:</w:t>
      </w:r>
    </w:p>
    <w:p w14:paraId="03DC351C" w14:textId="77777777" w:rsidR="00E24B98" w:rsidRPr="00E24B98" w:rsidRDefault="00E24B98" w:rsidP="00E24B98">
      <w:pPr>
        <w:pStyle w:val="SubmissionNormal"/>
        <w:numPr>
          <w:ilvl w:val="0"/>
          <w:numId w:val="0"/>
        </w:numPr>
        <w:ind w:left="1440"/>
        <w:rPr>
          <w:sz w:val="22"/>
        </w:rPr>
      </w:pPr>
      <w:r w:rsidRPr="00E24B98">
        <w:rPr>
          <w:sz w:val="22"/>
        </w:rPr>
        <w:t>The ten-year rule has the practical effect of encouraging some temporary residents and unlawful non-citizens to have children in Australia and to keep their child onshore until at least their tenth birthday, whether lawfully or unlawfully.  These parents would then expect that their children would obtain Australian citizenship and provide an anchor for family migration and/or justification for a ministerial intervention request under the Migration Act.</w:t>
      </w:r>
      <w:r>
        <w:rPr>
          <w:rStyle w:val="EndnoteReference"/>
        </w:rPr>
        <w:endnoteReference w:id="126"/>
      </w:r>
    </w:p>
    <w:p w14:paraId="31EE1557" w14:textId="77777777" w:rsidR="00E24B98" w:rsidRDefault="00E24B98" w:rsidP="00E24B98">
      <w:pPr>
        <w:pStyle w:val="SubmissionNormal"/>
        <w:numPr>
          <w:ilvl w:val="0"/>
          <w:numId w:val="0"/>
        </w:numPr>
        <w:ind w:left="720" w:hanging="360"/>
      </w:pPr>
      <w:r>
        <w:tab/>
        <w:t>And:</w:t>
      </w:r>
    </w:p>
    <w:p w14:paraId="15B57DDB" w14:textId="77777777" w:rsidR="00001E31" w:rsidRPr="00001E31" w:rsidRDefault="00001E31" w:rsidP="00001E31">
      <w:pPr>
        <w:pStyle w:val="SubmissionNormal"/>
        <w:numPr>
          <w:ilvl w:val="0"/>
          <w:numId w:val="0"/>
        </w:numPr>
        <w:ind w:left="1440"/>
        <w:rPr>
          <w:sz w:val="22"/>
        </w:rPr>
      </w:pPr>
      <w:r w:rsidRPr="00001E31">
        <w:rPr>
          <w:sz w:val="22"/>
        </w:rPr>
        <w:t>People who do not meet the proposed requirements will no longer have an incentive to delay their departure from Australia until a child born to them in Australia has turned 10 years of age, in the expectation that the child will obtain citizenship and provide an anchor for family migration or justification for a ministerial intervention request under the Migration Act.</w:t>
      </w:r>
      <w:r>
        <w:rPr>
          <w:rStyle w:val="EndnoteReference"/>
        </w:rPr>
        <w:endnoteReference w:id="127"/>
      </w:r>
    </w:p>
    <w:p w14:paraId="6EA9E677" w14:textId="77777777" w:rsidR="007F2AF2" w:rsidRDefault="007F2AF2" w:rsidP="00A7389D">
      <w:pPr>
        <w:pStyle w:val="SubmissionNormal"/>
        <w:tabs>
          <w:tab w:val="clear" w:pos="720"/>
        </w:tabs>
        <w:ind w:hanging="720"/>
      </w:pPr>
      <w:r>
        <w:t>The use by the Government of the terminology ‘anchor’ echoes debates in the United States about ‘anchor babies’.</w:t>
      </w:r>
      <w:r>
        <w:rPr>
          <w:rStyle w:val="EndnoteReference"/>
        </w:rPr>
        <w:endnoteReference w:id="128"/>
      </w:r>
      <w:r>
        <w:t xml:space="preserve"> However, there are very significant differences between citizenship law in the United States and in Australia. The major difference is that the fourteenth amendment to the US Constitution provides that all persons born in the United States are citizens of the United States. This is often referred to as </w:t>
      </w:r>
      <w:r w:rsidRPr="00722D63">
        <w:rPr>
          <w:i/>
        </w:rPr>
        <w:t>jus soli</w:t>
      </w:r>
      <w:r>
        <w:t xml:space="preserve"> or birthright citizenship. The fourteenth amendment overruled the </w:t>
      </w:r>
      <w:r w:rsidRPr="00722D63">
        <w:rPr>
          <w:i/>
        </w:rPr>
        <w:t>Dred Scott</w:t>
      </w:r>
      <w:r>
        <w:t xml:space="preserve"> decision of the US Supreme Court in 1857 which had denied citizenship status to people of African descent born in the United States.</w:t>
      </w:r>
      <w:r>
        <w:rPr>
          <w:rStyle w:val="EndnoteReference"/>
        </w:rPr>
        <w:endnoteReference w:id="129"/>
      </w:r>
    </w:p>
    <w:p w14:paraId="06FB4E02" w14:textId="77777777" w:rsidR="007F2AF2" w:rsidRDefault="007F2AF2" w:rsidP="007F2AF2">
      <w:pPr>
        <w:pStyle w:val="SubmissionNormal"/>
        <w:tabs>
          <w:tab w:val="clear" w:pos="720"/>
        </w:tabs>
        <w:ind w:hanging="720"/>
      </w:pPr>
      <w:r w:rsidRPr="001D6172">
        <w:t>Birthright citizenship</w:t>
      </w:r>
      <w:r>
        <w:rPr>
          <w:i/>
        </w:rPr>
        <w:t xml:space="preserve"> </w:t>
      </w:r>
      <w:r>
        <w:t xml:space="preserve">was the legal position in Australia prior to 1986 but is no longer the position. Now, the </w:t>
      </w:r>
      <w:r w:rsidR="00722D63">
        <w:t>10</w:t>
      </w:r>
      <w:r>
        <w:t xml:space="preserve"> year rule provides that a person who </w:t>
      </w:r>
      <w:r w:rsidR="00520384">
        <w:t xml:space="preserve">is born in Australia and </w:t>
      </w:r>
      <w:r>
        <w:t xml:space="preserve">lives in Australia for 10 years after birth qualifies for citizenship. </w:t>
      </w:r>
    </w:p>
    <w:p w14:paraId="71EC500E" w14:textId="77777777" w:rsidR="007F2AF2" w:rsidRDefault="007F2AF2" w:rsidP="007F2AF2">
      <w:pPr>
        <w:pStyle w:val="SubmissionNormal"/>
        <w:tabs>
          <w:tab w:val="clear" w:pos="720"/>
        </w:tabs>
        <w:ind w:hanging="720"/>
      </w:pPr>
      <w:r>
        <w:t xml:space="preserve">There may be good policy reasons not to provide citizenship to anyone born in Australia at the time of their birth. However, very different questions arise when assessing whether someone who was born in Australia and has lived continuously in Australia for 10 years should be accorded citizenship. After </w:t>
      </w:r>
      <w:r w:rsidR="004B163A">
        <w:t>10</w:t>
      </w:r>
      <w:r>
        <w:t xml:space="preserve"> years, a person will have become integrated into the Australian community. As the Australian Citizenship Council noted above, the intention of the </w:t>
      </w:r>
      <w:r w:rsidR="004B163A">
        <w:t>10</w:t>
      </w:r>
      <w:r>
        <w:t xml:space="preserve"> year rule is to ensure that young children who have known only Australia as their home country in the first </w:t>
      </w:r>
      <w:r w:rsidR="004B163A">
        <w:t>10</w:t>
      </w:r>
      <w:r>
        <w:t xml:space="preserve"> years are able to become Australian </w:t>
      </w:r>
      <w:r w:rsidR="00AA132E">
        <w:t>c</w:t>
      </w:r>
      <w:r>
        <w:t>itizens.</w:t>
      </w:r>
    </w:p>
    <w:p w14:paraId="11C8252C" w14:textId="77777777" w:rsidR="007F2AF2" w:rsidRDefault="007F2AF2" w:rsidP="007F2AF2">
      <w:pPr>
        <w:pStyle w:val="SubmissionNormal"/>
        <w:tabs>
          <w:tab w:val="clear" w:pos="720"/>
        </w:tabs>
        <w:ind w:hanging="720"/>
      </w:pPr>
      <w:r>
        <w:t xml:space="preserve">The Government says that the aim of the amendment denying citizenship to </w:t>
      </w:r>
      <w:r w:rsidR="004B163A">
        <w:t>10</w:t>
      </w:r>
      <w:r>
        <w:t xml:space="preserve"> year olds if they have been an unlawful non-citizen at any point is to ‘encourage </w:t>
      </w:r>
      <w:r w:rsidR="00AA132E">
        <w:t xml:space="preserve">the use of </w:t>
      </w:r>
      <w:r>
        <w:t xml:space="preserve">lawful </w:t>
      </w:r>
      <w:r w:rsidR="00AA132E">
        <w:t>pathways to migration’</w:t>
      </w:r>
      <w:r>
        <w:t>.</w:t>
      </w:r>
      <w:r w:rsidR="00252D26">
        <w:rPr>
          <w:rStyle w:val="EndnoteReference"/>
        </w:rPr>
        <w:endnoteReference w:id="130"/>
      </w:r>
      <w:r>
        <w:t xml:space="preserve"> In assessing the balance between the desirability of a provision that encourages lawful </w:t>
      </w:r>
      <w:r w:rsidR="00252D26">
        <w:t xml:space="preserve">pathways to migration </w:t>
      </w:r>
      <w:r>
        <w:t xml:space="preserve">and the </w:t>
      </w:r>
      <w:r w:rsidR="003F607C">
        <w:t>obligation to take into account</w:t>
      </w:r>
      <w:r>
        <w:t xml:space="preserve"> the best interests of children born in Australia </w:t>
      </w:r>
      <w:r w:rsidR="003F607C">
        <w:t xml:space="preserve">as a primary consideration </w:t>
      </w:r>
      <w:r>
        <w:t xml:space="preserve">(article 3, CRC), the fact that </w:t>
      </w:r>
      <w:r w:rsidR="00252D26">
        <w:t xml:space="preserve">the child’s parents arrived in Australia lawfully, that </w:t>
      </w:r>
      <w:r>
        <w:t xml:space="preserve">the child has lived in Australia </w:t>
      </w:r>
      <w:r w:rsidR="00252D26">
        <w:t xml:space="preserve">continuously </w:t>
      </w:r>
      <w:r>
        <w:t>for 10 years and that Australia may be the only country the child knows will weigh much more heavily in favour of retaining the present provision.</w:t>
      </w:r>
    </w:p>
    <w:p w14:paraId="4646B4AB" w14:textId="77777777" w:rsidR="007F2AF2" w:rsidRDefault="007F2AF2" w:rsidP="007F2AF2">
      <w:pPr>
        <w:pStyle w:val="SubmissionNormal"/>
        <w:tabs>
          <w:tab w:val="clear" w:pos="720"/>
        </w:tabs>
        <w:ind w:hanging="720"/>
      </w:pPr>
      <w:r>
        <w:lastRenderedPageBreak/>
        <w:t>The difficulties that can arise are illustrated by the following case study:</w:t>
      </w:r>
    </w:p>
    <w:p w14:paraId="218DD9FE" w14:textId="77777777" w:rsidR="007F2AF2" w:rsidRPr="00A91B85" w:rsidRDefault="007F2AF2" w:rsidP="00252D26">
      <w:pPr>
        <w:pStyle w:val="SubmissionNormal"/>
        <w:keepNext/>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rPr>
          <w:b/>
        </w:rPr>
      </w:pPr>
      <w:r w:rsidRPr="00A91B85">
        <w:rPr>
          <w:b/>
        </w:rPr>
        <w:t>Case study: the Pak family</w:t>
      </w:r>
    </w:p>
    <w:p w14:paraId="59F09EE4" w14:textId="77777777" w:rsidR="007F2AF2"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t>In 2012, the Commission published a report about a complaint by a family of four who were at risk of being removed from Australia.</w:t>
      </w:r>
      <w:r>
        <w:rPr>
          <w:rStyle w:val="EndnoteReference"/>
        </w:rPr>
        <w:endnoteReference w:id="131"/>
      </w:r>
    </w:p>
    <w:p w14:paraId="7F0C84D0" w14:textId="77777777" w:rsidR="007F2AF2"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t xml:space="preserve">Mr Pak and Ms Mun were originally from South Korea. They first came to Australia when </w:t>
      </w:r>
      <w:r w:rsidRPr="000073CF">
        <w:t xml:space="preserve">they were 33 and 31 years old respectively and </w:t>
      </w:r>
      <w:r>
        <w:t xml:space="preserve">had </w:t>
      </w:r>
      <w:r w:rsidRPr="000073CF">
        <w:t>resided in Australia for more than 20 years.</w:t>
      </w:r>
    </w:p>
    <w:p w14:paraId="1E5026A9" w14:textId="77777777" w:rsidR="007F2AF2"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sidRPr="000073CF">
        <w:t>For the first 10 years that they were in Aus</w:t>
      </w:r>
      <w:r>
        <w:t>tralia, Mr Pak and Ms Mun were</w:t>
      </w:r>
      <w:r w:rsidRPr="000073CF">
        <w:t xml:space="preserve"> employed as cleaners. In 2001, they established a small </w:t>
      </w:r>
      <w:r w:rsidR="00DA7591">
        <w:t xml:space="preserve">cleaning </w:t>
      </w:r>
      <w:r w:rsidRPr="000073CF">
        <w:t xml:space="preserve">business. For the </w:t>
      </w:r>
      <w:r>
        <w:t xml:space="preserve">next </w:t>
      </w:r>
      <w:r w:rsidRPr="000073CF">
        <w:t xml:space="preserve">10 years they successfully operated this business and employed two Australian citizens. Each year since their arrival in Australia they declared their income and paid income tax. With the proceeds from their business, they purchased a family home and </w:t>
      </w:r>
      <w:r>
        <w:t>were</w:t>
      </w:r>
      <w:r w:rsidRPr="000073CF">
        <w:t xml:space="preserve"> paying off a mortgage.</w:t>
      </w:r>
    </w:p>
    <w:p w14:paraId="03E7E80E" w14:textId="77777777" w:rsidR="007F2AF2" w:rsidRPr="000073CF"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t xml:space="preserve">Their daughter </w:t>
      </w:r>
      <w:r w:rsidRPr="00366868">
        <w:t xml:space="preserve">came to Australia with </w:t>
      </w:r>
      <w:r>
        <w:t>them</w:t>
      </w:r>
      <w:r w:rsidRPr="00366868">
        <w:t xml:space="preserve"> when she was 14 months old. She </w:t>
      </w:r>
      <w:r>
        <w:t xml:space="preserve">grew </w:t>
      </w:r>
      <w:r w:rsidRPr="00366868">
        <w:t>up in Australia</w:t>
      </w:r>
      <w:r>
        <w:t xml:space="preserve"> and</w:t>
      </w:r>
      <w:r w:rsidRPr="00366868">
        <w:t xml:space="preserve"> completed primary school and high school here. </w:t>
      </w:r>
      <w:r w:rsidR="00DA7591">
        <w:t>At the time of the Commission’s report s</w:t>
      </w:r>
      <w:r w:rsidRPr="00366868">
        <w:t xml:space="preserve">he </w:t>
      </w:r>
      <w:r>
        <w:t>was studying at university</w:t>
      </w:r>
      <w:r w:rsidRPr="00366868">
        <w:t>.</w:t>
      </w:r>
    </w:p>
    <w:p w14:paraId="72BE1F93" w14:textId="77777777" w:rsidR="007F2AF2"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t xml:space="preserve">Their son </w:t>
      </w:r>
      <w:r w:rsidRPr="000073CF">
        <w:t xml:space="preserve">was born in Australia </w:t>
      </w:r>
      <w:r>
        <w:t>in 1998. In 2003 he was</w:t>
      </w:r>
      <w:r w:rsidRPr="000073CF">
        <w:t xml:space="preserve"> enrolled in kindergarten and has since </w:t>
      </w:r>
      <w:r>
        <w:t>completed primary school</w:t>
      </w:r>
      <w:r w:rsidRPr="000073CF">
        <w:t>. When he turned 10 years old, he acquired Australian citizenship. The Assistant Principal at</w:t>
      </w:r>
      <w:r>
        <w:t xml:space="preserve"> his school </w:t>
      </w:r>
      <w:r w:rsidRPr="000073CF">
        <w:t xml:space="preserve">described him as self-motivated, well behaved and a somewhat shy and sensitive child. </w:t>
      </w:r>
      <w:r>
        <w:t xml:space="preserve">At the time of the Commission’s report was </w:t>
      </w:r>
      <w:r w:rsidRPr="000073CF">
        <w:t xml:space="preserve">13 years old and </w:t>
      </w:r>
      <w:r>
        <w:t>had started high school</w:t>
      </w:r>
      <w:r w:rsidRPr="000073CF">
        <w:t>.</w:t>
      </w:r>
    </w:p>
    <w:p w14:paraId="02CE36FA" w14:textId="77777777" w:rsidR="007F2AF2"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t>Mr Pak and Ms Mun originally entered Australia as the holders of tourist visas. Following the expiration of those visas, they remained in Australia. Mr Pak claims that he did not approach the Department of Immigration and Citizenship as he was frightened of the consequences of not holding a valid visa.</w:t>
      </w:r>
    </w:p>
    <w:p w14:paraId="3C1FCFF0" w14:textId="77777777" w:rsidR="00453A29" w:rsidRDefault="007F2AF2"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t>The issue before the Commission was the potential separation of Mr Pak and Ms Mun from their son if they were now required to leave Australia. A significant question was the community’s expectations about whether a family that had been present in Australia for more than 20 years should be permitted to remain here.</w:t>
      </w:r>
      <w:r w:rsidR="00453A29">
        <w:t xml:space="preserve"> </w:t>
      </w:r>
    </w:p>
    <w:p w14:paraId="2B791018" w14:textId="77777777" w:rsidR="007F2AF2" w:rsidRDefault="00453A29" w:rsidP="00252D26">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sidRPr="00B900BC">
        <w:t xml:space="preserve">The Commission referred to decisions of the United Nations Human Rights Committee which had </w:t>
      </w:r>
      <w:r w:rsidR="00B900BC">
        <w:t xml:space="preserve">found that separation of families in similar cases </w:t>
      </w:r>
      <w:r w:rsidR="000C3413">
        <w:t xml:space="preserve">would </w:t>
      </w:r>
      <w:r w:rsidR="002D41BF">
        <w:t>amount to an unlawful interference with family contrary to article</w:t>
      </w:r>
      <w:r w:rsidR="000C3413">
        <w:t xml:space="preserve"> 17 of the ICCPR where ‘substantial changes to long settled family life would follow’. </w:t>
      </w:r>
    </w:p>
    <w:p w14:paraId="5E6B3465" w14:textId="77777777" w:rsidR="007F2AF2" w:rsidRDefault="0002304F" w:rsidP="007F2AF2">
      <w:pPr>
        <w:pStyle w:val="SubmissionNormal"/>
        <w:tabs>
          <w:tab w:val="clear" w:pos="720"/>
        </w:tabs>
        <w:ind w:hanging="720"/>
      </w:pPr>
      <w:r>
        <w:t>This</w:t>
      </w:r>
      <w:r w:rsidR="007F2AF2">
        <w:t xml:space="preserve"> is an extreme example. The Pak family was in Australia without a visa for the vast majority of the time that they were in Australia. However, the proposed Bill would deny a right to citizenship under </w:t>
      </w:r>
      <w:r w:rsidR="00DA7591">
        <w:t xml:space="preserve">the 10 year rule </w:t>
      </w:r>
      <w:r w:rsidR="007F2AF2">
        <w:t xml:space="preserve">to a person born in Australia if he or she did not have a valid visa for </w:t>
      </w:r>
      <w:r w:rsidR="007F2AF2" w:rsidRPr="0025153F">
        <w:rPr>
          <w:i/>
        </w:rPr>
        <w:t>any</w:t>
      </w:r>
      <w:r w:rsidR="007F2AF2">
        <w:t xml:space="preserve"> period prior to his or her tenth birthday.</w:t>
      </w:r>
    </w:p>
    <w:p w14:paraId="51C5F210" w14:textId="77777777" w:rsidR="007F2AF2" w:rsidRDefault="007F2AF2" w:rsidP="007F2AF2">
      <w:pPr>
        <w:pStyle w:val="SubmissionNormal"/>
        <w:tabs>
          <w:tab w:val="clear" w:pos="720"/>
        </w:tabs>
        <w:ind w:hanging="720"/>
      </w:pPr>
      <w:r>
        <w:lastRenderedPageBreak/>
        <w:t xml:space="preserve">There is </w:t>
      </w:r>
      <w:r w:rsidR="00854B6B">
        <w:t xml:space="preserve">no </w:t>
      </w:r>
      <w:r>
        <w:t xml:space="preserve">discussion in the Explanatory Memorandum of any evidence supporting the claim of abuse of the </w:t>
      </w:r>
      <w:r w:rsidR="004B163A">
        <w:t>10</w:t>
      </w:r>
      <w:r>
        <w:t xml:space="preserve"> year rule. </w:t>
      </w:r>
      <w:r w:rsidR="00854B6B">
        <w:t xml:space="preserve">The only reference in the Explanatory Memorandum for the 2014 Bill </w:t>
      </w:r>
      <w:r>
        <w:t xml:space="preserve">to something said to support the amendment </w:t>
      </w:r>
      <w:r w:rsidR="00854B6B">
        <w:t xml:space="preserve">was </w:t>
      </w:r>
      <w:r>
        <w:t xml:space="preserve">a </w:t>
      </w:r>
      <w:r w:rsidR="00854B6B">
        <w:t xml:space="preserve">suggested </w:t>
      </w:r>
      <w:r>
        <w:t>‘correlation’ between:</w:t>
      </w:r>
    </w:p>
    <w:p w14:paraId="31E434D1" w14:textId="77777777" w:rsidR="007F2AF2" w:rsidRDefault="007F2AF2" w:rsidP="007F2AF2">
      <w:pPr>
        <w:pStyle w:val="SubmissionNormal"/>
        <w:numPr>
          <w:ilvl w:val="1"/>
          <w:numId w:val="15"/>
        </w:numPr>
      </w:pPr>
      <w:r>
        <w:t xml:space="preserve">the nationalities of people applying under the </w:t>
      </w:r>
      <w:r w:rsidR="004B163A">
        <w:t>10</w:t>
      </w:r>
      <w:r>
        <w:t xml:space="preserve"> year rule; and </w:t>
      </w:r>
    </w:p>
    <w:p w14:paraId="1ACB0A13" w14:textId="77777777" w:rsidR="007F2AF2" w:rsidRDefault="007F2AF2" w:rsidP="007F2AF2">
      <w:pPr>
        <w:pStyle w:val="SubmissionNormal"/>
        <w:numPr>
          <w:ilvl w:val="1"/>
          <w:numId w:val="15"/>
        </w:numPr>
      </w:pPr>
      <w:r>
        <w:t xml:space="preserve">the nationalities of people seeking a ministerial intervention under the </w:t>
      </w:r>
      <w:r w:rsidRPr="00877B8D">
        <w:rPr>
          <w:i/>
        </w:rPr>
        <w:t>Migration Act 1958</w:t>
      </w:r>
      <w:r>
        <w:t xml:space="preserve"> (Cth).</w:t>
      </w:r>
      <w:r w:rsidR="00854B6B">
        <w:rPr>
          <w:rStyle w:val="EndnoteReference"/>
        </w:rPr>
        <w:endnoteReference w:id="132"/>
      </w:r>
    </w:p>
    <w:p w14:paraId="7A4E2DB3" w14:textId="77777777" w:rsidR="007F2AF2" w:rsidRDefault="007F2AF2" w:rsidP="007F2AF2">
      <w:pPr>
        <w:pStyle w:val="SubmissionNormal"/>
        <w:tabs>
          <w:tab w:val="clear" w:pos="720"/>
        </w:tabs>
        <w:ind w:hanging="720"/>
      </w:pPr>
      <w:r>
        <w:t xml:space="preserve">No data </w:t>
      </w:r>
      <w:r w:rsidR="00854B6B">
        <w:t>was</w:t>
      </w:r>
      <w:r>
        <w:t xml:space="preserve"> provided </w:t>
      </w:r>
      <w:r w:rsidR="00854B6B">
        <w:t xml:space="preserve">at that time </w:t>
      </w:r>
      <w:r>
        <w:t xml:space="preserve">about how often either of these kinds of applications are made or the trend in applications over time. When the Commission was considering the Pak </w:t>
      </w:r>
      <w:r w:rsidR="00ED22E0">
        <w:t xml:space="preserve">family’s </w:t>
      </w:r>
      <w:r>
        <w:t>case</w:t>
      </w:r>
      <w:r w:rsidR="00854B6B">
        <w:t xml:space="preserve"> in 2012</w:t>
      </w:r>
      <w:r>
        <w:t>, the available evidence was that requests for ministerial intervention from the relevant cohort had been steadily declining.</w:t>
      </w:r>
      <w:r>
        <w:rPr>
          <w:rStyle w:val="EndnoteReference"/>
        </w:rPr>
        <w:endnoteReference w:id="133"/>
      </w:r>
      <w:r w:rsidR="00854B6B">
        <w:t xml:space="preserve"> The reference to this ‘correlation’ has been removed from the Explanatory Memorandum to the present Bill.</w:t>
      </w:r>
    </w:p>
    <w:p w14:paraId="243C3213" w14:textId="77777777" w:rsidR="007F2AF2" w:rsidRDefault="007F2AF2" w:rsidP="007F2AF2">
      <w:pPr>
        <w:pStyle w:val="SubmissionNormal"/>
        <w:tabs>
          <w:tab w:val="clear" w:pos="720"/>
        </w:tabs>
        <w:ind w:hanging="720"/>
      </w:pPr>
      <w:r>
        <w:t xml:space="preserve">As the Australian </w:t>
      </w:r>
      <w:r w:rsidR="00C13075">
        <w:t xml:space="preserve">Citizenship Council </w:t>
      </w:r>
      <w:r>
        <w:t>noted</w:t>
      </w:r>
      <w:r w:rsidR="00C13075">
        <w:t>,</w:t>
      </w:r>
      <w:r>
        <w:t xml:space="preserve"> ‘strong evidence of abuse’ of the </w:t>
      </w:r>
      <w:r w:rsidR="004B163A">
        <w:t>10</w:t>
      </w:r>
      <w:r>
        <w:t xml:space="preserve"> year rule would be required in order to justify any amendment.</w:t>
      </w:r>
      <w:r w:rsidR="00C13075">
        <w:rPr>
          <w:rStyle w:val="EndnoteReference"/>
        </w:rPr>
        <w:endnoteReference w:id="134"/>
      </w:r>
      <w:r>
        <w:t xml:space="preserve"> This would then need to be balanced against the requirement that the best interests of the child be taken into account as a primary consideration. </w:t>
      </w:r>
    </w:p>
    <w:p w14:paraId="3459DB18" w14:textId="77777777" w:rsidR="009E291C" w:rsidRDefault="009E291C" w:rsidP="009E291C">
      <w:pPr>
        <w:pStyle w:val="SubmissionNormal"/>
        <w:tabs>
          <w:tab w:val="clear" w:pos="720"/>
        </w:tabs>
        <w:ind w:hanging="720"/>
      </w:pPr>
      <w:r>
        <w:t xml:space="preserve">In the absence of strong evidence of abuse, the Commission </w:t>
      </w:r>
      <w:r w:rsidR="00DF3C8C">
        <w:t xml:space="preserve">considers </w:t>
      </w:r>
      <w:r>
        <w:t xml:space="preserve">that </w:t>
      </w:r>
      <w:r w:rsidR="00564F4E">
        <w:t xml:space="preserve">the </w:t>
      </w:r>
      <w:r w:rsidR="00DF3C8C">
        <w:t>proposed amendments</w:t>
      </w:r>
      <w:r w:rsidR="00564F4E">
        <w:t xml:space="preserve"> lack </w:t>
      </w:r>
      <w:r w:rsidR="008E1281">
        <w:t>reasonable justification</w:t>
      </w:r>
      <w:r>
        <w:t xml:space="preserve"> </w:t>
      </w:r>
      <w:r w:rsidR="00564F4E">
        <w:t xml:space="preserve">and </w:t>
      </w:r>
      <w:r w:rsidR="00DF3C8C">
        <w:t xml:space="preserve">are therefore inconsistent with Australia’s obligations under </w:t>
      </w:r>
      <w:r>
        <w:t>articles 2 and 7 of the CRC and articles 2 and 24(3) of the ICCPR.</w:t>
      </w:r>
    </w:p>
    <w:p w14:paraId="7636F98A" w14:textId="77777777" w:rsidR="00FD45F2" w:rsidRDefault="00FD45F2" w:rsidP="00FD45F2">
      <w:pPr>
        <w:pStyle w:val="Heading2"/>
      </w:pPr>
      <w:bookmarkStart w:id="40" w:name="_Toc488410896"/>
      <w:r>
        <w:t>Children found abandoned in Australia</w:t>
      </w:r>
      <w:bookmarkEnd w:id="40"/>
    </w:p>
    <w:p w14:paraId="36100A76" w14:textId="77777777" w:rsidR="00FD45F2" w:rsidRDefault="005E3603" w:rsidP="00FD45F2">
      <w:pPr>
        <w:pStyle w:val="SubmissionNormal"/>
        <w:tabs>
          <w:tab w:val="clear" w:pos="720"/>
        </w:tabs>
        <w:ind w:hanging="720"/>
      </w:pPr>
      <w:r>
        <w:t xml:space="preserve">The Bill will make it </w:t>
      </w:r>
      <w:r w:rsidR="006C08B9">
        <w:t xml:space="preserve">easier to refuse citizenship to </w:t>
      </w:r>
      <w:r w:rsidR="003469E0">
        <w:t xml:space="preserve">certain </w:t>
      </w:r>
      <w:r>
        <w:t>children found abandoned in Australia.</w:t>
      </w:r>
    </w:p>
    <w:p w14:paraId="206E16ED" w14:textId="77777777" w:rsidR="001E1172" w:rsidRDefault="005E3603" w:rsidP="00FD45F2">
      <w:pPr>
        <w:pStyle w:val="SubmissionNormal"/>
        <w:tabs>
          <w:tab w:val="clear" w:pos="720"/>
        </w:tabs>
        <w:ind w:hanging="720"/>
      </w:pPr>
      <w:r>
        <w:t xml:space="preserve">At present, </w:t>
      </w:r>
      <w:r w:rsidR="001E1172">
        <w:t>section 14 of the Australian Citizenship Act provides:</w:t>
      </w:r>
    </w:p>
    <w:p w14:paraId="3A725592" w14:textId="77777777" w:rsidR="001E1172" w:rsidRDefault="001E1172" w:rsidP="001E1172">
      <w:pPr>
        <w:pStyle w:val="SubmissionNormal"/>
        <w:numPr>
          <w:ilvl w:val="0"/>
          <w:numId w:val="0"/>
        </w:numPr>
        <w:ind w:left="1440"/>
      </w:pPr>
      <w:r w:rsidRPr="001E1172">
        <w:rPr>
          <w:sz w:val="22"/>
        </w:rPr>
        <w:t>A</w:t>
      </w:r>
      <w:r w:rsidR="00930C0C" w:rsidRPr="001E1172">
        <w:rPr>
          <w:sz w:val="22"/>
        </w:rPr>
        <w:t xml:space="preserve"> person is an Australian citizen if the person is </w:t>
      </w:r>
      <w:r w:rsidR="005E3603" w:rsidRPr="001E1172">
        <w:rPr>
          <w:sz w:val="22"/>
        </w:rPr>
        <w:t>found abandoned in Australia</w:t>
      </w:r>
      <w:r w:rsidR="00930C0C" w:rsidRPr="001E1172">
        <w:rPr>
          <w:sz w:val="22"/>
        </w:rPr>
        <w:t xml:space="preserve"> as a child</w:t>
      </w:r>
      <w:r w:rsidR="005E3603" w:rsidRPr="001E1172">
        <w:rPr>
          <w:sz w:val="22"/>
        </w:rPr>
        <w:t xml:space="preserve">, unless or until </w:t>
      </w:r>
      <w:r w:rsidR="007C6EEA" w:rsidRPr="001E1172">
        <w:rPr>
          <w:sz w:val="22"/>
        </w:rPr>
        <w:t xml:space="preserve">the contrary </w:t>
      </w:r>
      <w:r w:rsidR="005E3603" w:rsidRPr="001E1172">
        <w:rPr>
          <w:sz w:val="22"/>
        </w:rPr>
        <w:t>is proved.</w:t>
      </w:r>
      <w:r w:rsidR="0053757D">
        <w:t xml:space="preserve"> </w:t>
      </w:r>
    </w:p>
    <w:p w14:paraId="4F4982DA" w14:textId="77777777" w:rsidR="00930C0C" w:rsidRDefault="001E1172" w:rsidP="00FD45F2">
      <w:pPr>
        <w:pStyle w:val="SubmissionNormal"/>
        <w:tabs>
          <w:tab w:val="clear" w:pos="720"/>
        </w:tabs>
        <w:ind w:hanging="720"/>
      </w:pPr>
      <w:r>
        <w:t xml:space="preserve">Although the provision is somewhat ambiguous, </w:t>
      </w:r>
      <w:r w:rsidR="0039443A">
        <w:t>recent case law</w:t>
      </w:r>
      <w:r>
        <w:t xml:space="preserve"> suggest</w:t>
      </w:r>
      <w:r w:rsidR="0039443A">
        <w:t>s</w:t>
      </w:r>
      <w:r>
        <w:t xml:space="preserve"> ‘the contrary’ refers to proof that a person is not an Australian citizen rather than proof that a person was not abandoned or found abandoned.</w:t>
      </w:r>
      <w:r>
        <w:rPr>
          <w:rStyle w:val="EndnoteReference"/>
        </w:rPr>
        <w:endnoteReference w:id="135"/>
      </w:r>
    </w:p>
    <w:p w14:paraId="522DC39B" w14:textId="77777777" w:rsidR="00BD48D8" w:rsidRDefault="00BD48D8" w:rsidP="00BD48D8">
      <w:pPr>
        <w:pStyle w:val="SubmissionNormal"/>
        <w:tabs>
          <w:tab w:val="clear" w:pos="720"/>
        </w:tabs>
        <w:ind w:hanging="720"/>
      </w:pPr>
      <w:r>
        <w:t xml:space="preserve">The Bill proposes to repeal </w:t>
      </w:r>
      <w:r w:rsidR="00F87A5E">
        <w:t>s 14</w:t>
      </w:r>
      <w:r>
        <w:rPr>
          <w:rStyle w:val="EndnoteReference"/>
        </w:rPr>
        <w:endnoteReference w:id="136"/>
      </w:r>
      <w:r>
        <w:t xml:space="preserve"> and insert s 12(8) and (9).</w:t>
      </w:r>
      <w:r>
        <w:rPr>
          <w:rStyle w:val="EndnoteReference"/>
        </w:rPr>
        <w:endnoteReference w:id="137"/>
      </w:r>
      <w:r>
        <w:t xml:space="preserve"> </w:t>
      </w:r>
    </w:p>
    <w:p w14:paraId="40B5E60E" w14:textId="77777777" w:rsidR="00930C0C" w:rsidRDefault="00DE2A6E" w:rsidP="00FD45F2">
      <w:pPr>
        <w:pStyle w:val="SubmissionNormal"/>
        <w:tabs>
          <w:tab w:val="clear" w:pos="720"/>
        </w:tabs>
        <w:ind w:hanging="720"/>
      </w:pPr>
      <w:r>
        <w:t xml:space="preserve">Article 2 of the </w:t>
      </w:r>
      <w:r w:rsidRPr="002114C7">
        <w:rPr>
          <w:i/>
        </w:rPr>
        <w:t>Convention on the Reduction of Statelessness</w:t>
      </w:r>
      <w:r>
        <w:t xml:space="preserve"> provides that:</w:t>
      </w:r>
    </w:p>
    <w:p w14:paraId="1D476B46" w14:textId="77777777" w:rsidR="00DE2A6E" w:rsidRPr="00DE2A6E" w:rsidRDefault="00DE2A6E" w:rsidP="00DE2A6E">
      <w:pPr>
        <w:pStyle w:val="SubmissionNormal"/>
        <w:numPr>
          <w:ilvl w:val="0"/>
          <w:numId w:val="0"/>
        </w:numPr>
        <w:ind w:left="1440"/>
        <w:rPr>
          <w:sz w:val="22"/>
        </w:rPr>
      </w:pPr>
      <w:r w:rsidRPr="00DE2A6E">
        <w:rPr>
          <w:sz w:val="22"/>
        </w:rPr>
        <w:t>A foundling found in the territory of a Contracting State shall, in the absence of proof to the contrary, be considered to have been born within that territory of parents possessing the nationality of that State.</w:t>
      </w:r>
    </w:p>
    <w:p w14:paraId="57EB1B25" w14:textId="77777777" w:rsidR="006C08B9" w:rsidRDefault="006C08B9" w:rsidP="00FD45F2">
      <w:pPr>
        <w:pStyle w:val="SubmissionNormal"/>
        <w:tabs>
          <w:tab w:val="clear" w:pos="720"/>
        </w:tabs>
        <w:ind w:hanging="720"/>
      </w:pPr>
      <w:r>
        <w:t>The Explanatory Memorandum suggests that the purpose of the amendment</w:t>
      </w:r>
      <w:r w:rsidR="00BD48D8">
        <w:t>s</w:t>
      </w:r>
      <w:r>
        <w:t xml:space="preserve"> is to bring the </w:t>
      </w:r>
      <w:r w:rsidR="00941D81">
        <w:t xml:space="preserve">Act </w:t>
      </w:r>
      <w:r>
        <w:t xml:space="preserve">into line with </w:t>
      </w:r>
      <w:r w:rsidR="00BD48D8">
        <w:t xml:space="preserve">‘the historical policy intention’ of Article 2, namely that ‘a child found abandoned be dealt with as a citizen by birth unless </w:t>
      </w:r>
      <w:r w:rsidR="00BD48D8">
        <w:lastRenderedPageBreak/>
        <w:t>and until it is determined that they are not a citizen by birth’.</w:t>
      </w:r>
      <w:r w:rsidR="00BD48D8">
        <w:rPr>
          <w:rStyle w:val="EndnoteReference"/>
        </w:rPr>
        <w:endnoteReference w:id="138"/>
      </w:r>
      <w:r w:rsidR="00BD48D8">
        <w:t xml:space="preserve"> </w:t>
      </w:r>
      <w:r>
        <w:t xml:space="preserve">However, the </w:t>
      </w:r>
      <w:r w:rsidR="00BD48D8">
        <w:t xml:space="preserve">proposed </w:t>
      </w:r>
      <w:r>
        <w:t>amendments go beyond what is necessary to achieve this.</w:t>
      </w:r>
    </w:p>
    <w:p w14:paraId="717D358D" w14:textId="77777777" w:rsidR="00D30623" w:rsidRDefault="00D30623" w:rsidP="00FD45F2">
      <w:pPr>
        <w:pStyle w:val="SubmissionNormal"/>
        <w:tabs>
          <w:tab w:val="clear" w:pos="720"/>
        </w:tabs>
        <w:ind w:hanging="720"/>
      </w:pPr>
      <w:r>
        <w:t>It appears that s 12(8) and (9)(b) would be sufficient to pick up the language of article 2 of the Convention.  If these provisions were inserted, then:</w:t>
      </w:r>
    </w:p>
    <w:p w14:paraId="6B7C5DA1" w14:textId="77777777" w:rsidR="00D30623" w:rsidRDefault="00D30623" w:rsidP="00D30623">
      <w:pPr>
        <w:pStyle w:val="SubmissionNormal"/>
        <w:numPr>
          <w:ilvl w:val="1"/>
          <w:numId w:val="15"/>
        </w:numPr>
      </w:pPr>
      <w:r>
        <w:t>a person found abandoned in Australia as a child would be taken to have been born in Australia to a parent who was an Australia citizen or permanent resident (s 12(8)),</w:t>
      </w:r>
    </w:p>
    <w:p w14:paraId="1D20C9A0" w14:textId="77777777" w:rsidR="00D30623" w:rsidRDefault="00D30623" w:rsidP="00D30623">
      <w:pPr>
        <w:pStyle w:val="SubmissionNormal"/>
        <w:numPr>
          <w:ilvl w:val="1"/>
          <w:numId w:val="15"/>
        </w:numPr>
      </w:pPr>
      <w:r>
        <w:t>unless and until it is proved that they were not born in Australia to a parent who was an Australia citizen or permanent resident (s 12(9)(b)).</w:t>
      </w:r>
    </w:p>
    <w:p w14:paraId="0DE3B467" w14:textId="77777777" w:rsidR="00941D81" w:rsidRDefault="00D30623" w:rsidP="00FD45F2">
      <w:pPr>
        <w:pStyle w:val="SubmissionNormal"/>
        <w:tabs>
          <w:tab w:val="clear" w:pos="720"/>
        </w:tabs>
        <w:ind w:hanging="720"/>
      </w:pPr>
      <w:r>
        <w:t xml:space="preserve">However, s 12(9)(a) provides an additional ground to refuse citizenship to an abandoned child.  </w:t>
      </w:r>
      <w:r w:rsidR="00BD48D8">
        <w:t>This provision means that a child found abandoned would not automatically acquire Australian citizenship if it is proved that the child was outside Australia at any time before they were found abandoned in Australia.</w:t>
      </w:r>
      <w:r w:rsidR="00881DCE">
        <w:t xml:space="preserve"> </w:t>
      </w:r>
    </w:p>
    <w:p w14:paraId="738C8C83" w14:textId="77777777" w:rsidR="00D30623" w:rsidRDefault="00941D81" w:rsidP="00FD45F2">
      <w:pPr>
        <w:pStyle w:val="SubmissionNormal"/>
        <w:tabs>
          <w:tab w:val="clear" w:pos="720"/>
        </w:tabs>
        <w:ind w:hanging="720"/>
      </w:pPr>
      <w:r>
        <w:t xml:space="preserve">The Explanatory Memorandum does not sufficiently explain </w:t>
      </w:r>
      <w:r w:rsidR="0039443A">
        <w:t xml:space="preserve">either </w:t>
      </w:r>
      <w:r>
        <w:t xml:space="preserve">why this fact </w:t>
      </w:r>
      <w:r w:rsidR="00881DCE">
        <w:t xml:space="preserve">(presence at some point outside Australia) </w:t>
      </w:r>
      <w:r>
        <w:t>should deprive a</w:t>
      </w:r>
      <w:r w:rsidR="00A7389D">
        <w:t>n abandoned</w:t>
      </w:r>
      <w:r>
        <w:t xml:space="preserve"> child of citizenship</w:t>
      </w:r>
      <w:r w:rsidR="0039443A">
        <w:t xml:space="preserve"> or why it is necessary given the other provisions</w:t>
      </w:r>
      <w:r>
        <w:t>.  It says that if the child is known to have been outside Australia, then the child has either arrived in Australia lawfully and its identity and nationality will be known, or it will have arrived as an unlawful non-citizen</w:t>
      </w:r>
      <w:r w:rsidR="002A496F">
        <w:t>.</w:t>
      </w:r>
      <w:r w:rsidR="00F87A5E">
        <w:rPr>
          <w:rStyle w:val="EndnoteReference"/>
        </w:rPr>
        <w:endnoteReference w:id="139"/>
      </w:r>
      <w:r w:rsidR="002A496F">
        <w:t xml:space="preserve">  </w:t>
      </w:r>
      <w:r w:rsidR="00881DCE">
        <w:t xml:space="preserve">This is not a true dichotomy and seems to contain some assumptions about the accuracy of Australia’s immigration </w:t>
      </w:r>
      <w:r w:rsidR="00F87A5E">
        <w:t>system</w:t>
      </w:r>
      <w:r w:rsidR="00881DCE">
        <w:t xml:space="preserve">.  </w:t>
      </w:r>
      <w:r w:rsidR="00F87A5E">
        <w:t>For example, i</w:t>
      </w:r>
      <w:r w:rsidR="00881DCE">
        <w:t xml:space="preserve">t seems to ignore the possibility that the child left </w:t>
      </w:r>
      <w:r w:rsidR="00A7389D">
        <w:t xml:space="preserve">Australia </w:t>
      </w:r>
      <w:r w:rsidR="00881DCE">
        <w:t xml:space="preserve">irregularly </w:t>
      </w:r>
      <w:r w:rsidR="00A7389D">
        <w:t xml:space="preserve">and returned </w:t>
      </w:r>
      <w:r w:rsidR="00881DCE">
        <w:t xml:space="preserve">irregularly </w:t>
      </w:r>
      <w:r w:rsidR="00A7389D">
        <w:t xml:space="preserve">before being </w:t>
      </w:r>
      <w:r w:rsidR="00881DCE">
        <w:t>found abandoned.</w:t>
      </w:r>
    </w:p>
    <w:p w14:paraId="71F76729" w14:textId="77777777" w:rsidR="00A7389D" w:rsidRDefault="00A7389D" w:rsidP="00A7389D">
      <w:pPr>
        <w:pStyle w:val="Heading2"/>
      </w:pPr>
      <w:bookmarkStart w:id="41" w:name="_Toc488410897"/>
      <w:r>
        <w:t>Children considered not to be of ‘good character’</w:t>
      </w:r>
      <w:bookmarkEnd w:id="41"/>
      <w:r>
        <w:t xml:space="preserve"> </w:t>
      </w:r>
    </w:p>
    <w:p w14:paraId="3B3D8D8D" w14:textId="77777777" w:rsidR="00A7389D" w:rsidRDefault="00A7389D" w:rsidP="00A7389D">
      <w:pPr>
        <w:pStyle w:val="SubmissionNormal"/>
        <w:tabs>
          <w:tab w:val="clear" w:pos="720"/>
        </w:tabs>
        <w:ind w:hanging="720"/>
      </w:pPr>
      <w:r>
        <w:t>The Australian Citizenship Act currently requires that adults applying for citizenship satisfy the Minister that they are of ‘good character’ in order to have their application approved.</w:t>
      </w:r>
      <w:r>
        <w:rPr>
          <w:rStyle w:val="EndnoteReference"/>
        </w:rPr>
        <w:endnoteReference w:id="140"/>
      </w:r>
    </w:p>
    <w:p w14:paraId="436C253A" w14:textId="77777777" w:rsidR="00A7389D" w:rsidRDefault="00A7389D" w:rsidP="00A7389D">
      <w:pPr>
        <w:pStyle w:val="SubmissionNormal"/>
        <w:tabs>
          <w:tab w:val="clear" w:pos="720"/>
        </w:tabs>
        <w:ind w:hanging="720"/>
      </w:pPr>
      <w:r>
        <w:t>The proposed amendments will remove the age limits in relevant sections so that all applicants, including children, will need to satisfy the Minister that they are of good character.</w:t>
      </w:r>
      <w:r>
        <w:rPr>
          <w:rStyle w:val="EndnoteReference"/>
        </w:rPr>
        <w:endnoteReference w:id="141"/>
      </w:r>
      <w:r>
        <w:t xml:space="preserve"> </w:t>
      </w:r>
      <w:r w:rsidR="00287BB5">
        <w:t xml:space="preserve">The amendments aim to </w:t>
      </w:r>
      <w:r w:rsidR="00287BB5" w:rsidRPr="007A7CDE">
        <w:t>ensure the safety of the Australian community</w:t>
      </w:r>
      <w:r w:rsidR="00287BB5">
        <w:t>.</w:t>
      </w:r>
      <w:r w:rsidR="00287BB5">
        <w:rPr>
          <w:rStyle w:val="EndnoteReference"/>
        </w:rPr>
        <w:endnoteReference w:id="142"/>
      </w:r>
    </w:p>
    <w:p w14:paraId="26DCF518" w14:textId="77777777" w:rsidR="00A7389D" w:rsidRDefault="00A7389D" w:rsidP="00287BB5">
      <w:pPr>
        <w:pStyle w:val="SubmissionNormal"/>
        <w:tabs>
          <w:tab w:val="clear" w:pos="720"/>
        </w:tabs>
        <w:ind w:hanging="720"/>
      </w:pPr>
      <w:r>
        <w:t xml:space="preserve">The Government says that in practice an assessment of whether someone is of good character would be conducted by examining their </w:t>
      </w:r>
      <w:r w:rsidR="008C4A41">
        <w:t>criminal history</w:t>
      </w:r>
      <w:r>
        <w:t xml:space="preserve"> record.</w:t>
      </w:r>
      <w:r>
        <w:rPr>
          <w:rStyle w:val="EndnoteReference"/>
        </w:rPr>
        <w:endnoteReference w:id="143"/>
      </w:r>
      <w:r>
        <w:t xml:space="preserve"> </w:t>
      </w:r>
      <w:r w:rsidR="008C4A41">
        <w:t xml:space="preserve">Criminal history </w:t>
      </w:r>
      <w:r>
        <w:t xml:space="preserve">records would typically be sought for applicants aged 16 </w:t>
      </w:r>
      <w:r w:rsidR="00E24B98">
        <w:t xml:space="preserve">years </w:t>
      </w:r>
      <w:r>
        <w:t>and over. However, the Government says that it could seek criminal history records for children as young as 10.</w:t>
      </w:r>
      <w:r w:rsidR="00F3129F">
        <w:rPr>
          <w:rStyle w:val="EndnoteReference"/>
        </w:rPr>
        <w:endnoteReference w:id="144"/>
      </w:r>
      <w:r w:rsidR="00341A8C">
        <w:t xml:space="preserve"> </w:t>
      </w:r>
    </w:p>
    <w:p w14:paraId="05B35717" w14:textId="77777777" w:rsidR="00A7389D" w:rsidRDefault="00A7389D" w:rsidP="00A7389D">
      <w:pPr>
        <w:pStyle w:val="SubmissionNormal"/>
        <w:tabs>
          <w:tab w:val="clear" w:pos="720"/>
        </w:tabs>
        <w:ind w:hanging="720"/>
      </w:pPr>
      <w:r>
        <w:t xml:space="preserve">The Government says that the instructions given to decision makers will be amended, so that decision makers consider the best interests of the child </w:t>
      </w:r>
      <w:r w:rsidR="000C0134">
        <w:t xml:space="preserve">as a primary consideration, amongst other things, </w:t>
      </w:r>
      <w:r>
        <w:t>in making a character assessment for applicants under 18 years old.</w:t>
      </w:r>
      <w:r>
        <w:rPr>
          <w:rStyle w:val="EndnoteReference"/>
        </w:rPr>
        <w:endnoteReference w:id="145"/>
      </w:r>
      <w:r>
        <w:t xml:space="preserve"> </w:t>
      </w:r>
      <w:r w:rsidR="004F1297">
        <w:t xml:space="preserve"> The same comment was made when the 2014 Bill was introduced.  Given the passage of time since </w:t>
      </w:r>
      <w:r w:rsidR="004F1297">
        <w:lastRenderedPageBreak/>
        <w:t xml:space="preserve">then, it </w:t>
      </w:r>
      <w:r w:rsidR="006D6D02">
        <w:t>would be reasonable to ask the D</w:t>
      </w:r>
      <w:r w:rsidR="004F1297">
        <w:t xml:space="preserve">epartment </w:t>
      </w:r>
      <w:r w:rsidR="006D6D02">
        <w:t xml:space="preserve">of Immigration and Border Protection </w:t>
      </w:r>
      <w:r w:rsidR="004F1297">
        <w:t>to produce this guidance now, while the Bill is being considered.</w:t>
      </w:r>
    </w:p>
    <w:p w14:paraId="4C20B7C4" w14:textId="77777777" w:rsidR="006A6D25" w:rsidRDefault="006A6D25" w:rsidP="006A6D25">
      <w:pPr>
        <w:pStyle w:val="SubmissionNormal"/>
        <w:tabs>
          <w:tab w:val="clear" w:pos="720"/>
        </w:tabs>
        <w:ind w:hanging="720"/>
      </w:pPr>
      <w:r>
        <w:t>The Committee on the Rights of the Child has emphasised that:</w:t>
      </w:r>
    </w:p>
    <w:p w14:paraId="1E36ACB4" w14:textId="77777777" w:rsidR="006A6D25" w:rsidRPr="006D6D02" w:rsidRDefault="006A6D25" w:rsidP="006A6D25">
      <w:pPr>
        <w:pStyle w:val="SubmissionNormal"/>
        <w:numPr>
          <w:ilvl w:val="0"/>
          <w:numId w:val="0"/>
        </w:numPr>
        <w:ind w:left="1440"/>
        <w:rPr>
          <w:sz w:val="22"/>
          <w:szCs w:val="20"/>
        </w:rPr>
      </w:pPr>
      <w:r w:rsidRPr="006D6D02">
        <w:rPr>
          <w:sz w:val="22"/>
          <w:szCs w:val="20"/>
        </w:rPr>
        <w:t xml:space="preserve">The expression </w:t>
      </w:r>
      <w:r w:rsidR="006D6D02">
        <w:rPr>
          <w:sz w:val="22"/>
          <w:szCs w:val="20"/>
        </w:rPr>
        <w:t>‘primary consideration’</w:t>
      </w:r>
      <w:r w:rsidRPr="006D6D02">
        <w:rPr>
          <w:sz w:val="22"/>
          <w:szCs w:val="20"/>
        </w:rPr>
        <w:t xml:space="preserve"> means that the child’s best interests may not be considered on the same level as all other considerations. This strong position is justified by the special situation of the child: dependency, maturity, legal status and, often, voicelessness</w:t>
      </w:r>
      <w:r w:rsidR="006D6D02">
        <w:rPr>
          <w:sz w:val="22"/>
          <w:szCs w:val="20"/>
        </w:rPr>
        <w:t xml:space="preserve"> </w:t>
      </w:r>
      <w:r w:rsidRPr="006D6D02">
        <w:rPr>
          <w:sz w:val="22"/>
          <w:szCs w:val="20"/>
        </w:rPr>
        <w:t>…</w:t>
      </w:r>
    </w:p>
    <w:p w14:paraId="328C2858" w14:textId="77777777" w:rsidR="006A6D25" w:rsidRPr="00A715F3" w:rsidRDefault="006A6D25" w:rsidP="006A6D25">
      <w:pPr>
        <w:pStyle w:val="SubmissionNormal"/>
        <w:numPr>
          <w:ilvl w:val="0"/>
          <w:numId w:val="0"/>
        </w:numPr>
        <w:ind w:left="1440"/>
        <w:rPr>
          <w:sz w:val="20"/>
          <w:szCs w:val="20"/>
        </w:rPr>
      </w:pPr>
      <w:r w:rsidRPr="006D6D02">
        <w:rPr>
          <w:sz w:val="22"/>
          <w:szCs w:val="20"/>
          <w:lang w:val="x-none"/>
        </w:rPr>
        <w:t xml:space="preserve">Viewing the best interests of the child as </w:t>
      </w:r>
      <w:r w:rsidR="006D6D02">
        <w:rPr>
          <w:sz w:val="22"/>
          <w:szCs w:val="20"/>
        </w:rPr>
        <w:t>‘</w:t>
      </w:r>
      <w:r w:rsidRPr="006D6D02">
        <w:rPr>
          <w:sz w:val="22"/>
          <w:szCs w:val="20"/>
          <w:lang w:val="x-none"/>
        </w:rPr>
        <w:t>primary</w:t>
      </w:r>
      <w:r w:rsidR="006D6D02">
        <w:rPr>
          <w:sz w:val="22"/>
          <w:szCs w:val="20"/>
          <w:lang w:val="en-GB"/>
        </w:rPr>
        <w:t>’</w:t>
      </w:r>
      <w:r w:rsidRPr="006D6D02">
        <w:rPr>
          <w:sz w:val="22"/>
          <w:szCs w:val="20"/>
          <w:lang w:val="en-GB"/>
        </w:rPr>
        <w:t xml:space="preserve"> </w:t>
      </w:r>
      <w:r w:rsidRPr="006D6D02">
        <w:rPr>
          <w:sz w:val="22"/>
          <w:szCs w:val="20"/>
          <w:lang w:val="x-none"/>
        </w:rPr>
        <w:t>requires a consciousness about the place that children’s interests must occupy in all actions and a willingness to give priority to those interests in all circumstances, but especially when an action has an undeniable impact on the children concerned.</w:t>
      </w:r>
      <w:r w:rsidRPr="007D6099">
        <w:rPr>
          <w:rStyle w:val="EndnoteReference"/>
          <w:szCs w:val="20"/>
          <w:lang w:val="x-none"/>
        </w:rPr>
        <w:endnoteReference w:id="146"/>
      </w:r>
    </w:p>
    <w:p w14:paraId="45F47F3A" w14:textId="77777777" w:rsidR="008E1281" w:rsidRDefault="00A7389D" w:rsidP="008E1281">
      <w:pPr>
        <w:pStyle w:val="SubmissionNormal"/>
        <w:tabs>
          <w:tab w:val="clear" w:pos="720"/>
        </w:tabs>
        <w:ind w:hanging="720"/>
      </w:pPr>
      <w:r>
        <w:t xml:space="preserve">The Commission is concerned that the protection of the rights of children in relation to this new process will be limited to administrative guidelines which </w:t>
      </w:r>
      <w:r w:rsidR="0048516E">
        <w:t>have not yet been made public</w:t>
      </w:r>
      <w:r>
        <w:t>. In the circumstances, the Commission is unable to conclude that the rights of children</w:t>
      </w:r>
      <w:r w:rsidR="000C0134">
        <w:t>, including the best interests of the child,</w:t>
      </w:r>
      <w:r>
        <w:t xml:space="preserve"> will be adequately protected.</w:t>
      </w:r>
    </w:p>
    <w:p w14:paraId="4FC1A3F1" w14:textId="77777777" w:rsidR="002930CD" w:rsidRDefault="002930CD" w:rsidP="00AF0B91">
      <w:pPr>
        <w:pStyle w:val="SubmissionNormal"/>
        <w:tabs>
          <w:tab w:val="clear" w:pos="720"/>
        </w:tabs>
        <w:ind w:hanging="720"/>
      </w:pPr>
      <w:r>
        <w:t xml:space="preserve">The Commission considers that decisions about whether children are of good character need to take into account their unique circumstances. </w:t>
      </w:r>
      <w:r w:rsidR="001E7947">
        <w:t xml:space="preserve">The Committee on the Rights of the Child has observed that </w:t>
      </w:r>
      <w:r w:rsidR="006D6D02">
        <w:t>‘</w:t>
      </w:r>
      <w:r w:rsidR="001E7947">
        <w:t>[c]hildren differ from adults in their physical and psychological development, and their emotional and educational needs</w:t>
      </w:r>
      <w:r w:rsidR="006D6D02">
        <w:t>’</w:t>
      </w:r>
      <w:r w:rsidR="001E7947">
        <w:t>.</w:t>
      </w:r>
      <w:r w:rsidR="00AF0B91">
        <w:rPr>
          <w:rStyle w:val="EndnoteReference"/>
        </w:rPr>
        <w:endnoteReference w:id="147"/>
      </w:r>
      <w:r w:rsidR="001E7947">
        <w:t xml:space="preserve"> </w:t>
      </w:r>
      <w:r>
        <w:t>Studies of brain maturation show that children and young people are still developing the ability to make careful judg</w:t>
      </w:r>
      <w:r w:rsidR="00FE1E16">
        <w:t>e</w:t>
      </w:r>
      <w:r>
        <w:t>ments, delay gratification, restrain impulsive behaviour and consider consequences.</w:t>
      </w:r>
      <w:r w:rsidR="00430509">
        <w:t xml:space="preserve"> These differences require di</w:t>
      </w:r>
      <w:r w:rsidR="005E1B29">
        <w:t>fferent treatment for children.</w:t>
      </w:r>
      <w:r w:rsidR="00FE1E16">
        <w:rPr>
          <w:rStyle w:val="EndnoteReference"/>
        </w:rPr>
        <w:endnoteReference w:id="148"/>
      </w:r>
      <w:r w:rsidR="005E1B29">
        <w:t xml:space="preserve"> For children in conflict with the law, policies and practices should be aimed at </w:t>
      </w:r>
      <w:r w:rsidR="00430509">
        <w:t>promoting the child’s rehabilitation, reintegration and assuming a constructive role in society, in accordance with article 40(1) of the CRC. The Committee on the Rights of the Child notes that this can be done in concert with attention to effective public safety.</w:t>
      </w:r>
      <w:r w:rsidR="00430509">
        <w:rPr>
          <w:rStyle w:val="EndnoteReference"/>
        </w:rPr>
        <w:endnoteReference w:id="149"/>
      </w:r>
      <w:r>
        <w:t xml:space="preserve"> </w:t>
      </w:r>
    </w:p>
    <w:p w14:paraId="52BB4684" w14:textId="77777777" w:rsidR="00D845CE" w:rsidRDefault="00B3601E" w:rsidP="009F23BB">
      <w:pPr>
        <w:pStyle w:val="SubmissionNormal"/>
        <w:tabs>
          <w:tab w:val="clear" w:pos="720"/>
        </w:tabs>
        <w:ind w:hanging="720"/>
      </w:pPr>
      <w:r w:rsidRPr="007D6099">
        <w:t xml:space="preserve">The Commission </w:t>
      </w:r>
      <w:r w:rsidR="00D845CE" w:rsidRPr="00CC56B0">
        <w:t>considers</w:t>
      </w:r>
      <w:r w:rsidRPr="007D6099">
        <w:t xml:space="preserve"> that </w:t>
      </w:r>
      <w:r w:rsidR="00D845CE" w:rsidRPr="00CC56B0">
        <w:t>examining a child’s</w:t>
      </w:r>
      <w:r w:rsidR="00B13CC7" w:rsidRPr="007D6099">
        <w:t xml:space="preserve"> criminal history</w:t>
      </w:r>
      <w:r w:rsidR="00D845CE" w:rsidRPr="00CC56B0">
        <w:t xml:space="preserve"> to </w:t>
      </w:r>
      <w:r w:rsidR="00B76BC1">
        <w:t>determine</w:t>
      </w:r>
      <w:r w:rsidR="00D845CE" w:rsidRPr="00CC56B0">
        <w:t xml:space="preserve"> whether they </w:t>
      </w:r>
      <w:r w:rsidR="00B76BC1">
        <w:t>should be granted</w:t>
      </w:r>
      <w:r w:rsidR="007E2E40">
        <w:t xml:space="preserve"> citizenship</w:t>
      </w:r>
      <w:r w:rsidR="007D6099" w:rsidRPr="00CC56B0">
        <w:t xml:space="preserve"> </w:t>
      </w:r>
      <w:r w:rsidR="00B13CC7" w:rsidRPr="007D6099">
        <w:t xml:space="preserve">is inconsistent with </w:t>
      </w:r>
      <w:r w:rsidR="007D6099" w:rsidRPr="00CC56B0">
        <w:t>the principles</w:t>
      </w:r>
      <w:r w:rsidR="00B13CC7" w:rsidRPr="007D6099">
        <w:t xml:space="preserve"> of rehabilitation </w:t>
      </w:r>
      <w:r w:rsidR="007D6099" w:rsidRPr="00CC56B0">
        <w:t>and reintegration of</w:t>
      </w:r>
      <w:r w:rsidR="00B13CC7" w:rsidRPr="007D6099">
        <w:t xml:space="preserve"> </w:t>
      </w:r>
      <w:r w:rsidR="007D6099" w:rsidRPr="00CC56B0">
        <w:t>child</w:t>
      </w:r>
      <w:r w:rsidR="00B13CC7" w:rsidRPr="007D6099">
        <w:t xml:space="preserve"> offenders</w:t>
      </w:r>
      <w:r w:rsidR="009F23BB">
        <w:t>, and therefore contrary to article 40(1) of the CRC</w:t>
      </w:r>
      <w:r w:rsidR="00B13CC7" w:rsidRPr="007D6099">
        <w:t>.</w:t>
      </w:r>
    </w:p>
    <w:p w14:paraId="758D1A5B" w14:textId="77777777" w:rsidR="002A5A9F" w:rsidRPr="00716CAA" w:rsidRDefault="002A5A9F" w:rsidP="002A5A9F">
      <w:pPr>
        <w:pStyle w:val="SubmissionNormal"/>
        <w:tabs>
          <w:tab w:val="clear" w:pos="720"/>
        </w:tabs>
        <w:ind w:hanging="720"/>
      </w:pPr>
      <w:r>
        <w:t>The Commission notes that m</w:t>
      </w:r>
      <w:r w:rsidRPr="000240BC">
        <w:rPr>
          <w:rFonts w:cs="Arial"/>
        </w:rPr>
        <w:t>any children in conflict with the law, particularly those in youth justice detention, have experienced abuse, neglect and trauma. Past traumatic experiences may emerge as difficulty in managing interpersonal relationships, including disruptive or violent behaviours.</w:t>
      </w:r>
      <w:r w:rsidRPr="008779DD">
        <w:rPr>
          <w:rStyle w:val="EndnoteReference"/>
          <w:rFonts w:cs="Arial"/>
          <w:sz w:val="24"/>
        </w:rPr>
        <w:endnoteReference w:id="150"/>
      </w:r>
      <w:r w:rsidRPr="000240BC">
        <w:rPr>
          <w:rFonts w:cs="Arial"/>
        </w:rPr>
        <w:t xml:space="preserve"> </w:t>
      </w:r>
      <w:r w:rsidRPr="008779DD">
        <w:t xml:space="preserve">The Commission considers that trauma-informed, positive interventions and rehabilitative programs are needed to support </w:t>
      </w:r>
      <w:r>
        <w:t>these children</w:t>
      </w:r>
      <w:r w:rsidRPr="008779DD">
        <w:t>.</w:t>
      </w:r>
    </w:p>
    <w:p w14:paraId="4138FE2F" w14:textId="77777777" w:rsidR="00D41868" w:rsidRDefault="00F723C1" w:rsidP="006A6D25">
      <w:pPr>
        <w:pStyle w:val="SubmissionNormal"/>
        <w:tabs>
          <w:tab w:val="clear" w:pos="720"/>
        </w:tabs>
        <w:ind w:hanging="720"/>
      </w:pPr>
      <w:r>
        <w:t xml:space="preserve">The Commission also queries whether the amendment is reasonably justifiable </w:t>
      </w:r>
      <w:r w:rsidR="00287BB5">
        <w:t>or</w:t>
      </w:r>
      <w:r>
        <w:t xml:space="preserve"> proportionate. </w:t>
      </w:r>
      <w:r w:rsidR="00341A8C">
        <w:t>A</w:t>
      </w:r>
      <w:r w:rsidR="00D41868">
        <w:t>ccording to the latest s</w:t>
      </w:r>
      <w:r w:rsidR="00B3601E">
        <w:t>tatistics from the Australian Bureau of Statistics</w:t>
      </w:r>
      <w:r w:rsidR="00D41868">
        <w:t>,</w:t>
      </w:r>
      <w:r w:rsidR="00B3601E">
        <w:t xml:space="preserve"> </w:t>
      </w:r>
      <w:r>
        <w:t>th</w:t>
      </w:r>
      <w:r w:rsidR="00D41868">
        <w:t>e predominant principal offe</w:t>
      </w:r>
      <w:r>
        <w:t xml:space="preserve">nce committed by </w:t>
      </w:r>
      <w:r w:rsidR="00B13CC7">
        <w:t xml:space="preserve">youth offenders (i.e. </w:t>
      </w:r>
      <w:r>
        <w:t>children aged 10 to 17 years</w:t>
      </w:r>
      <w:r w:rsidR="00B13CC7">
        <w:t>)</w:t>
      </w:r>
      <w:r>
        <w:t xml:space="preserve"> was t</w:t>
      </w:r>
      <w:r w:rsidR="00D41868">
        <w:t>heft, which comprised 35% of all youth offenders. Approximate</w:t>
      </w:r>
      <w:r>
        <w:t xml:space="preserve">ly half of those offenders were </w:t>
      </w:r>
      <w:r w:rsidR="00D41868">
        <w:t xml:space="preserve">proceeded </w:t>
      </w:r>
      <w:r w:rsidR="00D41868">
        <w:lastRenderedPageBreak/>
        <w:t>against for public transport fare evasion</w:t>
      </w:r>
      <w:r>
        <w:t>.</w:t>
      </w:r>
      <w:r w:rsidR="00B13CC7">
        <w:t xml:space="preserve"> Furthermore, over the period 2008–09 to 2015–16, the number of youth offenders declined across most offence categories.</w:t>
      </w:r>
      <w:r w:rsidRPr="009F23BB">
        <w:rPr>
          <w:rStyle w:val="EndnoteReference"/>
        </w:rPr>
        <w:endnoteReference w:id="151"/>
      </w:r>
      <w:r w:rsidR="00B13CC7" w:rsidRPr="009F23BB">
        <w:t xml:space="preserve"> Without strong evidence</w:t>
      </w:r>
      <w:r w:rsidR="007D6099">
        <w:t xml:space="preserve"> </w:t>
      </w:r>
      <w:r w:rsidR="007E2E40">
        <w:t xml:space="preserve">that </w:t>
      </w:r>
      <w:r w:rsidR="007A0492">
        <w:t xml:space="preserve">there is a need to protect the Australian community from </w:t>
      </w:r>
      <w:r w:rsidR="007E2E40">
        <w:t xml:space="preserve">children </w:t>
      </w:r>
      <w:r w:rsidR="00B80A60">
        <w:t>who have committed</w:t>
      </w:r>
      <w:r w:rsidR="007E2E40">
        <w:t xml:space="preserve"> </w:t>
      </w:r>
      <w:r w:rsidR="00CC56B0">
        <w:t>‘particularly serious crimes’</w:t>
      </w:r>
      <w:r w:rsidR="007A0492">
        <w:t xml:space="preserve"> and that this measure </w:t>
      </w:r>
      <w:r w:rsidR="00B80A60">
        <w:t>would be</w:t>
      </w:r>
      <w:r w:rsidR="007A0492">
        <w:t xml:space="preserve"> proportionate to achieving this objective</w:t>
      </w:r>
      <w:r w:rsidRPr="009F23BB">
        <w:t xml:space="preserve">, the Commission queries the </w:t>
      </w:r>
      <w:r w:rsidR="007E2E40">
        <w:t>justification</w:t>
      </w:r>
      <w:r w:rsidRPr="009F23BB">
        <w:t xml:space="preserve"> for </w:t>
      </w:r>
      <w:r w:rsidR="007D6099">
        <w:t xml:space="preserve">extending </w:t>
      </w:r>
      <w:r w:rsidR="00CC56B0">
        <w:t>this generalised ‘</w:t>
      </w:r>
      <w:r w:rsidR="007D6099" w:rsidRPr="009F23BB">
        <w:t>good character</w:t>
      </w:r>
      <w:r w:rsidR="00CC56B0">
        <w:t>’</w:t>
      </w:r>
      <w:r w:rsidR="007D6099" w:rsidRPr="009F23BB">
        <w:t xml:space="preserve"> requirement </w:t>
      </w:r>
      <w:r w:rsidR="007D6099">
        <w:t>to</w:t>
      </w:r>
      <w:r w:rsidRPr="009F23BB">
        <w:t xml:space="preserve"> children.</w:t>
      </w:r>
    </w:p>
    <w:p w14:paraId="427C24EB" w14:textId="77777777" w:rsidR="00CC56B0" w:rsidRDefault="002930CD" w:rsidP="00CC56B0">
      <w:pPr>
        <w:pStyle w:val="SubmissionNormal"/>
        <w:tabs>
          <w:tab w:val="clear" w:pos="720"/>
        </w:tabs>
        <w:ind w:hanging="720"/>
      </w:pPr>
      <w:r>
        <w:t xml:space="preserve">A more constructive approach, in the Commission’s view, would be to pursue measures aimed at promoting the education, inclusion and participation of all </w:t>
      </w:r>
      <w:r w:rsidR="00B80A60">
        <w:t xml:space="preserve">children and </w:t>
      </w:r>
      <w:r>
        <w:t xml:space="preserve">young people in Australian society (including targeted, youth-specific settlement services). This approach would also assist in promoting positive settlement outcomes for young people from migrant and refugee </w:t>
      </w:r>
      <w:r w:rsidRPr="00716CAA">
        <w:t xml:space="preserve">backgrounds more generally. </w:t>
      </w:r>
    </w:p>
    <w:p w14:paraId="2FA12F07" w14:textId="77777777" w:rsidR="00963976" w:rsidRDefault="00963976" w:rsidP="00FD45F2">
      <w:pPr>
        <w:pStyle w:val="Heading2"/>
      </w:pPr>
      <w:bookmarkStart w:id="42" w:name="_Toc488410898"/>
      <w:r>
        <w:t xml:space="preserve">People with intellectual </w:t>
      </w:r>
      <w:r w:rsidR="0010160E">
        <w:t xml:space="preserve">disability </w:t>
      </w:r>
      <w:r w:rsidR="00FE159E">
        <w:t xml:space="preserve">or cognitive </w:t>
      </w:r>
      <w:r w:rsidR="0010160E">
        <w:t>impairment</w:t>
      </w:r>
      <w:bookmarkEnd w:id="42"/>
    </w:p>
    <w:p w14:paraId="5595E959" w14:textId="77777777" w:rsidR="00D94FC3" w:rsidRDefault="00D94FC3" w:rsidP="00D94FC3">
      <w:pPr>
        <w:pStyle w:val="SubmissionNormal"/>
        <w:tabs>
          <w:tab w:val="clear" w:pos="720"/>
        </w:tabs>
        <w:ind w:hanging="720"/>
      </w:pPr>
      <w:r>
        <w:t>The Australian Citizenship Act currently provides</w:t>
      </w:r>
      <w:r w:rsidR="00C47952">
        <w:t xml:space="preserve"> in s 24(6)</w:t>
      </w:r>
      <w:r>
        <w:t xml:space="preserve"> that a Minister must not approve an application </w:t>
      </w:r>
      <w:r w:rsidR="00A1554F">
        <w:t xml:space="preserve">by a person </w:t>
      </w:r>
      <w:r>
        <w:t>for citizenship by conferral</w:t>
      </w:r>
      <w:r w:rsidR="00BA79E0">
        <w:t xml:space="preserve"> if criminal proceedings are on foot in relation to the person or, if the person was convicted of a criminal offence, until a certain period of time has passed after the person is released from </w:t>
      </w:r>
      <w:r w:rsidR="001570D7">
        <w:t>prison or the person’s parole period expires.</w:t>
      </w:r>
      <w:r w:rsidR="001570D7">
        <w:rPr>
          <w:rStyle w:val="EndnoteReference"/>
        </w:rPr>
        <w:endnoteReference w:id="152"/>
      </w:r>
    </w:p>
    <w:p w14:paraId="7325D1F2" w14:textId="77777777" w:rsidR="001570D7" w:rsidRDefault="001570D7" w:rsidP="00D94FC3">
      <w:pPr>
        <w:pStyle w:val="SubmissionNormal"/>
        <w:tabs>
          <w:tab w:val="clear" w:pos="720"/>
        </w:tabs>
        <w:ind w:hanging="720"/>
      </w:pPr>
      <w:r>
        <w:t xml:space="preserve">The Bill proposes to extend this prohibition on citizenship based on criminal </w:t>
      </w:r>
      <w:r w:rsidR="005A6C68">
        <w:t xml:space="preserve">proceedings or criminal </w:t>
      </w:r>
      <w:r>
        <w:t>conduct in two ways:</w:t>
      </w:r>
    </w:p>
    <w:p w14:paraId="0CF43038" w14:textId="77777777" w:rsidR="005A6C68" w:rsidRDefault="001570D7" w:rsidP="001570D7">
      <w:pPr>
        <w:pStyle w:val="SubmissionNormal"/>
        <w:numPr>
          <w:ilvl w:val="1"/>
          <w:numId w:val="15"/>
        </w:numPr>
      </w:pPr>
      <w:r>
        <w:t>it will apply not just to applications for citizenship by conferral, but also to</w:t>
      </w:r>
      <w:r w:rsidR="005A6C68">
        <w:t>:</w:t>
      </w:r>
    </w:p>
    <w:p w14:paraId="0EEA9F33" w14:textId="77777777" w:rsidR="005A6C68" w:rsidRDefault="001570D7" w:rsidP="005A6C68">
      <w:pPr>
        <w:pStyle w:val="SubmissionNormal"/>
        <w:numPr>
          <w:ilvl w:val="2"/>
          <w:numId w:val="15"/>
        </w:numPr>
      </w:pPr>
      <w:r>
        <w:t>applications for citizenship by descent</w:t>
      </w:r>
      <w:r w:rsidR="005A6C68">
        <w:t>;</w:t>
      </w:r>
      <w:r w:rsidR="005A6C68">
        <w:rPr>
          <w:rStyle w:val="EndnoteReference"/>
        </w:rPr>
        <w:endnoteReference w:id="153"/>
      </w:r>
      <w:r>
        <w:t xml:space="preserve"> </w:t>
      </w:r>
    </w:p>
    <w:p w14:paraId="59EA2C9C" w14:textId="77777777" w:rsidR="005A6C68" w:rsidRDefault="001570D7" w:rsidP="005A6C68">
      <w:pPr>
        <w:pStyle w:val="SubmissionNormal"/>
        <w:numPr>
          <w:ilvl w:val="2"/>
          <w:numId w:val="15"/>
        </w:numPr>
      </w:pPr>
      <w:r>
        <w:t>applications for citiz</w:t>
      </w:r>
      <w:r w:rsidR="005A6C68">
        <w:t>enship by intercountry adoption;</w:t>
      </w:r>
      <w:r w:rsidR="00181450">
        <w:rPr>
          <w:rStyle w:val="EndnoteReference"/>
        </w:rPr>
        <w:endnoteReference w:id="154"/>
      </w:r>
      <w:r w:rsidR="005A6C68">
        <w:t xml:space="preserve"> and</w:t>
      </w:r>
    </w:p>
    <w:p w14:paraId="07BE48A6" w14:textId="77777777" w:rsidR="001570D7" w:rsidRDefault="005A6C68" w:rsidP="005A6C68">
      <w:pPr>
        <w:pStyle w:val="SubmissionNormal"/>
        <w:numPr>
          <w:ilvl w:val="2"/>
          <w:numId w:val="15"/>
        </w:numPr>
      </w:pPr>
      <w:r>
        <w:t xml:space="preserve">applications for </w:t>
      </w:r>
      <w:r w:rsidR="00181450">
        <w:t>resumption of citizenship that had ceased.</w:t>
      </w:r>
      <w:r>
        <w:rPr>
          <w:rStyle w:val="EndnoteReference"/>
        </w:rPr>
        <w:endnoteReference w:id="155"/>
      </w:r>
    </w:p>
    <w:p w14:paraId="29F5B1F7" w14:textId="77777777" w:rsidR="001570D7" w:rsidRDefault="00181450" w:rsidP="001570D7">
      <w:pPr>
        <w:pStyle w:val="SubmissionNormal"/>
        <w:numPr>
          <w:ilvl w:val="1"/>
          <w:numId w:val="15"/>
        </w:numPr>
      </w:pPr>
      <w:r>
        <w:t xml:space="preserve">in relation to all of these types of applications, the </w:t>
      </w:r>
      <w:r w:rsidR="00A01188">
        <w:t>scope of the prohibition will be extended</w:t>
      </w:r>
      <w:r w:rsidR="003D267C">
        <w:t xml:space="preserve"> beyond the matters currently in s 24(6)</w:t>
      </w:r>
      <w:r w:rsidR="00A01188">
        <w:t>.</w:t>
      </w:r>
      <w:r w:rsidR="00C47952">
        <w:rPr>
          <w:rStyle w:val="EndnoteReference"/>
        </w:rPr>
        <w:endnoteReference w:id="156"/>
      </w:r>
    </w:p>
    <w:p w14:paraId="51B92A45" w14:textId="77777777" w:rsidR="00A01188" w:rsidRDefault="00372D7D" w:rsidP="00A01188">
      <w:pPr>
        <w:pStyle w:val="SubmissionNormal"/>
        <w:tabs>
          <w:tab w:val="clear" w:pos="720"/>
        </w:tabs>
        <w:ind w:hanging="720"/>
      </w:pPr>
      <w:r>
        <w:t xml:space="preserve">In this submission, </w:t>
      </w:r>
      <w:r w:rsidR="00A01188">
        <w:t>the Commission focus</w:t>
      </w:r>
      <w:r>
        <w:t>es</w:t>
      </w:r>
      <w:r w:rsidR="00A01188">
        <w:t xml:space="preserve"> on the impact of these changes on people with an intellectual disability or cognitive impairment</w:t>
      </w:r>
      <w:r w:rsidR="003D267C">
        <w:t xml:space="preserve"> who come into contact with the criminal justice system</w:t>
      </w:r>
      <w:r w:rsidR="00A01188">
        <w:t>.</w:t>
      </w:r>
      <w:r w:rsidR="00F717F3">
        <w:t xml:space="preserve">  There are two provisions that the Commission has concerns about.</w:t>
      </w:r>
    </w:p>
    <w:p w14:paraId="4797753A" w14:textId="77777777" w:rsidR="00A01188" w:rsidRDefault="00F717F3" w:rsidP="00A01188">
      <w:pPr>
        <w:pStyle w:val="SubmissionNormal"/>
        <w:tabs>
          <w:tab w:val="clear" w:pos="720"/>
        </w:tabs>
        <w:ind w:hanging="720"/>
      </w:pPr>
      <w:bookmarkStart w:id="43" w:name="_Ref486606359"/>
      <w:r>
        <w:t>First, t</w:t>
      </w:r>
      <w:r w:rsidR="003D267C">
        <w:t xml:space="preserve">he Bill proposes that the Minister must </w:t>
      </w:r>
      <w:r w:rsidR="00DD732C">
        <w:t xml:space="preserve">not approve </w:t>
      </w:r>
      <w:r w:rsidR="003D267C">
        <w:t xml:space="preserve">an application for citizenship </w:t>
      </w:r>
      <w:r w:rsidR="00DD732C">
        <w:t xml:space="preserve">of any kind when the applicant is subject to an order of a court requiring him or her to participate in ‘a residential program for </w:t>
      </w:r>
      <w:r w:rsidR="00821C93">
        <w:t>persons with a mental illness</w:t>
      </w:r>
      <w:r w:rsidR="00DD732C">
        <w:t>’, where the order was made ‘in connection with’ proceedings for an offence.</w:t>
      </w:r>
      <w:r w:rsidR="00DA37F8">
        <w:rPr>
          <w:rStyle w:val="EndnoteReference"/>
        </w:rPr>
        <w:endnoteReference w:id="157"/>
      </w:r>
      <w:bookmarkEnd w:id="43"/>
    </w:p>
    <w:p w14:paraId="18791BF2" w14:textId="77777777" w:rsidR="00DD732C" w:rsidRDefault="00F717F3" w:rsidP="00A01188">
      <w:pPr>
        <w:pStyle w:val="SubmissionNormal"/>
        <w:tabs>
          <w:tab w:val="clear" w:pos="720"/>
        </w:tabs>
        <w:ind w:hanging="720"/>
      </w:pPr>
      <w:bookmarkStart w:id="44" w:name="_Ref486606361"/>
      <w:r>
        <w:t>Secondly, t</w:t>
      </w:r>
      <w:r w:rsidR="00DA37F8">
        <w:t xml:space="preserve">he Commission has concerns about the existing s 24(6)(h) and </w:t>
      </w:r>
      <w:r w:rsidR="00A1554F">
        <w:t>the proposal to extend this provision</w:t>
      </w:r>
      <w:r w:rsidR="00DA37F8">
        <w:t xml:space="preserve"> to all categories of applicants for citizenship. Under this </w:t>
      </w:r>
      <w:r w:rsidR="00323DED">
        <w:t>provision</w:t>
      </w:r>
      <w:r w:rsidR="00DA37F8">
        <w:t xml:space="preserve"> </w:t>
      </w:r>
      <w:r w:rsidR="00821C93">
        <w:t xml:space="preserve">(taking into account the amended terminology in the </w:t>
      </w:r>
      <w:r w:rsidR="00821C93">
        <w:lastRenderedPageBreak/>
        <w:t>Bill),</w:t>
      </w:r>
      <w:r w:rsidR="00821C93">
        <w:rPr>
          <w:rStyle w:val="EndnoteReference"/>
        </w:rPr>
        <w:endnoteReference w:id="158"/>
      </w:r>
      <w:r w:rsidR="00821C93">
        <w:t xml:space="preserve"> </w:t>
      </w:r>
      <w:r w:rsidR="00DA37F8">
        <w:t xml:space="preserve">the Minister must not approve an application for citizenship during any period during which the person is confined in a </w:t>
      </w:r>
      <w:r w:rsidR="00821C93">
        <w:t>mental health care facility</w:t>
      </w:r>
      <w:r w:rsidR="00DA37F8">
        <w:t xml:space="preserve"> by order of a court made ‘in connection with’ proceedings for an offence.</w:t>
      </w:r>
      <w:bookmarkEnd w:id="44"/>
      <w:r w:rsidR="00DA37F8">
        <w:t xml:space="preserve"> </w:t>
      </w:r>
    </w:p>
    <w:p w14:paraId="7931DFA3" w14:textId="77777777" w:rsidR="00DA37F8" w:rsidRDefault="00DA37F8" w:rsidP="00A01188">
      <w:pPr>
        <w:pStyle w:val="SubmissionNormal"/>
        <w:tabs>
          <w:tab w:val="clear" w:pos="720"/>
        </w:tabs>
        <w:ind w:hanging="720"/>
      </w:pPr>
      <w:r>
        <w:t xml:space="preserve">There are two </w:t>
      </w:r>
      <w:r w:rsidR="00B900BC">
        <w:t>factors</w:t>
      </w:r>
      <w:r>
        <w:t xml:space="preserve"> that </w:t>
      </w:r>
      <w:r w:rsidR="0094154A">
        <w:t>distinguish these prohibitions from the other prohibitions currently in s 24(6):</w:t>
      </w:r>
    </w:p>
    <w:p w14:paraId="095D706C" w14:textId="77777777" w:rsidR="0094154A" w:rsidRDefault="0094154A" w:rsidP="0094154A">
      <w:pPr>
        <w:pStyle w:val="SubmissionNormal"/>
        <w:numPr>
          <w:ilvl w:val="1"/>
          <w:numId w:val="15"/>
        </w:numPr>
      </w:pPr>
      <w:r>
        <w:t>they apply only to people with a mental disability;</w:t>
      </w:r>
    </w:p>
    <w:p w14:paraId="60AE8A9E" w14:textId="77777777" w:rsidR="0094154A" w:rsidRDefault="0094154A" w:rsidP="0094154A">
      <w:pPr>
        <w:pStyle w:val="SubmissionNormal"/>
        <w:numPr>
          <w:ilvl w:val="1"/>
          <w:numId w:val="15"/>
        </w:numPr>
      </w:pPr>
      <w:r>
        <w:t>they apply to situations where a person was charged but was not convicted of any criminal offence.</w:t>
      </w:r>
    </w:p>
    <w:p w14:paraId="2308AFC2" w14:textId="77777777" w:rsidR="00B1102B" w:rsidRDefault="00B1102B" w:rsidP="00B1102B">
      <w:pPr>
        <w:pStyle w:val="SubmissionNormal"/>
        <w:tabs>
          <w:tab w:val="clear" w:pos="720"/>
        </w:tabs>
        <w:ind w:hanging="720"/>
      </w:pPr>
      <w:r>
        <w:t>Article 5 of the Convention on the Rights of Persons with Disabilities relevantly provides:</w:t>
      </w:r>
    </w:p>
    <w:p w14:paraId="1F4B6F95" w14:textId="77777777" w:rsidR="00B1102B" w:rsidRPr="00323DED" w:rsidRDefault="00B1102B" w:rsidP="00B1102B">
      <w:pPr>
        <w:pStyle w:val="SubmissionNormal"/>
        <w:numPr>
          <w:ilvl w:val="0"/>
          <w:numId w:val="0"/>
        </w:numPr>
        <w:ind w:left="2160" w:hanging="720"/>
        <w:rPr>
          <w:sz w:val="22"/>
        </w:rPr>
      </w:pPr>
      <w:r w:rsidRPr="00323DED">
        <w:rPr>
          <w:sz w:val="22"/>
        </w:rPr>
        <w:t>(1)</w:t>
      </w:r>
      <w:r w:rsidRPr="00323DED">
        <w:rPr>
          <w:sz w:val="22"/>
        </w:rPr>
        <w:tab/>
        <w:t>States Parties recognize that all persons are equal before and under the law and are entitled without any discrimination to the equal protection and equal benefit of the law.</w:t>
      </w:r>
    </w:p>
    <w:p w14:paraId="2C047342" w14:textId="77777777" w:rsidR="00B1102B" w:rsidRDefault="00B1102B" w:rsidP="00B1102B">
      <w:pPr>
        <w:pStyle w:val="SubmissionNormal"/>
        <w:numPr>
          <w:ilvl w:val="0"/>
          <w:numId w:val="0"/>
        </w:numPr>
        <w:ind w:left="2160" w:hanging="720"/>
        <w:rPr>
          <w:sz w:val="22"/>
        </w:rPr>
      </w:pPr>
      <w:r w:rsidRPr="00323DED">
        <w:rPr>
          <w:sz w:val="22"/>
        </w:rPr>
        <w:t>(2)</w:t>
      </w:r>
      <w:r w:rsidRPr="00323DED">
        <w:rPr>
          <w:sz w:val="22"/>
        </w:rPr>
        <w:tab/>
        <w:t>States Parties shall prohibit all discrimination on the basis of disability and guarantee to persons with disabilities equal and effective legal protection against discrimination on all grounds.</w:t>
      </w:r>
      <w:r>
        <w:rPr>
          <w:rStyle w:val="EndnoteReference"/>
        </w:rPr>
        <w:endnoteReference w:id="159"/>
      </w:r>
    </w:p>
    <w:p w14:paraId="41C6736F" w14:textId="77777777" w:rsidR="003D6C02" w:rsidRDefault="008C4C21" w:rsidP="00DB33F7">
      <w:pPr>
        <w:pStyle w:val="SubmissionNormal"/>
        <w:tabs>
          <w:tab w:val="clear" w:pos="720"/>
        </w:tabs>
        <w:ind w:hanging="720"/>
      </w:pPr>
      <w:r>
        <w:t>When these provisions were first put forward in the 2014 Bill in the same terms, the Government recognised</w:t>
      </w:r>
      <w:r w:rsidR="00B1102B">
        <w:t xml:space="preserve"> that</w:t>
      </w:r>
      <w:r w:rsidR="003D6C02">
        <w:t>,</w:t>
      </w:r>
      <w:r w:rsidR="00B1102B">
        <w:t xml:space="preserve"> </w:t>
      </w:r>
      <w:r w:rsidR="001F63E5">
        <w:t>on their face, ‘these amendments discriminate against persons with a mental illness’.</w:t>
      </w:r>
      <w:r w:rsidR="001F63E5">
        <w:rPr>
          <w:rStyle w:val="EndnoteReference"/>
        </w:rPr>
        <w:endnoteReference w:id="160"/>
      </w:r>
      <w:r w:rsidR="001F63E5">
        <w:t xml:space="preserve"> </w:t>
      </w:r>
      <w:r w:rsidR="003D6C02">
        <w:t xml:space="preserve"> The language used in the current Explanatory Memorandum now only concedes that the proposed amendments ‘may engage’ the provisions of the CRPD.</w:t>
      </w:r>
      <w:r w:rsidR="003D6C02">
        <w:rPr>
          <w:rStyle w:val="EndnoteReference"/>
        </w:rPr>
        <w:endnoteReference w:id="161"/>
      </w:r>
    </w:p>
    <w:p w14:paraId="75473599" w14:textId="77777777" w:rsidR="00984661" w:rsidRDefault="003D6C02" w:rsidP="00DB33F7">
      <w:pPr>
        <w:pStyle w:val="SubmissionNormal"/>
        <w:tabs>
          <w:tab w:val="clear" w:pos="720"/>
        </w:tabs>
        <w:ind w:hanging="720"/>
      </w:pPr>
      <w:r>
        <w:t xml:space="preserve">The Government </w:t>
      </w:r>
      <w:r w:rsidR="001F63E5">
        <w:t xml:space="preserve">submits that </w:t>
      </w:r>
      <w:r>
        <w:t xml:space="preserve">to the extent that there is </w:t>
      </w:r>
      <w:r w:rsidR="001F63E5">
        <w:t xml:space="preserve">discrimination </w:t>
      </w:r>
      <w:r>
        <w:t xml:space="preserve">it </w:t>
      </w:r>
      <w:r w:rsidR="001F63E5">
        <w:t xml:space="preserve">is necessary and proportionate to the legitimate </w:t>
      </w:r>
      <w:r w:rsidR="009453EF">
        <w:t>objective that</w:t>
      </w:r>
      <w:r w:rsidR="00984661">
        <w:t>:</w:t>
      </w:r>
    </w:p>
    <w:p w14:paraId="47E02B56" w14:textId="77777777" w:rsidR="00984661" w:rsidRDefault="009453EF" w:rsidP="00984661">
      <w:pPr>
        <w:pStyle w:val="SubmissionNormal"/>
        <w:numPr>
          <w:ilvl w:val="1"/>
          <w:numId w:val="15"/>
        </w:numPr>
      </w:pPr>
      <w:r>
        <w:t>‘the privileges of Australian citizenship are only given to those who are of good character and have not committed certain criminal offences’</w:t>
      </w:r>
      <w:r w:rsidR="00984661">
        <w:t>;</w:t>
      </w:r>
      <w:r>
        <w:rPr>
          <w:rStyle w:val="EndnoteReference"/>
        </w:rPr>
        <w:endnoteReference w:id="162"/>
      </w:r>
      <w:r>
        <w:t xml:space="preserve"> </w:t>
      </w:r>
      <w:r w:rsidR="00984661">
        <w:t>or</w:t>
      </w:r>
    </w:p>
    <w:p w14:paraId="7DEB6CB6" w14:textId="77777777" w:rsidR="00984661" w:rsidRDefault="00984661" w:rsidP="00984661">
      <w:pPr>
        <w:pStyle w:val="SubmissionNormal"/>
        <w:numPr>
          <w:ilvl w:val="1"/>
          <w:numId w:val="15"/>
        </w:numPr>
      </w:pPr>
      <w:r>
        <w:t>‘citizenship is only available to those people who can demonstrate that they respect the laws of Australia’.</w:t>
      </w:r>
      <w:r>
        <w:rPr>
          <w:rStyle w:val="EndnoteReference"/>
        </w:rPr>
        <w:endnoteReference w:id="163"/>
      </w:r>
    </w:p>
    <w:p w14:paraId="4BB68697" w14:textId="77777777" w:rsidR="0072765C" w:rsidRDefault="002B2D3F" w:rsidP="00DB33F7">
      <w:pPr>
        <w:pStyle w:val="SubmissionNormal"/>
        <w:tabs>
          <w:tab w:val="clear" w:pos="720"/>
        </w:tabs>
        <w:ind w:hanging="720"/>
      </w:pPr>
      <w:r>
        <w:t>There are two responses to the question of proportionality. First, there is a need to separate the question of good character from a person’s criminal record</w:t>
      </w:r>
      <w:r w:rsidR="0072765C">
        <w:t>.</w:t>
      </w:r>
      <w:r>
        <w:t xml:space="preserve"> A</w:t>
      </w:r>
      <w:r w:rsidR="0072765C">
        <w:t xml:space="preserve">s </w:t>
      </w:r>
      <w:r w:rsidR="008F41EA">
        <w:t xml:space="preserve">noted earlier in these submissions, </w:t>
      </w:r>
      <w:r w:rsidR="0072765C">
        <w:t xml:space="preserve">the Australian Citizenship Council </w:t>
      </w:r>
      <w:r w:rsidR="008F41EA">
        <w:t>has said</w:t>
      </w:r>
      <w:r w:rsidR="0072765C">
        <w:t>:</w:t>
      </w:r>
    </w:p>
    <w:p w14:paraId="34562E17" w14:textId="77777777" w:rsidR="00DB33F7" w:rsidRPr="007C4F77" w:rsidRDefault="00881DE8" w:rsidP="0072765C">
      <w:pPr>
        <w:pStyle w:val="SubmissionNormal"/>
        <w:numPr>
          <w:ilvl w:val="0"/>
          <w:numId w:val="0"/>
        </w:numPr>
        <w:ind w:left="1440"/>
        <w:rPr>
          <w:sz w:val="22"/>
        </w:rPr>
      </w:pPr>
      <w:r>
        <w:rPr>
          <w:sz w:val="22"/>
        </w:rPr>
        <w:t xml:space="preserve">Each applicant is assessed against ‘good character’ policy requirements [including the ones now in s 24(6)]. </w:t>
      </w:r>
      <w:r w:rsidR="0072765C" w:rsidRPr="007C4F77">
        <w:rPr>
          <w:sz w:val="22"/>
        </w:rPr>
        <w:t>The fact that a person has a criminal record does not itself automatically preclude a grant of Citizenship. Length of time since the offence, seriousness of the offence and the chance of recidivism are all matters that are taken into consideration.</w:t>
      </w:r>
      <w:r w:rsidR="007C4F77">
        <w:rPr>
          <w:rStyle w:val="EndnoteReference"/>
        </w:rPr>
        <w:endnoteReference w:id="164"/>
      </w:r>
    </w:p>
    <w:p w14:paraId="6932FD06" w14:textId="120A3604" w:rsidR="007C4F77" w:rsidRDefault="00680F97" w:rsidP="00680F97">
      <w:pPr>
        <w:pStyle w:val="SubmissionNormal"/>
        <w:tabs>
          <w:tab w:val="clear" w:pos="720"/>
        </w:tabs>
        <w:ind w:hanging="720"/>
      </w:pPr>
      <w:r>
        <w:t xml:space="preserve">Secondly, a key </w:t>
      </w:r>
      <w:r w:rsidR="007C4F77">
        <w:t xml:space="preserve">difference in the </w:t>
      </w:r>
      <w:r w:rsidR="00F717F3">
        <w:t xml:space="preserve">two </w:t>
      </w:r>
      <w:r>
        <w:t xml:space="preserve">provisions identified by the Commission </w:t>
      </w:r>
      <w:r w:rsidR="00F717F3">
        <w:t xml:space="preserve">in paragraphs </w:t>
      </w:r>
      <w:r w:rsidR="00F717F3">
        <w:fldChar w:fldCharType="begin"/>
      </w:r>
      <w:r w:rsidR="00F717F3">
        <w:instrText xml:space="preserve"> REF _Ref486606359 \r \h </w:instrText>
      </w:r>
      <w:r w:rsidR="00F717F3">
        <w:fldChar w:fldCharType="separate"/>
      </w:r>
      <w:r w:rsidR="00286AA5">
        <w:t>186</w:t>
      </w:r>
      <w:r w:rsidR="00F717F3">
        <w:fldChar w:fldCharType="end"/>
      </w:r>
      <w:r w:rsidR="00F717F3">
        <w:t xml:space="preserve"> and </w:t>
      </w:r>
      <w:r w:rsidR="00F717F3">
        <w:fldChar w:fldCharType="begin"/>
      </w:r>
      <w:r w:rsidR="00F717F3">
        <w:instrText xml:space="preserve"> REF _Ref486606361 \r \h </w:instrText>
      </w:r>
      <w:r w:rsidR="00F717F3">
        <w:fldChar w:fldCharType="separate"/>
      </w:r>
      <w:r w:rsidR="00286AA5">
        <w:t>187</w:t>
      </w:r>
      <w:r w:rsidR="00F717F3">
        <w:fldChar w:fldCharType="end"/>
      </w:r>
      <w:r w:rsidR="00F717F3">
        <w:t xml:space="preserve"> </w:t>
      </w:r>
      <w:r>
        <w:t>above</w:t>
      </w:r>
      <w:r w:rsidR="007C4F77">
        <w:t xml:space="preserve"> is that a person </w:t>
      </w:r>
      <w:r>
        <w:t xml:space="preserve">who meets the criteria </w:t>
      </w:r>
      <w:r w:rsidR="007C4F77">
        <w:t xml:space="preserve">may </w:t>
      </w:r>
      <w:r w:rsidR="00470679">
        <w:t xml:space="preserve">not have been convicted of an offence at all. For example, the court may have determined that the person was unable to plead to any criminal charges, or </w:t>
      </w:r>
      <w:r w:rsidR="00470679">
        <w:lastRenderedPageBreak/>
        <w:t>the person may have been found not guilty of any offence by reason of mental impairment. Neither of those circumstances lead</w:t>
      </w:r>
      <w:r w:rsidR="00881DE8">
        <w:t>s</w:t>
      </w:r>
      <w:r w:rsidR="00470679">
        <w:t xml:space="preserve"> to the conclusion that the person is not of good character.</w:t>
      </w:r>
      <w:r>
        <w:t xml:space="preserve"> </w:t>
      </w:r>
    </w:p>
    <w:p w14:paraId="6421B2C2" w14:textId="77777777" w:rsidR="00C621B3" w:rsidRDefault="00680F97" w:rsidP="00B1102B">
      <w:pPr>
        <w:pStyle w:val="SubmissionNormal"/>
        <w:tabs>
          <w:tab w:val="clear" w:pos="720"/>
        </w:tabs>
        <w:ind w:hanging="720"/>
      </w:pPr>
      <w:r>
        <w:t xml:space="preserve">In this sense, the provisions discriminate against people with a mental </w:t>
      </w:r>
      <w:r w:rsidR="00564A02">
        <w:t xml:space="preserve">disability or a cognitive impairment who have not been convicted of a crime but have been made the subject of orders either requiring them to participate in ‘a residential program for </w:t>
      </w:r>
      <w:r w:rsidR="00F717F3">
        <w:t>persons with a mental illness</w:t>
      </w:r>
      <w:r w:rsidR="00564A02">
        <w:t xml:space="preserve">’ or requiring them to be confined in </w:t>
      </w:r>
      <w:r w:rsidR="00F717F3">
        <w:t>a mental health care facility</w:t>
      </w:r>
      <w:r w:rsidR="00564A02">
        <w:t>. This discrimination is not proportionate to the end of identifying whether the people are of good character because there is no necessary relationship with this end.</w:t>
      </w:r>
    </w:p>
    <w:p w14:paraId="7BD3A5AC" w14:textId="77777777" w:rsidR="00C621B3" w:rsidRDefault="00C621B3">
      <w:pPr>
        <w:spacing w:before="0" w:after="0"/>
        <w:rPr>
          <w:rFonts w:eastAsia="Times New Roman"/>
        </w:rPr>
      </w:pPr>
      <w:r>
        <w:br w:type="page"/>
      </w:r>
    </w:p>
    <w:p w14:paraId="0187B897" w14:textId="77777777" w:rsidR="00B1102B" w:rsidRDefault="004A0FCB" w:rsidP="00C621B3">
      <w:pPr>
        <w:pStyle w:val="Heading1"/>
        <w:numPr>
          <w:ilvl w:val="0"/>
          <w:numId w:val="0"/>
        </w:numPr>
        <w:ind w:left="851" w:hanging="851"/>
        <w:jc w:val="center"/>
      </w:pPr>
      <w:bookmarkStart w:id="45" w:name="_Toc488410899"/>
      <w:r>
        <w:lastRenderedPageBreak/>
        <w:t xml:space="preserve">Schedule: </w:t>
      </w:r>
      <w:r w:rsidR="00C621B3">
        <w:t>Australian Values Statement</w:t>
      </w:r>
      <w:bookmarkEnd w:id="45"/>
    </w:p>
    <w:p w14:paraId="4EC12B22" w14:textId="77777777" w:rsidR="00C621B3" w:rsidRDefault="00C621B3" w:rsidP="00C621B3">
      <w:pPr>
        <w:pStyle w:val="SubmissionNormal"/>
        <w:numPr>
          <w:ilvl w:val="0"/>
          <w:numId w:val="0"/>
        </w:numPr>
      </w:pPr>
      <w:r>
        <w:t>The current form of the Australian Values Statement that a</w:t>
      </w:r>
      <w:r w:rsidRPr="00C621B3">
        <w:t>pplicants for provisional, permanent and a small number of temporary visas are required to</w:t>
      </w:r>
      <w:r w:rsidR="004A0FCB">
        <w:t xml:space="preserve"> sign is in the form set out below.  Applicants are also required to have read, or had explained to them, a booklet titled </w:t>
      </w:r>
      <w:r w:rsidR="004A0FCB" w:rsidRPr="004A0FCB">
        <w:rPr>
          <w:i/>
        </w:rPr>
        <w:t>Life in Australia</w:t>
      </w:r>
      <w:r w:rsidR="004A0FCB">
        <w:t>.</w:t>
      </w:r>
      <w:r w:rsidR="004A0FCB">
        <w:rPr>
          <w:rStyle w:val="EndnoteReference"/>
        </w:rPr>
        <w:endnoteReference w:id="165"/>
      </w:r>
    </w:p>
    <w:p w14:paraId="63A08C9F" w14:textId="77777777" w:rsidR="00C621B3" w:rsidRDefault="00C621B3" w:rsidP="00C621B3">
      <w:pPr>
        <w:pStyle w:val="SubmissionNormal"/>
        <w:numPr>
          <w:ilvl w:val="0"/>
          <w:numId w:val="0"/>
        </w:numPr>
      </w:pPr>
    </w:p>
    <w:p w14:paraId="213F89D4" w14:textId="77777777" w:rsidR="00C621B3" w:rsidRDefault="00C621B3" w:rsidP="004A0FCB">
      <w:r>
        <w:t>I confirm that I have read, or had explained to me, information provided by the Australian Government on Australian society and values.</w:t>
      </w:r>
    </w:p>
    <w:p w14:paraId="1D974A3B" w14:textId="77777777" w:rsidR="00C621B3" w:rsidRDefault="00C621B3" w:rsidP="004A0FCB">
      <w:r>
        <w:t>I understand:</w:t>
      </w:r>
    </w:p>
    <w:p w14:paraId="50078676" w14:textId="77777777" w:rsidR="00C621B3" w:rsidRDefault="00C621B3" w:rsidP="002A5A9F">
      <w:pPr>
        <w:pStyle w:val="SubmissionNormal"/>
        <w:numPr>
          <w:ilvl w:val="0"/>
          <w:numId w:val="16"/>
        </w:numPr>
      </w:pPr>
      <w:r>
        <w:t>Australian society values respect for the freedom and dignity of the individual, freedom of religion, commitment to the rule of law, Parliamentary democracy, equality of men and women and a spirit of egalitarianism that embraces mutual respect, tolerance, fair play and compassion for those in need and pursuit of the public good</w:t>
      </w:r>
    </w:p>
    <w:p w14:paraId="4BBE2C37" w14:textId="77777777" w:rsidR="00C621B3" w:rsidRDefault="00C621B3" w:rsidP="002A5A9F">
      <w:pPr>
        <w:pStyle w:val="SubmissionNormal"/>
        <w:numPr>
          <w:ilvl w:val="0"/>
          <w:numId w:val="16"/>
        </w:numPr>
      </w:pPr>
      <w:r>
        <w:t>Australian society values equality of opportunity for individuals, regardless of their race, religion or ethnic background</w:t>
      </w:r>
    </w:p>
    <w:p w14:paraId="59B32188" w14:textId="77777777" w:rsidR="00C621B3" w:rsidRDefault="00C621B3" w:rsidP="002A5A9F">
      <w:pPr>
        <w:pStyle w:val="SubmissionNormal"/>
        <w:numPr>
          <w:ilvl w:val="0"/>
          <w:numId w:val="16"/>
        </w:numPr>
      </w:pPr>
      <w:r>
        <w:t>the English language, as the national language, is an important unifying element of Australian society.</w:t>
      </w:r>
    </w:p>
    <w:p w14:paraId="481A394B" w14:textId="77777777" w:rsidR="00C621B3" w:rsidRDefault="00C621B3" w:rsidP="004A0FCB">
      <w:r>
        <w:t>I undertake to respect these values of Australian society during my stay in Australia and to obey the laws of Australia.</w:t>
      </w:r>
    </w:p>
    <w:p w14:paraId="3114D8C0" w14:textId="77777777" w:rsidR="00C621B3" w:rsidRDefault="00C621B3" w:rsidP="004A0FCB">
      <w:r>
        <w:t>I understand that, if I should seek to become an Australian citizen:</w:t>
      </w:r>
    </w:p>
    <w:p w14:paraId="07CC03D0" w14:textId="77777777" w:rsidR="00C621B3" w:rsidRDefault="00C621B3" w:rsidP="002A5A9F">
      <w:pPr>
        <w:pStyle w:val="SubmissionNormal"/>
        <w:numPr>
          <w:ilvl w:val="0"/>
          <w:numId w:val="17"/>
        </w:numPr>
      </w:pPr>
      <w:r>
        <w:t>Australian citizenship is a shared identity, a common bond which unites all Australians while respecting their diversity</w:t>
      </w:r>
    </w:p>
    <w:p w14:paraId="38BAEFAC" w14:textId="77777777" w:rsidR="00C621B3" w:rsidRDefault="00C621B3" w:rsidP="002A5A9F">
      <w:pPr>
        <w:pStyle w:val="SubmissionNormal"/>
        <w:numPr>
          <w:ilvl w:val="0"/>
          <w:numId w:val="17"/>
        </w:numPr>
      </w:pPr>
      <w:r>
        <w:t>Australian citizenship involves reciprocal rights and responsibilities. The responsibilities of Australian Citizenship include obeying Australian laws, including those relating to voting at elections and serving on a jury.</w:t>
      </w:r>
    </w:p>
    <w:p w14:paraId="76895A4B" w14:textId="77777777" w:rsidR="00C621B3" w:rsidRDefault="00C621B3" w:rsidP="004A0FCB">
      <w:r>
        <w:t>If I meet the legal qualifications for becoming an Australian citizen and my application is approved I understand that I would have to pledge my loyalty to Australia and its people.</w:t>
      </w:r>
    </w:p>
    <w:p w14:paraId="0E59F406" w14:textId="77777777" w:rsidR="00C621B3" w:rsidRDefault="00C621B3" w:rsidP="00C621B3">
      <w:pPr>
        <w:pStyle w:val="SubmissionNormal"/>
        <w:numPr>
          <w:ilvl w:val="0"/>
          <w:numId w:val="0"/>
        </w:numPr>
      </w:pPr>
    </w:p>
    <w:p w14:paraId="2BF33890" w14:textId="77777777" w:rsidR="00C621B3" w:rsidRPr="004A0FCB" w:rsidRDefault="00C621B3" w:rsidP="00C621B3">
      <w:pPr>
        <w:pStyle w:val="SubmissionNormal"/>
        <w:numPr>
          <w:ilvl w:val="0"/>
          <w:numId w:val="0"/>
        </w:numPr>
        <w:rPr>
          <w:b/>
        </w:rPr>
      </w:pPr>
      <w:r w:rsidRPr="004A0FCB">
        <w:rPr>
          <w:b/>
        </w:rPr>
        <w:t>Signature of Applicant</w:t>
      </w:r>
    </w:p>
    <w:p w14:paraId="2CCDB080" w14:textId="77777777" w:rsidR="00C621B3" w:rsidRDefault="00C621B3" w:rsidP="00C621B3">
      <w:pPr>
        <w:pStyle w:val="SubmissionNormal"/>
        <w:numPr>
          <w:ilvl w:val="0"/>
          <w:numId w:val="0"/>
        </w:numPr>
      </w:pPr>
    </w:p>
    <w:p w14:paraId="69F8DD36" w14:textId="77777777" w:rsidR="00C621B3" w:rsidRDefault="00C621B3">
      <w:pPr>
        <w:spacing w:before="0" w:after="0"/>
        <w:rPr>
          <w:rFonts w:eastAsia="Times New Roman"/>
        </w:rPr>
      </w:pPr>
      <w:r>
        <w:br w:type="page"/>
      </w:r>
    </w:p>
    <w:p w14:paraId="0B4B6219" w14:textId="77777777" w:rsidR="00C621B3" w:rsidRPr="00C621B3" w:rsidRDefault="00C621B3" w:rsidP="004A0FCB">
      <w:pPr>
        <w:pStyle w:val="Heading1"/>
        <w:numPr>
          <w:ilvl w:val="0"/>
          <w:numId w:val="0"/>
        </w:numPr>
        <w:ind w:left="851" w:hanging="851"/>
      </w:pPr>
      <w:bookmarkStart w:id="46" w:name="_Toc488410900"/>
      <w:r w:rsidRPr="00C621B3">
        <w:lastRenderedPageBreak/>
        <w:t>Endnotes</w:t>
      </w:r>
      <w:bookmarkEnd w:id="46"/>
    </w:p>
    <w:sectPr w:rsidR="00C621B3" w:rsidRPr="00C621B3"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14DB" w14:textId="77777777" w:rsidR="0096267B" w:rsidRDefault="0096267B" w:rsidP="00F14C6D">
      <w:r>
        <w:separator/>
      </w:r>
    </w:p>
  </w:endnote>
  <w:endnote w:type="continuationSeparator" w:id="0">
    <w:p w14:paraId="31E828DF" w14:textId="77777777" w:rsidR="0096267B" w:rsidRDefault="0096267B" w:rsidP="00F14C6D">
      <w:r>
        <w:continuationSeparator/>
      </w:r>
    </w:p>
  </w:endnote>
  <w:endnote w:id="1">
    <w:p w14:paraId="0B7190BB" w14:textId="3C2EB607" w:rsidR="0096267B" w:rsidRDefault="0096267B" w:rsidP="004C0F46">
      <w:pPr>
        <w:pStyle w:val="EndnoteText"/>
        <w:ind w:left="284" w:hanging="284"/>
      </w:pPr>
      <w:r>
        <w:rPr>
          <w:rStyle w:val="EndnoteReference"/>
        </w:rPr>
        <w:endnoteRef/>
      </w:r>
      <w:r>
        <w:t xml:space="preserve"> </w:t>
      </w:r>
      <w:r>
        <w:tab/>
        <w:t xml:space="preserve">Senate Legal and Constitutional Affairs Legislation Committee, </w:t>
      </w:r>
      <w:r w:rsidRPr="000D3FDF">
        <w:rPr>
          <w:i/>
        </w:rPr>
        <w:t>inquiry into the Australian Citizenship and Other Legislation Amendment Bill 2014</w:t>
      </w:r>
      <w:r>
        <w:t xml:space="preserve">.  At </w:t>
      </w:r>
      <w:hyperlink r:id="rId1" w:history="1">
        <w:r w:rsidRPr="00E703A5">
          <w:rPr>
            <w:rStyle w:val="Hyperlink"/>
          </w:rPr>
          <w:t>http://www.aph.gov.au/Parliamentary_Business/Committees/Senate/Legal_and_Constitutional_Affairs/Australian_Citizenship</w:t>
        </w:r>
      </w:hyperlink>
      <w:r>
        <w:t xml:space="preserve"> (viewed 21 July 2017).</w:t>
      </w:r>
    </w:p>
  </w:endnote>
  <w:endnote w:id="2">
    <w:p w14:paraId="1ECA0F55" w14:textId="77777777" w:rsidR="0096267B" w:rsidRPr="001B1579" w:rsidRDefault="0096267B" w:rsidP="004C0F46">
      <w:pPr>
        <w:pStyle w:val="EndnoteText"/>
        <w:ind w:left="284" w:hanging="284"/>
      </w:pPr>
      <w:r w:rsidRPr="001B1579">
        <w:rPr>
          <w:rStyle w:val="EndnoteReference"/>
        </w:rPr>
        <w:endnoteRef/>
      </w:r>
      <w:r w:rsidRPr="001B1579">
        <w:t xml:space="preserve"> </w:t>
      </w:r>
      <w:r w:rsidRPr="001B1579">
        <w:tab/>
        <w:t>Automatic acquisition of Australian citizenship is dealt with in Part 2, Division 1 of the Australian Citizenship Act.</w:t>
      </w:r>
    </w:p>
  </w:endnote>
  <w:endnote w:id="3">
    <w:p w14:paraId="48BAE899" w14:textId="77777777" w:rsidR="0096267B" w:rsidRPr="001B1579" w:rsidRDefault="0096267B" w:rsidP="004C0F46">
      <w:pPr>
        <w:pStyle w:val="EndnoteText"/>
        <w:ind w:left="284" w:hanging="284"/>
      </w:pPr>
      <w:r w:rsidRPr="001B1579">
        <w:rPr>
          <w:rStyle w:val="EndnoteReference"/>
        </w:rPr>
        <w:endnoteRef/>
      </w:r>
      <w:r w:rsidRPr="001B1579">
        <w:t xml:space="preserve"> </w:t>
      </w:r>
      <w:r w:rsidRPr="001B1579">
        <w:tab/>
        <w:t>Citizenship by descent is dealt with in Part 2, Division 2, Subdivision A of the Australian Citizenship Act.</w:t>
      </w:r>
    </w:p>
  </w:endnote>
  <w:endnote w:id="4">
    <w:p w14:paraId="457A22AD" w14:textId="77777777" w:rsidR="0096267B" w:rsidRPr="001B1579" w:rsidRDefault="0096267B" w:rsidP="004C0F46">
      <w:pPr>
        <w:pStyle w:val="EndnoteText"/>
        <w:ind w:left="284" w:hanging="284"/>
      </w:pPr>
      <w:r w:rsidRPr="001B1579">
        <w:rPr>
          <w:rStyle w:val="EndnoteReference"/>
        </w:rPr>
        <w:endnoteRef/>
      </w:r>
      <w:r w:rsidRPr="001B1579">
        <w:t xml:space="preserve"> </w:t>
      </w:r>
      <w:r w:rsidRPr="001B1579">
        <w:tab/>
        <w:t>Citizenship by intercountry adoption is dealt with in Part 2, Division 2, Subdivision AA of the Australian Citizenship Act.</w:t>
      </w:r>
    </w:p>
  </w:endnote>
  <w:endnote w:id="5">
    <w:p w14:paraId="799132AB" w14:textId="77777777" w:rsidR="0096267B" w:rsidRPr="001B1579" w:rsidRDefault="0096267B" w:rsidP="004C0F46">
      <w:pPr>
        <w:pStyle w:val="EndnoteText"/>
        <w:ind w:left="284" w:hanging="284"/>
      </w:pPr>
      <w:r w:rsidRPr="001B1579">
        <w:rPr>
          <w:rStyle w:val="EndnoteReference"/>
        </w:rPr>
        <w:endnoteRef/>
      </w:r>
      <w:r w:rsidRPr="001B1579">
        <w:t xml:space="preserve"> </w:t>
      </w:r>
      <w:r w:rsidRPr="001B1579">
        <w:tab/>
        <w:t>Citizenship by confer</w:t>
      </w:r>
      <w:r>
        <w:t>r</w:t>
      </w:r>
      <w:r w:rsidRPr="001B1579">
        <w:t>al is dealt with in Part 2, Division 2, Subdivision B of the Australian Citizenship Act.</w:t>
      </w:r>
    </w:p>
  </w:endnote>
  <w:endnote w:id="6">
    <w:p w14:paraId="5251B292" w14:textId="77777777" w:rsidR="0096267B" w:rsidRDefault="0096267B" w:rsidP="00EE2269">
      <w:pPr>
        <w:pStyle w:val="EndnoteText"/>
        <w:ind w:left="284" w:hanging="284"/>
      </w:pPr>
      <w:r>
        <w:rPr>
          <w:rStyle w:val="EndnoteReference"/>
        </w:rPr>
        <w:endnoteRef/>
      </w:r>
      <w:r>
        <w:t xml:space="preserve"> </w:t>
      </w:r>
      <w:r>
        <w:tab/>
      </w:r>
      <w:r w:rsidRPr="000037CC">
        <w:t xml:space="preserve">Australian Citizenship Legislation (Strengthening the Requirements for Australian Citizenship and Other Measures) Bill 2017 </w:t>
      </w:r>
      <w:r>
        <w:t>(Cth) (</w:t>
      </w:r>
      <w:r w:rsidRPr="00C505BF">
        <w:rPr>
          <w:b/>
        </w:rPr>
        <w:t>Bill</w:t>
      </w:r>
      <w:r>
        <w:t>), items 137(6) and 139, pp 49-50.</w:t>
      </w:r>
    </w:p>
  </w:endnote>
  <w:endnote w:id="7">
    <w:p w14:paraId="233C6CF9" w14:textId="1D283518" w:rsidR="0096267B" w:rsidRDefault="0096267B" w:rsidP="00EE2269">
      <w:pPr>
        <w:pStyle w:val="EndnoteText"/>
        <w:ind w:left="284" w:hanging="284"/>
      </w:pPr>
      <w:r>
        <w:rPr>
          <w:rStyle w:val="EndnoteReference"/>
        </w:rPr>
        <w:endnoteRef/>
      </w:r>
      <w:r>
        <w:t xml:space="preserve"> </w:t>
      </w:r>
      <w:r>
        <w:tab/>
      </w:r>
      <w:r w:rsidRPr="009828E9">
        <w:t>Explanatory Memorandum</w:t>
      </w:r>
      <w:r>
        <w:t>,</w:t>
      </w:r>
      <w:r w:rsidRPr="009828E9">
        <w:t xml:space="preserve"> </w:t>
      </w:r>
      <w:r w:rsidRPr="000037CC">
        <w:t xml:space="preserve">Australian Citizenship Legislation (Strengthening the Requirements for Australian Citizenship and Other Measures) Bill 2017 </w:t>
      </w:r>
      <w:r>
        <w:t xml:space="preserve">(Cth) </w:t>
      </w:r>
      <w:r w:rsidRPr="009828E9">
        <w:t>(</w:t>
      </w:r>
      <w:r w:rsidRPr="009828E9">
        <w:rPr>
          <w:b/>
        </w:rPr>
        <w:t>EM</w:t>
      </w:r>
      <w:r w:rsidRPr="009828E9">
        <w:t>)</w:t>
      </w:r>
      <w:r>
        <w:t xml:space="preserve"> at [396] and [412].  See the Hon Malcom Turnbull MP, Prime Minister, and the Hon Peter Dutton MP, Minister for Immigration and Border Protection, ‘Strengthening the integrity of Australian citizenship’ Joint Media Release, 20 April 2017.  At </w:t>
      </w:r>
      <w:hyperlink r:id="rId2" w:history="1">
        <w:r w:rsidRPr="008E09EF">
          <w:rPr>
            <w:rStyle w:val="Hyperlink"/>
          </w:rPr>
          <w:t>http://www.minister.border.gov.au/peterdutton/Pages/Strengthening-the-integrity-of-Australian-citizenship.aspx</w:t>
        </w:r>
      </w:hyperlink>
      <w:r>
        <w:t xml:space="preserve"> (viewed 21 July 2017).</w:t>
      </w:r>
    </w:p>
  </w:endnote>
  <w:endnote w:id="8">
    <w:p w14:paraId="602D4F71" w14:textId="77777777" w:rsidR="0096267B" w:rsidRDefault="0096267B" w:rsidP="00EE2269">
      <w:pPr>
        <w:pStyle w:val="EndnoteText"/>
        <w:ind w:left="284" w:hanging="284"/>
      </w:pPr>
      <w:r>
        <w:rPr>
          <w:rStyle w:val="EndnoteReference"/>
        </w:rPr>
        <w:endnoteRef/>
      </w:r>
      <w:r>
        <w:t xml:space="preserve"> </w:t>
      </w:r>
      <w:r>
        <w:tab/>
        <w:t>Australian Citizenship Act, s 22(1).</w:t>
      </w:r>
    </w:p>
  </w:endnote>
  <w:endnote w:id="9">
    <w:p w14:paraId="454D8ABA" w14:textId="77777777" w:rsidR="0096267B" w:rsidRDefault="0096267B" w:rsidP="00EE2269">
      <w:pPr>
        <w:pStyle w:val="EndnoteText"/>
        <w:ind w:left="284" w:hanging="284"/>
      </w:pPr>
      <w:r>
        <w:rPr>
          <w:rStyle w:val="EndnoteReference"/>
        </w:rPr>
        <w:endnoteRef/>
      </w:r>
      <w:r>
        <w:t xml:space="preserve"> </w:t>
      </w:r>
      <w:r>
        <w:tab/>
        <w:t>Proposed s 22(1A), Bill, items 54-56, pp 18-19.</w:t>
      </w:r>
    </w:p>
  </w:endnote>
  <w:endnote w:id="10">
    <w:p w14:paraId="4ACFD1E5" w14:textId="77777777" w:rsidR="0096267B" w:rsidRDefault="0096267B" w:rsidP="0083187A">
      <w:pPr>
        <w:pStyle w:val="EndnoteText"/>
        <w:ind w:left="284" w:hanging="284"/>
      </w:pPr>
      <w:r>
        <w:rPr>
          <w:rStyle w:val="EndnoteReference"/>
        </w:rPr>
        <w:endnoteRef/>
      </w:r>
      <w:r>
        <w:t xml:space="preserve"> </w:t>
      </w:r>
      <w:r>
        <w:tab/>
        <w:t>EM, Statement of Compatibility with Human Rights, p 1.</w:t>
      </w:r>
    </w:p>
  </w:endnote>
  <w:endnote w:id="11">
    <w:p w14:paraId="21B40D3E" w14:textId="77777777" w:rsidR="0096267B" w:rsidRDefault="0096267B" w:rsidP="006F1428">
      <w:pPr>
        <w:pStyle w:val="EndnoteText"/>
        <w:ind w:left="284" w:hanging="284"/>
      </w:pPr>
      <w:r>
        <w:rPr>
          <w:rStyle w:val="EndnoteReference"/>
        </w:rPr>
        <w:endnoteRef/>
      </w:r>
      <w:r>
        <w:t xml:space="preserve"> </w:t>
      </w:r>
      <w:r>
        <w:tab/>
        <w:t>EM at [144].</w:t>
      </w:r>
    </w:p>
  </w:endnote>
  <w:endnote w:id="12">
    <w:p w14:paraId="136CCF34" w14:textId="77777777" w:rsidR="0096267B" w:rsidRDefault="0096267B" w:rsidP="00EE2269">
      <w:pPr>
        <w:pStyle w:val="EndnoteText"/>
        <w:ind w:left="284" w:hanging="284"/>
      </w:pPr>
      <w:r>
        <w:rPr>
          <w:rStyle w:val="EndnoteReference"/>
        </w:rPr>
        <w:endnoteRef/>
      </w:r>
      <w:r>
        <w:t xml:space="preserve"> </w:t>
      </w:r>
      <w:r>
        <w:tab/>
        <w:t>Australian Citizenship Act, s 21(2)(e).</w:t>
      </w:r>
    </w:p>
  </w:endnote>
  <w:endnote w:id="13">
    <w:p w14:paraId="5055C2E6" w14:textId="77777777" w:rsidR="0096267B" w:rsidRDefault="0096267B" w:rsidP="00EE2269">
      <w:pPr>
        <w:pStyle w:val="EndnoteText"/>
        <w:ind w:left="284" w:hanging="284"/>
      </w:pPr>
      <w:r>
        <w:rPr>
          <w:rStyle w:val="EndnoteReference"/>
        </w:rPr>
        <w:endnoteRef/>
      </w:r>
      <w:r>
        <w:t xml:space="preserve"> </w:t>
      </w:r>
      <w:r>
        <w:tab/>
        <w:t>Australian Citizenship Act, s 21(2A).</w:t>
      </w:r>
    </w:p>
  </w:endnote>
  <w:endnote w:id="14">
    <w:p w14:paraId="0522D690" w14:textId="77777777" w:rsidR="0096267B" w:rsidRDefault="0096267B" w:rsidP="00EE2269">
      <w:pPr>
        <w:pStyle w:val="EndnoteText"/>
        <w:ind w:left="284" w:hanging="284"/>
      </w:pPr>
      <w:r>
        <w:rPr>
          <w:rStyle w:val="EndnoteReference"/>
        </w:rPr>
        <w:endnoteRef/>
      </w:r>
      <w:r>
        <w:t xml:space="preserve"> </w:t>
      </w:r>
      <w:r>
        <w:tab/>
      </w:r>
      <w:r w:rsidRPr="001A12C5">
        <w:t xml:space="preserve">Proposed </w:t>
      </w:r>
      <w:r>
        <w:t>s 21(2)(e), Bill, item 41, p 16</w:t>
      </w:r>
      <w:r w:rsidRPr="001A12C5">
        <w:t>.</w:t>
      </w:r>
    </w:p>
  </w:endnote>
  <w:endnote w:id="15">
    <w:p w14:paraId="248E0018" w14:textId="77777777" w:rsidR="0096267B" w:rsidRDefault="0096267B" w:rsidP="00EE2269">
      <w:pPr>
        <w:pStyle w:val="EndnoteText"/>
        <w:ind w:left="284" w:hanging="284"/>
      </w:pPr>
      <w:r>
        <w:rPr>
          <w:rStyle w:val="EndnoteReference"/>
        </w:rPr>
        <w:endnoteRef/>
      </w:r>
      <w:r>
        <w:t xml:space="preserve"> </w:t>
      </w:r>
      <w:r>
        <w:tab/>
      </w:r>
      <w:r w:rsidRPr="001A12C5">
        <w:t xml:space="preserve">Proposed </w:t>
      </w:r>
      <w:r>
        <w:t>s 21(5)(d), Bill, item 51, pp 17-18</w:t>
      </w:r>
      <w:r w:rsidRPr="001A12C5">
        <w:t>.</w:t>
      </w:r>
    </w:p>
  </w:endnote>
  <w:endnote w:id="16">
    <w:p w14:paraId="76A671E1" w14:textId="77777777" w:rsidR="0096267B" w:rsidRDefault="0096267B" w:rsidP="00EE2269">
      <w:pPr>
        <w:pStyle w:val="EndnoteText"/>
        <w:ind w:left="284" w:hanging="284"/>
      </w:pPr>
      <w:r>
        <w:rPr>
          <w:rStyle w:val="EndnoteReference"/>
        </w:rPr>
        <w:endnoteRef/>
      </w:r>
      <w:r>
        <w:t xml:space="preserve"> </w:t>
      </w:r>
      <w:r>
        <w:tab/>
      </w:r>
      <w:r w:rsidRPr="001A12C5">
        <w:t xml:space="preserve">Proposed </w:t>
      </w:r>
      <w:r>
        <w:t>s 21(9)(a)-(d), Bill, item 53, p 18; proposed s 46(1B), Bill, item 118, pp 39-40.</w:t>
      </w:r>
    </w:p>
  </w:endnote>
  <w:endnote w:id="17">
    <w:p w14:paraId="6A6BCAC8" w14:textId="77777777" w:rsidR="0096267B" w:rsidRDefault="0096267B" w:rsidP="00EE2269">
      <w:pPr>
        <w:pStyle w:val="EndnoteText"/>
        <w:ind w:left="284" w:hanging="284"/>
      </w:pPr>
      <w:r>
        <w:rPr>
          <w:rStyle w:val="EndnoteReference"/>
        </w:rPr>
        <w:endnoteRef/>
      </w:r>
      <w:r>
        <w:t xml:space="preserve"> </w:t>
      </w:r>
      <w:r>
        <w:tab/>
      </w:r>
      <w:r w:rsidRPr="001A12C5">
        <w:t xml:space="preserve">Proposed </w:t>
      </w:r>
      <w:r>
        <w:t>s 21(3)(d)(ii), Bill, item 46, p 17</w:t>
      </w:r>
      <w:r w:rsidRPr="001A12C5">
        <w:t>.</w:t>
      </w:r>
    </w:p>
  </w:endnote>
  <w:endnote w:id="18">
    <w:p w14:paraId="444F5936" w14:textId="77777777" w:rsidR="0096267B" w:rsidRDefault="0096267B" w:rsidP="00EE2269">
      <w:pPr>
        <w:pStyle w:val="EndnoteText"/>
        <w:ind w:left="284" w:hanging="284"/>
      </w:pPr>
      <w:r>
        <w:rPr>
          <w:rStyle w:val="EndnoteReference"/>
        </w:rPr>
        <w:endnoteRef/>
      </w:r>
      <w:r>
        <w:t xml:space="preserve"> </w:t>
      </w:r>
      <w:r>
        <w:tab/>
        <w:t>EM at [138].</w:t>
      </w:r>
    </w:p>
  </w:endnote>
  <w:endnote w:id="19">
    <w:p w14:paraId="331E3E71" w14:textId="26F488FB" w:rsidR="0096267B" w:rsidRDefault="0096267B" w:rsidP="00EE2269">
      <w:pPr>
        <w:pStyle w:val="EndnoteText"/>
        <w:ind w:left="284" w:hanging="284"/>
      </w:pPr>
      <w:r>
        <w:rPr>
          <w:rStyle w:val="EndnoteReference"/>
        </w:rPr>
        <w:endnoteRef/>
      </w:r>
      <w:r>
        <w:t xml:space="preserve"> </w:t>
      </w:r>
      <w:r>
        <w:tab/>
        <w:t xml:space="preserve">Australian Government, </w:t>
      </w:r>
      <w:r w:rsidRPr="0001749A">
        <w:rPr>
          <w:i/>
        </w:rPr>
        <w:t>Strengthening the Test for Australian Citizenship</w:t>
      </w:r>
      <w:r>
        <w:t xml:space="preserve">, April 2017, p 9.  At </w:t>
      </w:r>
      <w:hyperlink r:id="rId3" w:history="1">
        <w:r w:rsidRPr="008E09EF">
          <w:rPr>
            <w:rStyle w:val="Hyperlink"/>
          </w:rPr>
          <w:t>https://www.border.gov.au/ReportsandPublications/Documents/discussion-papers/citizenship-paper.pdf</w:t>
        </w:r>
      </w:hyperlink>
      <w:r>
        <w:t xml:space="preserve"> (viewed 21 July 2017).</w:t>
      </w:r>
    </w:p>
  </w:endnote>
  <w:endnote w:id="20">
    <w:p w14:paraId="2A4E3604" w14:textId="62955289" w:rsidR="0096267B" w:rsidRDefault="0096267B" w:rsidP="00EE2269">
      <w:pPr>
        <w:pStyle w:val="EndnoteText"/>
        <w:ind w:left="284" w:hanging="284"/>
      </w:pPr>
      <w:r>
        <w:rPr>
          <w:rStyle w:val="EndnoteReference"/>
        </w:rPr>
        <w:endnoteRef/>
      </w:r>
      <w:r>
        <w:t xml:space="preserve"> </w:t>
      </w:r>
      <w:r>
        <w:tab/>
        <w:t xml:space="preserve">The Hon Malcom Turnbull MP, Prime Minister, and the Hon Peter Dutton MP, Minister for Immigration and Border Protection, Joint Press Conference, 20 April 2017.  At </w:t>
      </w:r>
      <w:hyperlink r:id="rId4" w:history="1">
        <w:r w:rsidRPr="008E09EF">
          <w:rPr>
            <w:rStyle w:val="Hyperlink"/>
          </w:rPr>
          <w:t>http://www.minister.border.gov.au/peterdutton/Pages/Joint-Press-Conference-with-the-PM,-Parliament-House.aspx</w:t>
        </w:r>
      </w:hyperlink>
      <w:r>
        <w:t xml:space="preserve"> (viewed 21 July 2017).</w:t>
      </w:r>
    </w:p>
  </w:endnote>
  <w:endnote w:id="21">
    <w:p w14:paraId="157AFD70" w14:textId="612554AF" w:rsidR="0096267B" w:rsidRDefault="0096267B" w:rsidP="00DA4001">
      <w:pPr>
        <w:pStyle w:val="EndnoteText"/>
        <w:ind w:left="284" w:hanging="284"/>
      </w:pPr>
      <w:r>
        <w:rPr>
          <w:rStyle w:val="EndnoteReference"/>
        </w:rPr>
        <w:endnoteRef/>
      </w:r>
      <w:r>
        <w:t xml:space="preserve"> </w:t>
      </w:r>
      <w:r>
        <w:tab/>
        <w:t xml:space="preserve">Minister for Immigration and Border Protection, ‘Labor’s citizenship smokescreen’ (Media Release, 21 June 2017). At </w:t>
      </w:r>
      <w:hyperlink r:id="rId5" w:history="1">
        <w:r w:rsidRPr="0070658C">
          <w:rPr>
            <w:rStyle w:val="Hyperlink"/>
          </w:rPr>
          <w:t>http://www.minister.border.gov.au/peterdutton/Pages/smokescreen.aspx</w:t>
        </w:r>
      </w:hyperlink>
      <w:r w:rsidR="00C25005">
        <w:t xml:space="preserve"> (viewed 21</w:t>
      </w:r>
      <w:r>
        <w:t xml:space="preserve"> July 2017).</w:t>
      </w:r>
    </w:p>
  </w:endnote>
  <w:endnote w:id="22">
    <w:p w14:paraId="2A597E31" w14:textId="1E27B86B" w:rsidR="0096267B" w:rsidRDefault="0096267B" w:rsidP="0098056E">
      <w:pPr>
        <w:pStyle w:val="EndnoteText"/>
        <w:ind w:left="284" w:hanging="284"/>
      </w:pPr>
      <w:r>
        <w:rPr>
          <w:rStyle w:val="EndnoteReference"/>
        </w:rPr>
        <w:endnoteRef/>
      </w:r>
      <w:r>
        <w:t xml:space="preserve"> </w:t>
      </w:r>
      <w:r>
        <w:tab/>
        <w:t xml:space="preserve">Australian Broadcasting Corporation, ‘Fact check: Will the Government’s new citizenship test demand a university-level standard of English?’ 29 June 2017. At </w:t>
      </w:r>
      <w:hyperlink r:id="rId6" w:history="1">
        <w:r w:rsidRPr="003A4230">
          <w:rPr>
            <w:rStyle w:val="Hyperlink"/>
          </w:rPr>
          <w:t>http://www.abc.net.au/news/factcheck/2017-06-28/tony-burke-citizenship-test-university-level-english-dutton/8656754</w:t>
        </w:r>
      </w:hyperlink>
      <w:r w:rsidR="00C25005">
        <w:t xml:space="preserve"> (viewed 21</w:t>
      </w:r>
      <w:r>
        <w:t xml:space="preserve"> July 2017).  Dr Tim Soutphommasane, Race Discrimination Commissioner, ‘Inclusion, citizenship and race’, speech to Australian Education Union Victoria Principals Conference, Melbourne, 28 April 2017.  At </w:t>
      </w:r>
      <w:hyperlink r:id="rId7" w:history="1">
        <w:r w:rsidRPr="00A36996">
          <w:rPr>
            <w:rStyle w:val="Hyperlink"/>
          </w:rPr>
          <w:t>https://www.humanrights.gov.au/news/speeches/inclusion-citizenship-and-race</w:t>
        </w:r>
      </w:hyperlink>
      <w:r>
        <w:t xml:space="preserve"> (viewed </w:t>
      </w:r>
      <w:r w:rsidR="00C25005">
        <w:t>21</w:t>
      </w:r>
      <w:r>
        <w:t xml:space="preserve"> July 2017).  See, for example, Victoria University entry requirements at </w:t>
      </w:r>
      <w:hyperlink r:id="rId8" w:history="1">
        <w:r w:rsidRPr="00A36996">
          <w:rPr>
            <w:rStyle w:val="Hyperlink"/>
          </w:rPr>
          <w:t>https://www.vu.edu.au/study-at-vu/how-to-apply/international-applicants/entry-requirements</w:t>
        </w:r>
      </w:hyperlink>
      <w:r w:rsidR="00C25005">
        <w:t xml:space="preserve"> (viewed 21</w:t>
      </w:r>
      <w:r>
        <w:t xml:space="preserve"> July 2017).</w:t>
      </w:r>
    </w:p>
  </w:endnote>
  <w:endnote w:id="23">
    <w:p w14:paraId="464AE2BC" w14:textId="7136C348" w:rsidR="0096267B" w:rsidRDefault="0096267B" w:rsidP="0098056E">
      <w:pPr>
        <w:pStyle w:val="EndnoteText"/>
        <w:ind w:left="284" w:hanging="284"/>
      </w:pPr>
      <w:r>
        <w:rPr>
          <w:rStyle w:val="EndnoteReference"/>
        </w:rPr>
        <w:endnoteRef/>
      </w:r>
      <w:r>
        <w:t xml:space="preserve"> </w:t>
      </w:r>
      <w:r>
        <w:tab/>
        <w:t xml:space="preserve">Henry Sherrell, “A new class of migrants: the never-to-be-citizens”, Inside Story, 27 April 2017. At </w:t>
      </w:r>
      <w:hyperlink r:id="rId9" w:history="1">
        <w:r w:rsidRPr="007608DB">
          <w:rPr>
            <w:rStyle w:val="Hyperlink"/>
          </w:rPr>
          <w:t>http://insidestory.org.au/a-new-class-of-migrants-the-never-to-be-citizens</w:t>
        </w:r>
      </w:hyperlink>
      <w:r w:rsidR="00C25005">
        <w:t xml:space="preserve"> (viewed 21</w:t>
      </w:r>
      <w:r>
        <w:t xml:space="preserve"> July 2017).</w:t>
      </w:r>
    </w:p>
  </w:endnote>
  <w:endnote w:id="24">
    <w:p w14:paraId="41E92455" w14:textId="4C5ACB1B" w:rsidR="0096267B" w:rsidRDefault="0096267B" w:rsidP="003B0004">
      <w:pPr>
        <w:pStyle w:val="EndnoteText"/>
        <w:ind w:left="284" w:hanging="284"/>
      </w:pPr>
      <w:r>
        <w:rPr>
          <w:rStyle w:val="EndnoteReference"/>
        </w:rPr>
        <w:endnoteRef/>
      </w:r>
      <w:r>
        <w:t xml:space="preserve"> </w:t>
      </w:r>
      <w:r>
        <w:tab/>
        <w:t xml:space="preserve">Australian Government, </w:t>
      </w:r>
      <w:r w:rsidRPr="00D84B74">
        <w:rPr>
          <w:i/>
        </w:rPr>
        <w:t>Australian Citizenship: Your Right, Your Responsibility, The National Consultation on Citizenship Final Report</w:t>
      </w:r>
      <w:r>
        <w:t xml:space="preserve">, 2015, p 21.  At </w:t>
      </w:r>
      <w:hyperlink r:id="rId10" w:history="1">
        <w:r w:rsidRPr="008E09EF">
          <w:rPr>
            <w:rStyle w:val="Hyperlink"/>
          </w:rPr>
          <w:t>https://www.border.gov.au/Citizenship/Documents/australian-citizenship-report.PDF</w:t>
        </w:r>
      </w:hyperlink>
      <w:r w:rsidR="00C25005">
        <w:t xml:space="preserve"> (viewed 21</w:t>
      </w:r>
      <w:r>
        <w:t xml:space="preserve"> July 2017).</w:t>
      </w:r>
    </w:p>
  </w:endnote>
  <w:endnote w:id="25">
    <w:p w14:paraId="2823A925" w14:textId="4D8A92C2" w:rsidR="0096267B" w:rsidRPr="00F01EFD" w:rsidRDefault="0096267B" w:rsidP="00607C49">
      <w:pPr>
        <w:pStyle w:val="EndnoteText"/>
        <w:ind w:left="284" w:hanging="284"/>
      </w:pPr>
      <w:r>
        <w:rPr>
          <w:rStyle w:val="EndnoteReference"/>
        </w:rPr>
        <w:endnoteRef/>
      </w:r>
      <w:r>
        <w:t xml:space="preserve"> </w:t>
      </w:r>
      <w:r>
        <w:tab/>
        <w:t xml:space="preserve">Australian Government, </w:t>
      </w:r>
      <w:r w:rsidRPr="00D84B74">
        <w:rPr>
          <w:i/>
        </w:rPr>
        <w:t>Australian Citizenship: Your Right, Your Responsibility, The National Consultation on Citizenship Final Report</w:t>
      </w:r>
      <w:r>
        <w:t xml:space="preserve">, 2015, p 21.  At </w:t>
      </w:r>
      <w:hyperlink r:id="rId11" w:history="1">
        <w:r w:rsidRPr="008E09EF">
          <w:rPr>
            <w:rStyle w:val="Hyperlink"/>
          </w:rPr>
          <w:t>https://www.border.gov.au/Citizenship/Documents/australian-citizenship-report.PDF</w:t>
        </w:r>
      </w:hyperlink>
      <w:r>
        <w:t xml:space="preserve"> </w:t>
      </w:r>
      <w:r w:rsidR="00C25005">
        <w:t>(viewed 21</w:t>
      </w:r>
      <w:r>
        <w:t xml:space="preserve"> July 2017). For the AMEP evaluation, see: Acil Allen Consulting, ‘AMEP Evaluation’, for the Department of Education and Training, Melbourne. At </w:t>
      </w:r>
      <w:hyperlink r:id="rId12" w:history="1">
        <w:r w:rsidRPr="00910566">
          <w:rPr>
            <w:rStyle w:val="Hyperlink"/>
          </w:rPr>
          <w:t>https://docs.education.gov.au/system/files/doc/other/amep_evalution_report_-_for_public_release.pdf</w:t>
        </w:r>
      </w:hyperlink>
      <w:r w:rsidR="00C25005">
        <w:t xml:space="preserve"> (viewed 21</w:t>
      </w:r>
      <w:r>
        <w:t xml:space="preserve"> July 2017).</w:t>
      </w:r>
    </w:p>
  </w:endnote>
  <w:endnote w:id="26">
    <w:p w14:paraId="7B1CC93A" w14:textId="77777777" w:rsidR="0096267B" w:rsidRDefault="0096267B" w:rsidP="00EE2269">
      <w:pPr>
        <w:pStyle w:val="EndnoteText"/>
        <w:ind w:left="284" w:hanging="284"/>
      </w:pPr>
      <w:r>
        <w:rPr>
          <w:rStyle w:val="EndnoteReference"/>
        </w:rPr>
        <w:endnoteRef/>
      </w:r>
      <w:r>
        <w:t xml:space="preserve"> </w:t>
      </w:r>
      <w:r>
        <w:tab/>
        <w:t>Proposed s 21(2)(fa), Bill, item 43, p 16.</w:t>
      </w:r>
    </w:p>
  </w:endnote>
  <w:endnote w:id="27">
    <w:p w14:paraId="1A60BFA4" w14:textId="77777777" w:rsidR="0096267B" w:rsidRDefault="0096267B" w:rsidP="00EE2269">
      <w:pPr>
        <w:pStyle w:val="EndnoteText"/>
        <w:ind w:left="284" w:hanging="284"/>
      </w:pPr>
      <w:r>
        <w:rPr>
          <w:rStyle w:val="EndnoteReference"/>
        </w:rPr>
        <w:endnoteRef/>
      </w:r>
      <w:r>
        <w:t xml:space="preserve"> </w:t>
      </w:r>
      <w:r>
        <w:tab/>
        <w:t>Proposed s 21(9)(e), Bill, item 53, p 18.</w:t>
      </w:r>
    </w:p>
  </w:endnote>
  <w:endnote w:id="28">
    <w:p w14:paraId="0CA4BCF0" w14:textId="77777777" w:rsidR="0096267B" w:rsidRDefault="0096267B" w:rsidP="00EE2269">
      <w:pPr>
        <w:pStyle w:val="EndnoteText"/>
        <w:ind w:left="284" w:hanging="284"/>
      </w:pPr>
      <w:r>
        <w:rPr>
          <w:rStyle w:val="EndnoteReference"/>
        </w:rPr>
        <w:endnoteRef/>
      </w:r>
      <w:r>
        <w:t xml:space="preserve"> </w:t>
      </w:r>
      <w:r>
        <w:tab/>
        <w:t>EM at [142].</w:t>
      </w:r>
    </w:p>
  </w:endnote>
  <w:endnote w:id="29">
    <w:p w14:paraId="26F10C2B" w14:textId="02C34840" w:rsidR="0096267B" w:rsidRDefault="0096267B" w:rsidP="00EE2269">
      <w:pPr>
        <w:pStyle w:val="EndnoteText"/>
        <w:ind w:left="284" w:hanging="284"/>
      </w:pPr>
      <w:r>
        <w:rPr>
          <w:rStyle w:val="EndnoteReference"/>
        </w:rPr>
        <w:endnoteRef/>
      </w:r>
      <w:r>
        <w:t xml:space="preserve"> </w:t>
      </w:r>
      <w:r>
        <w:tab/>
        <w:t xml:space="preserve">The Hon Malcom Turnbull MP, Prime Minister, and the Hon Peter Dutton MP, Minister for Immigration and Border Protection, ‘Strengthening the integrity of Australian citizenship’ Joint Media Release, 20 April 2017.  At </w:t>
      </w:r>
      <w:hyperlink r:id="rId13" w:history="1">
        <w:r w:rsidRPr="008E09EF">
          <w:rPr>
            <w:rStyle w:val="Hyperlink"/>
          </w:rPr>
          <w:t>http://www.minister.border.gov.au/peterdutton/Pages/Strengthening-the-integrity-of-Australian-citizenship.aspx</w:t>
        </w:r>
      </w:hyperlink>
      <w:r w:rsidR="00C25005">
        <w:t xml:space="preserve"> (viewed 21</w:t>
      </w:r>
      <w:r>
        <w:t xml:space="preserve"> July 2017).</w:t>
      </w:r>
    </w:p>
  </w:endnote>
  <w:endnote w:id="30">
    <w:p w14:paraId="086CA451" w14:textId="215C8243" w:rsidR="0096267B" w:rsidRDefault="0096267B" w:rsidP="00EE2269">
      <w:pPr>
        <w:pStyle w:val="EndnoteText"/>
        <w:ind w:left="284" w:hanging="284"/>
      </w:pPr>
      <w:r>
        <w:rPr>
          <w:rStyle w:val="EndnoteReference"/>
        </w:rPr>
        <w:endnoteRef/>
      </w:r>
      <w:r>
        <w:t xml:space="preserve"> </w:t>
      </w:r>
      <w:r>
        <w:tab/>
        <w:t xml:space="preserve">Australian Government, </w:t>
      </w:r>
      <w:r w:rsidRPr="0001749A">
        <w:rPr>
          <w:i/>
        </w:rPr>
        <w:t>Strengthening the Test for Australian Citizenship</w:t>
      </w:r>
      <w:r>
        <w:t xml:space="preserve">, April 2017, p 15.  At </w:t>
      </w:r>
      <w:hyperlink r:id="rId14" w:history="1">
        <w:r w:rsidRPr="008E09EF">
          <w:rPr>
            <w:rStyle w:val="Hyperlink"/>
          </w:rPr>
          <w:t>https://www.border.gov.au/ReportsandPublications/Documents/discussion-papers/citizenship-paper.pdf</w:t>
        </w:r>
      </w:hyperlink>
      <w:r w:rsidR="00C25005">
        <w:t xml:space="preserve"> (viewed 21</w:t>
      </w:r>
      <w:r>
        <w:t xml:space="preserve"> July 2017).</w:t>
      </w:r>
    </w:p>
  </w:endnote>
  <w:endnote w:id="31">
    <w:p w14:paraId="4AE870F8" w14:textId="49A1468F" w:rsidR="0096267B" w:rsidRPr="00C143B7" w:rsidRDefault="0096267B" w:rsidP="00DA4001">
      <w:pPr>
        <w:pStyle w:val="EndnoteText"/>
        <w:ind w:left="284" w:hanging="284"/>
        <w:rPr>
          <w:rFonts w:cs="Arial"/>
        </w:rPr>
      </w:pPr>
      <w:r>
        <w:rPr>
          <w:rStyle w:val="EndnoteReference"/>
        </w:rPr>
        <w:endnoteRef/>
      </w:r>
      <w:r>
        <w:tab/>
        <w:t xml:space="preserve">For an examination of intergenerational integration, see Graeme Hugo, </w:t>
      </w:r>
      <w:r>
        <w:rPr>
          <w:i/>
        </w:rPr>
        <w:t xml:space="preserve">Economic, Social and Civic Contributions of First and Second Generation </w:t>
      </w:r>
      <w:r w:rsidRPr="00843E25">
        <w:rPr>
          <w:rFonts w:cs="Arial"/>
          <w:i/>
        </w:rPr>
        <w:t>Humanitarian Entrants</w:t>
      </w:r>
      <w:r w:rsidRPr="00843E25">
        <w:rPr>
          <w:rFonts w:cs="Arial"/>
        </w:rPr>
        <w:t xml:space="preserve"> (May 2011)</w:t>
      </w:r>
      <w:r>
        <w:rPr>
          <w:rFonts w:cs="Arial"/>
        </w:rPr>
        <w:t xml:space="preserve">. At </w:t>
      </w:r>
      <w:hyperlink r:id="rId15" w:history="1">
        <w:r w:rsidRPr="00216E64">
          <w:rPr>
            <w:rStyle w:val="Hyperlink"/>
            <w:rFonts w:cs="Arial"/>
          </w:rPr>
          <w:t>https://www.border.gov.au/ReportsandPublications/Documents/research/economic-social-civic-contributions-about-the-research2011.pdf</w:t>
        </w:r>
      </w:hyperlink>
      <w:r w:rsidR="00C25005">
        <w:rPr>
          <w:rStyle w:val="webkit-html-attribute-value"/>
          <w:rFonts w:cs="Arial"/>
          <w:color w:val="222222"/>
        </w:rPr>
        <w:t xml:space="preserve"> (viewed 21</w:t>
      </w:r>
      <w:r>
        <w:rPr>
          <w:rStyle w:val="webkit-html-attribute-value"/>
          <w:rFonts w:cs="Arial"/>
          <w:color w:val="222222"/>
        </w:rPr>
        <w:t xml:space="preserve"> July 2017).</w:t>
      </w:r>
    </w:p>
  </w:endnote>
  <w:endnote w:id="32">
    <w:p w14:paraId="5242C71D" w14:textId="77777777" w:rsidR="0096267B" w:rsidRDefault="0096267B" w:rsidP="00DA714D">
      <w:pPr>
        <w:pStyle w:val="EndnoteText"/>
        <w:ind w:left="284" w:hanging="284"/>
      </w:pPr>
      <w:r>
        <w:rPr>
          <w:rStyle w:val="EndnoteReference"/>
        </w:rPr>
        <w:endnoteRef/>
      </w:r>
      <w:r>
        <w:t xml:space="preserve"> </w:t>
      </w:r>
      <w:r>
        <w:tab/>
        <w:t xml:space="preserve">The Australian Election Study began testing political knowledge in 1996, and up to this decade found that a majority of respondents could only accurately answer one out of six ‘true or false’ questions relating to Australia’s political system and political history. See </w:t>
      </w:r>
      <w:r>
        <w:rPr>
          <w:lang w:val="en"/>
        </w:rPr>
        <w:t xml:space="preserve">Ian McAllister, </w:t>
      </w:r>
      <w:r>
        <w:rPr>
          <w:rStyle w:val="Emphasis"/>
          <w:lang w:val="en"/>
        </w:rPr>
        <w:t>The Australian Voter</w:t>
      </w:r>
      <w:r>
        <w:rPr>
          <w:lang w:val="en"/>
        </w:rPr>
        <w:t>, (UNSW Press, 1st ed, 2011), 68.</w:t>
      </w:r>
    </w:p>
  </w:endnote>
  <w:endnote w:id="33">
    <w:p w14:paraId="66DD8863" w14:textId="5689BA4D" w:rsidR="0096267B" w:rsidRDefault="0096267B" w:rsidP="00DA4001">
      <w:pPr>
        <w:pStyle w:val="EndnoteText"/>
        <w:ind w:left="284" w:hanging="284"/>
      </w:pPr>
      <w:r>
        <w:rPr>
          <w:rStyle w:val="EndnoteReference"/>
        </w:rPr>
        <w:endnoteRef/>
      </w:r>
      <w:r>
        <w:t xml:space="preserve"> </w:t>
      </w:r>
      <w:r>
        <w:tab/>
        <w:t xml:space="preserve">See, eg, Refugee Council of Australia, </w:t>
      </w:r>
      <w:r>
        <w:rPr>
          <w:i/>
        </w:rPr>
        <w:t>The Strength Within: The role of refugee community organisations in settlement’</w:t>
      </w:r>
      <w:r>
        <w:t xml:space="preserve">, 2014. At </w:t>
      </w:r>
      <w:hyperlink r:id="rId16" w:history="1">
        <w:r w:rsidRPr="00407C6F">
          <w:rPr>
            <w:rStyle w:val="Hyperlink"/>
          </w:rPr>
          <w:t>http://www.refugeecouncil.org.au/publications/strength-within-community-organisations-settlement/</w:t>
        </w:r>
      </w:hyperlink>
      <w:r w:rsidR="00C25005">
        <w:t xml:space="preserve"> (viewed 21</w:t>
      </w:r>
      <w:r>
        <w:t xml:space="preserve"> July 2017).</w:t>
      </w:r>
    </w:p>
  </w:endnote>
  <w:endnote w:id="34">
    <w:p w14:paraId="5BC62A89" w14:textId="77777777" w:rsidR="0096267B" w:rsidRDefault="0096267B" w:rsidP="00EE2269">
      <w:pPr>
        <w:pStyle w:val="EndnoteText"/>
        <w:ind w:left="284" w:hanging="284"/>
      </w:pPr>
      <w:r>
        <w:rPr>
          <w:rStyle w:val="EndnoteReference"/>
        </w:rPr>
        <w:endnoteRef/>
      </w:r>
      <w:r>
        <w:t xml:space="preserve"> </w:t>
      </w:r>
      <w:r>
        <w:tab/>
        <w:t>Proposed s 46(5), Bill, item 119, p 40; EM at [312].</w:t>
      </w:r>
    </w:p>
  </w:endnote>
  <w:endnote w:id="35">
    <w:p w14:paraId="5C5AAB2D" w14:textId="77777777" w:rsidR="0096267B" w:rsidRDefault="0096267B" w:rsidP="00EE2269">
      <w:pPr>
        <w:pStyle w:val="EndnoteText"/>
        <w:ind w:left="284" w:hanging="284"/>
      </w:pPr>
      <w:r>
        <w:rPr>
          <w:rStyle w:val="EndnoteReference"/>
        </w:rPr>
        <w:endnoteRef/>
      </w:r>
      <w:r>
        <w:t xml:space="preserve"> </w:t>
      </w:r>
      <w:r>
        <w:tab/>
        <w:t>Proposed s 46(6), Bill, item 119, p 40.</w:t>
      </w:r>
    </w:p>
  </w:endnote>
  <w:endnote w:id="36">
    <w:p w14:paraId="1D65BC49" w14:textId="77777777" w:rsidR="0096267B" w:rsidRDefault="0096267B" w:rsidP="00EE2269">
      <w:pPr>
        <w:pStyle w:val="EndnoteText"/>
        <w:ind w:left="284" w:hanging="284"/>
      </w:pPr>
      <w:r>
        <w:rPr>
          <w:rStyle w:val="EndnoteReference"/>
        </w:rPr>
        <w:endnoteRef/>
      </w:r>
      <w:r>
        <w:t xml:space="preserve"> </w:t>
      </w:r>
      <w:r>
        <w:tab/>
        <w:t>EM at [314].</w:t>
      </w:r>
    </w:p>
  </w:endnote>
  <w:endnote w:id="37">
    <w:p w14:paraId="62F4F550" w14:textId="77777777" w:rsidR="0096267B" w:rsidRDefault="0096267B" w:rsidP="00EE2269">
      <w:pPr>
        <w:pStyle w:val="EndnoteText"/>
        <w:ind w:left="284" w:hanging="284"/>
      </w:pPr>
      <w:r>
        <w:rPr>
          <w:rStyle w:val="EndnoteReference"/>
        </w:rPr>
        <w:endnoteRef/>
      </w:r>
      <w:r>
        <w:t xml:space="preserve"> </w:t>
      </w:r>
      <w:r>
        <w:tab/>
        <w:t xml:space="preserve">Senate Standing Committee for the Scrutiny of Bills, </w:t>
      </w:r>
      <w:r w:rsidRPr="003974DD">
        <w:rPr>
          <w:i/>
        </w:rPr>
        <w:t>Scrutiny Digest 7 of 2017</w:t>
      </w:r>
      <w:r>
        <w:t xml:space="preserve">, 21 June 2017 at [1.38].  At </w:t>
      </w:r>
      <w:hyperlink r:id="rId17" w:history="1">
        <w:r w:rsidRPr="00E703A5">
          <w:rPr>
            <w:rStyle w:val="Hyperlink"/>
          </w:rPr>
          <w:t>http://www.aph.gov.au/~/media/Committees/Senate/committee/scrutiny/scrutiny_digest/PDF/d07.pdf?la=en</w:t>
        </w:r>
      </w:hyperlink>
      <w:r>
        <w:t xml:space="preserve"> (viewed 29 June 2017).</w:t>
      </w:r>
    </w:p>
  </w:endnote>
  <w:endnote w:id="38">
    <w:p w14:paraId="34DF0801" w14:textId="5CE4E9CD" w:rsidR="0096267B" w:rsidRDefault="0096267B" w:rsidP="009A4D5B">
      <w:pPr>
        <w:pStyle w:val="EndnoteText"/>
        <w:ind w:left="284" w:hanging="284"/>
      </w:pPr>
      <w:r>
        <w:rPr>
          <w:rStyle w:val="EndnoteReference"/>
        </w:rPr>
        <w:endnoteRef/>
      </w:r>
      <w:r>
        <w:t xml:space="preserve"> </w:t>
      </w:r>
      <w:r>
        <w:tab/>
        <w:t xml:space="preserve">Australian Law Reform Commission, </w:t>
      </w:r>
      <w:r w:rsidRPr="009A4D5B">
        <w:rPr>
          <w:i/>
        </w:rPr>
        <w:t>Traditional Rights and Freedoms: Encroachment by Commonwealth Laws</w:t>
      </w:r>
      <w:r>
        <w:t xml:space="preserve">, ALRC Report 129, at [17.54].  At </w:t>
      </w:r>
      <w:hyperlink r:id="rId18" w:history="1">
        <w:r w:rsidRPr="00EC5657">
          <w:rPr>
            <w:rStyle w:val="Hyperlink"/>
          </w:rPr>
          <w:t>http://www.alrc.gov.au/publications/freedoms-alrc129</w:t>
        </w:r>
      </w:hyperlink>
      <w:r w:rsidR="00C25005">
        <w:t xml:space="preserve"> (viewed 21</w:t>
      </w:r>
      <w:r>
        <w:t xml:space="preserve"> July 2017).</w:t>
      </w:r>
    </w:p>
  </w:endnote>
  <w:endnote w:id="39">
    <w:p w14:paraId="6A73F220" w14:textId="0B01274D" w:rsidR="0096267B" w:rsidRDefault="0096267B" w:rsidP="00EE2269">
      <w:pPr>
        <w:pStyle w:val="EndnoteText"/>
        <w:ind w:left="284" w:hanging="284"/>
      </w:pPr>
      <w:r>
        <w:rPr>
          <w:rStyle w:val="EndnoteReference"/>
        </w:rPr>
        <w:endnoteRef/>
      </w:r>
      <w:r>
        <w:t xml:space="preserve"> </w:t>
      </w:r>
      <w:r>
        <w:tab/>
        <w:t xml:space="preserve">Australian Government, </w:t>
      </w:r>
      <w:r w:rsidRPr="0001749A">
        <w:rPr>
          <w:i/>
        </w:rPr>
        <w:t>Strengthening the Test for Australian Citizenship</w:t>
      </w:r>
      <w:r>
        <w:t xml:space="preserve">, April 2017, p 17.  At </w:t>
      </w:r>
      <w:hyperlink r:id="rId19" w:history="1">
        <w:r w:rsidRPr="008E09EF">
          <w:rPr>
            <w:rStyle w:val="Hyperlink"/>
          </w:rPr>
          <w:t>https://www.border.gov.au/ReportsandPublications/Documents/discussion-papers/citizenship-paper.pdf</w:t>
        </w:r>
      </w:hyperlink>
      <w:r w:rsidR="007568E5">
        <w:t xml:space="preserve"> (viewed 21</w:t>
      </w:r>
      <w:r>
        <w:t xml:space="preserve"> July 2017).</w:t>
      </w:r>
    </w:p>
  </w:endnote>
  <w:endnote w:id="40">
    <w:p w14:paraId="7D1C9D53" w14:textId="2A4E255C" w:rsidR="0096267B" w:rsidRDefault="0096267B" w:rsidP="00EE2269">
      <w:pPr>
        <w:pStyle w:val="EndnoteText"/>
        <w:ind w:left="284" w:hanging="284"/>
      </w:pPr>
      <w:r>
        <w:rPr>
          <w:rStyle w:val="EndnoteReference"/>
        </w:rPr>
        <w:endnoteRef/>
      </w:r>
      <w:r>
        <w:t xml:space="preserve"> </w:t>
      </w:r>
      <w:r>
        <w:tab/>
        <w:t xml:space="preserve">The Hon Malcom Turnbull MP, Prime Minister, and the Hon Peter Dutton MP, Minister for Immigration and Border Protection, Joint Press Conference, 20 April 2017.  At </w:t>
      </w:r>
      <w:hyperlink r:id="rId20" w:history="1">
        <w:r w:rsidRPr="008E09EF">
          <w:rPr>
            <w:rStyle w:val="Hyperlink"/>
          </w:rPr>
          <w:t>http://www.minister.border.gov.au/peterdutton/Pages/Joint-Press-Conference-with-the-PM,-Parliament-House.aspx</w:t>
        </w:r>
      </w:hyperlink>
      <w:r w:rsidR="007568E5">
        <w:t xml:space="preserve"> (viewed 21</w:t>
      </w:r>
      <w:r>
        <w:t xml:space="preserve"> July 2017).</w:t>
      </w:r>
    </w:p>
  </w:endnote>
  <w:endnote w:id="41">
    <w:p w14:paraId="4DCC61FA" w14:textId="58A31E70" w:rsidR="0096267B" w:rsidRDefault="0096267B" w:rsidP="00EE2269">
      <w:pPr>
        <w:pStyle w:val="EndnoteText"/>
        <w:ind w:left="284" w:hanging="284"/>
      </w:pPr>
      <w:r>
        <w:rPr>
          <w:rStyle w:val="EndnoteReference"/>
        </w:rPr>
        <w:endnoteRef/>
      </w:r>
      <w:r>
        <w:t xml:space="preserve"> </w:t>
      </w:r>
      <w:r>
        <w:tab/>
        <w:t xml:space="preserve">The Hon Malcom Turnbull MP, Prime Minister, and the Hon Peter Dutton MP, Minister for Immigration and Border Protection, Joint Press Conference, 20 April 2017.  At </w:t>
      </w:r>
      <w:hyperlink r:id="rId21" w:history="1">
        <w:r w:rsidRPr="008E09EF">
          <w:rPr>
            <w:rStyle w:val="Hyperlink"/>
          </w:rPr>
          <w:t>http://www.minister.border.gov.au/peterdutton/Pages/Joint-Press-Conference-with-the-PM,-Parliament-House.aspx</w:t>
        </w:r>
      </w:hyperlink>
      <w:r w:rsidR="007568E5">
        <w:t xml:space="preserve"> (viewed 21</w:t>
      </w:r>
      <w:r>
        <w:t xml:space="preserve"> July 2017).</w:t>
      </w:r>
    </w:p>
  </w:endnote>
  <w:endnote w:id="42">
    <w:p w14:paraId="34D79228" w14:textId="14CF7596" w:rsidR="0096267B" w:rsidRDefault="0096267B" w:rsidP="00EE2269">
      <w:pPr>
        <w:pStyle w:val="EndnoteText"/>
        <w:ind w:left="284" w:hanging="284"/>
      </w:pPr>
      <w:r>
        <w:rPr>
          <w:rStyle w:val="EndnoteReference"/>
        </w:rPr>
        <w:endnoteRef/>
      </w:r>
      <w:r>
        <w:t xml:space="preserve"> </w:t>
      </w:r>
      <w:r>
        <w:tab/>
        <w:t xml:space="preserve">The Hon Malcom Turnbull MP, Prime Minister, and the Hon Peter Dutton MP, Minister for Immigration and Border Protection, Joint Press Conference, 20 April 2017.  At </w:t>
      </w:r>
      <w:hyperlink r:id="rId22" w:history="1">
        <w:r w:rsidRPr="008E09EF">
          <w:rPr>
            <w:rStyle w:val="Hyperlink"/>
          </w:rPr>
          <w:t>http://www.minister.border.gov.au/peterdutton/Pages/Joint-Press-Conference-with-the-PM,-Parliament-House.aspx</w:t>
        </w:r>
      </w:hyperlink>
      <w:r w:rsidR="007568E5">
        <w:t xml:space="preserve"> (viewed 21</w:t>
      </w:r>
      <w:r>
        <w:t xml:space="preserve"> July 2017).</w:t>
      </w:r>
    </w:p>
  </w:endnote>
  <w:endnote w:id="43">
    <w:p w14:paraId="4D0ED64E" w14:textId="77777777" w:rsidR="0096267B" w:rsidRDefault="0096267B" w:rsidP="00811DB7">
      <w:pPr>
        <w:pStyle w:val="EndnoteText"/>
        <w:ind w:left="284" w:hanging="284"/>
      </w:pPr>
      <w:r>
        <w:rPr>
          <w:rStyle w:val="EndnoteReference"/>
        </w:rPr>
        <w:endnoteRef/>
      </w:r>
      <w:r>
        <w:t xml:space="preserve"> </w:t>
      </w:r>
      <w:r>
        <w:tab/>
        <w:t xml:space="preserve">Australian Human Rights Commission Submission to </w:t>
      </w:r>
      <w:r w:rsidRPr="006A33F8">
        <w:rPr>
          <w:i/>
        </w:rPr>
        <w:t>Australian Citizenship – your right, your responsibility</w:t>
      </w:r>
      <w:r>
        <w:t xml:space="preserve"> discussion paper, 30 June 2015.</w:t>
      </w:r>
    </w:p>
  </w:endnote>
  <w:endnote w:id="44">
    <w:p w14:paraId="4D405D01" w14:textId="77777777" w:rsidR="0096267B" w:rsidRDefault="0096267B" w:rsidP="00EE2269">
      <w:pPr>
        <w:pStyle w:val="EndnoteText"/>
        <w:ind w:left="284" w:hanging="284"/>
      </w:pPr>
      <w:r>
        <w:rPr>
          <w:rStyle w:val="EndnoteReference"/>
        </w:rPr>
        <w:endnoteRef/>
      </w:r>
      <w:r>
        <w:t xml:space="preserve"> </w:t>
      </w:r>
      <w:r>
        <w:tab/>
        <w:t>Australian Citizenship Act, s 21(2A).</w:t>
      </w:r>
    </w:p>
  </w:endnote>
  <w:endnote w:id="45">
    <w:p w14:paraId="393CD411" w14:textId="77777777" w:rsidR="0096267B" w:rsidRDefault="0096267B" w:rsidP="00EE2269">
      <w:pPr>
        <w:pStyle w:val="EndnoteText"/>
        <w:ind w:left="284" w:hanging="284"/>
      </w:pPr>
      <w:r>
        <w:rPr>
          <w:rStyle w:val="EndnoteReference"/>
        </w:rPr>
        <w:endnoteRef/>
      </w:r>
      <w:r>
        <w:t xml:space="preserve"> </w:t>
      </w:r>
      <w:r>
        <w:tab/>
        <w:t>Proposed s 23A(3A), Bill, item 82, p 26.</w:t>
      </w:r>
    </w:p>
  </w:endnote>
  <w:endnote w:id="46">
    <w:p w14:paraId="6DA06ECF" w14:textId="547C26BC" w:rsidR="0096267B" w:rsidRDefault="0096267B" w:rsidP="00EE2269">
      <w:pPr>
        <w:pStyle w:val="EndnoteText"/>
        <w:ind w:left="284" w:hanging="284"/>
      </w:pPr>
      <w:r>
        <w:rPr>
          <w:rStyle w:val="EndnoteReference"/>
        </w:rPr>
        <w:endnoteRef/>
      </w:r>
      <w:r>
        <w:t xml:space="preserve"> </w:t>
      </w:r>
      <w:r>
        <w:tab/>
        <w:t xml:space="preserve">The Hon Peter Dutton MP, Minister for Immigration and Border Protection, and the Hon Malcolm Turnbull MP, Prime Minister, ‘Strengthening the integrity of Australian citizenship’ Joint Media Release, 20 April 2017.  At </w:t>
      </w:r>
      <w:hyperlink r:id="rId23" w:history="1">
        <w:r w:rsidRPr="008E09EF">
          <w:rPr>
            <w:rStyle w:val="Hyperlink"/>
          </w:rPr>
          <w:t>http://www.minister.border.gov.au/peterdutton/Pages/Strengthening-the-integrity-of-Australian-citizenship.aspx</w:t>
        </w:r>
      </w:hyperlink>
      <w:r w:rsidR="007568E5">
        <w:t xml:space="preserve"> (viewed 21</w:t>
      </w:r>
      <w:r>
        <w:t xml:space="preserve"> July 2017).  See also Australian Government, </w:t>
      </w:r>
      <w:r w:rsidRPr="0001749A">
        <w:rPr>
          <w:i/>
        </w:rPr>
        <w:t>Strengthening the Test for Australian Citizenship</w:t>
      </w:r>
      <w:r>
        <w:t xml:space="preserve">, April 2017, p 13.  At </w:t>
      </w:r>
      <w:hyperlink r:id="rId24" w:history="1">
        <w:r w:rsidRPr="008E09EF">
          <w:rPr>
            <w:rStyle w:val="Hyperlink"/>
          </w:rPr>
          <w:t>https://www.border.gov.au/ReportsandPublications/Documents/discussion-papers/citizenship-paper.pdf</w:t>
        </w:r>
      </w:hyperlink>
      <w:r w:rsidR="007568E5">
        <w:t xml:space="preserve"> (viewed 21</w:t>
      </w:r>
      <w:r>
        <w:t xml:space="preserve"> July 2017).</w:t>
      </w:r>
    </w:p>
  </w:endnote>
  <w:endnote w:id="47">
    <w:p w14:paraId="3EC7E4D9" w14:textId="2D10184D" w:rsidR="0096267B" w:rsidRDefault="0096267B" w:rsidP="00EE2269">
      <w:pPr>
        <w:pStyle w:val="EndnoteText"/>
        <w:ind w:left="284" w:hanging="284"/>
      </w:pPr>
      <w:r>
        <w:rPr>
          <w:rStyle w:val="EndnoteReference"/>
        </w:rPr>
        <w:endnoteRef/>
      </w:r>
      <w:r>
        <w:t xml:space="preserve"> </w:t>
      </w:r>
      <w:r>
        <w:tab/>
        <w:t xml:space="preserve">Australian Government, </w:t>
      </w:r>
      <w:r w:rsidRPr="0001749A">
        <w:rPr>
          <w:i/>
        </w:rPr>
        <w:t>Strengthening the Test for Australian Citizenship</w:t>
      </w:r>
      <w:r>
        <w:t xml:space="preserve">, April 2017, p 13.  At </w:t>
      </w:r>
      <w:hyperlink r:id="rId25" w:history="1">
        <w:r w:rsidRPr="008E09EF">
          <w:rPr>
            <w:rStyle w:val="Hyperlink"/>
          </w:rPr>
          <w:t>https://www.border.gov.au/ReportsandPublications/Documents/discussion-papers/citizenship-paper.pdf</w:t>
        </w:r>
      </w:hyperlink>
      <w:r w:rsidR="007568E5">
        <w:t xml:space="preserve"> (viewed 21</w:t>
      </w:r>
      <w:r>
        <w:t xml:space="preserve"> July 2017).</w:t>
      </w:r>
    </w:p>
  </w:endnote>
  <w:endnote w:id="48">
    <w:p w14:paraId="15A3372B" w14:textId="5D0FC60B" w:rsidR="0096267B" w:rsidRDefault="0096267B" w:rsidP="00EE2269">
      <w:pPr>
        <w:pStyle w:val="EndnoteText"/>
        <w:ind w:left="284" w:hanging="284"/>
      </w:pPr>
      <w:r>
        <w:rPr>
          <w:rStyle w:val="EndnoteReference"/>
        </w:rPr>
        <w:endnoteRef/>
      </w:r>
      <w:r>
        <w:t xml:space="preserve"> </w:t>
      </w:r>
      <w:r>
        <w:tab/>
        <w:t xml:space="preserve">Australian Government, </w:t>
      </w:r>
      <w:r w:rsidRPr="0001749A">
        <w:rPr>
          <w:i/>
        </w:rPr>
        <w:t>Strengthening the Test for Australian Citizenship</w:t>
      </w:r>
      <w:r>
        <w:t xml:space="preserve">, April 2017, p 13.  At </w:t>
      </w:r>
      <w:hyperlink r:id="rId26" w:history="1">
        <w:r w:rsidRPr="008E09EF">
          <w:rPr>
            <w:rStyle w:val="Hyperlink"/>
          </w:rPr>
          <w:t>https://www.border.gov.au/ReportsandPublications/Documents/discussion-papers/citizenship-paper.pdf</w:t>
        </w:r>
      </w:hyperlink>
      <w:r w:rsidR="007568E5">
        <w:t xml:space="preserve"> (viewed 21</w:t>
      </w:r>
      <w:r>
        <w:t xml:space="preserve"> July 2017).</w:t>
      </w:r>
    </w:p>
  </w:endnote>
  <w:endnote w:id="49">
    <w:p w14:paraId="31883A66" w14:textId="73DF1959" w:rsidR="0096267B" w:rsidRDefault="0096267B" w:rsidP="00866F9F">
      <w:pPr>
        <w:pStyle w:val="EndnoteText"/>
        <w:ind w:left="284" w:hanging="284"/>
      </w:pPr>
      <w:r>
        <w:rPr>
          <w:rStyle w:val="EndnoteReference"/>
        </w:rPr>
        <w:endnoteRef/>
      </w:r>
      <w:r>
        <w:t xml:space="preserve"> </w:t>
      </w:r>
      <w:r>
        <w:tab/>
        <w:t xml:space="preserve">Australian Government, </w:t>
      </w:r>
      <w:r w:rsidRPr="0001749A">
        <w:rPr>
          <w:i/>
        </w:rPr>
        <w:t>Strengthening the Test for Australian Citizenship</w:t>
      </w:r>
      <w:r>
        <w:t xml:space="preserve">, April 2017, p 13.  At </w:t>
      </w:r>
      <w:hyperlink r:id="rId27" w:history="1">
        <w:r w:rsidRPr="008E09EF">
          <w:rPr>
            <w:rStyle w:val="Hyperlink"/>
          </w:rPr>
          <w:t>https://www.border.gov.au/ReportsandPublications/Documents/discussion-papers/citizenship-paper.pdf</w:t>
        </w:r>
      </w:hyperlink>
      <w:r w:rsidR="007568E5">
        <w:t xml:space="preserve"> (viewed 21</w:t>
      </w:r>
      <w:r>
        <w:t xml:space="preserve"> July 2017).</w:t>
      </w:r>
    </w:p>
  </w:endnote>
  <w:endnote w:id="50">
    <w:p w14:paraId="5235235C" w14:textId="6551F96B" w:rsidR="0096267B" w:rsidRPr="00866F9F" w:rsidRDefault="0096267B" w:rsidP="00866F9F">
      <w:pPr>
        <w:pStyle w:val="EndnoteText"/>
        <w:ind w:left="284" w:hanging="284"/>
      </w:pPr>
      <w:r>
        <w:rPr>
          <w:rStyle w:val="EndnoteReference"/>
        </w:rPr>
        <w:endnoteRef/>
      </w:r>
      <w:r>
        <w:t xml:space="preserve"> </w:t>
      </w:r>
      <w:r>
        <w:tab/>
        <w:t xml:space="preserve">Department of Immigration and Border Protection, </w:t>
      </w:r>
      <w:r>
        <w:rPr>
          <w:i/>
        </w:rPr>
        <w:t xml:space="preserve">The Course-Based Test </w:t>
      </w:r>
      <w:r>
        <w:t xml:space="preserve">(n.d.). At </w:t>
      </w:r>
      <w:hyperlink r:id="rId28" w:history="1">
        <w:r w:rsidRPr="00F779A6">
          <w:rPr>
            <w:rStyle w:val="Hyperlink"/>
          </w:rPr>
          <w:t>http://www.border.gov.au/Trav/Citi/pathways-processes/Citizenship-test/need-sit-test/new-course</w:t>
        </w:r>
      </w:hyperlink>
      <w:r w:rsidR="007568E5">
        <w:t xml:space="preserve"> (viewed 21</w:t>
      </w:r>
      <w:r>
        <w:t xml:space="preserve"> July 2017). </w:t>
      </w:r>
    </w:p>
  </w:endnote>
  <w:endnote w:id="51">
    <w:p w14:paraId="5B9A6520" w14:textId="18DC4F1B" w:rsidR="0096267B" w:rsidRDefault="0096267B" w:rsidP="00EE2269">
      <w:pPr>
        <w:pStyle w:val="EndnoteText"/>
        <w:ind w:left="284" w:hanging="284"/>
      </w:pPr>
      <w:r>
        <w:rPr>
          <w:rStyle w:val="EndnoteReference"/>
        </w:rPr>
        <w:endnoteRef/>
      </w:r>
      <w:r>
        <w:t xml:space="preserve"> </w:t>
      </w:r>
      <w:r>
        <w:tab/>
        <w:t xml:space="preserve">Australian Government, </w:t>
      </w:r>
      <w:r w:rsidRPr="00D84B74">
        <w:rPr>
          <w:i/>
        </w:rPr>
        <w:t>Australian Citizenship: Your Right, Your Responsibility, The National Consultation on Citizenship Final Report</w:t>
      </w:r>
      <w:r>
        <w:t xml:space="preserve">, 2015, p 21.  At </w:t>
      </w:r>
      <w:hyperlink r:id="rId29" w:history="1">
        <w:r w:rsidRPr="008E09EF">
          <w:rPr>
            <w:rStyle w:val="Hyperlink"/>
          </w:rPr>
          <w:t>https://www.border.gov.au/Citizenship/Documents/australian-citizenship-report.PDF</w:t>
        </w:r>
      </w:hyperlink>
      <w:r w:rsidR="007568E5">
        <w:t xml:space="preserve"> (viewed 21</w:t>
      </w:r>
      <w:r>
        <w:t xml:space="preserve"> July 2017).</w:t>
      </w:r>
    </w:p>
  </w:endnote>
  <w:endnote w:id="52">
    <w:p w14:paraId="4D265B42" w14:textId="77777777" w:rsidR="0096267B" w:rsidRDefault="0096267B" w:rsidP="005021BB">
      <w:pPr>
        <w:pStyle w:val="EndnoteText"/>
        <w:ind w:left="284" w:hanging="284"/>
      </w:pPr>
      <w:r>
        <w:rPr>
          <w:rStyle w:val="EndnoteReference"/>
        </w:rPr>
        <w:endnoteRef/>
      </w:r>
      <w:r>
        <w:t xml:space="preserve"> </w:t>
      </w:r>
      <w:r>
        <w:tab/>
        <w:t>EM at [204].</w:t>
      </w:r>
    </w:p>
  </w:endnote>
  <w:endnote w:id="53">
    <w:p w14:paraId="5387DCA0" w14:textId="77777777" w:rsidR="0096267B" w:rsidRDefault="0096267B" w:rsidP="004C0F46">
      <w:pPr>
        <w:pStyle w:val="EndnoteText"/>
        <w:ind w:left="284" w:hanging="284"/>
      </w:pPr>
      <w:r>
        <w:rPr>
          <w:rStyle w:val="EndnoteReference"/>
        </w:rPr>
        <w:endnoteRef/>
      </w:r>
      <w:r>
        <w:t xml:space="preserve"> </w:t>
      </w:r>
      <w:r>
        <w:tab/>
      </w:r>
      <w:r w:rsidRPr="00DE0C44">
        <w:t xml:space="preserve">Under the current Administrative Arrangements Order (1 September 2016), the Department for Immigration and Border Protection is responsible for citizenship and the Minister for Immigration and Border Protection administers the </w:t>
      </w:r>
      <w:r w:rsidRPr="00DE0C44">
        <w:rPr>
          <w:i/>
        </w:rPr>
        <w:t>Australian Citizenship Act 2007</w:t>
      </w:r>
      <w:r w:rsidRPr="00DE0C44">
        <w:t xml:space="preserve"> (Cth).</w:t>
      </w:r>
    </w:p>
  </w:endnote>
  <w:endnote w:id="54">
    <w:p w14:paraId="1E27C450" w14:textId="37594734" w:rsidR="0096267B" w:rsidRPr="000427EF" w:rsidRDefault="0096267B" w:rsidP="004C0F46">
      <w:pPr>
        <w:pStyle w:val="EndnoteText"/>
        <w:ind w:left="284" w:hanging="284"/>
      </w:pPr>
      <w:r w:rsidRPr="000427EF">
        <w:rPr>
          <w:rStyle w:val="EndnoteReference"/>
        </w:rPr>
        <w:endnoteRef/>
      </w:r>
      <w:r w:rsidRPr="000427EF">
        <w:t xml:space="preserve"> </w:t>
      </w:r>
      <w:r w:rsidRPr="000427EF">
        <w:tab/>
        <w:t xml:space="preserve">Administrative Review Council, </w:t>
      </w:r>
      <w:r w:rsidRPr="000427EF">
        <w:rPr>
          <w:i/>
        </w:rPr>
        <w:t>Better Decisions: Review of Commonwealth Merits Review Tribunals</w:t>
      </w:r>
      <w:r w:rsidRPr="000427EF">
        <w:t xml:space="preserve">, Report No. 39 (1995) at [2.31]. At </w:t>
      </w:r>
      <w:hyperlink r:id="rId30" w:history="1">
        <w:r w:rsidRPr="000427EF">
          <w:rPr>
            <w:rStyle w:val="Hyperlink"/>
          </w:rPr>
          <w:t>http://www.arc.ag.gov.au/Documents/ARC+REPORT+39.pdf</w:t>
        </w:r>
      </w:hyperlink>
      <w:r w:rsidRPr="000427EF">
        <w:t xml:space="preserve"> (viewed </w:t>
      </w:r>
      <w:r w:rsidR="007568E5">
        <w:t xml:space="preserve">21 July </w:t>
      </w:r>
      <w:r>
        <w:t>2017</w:t>
      </w:r>
      <w:r w:rsidRPr="000427EF">
        <w:t>).</w:t>
      </w:r>
    </w:p>
  </w:endnote>
  <w:endnote w:id="55">
    <w:p w14:paraId="1D46B8F4" w14:textId="3BBCFD5B" w:rsidR="0096267B" w:rsidRDefault="0096267B" w:rsidP="00062FF6">
      <w:pPr>
        <w:pStyle w:val="EndnoteText"/>
        <w:ind w:left="284" w:hanging="284"/>
      </w:pPr>
      <w:r>
        <w:rPr>
          <w:rStyle w:val="EndnoteReference"/>
        </w:rPr>
        <w:endnoteRef/>
      </w:r>
      <w:r>
        <w:t xml:space="preserve"> </w:t>
      </w:r>
      <w:r>
        <w:tab/>
        <w:t>Justice</w:t>
      </w:r>
      <w:r w:rsidRPr="00062FF6">
        <w:t xml:space="preserve"> Robert French, ‘Administrative Law in Australia: Themes and Values’ in Matthew Groves and HP Lee (eds), </w:t>
      </w:r>
      <w:r w:rsidRPr="00062FF6">
        <w:rPr>
          <w:i/>
        </w:rPr>
        <w:t>Australian Administrative Law: Fundamentals, Principles and Doctrines</w:t>
      </w:r>
      <w:r w:rsidRPr="00062FF6">
        <w:t xml:space="preserve"> (2007) 22</w:t>
      </w:r>
      <w:r>
        <w:t xml:space="preserve">, quoted in Australian Law Reform Commission, </w:t>
      </w:r>
      <w:r w:rsidRPr="009A4D5B">
        <w:rPr>
          <w:i/>
        </w:rPr>
        <w:t>Traditional Rights and Freedoms: Encroachment by Commonwealth Laws</w:t>
      </w:r>
      <w:r>
        <w:t xml:space="preserve">, ALRC Report 129, at [15.15].  At </w:t>
      </w:r>
      <w:hyperlink r:id="rId31" w:history="1">
        <w:r w:rsidRPr="00EC5657">
          <w:rPr>
            <w:rStyle w:val="Hyperlink"/>
          </w:rPr>
          <w:t>http://www.alrc.gov.au/publications/freedoms-alrc129</w:t>
        </w:r>
      </w:hyperlink>
      <w:r w:rsidR="007568E5">
        <w:t xml:space="preserve"> (viewed 21</w:t>
      </w:r>
      <w:r>
        <w:t xml:space="preserve"> July 2017).</w:t>
      </w:r>
    </w:p>
  </w:endnote>
  <w:endnote w:id="56">
    <w:p w14:paraId="76A2F0E6" w14:textId="148AD41C" w:rsidR="0096267B" w:rsidRPr="000427EF" w:rsidRDefault="0096267B" w:rsidP="004C0F46">
      <w:pPr>
        <w:pStyle w:val="EndnoteText"/>
        <w:ind w:left="284" w:hanging="284"/>
      </w:pPr>
      <w:r w:rsidRPr="000427EF">
        <w:rPr>
          <w:rStyle w:val="EndnoteReference"/>
        </w:rPr>
        <w:endnoteRef/>
      </w:r>
      <w:r w:rsidRPr="000427EF">
        <w:t xml:space="preserve"> </w:t>
      </w:r>
      <w:r w:rsidRPr="000427EF">
        <w:tab/>
        <w:t xml:space="preserve">Administrative Review Council, </w:t>
      </w:r>
      <w:r w:rsidRPr="000427EF">
        <w:rPr>
          <w:i/>
        </w:rPr>
        <w:t>Better Decisions: Review of Commonwealth Merits Review Tribunals</w:t>
      </w:r>
      <w:r w:rsidRPr="000427EF">
        <w:t xml:space="preserve">, Report No. 39 (1995) at [2.9]. At </w:t>
      </w:r>
      <w:hyperlink r:id="rId32" w:history="1">
        <w:r w:rsidRPr="000427EF">
          <w:rPr>
            <w:rStyle w:val="Hyperlink"/>
          </w:rPr>
          <w:t>http://www.arc.ag.gov.au/Documents/ARC+REPORT+39.pdf</w:t>
        </w:r>
      </w:hyperlink>
      <w:r w:rsidRPr="000427EF">
        <w:t xml:space="preserve"> (viewed </w:t>
      </w:r>
      <w:r w:rsidR="007568E5">
        <w:t xml:space="preserve">21 July </w:t>
      </w:r>
      <w:r>
        <w:t>2017</w:t>
      </w:r>
      <w:r w:rsidRPr="000427EF">
        <w:t>).</w:t>
      </w:r>
    </w:p>
  </w:endnote>
  <w:endnote w:id="57">
    <w:p w14:paraId="64009E77" w14:textId="2C699FEB" w:rsidR="0096267B" w:rsidRPr="000427EF" w:rsidRDefault="0096267B" w:rsidP="004C0F46">
      <w:pPr>
        <w:pStyle w:val="EndnoteText"/>
        <w:ind w:left="284" w:hanging="284"/>
      </w:pPr>
      <w:r w:rsidRPr="000427EF">
        <w:rPr>
          <w:rStyle w:val="EndnoteReference"/>
        </w:rPr>
        <w:endnoteRef/>
      </w:r>
      <w:r w:rsidRPr="000427EF">
        <w:t xml:space="preserve"> </w:t>
      </w:r>
      <w:r w:rsidRPr="000427EF">
        <w:tab/>
        <w:t xml:space="preserve">Administrative Review Council, </w:t>
      </w:r>
      <w:r w:rsidRPr="000427EF">
        <w:rPr>
          <w:i/>
        </w:rPr>
        <w:t>What decisions should be subject to merit review?</w:t>
      </w:r>
      <w:r w:rsidRPr="000427EF">
        <w:t xml:space="preserve"> (1999) at [1.3]. At </w:t>
      </w:r>
      <w:hyperlink r:id="rId33" w:history="1">
        <w:r w:rsidRPr="000427EF">
          <w:rPr>
            <w:rStyle w:val="Hyperlink"/>
          </w:rPr>
          <w:t>http://www.arc.ag.gov.au/Publications/Reports/Pages/Downloads/Whatdecisionsshouldbesubjecttomeritreview1999.aspx</w:t>
        </w:r>
      </w:hyperlink>
      <w:r w:rsidRPr="000427EF">
        <w:t xml:space="preserve"> (viewed </w:t>
      </w:r>
      <w:r w:rsidR="007568E5">
        <w:t xml:space="preserve">21 July </w:t>
      </w:r>
      <w:r>
        <w:t>2017</w:t>
      </w:r>
      <w:r w:rsidRPr="000427EF">
        <w:t>).</w:t>
      </w:r>
    </w:p>
  </w:endnote>
  <w:endnote w:id="58">
    <w:p w14:paraId="06CC1F43" w14:textId="616816B6" w:rsidR="0096267B" w:rsidRDefault="0096267B" w:rsidP="004C0F46">
      <w:pPr>
        <w:pStyle w:val="EndnoteText"/>
        <w:ind w:left="284" w:hanging="284"/>
      </w:pPr>
      <w:r w:rsidRPr="000427EF">
        <w:rPr>
          <w:rStyle w:val="EndnoteReference"/>
        </w:rPr>
        <w:endnoteRef/>
      </w:r>
      <w:r w:rsidRPr="000427EF">
        <w:t xml:space="preserve"> </w:t>
      </w:r>
      <w:r w:rsidRPr="000427EF">
        <w:tab/>
        <w:t xml:space="preserve">Administrative Review Council, </w:t>
      </w:r>
      <w:r w:rsidRPr="000427EF">
        <w:rPr>
          <w:i/>
        </w:rPr>
        <w:t>Better Decisions: Review of Commonwealth Merits Review Tribunals</w:t>
      </w:r>
      <w:r w:rsidRPr="000427EF">
        <w:t xml:space="preserve">, Report No. 39 (1995) at [2.53]-[2.63]. At </w:t>
      </w:r>
      <w:hyperlink r:id="rId34" w:history="1">
        <w:r w:rsidRPr="000427EF">
          <w:rPr>
            <w:rStyle w:val="Hyperlink"/>
          </w:rPr>
          <w:t>http://www.arc.ag.gov.au/Documents/ARC+REPORT+39.pdf</w:t>
        </w:r>
      </w:hyperlink>
      <w:r w:rsidRPr="000427EF">
        <w:t xml:space="preserve"> (viewed </w:t>
      </w:r>
      <w:r w:rsidR="007568E5">
        <w:t xml:space="preserve">21 July </w:t>
      </w:r>
      <w:r>
        <w:t>2017</w:t>
      </w:r>
      <w:r w:rsidRPr="000427EF">
        <w:t>).</w:t>
      </w:r>
    </w:p>
  </w:endnote>
  <w:endnote w:id="59">
    <w:p w14:paraId="5FD8139F" w14:textId="77777777" w:rsidR="0096267B" w:rsidRPr="000427EF" w:rsidRDefault="0096267B" w:rsidP="004C0F46">
      <w:pPr>
        <w:pStyle w:val="EndnoteText"/>
        <w:ind w:left="284" w:hanging="284"/>
      </w:pPr>
      <w:r w:rsidRPr="000427EF">
        <w:rPr>
          <w:rStyle w:val="EndnoteReference"/>
        </w:rPr>
        <w:endnoteRef/>
      </w:r>
      <w:r w:rsidRPr="000427EF">
        <w:t xml:space="preserve"> </w:t>
      </w:r>
      <w:r w:rsidRPr="000427EF">
        <w:tab/>
      </w:r>
      <w:r w:rsidRPr="000427EF">
        <w:rPr>
          <w:lang w:val="en-US"/>
        </w:rPr>
        <w:t>ICCPR, opened for signature 16 December 1966, [1980] ATS 23 (entered into force generally on 23 March 1976, except Article 41, which came into force generally on 28 March 1979; entered into force for Australia on 13 November 1980, except Article 41, which came into force for Australia on 28 January 1993).</w:t>
      </w:r>
    </w:p>
  </w:endnote>
  <w:endnote w:id="60">
    <w:p w14:paraId="7F75A322" w14:textId="3E2CD46A" w:rsidR="0096267B" w:rsidRPr="000427EF" w:rsidRDefault="0096267B" w:rsidP="004C0F46">
      <w:pPr>
        <w:pStyle w:val="EndnoteText"/>
        <w:ind w:left="284" w:hanging="284"/>
      </w:pPr>
      <w:r w:rsidRPr="000427EF">
        <w:rPr>
          <w:rStyle w:val="EndnoteReference"/>
        </w:rPr>
        <w:endnoteRef/>
      </w:r>
      <w:r w:rsidRPr="000427EF">
        <w:t xml:space="preserve"> </w:t>
      </w:r>
      <w:r w:rsidRPr="000427EF">
        <w:tab/>
        <w:t xml:space="preserve">Human Rights Committee, </w:t>
      </w:r>
      <w:r w:rsidRPr="000427EF">
        <w:rPr>
          <w:i/>
        </w:rPr>
        <w:t>General Comment 32 on Article 14: Right to equality before courts and tribunals and to a fair trial</w:t>
      </w:r>
      <w:r w:rsidRPr="000427EF">
        <w:t xml:space="preserve">, UN Doc CCPR/C/GC/32 (23 August 2007) para 16. At </w:t>
      </w:r>
      <w:hyperlink r:id="rId35" w:history="1">
        <w:r w:rsidRPr="000427EF">
          <w:rPr>
            <w:rStyle w:val="Hyperlink"/>
          </w:rPr>
          <w:t>http://tbinternet.ohchr.org/_layouts/treatybodyexternal/Download.aspx?symbolno=CCPR%2fC%2fGC%2f32&amp;Lang=en</w:t>
        </w:r>
      </w:hyperlink>
      <w:r w:rsidRPr="000427EF">
        <w:t xml:space="preserve"> (viewed </w:t>
      </w:r>
      <w:r w:rsidR="007568E5">
        <w:t xml:space="preserve">21 July </w:t>
      </w:r>
      <w:r>
        <w:t>2017</w:t>
      </w:r>
      <w:r w:rsidRPr="000427EF">
        <w:t>).</w:t>
      </w:r>
    </w:p>
  </w:endnote>
  <w:endnote w:id="61">
    <w:p w14:paraId="5F005087" w14:textId="5EBFA179" w:rsidR="0096267B" w:rsidRPr="001A12C5" w:rsidRDefault="0096267B" w:rsidP="004C0F46">
      <w:pPr>
        <w:pStyle w:val="EndnoteText"/>
        <w:ind w:left="284" w:hanging="284"/>
      </w:pPr>
      <w:r w:rsidRPr="001A12C5">
        <w:rPr>
          <w:rStyle w:val="EndnoteReference"/>
        </w:rPr>
        <w:endnoteRef/>
      </w:r>
      <w:r w:rsidRPr="001A12C5">
        <w:t xml:space="preserve"> </w:t>
      </w:r>
      <w:r w:rsidRPr="001A12C5">
        <w:tab/>
        <w:t xml:space="preserve">Human Rights Committee, </w:t>
      </w:r>
      <w:r w:rsidRPr="001A12C5">
        <w:rPr>
          <w:i/>
        </w:rPr>
        <w:t>General Comment 32 on Article 14: Right to equality before courts and tribunals and to a fair trial</w:t>
      </w:r>
      <w:r w:rsidRPr="001A12C5">
        <w:t xml:space="preserve">, UN Doc CCPR/C/GC/32 (23 August 2007) para 9. At </w:t>
      </w:r>
      <w:hyperlink r:id="rId36" w:history="1">
        <w:r w:rsidRPr="001A12C5">
          <w:rPr>
            <w:rStyle w:val="Hyperlink"/>
          </w:rPr>
          <w:t>http://tbinternet.ohchr.org/_layouts/treatybodyexternal/Download.aspx?symbolno=CCPR%2fC%2fGC%2f32&amp;Lang=en</w:t>
        </w:r>
      </w:hyperlink>
      <w:r w:rsidRPr="001A12C5">
        <w:t xml:space="preserve"> (viewed </w:t>
      </w:r>
      <w:r w:rsidR="007568E5">
        <w:t xml:space="preserve">21 July </w:t>
      </w:r>
      <w:r>
        <w:t>2017</w:t>
      </w:r>
      <w:r w:rsidRPr="001A12C5">
        <w:t>).</w:t>
      </w:r>
    </w:p>
  </w:endnote>
  <w:endnote w:id="62">
    <w:p w14:paraId="2A1E2A94" w14:textId="77777777" w:rsidR="0096267B" w:rsidRPr="00244FE1" w:rsidRDefault="0096267B" w:rsidP="004C0F46">
      <w:pPr>
        <w:pStyle w:val="EndnoteText"/>
        <w:ind w:left="284" w:hanging="284"/>
      </w:pPr>
      <w:r w:rsidRPr="00244FE1">
        <w:rPr>
          <w:rStyle w:val="EndnoteReference"/>
        </w:rPr>
        <w:endnoteRef/>
      </w:r>
      <w:r w:rsidRPr="00244FE1">
        <w:t xml:space="preserve"> </w:t>
      </w:r>
      <w:r w:rsidRPr="00244FE1">
        <w:tab/>
        <w:t>Australian Citizenship Act, s 52.</w:t>
      </w:r>
    </w:p>
  </w:endnote>
  <w:endnote w:id="63">
    <w:p w14:paraId="625439F1" w14:textId="77777777" w:rsidR="0096267B" w:rsidRPr="000427EF" w:rsidRDefault="0096267B" w:rsidP="004C0F46">
      <w:pPr>
        <w:pStyle w:val="EndnoteText"/>
        <w:ind w:left="284" w:hanging="284"/>
      </w:pPr>
      <w:r w:rsidRPr="000427EF">
        <w:rPr>
          <w:rStyle w:val="EndnoteReference"/>
        </w:rPr>
        <w:endnoteRef/>
      </w:r>
      <w:r w:rsidRPr="000427EF">
        <w:t xml:space="preserve"> </w:t>
      </w:r>
      <w:r w:rsidRPr="000427EF">
        <w:tab/>
        <w:t xml:space="preserve">Proposed s 52A, </w:t>
      </w:r>
      <w:r>
        <w:t>Bill</w:t>
      </w:r>
      <w:r w:rsidRPr="00F369C6">
        <w:t xml:space="preserve">, </w:t>
      </w:r>
      <w:r w:rsidRPr="000427EF">
        <w:t>item 127, p 42.</w:t>
      </w:r>
    </w:p>
  </w:endnote>
  <w:endnote w:id="64">
    <w:p w14:paraId="543FCC02" w14:textId="77777777" w:rsidR="0096267B" w:rsidRPr="00537F36" w:rsidRDefault="0096267B" w:rsidP="004C0F46">
      <w:pPr>
        <w:pStyle w:val="EndnoteText"/>
        <w:ind w:left="284" w:hanging="284"/>
      </w:pPr>
      <w:r w:rsidRPr="00537F36">
        <w:rPr>
          <w:rStyle w:val="EndnoteReference"/>
        </w:rPr>
        <w:endnoteRef/>
      </w:r>
      <w:r w:rsidRPr="00537F36">
        <w:t xml:space="preserve"> </w:t>
      </w:r>
      <w:r w:rsidRPr="00537F36">
        <w:tab/>
        <w:t>Proposed s 52B(3), Bill, item 127, p 43.</w:t>
      </w:r>
    </w:p>
  </w:endnote>
  <w:endnote w:id="65">
    <w:p w14:paraId="2E82536D" w14:textId="65B65923" w:rsidR="0096267B" w:rsidRPr="004C0F46" w:rsidRDefault="0096267B" w:rsidP="004C0F46">
      <w:pPr>
        <w:pStyle w:val="EndnoteText"/>
        <w:ind w:left="284" w:hanging="284"/>
        <w:rPr>
          <w:rStyle w:val="EndnoteReference"/>
          <w:vertAlign w:val="baseline"/>
        </w:rPr>
      </w:pPr>
      <w:r>
        <w:rPr>
          <w:rStyle w:val="EndnoteReference"/>
        </w:rPr>
        <w:endnoteRef/>
      </w:r>
      <w:r w:rsidRPr="004C0F46">
        <w:rPr>
          <w:rStyle w:val="EndnoteReference"/>
          <w:vertAlign w:val="baseline"/>
        </w:rPr>
        <w:t xml:space="preserve"> </w:t>
      </w:r>
      <w:r w:rsidRPr="004C0F46">
        <w:rPr>
          <w:rStyle w:val="EndnoteReference"/>
          <w:vertAlign w:val="baseline"/>
        </w:rPr>
        <w:tab/>
        <w:t xml:space="preserve">Senate Standing Committee for the Scrutiny of Bills, Scrutiny Digest 7 of 2017, 21 June 2017 at [1.56].  At </w:t>
      </w:r>
      <w:hyperlink r:id="rId37" w:history="1">
        <w:r w:rsidRPr="00E703A5">
          <w:rPr>
            <w:rStyle w:val="Hyperlink"/>
          </w:rPr>
          <w:t>http://www.aph.gov.au/~/media/Committees/Senate/committee/scrutiny/scrutiny_digest/PDF/d07.pdf?la=en</w:t>
        </w:r>
      </w:hyperlink>
      <w:r>
        <w:rPr>
          <w:rStyle w:val="EndnoteReference"/>
          <w:vertAlign w:val="baseline"/>
        </w:rPr>
        <w:t xml:space="preserve"> </w:t>
      </w:r>
      <w:r w:rsidRPr="004C0F46">
        <w:rPr>
          <w:rStyle w:val="EndnoteReference"/>
          <w:vertAlign w:val="baseline"/>
        </w:rPr>
        <w:t xml:space="preserve">(viewed </w:t>
      </w:r>
      <w:r w:rsidR="007568E5">
        <w:t>21 July</w:t>
      </w:r>
      <w:r w:rsidR="007568E5" w:rsidRPr="004C0F46">
        <w:rPr>
          <w:rStyle w:val="EndnoteReference"/>
          <w:vertAlign w:val="baseline"/>
        </w:rPr>
        <w:t xml:space="preserve"> </w:t>
      </w:r>
      <w:r w:rsidRPr="004C0F46">
        <w:rPr>
          <w:rStyle w:val="EndnoteReference"/>
          <w:vertAlign w:val="baseline"/>
        </w:rPr>
        <w:t>2017).</w:t>
      </w:r>
    </w:p>
  </w:endnote>
  <w:endnote w:id="66">
    <w:p w14:paraId="58C74940" w14:textId="77777777" w:rsidR="0096267B" w:rsidRPr="00E04779" w:rsidRDefault="0096267B" w:rsidP="004C0F46">
      <w:pPr>
        <w:pStyle w:val="EndnoteText"/>
        <w:ind w:left="284" w:hanging="284"/>
      </w:pPr>
      <w:r w:rsidRPr="00E04779">
        <w:rPr>
          <w:rStyle w:val="EndnoteReference"/>
        </w:rPr>
        <w:endnoteRef/>
      </w:r>
      <w:r w:rsidRPr="00E04779">
        <w:t xml:space="preserve"> </w:t>
      </w:r>
      <w:r w:rsidRPr="00E04779">
        <w:tab/>
      </w:r>
      <w:r w:rsidRPr="00EE2269">
        <w:t>EM</w:t>
      </w:r>
      <w:r w:rsidRPr="009828E9">
        <w:t>,</w:t>
      </w:r>
      <w:r>
        <w:t xml:space="preserve"> </w:t>
      </w:r>
      <w:r w:rsidRPr="00E04779">
        <w:t>Statement of Compatibility with Human Rights, p 87.</w:t>
      </w:r>
    </w:p>
  </w:endnote>
  <w:endnote w:id="67">
    <w:p w14:paraId="7051EF1E" w14:textId="77777777" w:rsidR="0096267B" w:rsidRPr="00E04779" w:rsidRDefault="0096267B" w:rsidP="004C0F46">
      <w:pPr>
        <w:pStyle w:val="EndnoteText"/>
        <w:ind w:left="284" w:hanging="284"/>
      </w:pPr>
      <w:r w:rsidRPr="00E04779">
        <w:rPr>
          <w:rStyle w:val="EndnoteReference"/>
        </w:rPr>
        <w:endnoteRef/>
      </w:r>
      <w:r w:rsidRPr="00E04779">
        <w:t xml:space="preserve"> </w:t>
      </w:r>
      <w:r w:rsidRPr="00E04779">
        <w:tab/>
        <w:t>EM at [330].</w:t>
      </w:r>
    </w:p>
  </w:endnote>
  <w:endnote w:id="68">
    <w:p w14:paraId="124F4E0F" w14:textId="3552E83C" w:rsidR="0096267B" w:rsidRDefault="0096267B" w:rsidP="00524061">
      <w:pPr>
        <w:pStyle w:val="EndnoteText"/>
        <w:ind w:left="284" w:hanging="284"/>
      </w:pPr>
      <w:r>
        <w:rPr>
          <w:rStyle w:val="EndnoteReference"/>
        </w:rPr>
        <w:endnoteRef/>
      </w:r>
      <w:r>
        <w:t xml:space="preserve"> </w:t>
      </w:r>
      <w:r>
        <w:tab/>
        <w:t xml:space="preserve">Administrative Appeals Tribunal, </w:t>
      </w:r>
      <w:r w:rsidRPr="00524061">
        <w:rPr>
          <w:i/>
        </w:rPr>
        <w:t>Annual reports 2010-2011 to 2015-2016</w:t>
      </w:r>
      <w:r>
        <w:t xml:space="preserve">.  At </w:t>
      </w:r>
      <w:hyperlink r:id="rId38" w:history="1">
        <w:r w:rsidRPr="00EC40A4">
          <w:rPr>
            <w:rStyle w:val="Hyperlink"/>
          </w:rPr>
          <w:t>http://www.aat.gov.au/about-the-aat/corporate-information/annual-reports</w:t>
        </w:r>
      </w:hyperlink>
      <w:r>
        <w:t xml:space="preserve"> (viewed </w:t>
      </w:r>
      <w:r w:rsidR="007568E5">
        <w:t>21</w:t>
      </w:r>
      <w:r>
        <w:t xml:space="preserve"> July 2017).</w:t>
      </w:r>
    </w:p>
  </w:endnote>
  <w:endnote w:id="69">
    <w:p w14:paraId="0772482E" w14:textId="5BAB3B65" w:rsidR="0096267B" w:rsidRDefault="0096267B" w:rsidP="004C0F46">
      <w:pPr>
        <w:pStyle w:val="EndnoteText"/>
        <w:ind w:left="284" w:hanging="284"/>
      </w:pPr>
      <w:r>
        <w:rPr>
          <w:rStyle w:val="EndnoteReference"/>
        </w:rPr>
        <w:endnoteRef/>
      </w:r>
      <w:r>
        <w:t xml:space="preserve"> </w:t>
      </w:r>
      <w:r>
        <w:tab/>
        <w:t xml:space="preserve">Department of Immigration and Border Protection, </w:t>
      </w:r>
      <w:r>
        <w:rPr>
          <w:i/>
        </w:rPr>
        <w:t>A</w:t>
      </w:r>
      <w:r w:rsidRPr="00DD789D">
        <w:rPr>
          <w:i/>
        </w:rPr>
        <w:t>nswers to questions taken on notice at a public hearing on 19 November 2014</w:t>
      </w:r>
      <w:r>
        <w:t xml:space="preserve">, Senate Legal and Constitutional Affairs Committee inquiry into the Australian Citizenship and Other Legislation Amendment Bill 2014, at [14]-[15].  At </w:t>
      </w:r>
      <w:hyperlink r:id="rId39" w:history="1">
        <w:r w:rsidRPr="00E703A5">
          <w:rPr>
            <w:rStyle w:val="Hyperlink"/>
          </w:rPr>
          <w:t>http://www.aph.gov.au/Parliamentary_Business/Committees/Senate/Legal_and_Constitutional_Affairs/Australian_Citizenship/Additional_Documents</w:t>
        </w:r>
      </w:hyperlink>
      <w:r>
        <w:t xml:space="preserve"> (viewed </w:t>
      </w:r>
      <w:r w:rsidR="007568E5">
        <w:t xml:space="preserve">21 July </w:t>
      </w:r>
      <w:r>
        <w:t>2017).</w:t>
      </w:r>
    </w:p>
  </w:endnote>
  <w:endnote w:id="70">
    <w:p w14:paraId="4647BF10" w14:textId="77777777" w:rsidR="0096267B" w:rsidRDefault="0096267B" w:rsidP="004C0F46">
      <w:pPr>
        <w:pStyle w:val="EndnoteText"/>
        <w:ind w:left="284" w:hanging="284"/>
      </w:pPr>
      <w:r>
        <w:rPr>
          <w:rStyle w:val="EndnoteReference"/>
        </w:rPr>
        <w:endnoteRef/>
      </w:r>
      <w:r>
        <w:t xml:space="preserve"> </w:t>
      </w:r>
      <w:r>
        <w:tab/>
      </w:r>
      <w:r w:rsidRPr="008F41EA">
        <w:t xml:space="preserve">Australian Citizenship Council, </w:t>
      </w:r>
      <w:r w:rsidRPr="008F41EA">
        <w:rPr>
          <w:i/>
        </w:rPr>
        <w:t>Australian Citizenship for a New Century</w:t>
      </w:r>
      <w:r w:rsidRPr="008F41EA">
        <w:t xml:space="preserve"> (February 2000), p 53.</w:t>
      </w:r>
    </w:p>
  </w:endnote>
  <w:endnote w:id="71">
    <w:p w14:paraId="4979A50D" w14:textId="77777777" w:rsidR="0096267B" w:rsidRPr="001A12C5" w:rsidRDefault="0096267B" w:rsidP="004C0F46">
      <w:pPr>
        <w:pStyle w:val="EndnoteText"/>
        <w:ind w:left="284" w:hanging="284"/>
      </w:pPr>
      <w:r w:rsidRPr="001A12C5">
        <w:rPr>
          <w:rStyle w:val="EndnoteReference"/>
        </w:rPr>
        <w:endnoteRef/>
      </w:r>
      <w:r w:rsidRPr="001A12C5">
        <w:t xml:space="preserve"> </w:t>
      </w:r>
      <w:r w:rsidRPr="001A12C5">
        <w:tab/>
        <w:t>Proposed s 52(4), Bill, item 126, p 42.</w:t>
      </w:r>
    </w:p>
  </w:endnote>
  <w:endnote w:id="72">
    <w:p w14:paraId="5ABDAE33" w14:textId="77777777" w:rsidR="0096267B" w:rsidRPr="001A12C5" w:rsidRDefault="0096267B" w:rsidP="004C0F46">
      <w:pPr>
        <w:pStyle w:val="EndnoteText"/>
        <w:ind w:left="284" w:hanging="284"/>
      </w:pPr>
      <w:r w:rsidRPr="001A12C5">
        <w:rPr>
          <w:rStyle w:val="EndnoteReference"/>
        </w:rPr>
        <w:endnoteRef/>
      </w:r>
      <w:r w:rsidRPr="001A12C5">
        <w:t xml:space="preserve"> </w:t>
      </w:r>
      <w:r w:rsidRPr="001A12C5">
        <w:tab/>
        <w:t>Proposed s 52B(1), Bill, item 127, p 43.</w:t>
      </w:r>
    </w:p>
  </w:endnote>
  <w:endnote w:id="73">
    <w:p w14:paraId="39D0C97F" w14:textId="77777777" w:rsidR="0096267B" w:rsidRDefault="0096267B" w:rsidP="004C0F46">
      <w:pPr>
        <w:pStyle w:val="EndnoteText"/>
        <w:ind w:left="284" w:hanging="284"/>
      </w:pPr>
      <w:r>
        <w:rPr>
          <w:rStyle w:val="EndnoteReference"/>
        </w:rPr>
        <w:endnoteRef/>
      </w:r>
      <w:r>
        <w:t xml:space="preserve"> </w:t>
      </w:r>
      <w:r>
        <w:tab/>
        <w:t>Australian Citizenship Act, s 52 as amended by the Bill, item 121, p 41.</w:t>
      </w:r>
    </w:p>
  </w:endnote>
  <w:endnote w:id="74">
    <w:p w14:paraId="19CEE75A" w14:textId="77777777" w:rsidR="0096267B" w:rsidRPr="00126F38" w:rsidRDefault="0096267B" w:rsidP="004C0F46">
      <w:pPr>
        <w:pStyle w:val="EndnoteText"/>
        <w:ind w:left="284" w:hanging="284"/>
        <w:rPr>
          <w:highlight w:val="yellow"/>
        </w:rPr>
      </w:pPr>
      <w:r w:rsidRPr="00EF052F">
        <w:rPr>
          <w:rStyle w:val="EndnoteReference"/>
        </w:rPr>
        <w:endnoteRef/>
      </w:r>
      <w:r w:rsidRPr="00EF052F">
        <w:t xml:space="preserve"> </w:t>
      </w:r>
      <w:r w:rsidRPr="00EF052F">
        <w:tab/>
        <w:t>EM at [325].</w:t>
      </w:r>
    </w:p>
  </w:endnote>
  <w:endnote w:id="75">
    <w:p w14:paraId="318E35D9" w14:textId="5317A675" w:rsidR="0096267B" w:rsidRPr="00EF052F" w:rsidRDefault="0096267B" w:rsidP="004C0F46">
      <w:pPr>
        <w:pStyle w:val="EndnoteText"/>
        <w:ind w:left="284" w:hanging="284"/>
      </w:pPr>
      <w:r w:rsidRPr="00EF052F">
        <w:rPr>
          <w:rStyle w:val="EndnoteReference"/>
        </w:rPr>
        <w:endnoteRef/>
      </w:r>
      <w:r w:rsidRPr="00EF052F">
        <w:t xml:space="preserve"> </w:t>
      </w:r>
      <w:r w:rsidRPr="00EF052F">
        <w:tab/>
        <w:t xml:space="preserve">Administrative Review Council, </w:t>
      </w:r>
      <w:r w:rsidRPr="00EF052F">
        <w:rPr>
          <w:i/>
        </w:rPr>
        <w:t>What decisions should be subject to merits review?</w:t>
      </w:r>
      <w:r w:rsidRPr="00EF052F">
        <w:t xml:space="preserve"> (1999). At </w:t>
      </w:r>
      <w:hyperlink r:id="rId40" w:history="1">
        <w:r w:rsidRPr="00EF052F">
          <w:rPr>
            <w:rStyle w:val="Hyperlink"/>
          </w:rPr>
          <w:t>http://www.arc.ag.gov.au/Publications/Reports/Pages/Downloads/Whatdecisionsshouldbesubjecttomeritreview1999.aspx</w:t>
        </w:r>
      </w:hyperlink>
      <w:r w:rsidRPr="00EF052F">
        <w:t xml:space="preserve"> (viewed </w:t>
      </w:r>
      <w:r w:rsidR="007568E5">
        <w:t xml:space="preserve">21 July </w:t>
      </w:r>
      <w:r>
        <w:t>2017</w:t>
      </w:r>
      <w:r w:rsidRPr="00EF052F">
        <w:t>).</w:t>
      </w:r>
    </w:p>
  </w:endnote>
  <w:endnote w:id="76">
    <w:p w14:paraId="37B48A9E" w14:textId="77777777" w:rsidR="0096267B" w:rsidRPr="00EF052F" w:rsidRDefault="0096267B" w:rsidP="004C0F46">
      <w:pPr>
        <w:pStyle w:val="EndnoteText"/>
        <w:ind w:left="284" w:hanging="284"/>
      </w:pPr>
      <w:r w:rsidRPr="00EF052F">
        <w:rPr>
          <w:rStyle w:val="EndnoteReference"/>
        </w:rPr>
        <w:endnoteRef/>
      </w:r>
      <w:r w:rsidRPr="00EF052F">
        <w:t xml:space="preserve"> </w:t>
      </w:r>
      <w:r w:rsidRPr="00EF052F">
        <w:tab/>
      </w:r>
      <w:r w:rsidRPr="00EF052F">
        <w:rPr>
          <w:i/>
        </w:rPr>
        <w:t>What decisions should be subject to merits review?</w:t>
      </w:r>
      <w:r w:rsidRPr="00EF052F">
        <w:t xml:space="preserve"> at [5.17]-[5.23].</w:t>
      </w:r>
    </w:p>
  </w:endnote>
  <w:endnote w:id="77">
    <w:p w14:paraId="24369F80" w14:textId="77777777" w:rsidR="0096267B" w:rsidRPr="00E91E52" w:rsidRDefault="0096267B" w:rsidP="004C0F46">
      <w:pPr>
        <w:pStyle w:val="EndnoteText"/>
        <w:ind w:left="284" w:hanging="284"/>
      </w:pPr>
      <w:r w:rsidRPr="00E91E52">
        <w:rPr>
          <w:rStyle w:val="EndnoteReference"/>
        </w:rPr>
        <w:endnoteRef/>
      </w:r>
      <w:r w:rsidRPr="00E91E52">
        <w:t xml:space="preserve"> </w:t>
      </w:r>
      <w:r w:rsidRPr="00E91E52">
        <w:tab/>
      </w:r>
      <w:r w:rsidRPr="00E91E52">
        <w:rPr>
          <w:i/>
        </w:rPr>
        <w:t>What decisions should be subject to merits review?</w:t>
      </w:r>
      <w:r w:rsidRPr="00E91E52">
        <w:t xml:space="preserve"> at [5.20]-[5.21].</w:t>
      </w:r>
    </w:p>
  </w:endnote>
  <w:endnote w:id="78">
    <w:p w14:paraId="5E91ABA5" w14:textId="77777777" w:rsidR="0096267B" w:rsidRDefault="0096267B" w:rsidP="004C0F46">
      <w:pPr>
        <w:pStyle w:val="EndnoteText"/>
        <w:ind w:left="284" w:hanging="284"/>
      </w:pPr>
      <w:r>
        <w:rPr>
          <w:rStyle w:val="EndnoteReference"/>
        </w:rPr>
        <w:endnoteRef/>
      </w:r>
      <w:r>
        <w:t xml:space="preserve"> </w:t>
      </w:r>
      <w:r>
        <w:tab/>
        <w:t>EM at [327].</w:t>
      </w:r>
    </w:p>
  </w:endnote>
  <w:endnote w:id="79">
    <w:p w14:paraId="1572B0FC" w14:textId="77777777" w:rsidR="0096267B" w:rsidRPr="00F369C6" w:rsidRDefault="0096267B" w:rsidP="004C0F46">
      <w:pPr>
        <w:pStyle w:val="EndnoteText"/>
        <w:ind w:left="284" w:hanging="284"/>
      </w:pPr>
      <w:r w:rsidRPr="00F369C6">
        <w:rPr>
          <w:rStyle w:val="EndnoteReference"/>
        </w:rPr>
        <w:endnoteRef/>
      </w:r>
      <w:r w:rsidRPr="00F369C6">
        <w:t xml:space="preserve"> </w:t>
      </w:r>
      <w:r w:rsidRPr="00F369C6">
        <w:tab/>
        <w:t>Australian Citizenship Act, s 34.</w:t>
      </w:r>
    </w:p>
  </w:endnote>
  <w:endnote w:id="80">
    <w:p w14:paraId="6BFC776E" w14:textId="77777777" w:rsidR="0096267B" w:rsidRPr="00F369C6" w:rsidRDefault="0096267B" w:rsidP="004C0F46">
      <w:pPr>
        <w:pStyle w:val="EndnoteText"/>
        <w:ind w:left="284" w:hanging="284"/>
      </w:pPr>
      <w:r w:rsidRPr="00F369C6">
        <w:rPr>
          <w:rStyle w:val="EndnoteReference"/>
        </w:rPr>
        <w:endnoteRef/>
      </w:r>
      <w:r w:rsidRPr="00F369C6">
        <w:t xml:space="preserve"> </w:t>
      </w:r>
      <w:r w:rsidRPr="00F369C6">
        <w:tab/>
        <w:t xml:space="preserve">Australian Citizenship Council, </w:t>
      </w:r>
      <w:r w:rsidRPr="00F369C6">
        <w:rPr>
          <w:i/>
        </w:rPr>
        <w:t>Australian Citizenship for a New Century</w:t>
      </w:r>
      <w:r w:rsidRPr="00F369C6">
        <w:t xml:space="preserve"> (February 2000), p 67.</w:t>
      </w:r>
    </w:p>
  </w:endnote>
  <w:endnote w:id="81">
    <w:p w14:paraId="4F7EA687" w14:textId="77777777" w:rsidR="0096267B" w:rsidRPr="00F369C6" w:rsidRDefault="0096267B" w:rsidP="004C0F46">
      <w:pPr>
        <w:pStyle w:val="EndnoteText"/>
        <w:ind w:left="284" w:hanging="284"/>
      </w:pPr>
      <w:r w:rsidRPr="00F369C6">
        <w:rPr>
          <w:rStyle w:val="EndnoteReference"/>
        </w:rPr>
        <w:endnoteRef/>
      </w:r>
      <w:r w:rsidRPr="00F369C6">
        <w:t xml:space="preserve"> </w:t>
      </w:r>
      <w:r w:rsidRPr="00F369C6">
        <w:tab/>
        <w:t xml:space="preserve">Australian Citizenship Council, </w:t>
      </w:r>
      <w:r w:rsidRPr="00F369C6">
        <w:rPr>
          <w:i/>
        </w:rPr>
        <w:t>Australian Citizenship for a New Century</w:t>
      </w:r>
      <w:r w:rsidRPr="00F369C6">
        <w:t xml:space="preserve"> (February 2000), pp 68-69.</w:t>
      </w:r>
    </w:p>
  </w:endnote>
  <w:endnote w:id="82">
    <w:p w14:paraId="48C774B7" w14:textId="77777777" w:rsidR="0096267B" w:rsidRPr="0079630C" w:rsidRDefault="0096267B" w:rsidP="004C0F46">
      <w:pPr>
        <w:pStyle w:val="EndnoteText"/>
        <w:ind w:left="284" w:hanging="284"/>
        <w:rPr>
          <w:rStyle w:val="EndnoteReference"/>
          <w:vertAlign w:val="baseline"/>
        </w:rPr>
      </w:pPr>
      <w:r>
        <w:rPr>
          <w:rStyle w:val="EndnoteReference"/>
        </w:rPr>
        <w:endnoteRef/>
      </w:r>
      <w:r w:rsidRPr="00892574">
        <w:rPr>
          <w:rStyle w:val="EndnoteReference"/>
        </w:rPr>
        <w:t xml:space="preserve"> </w:t>
      </w:r>
      <w:r>
        <w:tab/>
      </w:r>
      <w:r w:rsidRPr="0079630C">
        <w:rPr>
          <w:rStyle w:val="EndnoteReference"/>
          <w:vertAlign w:val="baseline"/>
        </w:rPr>
        <w:t>Australian Citizenship Council, Australian Citizenship for a New Century (February 2000), p 68.</w:t>
      </w:r>
    </w:p>
  </w:endnote>
  <w:endnote w:id="83">
    <w:p w14:paraId="26D56AFF" w14:textId="77777777" w:rsidR="0096267B" w:rsidRPr="00F369C6" w:rsidRDefault="0096267B" w:rsidP="004C0F46">
      <w:pPr>
        <w:pStyle w:val="EndnoteText"/>
        <w:ind w:left="284" w:hanging="284"/>
      </w:pPr>
      <w:r w:rsidRPr="00F369C6">
        <w:rPr>
          <w:rStyle w:val="EndnoteReference"/>
        </w:rPr>
        <w:endnoteRef/>
      </w:r>
      <w:r w:rsidRPr="00F369C6">
        <w:t xml:space="preserve"> </w:t>
      </w:r>
      <w:r w:rsidRPr="00F369C6">
        <w:tab/>
        <w:t xml:space="preserve">Proposed s 34AA, </w:t>
      </w:r>
      <w:r>
        <w:t>Bill, item 113, p 38</w:t>
      </w:r>
      <w:r w:rsidRPr="00F369C6">
        <w:t>.</w:t>
      </w:r>
    </w:p>
  </w:endnote>
  <w:endnote w:id="84">
    <w:p w14:paraId="64767C4C" w14:textId="77777777" w:rsidR="0096267B" w:rsidRPr="00D860D2" w:rsidRDefault="0096267B" w:rsidP="004C0F46">
      <w:pPr>
        <w:pStyle w:val="EndnoteText"/>
        <w:ind w:left="284" w:hanging="284"/>
      </w:pPr>
      <w:r w:rsidRPr="00D860D2">
        <w:rPr>
          <w:rStyle w:val="EndnoteReference"/>
        </w:rPr>
        <w:endnoteRef/>
      </w:r>
      <w:r w:rsidRPr="00D860D2">
        <w:t xml:space="preserve"> </w:t>
      </w:r>
      <w:r w:rsidRPr="00D860D2">
        <w:tab/>
        <w:t>EM at [293].</w:t>
      </w:r>
    </w:p>
  </w:endnote>
  <w:endnote w:id="85">
    <w:p w14:paraId="308B4A46" w14:textId="77777777" w:rsidR="0096267B" w:rsidRPr="005564B0" w:rsidRDefault="0096267B" w:rsidP="004C0F46">
      <w:pPr>
        <w:pStyle w:val="EndnoteText"/>
        <w:ind w:left="284" w:hanging="284"/>
      </w:pPr>
      <w:r w:rsidRPr="005564B0">
        <w:rPr>
          <w:rStyle w:val="EndnoteReference"/>
        </w:rPr>
        <w:endnoteRef/>
      </w:r>
      <w:r w:rsidRPr="005564B0">
        <w:t xml:space="preserve"> </w:t>
      </w:r>
      <w:r w:rsidRPr="005564B0">
        <w:tab/>
        <w:t>Proposed s 34A</w:t>
      </w:r>
      <w:r>
        <w:t>A(3), Bill, item 113, p 38</w:t>
      </w:r>
      <w:r w:rsidRPr="005564B0">
        <w:t>.</w:t>
      </w:r>
    </w:p>
  </w:endnote>
  <w:endnote w:id="86">
    <w:p w14:paraId="6AAD3106" w14:textId="77777777" w:rsidR="0096267B" w:rsidRDefault="0096267B" w:rsidP="004C0F46">
      <w:pPr>
        <w:pStyle w:val="EndnoteText"/>
        <w:ind w:left="284" w:hanging="284"/>
      </w:pPr>
      <w:r>
        <w:rPr>
          <w:rStyle w:val="EndnoteReference"/>
        </w:rPr>
        <w:endnoteRef/>
      </w:r>
      <w:r>
        <w:t xml:space="preserve"> </w:t>
      </w:r>
      <w:r>
        <w:tab/>
        <w:t>Explanatory Memorandum, Australian Citizenship and Other Legislation Amendment Bill 2014, Statement of Compatibility with Human Rights, p 2.</w:t>
      </w:r>
    </w:p>
  </w:endnote>
  <w:endnote w:id="87">
    <w:p w14:paraId="113EABF8" w14:textId="66B53A14" w:rsidR="0096267B" w:rsidRDefault="0096267B" w:rsidP="004C0F46">
      <w:pPr>
        <w:pStyle w:val="EndnoteText"/>
        <w:ind w:left="284" w:hanging="284"/>
      </w:pPr>
      <w:r>
        <w:rPr>
          <w:rStyle w:val="EndnoteReference"/>
        </w:rPr>
        <w:endnoteRef/>
      </w:r>
      <w:r>
        <w:t xml:space="preserve"> </w:t>
      </w:r>
      <w:r>
        <w:tab/>
        <w:t xml:space="preserve">Evidence to the Senate Legal and Constitutional Affairs Legislation Committee inquiry into the Australian Citizenship and Other Legislation Amendment Bill 2014, Sydney, 10 November 2014, p 28 (Mr Gary Fleming, </w:t>
      </w:r>
      <w:r w:rsidRPr="00E86C98">
        <w:t>First Assistant Secretary, Migration and Citizenship Policy Group, Department of Immigration and Border Protection</w:t>
      </w:r>
      <w:r>
        <w:t xml:space="preserve">). At </w:t>
      </w:r>
      <w:hyperlink r:id="rId41" w:anchor="search=%22committees/commsen/d94920cf-54e5-4743-8722-fde007e86471/0000%22" w:history="1">
        <w:r w:rsidRPr="00E703A5">
          <w:rPr>
            <w:rStyle w:val="Hyperlink"/>
          </w:rPr>
          <w:t>http://parlinfo.aph.gov.au/parlInfo/download/committees/commsen/d94920cf-54e5-4743-8722-fde007e86471/toc_pdf/Legal%20and%20Constitutional%20Affairs%20Legislation%20Committee_2014_11_10_3048_Official.pdf;fileType=application%2Fpdf#search=%22committees/commsen/d94920cf-54e5-4743-8722-fde007e86471/0000%22</w:t>
        </w:r>
      </w:hyperlink>
      <w:r>
        <w:t xml:space="preserve"> (viewed </w:t>
      </w:r>
      <w:r w:rsidR="007568E5">
        <w:t xml:space="preserve">21 July </w:t>
      </w:r>
      <w:r>
        <w:t>2017).</w:t>
      </w:r>
    </w:p>
  </w:endnote>
  <w:endnote w:id="88">
    <w:p w14:paraId="2C57F514" w14:textId="45FCE272" w:rsidR="0096267B" w:rsidRDefault="0096267B" w:rsidP="004C0F46">
      <w:pPr>
        <w:pStyle w:val="EndnoteText"/>
        <w:ind w:left="284" w:hanging="284"/>
      </w:pPr>
      <w:r>
        <w:rPr>
          <w:rStyle w:val="EndnoteReference"/>
        </w:rPr>
        <w:endnoteRef/>
      </w:r>
      <w:r>
        <w:t xml:space="preserve"> </w:t>
      </w:r>
      <w:r>
        <w:tab/>
        <w:t xml:space="preserve">Department of Immigration and Border Protection, Submission to the Senate Legal and Constitutional Affairs Legislation Committee Inquiry into the Australian Citizenship and Other Legislation Amendment Bill 2014, 14 November 2014, pp 4-5.  At </w:t>
      </w:r>
      <w:hyperlink r:id="rId42" w:history="1">
        <w:r w:rsidRPr="008E349E">
          <w:rPr>
            <w:rStyle w:val="Hyperlink"/>
          </w:rPr>
          <w:t>http://www.aph.gov.au/Parliamentary_Business/Committees/Senate/Legal_and_Constitutional_Affairs/Australian_Citizenship/Additional_Documents</w:t>
        </w:r>
      </w:hyperlink>
      <w:r>
        <w:t xml:space="preserve"> (viewed </w:t>
      </w:r>
      <w:r w:rsidR="007568E5">
        <w:t xml:space="preserve">21 July </w:t>
      </w:r>
      <w:r>
        <w:t>2017).</w:t>
      </w:r>
    </w:p>
  </w:endnote>
  <w:endnote w:id="89">
    <w:p w14:paraId="4561CBA5" w14:textId="7AB599C6" w:rsidR="0096267B" w:rsidRDefault="0096267B" w:rsidP="004C0F46">
      <w:pPr>
        <w:pStyle w:val="EndnoteText"/>
        <w:ind w:left="284" w:hanging="284"/>
      </w:pPr>
      <w:r>
        <w:rPr>
          <w:rStyle w:val="EndnoteReference"/>
        </w:rPr>
        <w:endnoteRef/>
      </w:r>
      <w:r>
        <w:t xml:space="preserve"> </w:t>
      </w:r>
      <w:r>
        <w:tab/>
        <w:t xml:space="preserve">Department of Immigration and Border Protection, Submission to the Senate Legal and Constitutional Affairs Legislation Committee Inquiry into the Australian Citizenship and Other Legislation Amendment Bill 2014, 14 November 2014, p 4.  At </w:t>
      </w:r>
      <w:hyperlink r:id="rId43" w:history="1">
        <w:r w:rsidRPr="008E349E">
          <w:rPr>
            <w:rStyle w:val="Hyperlink"/>
          </w:rPr>
          <w:t>http://www.aph.gov.au/Parliamentary_Business/Committees/Senate/Legal_and_Constitutional_Affairs/Australian_Citizenship/Additional_Documents</w:t>
        </w:r>
      </w:hyperlink>
      <w:r>
        <w:t xml:space="preserve"> (viewed </w:t>
      </w:r>
      <w:r w:rsidR="007568E5">
        <w:t xml:space="preserve">21 July </w:t>
      </w:r>
      <w:r>
        <w:t>2017).</w:t>
      </w:r>
    </w:p>
  </w:endnote>
  <w:endnote w:id="90">
    <w:p w14:paraId="53CE4870" w14:textId="34DE4028" w:rsidR="0096267B" w:rsidRDefault="0096267B" w:rsidP="001C375A">
      <w:pPr>
        <w:pStyle w:val="EndnoteText"/>
        <w:ind w:left="284" w:hanging="284"/>
      </w:pPr>
      <w:r>
        <w:rPr>
          <w:rStyle w:val="EndnoteReference"/>
        </w:rPr>
        <w:endnoteRef/>
      </w:r>
      <w:r>
        <w:t xml:space="preserve"> </w:t>
      </w:r>
      <w:r>
        <w:tab/>
        <w:t xml:space="preserve">Senate Legal and Constitutional Affairs Legislation Committee, </w:t>
      </w:r>
      <w:r w:rsidRPr="0026178A">
        <w:rPr>
          <w:i/>
        </w:rPr>
        <w:t>Report on the Australian Citizenship and Other Legislation Amendment Bill 2014</w:t>
      </w:r>
      <w:r>
        <w:t xml:space="preserve">, December 2014, at [3.70]. It was also referred to in the dissenting report of the Australian Greens at [1.4]. At </w:t>
      </w:r>
      <w:hyperlink r:id="rId44" w:history="1">
        <w:r w:rsidRPr="003A4230">
          <w:rPr>
            <w:rStyle w:val="Hyperlink"/>
          </w:rPr>
          <w:t>http://www.aph.gov.au/Parliamentary_Business/Committees/Senate/Legal_and_Constitutional_Affairs/Australian_Citizenship/Report</w:t>
        </w:r>
      </w:hyperlink>
      <w:r>
        <w:t xml:space="preserve"> (viewed </w:t>
      </w:r>
      <w:r w:rsidR="007568E5">
        <w:t xml:space="preserve">21 July </w:t>
      </w:r>
      <w:r>
        <w:t>2017).</w:t>
      </w:r>
    </w:p>
  </w:endnote>
  <w:endnote w:id="91">
    <w:p w14:paraId="2BBDE62D" w14:textId="77777777" w:rsidR="0096267B" w:rsidRDefault="0096267B" w:rsidP="004C0F46">
      <w:pPr>
        <w:pStyle w:val="EndnoteText"/>
        <w:ind w:left="284" w:hanging="284"/>
      </w:pPr>
      <w:r>
        <w:rPr>
          <w:rStyle w:val="EndnoteReference"/>
        </w:rPr>
        <w:endnoteRef/>
      </w:r>
      <w:r>
        <w:t xml:space="preserve"> </w:t>
      </w:r>
      <w:r>
        <w:tab/>
        <w:t>EM, Statement of Compatibility with Human Rights, p 79.</w:t>
      </w:r>
    </w:p>
  </w:endnote>
  <w:endnote w:id="92">
    <w:p w14:paraId="2F341EFF" w14:textId="77777777" w:rsidR="0096267B" w:rsidRDefault="0096267B" w:rsidP="004C0F46">
      <w:pPr>
        <w:pStyle w:val="EndnoteText"/>
        <w:ind w:left="284" w:hanging="284"/>
      </w:pPr>
      <w:r>
        <w:rPr>
          <w:rStyle w:val="EndnoteReference"/>
        </w:rPr>
        <w:endnoteRef/>
      </w:r>
      <w:r>
        <w:t xml:space="preserve"> </w:t>
      </w:r>
      <w:r>
        <w:tab/>
        <w:t>EM, Statement of Compatibility with Human Rights, p 79.</w:t>
      </w:r>
    </w:p>
  </w:endnote>
  <w:endnote w:id="93">
    <w:p w14:paraId="7D95DD85" w14:textId="77777777" w:rsidR="0096267B" w:rsidRDefault="0096267B" w:rsidP="004C0F46">
      <w:pPr>
        <w:pStyle w:val="EndnoteText"/>
        <w:ind w:left="284" w:hanging="284"/>
      </w:pPr>
      <w:r>
        <w:rPr>
          <w:rStyle w:val="EndnoteReference"/>
        </w:rPr>
        <w:endnoteRef/>
      </w:r>
      <w:r>
        <w:t xml:space="preserve"> </w:t>
      </w:r>
      <w:r>
        <w:tab/>
        <w:t>EM at [298].</w:t>
      </w:r>
    </w:p>
  </w:endnote>
  <w:endnote w:id="94">
    <w:p w14:paraId="7960430E" w14:textId="77777777" w:rsidR="0096267B" w:rsidRPr="005564B0" w:rsidRDefault="0096267B" w:rsidP="004C0F46">
      <w:pPr>
        <w:pStyle w:val="EndnoteText"/>
        <w:ind w:left="284" w:hanging="284"/>
      </w:pPr>
      <w:r w:rsidRPr="005564B0">
        <w:rPr>
          <w:rStyle w:val="EndnoteReference"/>
        </w:rPr>
        <w:endnoteRef/>
      </w:r>
      <w:r w:rsidRPr="005564B0">
        <w:t xml:space="preserve"> </w:t>
      </w:r>
      <w:r w:rsidRPr="005564B0">
        <w:tab/>
        <w:t>CRC, opened for signature 20 November 1989, [1991] ATS 4 (entered into force generally on 2 September 1990; entered into force for Australia on 16 January 1991).</w:t>
      </w:r>
    </w:p>
  </w:endnote>
  <w:endnote w:id="95">
    <w:p w14:paraId="7CF96725" w14:textId="77777777" w:rsidR="0096267B" w:rsidRPr="005564B0" w:rsidRDefault="0096267B" w:rsidP="004C0F46">
      <w:pPr>
        <w:pStyle w:val="EndnoteText"/>
        <w:ind w:left="284" w:hanging="284"/>
      </w:pPr>
      <w:r w:rsidRPr="005564B0">
        <w:rPr>
          <w:rStyle w:val="EndnoteReference"/>
        </w:rPr>
        <w:endnoteRef/>
      </w:r>
      <w:r w:rsidRPr="005564B0">
        <w:t xml:space="preserve"> </w:t>
      </w:r>
      <w:r w:rsidRPr="005564B0">
        <w:tab/>
      </w:r>
      <w:r w:rsidRPr="005564B0">
        <w:rPr>
          <w:i/>
        </w:rPr>
        <w:t>Convention on the Reduction of Statelessness</w:t>
      </w:r>
      <w:r w:rsidRPr="005564B0">
        <w:t>, opened for signature 30 August 1961, [1975] ATS 46 (entered into force generally and for Australia on 13 December 1975).</w:t>
      </w:r>
    </w:p>
  </w:endnote>
  <w:endnote w:id="96">
    <w:p w14:paraId="06F6E869" w14:textId="3F00DA96" w:rsidR="0096267B" w:rsidRPr="00FA638D" w:rsidRDefault="0096267B" w:rsidP="004C0F46">
      <w:pPr>
        <w:pStyle w:val="EndnoteText"/>
        <w:ind w:left="284" w:hanging="284"/>
      </w:pPr>
      <w:r w:rsidRPr="00FA638D">
        <w:rPr>
          <w:rStyle w:val="EndnoteReference"/>
        </w:rPr>
        <w:endnoteRef/>
      </w:r>
      <w:r w:rsidRPr="00FA638D">
        <w:t xml:space="preserve"> </w:t>
      </w:r>
      <w:r w:rsidRPr="00FA638D">
        <w:tab/>
        <w:t xml:space="preserve">See discussion in UNHCR, Expert Meeting, </w:t>
      </w:r>
      <w:r w:rsidRPr="00FA638D">
        <w:rPr>
          <w:i/>
        </w:rPr>
        <w:t>Interpreting the 1961 Statelessness Convention and Avoiding Statelessness resulting from Loss and Deprivation of Nationality, Summary Conclusions</w:t>
      </w:r>
      <w:r w:rsidRPr="00FA638D">
        <w:t xml:space="preserve"> (November 2013), para 56. At </w:t>
      </w:r>
      <w:hyperlink r:id="rId45" w:history="1">
        <w:r w:rsidRPr="00FA638D">
          <w:rPr>
            <w:rStyle w:val="Hyperlink"/>
          </w:rPr>
          <w:t>http://www.refworld.org/pdfid/533a754b4.pdf</w:t>
        </w:r>
      </w:hyperlink>
      <w:r w:rsidRPr="00FA638D">
        <w:t xml:space="preserve"> (viewed </w:t>
      </w:r>
      <w:r w:rsidR="007568E5">
        <w:t xml:space="preserve">21 July </w:t>
      </w:r>
      <w:r>
        <w:t>2017</w:t>
      </w:r>
      <w:r w:rsidRPr="00FA638D">
        <w:t>).</w:t>
      </w:r>
    </w:p>
  </w:endnote>
  <w:endnote w:id="97">
    <w:p w14:paraId="493EC243" w14:textId="38141576" w:rsidR="0096267B" w:rsidRPr="00FA638D" w:rsidRDefault="0096267B" w:rsidP="004C0F46">
      <w:pPr>
        <w:pStyle w:val="EndnoteText"/>
        <w:ind w:left="284" w:hanging="284"/>
      </w:pPr>
      <w:r w:rsidRPr="00FA638D">
        <w:rPr>
          <w:rStyle w:val="EndnoteReference"/>
        </w:rPr>
        <w:endnoteRef/>
      </w:r>
      <w:r w:rsidRPr="00FA638D">
        <w:t xml:space="preserve"> </w:t>
      </w:r>
      <w:r w:rsidRPr="00FA638D">
        <w:tab/>
        <w:t xml:space="preserve">See discussion in UNHCR, Expert Meeting, </w:t>
      </w:r>
      <w:r w:rsidRPr="00FA638D">
        <w:rPr>
          <w:i/>
        </w:rPr>
        <w:t>Interpreting the 1961 Statelessness Convention and Avoiding Statelessness resulting from Loss and Deprivation of Nationality, Summary Conclusions</w:t>
      </w:r>
      <w:r w:rsidRPr="00FA638D">
        <w:t xml:space="preserve"> (November 2013), para 59. At </w:t>
      </w:r>
      <w:hyperlink r:id="rId46" w:history="1">
        <w:r w:rsidRPr="00FA638D">
          <w:rPr>
            <w:rStyle w:val="Hyperlink"/>
          </w:rPr>
          <w:t>http://www.refworld.org/pdfid/533a754b4.pdf</w:t>
        </w:r>
      </w:hyperlink>
      <w:r w:rsidRPr="00FA638D">
        <w:t xml:space="preserve"> (viewed </w:t>
      </w:r>
      <w:r w:rsidR="007568E5">
        <w:t xml:space="preserve">21 July </w:t>
      </w:r>
      <w:r>
        <w:t>2017</w:t>
      </w:r>
      <w:r w:rsidRPr="00FA638D">
        <w:t>).</w:t>
      </w:r>
    </w:p>
  </w:endnote>
  <w:endnote w:id="98">
    <w:p w14:paraId="07AF4E13" w14:textId="77777777" w:rsidR="0096267B" w:rsidRDefault="0096267B" w:rsidP="004C0F46">
      <w:pPr>
        <w:pStyle w:val="EndnoteText"/>
        <w:ind w:left="284" w:hanging="284"/>
      </w:pPr>
      <w:r>
        <w:rPr>
          <w:rStyle w:val="EndnoteReference"/>
        </w:rPr>
        <w:endnoteRef/>
      </w:r>
      <w:r>
        <w:t xml:space="preserve"> </w:t>
      </w:r>
      <w:r>
        <w:tab/>
      </w:r>
      <w:r w:rsidRPr="00FA638D">
        <w:t>Australian Citizenship Act, s 16</w:t>
      </w:r>
      <w:r>
        <w:t>.</w:t>
      </w:r>
    </w:p>
  </w:endnote>
  <w:endnote w:id="99">
    <w:p w14:paraId="6B52D82F" w14:textId="77777777" w:rsidR="0096267B" w:rsidRPr="00FA638D" w:rsidRDefault="0096267B" w:rsidP="004C0F46">
      <w:pPr>
        <w:pStyle w:val="EndnoteText"/>
        <w:ind w:left="284" w:hanging="284"/>
      </w:pPr>
      <w:r w:rsidRPr="00FA638D">
        <w:rPr>
          <w:rStyle w:val="EndnoteReference"/>
        </w:rPr>
        <w:endnoteRef/>
      </w:r>
      <w:r w:rsidRPr="00FA638D">
        <w:t xml:space="preserve"> </w:t>
      </w:r>
      <w:r w:rsidRPr="00FA638D">
        <w:tab/>
        <w:t>Australian Citizenship Act, s 16(2)(c) and (3)(c).</w:t>
      </w:r>
    </w:p>
  </w:endnote>
  <w:endnote w:id="100">
    <w:p w14:paraId="643C867F" w14:textId="77777777" w:rsidR="0096267B" w:rsidRPr="00562000" w:rsidRDefault="0096267B" w:rsidP="004C0F46">
      <w:pPr>
        <w:pStyle w:val="EndnoteText"/>
        <w:ind w:left="284" w:hanging="284"/>
      </w:pPr>
      <w:r w:rsidRPr="00562000">
        <w:rPr>
          <w:rStyle w:val="EndnoteReference"/>
        </w:rPr>
        <w:endnoteRef/>
      </w:r>
      <w:r w:rsidRPr="00562000">
        <w:t xml:space="preserve"> </w:t>
      </w:r>
      <w:r w:rsidRPr="00562000">
        <w:tab/>
        <w:t>Proposed s 33A, Bill, item 111, p 37.</w:t>
      </w:r>
    </w:p>
  </w:endnote>
  <w:endnote w:id="101">
    <w:p w14:paraId="0100A70F" w14:textId="77777777" w:rsidR="0096267B" w:rsidRDefault="0096267B" w:rsidP="004C0F46">
      <w:pPr>
        <w:pStyle w:val="EndnoteText"/>
        <w:ind w:left="284" w:hanging="284"/>
      </w:pPr>
      <w:r w:rsidRPr="00562000">
        <w:rPr>
          <w:rStyle w:val="EndnoteReference"/>
        </w:rPr>
        <w:endnoteRef/>
      </w:r>
      <w:r w:rsidRPr="00562000">
        <w:t xml:space="preserve"> </w:t>
      </w:r>
      <w:r w:rsidRPr="00562000">
        <w:tab/>
        <w:t>EM at [285].</w:t>
      </w:r>
    </w:p>
  </w:endnote>
  <w:endnote w:id="102">
    <w:p w14:paraId="66C5EE63" w14:textId="61508CBF" w:rsidR="0096267B" w:rsidRDefault="0096267B" w:rsidP="00C50E8C">
      <w:pPr>
        <w:pStyle w:val="EndnoteText"/>
        <w:ind w:left="284" w:hanging="284"/>
      </w:pPr>
      <w:r>
        <w:rPr>
          <w:rStyle w:val="EndnoteReference"/>
        </w:rPr>
        <w:endnoteRef/>
      </w:r>
      <w:r>
        <w:t xml:space="preserve"> </w:t>
      </w:r>
      <w:r>
        <w:tab/>
        <w:t xml:space="preserve">See Australian Law Reform Commission, </w:t>
      </w:r>
      <w:r w:rsidRPr="009A4D5B">
        <w:rPr>
          <w:i/>
        </w:rPr>
        <w:t>Traditional Rights and Freedoms: Encroachment by Commonwealth Laws</w:t>
      </w:r>
      <w:r>
        <w:t xml:space="preserve">, ALRC Report 129, Ch 13.  At </w:t>
      </w:r>
      <w:hyperlink r:id="rId47" w:history="1">
        <w:r w:rsidRPr="00EC5657">
          <w:rPr>
            <w:rStyle w:val="Hyperlink"/>
          </w:rPr>
          <w:t>http://www.alrc.gov.au/publications/freedoms-alrc129</w:t>
        </w:r>
      </w:hyperlink>
      <w:r w:rsidR="007568E5">
        <w:t xml:space="preserve"> (viewed 21</w:t>
      </w:r>
      <w:r>
        <w:t xml:space="preserve"> July 2017).</w:t>
      </w:r>
    </w:p>
  </w:endnote>
  <w:endnote w:id="103">
    <w:p w14:paraId="111593AA" w14:textId="77777777" w:rsidR="0096267B" w:rsidRPr="001226D6" w:rsidRDefault="0096267B" w:rsidP="004C0F46">
      <w:pPr>
        <w:pStyle w:val="EndnoteText"/>
        <w:ind w:left="284" w:hanging="284"/>
      </w:pPr>
      <w:r w:rsidRPr="001226D6">
        <w:rPr>
          <w:rStyle w:val="EndnoteReference"/>
        </w:rPr>
        <w:endnoteRef/>
      </w:r>
      <w:r w:rsidRPr="001226D6">
        <w:t xml:space="preserve"> </w:t>
      </w:r>
      <w:r w:rsidRPr="001226D6">
        <w:tab/>
        <w:t>Australian Citizenship Act, s 12(1)(b).</w:t>
      </w:r>
    </w:p>
  </w:endnote>
  <w:endnote w:id="104">
    <w:p w14:paraId="03CE907E" w14:textId="77777777" w:rsidR="0096267B" w:rsidRPr="001226D6" w:rsidRDefault="0096267B" w:rsidP="004C0F46">
      <w:pPr>
        <w:pStyle w:val="EndnoteText"/>
        <w:ind w:left="284" w:hanging="284"/>
      </w:pPr>
      <w:r w:rsidRPr="001226D6">
        <w:rPr>
          <w:rStyle w:val="EndnoteReference"/>
        </w:rPr>
        <w:endnoteRef/>
      </w:r>
      <w:r w:rsidRPr="001226D6">
        <w:t xml:space="preserve"> </w:t>
      </w:r>
      <w:r w:rsidRPr="001226D6">
        <w:tab/>
        <w:t xml:space="preserve">Australian Citizenship Council, </w:t>
      </w:r>
      <w:r w:rsidRPr="001226D6">
        <w:rPr>
          <w:i/>
        </w:rPr>
        <w:t>Australian Citizenship for a New Century</w:t>
      </w:r>
      <w:r w:rsidRPr="001226D6">
        <w:t xml:space="preserve"> (February 2000), p 41.</w:t>
      </w:r>
    </w:p>
  </w:endnote>
  <w:endnote w:id="105">
    <w:p w14:paraId="2689E570" w14:textId="77777777" w:rsidR="0096267B" w:rsidRPr="001226D6" w:rsidRDefault="0096267B" w:rsidP="004C0F46">
      <w:pPr>
        <w:pStyle w:val="EndnoteText"/>
        <w:ind w:left="284" w:hanging="284"/>
      </w:pPr>
      <w:r w:rsidRPr="001226D6">
        <w:rPr>
          <w:rStyle w:val="EndnoteReference"/>
        </w:rPr>
        <w:endnoteRef/>
      </w:r>
      <w:r w:rsidRPr="001226D6">
        <w:t xml:space="preserve"> </w:t>
      </w:r>
      <w:r w:rsidRPr="001226D6">
        <w:tab/>
        <w:t>Proposed s 12(3)-(7), Bill, item 20, pp 6-7.</w:t>
      </w:r>
    </w:p>
  </w:endnote>
  <w:endnote w:id="106">
    <w:p w14:paraId="1333C99A" w14:textId="77777777" w:rsidR="0096267B" w:rsidRDefault="0096267B" w:rsidP="004C0F46">
      <w:pPr>
        <w:pStyle w:val="EndnoteText"/>
        <w:ind w:left="284" w:hanging="284"/>
      </w:pPr>
      <w:r>
        <w:rPr>
          <w:rStyle w:val="EndnoteReference"/>
        </w:rPr>
        <w:endnoteRef/>
      </w:r>
      <w:r>
        <w:t xml:space="preserve"> </w:t>
      </w:r>
      <w:r>
        <w:tab/>
        <w:t xml:space="preserve">Application and transitional provisions, Bill, item 135(2) and (3). </w:t>
      </w:r>
    </w:p>
  </w:endnote>
  <w:endnote w:id="107">
    <w:p w14:paraId="44C9D4DA" w14:textId="7ECAC386" w:rsidR="0096267B" w:rsidRDefault="0096267B" w:rsidP="004C0F46">
      <w:pPr>
        <w:pStyle w:val="EndnoteText"/>
        <w:ind w:left="284" w:hanging="284"/>
      </w:pPr>
      <w:r>
        <w:rPr>
          <w:rStyle w:val="EndnoteReference"/>
        </w:rPr>
        <w:endnoteRef/>
      </w:r>
      <w:r>
        <w:t xml:space="preserve"> </w:t>
      </w:r>
      <w:r>
        <w:tab/>
        <w:t xml:space="preserve">Senate Standing Committee for the Scrutiny of Bills, </w:t>
      </w:r>
      <w:r w:rsidRPr="003974DD">
        <w:rPr>
          <w:i/>
        </w:rPr>
        <w:t>Scrutiny Digest 7 of 2017</w:t>
      </w:r>
      <w:r>
        <w:t xml:space="preserve">, 21 June 2017 at [1.66]-[1.73].  At </w:t>
      </w:r>
      <w:hyperlink r:id="rId48" w:history="1">
        <w:r w:rsidRPr="00E703A5">
          <w:rPr>
            <w:rStyle w:val="Hyperlink"/>
          </w:rPr>
          <w:t>http://www.aph.gov.au/~/media/Committees/Senate/committee/scrutiny/scrutiny_digest/PDF/d07.pdf?la=en</w:t>
        </w:r>
      </w:hyperlink>
      <w:r>
        <w:t xml:space="preserve"> (viewed </w:t>
      </w:r>
      <w:r w:rsidR="007568E5">
        <w:t xml:space="preserve">21 July </w:t>
      </w:r>
      <w:r>
        <w:t>2017).</w:t>
      </w:r>
    </w:p>
  </w:endnote>
  <w:endnote w:id="108">
    <w:p w14:paraId="5736AC40" w14:textId="62DFF4FA" w:rsidR="0096267B" w:rsidRDefault="0096267B" w:rsidP="00C50E8C">
      <w:pPr>
        <w:pStyle w:val="EndnoteText"/>
        <w:ind w:left="284" w:hanging="284"/>
      </w:pPr>
      <w:r>
        <w:rPr>
          <w:rStyle w:val="EndnoteReference"/>
        </w:rPr>
        <w:endnoteRef/>
      </w:r>
      <w:r>
        <w:t xml:space="preserve"> </w:t>
      </w:r>
      <w:r>
        <w:tab/>
        <w:t xml:space="preserve">See Australian Law Reform Commission, </w:t>
      </w:r>
      <w:r w:rsidRPr="009A4D5B">
        <w:rPr>
          <w:i/>
        </w:rPr>
        <w:t>Traditional Rights and Freedoms: Encroachment by Commonwealth Laws</w:t>
      </w:r>
      <w:r>
        <w:t xml:space="preserve">, ALRC Report 129, at [13.54].  At </w:t>
      </w:r>
      <w:hyperlink r:id="rId49" w:history="1">
        <w:r w:rsidRPr="00EC5657">
          <w:rPr>
            <w:rStyle w:val="Hyperlink"/>
          </w:rPr>
          <w:t>http://www.alrc.gov.au/publications/freedoms-alrc129</w:t>
        </w:r>
      </w:hyperlink>
      <w:r w:rsidR="007568E5">
        <w:t xml:space="preserve"> (viewed 21</w:t>
      </w:r>
      <w:r>
        <w:t xml:space="preserve"> July 2017).</w:t>
      </w:r>
    </w:p>
  </w:endnote>
  <w:endnote w:id="109">
    <w:p w14:paraId="0DF77E5C" w14:textId="77777777" w:rsidR="0096267B" w:rsidRDefault="0096267B" w:rsidP="004C0F46">
      <w:pPr>
        <w:pStyle w:val="EndnoteText"/>
        <w:ind w:left="284" w:hanging="284"/>
      </w:pPr>
      <w:r>
        <w:rPr>
          <w:rStyle w:val="EndnoteReference"/>
        </w:rPr>
        <w:endnoteRef/>
      </w:r>
      <w:r>
        <w:t xml:space="preserve"> </w:t>
      </w:r>
      <w:r>
        <w:tab/>
      </w:r>
      <w:r w:rsidRPr="00AA4FD7">
        <w:rPr>
          <w:i/>
        </w:rPr>
        <w:t>Migration Act 1958</w:t>
      </w:r>
      <w:r>
        <w:t xml:space="preserve"> (Cth), s 78.</w:t>
      </w:r>
    </w:p>
  </w:endnote>
  <w:endnote w:id="110">
    <w:p w14:paraId="6AB75268" w14:textId="77777777" w:rsidR="0096267B" w:rsidRDefault="0096267B" w:rsidP="004C0F46">
      <w:pPr>
        <w:pStyle w:val="EndnoteText"/>
        <w:ind w:left="284" w:hanging="284"/>
      </w:pPr>
      <w:r>
        <w:rPr>
          <w:rStyle w:val="EndnoteReference"/>
        </w:rPr>
        <w:endnoteRef/>
      </w:r>
      <w:r>
        <w:t xml:space="preserve"> </w:t>
      </w:r>
      <w:r>
        <w:tab/>
      </w:r>
      <w:r w:rsidRPr="00AA4FD7">
        <w:rPr>
          <w:i/>
        </w:rPr>
        <w:t>Migration Act 1958</w:t>
      </w:r>
      <w:r>
        <w:t xml:space="preserve"> (Cth), s 5.</w:t>
      </w:r>
    </w:p>
  </w:endnote>
  <w:endnote w:id="111">
    <w:p w14:paraId="15E14875" w14:textId="77777777" w:rsidR="0096267B" w:rsidRDefault="0096267B" w:rsidP="004C0F46">
      <w:pPr>
        <w:pStyle w:val="EndnoteText"/>
        <w:ind w:left="284" w:hanging="284"/>
      </w:pPr>
      <w:r>
        <w:rPr>
          <w:rStyle w:val="EndnoteReference"/>
        </w:rPr>
        <w:endnoteRef/>
      </w:r>
      <w:r>
        <w:t xml:space="preserve"> </w:t>
      </w:r>
      <w:r>
        <w:tab/>
      </w:r>
      <w:r w:rsidRPr="00AA4FD7">
        <w:rPr>
          <w:i/>
        </w:rPr>
        <w:t>Migration Act 1958</w:t>
      </w:r>
      <w:r>
        <w:t xml:space="preserve"> (Cth), s 13.</w:t>
      </w:r>
    </w:p>
  </w:endnote>
  <w:endnote w:id="112">
    <w:p w14:paraId="7EA580D3" w14:textId="77777777" w:rsidR="0096267B" w:rsidRPr="009D09F2" w:rsidRDefault="0096267B" w:rsidP="004C0F46">
      <w:pPr>
        <w:pStyle w:val="EndnoteText"/>
        <w:ind w:left="284" w:hanging="284"/>
      </w:pPr>
      <w:r w:rsidRPr="009D09F2">
        <w:rPr>
          <w:rStyle w:val="EndnoteReference"/>
        </w:rPr>
        <w:endnoteRef/>
      </w:r>
      <w:r w:rsidRPr="009D09F2">
        <w:t xml:space="preserve"> </w:t>
      </w:r>
      <w:r w:rsidRPr="009D09F2">
        <w:tab/>
        <w:t xml:space="preserve">Australian Citizenship Council, </w:t>
      </w:r>
      <w:r w:rsidRPr="009D09F2">
        <w:rPr>
          <w:i/>
        </w:rPr>
        <w:t>Australian Citizenship for a New Century</w:t>
      </w:r>
      <w:r w:rsidRPr="009D09F2">
        <w:t xml:space="preserve"> (February 2000), p 38.</w:t>
      </w:r>
    </w:p>
  </w:endnote>
  <w:endnote w:id="113">
    <w:p w14:paraId="2E4C1411" w14:textId="77777777" w:rsidR="0096267B" w:rsidRPr="009D09F2" w:rsidRDefault="0096267B" w:rsidP="004C0F46">
      <w:pPr>
        <w:pStyle w:val="EndnoteText"/>
        <w:ind w:left="284" w:hanging="284"/>
      </w:pPr>
      <w:r w:rsidRPr="009D09F2">
        <w:rPr>
          <w:rStyle w:val="EndnoteReference"/>
        </w:rPr>
        <w:endnoteRef/>
      </w:r>
      <w:r w:rsidRPr="009D09F2">
        <w:t xml:space="preserve"> </w:t>
      </w:r>
      <w:r w:rsidRPr="009D09F2">
        <w:tab/>
        <w:t xml:space="preserve">Australian Citizenship Council, </w:t>
      </w:r>
      <w:r w:rsidRPr="009D09F2">
        <w:rPr>
          <w:i/>
        </w:rPr>
        <w:t>Australian Citizenship for a New Century</w:t>
      </w:r>
      <w:r w:rsidRPr="009D09F2">
        <w:t xml:space="preserve"> (February 2000), p 39.</w:t>
      </w:r>
    </w:p>
  </w:endnote>
  <w:endnote w:id="114">
    <w:p w14:paraId="72E94A08" w14:textId="284AF010" w:rsidR="007568E5" w:rsidRPr="00691B53" w:rsidRDefault="007568E5" w:rsidP="007568E5">
      <w:pPr>
        <w:pStyle w:val="EndnoteText"/>
        <w:ind w:left="284" w:hanging="284"/>
      </w:pPr>
      <w:r w:rsidRPr="00691B53">
        <w:rPr>
          <w:rStyle w:val="EndnoteReference"/>
        </w:rPr>
        <w:endnoteRef/>
      </w:r>
      <w:r w:rsidRPr="00691B53">
        <w:t xml:space="preserve"> </w:t>
      </w:r>
      <w:r w:rsidRPr="00691B53">
        <w:tab/>
        <w:t xml:space="preserve">Human Rights Committee, </w:t>
      </w:r>
      <w:r w:rsidRPr="00691B53">
        <w:rPr>
          <w:i/>
        </w:rPr>
        <w:t>General Comment 17, Article 24 (Rights of the child)</w:t>
      </w:r>
      <w:r w:rsidRPr="00691B53">
        <w:t>,</w:t>
      </w:r>
      <w:r>
        <w:t xml:space="preserve"> UN Doc HRI/GEN/1/Rev.8, para 8</w:t>
      </w:r>
      <w:r w:rsidRPr="00691B53">
        <w:t xml:space="preserve">. At </w:t>
      </w:r>
      <w:hyperlink r:id="rId50" w:history="1">
        <w:r w:rsidRPr="00691B53">
          <w:rPr>
            <w:rStyle w:val="Hyperlink"/>
          </w:rPr>
          <w:t>http://tbinternet.ohchr.org/_layouts/treatybodyexternal/Download.aspx?symbolno=INT%2fCCPR%2fGEC%2f6623&amp;Lang=en</w:t>
        </w:r>
      </w:hyperlink>
      <w:r w:rsidRPr="00691B53">
        <w:t xml:space="preserve"> (viewed </w:t>
      </w:r>
      <w:r>
        <w:t>21 July 2017</w:t>
      </w:r>
      <w:r w:rsidRPr="00691B53">
        <w:t>).</w:t>
      </w:r>
    </w:p>
  </w:endnote>
  <w:endnote w:id="115">
    <w:p w14:paraId="272CC571" w14:textId="77777777" w:rsidR="0096267B" w:rsidRPr="00691B53" w:rsidRDefault="0096267B" w:rsidP="004C0F46">
      <w:pPr>
        <w:pStyle w:val="EndnoteText"/>
        <w:ind w:left="284" w:hanging="284"/>
      </w:pPr>
      <w:r w:rsidRPr="00691B53">
        <w:rPr>
          <w:rStyle w:val="EndnoteReference"/>
        </w:rPr>
        <w:endnoteRef/>
      </w:r>
      <w:r w:rsidRPr="00691B53">
        <w:t xml:space="preserve"> </w:t>
      </w:r>
      <w:r w:rsidRPr="00691B53">
        <w:tab/>
        <w:t>CRC article 7(2).</w:t>
      </w:r>
    </w:p>
  </w:endnote>
  <w:endnote w:id="116">
    <w:p w14:paraId="7B9F3A91" w14:textId="77777777" w:rsidR="0096267B" w:rsidRPr="00691B53" w:rsidRDefault="0096267B" w:rsidP="004C0F46">
      <w:pPr>
        <w:pStyle w:val="EndnoteText"/>
        <w:ind w:left="284" w:hanging="284"/>
      </w:pPr>
      <w:r w:rsidRPr="00691B53">
        <w:rPr>
          <w:rStyle w:val="EndnoteReference"/>
        </w:rPr>
        <w:endnoteRef/>
      </w:r>
      <w:r w:rsidRPr="00691B53">
        <w:t xml:space="preserve"> </w:t>
      </w:r>
      <w:r w:rsidRPr="00691B53">
        <w:tab/>
        <w:t>CRC article 2.</w:t>
      </w:r>
    </w:p>
  </w:endnote>
  <w:endnote w:id="117">
    <w:p w14:paraId="2696C78F" w14:textId="15D91C72" w:rsidR="0096267B" w:rsidRDefault="0096267B" w:rsidP="004C0F46">
      <w:pPr>
        <w:pStyle w:val="EndnoteText"/>
        <w:ind w:left="284" w:hanging="284"/>
      </w:pPr>
      <w:r>
        <w:rPr>
          <w:rStyle w:val="EndnoteReference"/>
        </w:rPr>
        <w:endnoteRef/>
      </w:r>
      <w:r>
        <w:t xml:space="preserve"> </w:t>
      </w:r>
      <w:r>
        <w:tab/>
      </w:r>
      <w:r w:rsidRPr="00691B53">
        <w:t xml:space="preserve">Human Rights Committee, </w:t>
      </w:r>
      <w:r w:rsidRPr="00691B53">
        <w:rPr>
          <w:i/>
        </w:rPr>
        <w:t>General Comment 17, Article 24 (Rights of the child)</w:t>
      </w:r>
      <w:r w:rsidRPr="00691B53">
        <w:t>, UN Do</w:t>
      </w:r>
      <w:r w:rsidR="007568E5">
        <w:t>c HRI/GEN/1/Rev.8, para 8</w:t>
      </w:r>
      <w:r w:rsidRPr="00691B53">
        <w:t xml:space="preserve">. At </w:t>
      </w:r>
      <w:hyperlink r:id="rId51" w:history="1">
        <w:r w:rsidRPr="00691B53">
          <w:rPr>
            <w:rStyle w:val="Hyperlink"/>
          </w:rPr>
          <w:t>http://tbinternet.ohchr.org/_layouts/treatybodyexternal/Download.aspx?symbolno=INT%2fCCPR%2fGEC%2f6623&amp;Lang=en</w:t>
        </w:r>
      </w:hyperlink>
      <w:r w:rsidRPr="00691B53">
        <w:t xml:space="preserve"> (viewed </w:t>
      </w:r>
      <w:r w:rsidR="007568E5">
        <w:t xml:space="preserve">21 July </w:t>
      </w:r>
      <w:r>
        <w:t>2017</w:t>
      </w:r>
      <w:r w:rsidRPr="00691B53">
        <w:t>).</w:t>
      </w:r>
    </w:p>
  </w:endnote>
  <w:endnote w:id="118">
    <w:p w14:paraId="01728E99" w14:textId="77777777" w:rsidR="0096267B" w:rsidRPr="00C105F6" w:rsidRDefault="0096267B" w:rsidP="004C0F46">
      <w:pPr>
        <w:pStyle w:val="EndnoteText"/>
        <w:ind w:left="284" w:hanging="284"/>
      </w:pPr>
      <w:r w:rsidRPr="00C105F6">
        <w:rPr>
          <w:rStyle w:val="EndnoteReference"/>
        </w:rPr>
        <w:endnoteRef/>
      </w:r>
      <w:r w:rsidRPr="00C105F6">
        <w:t xml:space="preserve"> </w:t>
      </w:r>
      <w:r w:rsidRPr="00C105F6">
        <w:tab/>
      </w:r>
      <w:r>
        <w:t>EM</w:t>
      </w:r>
      <w:r w:rsidRPr="00C105F6">
        <w:t>, Statement of Compatibility with Human Rights, pp 84-85.</w:t>
      </w:r>
    </w:p>
  </w:endnote>
  <w:endnote w:id="119">
    <w:p w14:paraId="22D5284D" w14:textId="28DA568C" w:rsidR="0096267B" w:rsidRDefault="0096267B" w:rsidP="002E436B">
      <w:pPr>
        <w:pStyle w:val="EndnoteText"/>
        <w:ind w:left="284" w:hanging="284"/>
      </w:pPr>
      <w:r>
        <w:rPr>
          <w:rStyle w:val="EndnoteReference"/>
        </w:rPr>
        <w:endnoteRef/>
      </w:r>
      <w:r>
        <w:t xml:space="preserve"> </w:t>
      </w:r>
      <w:r>
        <w:tab/>
      </w:r>
      <w:r w:rsidRPr="00DF31AC">
        <w:t>Hugh Massey</w:t>
      </w:r>
      <w:r>
        <w:t xml:space="preserve">, </w:t>
      </w:r>
      <w:r w:rsidRPr="00DF31AC">
        <w:rPr>
          <w:i/>
        </w:rPr>
        <w:t>UNHCR and De Facto Statelessness</w:t>
      </w:r>
      <w:r>
        <w:t xml:space="preserve"> (April 2010) United Nations High Commissioner for Refugees, p 62. At </w:t>
      </w:r>
      <w:hyperlink r:id="rId52" w:history="1">
        <w:r w:rsidRPr="00CA66AF">
          <w:rPr>
            <w:rStyle w:val="Hyperlink"/>
          </w:rPr>
          <w:t>www.unhcr.org/4bc2ddeb9.pdf</w:t>
        </w:r>
      </w:hyperlink>
      <w:r w:rsidR="007568E5">
        <w:t xml:space="preserve"> (viewed 21</w:t>
      </w:r>
      <w:r>
        <w:t xml:space="preserve"> July 2017). </w:t>
      </w:r>
    </w:p>
  </w:endnote>
  <w:endnote w:id="120">
    <w:p w14:paraId="6677C599" w14:textId="77777777" w:rsidR="0096267B" w:rsidRPr="0087764D" w:rsidRDefault="0096267B" w:rsidP="002E436B">
      <w:pPr>
        <w:pStyle w:val="EndnoteText"/>
        <w:ind w:left="284" w:hanging="284"/>
      </w:pPr>
      <w:r>
        <w:rPr>
          <w:rStyle w:val="EndnoteReference"/>
        </w:rPr>
        <w:endnoteRef/>
      </w:r>
      <w:r>
        <w:t xml:space="preserve"> </w:t>
      </w:r>
      <w:r>
        <w:tab/>
        <w:t xml:space="preserve">The Conference which established the </w:t>
      </w:r>
      <w:r>
        <w:rPr>
          <w:i/>
        </w:rPr>
        <w:t xml:space="preserve">Convention on the Reduction of Statelessness </w:t>
      </w:r>
      <w:r>
        <w:t xml:space="preserve">recommended that ‘persons who are stateless </w:t>
      </w:r>
      <w:r w:rsidRPr="00585313">
        <w:rPr>
          <w:i/>
        </w:rPr>
        <w:t>de facto</w:t>
      </w:r>
      <w:r>
        <w:t xml:space="preserve"> should as far as possible be treated as stateless </w:t>
      </w:r>
      <w:r w:rsidRPr="00585313">
        <w:rPr>
          <w:i/>
        </w:rPr>
        <w:t>de jure</w:t>
      </w:r>
      <w:r>
        <w:t xml:space="preserve"> to enable them to acquire an effective nationality’. </w:t>
      </w:r>
      <w:r w:rsidRPr="00707350">
        <w:rPr>
          <w:i/>
        </w:rPr>
        <w:t>Final Act of the United Nations Conference on the Elimination or Reduction of Future Statelessness</w:t>
      </w:r>
      <w:r>
        <w:t xml:space="preserve">, 989 UNTS 175 (30 August 1961) Resolution I. </w:t>
      </w:r>
    </w:p>
  </w:endnote>
  <w:endnote w:id="121">
    <w:p w14:paraId="1BE469B2" w14:textId="77777777" w:rsidR="0096267B" w:rsidRPr="002D73AA" w:rsidRDefault="0096267B" w:rsidP="004C0F46">
      <w:pPr>
        <w:pStyle w:val="EndnoteText"/>
        <w:ind w:left="284" w:hanging="284"/>
      </w:pPr>
      <w:r w:rsidRPr="002D73AA">
        <w:rPr>
          <w:rStyle w:val="EndnoteReference"/>
        </w:rPr>
        <w:endnoteRef/>
      </w:r>
      <w:r w:rsidRPr="002D73AA">
        <w:t xml:space="preserve"> </w:t>
      </w:r>
      <w:r w:rsidRPr="002D73AA">
        <w:tab/>
        <w:t>Proposed s 12(4), Bill, item 20, p 7.</w:t>
      </w:r>
    </w:p>
  </w:endnote>
  <w:endnote w:id="122">
    <w:p w14:paraId="24B78B10" w14:textId="77777777" w:rsidR="0096267B" w:rsidRPr="002D73AA" w:rsidRDefault="0096267B" w:rsidP="004C0F46">
      <w:pPr>
        <w:pStyle w:val="EndnoteText"/>
        <w:ind w:left="284" w:hanging="284"/>
      </w:pPr>
      <w:r w:rsidRPr="002D73AA">
        <w:rPr>
          <w:rStyle w:val="EndnoteReference"/>
        </w:rPr>
        <w:endnoteRef/>
      </w:r>
      <w:r w:rsidRPr="002D73AA">
        <w:t xml:space="preserve"> </w:t>
      </w:r>
      <w:r w:rsidRPr="002D73AA">
        <w:tab/>
        <w:t>Application and transitional provisions, Bill, item 135(2) and (3).</w:t>
      </w:r>
    </w:p>
  </w:endnote>
  <w:endnote w:id="123">
    <w:p w14:paraId="305E9D89" w14:textId="77777777" w:rsidR="0096267B" w:rsidRPr="002D73AA" w:rsidRDefault="0096267B" w:rsidP="004C0F46">
      <w:pPr>
        <w:pStyle w:val="EndnoteText"/>
        <w:ind w:left="284" w:hanging="284"/>
      </w:pPr>
      <w:r w:rsidRPr="002D73AA">
        <w:rPr>
          <w:rStyle w:val="EndnoteReference"/>
        </w:rPr>
        <w:endnoteRef/>
      </w:r>
      <w:r w:rsidRPr="002D73AA">
        <w:t xml:space="preserve"> </w:t>
      </w:r>
      <w:r w:rsidRPr="002D73AA">
        <w:tab/>
        <w:t>EM, Statement of Compatibility with Human Rights, p 83.</w:t>
      </w:r>
    </w:p>
  </w:endnote>
  <w:endnote w:id="124">
    <w:p w14:paraId="38CE5781" w14:textId="77777777" w:rsidR="0096267B" w:rsidRPr="00CF7374" w:rsidRDefault="0096267B" w:rsidP="004C0F46">
      <w:pPr>
        <w:pStyle w:val="EndnoteText"/>
        <w:ind w:left="284" w:hanging="284"/>
      </w:pPr>
      <w:r w:rsidRPr="00CF7374">
        <w:rPr>
          <w:rStyle w:val="EndnoteReference"/>
        </w:rPr>
        <w:endnoteRef/>
      </w:r>
      <w:r w:rsidRPr="00CF7374">
        <w:t xml:space="preserve"> </w:t>
      </w:r>
      <w:r w:rsidRPr="00CF7374">
        <w:tab/>
        <w:t xml:space="preserve">Australian Citizenship Council, </w:t>
      </w:r>
      <w:r w:rsidRPr="00CF7374">
        <w:rPr>
          <w:i/>
        </w:rPr>
        <w:t>Australian Citizenship for a New Century</w:t>
      </w:r>
      <w:r w:rsidRPr="00CF7374">
        <w:t xml:space="preserve"> (February 2000), p 41.</w:t>
      </w:r>
    </w:p>
  </w:endnote>
  <w:endnote w:id="125">
    <w:p w14:paraId="5EFFB552" w14:textId="77777777" w:rsidR="0096267B" w:rsidRPr="00CF7374" w:rsidRDefault="0096267B" w:rsidP="004C0F46">
      <w:pPr>
        <w:pStyle w:val="EndnoteText"/>
        <w:ind w:left="284" w:hanging="284"/>
      </w:pPr>
      <w:r w:rsidRPr="00CF7374">
        <w:rPr>
          <w:rStyle w:val="EndnoteReference"/>
        </w:rPr>
        <w:endnoteRef/>
      </w:r>
      <w:r w:rsidRPr="00CF7374">
        <w:t xml:space="preserve"> </w:t>
      </w:r>
      <w:r w:rsidRPr="00CF7374">
        <w:tab/>
        <w:t xml:space="preserve">Australian Citizenship Council, </w:t>
      </w:r>
      <w:r w:rsidRPr="00CF7374">
        <w:rPr>
          <w:i/>
        </w:rPr>
        <w:t>Australian Citizenship for a New Century</w:t>
      </w:r>
      <w:r w:rsidRPr="00CF7374">
        <w:t xml:space="preserve"> (February 2000), p 41.</w:t>
      </w:r>
    </w:p>
  </w:endnote>
  <w:endnote w:id="126">
    <w:p w14:paraId="12DBF33E" w14:textId="77777777" w:rsidR="0096267B" w:rsidRDefault="0096267B" w:rsidP="004C0F46">
      <w:pPr>
        <w:pStyle w:val="EndnoteText"/>
        <w:ind w:left="284" w:hanging="284"/>
      </w:pPr>
      <w:r>
        <w:rPr>
          <w:rStyle w:val="EndnoteReference"/>
        </w:rPr>
        <w:endnoteRef/>
      </w:r>
      <w:r>
        <w:t xml:space="preserve"> </w:t>
      </w:r>
      <w:r>
        <w:tab/>
        <w:t>EM, Statement of Compatibility with Human Rights, p 75.</w:t>
      </w:r>
    </w:p>
  </w:endnote>
  <w:endnote w:id="127">
    <w:p w14:paraId="1B0F4CF2" w14:textId="77777777" w:rsidR="0096267B" w:rsidRDefault="0096267B" w:rsidP="004C0F46">
      <w:pPr>
        <w:pStyle w:val="EndnoteText"/>
        <w:ind w:left="284" w:hanging="284"/>
      </w:pPr>
      <w:r>
        <w:rPr>
          <w:rStyle w:val="EndnoteReference"/>
        </w:rPr>
        <w:endnoteRef/>
      </w:r>
      <w:r>
        <w:t xml:space="preserve"> </w:t>
      </w:r>
      <w:r>
        <w:tab/>
        <w:t>EM at [50].</w:t>
      </w:r>
    </w:p>
  </w:endnote>
  <w:endnote w:id="128">
    <w:p w14:paraId="350794F7" w14:textId="77777777" w:rsidR="0096267B" w:rsidRPr="00722D63" w:rsidRDefault="0096267B" w:rsidP="004C0F46">
      <w:pPr>
        <w:pStyle w:val="EndnoteText"/>
        <w:ind w:left="284" w:hanging="284"/>
      </w:pPr>
      <w:r w:rsidRPr="00722D63">
        <w:rPr>
          <w:rStyle w:val="EndnoteReference"/>
        </w:rPr>
        <w:endnoteRef/>
      </w:r>
      <w:r w:rsidRPr="00722D63">
        <w:t xml:space="preserve"> </w:t>
      </w:r>
      <w:r w:rsidRPr="00722D63">
        <w:tab/>
        <w:t xml:space="preserve">There is a large body of academic literature dealing with this issue. See for example, E Kendall ‘Amending the Constitution to Save a Sinking Ship? The Issues Surrounding the Proposed Amendment of the Citizenship Clause and “Anchor Babies”’ (2012) 22 </w:t>
      </w:r>
      <w:r w:rsidRPr="00722D63">
        <w:rPr>
          <w:i/>
        </w:rPr>
        <w:t>Berkeley La Raza Law Journal</w:t>
      </w:r>
      <w:r w:rsidRPr="00722D63">
        <w:t xml:space="preserve"> 349; M Ormonde ‘Debunking the Myth of the “Anchor Baby”: Why Proposed Legislation Limiting Birthright Citizenship is not a Means of Controlling Unauthorized Immigration’ (2012) 17 </w:t>
      </w:r>
      <w:r w:rsidRPr="00722D63">
        <w:rPr>
          <w:i/>
        </w:rPr>
        <w:t>Roger Williams University Law Review</w:t>
      </w:r>
      <w:r w:rsidRPr="00722D63">
        <w:t xml:space="preserve"> 861; D Gayeski ‘Give Me Your Tired, Your Poor, Your Legal: Why Efforts to Repeal Birthright Citizenship are Unconstitutional and Un-American’ (2011) 21(1) Temple Political and Civil Rights Law Review 215.</w:t>
      </w:r>
    </w:p>
  </w:endnote>
  <w:endnote w:id="129">
    <w:p w14:paraId="7EEA9248" w14:textId="77777777" w:rsidR="0096267B" w:rsidRPr="00722D63" w:rsidRDefault="0096267B" w:rsidP="004C0F46">
      <w:pPr>
        <w:pStyle w:val="EndnoteText"/>
        <w:ind w:left="284" w:hanging="284"/>
      </w:pPr>
      <w:r w:rsidRPr="00722D63">
        <w:rPr>
          <w:rStyle w:val="EndnoteReference"/>
        </w:rPr>
        <w:endnoteRef/>
      </w:r>
      <w:r w:rsidRPr="00722D63">
        <w:t xml:space="preserve"> </w:t>
      </w:r>
      <w:r w:rsidRPr="00722D63">
        <w:tab/>
      </w:r>
      <w:r w:rsidRPr="00722D63">
        <w:rPr>
          <w:i/>
        </w:rPr>
        <w:t>Dred Scott v Sandford</w:t>
      </w:r>
      <w:r w:rsidRPr="00722D63">
        <w:t xml:space="preserve"> 60 US 393 (1857). </w:t>
      </w:r>
    </w:p>
  </w:endnote>
  <w:endnote w:id="130">
    <w:p w14:paraId="07FACA19" w14:textId="77777777" w:rsidR="0096267B" w:rsidRPr="00252D26" w:rsidRDefault="0096267B" w:rsidP="004C0F46">
      <w:pPr>
        <w:pStyle w:val="EndnoteText"/>
        <w:ind w:left="284" w:hanging="284"/>
      </w:pPr>
      <w:r w:rsidRPr="00252D26">
        <w:rPr>
          <w:rStyle w:val="EndnoteReference"/>
        </w:rPr>
        <w:endnoteRef/>
      </w:r>
      <w:r w:rsidRPr="00252D26">
        <w:t xml:space="preserve"> </w:t>
      </w:r>
      <w:r w:rsidRPr="00252D26">
        <w:tab/>
        <w:t>EM at [50].</w:t>
      </w:r>
    </w:p>
  </w:endnote>
  <w:endnote w:id="131">
    <w:p w14:paraId="3B27D0F6" w14:textId="2D6301C2" w:rsidR="0096267B" w:rsidRPr="00252D26" w:rsidRDefault="0096267B" w:rsidP="004C0F46">
      <w:pPr>
        <w:pStyle w:val="EndnoteText"/>
        <w:ind w:left="284" w:hanging="284"/>
      </w:pPr>
      <w:r w:rsidRPr="00252D26">
        <w:rPr>
          <w:rStyle w:val="EndnoteReference"/>
        </w:rPr>
        <w:endnoteRef/>
      </w:r>
      <w:r w:rsidRPr="00252D26">
        <w:t xml:space="preserve"> </w:t>
      </w:r>
      <w:r w:rsidRPr="00252D26">
        <w:tab/>
      </w:r>
      <w:r w:rsidRPr="00252D26">
        <w:rPr>
          <w:i/>
        </w:rPr>
        <w:t>Pak family v Commonwealth of Australia</w:t>
      </w:r>
      <w:r w:rsidRPr="00252D26">
        <w:t xml:space="preserve"> [2012] AusHRC 54. At </w:t>
      </w:r>
      <w:hyperlink r:id="rId53" w:history="1">
        <w:r w:rsidRPr="00252D26">
          <w:rPr>
            <w:rStyle w:val="Hyperlink"/>
          </w:rPr>
          <w:t>http://www.humanrights.gov.au/publications/aushrc-54-pak-family-v-commonwealth-australia-department-immigration-citizenship</w:t>
        </w:r>
      </w:hyperlink>
      <w:r w:rsidRPr="00252D26">
        <w:t xml:space="preserve"> (viewed </w:t>
      </w:r>
      <w:r w:rsidR="007568E5">
        <w:t xml:space="preserve">21 July </w:t>
      </w:r>
      <w:r>
        <w:t>2017</w:t>
      </w:r>
      <w:r w:rsidRPr="00252D26">
        <w:t>).</w:t>
      </w:r>
    </w:p>
  </w:endnote>
  <w:endnote w:id="132">
    <w:p w14:paraId="018849D5" w14:textId="77777777" w:rsidR="0096267B" w:rsidRDefault="0096267B" w:rsidP="004C0F46">
      <w:pPr>
        <w:pStyle w:val="EndnoteText"/>
        <w:ind w:left="284" w:hanging="284"/>
      </w:pPr>
      <w:r>
        <w:rPr>
          <w:rStyle w:val="EndnoteReference"/>
        </w:rPr>
        <w:endnoteRef/>
      </w:r>
      <w:r>
        <w:t xml:space="preserve"> </w:t>
      </w:r>
      <w:r>
        <w:tab/>
        <w:t>Explanatory Memorandum, Australian Citizenship and Other Legislation Amendment Bill 2014, Statement of Compatibility with Human Rights, p 10.</w:t>
      </w:r>
    </w:p>
  </w:endnote>
  <w:endnote w:id="133">
    <w:p w14:paraId="64852966" w14:textId="58D1C4F0" w:rsidR="0096267B" w:rsidRPr="00252D26" w:rsidRDefault="0096267B" w:rsidP="004C0F46">
      <w:pPr>
        <w:pStyle w:val="EndnoteText"/>
        <w:ind w:left="284" w:hanging="284"/>
      </w:pPr>
      <w:r w:rsidRPr="00252D26">
        <w:rPr>
          <w:rStyle w:val="EndnoteReference"/>
        </w:rPr>
        <w:endnoteRef/>
      </w:r>
      <w:r w:rsidRPr="00252D26">
        <w:t xml:space="preserve"> </w:t>
      </w:r>
      <w:r w:rsidRPr="00252D26">
        <w:tab/>
      </w:r>
      <w:r w:rsidRPr="00252D26">
        <w:rPr>
          <w:i/>
        </w:rPr>
        <w:t>Pak family v Commonwealth of Australia</w:t>
      </w:r>
      <w:r w:rsidRPr="00252D26">
        <w:t xml:space="preserve"> [2012] AusHRC 54 at [38]. At </w:t>
      </w:r>
      <w:hyperlink r:id="rId54" w:history="1">
        <w:r w:rsidRPr="00252D26">
          <w:rPr>
            <w:rStyle w:val="Hyperlink"/>
          </w:rPr>
          <w:t>http://www.humanrights.gov.au/publications/aushrc-54-pak-family-v-commonwealth-australia-department-immigration-citizenship</w:t>
        </w:r>
      </w:hyperlink>
      <w:r w:rsidRPr="00252D26">
        <w:t xml:space="preserve"> (viewed </w:t>
      </w:r>
      <w:r w:rsidR="007568E5">
        <w:t xml:space="preserve">21 July </w:t>
      </w:r>
      <w:r>
        <w:t>2017</w:t>
      </w:r>
      <w:r w:rsidRPr="00252D26">
        <w:t>).</w:t>
      </w:r>
    </w:p>
  </w:endnote>
  <w:endnote w:id="134">
    <w:p w14:paraId="639210A9" w14:textId="77777777" w:rsidR="0096267B" w:rsidRPr="00854B6B" w:rsidRDefault="0096267B" w:rsidP="004C0F46">
      <w:pPr>
        <w:pStyle w:val="EndnoteText"/>
        <w:ind w:left="284" w:hanging="284"/>
      </w:pPr>
      <w:r w:rsidRPr="00854B6B">
        <w:rPr>
          <w:rStyle w:val="EndnoteReference"/>
        </w:rPr>
        <w:endnoteRef/>
      </w:r>
      <w:r w:rsidRPr="00854B6B">
        <w:t xml:space="preserve"> </w:t>
      </w:r>
      <w:r w:rsidRPr="00854B6B">
        <w:tab/>
        <w:t xml:space="preserve">Australian Citizenship Council, </w:t>
      </w:r>
      <w:r w:rsidRPr="00854B6B">
        <w:rPr>
          <w:i/>
        </w:rPr>
        <w:t>Australian Citizenship for a New Century</w:t>
      </w:r>
      <w:r w:rsidRPr="00854B6B">
        <w:t xml:space="preserve"> (February 2000), p 41.</w:t>
      </w:r>
    </w:p>
  </w:endnote>
  <w:endnote w:id="135">
    <w:p w14:paraId="75960A31" w14:textId="77777777" w:rsidR="0096267B" w:rsidRDefault="0096267B" w:rsidP="004C0F46">
      <w:pPr>
        <w:pStyle w:val="EndnoteText"/>
        <w:ind w:left="284" w:hanging="284"/>
      </w:pPr>
      <w:r>
        <w:rPr>
          <w:rStyle w:val="EndnoteReference"/>
        </w:rPr>
        <w:endnoteRef/>
      </w:r>
      <w:r>
        <w:t xml:space="preserve"> </w:t>
      </w:r>
      <w:r>
        <w:tab/>
      </w:r>
      <w:r w:rsidRPr="001E1172">
        <w:rPr>
          <w:i/>
        </w:rPr>
        <w:t>Nicky v Minister for Immigration and Border Protection</w:t>
      </w:r>
      <w:r>
        <w:t xml:space="preserve"> [2015] FCA 714 at [43]-[45].</w:t>
      </w:r>
    </w:p>
  </w:endnote>
  <w:endnote w:id="136">
    <w:p w14:paraId="18120219" w14:textId="77777777" w:rsidR="0096267B" w:rsidRDefault="0096267B" w:rsidP="004C0F46">
      <w:pPr>
        <w:pStyle w:val="EndnoteText"/>
        <w:ind w:left="284" w:hanging="284"/>
      </w:pPr>
      <w:r>
        <w:rPr>
          <w:rStyle w:val="EndnoteReference"/>
        </w:rPr>
        <w:endnoteRef/>
      </w:r>
      <w:r>
        <w:t xml:space="preserve"> </w:t>
      </w:r>
      <w:r>
        <w:tab/>
        <w:t>Bill, item 22, p 8.</w:t>
      </w:r>
    </w:p>
  </w:endnote>
  <w:endnote w:id="137">
    <w:p w14:paraId="05E73C26" w14:textId="77777777" w:rsidR="0096267B" w:rsidRDefault="0096267B" w:rsidP="004C0F46">
      <w:pPr>
        <w:pStyle w:val="EndnoteText"/>
        <w:ind w:left="284" w:hanging="284"/>
      </w:pPr>
      <w:r>
        <w:rPr>
          <w:rStyle w:val="EndnoteReference"/>
        </w:rPr>
        <w:endnoteRef/>
      </w:r>
      <w:r>
        <w:t xml:space="preserve"> </w:t>
      </w:r>
      <w:r>
        <w:tab/>
        <w:t>Bill, item 20, pp 7-8.</w:t>
      </w:r>
    </w:p>
  </w:endnote>
  <w:endnote w:id="138">
    <w:p w14:paraId="12FB20B9" w14:textId="77777777" w:rsidR="0096267B" w:rsidRDefault="0096267B" w:rsidP="004C0F46">
      <w:pPr>
        <w:pStyle w:val="EndnoteText"/>
        <w:ind w:left="284" w:hanging="284"/>
      </w:pPr>
      <w:r>
        <w:rPr>
          <w:rStyle w:val="EndnoteReference"/>
        </w:rPr>
        <w:endnoteRef/>
      </w:r>
      <w:r>
        <w:t xml:space="preserve"> </w:t>
      </w:r>
      <w:r>
        <w:tab/>
        <w:t>EM at [54]-[55].</w:t>
      </w:r>
    </w:p>
  </w:endnote>
  <w:endnote w:id="139">
    <w:p w14:paraId="47232569" w14:textId="77777777" w:rsidR="0096267B" w:rsidRDefault="0096267B" w:rsidP="004C0F46">
      <w:pPr>
        <w:pStyle w:val="EndnoteText"/>
        <w:ind w:left="284" w:hanging="284"/>
      </w:pPr>
      <w:r>
        <w:rPr>
          <w:rStyle w:val="EndnoteReference"/>
        </w:rPr>
        <w:endnoteRef/>
      </w:r>
      <w:r>
        <w:t xml:space="preserve"> </w:t>
      </w:r>
      <w:r>
        <w:tab/>
        <w:t>EM at [57].</w:t>
      </w:r>
    </w:p>
  </w:endnote>
  <w:endnote w:id="140">
    <w:p w14:paraId="2A5EFC92" w14:textId="77777777" w:rsidR="0096267B" w:rsidRPr="00942A0D" w:rsidRDefault="0096267B" w:rsidP="00B0543C">
      <w:pPr>
        <w:pStyle w:val="EndnoteText"/>
        <w:ind w:left="284" w:hanging="284"/>
      </w:pPr>
      <w:r w:rsidRPr="00942A0D">
        <w:rPr>
          <w:rStyle w:val="EndnoteReference"/>
        </w:rPr>
        <w:endnoteRef/>
      </w:r>
      <w:r w:rsidRPr="00942A0D">
        <w:t xml:space="preserve"> </w:t>
      </w:r>
      <w:r w:rsidRPr="00942A0D">
        <w:tab/>
        <w:t xml:space="preserve">See, for example, ss 16(2)(c), </w:t>
      </w:r>
      <w:r w:rsidRPr="00A929DF">
        <w:t>16(3)(c)</w:t>
      </w:r>
      <w:r w:rsidRPr="00942A0D">
        <w:t xml:space="preserve">, 19C(2)(g), </w:t>
      </w:r>
      <w:r w:rsidRPr="00A929DF">
        <w:t>21(2)(h), 21(3)(f), 21(4)(f)</w:t>
      </w:r>
      <w:r w:rsidRPr="00942A0D">
        <w:t xml:space="preserve">, 21(6)(d), </w:t>
      </w:r>
      <w:r w:rsidRPr="004F1297">
        <w:t>21(7)(d)</w:t>
      </w:r>
      <w:r w:rsidRPr="00942A0D">
        <w:t>, 29(2)(b), 29(3)(b).</w:t>
      </w:r>
    </w:p>
  </w:endnote>
  <w:endnote w:id="141">
    <w:p w14:paraId="190C3533" w14:textId="77777777" w:rsidR="0096267B" w:rsidRPr="004F1297" w:rsidRDefault="0096267B" w:rsidP="00B0543C">
      <w:pPr>
        <w:pStyle w:val="EndnoteText"/>
        <w:ind w:left="284" w:hanging="284"/>
      </w:pPr>
      <w:r w:rsidRPr="004F1297">
        <w:rPr>
          <w:rStyle w:val="EndnoteReference"/>
        </w:rPr>
        <w:endnoteRef/>
      </w:r>
      <w:r w:rsidRPr="004F1297">
        <w:t xml:space="preserve"> </w:t>
      </w:r>
      <w:r w:rsidRPr="004F1297">
        <w:tab/>
        <w:t>EM, Statement of Compatibility with Human Rights, p 80</w:t>
      </w:r>
      <w:r>
        <w:t>; Bill, items 26, 34, 52, 100 and 102.</w:t>
      </w:r>
    </w:p>
  </w:endnote>
  <w:endnote w:id="142">
    <w:p w14:paraId="046195EF" w14:textId="77777777" w:rsidR="0096267B" w:rsidRDefault="0096267B" w:rsidP="00287BB5">
      <w:pPr>
        <w:pStyle w:val="EndnoteText"/>
        <w:ind w:left="284" w:hanging="284"/>
      </w:pPr>
      <w:r>
        <w:rPr>
          <w:rStyle w:val="EndnoteReference"/>
        </w:rPr>
        <w:endnoteRef/>
      </w:r>
      <w:r>
        <w:t xml:space="preserve"> EM, </w:t>
      </w:r>
      <w:r w:rsidRPr="004F1297">
        <w:t>Statement of Compatibility with Human Rights, p</w:t>
      </w:r>
      <w:r>
        <w:t>p</w:t>
      </w:r>
      <w:r w:rsidRPr="004F1297">
        <w:t xml:space="preserve"> </w:t>
      </w:r>
      <w:r>
        <w:t>80-</w:t>
      </w:r>
      <w:r w:rsidRPr="004F1297">
        <w:t>81.</w:t>
      </w:r>
    </w:p>
  </w:endnote>
  <w:endnote w:id="143">
    <w:p w14:paraId="2EC1B257" w14:textId="77777777" w:rsidR="0096267B" w:rsidRPr="00F3129F" w:rsidRDefault="0096267B" w:rsidP="00B0543C">
      <w:pPr>
        <w:pStyle w:val="EndnoteText"/>
        <w:ind w:left="284" w:hanging="284"/>
      </w:pPr>
      <w:r w:rsidRPr="00F3129F">
        <w:rPr>
          <w:rStyle w:val="EndnoteReference"/>
        </w:rPr>
        <w:endnoteRef/>
      </w:r>
      <w:r w:rsidRPr="00F3129F">
        <w:t xml:space="preserve"> </w:t>
      </w:r>
      <w:r w:rsidRPr="00F3129F">
        <w:tab/>
        <w:t>EM, Statement of Compatibility with Human Rights, p 73.</w:t>
      </w:r>
    </w:p>
  </w:endnote>
  <w:endnote w:id="144">
    <w:p w14:paraId="57E37624" w14:textId="77777777" w:rsidR="0096267B" w:rsidRDefault="0096267B" w:rsidP="00B0543C">
      <w:pPr>
        <w:pStyle w:val="EndnoteText"/>
        <w:ind w:left="284" w:hanging="284"/>
      </w:pPr>
      <w:r>
        <w:rPr>
          <w:rStyle w:val="EndnoteReference"/>
        </w:rPr>
        <w:endnoteRef/>
      </w:r>
      <w:r>
        <w:t xml:space="preserve"> </w:t>
      </w:r>
      <w:r>
        <w:tab/>
      </w:r>
      <w:r w:rsidRPr="00F3129F">
        <w:t>EM, Statement of Compatibility with Human Rights, p 73.</w:t>
      </w:r>
    </w:p>
  </w:endnote>
  <w:endnote w:id="145">
    <w:p w14:paraId="4C38284E" w14:textId="77777777" w:rsidR="0096267B" w:rsidRPr="004F1297" w:rsidRDefault="0096267B" w:rsidP="00B0543C">
      <w:pPr>
        <w:pStyle w:val="EndnoteText"/>
        <w:ind w:left="284" w:hanging="284"/>
      </w:pPr>
      <w:r w:rsidRPr="004F1297">
        <w:rPr>
          <w:rStyle w:val="EndnoteReference"/>
        </w:rPr>
        <w:endnoteRef/>
      </w:r>
      <w:r w:rsidRPr="004F1297">
        <w:t xml:space="preserve"> </w:t>
      </w:r>
      <w:r w:rsidRPr="004F1297">
        <w:tab/>
        <w:t>EM, Statement of Compatibility with Human Rights, p 81.</w:t>
      </w:r>
    </w:p>
  </w:endnote>
  <w:endnote w:id="146">
    <w:p w14:paraId="216F2163" w14:textId="0247B239" w:rsidR="0096267B" w:rsidRDefault="0096267B" w:rsidP="00DA4001">
      <w:pPr>
        <w:pStyle w:val="EndnoteText"/>
        <w:ind w:left="284" w:hanging="284"/>
      </w:pPr>
      <w:r>
        <w:rPr>
          <w:rStyle w:val="EndnoteReference"/>
        </w:rPr>
        <w:endnoteRef/>
      </w:r>
      <w:r>
        <w:t xml:space="preserve"> Committee on the Rights of the Child, </w:t>
      </w:r>
      <w:r>
        <w:rPr>
          <w:i/>
        </w:rPr>
        <w:t>General Comment No. 14 (2013) on the right of the child to have his or her best interests taken as a primary consideration (art 3, para 1)</w:t>
      </w:r>
      <w:r>
        <w:t xml:space="preserve">, UN Doc CRC/C/GC/14, paras 37, 40, p 10. At </w:t>
      </w:r>
      <w:hyperlink r:id="rId55" w:history="1">
        <w:r>
          <w:rPr>
            <w:rStyle w:val="Hyperlink"/>
          </w:rPr>
          <w:t>http://tbinternet.ohchr.org/_layouts/treatybodyexternal/Download.aspx?symbolno=CRC%2fC%2fGC%2f14&amp;Lang=en</w:t>
        </w:r>
      </w:hyperlink>
      <w:r w:rsidR="007568E5">
        <w:t xml:space="preserve"> (viewed 2</w:t>
      </w:r>
      <w:r>
        <w:t>1 July 2017).</w:t>
      </w:r>
    </w:p>
  </w:endnote>
  <w:endnote w:id="147">
    <w:p w14:paraId="3F609FC4" w14:textId="05A173CC" w:rsidR="0096267B" w:rsidRDefault="0096267B" w:rsidP="00DA4001">
      <w:pPr>
        <w:pStyle w:val="EndnoteText"/>
        <w:ind w:left="284" w:hanging="284"/>
      </w:pPr>
      <w:r>
        <w:rPr>
          <w:rStyle w:val="EndnoteReference"/>
        </w:rPr>
        <w:endnoteRef/>
      </w:r>
      <w:r>
        <w:t xml:space="preserve"> Committee on the Rights of the Child, </w:t>
      </w:r>
      <w:r w:rsidRPr="00986344">
        <w:rPr>
          <w:i/>
        </w:rPr>
        <w:t xml:space="preserve">General Comment </w:t>
      </w:r>
      <w:r>
        <w:rPr>
          <w:i/>
        </w:rPr>
        <w:t xml:space="preserve">No. </w:t>
      </w:r>
      <w:r w:rsidRPr="00986344">
        <w:rPr>
          <w:i/>
        </w:rPr>
        <w:t>10</w:t>
      </w:r>
      <w:r>
        <w:rPr>
          <w:i/>
        </w:rPr>
        <w:t xml:space="preserve"> (2007):</w:t>
      </w:r>
      <w:r w:rsidRPr="00AF0B91">
        <w:rPr>
          <w:i/>
        </w:rPr>
        <w:t xml:space="preserve"> </w:t>
      </w:r>
      <w:r w:rsidRPr="00986344">
        <w:rPr>
          <w:i/>
        </w:rPr>
        <w:t>Children’s rights in juvenile justice</w:t>
      </w:r>
      <w:r>
        <w:t xml:space="preserve">, UN Doc CRC/C/GC/10, para 10, p 5. At </w:t>
      </w:r>
      <w:hyperlink r:id="rId56" w:history="1">
        <w:r w:rsidRPr="00C825B5">
          <w:rPr>
            <w:rStyle w:val="Hyperlink"/>
          </w:rPr>
          <w:t>http://www2.ohchr.org/english/bodies/crc/docs/CRC.C.GC.10.pdf</w:t>
        </w:r>
      </w:hyperlink>
      <w:r w:rsidR="007568E5" w:rsidRPr="007568E5">
        <w:t xml:space="preserve"> </w:t>
      </w:r>
      <w:r w:rsidR="007568E5">
        <w:t>(viewed 21 July 2017).</w:t>
      </w:r>
    </w:p>
  </w:endnote>
  <w:endnote w:id="148">
    <w:p w14:paraId="78DE0302" w14:textId="354147C1" w:rsidR="0096267B" w:rsidRDefault="0096267B" w:rsidP="00DA4001">
      <w:pPr>
        <w:pStyle w:val="EndnoteText"/>
        <w:ind w:left="284" w:hanging="284"/>
      </w:pPr>
      <w:r>
        <w:rPr>
          <w:rStyle w:val="EndnoteReference"/>
        </w:rPr>
        <w:endnoteRef/>
      </w:r>
      <w:r>
        <w:t xml:space="preserve"> Committee on the Rights of the Child, </w:t>
      </w:r>
      <w:r w:rsidRPr="00986344">
        <w:rPr>
          <w:i/>
        </w:rPr>
        <w:t xml:space="preserve">General Comment </w:t>
      </w:r>
      <w:r>
        <w:rPr>
          <w:i/>
        </w:rPr>
        <w:t xml:space="preserve">No. </w:t>
      </w:r>
      <w:r w:rsidRPr="00986344">
        <w:rPr>
          <w:i/>
        </w:rPr>
        <w:t>10</w:t>
      </w:r>
      <w:r>
        <w:rPr>
          <w:i/>
        </w:rPr>
        <w:t xml:space="preserve"> (2007):</w:t>
      </w:r>
      <w:r w:rsidRPr="00AF0B91">
        <w:rPr>
          <w:i/>
        </w:rPr>
        <w:t xml:space="preserve"> </w:t>
      </w:r>
      <w:r w:rsidRPr="00986344">
        <w:rPr>
          <w:i/>
        </w:rPr>
        <w:t>Children’s rights in juvenile justice</w:t>
      </w:r>
      <w:r>
        <w:t xml:space="preserve">, UN Doc CRC/C/GC/10, para 10, p 5. At </w:t>
      </w:r>
      <w:hyperlink r:id="rId57" w:history="1">
        <w:r w:rsidRPr="00C825B5">
          <w:rPr>
            <w:rStyle w:val="Hyperlink"/>
          </w:rPr>
          <w:t>http://www2.ohchr.org/english/bodies/crc/docs/CRC.C.GC.10.pdf</w:t>
        </w:r>
      </w:hyperlink>
      <w:r w:rsidR="007568E5">
        <w:t xml:space="preserve"> (viewed 21 July 2017).</w:t>
      </w:r>
    </w:p>
  </w:endnote>
  <w:endnote w:id="149">
    <w:p w14:paraId="782657A3" w14:textId="67490F1F" w:rsidR="0096267B" w:rsidRDefault="0096267B" w:rsidP="00DA4001">
      <w:pPr>
        <w:pStyle w:val="EndnoteText"/>
        <w:ind w:left="284" w:hanging="284"/>
      </w:pPr>
      <w:r>
        <w:rPr>
          <w:rStyle w:val="EndnoteReference"/>
        </w:rPr>
        <w:endnoteRef/>
      </w:r>
      <w:r>
        <w:t xml:space="preserve"> Committee on the Rights of the Child, </w:t>
      </w:r>
      <w:r w:rsidRPr="00986344">
        <w:rPr>
          <w:i/>
        </w:rPr>
        <w:t xml:space="preserve">General Comment </w:t>
      </w:r>
      <w:r>
        <w:rPr>
          <w:i/>
        </w:rPr>
        <w:t xml:space="preserve">No. </w:t>
      </w:r>
      <w:r w:rsidRPr="00986344">
        <w:rPr>
          <w:i/>
        </w:rPr>
        <w:t>10</w:t>
      </w:r>
      <w:r>
        <w:rPr>
          <w:i/>
        </w:rPr>
        <w:t xml:space="preserve"> (2007):</w:t>
      </w:r>
      <w:r w:rsidRPr="00AF0B91">
        <w:rPr>
          <w:i/>
        </w:rPr>
        <w:t xml:space="preserve"> </w:t>
      </w:r>
      <w:r w:rsidRPr="00986344">
        <w:rPr>
          <w:i/>
        </w:rPr>
        <w:t>Children’s rights in juvenile justice</w:t>
      </w:r>
      <w:r>
        <w:t xml:space="preserve">, UN Doc CRC/C/GC/10, para 10, p 5. At </w:t>
      </w:r>
      <w:hyperlink r:id="rId58" w:history="1">
        <w:r w:rsidRPr="00C825B5">
          <w:rPr>
            <w:rStyle w:val="Hyperlink"/>
          </w:rPr>
          <w:t>http://www2.ohchr.org/english/bodies/crc/docs/CRC.C.GC.10.pdf</w:t>
        </w:r>
      </w:hyperlink>
      <w:r w:rsidR="007568E5">
        <w:t xml:space="preserve"> (viewed 21 July 2017).</w:t>
      </w:r>
    </w:p>
  </w:endnote>
  <w:endnote w:id="150">
    <w:p w14:paraId="71FD086A" w14:textId="61CB9B5C" w:rsidR="0096267B" w:rsidRDefault="0096267B" w:rsidP="002A5A9F">
      <w:pPr>
        <w:pStyle w:val="EndnoteText"/>
        <w:ind w:left="284" w:hanging="284"/>
      </w:pPr>
      <w:r>
        <w:rPr>
          <w:rStyle w:val="EndnoteReference"/>
        </w:rPr>
        <w:endnoteRef/>
      </w:r>
      <w:r>
        <w:t xml:space="preserve"> Australian Human Rights Commission, </w:t>
      </w:r>
      <w:r w:rsidRPr="008779DD">
        <w:rPr>
          <w:i/>
        </w:rPr>
        <w:t>Children’s Rights Report 2016</w:t>
      </w:r>
      <w:r w:rsidR="006F2746">
        <w:t>, 2016, pp 165-166</w:t>
      </w:r>
      <w:r>
        <w:t xml:space="preserve">. At </w:t>
      </w:r>
      <w:hyperlink r:id="rId59" w:history="1">
        <w:r w:rsidRPr="008F74F8">
          <w:rPr>
            <w:rStyle w:val="Hyperlink"/>
          </w:rPr>
          <w:t>https://www.humanrights.gov.au/our-work/childrens-rights/publications/childrens-rights-report-2016</w:t>
        </w:r>
      </w:hyperlink>
      <w:r w:rsidR="007568E5">
        <w:t xml:space="preserve"> (viewed 21 July 2017).</w:t>
      </w:r>
    </w:p>
  </w:endnote>
  <w:endnote w:id="151">
    <w:p w14:paraId="1338C29F" w14:textId="14953C5C" w:rsidR="0096267B" w:rsidRDefault="0096267B" w:rsidP="00DA4001">
      <w:pPr>
        <w:pStyle w:val="EndnoteText"/>
        <w:ind w:left="284" w:hanging="284"/>
      </w:pPr>
      <w:r>
        <w:rPr>
          <w:rStyle w:val="EndnoteReference"/>
        </w:rPr>
        <w:endnoteRef/>
      </w:r>
      <w:r>
        <w:t xml:space="preserve"> Australian Bureau of </w:t>
      </w:r>
      <w:r w:rsidR="006F2746">
        <w:t>Statistics, ‘Youth offenders’, 7</w:t>
      </w:r>
      <w:r>
        <w:t xml:space="preserve"> February 2017, </w:t>
      </w:r>
      <w:hyperlink r:id="rId60" w:history="1">
        <w:r w:rsidRPr="00C825B5">
          <w:rPr>
            <w:rStyle w:val="Hyperlink"/>
          </w:rPr>
          <w:t>http://www.abs.gov.au/ausstats/abs@.nsf/Lookup/by%20Subject/4519.0~2015-16~Main%20Features~Youth%20offenders~4</w:t>
        </w:r>
      </w:hyperlink>
      <w:r w:rsidR="006F2746">
        <w:t xml:space="preserve"> (viewed 2</w:t>
      </w:r>
      <w:r>
        <w:t>1 July 2017).</w:t>
      </w:r>
    </w:p>
  </w:endnote>
  <w:endnote w:id="152">
    <w:p w14:paraId="038F07D6" w14:textId="77777777" w:rsidR="0096267B" w:rsidRPr="002D08ED" w:rsidRDefault="0096267B" w:rsidP="00B0543C">
      <w:pPr>
        <w:pStyle w:val="EndnoteText"/>
        <w:ind w:left="284" w:hanging="284"/>
      </w:pPr>
      <w:r w:rsidRPr="002D08ED">
        <w:rPr>
          <w:rStyle w:val="EndnoteReference"/>
        </w:rPr>
        <w:endnoteRef/>
      </w:r>
      <w:r w:rsidRPr="002D08ED">
        <w:t xml:space="preserve"> </w:t>
      </w:r>
      <w:r w:rsidRPr="002D08ED">
        <w:tab/>
        <w:t>Australian Citizenship Act, s 24(6).</w:t>
      </w:r>
    </w:p>
  </w:endnote>
  <w:endnote w:id="153">
    <w:p w14:paraId="212C4774" w14:textId="77777777" w:rsidR="0096267B" w:rsidRPr="002D08ED" w:rsidRDefault="0096267B" w:rsidP="00B0543C">
      <w:pPr>
        <w:pStyle w:val="EndnoteText"/>
        <w:ind w:left="284" w:hanging="284"/>
      </w:pPr>
      <w:r w:rsidRPr="002D08ED">
        <w:rPr>
          <w:rStyle w:val="EndnoteReference"/>
        </w:rPr>
        <w:endnoteRef/>
      </w:r>
      <w:r w:rsidRPr="002D08ED">
        <w:t xml:space="preserve"> </w:t>
      </w:r>
      <w:r w:rsidRPr="002D08ED">
        <w:tab/>
        <w:t>Proposed s 17(4C), Bill, item 27, p</w:t>
      </w:r>
      <w:r>
        <w:t>p</w:t>
      </w:r>
      <w:r w:rsidRPr="002D08ED">
        <w:t> 9</w:t>
      </w:r>
      <w:r>
        <w:t>-11</w:t>
      </w:r>
      <w:r w:rsidRPr="002D08ED">
        <w:t>.</w:t>
      </w:r>
    </w:p>
  </w:endnote>
  <w:endnote w:id="154">
    <w:p w14:paraId="3ABDF526" w14:textId="77777777" w:rsidR="0096267B" w:rsidRPr="002D08ED" w:rsidRDefault="0096267B" w:rsidP="00B0543C">
      <w:pPr>
        <w:pStyle w:val="EndnoteText"/>
        <w:ind w:left="284" w:hanging="284"/>
      </w:pPr>
      <w:r w:rsidRPr="002D08ED">
        <w:rPr>
          <w:rStyle w:val="EndnoteReference"/>
        </w:rPr>
        <w:endnoteRef/>
      </w:r>
      <w:r w:rsidRPr="002D08ED">
        <w:t xml:space="preserve"> </w:t>
      </w:r>
      <w:r w:rsidRPr="002D08ED">
        <w:tab/>
        <w:t>Proposed s 19D(7B), Bill, item 35, p 13-14.</w:t>
      </w:r>
    </w:p>
  </w:endnote>
  <w:endnote w:id="155">
    <w:p w14:paraId="24727BA3" w14:textId="77777777" w:rsidR="0096267B" w:rsidRPr="00372D7D" w:rsidRDefault="0096267B" w:rsidP="00B0543C">
      <w:pPr>
        <w:pStyle w:val="EndnoteText"/>
        <w:ind w:left="284" w:hanging="284"/>
      </w:pPr>
      <w:r w:rsidRPr="00372D7D">
        <w:rPr>
          <w:rStyle w:val="EndnoteReference"/>
        </w:rPr>
        <w:endnoteRef/>
      </w:r>
      <w:r w:rsidRPr="00372D7D">
        <w:t xml:space="preserve"> </w:t>
      </w:r>
      <w:r w:rsidRPr="00372D7D">
        <w:tab/>
        <w:t>Proposed s 30(8), Bill, item 103, pp 30-32.</w:t>
      </w:r>
    </w:p>
  </w:endnote>
  <w:endnote w:id="156">
    <w:p w14:paraId="56FDE4F8" w14:textId="77777777" w:rsidR="0096267B" w:rsidRPr="00372D7D" w:rsidRDefault="0096267B" w:rsidP="00B0543C">
      <w:pPr>
        <w:pStyle w:val="EndnoteText"/>
        <w:ind w:left="284" w:hanging="284"/>
      </w:pPr>
      <w:r w:rsidRPr="00372D7D">
        <w:rPr>
          <w:rStyle w:val="EndnoteReference"/>
        </w:rPr>
        <w:endnoteRef/>
      </w:r>
      <w:r w:rsidRPr="00372D7D">
        <w:t xml:space="preserve"> </w:t>
      </w:r>
      <w:r w:rsidRPr="00372D7D">
        <w:tab/>
        <w:t>The amendments that extend the scope of the prohibition in s 24(6) for applicants for citizenship by conferral are in items 86 to 88 of the Bill, pp 26-27.</w:t>
      </w:r>
    </w:p>
  </w:endnote>
  <w:endnote w:id="157">
    <w:p w14:paraId="6545E63E" w14:textId="77777777" w:rsidR="0096267B" w:rsidRPr="00821C93" w:rsidRDefault="0096267B" w:rsidP="00B0543C">
      <w:pPr>
        <w:pStyle w:val="EndnoteText"/>
        <w:ind w:left="284" w:hanging="284"/>
      </w:pPr>
      <w:r w:rsidRPr="00821C93">
        <w:rPr>
          <w:rStyle w:val="EndnoteReference"/>
        </w:rPr>
        <w:endnoteRef/>
      </w:r>
      <w:r w:rsidRPr="00821C93">
        <w:t xml:space="preserve"> </w:t>
      </w:r>
      <w:r w:rsidRPr="00821C93">
        <w:tab/>
        <w:t>Proposed ss 17(4C)(j)(ii), 19D(7B)(j)(ii), 24(6)(j)(ii) and 30(8)(j)(ii).</w:t>
      </w:r>
    </w:p>
  </w:endnote>
  <w:endnote w:id="158">
    <w:p w14:paraId="459EC4CB" w14:textId="77777777" w:rsidR="0096267B" w:rsidRDefault="0096267B" w:rsidP="00B0543C">
      <w:pPr>
        <w:pStyle w:val="EndnoteText"/>
        <w:ind w:left="284" w:hanging="284"/>
      </w:pPr>
      <w:r>
        <w:rPr>
          <w:rStyle w:val="EndnoteReference"/>
        </w:rPr>
        <w:endnoteRef/>
      </w:r>
      <w:r>
        <w:t xml:space="preserve"> </w:t>
      </w:r>
      <w:r>
        <w:tab/>
        <w:t>Bill, item 87, p 27 proposes to replace the term ‘psychiatric institution’ with ‘mental health care facility’.</w:t>
      </w:r>
    </w:p>
  </w:endnote>
  <w:endnote w:id="159">
    <w:p w14:paraId="76F08BA4" w14:textId="77777777" w:rsidR="0096267B" w:rsidRPr="00C15626" w:rsidRDefault="0096267B" w:rsidP="00B0543C">
      <w:pPr>
        <w:pStyle w:val="EndnoteText"/>
        <w:ind w:left="284" w:hanging="284"/>
      </w:pPr>
      <w:r w:rsidRPr="00C15626">
        <w:rPr>
          <w:rStyle w:val="EndnoteReference"/>
        </w:rPr>
        <w:endnoteRef/>
      </w:r>
      <w:r w:rsidRPr="00C15626">
        <w:t xml:space="preserve"> </w:t>
      </w:r>
      <w:r w:rsidRPr="00C15626">
        <w:tab/>
        <w:t>Convention on the Rights of Persons with Disabilities, opened for signature 13 December 2006, [2008] ATS 12 (entered into force generally on 3 May 2008; entered into force for Australia on 16 August 2008).</w:t>
      </w:r>
    </w:p>
  </w:endnote>
  <w:endnote w:id="160">
    <w:p w14:paraId="052A0200" w14:textId="77777777" w:rsidR="0096267B" w:rsidRPr="008C4C21" w:rsidRDefault="0096267B" w:rsidP="00B0543C">
      <w:pPr>
        <w:pStyle w:val="EndnoteText"/>
        <w:ind w:left="284" w:hanging="284"/>
      </w:pPr>
      <w:r w:rsidRPr="008C4C21">
        <w:rPr>
          <w:rStyle w:val="EndnoteReference"/>
        </w:rPr>
        <w:endnoteRef/>
      </w:r>
      <w:r w:rsidRPr="008C4C21">
        <w:t xml:space="preserve"> </w:t>
      </w:r>
      <w:r w:rsidRPr="008C4C21">
        <w:tab/>
        <w:t>Explanatory Memorandum, Australian Citizenship and Other Legislation Amendment Bill 2014, Statement of Compatibility with Human Rights, p 6.</w:t>
      </w:r>
    </w:p>
  </w:endnote>
  <w:endnote w:id="161">
    <w:p w14:paraId="379B715F" w14:textId="77777777" w:rsidR="0096267B" w:rsidRDefault="0096267B" w:rsidP="00B0543C">
      <w:pPr>
        <w:pStyle w:val="EndnoteText"/>
        <w:ind w:left="284" w:hanging="284"/>
      </w:pPr>
      <w:r>
        <w:rPr>
          <w:rStyle w:val="EndnoteReference"/>
        </w:rPr>
        <w:endnoteRef/>
      </w:r>
      <w:r>
        <w:t xml:space="preserve"> </w:t>
      </w:r>
      <w:r>
        <w:tab/>
        <w:t>EM, Statement of Compatibility with Human Rights, p 82.</w:t>
      </w:r>
    </w:p>
  </w:endnote>
  <w:endnote w:id="162">
    <w:p w14:paraId="61592C44" w14:textId="77777777" w:rsidR="0096267B" w:rsidRDefault="0096267B" w:rsidP="00B0543C">
      <w:pPr>
        <w:pStyle w:val="EndnoteText"/>
        <w:ind w:left="284" w:hanging="284"/>
      </w:pPr>
      <w:r>
        <w:rPr>
          <w:rStyle w:val="EndnoteReference"/>
        </w:rPr>
        <w:endnoteRef/>
      </w:r>
      <w:r>
        <w:t xml:space="preserve"> </w:t>
      </w:r>
      <w:r>
        <w:tab/>
        <w:t>EM, Statement of Compatibility with Human Rights, p 81.</w:t>
      </w:r>
    </w:p>
  </w:endnote>
  <w:endnote w:id="163">
    <w:p w14:paraId="350415FA" w14:textId="77777777" w:rsidR="0096267B" w:rsidRDefault="0096267B" w:rsidP="00B0543C">
      <w:pPr>
        <w:pStyle w:val="EndnoteText"/>
        <w:ind w:left="284" w:hanging="284"/>
      </w:pPr>
      <w:r>
        <w:rPr>
          <w:rStyle w:val="EndnoteReference"/>
        </w:rPr>
        <w:endnoteRef/>
      </w:r>
      <w:r>
        <w:t xml:space="preserve"> </w:t>
      </w:r>
      <w:r>
        <w:tab/>
        <w:t>EM, Statement of Compatibility with Human Rights, p 73,</w:t>
      </w:r>
    </w:p>
  </w:endnote>
  <w:endnote w:id="164">
    <w:p w14:paraId="78CBF986" w14:textId="77777777" w:rsidR="0096267B" w:rsidRPr="008F41EA" w:rsidRDefault="0096267B" w:rsidP="00B0543C">
      <w:pPr>
        <w:pStyle w:val="EndnoteText"/>
        <w:ind w:left="284" w:hanging="284"/>
      </w:pPr>
      <w:r w:rsidRPr="008F41EA">
        <w:rPr>
          <w:rStyle w:val="EndnoteReference"/>
        </w:rPr>
        <w:endnoteRef/>
      </w:r>
      <w:r w:rsidRPr="008F41EA">
        <w:t xml:space="preserve"> </w:t>
      </w:r>
      <w:r w:rsidRPr="008F41EA">
        <w:tab/>
        <w:t xml:space="preserve">Australian Citizenship Council, </w:t>
      </w:r>
      <w:r w:rsidRPr="008F41EA">
        <w:rPr>
          <w:i/>
        </w:rPr>
        <w:t>Australian Citizenship for a New Century</w:t>
      </w:r>
      <w:r w:rsidRPr="008F41EA">
        <w:t xml:space="preserve"> (February 2000), p 53.</w:t>
      </w:r>
    </w:p>
  </w:endnote>
  <w:endnote w:id="165">
    <w:p w14:paraId="4430847D" w14:textId="13A61C08" w:rsidR="0096267B" w:rsidRDefault="0096267B" w:rsidP="00EE2269">
      <w:pPr>
        <w:pStyle w:val="EndnoteText"/>
        <w:ind w:left="284" w:hanging="284"/>
      </w:pPr>
      <w:r>
        <w:rPr>
          <w:rStyle w:val="EndnoteReference"/>
        </w:rPr>
        <w:endnoteRef/>
      </w:r>
      <w:r>
        <w:t xml:space="preserve"> </w:t>
      </w:r>
      <w:r>
        <w:tab/>
        <w:t xml:space="preserve">Australian Government, Department of Immigration and Border Protection, </w:t>
      </w:r>
      <w:r w:rsidRPr="004A0FCB">
        <w:rPr>
          <w:i/>
        </w:rPr>
        <w:t>Life in Australia: Australian Values and Principles</w:t>
      </w:r>
      <w:r>
        <w:t xml:space="preserve">, 2016.  At </w:t>
      </w:r>
      <w:hyperlink r:id="rId61" w:history="1">
        <w:r w:rsidRPr="008E09EF">
          <w:rPr>
            <w:rStyle w:val="Hyperlink"/>
          </w:rPr>
          <w:t>https://www.border.gov.au/LifeinAustralia/Documents/lia_english_full.pdf</w:t>
        </w:r>
      </w:hyperlink>
      <w:r w:rsidR="006F2746">
        <w:t xml:space="preserve"> (viewed 21</w:t>
      </w:r>
      <w:r>
        <w:t xml:space="preserve"> July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3028" w14:textId="77777777" w:rsidR="0096267B" w:rsidRPr="0090165F" w:rsidRDefault="0096267B"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8401" w14:textId="77777777" w:rsidR="0096267B" w:rsidRPr="004A187B" w:rsidRDefault="0096267B" w:rsidP="008B23BC">
    <w:pPr>
      <w:pStyle w:val="Footer"/>
    </w:pPr>
    <w:r>
      <w:rPr>
        <w:noProof/>
      </w:rPr>
      <mc:AlternateContent>
        <mc:Choice Requires="wps">
          <w:drawing>
            <wp:anchor distT="0" distB="0" distL="114300" distR="114300" simplePos="0" relativeHeight="251660288" behindDoc="0" locked="0" layoutInCell="1" allowOverlap="1" wp14:anchorId="49713FC2" wp14:editId="18A7CBA6">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3ED77E94" w14:textId="77777777" w:rsidR="0096267B" w:rsidRPr="0003606D" w:rsidRDefault="0096267B" w:rsidP="0003606D">
                          <w:pPr>
                            <w:pStyle w:val="coveraddresses"/>
                          </w:pPr>
                          <w:r w:rsidRPr="0003606D">
                            <w:t>ABN 47 996 232 602</w:t>
                          </w:r>
                        </w:p>
                        <w:p w14:paraId="6C1FC296" w14:textId="77777777" w:rsidR="0096267B" w:rsidRPr="0003606D" w:rsidRDefault="0096267B" w:rsidP="0003606D">
                          <w:pPr>
                            <w:pStyle w:val="coveraddresses"/>
                          </w:pPr>
                          <w:r w:rsidRPr="0003606D">
                            <w:t>Level 3, 175 Pitt Street, Sydney NSW 2000</w:t>
                          </w:r>
                        </w:p>
                        <w:p w14:paraId="1978F7FE" w14:textId="77777777" w:rsidR="0096267B" w:rsidRPr="0003606D" w:rsidRDefault="0096267B" w:rsidP="0003606D">
                          <w:pPr>
                            <w:pStyle w:val="coveraddresses"/>
                          </w:pPr>
                          <w:r w:rsidRPr="0003606D">
                            <w:t>GPO Box 5218, Sydney NSW 2001</w:t>
                          </w:r>
                        </w:p>
                        <w:p w14:paraId="50CE9CB8" w14:textId="77777777" w:rsidR="0096267B" w:rsidRPr="0003606D" w:rsidRDefault="0096267B" w:rsidP="0003606D">
                          <w:pPr>
                            <w:pStyle w:val="coveraddresses"/>
                          </w:pPr>
                          <w:r w:rsidRPr="0003606D">
                            <w:t>General enquiries 1300 369 711</w:t>
                          </w:r>
                        </w:p>
                        <w:p w14:paraId="215F29B2" w14:textId="77777777" w:rsidR="0096267B" w:rsidRPr="0003606D" w:rsidRDefault="0096267B" w:rsidP="0003606D">
                          <w:pPr>
                            <w:pStyle w:val="coveraddresses"/>
                          </w:pPr>
                          <w:r w:rsidRPr="0003606D">
                            <w:t>Complaints info line 1300 656 419</w:t>
                          </w:r>
                        </w:p>
                        <w:p w14:paraId="5ACF45E3" w14:textId="77777777" w:rsidR="0096267B" w:rsidRPr="0003606D" w:rsidRDefault="0096267B" w:rsidP="0003606D">
                          <w:pPr>
                            <w:pStyle w:val="coveraddresses"/>
                          </w:pPr>
                          <w:r w:rsidRPr="0003606D">
                            <w:t>TTY 1800 620 241</w:t>
                          </w:r>
                        </w:p>
                        <w:p w14:paraId="5CB90675" w14:textId="77777777" w:rsidR="0096267B" w:rsidRPr="00B63D24" w:rsidRDefault="0096267B"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13FC2"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3ED77E94" w14:textId="77777777" w:rsidR="0096267B" w:rsidRPr="0003606D" w:rsidRDefault="0096267B" w:rsidP="0003606D">
                    <w:pPr>
                      <w:pStyle w:val="coveraddresses"/>
                    </w:pPr>
                    <w:r w:rsidRPr="0003606D">
                      <w:t>ABN 47 996 232 602</w:t>
                    </w:r>
                  </w:p>
                  <w:p w14:paraId="6C1FC296" w14:textId="77777777" w:rsidR="0096267B" w:rsidRPr="0003606D" w:rsidRDefault="0096267B" w:rsidP="0003606D">
                    <w:pPr>
                      <w:pStyle w:val="coveraddresses"/>
                    </w:pPr>
                    <w:r w:rsidRPr="0003606D">
                      <w:t xml:space="preserve">Level </w:t>
                    </w:r>
                    <w:proofErr w:type="gramStart"/>
                    <w:r w:rsidRPr="0003606D">
                      <w:t>3</w:t>
                    </w:r>
                    <w:proofErr w:type="gramEnd"/>
                    <w:r w:rsidRPr="0003606D">
                      <w:t>, 175 Pitt Street, Sydney NSW 2000</w:t>
                    </w:r>
                  </w:p>
                  <w:p w14:paraId="1978F7FE" w14:textId="77777777" w:rsidR="0096267B" w:rsidRPr="0003606D" w:rsidRDefault="0096267B" w:rsidP="0003606D">
                    <w:pPr>
                      <w:pStyle w:val="coveraddresses"/>
                    </w:pPr>
                    <w:r w:rsidRPr="0003606D">
                      <w:t>GPO Box 5218, Sydney NSW 2001</w:t>
                    </w:r>
                  </w:p>
                  <w:p w14:paraId="50CE9CB8" w14:textId="77777777" w:rsidR="0096267B" w:rsidRPr="0003606D" w:rsidRDefault="0096267B" w:rsidP="0003606D">
                    <w:pPr>
                      <w:pStyle w:val="coveraddresses"/>
                    </w:pPr>
                    <w:r w:rsidRPr="0003606D">
                      <w:t>General enquiries 1300 369 711</w:t>
                    </w:r>
                  </w:p>
                  <w:p w14:paraId="215F29B2" w14:textId="77777777" w:rsidR="0096267B" w:rsidRPr="0003606D" w:rsidRDefault="0096267B" w:rsidP="0003606D">
                    <w:pPr>
                      <w:pStyle w:val="coveraddresses"/>
                    </w:pPr>
                    <w:r w:rsidRPr="0003606D">
                      <w:t>Complaints info line 1300 656 419</w:t>
                    </w:r>
                  </w:p>
                  <w:p w14:paraId="5ACF45E3" w14:textId="77777777" w:rsidR="0096267B" w:rsidRPr="0003606D" w:rsidRDefault="0096267B" w:rsidP="0003606D">
                    <w:pPr>
                      <w:pStyle w:val="coveraddresses"/>
                    </w:pPr>
                    <w:r w:rsidRPr="0003606D">
                      <w:t>TTY 1800 620 241</w:t>
                    </w:r>
                  </w:p>
                  <w:p w14:paraId="5CB90675" w14:textId="77777777" w:rsidR="0096267B" w:rsidRPr="00B63D24" w:rsidRDefault="0096267B"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3E18" w14:textId="56E6C058" w:rsidR="0096267B" w:rsidRPr="0090165F" w:rsidRDefault="0096267B"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286AA5">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A130" w14:textId="77777777" w:rsidR="0096267B" w:rsidRDefault="0096267B" w:rsidP="00F14C6D">
      <w:r>
        <w:separator/>
      </w:r>
    </w:p>
  </w:footnote>
  <w:footnote w:type="continuationSeparator" w:id="0">
    <w:p w14:paraId="3B93CCDB" w14:textId="77777777" w:rsidR="0096267B" w:rsidRDefault="0096267B"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7C49" w14:textId="77777777" w:rsidR="0096267B" w:rsidRDefault="00286AA5">
    <w:pPr>
      <w:pStyle w:val="Header"/>
    </w:pPr>
    <w:r>
      <w:rPr>
        <w:noProof/>
      </w:rPr>
      <w:pict w14:anchorId="2F19C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FAD6" w14:textId="77777777" w:rsidR="0096267B" w:rsidRPr="00D27262" w:rsidRDefault="00286AA5" w:rsidP="002B1B65">
    <w:pPr>
      <w:spacing w:before="0" w:after="0"/>
      <w:jc w:val="right"/>
      <w:rPr>
        <w:sz w:val="22"/>
        <w:szCs w:val="22"/>
      </w:rPr>
    </w:pPr>
    <w:r>
      <w:rPr>
        <w:noProof/>
        <w:sz w:val="22"/>
        <w:szCs w:val="22"/>
      </w:rPr>
      <w:pict w14:anchorId="0C257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96267B" w:rsidRPr="00D27262">
      <w:rPr>
        <w:sz w:val="22"/>
        <w:szCs w:val="22"/>
      </w:rPr>
      <w:t>Au</w:t>
    </w:r>
    <w:r w:rsidR="0096267B">
      <w:rPr>
        <w:sz w:val="22"/>
        <w:szCs w:val="22"/>
      </w:rPr>
      <w:t>stralian Human Rights Commission</w:t>
    </w:r>
  </w:p>
  <w:p w14:paraId="2CDA9186" w14:textId="77777777" w:rsidR="0096267B" w:rsidRDefault="0096267B"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6267B" w:rsidRPr="00B85DD4" w14:paraId="0FA9C130" w14:textId="77777777" w:rsidTr="00165E3C">
      <w:trPr>
        <w:trHeight w:val="1276"/>
      </w:trPr>
      <w:tc>
        <w:tcPr>
          <w:tcW w:w="1508" w:type="dxa"/>
        </w:tcPr>
        <w:p w14:paraId="7CE15B5F" w14:textId="77777777" w:rsidR="0096267B" w:rsidRPr="00B85DD4" w:rsidRDefault="0096267B" w:rsidP="00B520BC">
          <w:pPr>
            <w:pStyle w:val="Header"/>
            <w:tabs>
              <w:tab w:val="left" w:pos="4686"/>
              <w:tab w:val="left" w:pos="7088"/>
              <w:tab w:val="left" w:pos="7242"/>
            </w:tabs>
            <w:ind w:left="-108"/>
            <w:rPr>
              <w:rFonts w:cs="ArialMT"/>
              <w:b/>
              <w:spacing w:val="-20"/>
            </w:rPr>
          </w:pPr>
        </w:p>
      </w:tc>
      <w:tc>
        <w:tcPr>
          <w:tcW w:w="2688" w:type="dxa"/>
          <w:vAlign w:val="center"/>
        </w:tcPr>
        <w:p w14:paraId="6C7B36F5" w14:textId="77777777" w:rsidR="0096267B" w:rsidRPr="00B85DD4" w:rsidRDefault="0096267B" w:rsidP="002B1B65">
          <w:pPr>
            <w:spacing w:before="0" w:after="0"/>
            <w:rPr>
              <w:rFonts w:cs="ArialMT"/>
              <w:i/>
              <w:color w:val="808080"/>
              <w:sz w:val="17"/>
            </w:rPr>
          </w:pPr>
        </w:p>
      </w:tc>
      <w:tc>
        <w:tcPr>
          <w:tcW w:w="2302" w:type="dxa"/>
        </w:tcPr>
        <w:p w14:paraId="4DF84120" w14:textId="77777777" w:rsidR="0096267B" w:rsidRPr="00B85DD4" w:rsidRDefault="0096267B" w:rsidP="00B520BC">
          <w:pPr>
            <w:pStyle w:val="HeaderFooter"/>
            <w:rPr>
              <w:b/>
              <w:spacing w:val="-20"/>
              <w:sz w:val="40"/>
            </w:rPr>
          </w:pPr>
        </w:p>
      </w:tc>
      <w:tc>
        <w:tcPr>
          <w:tcW w:w="2130" w:type="dxa"/>
        </w:tcPr>
        <w:p w14:paraId="47E746A9" w14:textId="77777777" w:rsidR="0096267B" w:rsidRPr="00B85DD4" w:rsidRDefault="0096267B" w:rsidP="00B520BC">
          <w:pPr>
            <w:pStyle w:val="HeaderFooter"/>
            <w:rPr>
              <w:b/>
              <w:spacing w:val="-20"/>
              <w:sz w:val="40"/>
            </w:rPr>
          </w:pPr>
        </w:p>
      </w:tc>
      <w:tc>
        <w:tcPr>
          <w:tcW w:w="1721" w:type="dxa"/>
        </w:tcPr>
        <w:p w14:paraId="0E8E99AA" w14:textId="77777777" w:rsidR="0096267B" w:rsidRPr="00B85DD4" w:rsidRDefault="0096267B" w:rsidP="00B520BC">
          <w:pPr>
            <w:pStyle w:val="HeaderFooter"/>
            <w:spacing w:before="227" w:after="340"/>
            <w:rPr>
              <w:b/>
              <w:spacing w:val="-20"/>
              <w:sz w:val="40"/>
            </w:rPr>
          </w:pPr>
        </w:p>
      </w:tc>
    </w:tr>
  </w:tbl>
  <w:p w14:paraId="7E650B47" w14:textId="77777777" w:rsidR="0096267B" w:rsidRDefault="00286AA5">
    <w:pPr>
      <w:pStyle w:val="Header"/>
    </w:pPr>
    <w:r>
      <w:rPr>
        <w:rFonts w:cs="ArialMT"/>
        <w:b/>
        <w:noProof/>
        <w:spacing w:val="-20"/>
      </w:rPr>
      <w:pict w14:anchorId="1470E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97E7" w14:textId="77777777" w:rsidR="0096267B" w:rsidRDefault="00286AA5">
    <w:pPr>
      <w:pStyle w:val="Header"/>
    </w:pPr>
    <w:r>
      <w:rPr>
        <w:noProof/>
      </w:rPr>
      <w:pict w14:anchorId="783C4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FD68F" w14:textId="77777777" w:rsidR="0096267B" w:rsidRPr="00D27262" w:rsidRDefault="0096267B" w:rsidP="00B34946">
    <w:pPr>
      <w:spacing w:before="0" w:after="60"/>
      <w:jc w:val="right"/>
      <w:rPr>
        <w:sz w:val="22"/>
        <w:szCs w:val="22"/>
      </w:rPr>
    </w:pPr>
    <w:r w:rsidRPr="00D27262">
      <w:rPr>
        <w:sz w:val="22"/>
        <w:szCs w:val="22"/>
      </w:rPr>
      <w:t>Au</w:t>
    </w:r>
    <w:r>
      <w:rPr>
        <w:sz w:val="22"/>
        <w:szCs w:val="22"/>
      </w:rPr>
      <w:t>stralian Human Rights Commission</w:t>
    </w:r>
  </w:p>
  <w:p w14:paraId="4876DE4D" w14:textId="77777777" w:rsidR="0096267B" w:rsidRPr="00D729AD" w:rsidRDefault="0096267B" w:rsidP="002F4CE1">
    <w:pPr>
      <w:pStyle w:val="Footer"/>
      <w:spacing w:after="240"/>
      <w:jc w:val="right"/>
      <w:rPr>
        <w:i/>
        <w:szCs w:val="18"/>
      </w:rPr>
    </w:pPr>
    <w:r>
      <w:rPr>
        <w:b/>
        <w:i/>
        <w:szCs w:val="18"/>
      </w:rPr>
      <w:t>Australian Citizenship amendments</w:t>
    </w:r>
    <w:r w:rsidRPr="00D729AD">
      <w:rPr>
        <w:i/>
        <w:szCs w:val="18"/>
      </w:rPr>
      <w:t xml:space="preserve">, </w:t>
    </w:r>
    <w:r>
      <w:rPr>
        <w:i/>
        <w:szCs w:val="18"/>
      </w:rPr>
      <w:t>Senate Inquiry</w:t>
    </w:r>
    <w:r w:rsidRPr="00D729AD">
      <w:rPr>
        <w:i/>
        <w:szCs w:val="18"/>
      </w:rPr>
      <w:t xml:space="preserve"> – </w:t>
    </w:r>
    <w:r>
      <w:rPr>
        <w:i/>
        <w:szCs w:val="18"/>
      </w:rPr>
      <w:t>21 July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96267B" w:rsidRPr="00B85DD4" w14:paraId="4678984F" w14:textId="77777777" w:rsidTr="002B1B65">
      <w:trPr>
        <w:trHeight w:val="1603"/>
      </w:trPr>
      <w:tc>
        <w:tcPr>
          <w:tcW w:w="1508" w:type="dxa"/>
        </w:tcPr>
        <w:p w14:paraId="15F8F327" w14:textId="77777777" w:rsidR="0096267B" w:rsidRPr="00B85DD4" w:rsidRDefault="0096267B"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3C99DBD4" wp14:editId="7593363E">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0A94ED52" w14:textId="77777777" w:rsidR="0096267B" w:rsidRPr="00D36BB2" w:rsidRDefault="0096267B" w:rsidP="002B1B65">
          <w:pPr>
            <w:pStyle w:val="LogoType"/>
            <w:pBdr>
              <w:bottom w:val="single" w:sz="4" w:space="1" w:color="808080"/>
            </w:pBdr>
            <w:spacing w:line="240" w:lineRule="auto"/>
          </w:pPr>
          <w:r w:rsidRPr="00D36BB2">
            <w:t>Australian</w:t>
          </w:r>
        </w:p>
        <w:p w14:paraId="0E612794" w14:textId="77777777" w:rsidR="0096267B" w:rsidRPr="00D36BB2" w:rsidRDefault="0096267B" w:rsidP="002B1B65">
          <w:pPr>
            <w:pStyle w:val="LogoType"/>
            <w:pBdr>
              <w:bottom w:val="single" w:sz="4" w:space="1" w:color="808080"/>
            </w:pBdr>
            <w:spacing w:line="240" w:lineRule="auto"/>
          </w:pPr>
          <w:r w:rsidRPr="00D36BB2">
            <w:t>Human Rights</w:t>
          </w:r>
        </w:p>
        <w:p w14:paraId="40380280" w14:textId="77777777" w:rsidR="0096267B" w:rsidRPr="00D36BB2" w:rsidRDefault="0096267B" w:rsidP="002B1B65">
          <w:pPr>
            <w:pStyle w:val="LogoType"/>
            <w:pBdr>
              <w:bottom w:val="single" w:sz="4" w:space="1" w:color="808080"/>
            </w:pBdr>
            <w:spacing w:line="240" w:lineRule="auto"/>
          </w:pPr>
          <w:r w:rsidRPr="00D36BB2">
            <w:t>Commission</w:t>
          </w:r>
        </w:p>
        <w:p w14:paraId="3FC4C902" w14:textId="77777777" w:rsidR="0096267B" w:rsidRPr="00B85DD4" w:rsidRDefault="0096267B"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7B6029C4" w14:textId="77777777" w:rsidR="0096267B" w:rsidRPr="00B85DD4" w:rsidRDefault="0096267B" w:rsidP="00B520BC">
          <w:pPr>
            <w:pStyle w:val="HeaderFooter"/>
            <w:rPr>
              <w:b/>
              <w:spacing w:val="-20"/>
              <w:sz w:val="40"/>
            </w:rPr>
          </w:pPr>
        </w:p>
      </w:tc>
      <w:tc>
        <w:tcPr>
          <w:tcW w:w="2130" w:type="dxa"/>
        </w:tcPr>
        <w:p w14:paraId="332F2E74" w14:textId="77777777" w:rsidR="0096267B" w:rsidRPr="00B85DD4" w:rsidRDefault="0096267B" w:rsidP="00B520BC">
          <w:pPr>
            <w:pStyle w:val="HeaderFooter"/>
            <w:rPr>
              <w:b/>
              <w:spacing w:val="-20"/>
              <w:sz w:val="40"/>
            </w:rPr>
          </w:pPr>
        </w:p>
      </w:tc>
      <w:tc>
        <w:tcPr>
          <w:tcW w:w="1721" w:type="dxa"/>
        </w:tcPr>
        <w:p w14:paraId="3415E17F" w14:textId="77777777" w:rsidR="0096267B" w:rsidRPr="00B85DD4" w:rsidRDefault="0096267B" w:rsidP="00B520BC">
          <w:pPr>
            <w:pStyle w:val="HeaderFooter"/>
            <w:spacing w:before="227" w:after="340"/>
            <w:rPr>
              <w:b/>
              <w:spacing w:val="-20"/>
              <w:sz w:val="40"/>
            </w:rPr>
          </w:pPr>
        </w:p>
      </w:tc>
    </w:tr>
  </w:tbl>
  <w:p w14:paraId="1B77DA01" w14:textId="77777777" w:rsidR="0096267B" w:rsidRDefault="00286AA5">
    <w:pPr>
      <w:pStyle w:val="Header"/>
    </w:pPr>
    <w:r>
      <w:rPr>
        <w:rFonts w:cs="ArialMT"/>
        <w:b/>
        <w:noProof/>
        <w:spacing w:val="-20"/>
      </w:rPr>
      <w:pict w14:anchorId="2B94E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FFE0A4F"/>
    <w:multiLevelType w:val="hybridMultilevel"/>
    <w:tmpl w:val="5358E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DC37B6C"/>
    <w:multiLevelType w:val="hybridMultilevel"/>
    <w:tmpl w:val="70DE7A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2"/>
  </w:num>
  <w:num w:numId="15">
    <w:abstractNumId w:val="10"/>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64"/>
    <w:rsid w:val="00001E31"/>
    <w:rsid w:val="00002411"/>
    <w:rsid w:val="000037CC"/>
    <w:rsid w:val="000058A2"/>
    <w:rsid w:val="000073CF"/>
    <w:rsid w:val="00010976"/>
    <w:rsid w:val="00012DBB"/>
    <w:rsid w:val="000161CE"/>
    <w:rsid w:val="00016EED"/>
    <w:rsid w:val="0001749A"/>
    <w:rsid w:val="0002304F"/>
    <w:rsid w:val="000240BC"/>
    <w:rsid w:val="000313B4"/>
    <w:rsid w:val="00031E70"/>
    <w:rsid w:val="000322E2"/>
    <w:rsid w:val="00032D64"/>
    <w:rsid w:val="00033971"/>
    <w:rsid w:val="0003606D"/>
    <w:rsid w:val="00037F5F"/>
    <w:rsid w:val="000427EF"/>
    <w:rsid w:val="0005381B"/>
    <w:rsid w:val="000579B1"/>
    <w:rsid w:val="000624B6"/>
    <w:rsid w:val="00062FF6"/>
    <w:rsid w:val="00064688"/>
    <w:rsid w:val="000728ED"/>
    <w:rsid w:val="00072D2F"/>
    <w:rsid w:val="00074319"/>
    <w:rsid w:val="00075EC9"/>
    <w:rsid w:val="00083FA3"/>
    <w:rsid w:val="0009206B"/>
    <w:rsid w:val="0009756C"/>
    <w:rsid w:val="000A1DB8"/>
    <w:rsid w:val="000A48AC"/>
    <w:rsid w:val="000A4B7F"/>
    <w:rsid w:val="000B0A5D"/>
    <w:rsid w:val="000B2216"/>
    <w:rsid w:val="000B34FA"/>
    <w:rsid w:val="000C0134"/>
    <w:rsid w:val="000C0B8A"/>
    <w:rsid w:val="000C3413"/>
    <w:rsid w:val="000C60C2"/>
    <w:rsid w:val="000C77EA"/>
    <w:rsid w:val="000D2051"/>
    <w:rsid w:val="000D2D9C"/>
    <w:rsid w:val="000D3FDF"/>
    <w:rsid w:val="000D6472"/>
    <w:rsid w:val="000E130A"/>
    <w:rsid w:val="000F3F88"/>
    <w:rsid w:val="000F6175"/>
    <w:rsid w:val="000F6C82"/>
    <w:rsid w:val="0010160E"/>
    <w:rsid w:val="00102449"/>
    <w:rsid w:val="00102460"/>
    <w:rsid w:val="00103368"/>
    <w:rsid w:val="00103379"/>
    <w:rsid w:val="001127EC"/>
    <w:rsid w:val="00112CEA"/>
    <w:rsid w:val="00116B0F"/>
    <w:rsid w:val="00117B1C"/>
    <w:rsid w:val="001226D6"/>
    <w:rsid w:val="00125C59"/>
    <w:rsid w:val="00126F38"/>
    <w:rsid w:val="00134774"/>
    <w:rsid w:val="00135D1C"/>
    <w:rsid w:val="00140274"/>
    <w:rsid w:val="00145685"/>
    <w:rsid w:val="00145FE5"/>
    <w:rsid w:val="00151263"/>
    <w:rsid w:val="001519C4"/>
    <w:rsid w:val="001548D9"/>
    <w:rsid w:val="001568D4"/>
    <w:rsid w:val="001570D7"/>
    <w:rsid w:val="0015750E"/>
    <w:rsid w:val="00162A8D"/>
    <w:rsid w:val="00164EBD"/>
    <w:rsid w:val="00165E3C"/>
    <w:rsid w:val="00173FB5"/>
    <w:rsid w:val="00181450"/>
    <w:rsid w:val="0019230D"/>
    <w:rsid w:val="001935C8"/>
    <w:rsid w:val="00193A24"/>
    <w:rsid w:val="00195099"/>
    <w:rsid w:val="0019538F"/>
    <w:rsid w:val="001A12C5"/>
    <w:rsid w:val="001A7E7D"/>
    <w:rsid w:val="001B0353"/>
    <w:rsid w:val="001B1579"/>
    <w:rsid w:val="001B1CB0"/>
    <w:rsid w:val="001B4974"/>
    <w:rsid w:val="001C1F8B"/>
    <w:rsid w:val="001C375A"/>
    <w:rsid w:val="001C73F9"/>
    <w:rsid w:val="001D6172"/>
    <w:rsid w:val="001E1172"/>
    <w:rsid w:val="001E2DDF"/>
    <w:rsid w:val="001E4A9E"/>
    <w:rsid w:val="001E7947"/>
    <w:rsid w:val="001F2BBB"/>
    <w:rsid w:val="001F50A7"/>
    <w:rsid w:val="001F63E5"/>
    <w:rsid w:val="001F6736"/>
    <w:rsid w:val="001F707C"/>
    <w:rsid w:val="00200677"/>
    <w:rsid w:val="002114C7"/>
    <w:rsid w:val="00211E22"/>
    <w:rsid w:val="00211F08"/>
    <w:rsid w:val="00215B6E"/>
    <w:rsid w:val="00217EF3"/>
    <w:rsid w:val="00221D8E"/>
    <w:rsid w:val="00224AA3"/>
    <w:rsid w:val="00224B25"/>
    <w:rsid w:val="00231ED1"/>
    <w:rsid w:val="0024024C"/>
    <w:rsid w:val="00242624"/>
    <w:rsid w:val="00244FE1"/>
    <w:rsid w:val="0024557E"/>
    <w:rsid w:val="00245C5A"/>
    <w:rsid w:val="0025153F"/>
    <w:rsid w:val="00252D26"/>
    <w:rsid w:val="00255D05"/>
    <w:rsid w:val="002572EF"/>
    <w:rsid w:val="00257DF5"/>
    <w:rsid w:val="0026178A"/>
    <w:rsid w:val="002712B9"/>
    <w:rsid w:val="00276CCF"/>
    <w:rsid w:val="002803F5"/>
    <w:rsid w:val="002863D7"/>
    <w:rsid w:val="00286AA5"/>
    <w:rsid w:val="00287BB5"/>
    <w:rsid w:val="002930CD"/>
    <w:rsid w:val="002A2641"/>
    <w:rsid w:val="002A496F"/>
    <w:rsid w:val="002A5A9F"/>
    <w:rsid w:val="002A65D1"/>
    <w:rsid w:val="002B1B65"/>
    <w:rsid w:val="002B2D3F"/>
    <w:rsid w:val="002B6BB3"/>
    <w:rsid w:val="002C07E3"/>
    <w:rsid w:val="002C1866"/>
    <w:rsid w:val="002C2B8F"/>
    <w:rsid w:val="002D06DD"/>
    <w:rsid w:val="002D08ED"/>
    <w:rsid w:val="002D41BF"/>
    <w:rsid w:val="002D73AA"/>
    <w:rsid w:val="002E05D0"/>
    <w:rsid w:val="002E436B"/>
    <w:rsid w:val="002E6C5F"/>
    <w:rsid w:val="002F4CE1"/>
    <w:rsid w:val="003009AD"/>
    <w:rsid w:val="00300F22"/>
    <w:rsid w:val="00304A37"/>
    <w:rsid w:val="003063AA"/>
    <w:rsid w:val="00310ED4"/>
    <w:rsid w:val="00312301"/>
    <w:rsid w:val="00312BCD"/>
    <w:rsid w:val="00312D8A"/>
    <w:rsid w:val="0031492A"/>
    <w:rsid w:val="00315506"/>
    <w:rsid w:val="00315A85"/>
    <w:rsid w:val="00316C1A"/>
    <w:rsid w:val="00322B62"/>
    <w:rsid w:val="00323558"/>
    <w:rsid w:val="00323C73"/>
    <w:rsid w:val="00323DED"/>
    <w:rsid w:val="0032768F"/>
    <w:rsid w:val="003303B7"/>
    <w:rsid w:val="00331141"/>
    <w:rsid w:val="00340264"/>
    <w:rsid w:val="0034039B"/>
    <w:rsid w:val="00341096"/>
    <w:rsid w:val="003412B4"/>
    <w:rsid w:val="00341A8C"/>
    <w:rsid w:val="00344273"/>
    <w:rsid w:val="00344758"/>
    <w:rsid w:val="003469E0"/>
    <w:rsid w:val="00347142"/>
    <w:rsid w:val="003475F6"/>
    <w:rsid w:val="003565A8"/>
    <w:rsid w:val="003566EA"/>
    <w:rsid w:val="003604A6"/>
    <w:rsid w:val="00366868"/>
    <w:rsid w:val="00372C79"/>
    <w:rsid w:val="00372D7D"/>
    <w:rsid w:val="00375F05"/>
    <w:rsid w:val="00380DE4"/>
    <w:rsid w:val="0039443A"/>
    <w:rsid w:val="00395EB6"/>
    <w:rsid w:val="003974DD"/>
    <w:rsid w:val="003A6114"/>
    <w:rsid w:val="003A6738"/>
    <w:rsid w:val="003B0004"/>
    <w:rsid w:val="003B433B"/>
    <w:rsid w:val="003B4A32"/>
    <w:rsid w:val="003B4DB0"/>
    <w:rsid w:val="003D267C"/>
    <w:rsid w:val="003D2DF7"/>
    <w:rsid w:val="003D6C02"/>
    <w:rsid w:val="003E35B3"/>
    <w:rsid w:val="003E7120"/>
    <w:rsid w:val="003F607C"/>
    <w:rsid w:val="004022C7"/>
    <w:rsid w:val="004033A3"/>
    <w:rsid w:val="00403438"/>
    <w:rsid w:val="00406F66"/>
    <w:rsid w:val="00410E33"/>
    <w:rsid w:val="00412974"/>
    <w:rsid w:val="00422417"/>
    <w:rsid w:val="004227BB"/>
    <w:rsid w:val="00424233"/>
    <w:rsid w:val="0043042B"/>
    <w:rsid w:val="00430509"/>
    <w:rsid w:val="004353E7"/>
    <w:rsid w:val="004374D8"/>
    <w:rsid w:val="00440E8D"/>
    <w:rsid w:val="00444FAF"/>
    <w:rsid w:val="00447719"/>
    <w:rsid w:val="0045248C"/>
    <w:rsid w:val="00453A29"/>
    <w:rsid w:val="00454750"/>
    <w:rsid w:val="004607E4"/>
    <w:rsid w:val="00463744"/>
    <w:rsid w:val="00470679"/>
    <w:rsid w:val="00472EFF"/>
    <w:rsid w:val="00473805"/>
    <w:rsid w:val="00474063"/>
    <w:rsid w:val="004753F6"/>
    <w:rsid w:val="00476793"/>
    <w:rsid w:val="004808A4"/>
    <w:rsid w:val="00483D58"/>
    <w:rsid w:val="00484501"/>
    <w:rsid w:val="0048516E"/>
    <w:rsid w:val="0049217E"/>
    <w:rsid w:val="00492281"/>
    <w:rsid w:val="00493997"/>
    <w:rsid w:val="00495232"/>
    <w:rsid w:val="0049722C"/>
    <w:rsid w:val="004A0FCB"/>
    <w:rsid w:val="004A187B"/>
    <w:rsid w:val="004A2D3C"/>
    <w:rsid w:val="004A3DF8"/>
    <w:rsid w:val="004B163A"/>
    <w:rsid w:val="004B259E"/>
    <w:rsid w:val="004B675C"/>
    <w:rsid w:val="004C0F46"/>
    <w:rsid w:val="004C3799"/>
    <w:rsid w:val="004C7412"/>
    <w:rsid w:val="004D04BF"/>
    <w:rsid w:val="004D1110"/>
    <w:rsid w:val="004D2E71"/>
    <w:rsid w:val="004D3423"/>
    <w:rsid w:val="004D6E55"/>
    <w:rsid w:val="004D7618"/>
    <w:rsid w:val="004E0B42"/>
    <w:rsid w:val="004E0DFF"/>
    <w:rsid w:val="004E7204"/>
    <w:rsid w:val="004F1297"/>
    <w:rsid w:val="004F1C7C"/>
    <w:rsid w:val="004F2360"/>
    <w:rsid w:val="004F34C1"/>
    <w:rsid w:val="00500EE8"/>
    <w:rsid w:val="005021BB"/>
    <w:rsid w:val="00510A6F"/>
    <w:rsid w:val="00511261"/>
    <w:rsid w:val="005123F0"/>
    <w:rsid w:val="00513540"/>
    <w:rsid w:val="00513941"/>
    <w:rsid w:val="005141CF"/>
    <w:rsid w:val="00520384"/>
    <w:rsid w:val="00522BD7"/>
    <w:rsid w:val="00523AF1"/>
    <w:rsid w:val="00524061"/>
    <w:rsid w:val="005240A6"/>
    <w:rsid w:val="00526168"/>
    <w:rsid w:val="0053051D"/>
    <w:rsid w:val="005360A2"/>
    <w:rsid w:val="005366A6"/>
    <w:rsid w:val="0053757D"/>
    <w:rsid w:val="00537B67"/>
    <w:rsid w:val="00537F36"/>
    <w:rsid w:val="00544B8A"/>
    <w:rsid w:val="005501C0"/>
    <w:rsid w:val="0055023D"/>
    <w:rsid w:val="00550CFC"/>
    <w:rsid w:val="0055290F"/>
    <w:rsid w:val="005537E6"/>
    <w:rsid w:val="005564B0"/>
    <w:rsid w:val="00562000"/>
    <w:rsid w:val="00564208"/>
    <w:rsid w:val="00564A02"/>
    <w:rsid w:val="00564F4E"/>
    <w:rsid w:val="00570F26"/>
    <w:rsid w:val="00571CEB"/>
    <w:rsid w:val="00580BC2"/>
    <w:rsid w:val="00584121"/>
    <w:rsid w:val="00585313"/>
    <w:rsid w:val="00585FFF"/>
    <w:rsid w:val="00586631"/>
    <w:rsid w:val="00587FDB"/>
    <w:rsid w:val="00591951"/>
    <w:rsid w:val="005948D1"/>
    <w:rsid w:val="005A4FB6"/>
    <w:rsid w:val="005A5541"/>
    <w:rsid w:val="005A6C68"/>
    <w:rsid w:val="005B15EE"/>
    <w:rsid w:val="005B2D49"/>
    <w:rsid w:val="005B31E6"/>
    <w:rsid w:val="005B38D1"/>
    <w:rsid w:val="005C4026"/>
    <w:rsid w:val="005C5D41"/>
    <w:rsid w:val="005C661E"/>
    <w:rsid w:val="005D1F34"/>
    <w:rsid w:val="005D383D"/>
    <w:rsid w:val="005E1B29"/>
    <w:rsid w:val="005E1B4C"/>
    <w:rsid w:val="005E256C"/>
    <w:rsid w:val="005E3603"/>
    <w:rsid w:val="005E5D40"/>
    <w:rsid w:val="005E6EB9"/>
    <w:rsid w:val="005E7BFB"/>
    <w:rsid w:val="005F2C1B"/>
    <w:rsid w:val="005F64ED"/>
    <w:rsid w:val="0060066E"/>
    <w:rsid w:val="006064D7"/>
    <w:rsid w:val="00607C49"/>
    <w:rsid w:val="00611292"/>
    <w:rsid w:val="006129B8"/>
    <w:rsid w:val="00615FF9"/>
    <w:rsid w:val="006372EB"/>
    <w:rsid w:val="00637492"/>
    <w:rsid w:val="00640747"/>
    <w:rsid w:val="006440F8"/>
    <w:rsid w:val="006458F2"/>
    <w:rsid w:val="00654793"/>
    <w:rsid w:val="006550C7"/>
    <w:rsid w:val="006618BE"/>
    <w:rsid w:val="00663040"/>
    <w:rsid w:val="00663B68"/>
    <w:rsid w:val="00666EF7"/>
    <w:rsid w:val="00671229"/>
    <w:rsid w:val="00672333"/>
    <w:rsid w:val="00672F74"/>
    <w:rsid w:val="006735DE"/>
    <w:rsid w:val="006742BD"/>
    <w:rsid w:val="00675533"/>
    <w:rsid w:val="00680D0B"/>
    <w:rsid w:val="00680F97"/>
    <w:rsid w:val="00682C5D"/>
    <w:rsid w:val="00682D64"/>
    <w:rsid w:val="00683DEE"/>
    <w:rsid w:val="00687577"/>
    <w:rsid w:val="00691B53"/>
    <w:rsid w:val="0069651D"/>
    <w:rsid w:val="006A6BB3"/>
    <w:rsid w:val="006A6D25"/>
    <w:rsid w:val="006B12A9"/>
    <w:rsid w:val="006B3AB7"/>
    <w:rsid w:val="006B4193"/>
    <w:rsid w:val="006B7714"/>
    <w:rsid w:val="006C08B9"/>
    <w:rsid w:val="006C1251"/>
    <w:rsid w:val="006C3799"/>
    <w:rsid w:val="006D5EE5"/>
    <w:rsid w:val="006D68C1"/>
    <w:rsid w:val="006D6D02"/>
    <w:rsid w:val="006E0355"/>
    <w:rsid w:val="006E0890"/>
    <w:rsid w:val="006E1D09"/>
    <w:rsid w:val="006E3809"/>
    <w:rsid w:val="006E75A6"/>
    <w:rsid w:val="006F0D58"/>
    <w:rsid w:val="006F1428"/>
    <w:rsid w:val="006F1CB4"/>
    <w:rsid w:val="006F2746"/>
    <w:rsid w:val="00707350"/>
    <w:rsid w:val="00715A44"/>
    <w:rsid w:val="00716CAA"/>
    <w:rsid w:val="00722D63"/>
    <w:rsid w:val="00723402"/>
    <w:rsid w:val="0072683A"/>
    <w:rsid w:val="0072765C"/>
    <w:rsid w:val="007331EE"/>
    <w:rsid w:val="007418EB"/>
    <w:rsid w:val="00743727"/>
    <w:rsid w:val="00747B07"/>
    <w:rsid w:val="007540BF"/>
    <w:rsid w:val="007568E5"/>
    <w:rsid w:val="00764EFC"/>
    <w:rsid w:val="00766AC9"/>
    <w:rsid w:val="00767AD8"/>
    <w:rsid w:val="00770DCB"/>
    <w:rsid w:val="00775485"/>
    <w:rsid w:val="00776566"/>
    <w:rsid w:val="00776865"/>
    <w:rsid w:val="00777593"/>
    <w:rsid w:val="00783A20"/>
    <w:rsid w:val="00785324"/>
    <w:rsid w:val="00787239"/>
    <w:rsid w:val="00787A34"/>
    <w:rsid w:val="007A046D"/>
    <w:rsid w:val="007A0492"/>
    <w:rsid w:val="007A7CDE"/>
    <w:rsid w:val="007B501A"/>
    <w:rsid w:val="007C0AA1"/>
    <w:rsid w:val="007C4F77"/>
    <w:rsid w:val="007C5CBE"/>
    <w:rsid w:val="007C6EEA"/>
    <w:rsid w:val="007D6099"/>
    <w:rsid w:val="007E22A3"/>
    <w:rsid w:val="007E2E40"/>
    <w:rsid w:val="007E5B88"/>
    <w:rsid w:val="007E6C56"/>
    <w:rsid w:val="007F0D0B"/>
    <w:rsid w:val="007F1169"/>
    <w:rsid w:val="007F2AF2"/>
    <w:rsid w:val="007F78FE"/>
    <w:rsid w:val="008007A8"/>
    <w:rsid w:val="0080340A"/>
    <w:rsid w:val="008042D9"/>
    <w:rsid w:val="00811DB7"/>
    <w:rsid w:val="00814FC0"/>
    <w:rsid w:val="00821C93"/>
    <w:rsid w:val="00822CFB"/>
    <w:rsid w:val="0083187A"/>
    <w:rsid w:val="00834734"/>
    <w:rsid w:val="00836FE1"/>
    <w:rsid w:val="00837773"/>
    <w:rsid w:val="00845497"/>
    <w:rsid w:val="00851D88"/>
    <w:rsid w:val="00854B6B"/>
    <w:rsid w:val="00854CB7"/>
    <w:rsid w:val="0086310F"/>
    <w:rsid w:val="00866F9F"/>
    <w:rsid w:val="008724DE"/>
    <w:rsid w:val="00872EF0"/>
    <w:rsid w:val="0087764D"/>
    <w:rsid w:val="00877B8D"/>
    <w:rsid w:val="00880174"/>
    <w:rsid w:val="00880E1F"/>
    <w:rsid w:val="00881DCE"/>
    <w:rsid w:val="00881DE8"/>
    <w:rsid w:val="00883321"/>
    <w:rsid w:val="00883699"/>
    <w:rsid w:val="008A0633"/>
    <w:rsid w:val="008A2808"/>
    <w:rsid w:val="008A3D57"/>
    <w:rsid w:val="008A764B"/>
    <w:rsid w:val="008A7B67"/>
    <w:rsid w:val="008B00C1"/>
    <w:rsid w:val="008B23BC"/>
    <w:rsid w:val="008B601C"/>
    <w:rsid w:val="008C26A1"/>
    <w:rsid w:val="008C4A41"/>
    <w:rsid w:val="008C4C21"/>
    <w:rsid w:val="008C4DF9"/>
    <w:rsid w:val="008C5529"/>
    <w:rsid w:val="008D0F25"/>
    <w:rsid w:val="008E1281"/>
    <w:rsid w:val="008E3D60"/>
    <w:rsid w:val="008E3F4C"/>
    <w:rsid w:val="008F25BB"/>
    <w:rsid w:val="008F41EA"/>
    <w:rsid w:val="008F497B"/>
    <w:rsid w:val="008F6B7B"/>
    <w:rsid w:val="008F7DE8"/>
    <w:rsid w:val="0090165F"/>
    <w:rsid w:val="00901B82"/>
    <w:rsid w:val="009109DA"/>
    <w:rsid w:val="0091270C"/>
    <w:rsid w:val="00912B09"/>
    <w:rsid w:val="00921898"/>
    <w:rsid w:val="0092341F"/>
    <w:rsid w:val="00927E9B"/>
    <w:rsid w:val="00930C0C"/>
    <w:rsid w:val="00940DB4"/>
    <w:rsid w:val="0094154A"/>
    <w:rsid w:val="00941A42"/>
    <w:rsid w:val="00941D81"/>
    <w:rsid w:val="00942A0D"/>
    <w:rsid w:val="009451AC"/>
    <w:rsid w:val="009453EF"/>
    <w:rsid w:val="00946DC2"/>
    <w:rsid w:val="0094749B"/>
    <w:rsid w:val="009504FC"/>
    <w:rsid w:val="00953F06"/>
    <w:rsid w:val="0096267B"/>
    <w:rsid w:val="0096362D"/>
    <w:rsid w:val="00963976"/>
    <w:rsid w:val="00966C2F"/>
    <w:rsid w:val="00966F2B"/>
    <w:rsid w:val="00971D2E"/>
    <w:rsid w:val="0097512B"/>
    <w:rsid w:val="00977B1E"/>
    <w:rsid w:val="0098056E"/>
    <w:rsid w:val="00980E2A"/>
    <w:rsid w:val="009828E9"/>
    <w:rsid w:val="00984460"/>
    <w:rsid w:val="00984661"/>
    <w:rsid w:val="00994C45"/>
    <w:rsid w:val="00995989"/>
    <w:rsid w:val="009A09E9"/>
    <w:rsid w:val="009A21E6"/>
    <w:rsid w:val="009A4D5B"/>
    <w:rsid w:val="009A5C41"/>
    <w:rsid w:val="009B2714"/>
    <w:rsid w:val="009B69F3"/>
    <w:rsid w:val="009C3DA8"/>
    <w:rsid w:val="009C7762"/>
    <w:rsid w:val="009C789B"/>
    <w:rsid w:val="009D09F2"/>
    <w:rsid w:val="009D38DF"/>
    <w:rsid w:val="009D67F6"/>
    <w:rsid w:val="009E0FE1"/>
    <w:rsid w:val="009E291C"/>
    <w:rsid w:val="009E41D0"/>
    <w:rsid w:val="009F23BB"/>
    <w:rsid w:val="009F24BB"/>
    <w:rsid w:val="009F4FC3"/>
    <w:rsid w:val="009F59BA"/>
    <w:rsid w:val="00A00BDA"/>
    <w:rsid w:val="00A01188"/>
    <w:rsid w:val="00A0163D"/>
    <w:rsid w:val="00A0406E"/>
    <w:rsid w:val="00A11307"/>
    <w:rsid w:val="00A13AF3"/>
    <w:rsid w:val="00A13C40"/>
    <w:rsid w:val="00A1554F"/>
    <w:rsid w:val="00A16428"/>
    <w:rsid w:val="00A1662F"/>
    <w:rsid w:val="00A21388"/>
    <w:rsid w:val="00A222D8"/>
    <w:rsid w:val="00A26AA6"/>
    <w:rsid w:val="00A27791"/>
    <w:rsid w:val="00A30726"/>
    <w:rsid w:val="00A30C0E"/>
    <w:rsid w:val="00A40FB8"/>
    <w:rsid w:val="00A41355"/>
    <w:rsid w:val="00A43B92"/>
    <w:rsid w:val="00A43F49"/>
    <w:rsid w:val="00A515E5"/>
    <w:rsid w:val="00A51828"/>
    <w:rsid w:val="00A54251"/>
    <w:rsid w:val="00A6179E"/>
    <w:rsid w:val="00A64316"/>
    <w:rsid w:val="00A6631C"/>
    <w:rsid w:val="00A7389D"/>
    <w:rsid w:val="00A804D9"/>
    <w:rsid w:val="00A91B85"/>
    <w:rsid w:val="00A929DF"/>
    <w:rsid w:val="00A92F92"/>
    <w:rsid w:val="00A96892"/>
    <w:rsid w:val="00AA132E"/>
    <w:rsid w:val="00AA2051"/>
    <w:rsid w:val="00AA4FD7"/>
    <w:rsid w:val="00AA66B6"/>
    <w:rsid w:val="00AA6C88"/>
    <w:rsid w:val="00AB258F"/>
    <w:rsid w:val="00AB3DB8"/>
    <w:rsid w:val="00AB69C4"/>
    <w:rsid w:val="00AC205F"/>
    <w:rsid w:val="00AC3EA8"/>
    <w:rsid w:val="00AD69B6"/>
    <w:rsid w:val="00AE4DFE"/>
    <w:rsid w:val="00AE5598"/>
    <w:rsid w:val="00AF0B91"/>
    <w:rsid w:val="00AF1AFF"/>
    <w:rsid w:val="00B01184"/>
    <w:rsid w:val="00B0543C"/>
    <w:rsid w:val="00B079CD"/>
    <w:rsid w:val="00B10D58"/>
    <w:rsid w:val="00B1102B"/>
    <w:rsid w:val="00B13CC7"/>
    <w:rsid w:val="00B148BF"/>
    <w:rsid w:val="00B14B4F"/>
    <w:rsid w:val="00B14BA7"/>
    <w:rsid w:val="00B17562"/>
    <w:rsid w:val="00B2264D"/>
    <w:rsid w:val="00B23FE1"/>
    <w:rsid w:val="00B24B1D"/>
    <w:rsid w:val="00B27519"/>
    <w:rsid w:val="00B277E0"/>
    <w:rsid w:val="00B323C3"/>
    <w:rsid w:val="00B34946"/>
    <w:rsid w:val="00B3601E"/>
    <w:rsid w:val="00B43964"/>
    <w:rsid w:val="00B519FD"/>
    <w:rsid w:val="00B520BC"/>
    <w:rsid w:val="00B52FE1"/>
    <w:rsid w:val="00B5680D"/>
    <w:rsid w:val="00B6030A"/>
    <w:rsid w:val="00B628A8"/>
    <w:rsid w:val="00B63D24"/>
    <w:rsid w:val="00B6465B"/>
    <w:rsid w:val="00B64EAD"/>
    <w:rsid w:val="00B70088"/>
    <w:rsid w:val="00B76BC1"/>
    <w:rsid w:val="00B7743B"/>
    <w:rsid w:val="00B7761A"/>
    <w:rsid w:val="00B80A60"/>
    <w:rsid w:val="00B80E84"/>
    <w:rsid w:val="00B83EC3"/>
    <w:rsid w:val="00B84896"/>
    <w:rsid w:val="00B900BC"/>
    <w:rsid w:val="00B9191D"/>
    <w:rsid w:val="00B924E6"/>
    <w:rsid w:val="00B93FD8"/>
    <w:rsid w:val="00B941DC"/>
    <w:rsid w:val="00B945A1"/>
    <w:rsid w:val="00B9481D"/>
    <w:rsid w:val="00B94AF1"/>
    <w:rsid w:val="00BA1FE3"/>
    <w:rsid w:val="00BA262D"/>
    <w:rsid w:val="00BA36D3"/>
    <w:rsid w:val="00BA3A7D"/>
    <w:rsid w:val="00BA4334"/>
    <w:rsid w:val="00BA5698"/>
    <w:rsid w:val="00BA79E0"/>
    <w:rsid w:val="00BB39D8"/>
    <w:rsid w:val="00BB5E49"/>
    <w:rsid w:val="00BC367B"/>
    <w:rsid w:val="00BC492B"/>
    <w:rsid w:val="00BC5AF4"/>
    <w:rsid w:val="00BC75FA"/>
    <w:rsid w:val="00BC79EB"/>
    <w:rsid w:val="00BD48D8"/>
    <w:rsid w:val="00BD6D76"/>
    <w:rsid w:val="00BD7FCF"/>
    <w:rsid w:val="00BE6884"/>
    <w:rsid w:val="00BF0BD1"/>
    <w:rsid w:val="00BF6E8D"/>
    <w:rsid w:val="00C072AE"/>
    <w:rsid w:val="00C105F6"/>
    <w:rsid w:val="00C13075"/>
    <w:rsid w:val="00C143B7"/>
    <w:rsid w:val="00C15626"/>
    <w:rsid w:val="00C245EE"/>
    <w:rsid w:val="00C25005"/>
    <w:rsid w:val="00C25BDA"/>
    <w:rsid w:val="00C26F69"/>
    <w:rsid w:val="00C302B3"/>
    <w:rsid w:val="00C3043D"/>
    <w:rsid w:val="00C33104"/>
    <w:rsid w:val="00C34C57"/>
    <w:rsid w:val="00C40F42"/>
    <w:rsid w:val="00C421D6"/>
    <w:rsid w:val="00C430C2"/>
    <w:rsid w:val="00C431A6"/>
    <w:rsid w:val="00C43CF8"/>
    <w:rsid w:val="00C47952"/>
    <w:rsid w:val="00C505BF"/>
    <w:rsid w:val="00C50E8C"/>
    <w:rsid w:val="00C5534B"/>
    <w:rsid w:val="00C55BE4"/>
    <w:rsid w:val="00C621B3"/>
    <w:rsid w:val="00C621B6"/>
    <w:rsid w:val="00C6559E"/>
    <w:rsid w:val="00C67167"/>
    <w:rsid w:val="00C704E2"/>
    <w:rsid w:val="00C7152E"/>
    <w:rsid w:val="00C76AE3"/>
    <w:rsid w:val="00C77B00"/>
    <w:rsid w:val="00C77E66"/>
    <w:rsid w:val="00C81BF0"/>
    <w:rsid w:val="00C84F9A"/>
    <w:rsid w:val="00C854D4"/>
    <w:rsid w:val="00C90556"/>
    <w:rsid w:val="00C91445"/>
    <w:rsid w:val="00CA0D78"/>
    <w:rsid w:val="00CA4855"/>
    <w:rsid w:val="00CB00E2"/>
    <w:rsid w:val="00CB24FE"/>
    <w:rsid w:val="00CB6383"/>
    <w:rsid w:val="00CC0228"/>
    <w:rsid w:val="00CC1B0E"/>
    <w:rsid w:val="00CC2A37"/>
    <w:rsid w:val="00CC56B0"/>
    <w:rsid w:val="00CC606C"/>
    <w:rsid w:val="00CD5688"/>
    <w:rsid w:val="00CD58FD"/>
    <w:rsid w:val="00CD79B8"/>
    <w:rsid w:val="00CD7B93"/>
    <w:rsid w:val="00CE41A7"/>
    <w:rsid w:val="00CF7374"/>
    <w:rsid w:val="00CF7F0F"/>
    <w:rsid w:val="00D05668"/>
    <w:rsid w:val="00D05692"/>
    <w:rsid w:val="00D1480B"/>
    <w:rsid w:val="00D1520A"/>
    <w:rsid w:val="00D16CB3"/>
    <w:rsid w:val="00D30623"/>
    <w:rsid w:val="00D30A61"/>
    <w:rsid w:val="00D343FA"/>
    <w:rsid w:val="00D40ACC"/>
    <w:rsid w:val="00D41868"/>
    <w:rsid w:val="00D418FF"/>
    <w:rsid w:val="00D454A1"/>
    <w:rsid w:val="00D50503"/>
    <w:rsid w:val="00D57C95"/>
    <w:rsid w:val="00D601BC"/>
    <w:rsid w:val="00D65C76"/>
    <w:rsid w:val="00D729AD"/>
    <w:rsid w:val="00D7321A"/>
    <w:rsid w:val="00D734C7"/>
    <w:rsid w:val="00D74175"/>
    <w:rsid w:val="00D75675"/>
    <w:rsid w:val="00D77968"/>
    <w:rsid w:val="00D81402"/>
    <w:rsid w:val="00D81E80"/>
    <w:rsid w:val="00D845CE"/>
    <w:rsid w:val="00D84B74"/>
    <w:rsid w:val="00D860D2"/>
    <w:rsid w:val="00D91258"/>
    <w:rsid w:val="00D91F83"/>
    <w:rsid w:val="00D94FC3"/>
    <w:rsid w:val="00DA2F73"/>
    <w:rsid w:val="00DA37F8"/>
    <w:rsid w:val="00DA4001"/>
    <w:rsid w:val="00DA53A0"/>
    <w:rsid w:val="00DA5B61"/>
    <w:rsid w:val="00DA714D"/>
    <w:rsid w:val="00DA7591"/>
    <w:rsid w:val="00DB33F7"/>
    <w:rsid w:val="00DB672F"/>
    <w:rsid w:val="00DC462F"/>
    <w:rsid w:val="00DC4FE2"/>
    <w:rsid w:val="00DC5848"/>
    <w:rsid w:val="00DC6E5E"/>
    <w:rsid w:val="00DC783D"/>
    <w:rsid w:val="00DD4C40"/>
    <w:rsid w:val="00DD6A21"/>
    <w:rsid w:val="00DD6F82"/>
    <w:rsid w:val="00DD732C"/>
    <w:rsid w:val="00DD789D"/>
    <w:rsid w:val="00DE0C44"/>
    <w:rsid w:val="00DE2A6E"/>
    <w:rsid w:val="00DE37F1"/>
    <w:rsid w:val="00DE60CA"/>
    <w:rsid w:val="00DE7630"/>
    <w:rsid w:val="00DF31AC"/>
    <w:rsid w:val="00DF3C8C"/>
    <w:rsid w:val="00DF5294"/>
    <w:rsid w:val="00E016BA"/>
    <w:rsid w:val="00E016C7"/>
    <w:rsid w:val="00E04779"/>
    <w:rsid w:val="00E104B1"/>
    <w:rsid w:val="00E12B87"/>
    <w:rsid w:val="00E20AC4"/>
    <w:rsid w:val="00E234C1"/>
    <w:rsid w:val="00E24B98"/>
    <w:rsid w:val="00E24E56"/>
    <w:rsid w:val="00E24FA3"/>
    <w:rsid w:val="00E25F85"/>
    <w:rsid w:val="00E26B28"/>
    <w:rsid w:val="00E27D8F"/>
    <w:rsid w:val="00E31465"/>
    <w:rsid w:val="00E328CD"/>
    <w:rsid w:val="00E36B95"/>
    <w:rsid w:val="00E370D3"/>
    <w:rsid w:val="00E4003F"/>
    <w:rsid w:val="00E43D5D"/>
    <w:rsid w:val="00E4578A"/>
    <w:rsid w:val="00E458F6"/>
    <w:rsid w:val="00E45954"/>
    <w:rsid w:val="00E47608"/>
    <w:rsid w:val="00E53C46"/>
    <w:rsid w:val="00E54B23"/>
    <w:rsid w:val="00E54BAD"/>
    <w:rsid w:val="00E55028"/>
    <w:rsid w:val="00E565C0"/>
    <w:rsid w:val="00E5672B"/>
    <w:rsid w:val="00E65964"/>
    <w:rsid w:val="00E71247"/>
    <w:rsid w:val="00E73E7A"/>
    <w:rsid w:val="00E77528"/>
    <w:rsid w:val="00E8339B"/>
    <w:rsid w:val="00E84ED9"/>
    <w:rsid w:val="00E86A00"/>
    <w:rsid w:val="00E86C98"/>
    <w:rsid w:val="00E912CF"/>
    <w:rsid w:val="00E91E52"/>
    <w:rsid w:val="00E92819"/>
    <w:rsid w:val="00EA3398"/>
    <w:rsid w:val="00EA44D9"/>
    <w:rsid w:val="00EA7427"/>
    <w:rsid w:val="00EB4C9F"/>
    <w:rsid w:val="00EB6A76"/>
    <w:rsid w:val="00EC49F4"/>
    <w:rsid w:val="00EC7B8E"/>
    <w:rsid w:val="00ED22E0"/>
    <w:rsid w:val="00EE2269"/>
    <w:rsid w:val="00EF052F"/>
    <w:rsid w:val="00EF128A"/>
    <w:rsid w:val="00EF71C3"/>
    <w:rsid w:val="00F006A6"/>
    <w:rsid w:val="00F01EFD"/>
    <w:rsid w:val="00F07125"/>
    <w:rsid w:val="00F12C26"/>
    <w:rsid w:val="00F13C20"/>
    <w:rsid w:val="00F14C6D"/>
    <w:rsid w:val="00F1680A"/>
    <w:rsid w:val="00F1770A"/>
    <w:rsid w:val="00F23474"/>
    <w:rsid w:val="00F23D27"/>
    <w:rsid w:val="00F27159"/>
    <w:rsid w:val="00F3129F"/>
    <w:rsid w:val="00F31682"/>
    <w:rsid w:val="00F33434"/>
    <w:rsid w:val="00F369C6"/>
    <w:rsid w:val="00F411B0"/>
    <w:rsid w:val="00F539E3"/>
    <w:rsid w:val="00F6356B"/>
    <w:rsid w:val="00F66F60"/>
    <w:rsid w:val="00F67B23"/>
    <w:rsid w:val="00F717F3"/>
    <w:rsid w:val="00F723C1"/>
    <w:rsid w:val="00F77057"/>
    <w:rsid w:val="00F84A32"/>
    <w:rsid w:val="00F87A5E"/>
    <w:rsid w:val="00F913BE"/>
    <w:rsid w:val="00FA4916"/>
    <w:rsid w:val="00FA638D"/>
    <w:rsid w:val="00FB2246"/>
    <w:rsid w:val="00FB7B98"/>
    <w:rsid w:val="00FD01B5"/>
    <w:rsid w:val="00FD45F2"/>
    <w:rsid w:val="00FD769A"/>
    <w:rsid w:val="00FE0653"/>
    <w:rsid w:val="00FE159E"/>
    <w:rsid w:val="00FE1E16"/>
    <w:rsid w:val="00FE22E8"/>
    <w:rsid w:val="00FE32BF"/>
    <w:rsid w:val="00FE3584"/>
    <w:rsid w:val="00FF0461"/>
    <w:rsid w:val="00FF5C34"/>
    <w:rsid w:val="00FF6FE9"/>
    <w:rsid w:val="00FF7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C7C0466"/>
  <w15:docId w15:val="{AEA62705-3D8C-488F-BF0D-C80D95BB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aliases w:val="List Bullet 2 (Quotes),List Bullet (Quotations)"/>
    <w:basedOn w:val="Normal"/>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C621B6"/>
    <w:pPr>
      <w:ind w:left="720"/>
      <w:contextualSpacing/>
    </w:pPr>
  </w:style>
  <w:style w:type="character" w:styleId="CommentReference">
    <w:name w:val="annotation reference"/>
    <w:basedOn w:val="DefaultParagraphFont"/>
    <w:semiHidden/>
    <w:unhideWhenUsed/>
    <w:locked/>
    <w:rsid w:val="00083FA3"/>
    <w:rPr>
      <w:sz w:val="16"/>
      <w:szCs w:val="16"/>
    </w:rPr>
  </w:style>
  <w:style w:type="paragraph" w:styleId="CommentText">
    <w:name w:val="annotation text"/>
    <w:basedOn w:val="Normal"/>
    <w:link w:val="CommentTextChar"/>
    <w:semiHidden/>
    <w:unhideWhenUsed/>
    <w:locked/>
    <w:rsid w:val="00083FA3"/>
    <w:rPr>
      <w:sz w:val="20"/>
      <w:szCs w:val="20"/>
    </w:rPr>
  </w:style>
  <w:style w:type="character" w:customStyle="1" w:styleId="CommentTextChar">
    <w:name w:val="Comment Text Char"/>
    <w:basedOn w:val="DefaultParagraphFont"/>
    <w:link w:val="CommentText"/>
    <w:semiHidden/>
    <w:rsid w:val="00083FA3"/>
    <w:rPr>
      <w:rFonts w:ascii="Arial" w:eastAsia="MS Mincho" w:hAnsi="Arial"/>
    </w:rPr>
  </w:style>
  <w:style w:type="paragraph" w:styleId="CommentSubject">
    <w:name w:val="annotation subject"/>
    <w:basedOn w:val="CommentText"/>
    <w:next w:val="CommentText"/>
    <w:link w:val="CommentSubjectChar"/>
    <w:semiHidden/>
    <w:unhideWhenUsed/>
    <w:locked/>
    <w:rsid w:val="00083FA3"/>
    <w:rPr>
      <w:b/>
      <w:bCs/>
    </w:rPr>
  </w:style>
  <w:style w:type="character" w:customStyle="1" w:styleId="CommentSubjectChar">
    <w:name w:val="Comment Subject Char"/>
    <w:basedOn w:val="CommentTextChar"/>
    <w:link w:val="CommentSubject"/>
    <w:semiHidden/>
    <w:rsid w:val="00083FA3"/>
    <w:rPr>
      <w:rFonts w:ascii="Arial" w:eastAsia="MS Mincho" w:hAnsi="Arial"/>
      <w:b/>
      <w:bCs/>
    </w:rPr>
  </w:style>
  <w:style w:type="character" w:customStyle="1" w:styleId="FootnoteTextChar">
    <w:name w:val="Footnote Text Char"/>
    <w:basedOn w:val="DefaultParagraphFont"/>
    <w:link w:val="FootnoteText"/>
    <w:semiHidden/>
    <w:locked/>
    <w:rsid w:val="00EC49F4"/>
    <w:rPr>
      <w:rFonts w:ascii="Arial" w:eastAsia="MS Mincho" w:hAnsi="Arial"/>
    </w:rPr>
  </w:style>
  <w:style w:type="character" w:customStyle="1" w:styleId="webkit-html-attribute-value">
    <w:name w:val="webkit-html-attribute-value"/>
    <w:basedOn w:val="DefaultParagraphFont"/>
    <w:rsid w:val="00C1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62">
      <w:bodyDiv w:val="1"/>
      <w:marLeft w:val="0"/>
      <w:marRight w:val="0"/>
      <w:marTop w:val="0"/>
      <w:marBottom w:val="0"/>
      <w:divBdr>
        <w:top w:val="none" w:sz="0" w:space="0" w:color="auto"/>
        <w:left w:val="none" w:sz="0" w:space="0" w:color="auto"/>
        <w:bottom w:val="none" w:sz="0" w:space="0" w:color="auto"/>
        <w:right w:val="none" w:sz="0" w:space="0" w:color="auto"/>
      </w:divBdr>
    </w:div>
    <w:div w:id="33496565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79263286">
      <w:bodyDiv w:val="1"/>
      <w:marLeft w:val="0"/>
      <w:marRight w:val="0"/>
      <w:marTop w:val="0"/>
      <w:marBottom w:val="0"/>
      <w:divBdr>
        <w:top w:val="none" w:sz="0" w:space="0" w:color="auto"/>
        <w:left w:val="none" w:sz="0" w:space="0" w:color="auto"/>
        <w:bottom w:val="none" w:sz="0" w:space="0" w:color="auto"/>
        <w:right w:val="none" w:sz="0" w:space="0" w:color="auto"/>
      </w:divBdr>
    </w:div>
    <w:div w:id="17051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Final%20products\Submissions\Submissions%202017\Australian%20Citizenship%20amendments\Submission\17.07.21%20Submission%20re%20Citizenship%20(Strengthening%20Requirements)%20Bil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3" Type="http://schemas.openxmlformats.org/officeDocument/2006/relationships/hyperlink" Target="http://www.minister.border.gov.au/peterdutton/Pages/Strengthening-the-integrity-of-Australian-citizenship.aspx" TargetMode="External"/><Relationship Id="rId18" Type="http://schemas.openxmlformats.org/officeDocument/2006/relationships/hyperlink" Target="http://www.alrc.gov.au/publications/freedoms-alrc129" TargetMode="External"/><Relationship Id="rId26" Type="http://schemas.openxmlformats.org/officeDocument/2006/relationships/hyperlink" Target="https://www.border.gov.au/ReportsandPublications/Documents/discussion-papers/citizenship-paper.pdf" TargetMode="External"/><Relationship Id="rId39" Type="http://schemas.openxmlformats.org/officeDocument/2006/relationships/hyperlink" Target="http://www.aph.gov.au/Parliamentary_Business/Committees/Senate/Legal_and_Constitutional_Affairs/Australian_Citizenship/Additional_Documents" TargetMode="External"/><Relationship Id="rId21" Type="http://schemas.openxmlformats.org/officeDocument/2006/relationships/hyperlink" Target="http://www.minister.border.gov.au/peterdutton/Pages/Joint-Press-Conference-with-the-PM,-Parliament-House.aspx" TargetMode="External"/><Relationship Id="rId34" Type="http://schemas.openxmlformats.org/officeDocument/2006/relationships/hyperlink" Target="http://www.arc.ag.gov.au/Documents/ARC+REPORT+39.pdf" TargetMode="External"/><Relationship Id="rId42" Type="http://schemas.openxmlformats.org/officeDocument/2006/relationships/hyperlink" Target="http://www.aph.gov.au/Parliamentary_Business/Committees/Senate/Legal_and_Constitutional_Affairs/Australian_Citizenship/Additional_Documents" TargetMode="External"/><Relationship Id="rId47" Type="http://schemas.openxmlformats.org/officeDocument/2006/relationships/hyperlink" Target="http://www.alrc.gov.au/publications/freedoms-alrc129" TargetMode="External"/><Relationship Id="rId50" Type="http://schemas.openxmlformats.org/officeDocument/2006/relationships/hyperlink" Target="http://tbinternet.ohchr.org/_layouts/treatybodyexternal/Download.aspx?symbolno=INT%2fCCPR%2fGEC%2f6623&amp;Lang=en" TargetMode="External"/><Relationship Id="rId55" Type="http://schemas.openxmlformats.org/officeDocument/2006/relationships/hyperlink" Target="http://tbinternet.ohchr.org/_layouts/treatybodyexternal/Download.aspx?symbolno=CRC%2fC%2fGC%2f14&amp;Lang=en" TargetMode="External"/><Relationship Id="rId7" Type="http://schemas.openxmlformats.org/officeDocument/2006/relationships/hyperlink" Target="https://www.humanrights.gov.au/news/speeches/inclusion-citizenship-and-race" TargetMode="External"/><Relationship Id="rId2" Type="http://schemas.openxmlformats.org/officeDocument/2006/relationships/hyperlink" Target="http://www.minister.border.gov.au/peterdutton/Pages/Strengthening-the-integrity-of-Australian-citizenship.aspx" TargetMode="External"/><Relationship Id="rId16" Type="http://schemas.openxmlformats.org/officeDocument/2006/relationships/hyperlink" Target="http://www.refugeecouncil.org.au/publications/strength-within-community-organisations-settlement/" TargetMode="External"/><Relationship Id="rId20" Type="http://schemas.openxmlformats.org/officeDocument/2006/relationships/hyperlink" Target="http://www.minister.border.gov.au/peterdutton/Pages/Joint-Press-Conference-with-the-PM,-Parliament-House.aspx" TargetMode="External"/><Relationship Id="rId29" Type="http://schemas.openxmlformats.org/officeDocument/2006/relationships/hyperlink" Target="https://www.border.gov.au/Citizenship/Documents/australian-citizenship-report.PDF" TargetMode="External"/><Relationship Id="rId41" Type="http://schemas.openxmlformats.org/officeDocument/2006/relationships/hyperlink" Target="http://parlinfo.aph.gov.au/parlInfo/download/committees/commsen/d94920cf-54e5-4743-8722-fde007e86471/toc_pdf/Legal%20and%20Constitutional%20Affairs%20Legislation%20Committee_2014_11_10_3048_Official.pdf;fileType=application%2Fpdf" TargetMode="External"/><Relationship Id="rId54" Type="http://schemas.openxmlformats.org/officeDocument/2006/relationships/hyperlink" Target="http://www.humanrights.gov.au/publications/aushrc-54-pak-family-v-commonwealth-australia-department-immigration-citizenship" TargetMode="External"/><Relationship Id="rId1" Type="http://schemas.openxmlformats.org/officeDocument/2006/relationships/hyperlink" Target="http://www.aph.gov.au/Parliamentary_Business/Committees/Senate/Legal_and_Constitutional_Affairs/Australian_Citizenship" TargetMode="External"/><Relationship Id="rId6" Type="http://schemas.openxmlformats.org/officeDocument/2006/relationships/hyperlink" Target="http://www.abc.net.au/news/factcheck/2017-06-28/tony-burke-citizenship-test-university-level-english-dutton/8656754" TargetMode="External"/><Relationship Id="rId11" Type="http://schemas.openxmlformats.org/officeDocument/2006/relationships/hyperlink" Target="https://www.border.gov.au/Citizenship/Documents/australian-citizenship-report.PDF" TargetMode="External"/><Relationship Id="rId24" Type="http://schemas.openxmlformats.org/officeDocument/2006/relationships/hyperlink" Target="https://www.border.gov.au/ReportsandPublications/Documents/discussion-papers/citizenship-paper.pdf" TargetMode="External"/><Relationship Id="rId32" Type="http://schemas.openxmlformats.org/officeDocument/2006/relationships/hyperlink" Target="http://www.arc.ag.gov.au/Documents/ARC+REPORT+39.pdf" TargetMode="External"/><Relationship Id="rId37" Type="http://schemas.openxmlformats.org/officeDocument/2006/relationships/hyperlink" Target="http://www.aph.gov.au/~/media/Committees/Senate/committee/scrutiny/scrutiny_digest/PDF/d07.pdf?la=en" TargetMode="External"/><Relationship Id="rId40" Type="http://schemas.openxmlformats.org/officeDocument/2006/relationships/hyperlink" Target="http://www.arc.ag.gov.au/Publications/Reports/Pages/Downloads/Whatdecisionsshouldbesubjecttomeritreview1999.aspx" TargetMode="External"/><Relationship Id="rId45" Type="http://schemas.openxmlformats.org/officeDocument/2006/relationships/hyperlink" Target="http://www.refworld.org/pdfid/533a754b4.pdf" TargetMode="External"/><Relationship Id="rId53" Type="http://schemas.openxmlformats.org/officeDocument/2006/relationships/hyperlink" Target="http://www.humanrights.gov.au/publications/aushrc-54-pak-family-v-commonwealth-australia-department-immigration-citizenship" TargetMode="External"/><Relationship Id="rId58" Type="http://schemas.openxmlformats.org/officeDocument/2006/relationships/hyperlink" Target="http://www2.ohchr.org/english/bodies/crc/docs/CRC.C.GC.10.pdf" TargetMode="External"/><Relationship Id="rId5" Type="http://schemas.openxmlformats.org/officeDocument/2006/relationships/hyperlink" Target="http://www.minister.border.gov.au/peterdutton/Pages/smokescreen.aspx" TargetMode="External"/><Relationship Id="rId15" Type="http://schemas.openxmlformats.org/officeDocument/2006/relationships/hyperlink" Target="https://www.border.gov.au/ReportsandPublications/Documents/research/economic-social-civic-contributions-about-the-research2011.pdf" TargetMode="External"/><Relationship Id="rId23" Type="http://schemas.openxmlformats.org/officeDocument/2006/relationships/hyperlink" Target="http://www.minister.border.gov.au/peterdutton/Pages/Strengthening-the-integrity-of-Australian-citizenship.aspx" TargetMode="External"/><Relationship Id="rId28" Type="http://schemas.openxmlformats.org/officeDocument/2006/relationships/hyperlink" Target="http://www.border.gov.au/Trav/Citi/pathways-processes/Citizenship-test/need-sit-test/new-course" TargetMode="External"/><Relationship Id="rId36" Type="http://schemas.openxmlformats.org/officeDocument/2006/relationships/hyperlink" Target="http://tbinternet.ohchr.org/_layouts/treatybodyexternal/Download.aspx?symbolno=CCPR%2fC%2fGC%2f32&amp;Lang=en" TargetMode="External"/><Relationship Id="rId49" Type="http://schemas.openxmlformats.org/officeDocument/2006/relationships/hyperlink" Target="http://www.alrc.gov.au/publications/freedoms-alrc129" TargetMode="External"/><Relationship Id="rId57" Type="http://schemas.openxmlformats.org/officeDocument/2006/relationships/hyperlink" Target="http://www2.ohchr.org/english/bodies/crc/docs/CRC.C.GC.10.pdf" TargetMode="External"/><Relationship Id="rId61" Type="http://schemas.openxmlformats.org/officeDocument/2006/relationships/hyperlink" Target="https://www.border.gov.au/LifeinAustralia/Documents/lia_english_full.pdf" TargetMode="External"/><Relationship Id="rId10" Type="http://schemas.openxmlformats.org/officeDocument/2006/relationships/hyperlink" Target="https://www.border.gov.au/Citizenship/Documents/australian-citizenship-report.PDF" TargetMode="External"/><Relationship Id="rId19" Type="http://schemas.openxmlformats.org/officeDocument/2006/relationships/hyperlink" Target="https://www.border.gov.au/ReportsandPublications/Documents/discussion-papers/citizenship-paper.pdf" TargetMode="External"/><Relationship Id="rId31" Type="http://schemas.openxmlformats.org/officeDocument/2006/relationships/hyperlink" Target="http://www.alrc.gov.au/publications/freedoms-alrc129" TargetMode="External"/><Relationship Id="rId44" Type="http://schemas.openxmlformats.org/officeDocument/2006/relationships/hyperlink" Target="http://www.aph.gov.au/Parliamentary_Business/Committees/Senate/Legal_and_Constitutional_Affairs/Australian_Citizenship/Report" TargetMode="External"/><Relationship Id="rId52" Type="http://schemas.openxmlformats.org/officeDocument/2006/relationships/hyperlink" Target="http://www.unhcr.org/4bc2ddeb9.pdf" TargetMode="External"/><Relationship Id="rId60" Type="http://schemas.openxmlformats.org/officeDocument/2006/relationships/hyperlink" Target="http://www.abs.gov.au/ausstats/abs@.nsf/Lookup/by%20Subject/4519.0~2015-16~Main%20Features~Youth%20offenders~4" TargetMode="External"/><Relationship Id="rId4" Type="http://schemas.openxmlformats.org/officeDocument/2006/relationships/hyperlink" Target="http://www.minister.border.gov.au/peterdutton/Pages/Joint-Press-Conference-with-the-PM,-Parliament-House.aspx" TargetMode="External"/><Relationship Id="rId9" Type="http://schemas.openxmlformats.org/officeDocument/2006/relationships/hyperlink" Target="http://insidestory.org.au/a-new-class-of-migrants-the-never-to-be-citizens" TargetMode="External"/><Relationship Id="rId14" Type="http://schemas.openxmlformats.org/officeDocument/2006/relationships/hyperlink" Target="https://www.border.gov.au/ReportsandPublications/Documents/discussion-papers/citizenship-paper.pdf" TargetMode="External"/><Relationship Id="rId22" Type="http://schemas.openxmlformats.org/officeDocument/2006/relationships/hyperlink" Target="http://www.minister.border.gov.au/peterdutton/Pages/Joint-Press-Conference-with-the-PM,-Parliament-House.aspx" TargetMode="External"/><Relationship Id="rId27" Type="http://schemas.openxmlformats.org/officeDocument/2006/relationships/hyperlink" Target="https://www.border.gov.au/ReportsandPublications/Documents/discussion-papers/citizenship-paper.pdf" TargetMode="External"/><Relationship Id="rId30" Type="http://schemas.openxmlformats.org/officeDocument/2006/relationships/hyperlink" Target="http://www.arc.ag.gov.au/Documents/ARC+REPORT+39.pdf" TargetMode="External"/><Relationship Id="rId35" Type="http://schemas.openxmlformats.org/officeDocument/2006/relationships/hyperlink" Target="http://tbinternet.ohchr.org/_layouts/treatybodyexternal/Download.aspx?symbolno=CCPR%2fC%2fGC%2f32&amp;Lang=en" TargetMode="External"/><Relationship Id="rId43" Type="http://schemas.openxmlformats.org/officeDocument/2006/relationships/hyperlink" Target="http://www.aph.gov.au/Parliamentary_Business/Committees/Senate/Legal_and_Constitutional_Affairs/Australian_Citizenship/Additional_Documents" TargetMode="External"/><Relationship Id="rId48" Type="http://schemas.openxmlformats.org/officeDocument/2006/relationships/hyperlink" Target="http://www.aph.gov.au/~/media/Committees/Senate/committee/scrutiny/scrutiny_digest/PDF/d07.pdf?la=en" TargetMode="External"/><Relationship Id="rId56" Type="http://schemas.openxmlformats.org/officeDocument/2006/relationships/hyperlink" Target="http://www2.ohchr.org/english/bodies/crc/docs/CRC.C.GC.10.pdf" TargetMode="External"/><Relationship Id="rId8" Type="http://schemas.openxmlformats.org/officeDocument/2006/relationships/hyperlink" Target="https://www.vu.edu.au/study-at-vu/how-to-apply/international-applicants/entry-requirements" TargetMode="External"/><Relationship Id="rId51" Type="http://schemas.openxmlformats.org/officeDocument/2006/relationships/hyperlink" Target="http://tbinternet.ohchr.org/_layouts/treatybodyexternal/Download.aspx?symbolno=INT%2fCCPR%2fGEC%2f6623&amp;Lang=en" TargetMode="External"/><Relationship Id="rId3" Type="http://schemas.openxmlformats.org/officeDocument/2006/relationships/hyperlink" Target="https://www.border.gov.au/ReportsandPublications/Documents/discussion-papers/citizenship-paper.pdf" TargetMode="External"/><Relationship Id="rId12" Type="http://schemas.openxmlformats.org/officeDocument/2006/relationships/hyperlink" Target="https://docs.education.gov.au/system/files/doc/other/amep_evalution_report_-_for_public_release.pdf" TargetMode="External"/><Relationship Id="rId17" Type="http://schemas.openxmlformats.org/officeDocument/2006/relationships/hyperlink" Target="http://www.aph.gov.au/~/media/Committees/Senate/committee/scrutiny/scrutiny_digest/PDF/d07.pdf?la=en" TargetMode="External"/><Relationship Id="rId25" Type="http://schemas.openxmlformats.org/officeDocument/2006/relationships/hyperlink" Target="https://www.border.gov.au/ReportsandPublications/Documents/discussion-papers/citizenship-paper.pdf" TargetMode="External"/><Relationship Id="rId33" Type="http://schemas.openxmlformats.org/officeDocument/2006/relationships/hyperlink" Target="http://www.arc.ag.gov.au/Publications/Reports/Pages/Downloads/Whatdecisionsshouldbesubjecttomeritreview1999.aspx" TargetMode="External"/><Relationship Id="rId38" Type="http://schemas.openxmlformats.org/officeDocument/2006/relationships/hyperlink" Target="http://www.aat.gov.au/about-the-aat/corporate-information/annual-reports" TargetMode="External"/><Relationship Id="rId46" Type="http://schemas.openxmlformats.org/officeDocument/2006/relationships/hyperlink" Target="http://www.refworld.org/pdfid/533a754b4.pdf" TargetMode="External"/><Relationship Id="rId59" Type="http://schemas.openxmlformats.org/officeDocument/2006/relationships/hyperlink" Target="https://www.humanrights.gov.au/our-work/childrens-rights/publications/childrens-rights-report-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395B-FF39-4AA2-A5E2-2F4064E3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41</Pages>
  <Words>14039</Words>
  <Characters>75248</Characters>
  <Application>Microsoft Office Word</Application>
  <DocSecurity>0</DocSecurity>
  <Lines>627</Lines>
  <Paragraphs>178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89109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Graeme Edgerton</dc:creator>
  <cp:lastModifiedBy>Graeme Edgerton</cp:lastModifiedBy>
  <cp:revision>8</cp:revision>
  <cp:lastPrinted>2017-07-21T05:04:00Z</cp:lastPrinted>
  <dcterms:created xsi:type="dcterms:W3CDTF">2017-07-20T04:08:00Z</dcterms:created>
  <dcterms:modified xsi:type="dcterms:W3CDTF">2017-07-21T05:06:00Z</dcterms:modified>
</cp:coreProperties>
</file>