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C95AB" w14:textId="77777777" w:rsidR="005B3E8D" w:rsidRDefault="005B3E8D" w:rsidP="005B3E8D">
      <w:pPr>
        <w:pStyle w:val="Title"/>
        <w:jc w:val="center"/>
        <w:rPr>
          <w:i/>
        </w:rPr>
      </w:pPr>
      <w:r w:rsidRPr="006C575A">
        <w:rPr>
          <w:i/>
        </w:rPr>
        <w:t>Communiqu</w:t>
      </w:r>
      <w:r>
        <w:rPr>
          <w:i/>
        </w:rPr>
        <w:t>é</w:t>
      </w:r>
    </w:p>
    <w:p w14:paraId="4726A274" w14:textId="525819E4" w:rsidR="005B3E8D" w:rsidRPr="006C575A" w:rsidRDefault="005B3E8D" w:rsidP="005B3E8D">
      <w:pPr>
        <w:pStyle w:val="Title"/>
        <w:jc w:val="center"/>
        <w:rPr>
          <w:i/>
        </w:rPr>
      </w:pPr>
      <w:r>
        <w:t>Indigenous Property Rights</w:t>
      </w:r>
      <w:r w:rsidR="006F5E25">
        <w:t xml:space="preserve"> Banking</w:t>
      </w:r>
      <w:r>
        <w:t xml:space="preserve"> Roundtable </w:t>
      </w:r>
      <w:r w:rsidR="006F5E25">
        <w:t xml:space="preserve"> </w:t>
      </w:r>
      <w:r>
        <w:t xml:space="preserve">- </w:t>
      </w:r>
      <w:r w:rsidR="006F5E25" w:rsidRPr="006F5E25">
        <w:t>Minjerribah, Queensland</w:t>
      </w:r>
      <w:r>
        <w:t xml:space="preserve"> 1</w:t>
      </w:r>
      <w:r w:rsidR="006F5E25">
        <w:t>7</w:t>
      </w:r>
      <w:r>
        <w:t>-</w:t>
      </w:r>
      <w:r w:rsidR="006F5E25">
        <w:t>18</w:t>
      </w:r>
      <w:r>
        <w:t xml:space="preserve"> May 201</w:t>
      </w:r>
      <w:r w:rsidR="006F5E25">
        <w:t>6</w:t>
      </w:r>
    </w:p>
    <w:p w14:paraId="1E865B58" w14:textId="41555AE1" w:rsidR="00DA1580" w:rsidRPr="006F2FC9" w:rsidRDefault="00637B4F">
      <w:pPr>
        <w:rPr>
          <w:sz w:val="24"/>
          <w:szCs w:val="24"/>
        </w:rPr>
      </w:pPr>
      <w:r w:rsidRPr="006F2FC9">
        <w:rPr>
          <w:sz w:val="24"/>
          <w:szCs w:val="24"/>
        </w:rPr>
        <w:t>T</w:t>
      </w:r>
      <w:r w:rsidR="00DA1580" w:rsidRPr="006F2FC9">
        <w:rPr>
          <w:sz w:val="24"/>
          <w:szCs w:val="24"/>
        </w:rPr>
        <w:t>his Roundtable was held on Minjerribah and hosted by the</w:t>
      </w:r>
      <w:r w:rsidR="006F2FC9">
        <w:rPr>
          <w:sz w:val="24"/>
          <w:szCs w:val="24"/>
        </w:rPr>
        <w:t xml:space="preserve"> Traditional Owners, the </w:t>
      </w:r>
      <w:r w:rsidR="00DA1580" w:rsidRPr="006F2FC9">
        <w:rPr>
          <w:sz w:val="24"/>
          <w:szCs w:val="24"/>
        </w:rPr>
        <w:t>Quandamooka people. The Roundta</w:t>
      </w:r>
      <w:r w:rsidR="0047767E" w:rsidRPr="006F2FC9">
        <w:rPr>
          <w:sz w:val="24"/>
          <w:szCs w:val="24"/>
        </w:rPr>
        <w:t>ble acknowledged and thank</w:t>
      </w:r>
      <w:r w:rsidR="006F2FC9">
        <w:rPr>
          <w:sz w:val="24"/>
          <w:szCs w:val="24"/>
        </w:rPr>
        <w:t>ed</w:t>
      </w:r>
      <w:r w:rsidR="0047767E" w:rsidRPr="006F2FC9">
        <w:rPr>
          <w:sz w:val="24"/>
          <w:szCs w:val="24"/>
        </w:rPr>
        <w:t xml:space="preserve"> the Traditional O</w:t>
      </w:r>
      <w:r w:rsidR="00DA1580" w:rsidRPr="006F2FC9">
        <w:rPr>
          <w:sz w:val="24"/>
          <w:szCs w:val="24"/>
        </w:rPr>
        <w:t xml:space="preserve">wners for allowing us on their </w:t>
      </w:r>
      <w:r w:rsidR="001E489D">
        <w:rPr>
          <w:sz w:val="24"/>
          <w:szCs w:val="24"/>
        </w:rPr>
        <w:t>country and the</w:t>
      </w:r>
      <w:r w:rsidR="006567E9">
        <w:rPr>
          <w:sz w:val="24"/>
          <w:szCs w:val="24"/>
        </w:rPr>
        <w:t xml:space="preserve"> generous </w:t>
      </w:r>
      <w:r w:rsidR="00DA1580" w:rsidRPr="006F2FC9">
        <w:rPr>
          <w:sz w:val="24"/>
          <w:szCs w:val="24"/>
        </w:rPr>
        <w:t xml:space="preserve">sharing </w:t>
      </w:r>
      <w:r w:rsidR="006567E9">
        <w:rPr>
          <w:sz w:val="24"/>
          <w:szCs w:val="24"/>
        </w:rPr>
        <w:t xml:space="preserve">of </w:t>
      </w:r>
      <w:r w:rsidR="00DA1580" w:rsidRPr="006F2FC9">
        <w:rPr>
          <w:sz w:val="24"/>
          <w:szCs w:val="24"/>
        </w:rPr>
        <w:t>their stories with us.</w:t>
      </w:r>
    </w:p>
    <w:p w14:paraId="236AF6F1" w14:textId="77777777" w:rsidR="00267357" w:rsidRPr="006F2FC9" w:rsidRDefault="00DA1580">
      <w:pPr>
        <w:rPr>
          <w:sz w:val="24"/>
          <w:szCs w:val="24"/>
        </w:rPr>
      </w:pPr>
      <w:r w:rsidRPr="006F2FC9">
        <w:rPr>
          <w:sz w:val="24"/>
          <w:szCs w:val="24"/>
        </w:rPr>
        <w:t>The</w:t>
      </w:r>
      <w:r w:rsidR="00267357" w:rsidRPr="006F2FC9">
        <w:rPr>
          <w:sz w:val="24"/>
          <w:szCs w:val="24"/>
        </w:rPr>
        <w:t xml:space="preserve"> purpose of this Roundtable was to establish a relationship between Aboriginal and Torres Strait Islander peoples and the financial sector that will:</w:t>
      </w:r>
    </w:p>
    <w:p w14:paraId="59904953" w14:textId="6D776A19" w:rsidR="00267357" w:rsidRPr="006F2FC9" w:rsidRDefault="00267357" w:rsidP="00267357">
      <w:pPr>
        <w:pStyle w:val="ListParagraph"/>
        <w:numPr>
          <w:ilvl w:val="0"/>
          <w:numId w:val="2"/>
        </w:numPr>
        <w:rPr>
          <w:sz w:val="24"/>
          <w:szCs w:val="24"/>
        </w:rPr>
      </w:pPr>
      <w:r w:rsidRPr="006F2FC9">
        <w:rPr>
          <w:sz w:val="24"/>
          <w:szCs w:val="24"/>
        </w:rPr>
        <w:t>Facilitate the realisation of economic benefit from the Indigenous Estate</w:t>
      </w:r>
      <w:r w:rsidR="006F2FC9">
        <w:rPr>
          <w:sz w:val="24"/>
          <w:szCs w:val="24"/>
        </w:rPr>
        <w:t>.</w:t>
      </w:r>
    </w:p>
    <w:p w14:paraId="0F59E3D3" w14:textId="192E3E24" w:rsidR="00267357" w:rsidRPr="006F2FC9" w:rsidRDefault="00267357" w:rsidP="00267357">
      <w:pPr>
        <w:pStyle w:val="ListParagraph"/>
        <w:numPr>
          <w:ilvl w:val="0"/>
          <w:numId w:val="2"/>
        </w:numPr>
        <w:rPr>
          <w:sz w:val="24"/>
          <w:szCs w:val="24"/>
        </w:rPr>
      </w:pPr>
      <w:r w:rsidRPr="006F2FC9">
        <w:rPr>
          <w:sz w:val="24"/>
          <w:szCs w:val="24"/>
        </w:rPr>
        <w:t>Identify areas of reform necessary to enable the finance sector to partner with Aboriginal and Torres Strait Islander property rights holders</w:t>
      </w:r>
      <w:r w:rsidR="006F2FC9">
        <w:rPr>
          <w:sz w:val="24"/>
          <w:szCs w:val="24"/>
        </w:rPr>
        <w:t>.</w:t>
      </w:r>
    </w:p>
    <w:p w14:paraId="0685D3FF" w14:textId="1E12A4B3" w:rsidR="00267357" w:rsidRPr="006F2FC9" w:rsidRDefault="00267357" w:rsidP="00267357">
      <w:pPr>
        <w:pStyle w:val="ListParagraph"/>
        <w:numPr>
          <w:ilvl w:val="0"/>
          <w:numId w:val="2"/>
        </w:numPr>
        <w:rPr>
          <w:sz w:val="24"/>
          <w:szCs w:val="24"/>
        </w:rPr>
      </w:pPr>
      <w:r w:rsidRPr="006F2FC9">
        <w:rPr>
          <w:sz w:val="24"/>
          <w:szCs w:val="24"/>
        </w:rPr>
        <w:t>Engage in the advocacy for those areas of reform</w:t>
      </w:r>
      <w:r w:rsidR="006F2FC9">
        <w:rPr>
          <w:sz w:val="24"/>
          <w:szCs w:val="24"/>
        </w:rPr>
        <w:t>.</w:t>
      </w:r>
    </w:p>
    <w:p w14:paraId="6F3CD09B" w14:textId="4F46F295" w:rsidR="00E13012" w:rsidRPr="006F5E25" w:rsidRDefault="008B0A1B">
      <w:pPr>
        <w:rPr>
          <w:rFonts w:asciiTheme="majorHAnsi" w:hAnsiTheme="majorHAnsi"/>
          <w:b/>
          <w:color w:val="44546A" w:themeColor="text2"/>
          <w:sz w:val="32"/>
          <w:szCs w:val="32"/>
        </w:rPr>
      </w:pPr>
      <w:r w:rsidRPr="006F5E25">
        <w:rPr>
          <w:rFonts w:asciiTheme="majorHAnsi" w:hAnsiTheme="majorHAnsi"/>
          <w:b/>
          <w:color w:val="44546A" w:themeColor="text2"/>
          <w:sz w:val="32"/>
          <w:szCs w:val="32"/>
        </w:rPr>
        <w:t xml:space="preserve">Mapping the Indigenous Estate - </w:t>
      </w:r>
      <w:r w:rsidR="00E13012" w:rsidRPr="006F5E25">
        <w:rPr>
          <w:rFonts w:asciiTheme="majorHAnsi" w:hAnsiTheme="majorHAnsi"/>
          <w:b/>
          <w:color w:val="44546A" w:themeColor="text2"/>
          <w:sz w:val="32"/>
          <w:szCs w:val="32"/>
        </w:rPr>
        <w:t>The Quandamooka Atlas</w:t>
      </w:r>
    </w:p>
    <w:p w14:paraId="13899F96" w14:textId="5319F37F" w:rsidR="00E43397" w:rsidRDefault="0047767E">
      <w:pPr>
        <w:rPr>
          <w:sz w:val="24"/>
          <w:szCs w:val="24"/>
        </w:rPr>
      </w:pPr>
      <w:r w:rsidRPr="006F2FC9">
        <w:rPr>
          <w:sz w:val="24"/>
          <w:szCs w:val="24"/>
        </w:rPr>
        <w:t>As part of welcoming</w:t>
      </w:r>
      <w:r w:rsidR="00E13012" w:rsidRPr="006F2FC9">
        <w:rPr>
          <w:sz w:val="24"/>
          <w:szCs w:val="24"/>
        </w:rPr>
        <w:t xml:space="preserve"> Roundtable</w:t>
      </w:r>
      <w:r w:rsidRPr="006F2FC9">
        <w:rPr>
          <w:sz w:val="24"/>
          <w:szCs w:val="24"/>
        </w:rPr>
        <w:t xml:space="preserve"> participants to their country, the Q</w:t>
      </w:r>
      <w:r w:rsidR="00171440">
        <w:rPr>
          <w:sz w:val="24"/>
          <w:szCs w:val="24"/>
        </w:rPr>
        <w:t>u</w:t>
      </w:r>
      <w:r w:rsidRPr="006F2FC9">
        <w:rPr>
          <w:sz w:val="24"/>
          <w:szCs w:val="24"/>
        </w:rPr>
        <w:t xml:space="preserve">andamooka people </w:t>
      </w:r>
      <w:r w:rsidR="00E43397">
        <w:rPr>
          <w:sz w:val="24"/>
          <w:szCs w:val="24"/>
        </w:rPr>
        <w:t xml:space="preserve">provided participants with an opportunity view </w:t>
      </w:r>
      <w:r w:rsidRPr="006F2FC9">
        <w:rPr>
          <w:sz w:val="24"/>
          <w:szCs w:val="24"/>
        </w:rPr>
        <w:t>t</w:t>
      </w:r>
      <w:r w:rsidR="00A05FEB" w:rsidRPr="006F2FC9">
        <w:rPr>
          <w:sz w:val="24"/>
          <w:szCs w:val="24"/>
        </w:rPr>
        <w:t>he Quandamooka Atlas</w:t>
      </w:r>
      <w:r w:rsidR="00E13012" w:rsidRPr="006F2FC9">
        <w:rPr>
          <w:sz w:val="24"/>
          <w:szCs w:val="24"/>
        </w:rPr>
        <w:t xml:space="preserve"> (the Atlas)</w:t>
      </w:r>
      <w:r w:rsidR="00E43397">
        <w:rPr>
          <w:sz w:val="24"/>
          <w:szCs w:val="24"/>
        </w:rPr>
        <w:t xml:space="preserve">. </w:t>
      </w:r>
    </w:p>
    <w:p w14:paraId="3E4549FD" w14:textId="36C895AA" w:rsidR="00A64635" w:rsidRPr="006F2FC9" w:rsidRDefault="00E43397">
      <w:pPr>
        <w:rPr>
          <w:sz w:val="24"/>
          <w:szCs w:val="24"/>
        </w:rPr>
      </w:pPr>
      <w:r>
        <w:rPr>
          <w:sz w:val="24"/>
          <w:szCs w:val="24"/>
        </w:rPr>
        <w:t>The Atlas w</w:t>
      </w:r>
      <w:r w:rsidR="00A05FEB" w:rsidRPr="006F2FC9">
        <w:rPr>
          <w:sz w:val="24"/>
          <w:szCs w:val="24"/>
        </w:rPr>
        <w:t xml:space="preserve">as developed as a joint effort between National Native Title Tribunal </w:t>
      </w:r>
      <w:r>
        <w:rPr>
          <w:sz w:val="24"/>
          <w:szCs w:val="24"/>
        </w:rPr>
        <w:t xml:space="preserve">(NNTT) </w:t>
      </w:r>
      <w:r w:rsidR="00A05FEB" w:rsidRPr="006F2FC9">
        <w:rPr>
          <w:sz w:val="24"/>
          <w:szCs w:val="24"/>
        </w:rPr>
        <w:t xml:space="preserve">and Quandamooka </w:t>
      </w:r>
      <w:r w:rsidR="00171440" w:rsidRPr="006F2FC9">
        <w:rPr>
          <w:sz w:val="24"/>
          <w:szCs w:val="24"/>
        </w:rPr>
        <w:t>Yool</w:t>
      </w:r>
      <w:r w:rsidR="00171440">
        <w:rPr>
          <w:sz w:val="24"/>
          <w:szCs w:val="24"/>
        </w:rPr>
        <w:t>oo</w:t>
      </w:r>
      <w:r w:rsidR="00171440" w:rsidRPr="006F2FC9">
        <w:rPr>
          <w:sz w:val="24"/>
          <w:szCs w:val="24"/>
        </w:rPr>
        <w:t xml:space="preserve">burrabee </w:t>
      </w:r>
      <w:r w:rsidR="00A05FEB" w:rsidRPr="006F2FC9">
        <w:rPr>
          <w:sz w:val="24"/>
          <w:szCs w:val="24"/>
        </w:rPr>
        <w:t xml:space="preserve">Aboriginal Corporation </w:t>
      </w:r>
      <w:r w:rsidR="00510995">
        <w:rPr>
          <w:sz w:val="24"/>
          <w:szCs w:val="24"/>
        </w:rPr>
        <w:t xml:space="preserve">(QYAC) and includes </w:t>
      </w:r>
      <w:r>
        <w:rPr>
          <w:sz w:val="24"/>
          <w:szCs w:val="24"/>
        </w:rPr>
        <w:t>land tenure and regulations</w:t>
      </w:r>
      <w:r w:rsidR="00510995">
        <w:rPr>
          <w:sz w:val="24"/>
          <w:szCs w:val="24"/>
        </w:rPr>
        <w:t xml:space="preserve"> including</w:t>
      </w:r>
      <w:r w:rsidR="00A64635" w:rsidRPr="006F2FC9">
        <w:rPr>
          <w:sz w:val="24"/>
          <w:szCs w:val="24"/>
        </w:rPr>
        <w:t>:</w:t>
      </w:r>
    </w:p>
    <w:p w14:paraId="033452DE" w14:textId="520D9D13" w:rsidR="00A64635" w:rsidRPr="006F2FC9" w:rsidRDefault="00A64635" w:rsidP="00A64635">
      <w:pPr>
        <w:pStyle w:val="ListParagraph"/>
        <w:numPr>
          <w:ilvl w:val="0"/>
          <w:numId w:val="1"/>
        </w:numPr>
        <w:rPr>
          <w:sz w:val="24"/>
          <w:szCs w:val="24"/>
        </w:rPr>
      </w:pPr>
      <w:r w:rsidRPr="006F2FC9">
        <w:rPr>
          <w:sz w:val="24"/>
          <w:szCs w:val="24"/>
        </w:rPr>
        <w:t>native title land</w:t>
      </w:r>
      <w:r w:rsidR="00E43397">
        <w:rPr>
          <w:sz w:val="24"/>
          <w:szCs w:val="24"/>
        </w:rPr>
        <w:t>.</w:t>
      </w:r>
    </w:p>
    <w:p w14:paraId="095BCDF7" w14:textId="6F4FBDB0" w:rsidR="00A64635" w:rsidRPr="006F2FC9" w:rsidRDefault="00A64635" w:rsidP="00A64635">
      <w:pPr>
        <w:pStyle w:val="ListParagraph"/>
        <w:numPr>
          <w:ilvl w:val="0"/>
          <w:numId w:val="1"/>
        </w:numPr>
        <w:rPr>
          <w:sz w:val="24"/>
          <w:szCs w:val="24"/>
        </w:rPr>
      </w:pPr>
      <w:r w:rsidRPr="006F2FC9">
        <w:rPr>
          <w:sz w:val="24"/>
          <w:szCs w:val="24"/>
        </w:rPr>
        <w:t>freehold land</w:t>
      </w:r>
      <w:r w:rsidR="00E43397">
        <w:rPr>
          <w:sz w:val="24"/>
          <w:szCs w:val="24"/>
        </w:rPr>
        <w:t>.</w:t>
      </w:r>
    </w:p>
    <w:p w14:paraId="21F942DE" w14:textId="612CF655" w:rsidR="00A64635" w:rsidRPr="006F2FC9" w:rsidRDefault="00A64635" w:rsidP="00A64635">
      <w:pPr>
        <w:pStyle w:val="ListParagraph"/>
        <w:numPr>
          <w:ilvl w:val="0"/>
          <w:numId w:val="1"/>
        </w:numPr>
        <w:rPr>
          <w:sz w:val="24"/>
          <w:szCs w:val="24"/>
        </w:rPr>
      </w:pPr>
      <w:r w:rsidRPr="006F2FC9">
        <w:rPr>
          <w:sz w:val="24"/>
          <w:szCs w:val="24"/>
        </w:rPr>
        <w:t>local government zoning</w:t>
      </w:r>
      <w:r w:rsidR="00E43397">
        <w:rPr>
          <w:sz w:val="24"/>
          <w:szCs w:val="24"/>
        </w:rPr>
        <w:t>.</w:t>
      </w:r>
    </w:p>
    <w:p w14:paraId="70FBC2CE" w14:textId="0544CEDF" w:rsidR="00950001" w:rsidRDefault="00E43397">
      <w:pPr>
        <w:rPr>
          <w:sz w:val="24"/>
          <w:szCs w:val="24"/>
        </w:rPr>
      </w:pPr>
      <w:r>
        <w:rPr>
          <w:sz w:val="24"/>
          <w:szCs w:val="24"/>
        </w:rPr>
        <w:t>The Atlas</w:t>
      </w:r>
      <w:r w:rsidR="002D6145">
        <w:rPr>
          <w:sz w:val="24"/>
          <w:szCs w:val="24"/>
        </w:rPr>
        <w:t xml:space="preserve"> </w:t>
      </w:r>
      <w:r>
        <w:rPr>
          <w:sz w:val="24"/>
          <w:szCs w:val="24"/>
        </w:rPr>
        <w:t xml:space="preserve">is a practical application of the </w:t>
      </w:r>
      <w:r w:rsidR="002D6145">
        <w:rPr>
          <w:sz w:val="24"/>
          <w:szCs w:val="24"/>
        </w:rPr>
        <w:t>NNTT’s geospatial mapping technology</w:t>
      </w:r>
      <w:r>
        <w:rPr>
          <w:sz w:val="24"/>
          <w:szCs w:val="24"/>
        </w:rPr>
        <w:t xml:space="preserve"> </w:t>
      </w:r>
      <w:r w:rsidR="00510995">
        <w:rPr>
          <w:sz w:val="24"/>
          <w:szCs w:val="24"/>
        </w:rPr>
        <w:t xml:space="preserve">discussed at the </w:t>
      </w:r>
      <w:r>
        <w:rPr>
          <w:sz w:val="24"/>
          <w:szCs w:val="24"/>
        </w:rPr>
        <w:t xml:space="preserve">Canberra Roundtable </w:t>
      </w:r>
      <w:r w:rsidR="00510995">
        <w:rPr>
          <w:sz w:val="24"/>
          <w:szCs w:val="24"/>
        </w:rPr>
        <w:t xml:space="preserve">at AIATSIS </w:t>
      </w:r>
      <w:r>
        <w:rPr>
          <w:sz w:val="24"/>
          <w:szCs w:val="24"/>
        </w:rPr>
        <w:t xml:space="preserve">earlier this year. </w:t>
      </w:r>
      <w:r w:rsidR="002D6145">
        <w:rPr>
          <w:sz w:val="24"/>
          <w:szCs w:val="24"/>
        </w:rPr>
        <w:t xml:space="preserve">It shows how </w:t>
      </w:r>
      <w:r w:rsidR="004670FF">
        <w:rPr>
          <w:sz w:val="24"/>
          <w:szCs w:val="24"/>
        </w:rPr>
        <w:t xml:space="preserve">the </w:t>
      </w:r>
      <w:r w:rsidR="008A2671">
        <w:rPr>
          <w:sz w:val="24"/>
          <w:szCs w:val="24"/>
        </w:rPr>
        <w:t>t</w:t>
      </w:r>
      <w:r w:rsidR="00510995">
        <w:rPr>
          <w:sz w:val="24"/>
          <w:szCs w:val="24"/>
        </w:rPr>
        <w:t xml:space="preserve">echnology </w:t>
      </w:r>
      <w:r w:rsidR="004670FF">
        <w:rPr>
          <w:sz w:val="24"/>
          <w:szCs w:val="24"/>
        </w:rPr>
        <w:t xml:space="preserve">can be </w:t>
      </w:r>
      <w:r w:rsidR="008E5B73">
        <w:rPr>
          <w:sz w:val="24"/>
          <w:szCs w:val="24"/>
        </w:rPr>
        <w:t xml:space="preserve">used by Indigenous people </w:t>
      </w:r>
      <w:r>
        <w:rPr>
          <w:sz w:val="24"/>
          <w:szCs w:val="24"/>
        </w:rPr>
        <w:t xml:space="preserve">across many types of </w:t>
      </w:r>
      <w:r w:rsidR="008A2671">
        <w:rPr>
          <w:sz w:val="24"/>
          <w:szCs w:val="24"/>
        </w:rPr>
        <w:t xml:space="preserve">tenure </w:t>
      </w:r>
      <w:r w:rsidR="002D6145">
        <w:rPr>
          <w:sz w:val="24"/>
          <w:szCs w:val="24"/>
        </w:rPr>
        <w:t xml:space="preserve">including </w:t>
      </w:r>
      <w:r w:rsidR="00087B40" w:rsidRPr="006F2FC9">
        <w:rPr>
          <w:sz w:val="24"/>
          <w:szCs w:val="24"/>
        </w:rPr>
        <w:t>native title determination</w:t>
      </w:r>
      <w:r w:rsidR="00110F91">
        <w:rPr>
          <w:sz w:val="24"/>
          <w:szCs w:val="24"/>
        </w:rPr>
        <w:t>s,</w:t>
      </w:r>
      <w:r w:rsidR="00F72C67">
        <w:rPr>
          <w:sz w:val="24"/>
          <w:szCs w:val="24"/>
        </w:rPr>
        <w:t xml:space="preserve"> land acquired through</w:t>
      </w:r>
      <w:r w:rsidR="00087B40" w:rsidRPr="006F2FC9">
        <w:rPr>
          <w:sz w:val="24"/>
          <w:szCs w:val="24"/>
        </w:rPr>
        <w:t xml:space="preserve"> land rig</w:t>
      </w:r>
      <w:r w:rsidR="00087B40">
        <w:rPr>
          <w:sz w:val="24"/>
          <w:szCs w:val="24"/>
        </w:rPr>
        <w:t>hts</w:t>
      </w:r>
      <w:r w:rsidR="00F72C67">
        <w:rPr>
          <w:sz w:val="24"/>
          <w:szCs w:val="24"/>
        </w:rPr>
        <w:t xml:space="preserve"> applications</w:t>
      </w:r>
      <w:r w:rsidR="00110F91">
        <w:rPr>
          <w:sz w:val="24"/>
          <w:szCs w:val="24"/>
        </w:rPr>
        <w:t xml:space="preserve">, and </w:t>
      </w:r>
      <w:r w:rsidR="00087B40">
        <w:rPr>
          <w:sz w:val="24"/>
          <w:szCs w:val="24"/>
        </w:rPr>
        <w:t>pastoral leases</w:t>
      </w:r>
      <w:r w:rsidR="008E5B73">
        <w:rPr>
          <w:sz w:val="24"/>
          <w:szCs w:val="24"/>
        </w:rPr>
        <w:t xml:space="preserve">. </w:t>
      </w:r>
    </w:p>
    <w:p w14:paraId="00120D1B" w14:textId="73D223B0" w:rsidR="00E43397" w:rsidRDefault="00F72C67">
      <w:pPr>
        <w:rPr>
          <w:sz w:val="24"/>
          <w:szCs w:val="24"/>
        </w:rPr>
      </w:pPr>
      <w:r>
        <w:rPr>
          <w:sz w:val="24"/>
          <w:szCs w:val="24"/>
        </w:rPr>
        <w:t xml:space="preserve">The Atlas showed the </w:t>
      </w:r>
      <w:r w:rsidR="00381924">
        <w:rPr>
          <w:sz w:val="24"/>
          <w:szCs w:val="24"/>
        </w:rPr>
        <w:t xml:space="preserve">Roundtable the </w:t>
      </w:r>
      <w:r>
        <w:rPr>
          <w:sz w:val="24"/>
          <w:szCs w:val="24"/>
        </w:rPr>
        <w:t>benefit</w:t>
      </w:r>
      <w:r w:rsidR="00381924">
        <w:rPr>
          <w:sz w:val="24"/>
          <w:szCs w:val="24"/>
        </w:rPr>
        <w:t xml:space="preserve">s of mapping </w:t>
      </w:r>
      <w:r>
        <w:rPr>
          <w:sz w:val="24"/>
          <w:szCs w:val="24"/>
        </w:rPr>
        <w:t>specific areas as a starting point for</w:t>
      </w:r>
      <w:r w:rsidR="00087B40" w:rsidRPr="006F2FC9">
        <w:rPr>
          <w:sz w:val="24"/>
          <w:szCs w:val="24"/>
        </w:rPr>
        <w:t xml:space="preserve"> discussions </w:t>
      </w:r>
      <w:r>
        <w:rPr>
          <w:sz w:val="24"/>
          <w:szCs w:val="24"/>
        </w:rPr>
        <w:t xml:space="preserve">about </w:t>
      </w:r>
      <w:r w:rsidR="00087B40" w:rsidRPr="006F2FC9">
        <w:rPr>
          <w:sz w:val="24"/>
          <w:szCs w:val="24"/>
        </w:rPr>
        <w:t>the development oppor</w:t>
      </w:r>
      <w:r>
        <w:rPr>
          <w:sz w:val="24"/>
          <w:szCs w:val="24"/>
        </w:rPr>
        <w:t>tunities in an</w:t>
      </w:r>
      <w:r w:rsidR="00087B40" w:rsidRPr="006F2FC9">
        <w:rPr>
          <w:sz w:val="24"/>
          <w:szCs w:val="24"/>
        </w:rPr>
        <w:t xml:space="preserve"> area.</w:t>
      </w:r>
    </w:p>
    <w:p w14:paraId="418CA296" w14:textId="57D6D314" w:rsidR="00CC708A" w:rsidRPr="006F5E25" w:rsidRDefault="00776D3C">
      <w:pPr>
        <w:rPr>
          <w:rFonts w:asciiTheme="majorHAnsi" w:hAnsiTheme="majorHAnsi"/>
          <w:b/>
          <w:color w:val="44546A" w:themeColor="text2"/>
          <w:sz w:val="32"/>
          <w:szCs w:val="32"/>
        </w:rPr>
      </w:pPr>
      <w:r w:rsidRPr="006F5E25">
        <w:rPr>
          <w:rFonts w:asciiTheme="majorHAnsi" w:hAnsiTheme="majorHAnsi"/>
          <w:b/>
          <w:color w:val="44546A" w:themeColor="text2"/>
          <w:sz w:val="32"/>
          <w:szCs w:val="32"/>
        </w:rPr>
        <w:t xml:space="preserve">Using Principles to guide business and development   </w:t>
      </w:r>
    </w:p>
    <w:p w14:paraId="4B462258" w14:textId="2ED29CE6" w:rsidR="00CC708A" w:rsidRPr="006F2FC9" w:rsidRDefault="00CC708A">
      <w:pPr>
        <w:rPr>
          <w:sz w:val="24"/>
          <w:szCs w:val="24"/>
        </w:rPr>
      </w:pPr>
      <w:r w:rsidRPr="006F2FC9">
        <w:rPr>
          <w:sz w:val="24"/>
          <w:szCs w:val="24"/>
        </w:rPr>
        <w:t xml:space="preserve">The Roundtable </w:t>
      </w:r>
      <w:r w:rsidR="00776D3C">
        <w:rPr>
          <w:sz w:val="24"/>
          <w:szCs w:val="24"/>
        </w:rPr>
        <w:t xml:space="preserve">considered the </w:t>
      </w:r>
      <w:r w:rsidR="00776D3C" w:rsidRPr="00776D3C">
        <w:rPr>
          <w:i/>
          <w:sz w:val="24"/>
          <w:szCs w:val="24"/>
        </w:rPr>
        <w:t>Indigenous Investment Principles</w:t>
      </w:r>
      <w:r w:rsidR="00776D3C">
        <w:rPr>
          <w:sz w:val="24"/>
          <w:szCs w:val="24"/>
        </w:rPr>
        <w:t>, recognising</w:t>
      </w:r>
      <w:r w:rsidRPr="006F2FC9">
        <w:rPr>
          <w:sz w:val="24"/>
          <w:szCs w:val="24"/>
        </w:rPr>
        <w:t xml:space="preserve"> the</w:t>
      </w:r>
      <w:r w:rsidR="00776D3C">
        <w:rPr>
          <w:sz w:val="24"/>
          <w:szCs w:val="24"/>
        </w:rPr>
        <w:t>ir</w:t>
      </w:r>
      <w:r w:rsidRPr="006F2FC9">
        <w:rPr>
          <w:sz w:val="24"/>
          <w:szCs w:val="24"/>
        </w:rPr>
        <w:t xml:space="preserve"> utility </w:t>
      </w:r>
      <w:r w:rsidR="00B134FF">
        <w:rPr>
          <w:sz w:val="24"/>
          <w:szCs w:val="24"/>
        </w:rPr>
        <w:t xml:space="preserve">for </w:t>
      </w:r>
      <w:r w:rsidR="00776D3C">
        <w:rPr>
          <w:sz w:val="24"/>
          <w:szCs w:val="24"/>
        </w:rPr>
        <w:t xml:space="preserve">guidance to </w:t>
      </w:r>
      <w:r w:rsidRPr="006F2FC9">
        <w:rPr>
          <w:sz w:val="24"/>
          <w:szCs w:val="24"/>
        </w:rPr>
        <w:t>development</w:t>
      </w:r>
      <w:r w:rsidR="00776D3C">
        <w:rPr>
          <w:sz w:val="24"/>
          <w:szCs w:val="24"/>
        </w:rPr>
        <w:t xml:space="preserve"> </w:t>
      </w:r>
      <w:r w:rsidR="002F4E97">
        <w:rPr>
          <w:sz w:val="24"/>
          <w:szCs w:val="24"/>
        </w:rPr>
        <w:t xml:space="preserve">decisions </w:t>
      </w:r>
      <w:r w:rsidR="00776D3C">
        <w:rPr>
          <w:sz w:val="24"/>
          <w:szCs w:val="24"/>
        </w:rPr>
        <w:t xml:space="preserve">on </w:t>
      </w:r>
      <w:r w:rsidRPr="006F2FC9">
        <w:rPr>
          <w:sz w:val="24"/>
          <w:szCs w:val="24"/>
        </w:rPr>
        <w:t>the Indigenous Estate</w:t>
      </w:r>
      <w:r w:rsidR="002F4E97">
        <w:rPr>
          <w:sz w:val="24"/>
          <w:szCs w:val="24"/>
        </w:rPr>
        <w:t xml:space="preserve">, </w:t>
      </w:r>
      <w:r w:rsidR="00776D3C">
        <w:rPr>
          <w:sz w:val="24"/>
          <w:szCs w:val="24"/>
        </w:rPr>
        <w:t>noting</w:t>
      </w:r>
      <w:r w:rsidR="00E23080" w:rsidRPr="006F2FC9">
        <w:rPr>
          <w:sz w:val="24"/>
          <w:szCs w:val="24"/>
        </w:rPr>
        <w:t xml:space="preserve"> the </w:t>
      </w:r>
      <w:r w:rsidR="00B134FF" w:rsidRPr="006F2FC9">
        <w:rPr>
          <w:sz w:val="24"/>
          <w:szCs w:val="24"/>
        </w:rPr>
        <w:t xml:space="preserve">importance of free, </w:t>
      </w:r>
      <w:r w:rsidR="00B134FF">
        <w:rPr>
          <w:sz w:val="24"/>
          <w:szCs w:val="24"/>
        </w:rPr>
        <w:t xml:space="preserve">prior and informed consent, and the </w:t>
      </w:r>
      <w:r w:rsidR="00E23080" w:rsidRPr="006F2FC9">
        <w:rPr>
          <w:sz w:val="24"/>
          <w:szCs w:val="24"/>
        </w:rPr>
        <w:t xml:space="preserve">role that good governance will play </w:t>
      </w:r>
      <w:r w:rsidR="00B134FF">
        <w:rPr>
          <w:sz w:val="24"/>
          <w:szCs w:val="24"/>
        </w:rPr>
        <w:t xml:space="preserve">in </w:t>
      </w:r>
      <w:r w:rsidR="00E23080" w:rsidRPr="006F2FC9">
        <w:rPr>
          <w:sz w:val="24"/>
          <w:szCs w:val="24"/>
        </w:rPr>
        <w:t>sustainable and beneficial development.</w:t>
      </w:r>
    </w:p>
    <w:p w14:paraId="0E8C801C" w14:textId="1BB38556" w:rsidR="00CC708A" w:rsidRPr="006F2FC9" w:rsidRDefault="00BE3F1D">
      <w:pPr>
        <w:rPr>
          <w:sz w:val="24"/>
          <w:szCs w:val="24"/>
        </w:rPr>
      </w:pPr>
      <w:r w:rsidRPr="006F2FC9">
        <w:rPr>
          <w:sz w:val="24"/>
          <w:szCs w:val="24"/>
        </w:rPr>
        <w:lastRenderedPageBreak/>
        <w:t>T</w:t>
      </w:r>
      <w:r w:rsidR="00965EB1" w:rsidRPr="006F2FC9">
        <w:rPr>
          <w:sz w:val="24"/>
          <w:szCs w:val="24"/>
        </w:rPr>
        <w:t xml:space="preserve">he Roundtable </w:t>
      </w:r>
      <w:r w:rsidR="00B134FF">
        <w:rPr>
          <w:sz w:val="24"/>
          <w:szCs w:val="24"/>
        </w:rPr>
        <w:t xml:space="preserve">also reaffirmed the </w:t>
      </w:r>
      <w:r w:rsidR="002F4E97">
        <w:rPr>
          <w:sz w:val="24"/>
          <w:szCs w:val="24"/>
        </w:rPr>
        <w:t xml:space="preserve">importance of the </w:t>
      </w:r>
      <w:r w:rsidR="002F4E97" w:rsidRPr="002F4E97">
        <w:rPr>
          <w:i/>
          <w:sz w:val="24"/>
          <w:szCs w:val="24"/>
        </w:rPr>
        <w:t>Guiding P</w:t>
      </w:r>
      <w:r w:rsidR="00B134FF" w:rsidRPr="002F4E97">
        <w:rPr>
          <w:i/>
          <w:sz w:val="24"/>
          <w:szCs w:val="24"/>
        </w:rPr>
        <w:t>rinciple</w:t>
      </w:r>
      <w:r w:rsidR="002F4E97" w:rsidRPr="002F4E97">
        <w:rPr>
          <w:i/>
          <w:sz w:val="24"/>
          <w:szCs w:val="24"/>
        </w:rPr>
        <w:t>s</w:t>
      </w:r>
      <w:r w:rsidR="002F4E97">
        <w:rPr>
          <w:sz w:val="24"/>
          <w:szCs w:val="24"/>
        </w:rPr>
        <w:t xml:space="preserve"> developed by the Indigenous Property Rights Network, particularly the securing </w:t>
      </w:r>
      <w:r w:rsidR="008F7D4C">
        <w:rPr>
          <w:sz w:val="24"/>
          <w:szCs w:val="24"/>
        </w:rPr>
        <w:t xml:space="preserve">and protection </w:t>
      </w:r>
      <w:r w:rsidR="002F4E97">
        <w:rPr>
          <w:sz w:val="24"/>
          <w:szCs w:val="24"/>
        </w:rPr>
        <w:t xml:space="preserve">of the </w:t>
      </w:r>
      <w:r w:rsidR="00965EB1" w:rsidRPr="006F2FC9">
        <w:rPr>
          <w:sz w:val="24"/>
          <w:szCs w:val="24"/>
        </w:rPr>
        <w:t>Indigenous Estate</w:t>
      </w:r>
      <w:r w:rsidR="002F4E97">
        <w:rPr>
          <w:sz w:val="24"/>
          <w:szCs w:val="24"/>
        </w:rPr>
        <w:t>.</w:t>
      </w:r>
    </w:p>
    <w:p w14:paraId="6A3774AA" w14:textId="77777777" w:rsidR="009B428F" w:rsidRPr="006F5E25" w:rsidRDefault="009B428F" w:rsidP="009B428F">
      <w:pPr>
        <w:rPr>
          <w:rFonts w:asciiTheme="majorHAnsi" w:hAnsiTheme="majorHAnsi"/>
          <w:b/>
          <w:color w:val="44546A" w:themeColor="text2"/>
          <w:sz w:val="32"/>
          <w:szCs w:val="32"/>
        </w:rPr>
      </w:pPr>
      <w:r w:rsidRPr="006F5E25">
        <w:rPr>
          <w:rFonts w:asciiTheme="majorHAnsi" w:hAnsiTheme="majorHAnsi"/>
          <w:b/>
          <w:color w:val="44546A" w:themeColor="text2"/>
          <w:sz w:val="32"/>
          <w:szCs w:val="32"/>
        </w:rPr>
        <w:t>The Banks</w:t>
      </w:r>
    </w:p>
    <w:p w14:paraId="747F9992" w14:textId="10C61462" w:rsidR="00AB51E2" w:rsidRPr="006F2FC9" w:rsidRDefault="009B428F" w:rsidP="00AB51E2">
      <w:pPr>
        <w:rPr>
          <w:sz w:val="24"/>
          <w:szCs w:val="24"/>
        </w:rPr>
      </w:pPr>
      <w:r w:rsidRPr="006F2FC9">
        <w:rPr>
          <w:sz w:val="24"/>
          <w:szCs w:val="24"/>
        </w:rPr>
        <w:t xml:space="preserve">The Roundtable was an opportunity for bankers to hear, first-hand about the practical experiences of Indigenous property rights holders pursuing economic development on land and sea. Indigenous participants described the barriers encountered when engaging with state governments, local governments and planning regulations. They also described the important conversations about risk and investment among Traditional Owner groups, and the factors which make up the risk appetite among Indigenous community groups.  Participants from the banks were able to give their insights into lending practices of the banks when considering development opportunities. </w:t>
      </w:r>
    </w:p>
    <w:p w14:paraId="0CB221AF" w14:textId="1A0B56B0" w:rsidR="009B428F" w:rsidRPr="006F2FC9" w:rsidRDefault="00AB51E2" w:rsidP="009B428F">
      <w:pPr>
        <w:rPr>
          <w:sz w:val="24"/>
          <w:szCs w:val="24"/>
        </w:rPr>
      </w:pPr>
      <w:r w:rsidRPr="006F2FC9">
        <w:rPr>
          <w:sz w:val="24"/>
          <w:szCs w:val="24"/>
        </w:rPr>
        <w:t xml:space="preserve">It was recognised that </w:t>
      </w:r>
      <w:r w:rsidR="00B1317C">
        <w:rPr>
          <w:sz w:val="24"/>
          <w:szCs w:val="24"/>
        </w:rPr>
        <w:t xml:space="preserve">in </w:t>
      </w:r>
      <w:r w:rsidR="00435A24">
        <w:rPr>
          <w:sz w:val="24"/>
          <w:szCs w:val="24"/>
        </w:rPr>
        <w:t xml:space="preserve">an ideal world, </w:t>
      </w:r>
      <w:r w:rsidRPr="006F2FC9">
        <w:rPr>
          <w:sz w:val="24"/>
          <w:szCs w:val="24"/>
        </w:rPr>
        <w:t xml:space="preserve">non-Indigenous Australians </w:t>
      </w:r>
      <w:r w:rsidR="00435A24">
        <w:rPr>
          <w:sz w:val="24"/>
          <w:szCs w:val="24"/>
        </w:rPr>
        <w:t xml:space="preserve">and Indigenous peoples would </w:t>
      </w:r>
      <w:r w:rsidRPr="006F2FC9">
        <w:rPr>
          <w:sz w:val="24"/>
          <w:szCs w:val="24"/>
        </w:rPr>
        <w:t>face the same</w:t>
      </w:r>
      <w:r w:rsidR="00BF4150">
        <w:rPr>
          <w:sz w:val="24"/>
          <w:szCs w:val="24"/>
        </w:rPr>
        <w:t xml:space="preserve"> barriers</w:t>
      </w:r>
      <w:r w:rsidR="00D753F1">
        <w:rPr>
          <w:sz w:val="24"/>
          <w:szCs w:val="24"/>
        </w:rPr>
        <w:t xml:space="preserve"> to financing economic development</w:t>
      </w:r>
      <w:r w:rsidR="00BF4150">
        <w:rPr>
          <w:sz w:val="24"/>
          <w:szCs w:val="24"/>
        </w:rPr>
        <w:t xml:space="preserve">, </w:t>
      </w:r>
      <w:r w:rsidR="003A149B">
        <w:rPr>
          <w:sz w:val="24"/>
          <w:szCs w:val="24"/>
        </w:rPr>
        <w:t xml:space="preserve">with </w:t>
      </w:r>
      <w:r w:rsidRPr="006F2FC9">
        <w:rPr>
          <w:sz w:val="24"/>
          <w:szCs w:val="24"/>
        </w:rPr>
        <w:t>five</w:t>
      </w:r>
      <w:r w:rsidR="009B428F" w:rsidRPr="006F2FC9">
        <w:rPr>
          <w:sz w:val="24"/>
          <w:szCs w:val="24"/>
        </w:rPr>
        <w:t xml:space="preserve"> key </w:t>
      </w:r>
      <w:r w:rsidR="0041232B" w:rsidRPr="006F2FC9">
        <w:rPr>
          <w:sz w:val="24"/>
          <w:szCs w:val="24"/>
        </w:rPr>
        <w:t xml:space="preserve">decisions </w:t>
      </w:r>
      <w:r w:rsidR="009B428F" w:rsidRPr="006F2FC9">
        <w:rPr>
          <w:sz w:val="24"/>
          <w:szCs w:val="24"/>
        </w:rPr>
        <w:t>identified as fundamental to lenders</w:t>
      </w:r>
      <w:r w:rsidR="0041232B" w:rsidRPr="006F2FC9">
        <w:rPr>
          <w:sz w:val="24"/>
          <w:szCs w:val="24"/>
        </w:rPr>
        <w:t>’</w:t>
      </w:r>
      <w:r w:rsidR="009B428F" w:rsidRPr="006F2FC9">
        <w:rPr>
          <w:sz w:val="24"/>
          <w:szCs w:val="24"/>
        </w:rPr>
        <w:t xml:space="preserve"> considerations of </w:t>
      </w:r>
      <w:r w:rsidR="0041232B" w:rsidRPr="006F2FC9">
        <w:rPr>
          <w:sz w:val="24"/>
          <w:szCs w:val="24"/>
        </w:rPr>
        <w:t xml:space="preserve">business </w:t>
      </w:r>
      <w:r w:rsidR="009B428F" w:rsidRPr="006F2FC9">
        <w:rPr>
          <w:sz w:val="24"/>
          <w:szCs w:val="24"/>
        </w:rPr>
        <w:t xml:space="preserve">proposals. In no particular order these were: </w:t>
      </w:r>
    </w:p>
    <w:p w14:paraId="28C3003B" w14:textId="77777777" w:rsidR="009B428F" w:rsidRPr="006F2FC9" w:rsidRDefault="009B428F" w:rsidP="009B428F">
      <w:pPr>
        <w:pStyle w:val="ListParagraph"/>
        <w:numPr>
          <w:ilvl w:val="0"/>
          <w:numId w:val="4"/>
        </w:numPr>
        <w:rPr>
          <w:sz w:val="24"/>
          <w:szCs w:val="24"/>
        </w:rPr>
      </w:pPr>
      <w:r w:rsidRPr="006F2FC9">
        <w:rPr>
          <w:sz w:val="24"/>
          <w:szCs w:val="24"/>
        </w:rPr>
        <w:t>The question of serviceability of any loan – that is, is it viable?</w:t>
      </w:r>
    </w:p>
    <w:p w14:paraId="5BECA01D" w14:textId="77777777" w:rsidR="009B428F" w:rsidRPr="006F2FC9" w:rsidRDefault="009B428F" w:rsidP="009B428F">
      <w:pPr>
        <w:pStyle w:val="ListParagraph"/>
        <w:numPr>
          <w:ilvl w:val="0"/>
          <w:numId w:val="4"/>
        </w:numPr>
        <w:rPr>
          <w:sz w:val="24"/>
          <w:szCs w:val="24"/>
        </w:rPr>
      </w:pPr>
      <w:r w:rsidRPr="006F2FC9">
        <w:rPr>
          <w:sz w:val="24"/>
          <w:szCs w:val="24"/>
        </w:rPr>
        <w:t>Governance and financial acumen of the Indigenous community</w:t>
      </w:r>
    </w:p>
    <w:p w14:paraId="1FC759B8" w14:textId="77777777" w:rsidR="009B428F" w:rsidRPr="006F2FC9" w:rsidRDefault="009B428F" w:rsidP="009B428F">
      <w:pPr>
        <w:pStyle w:val="ListParagraph"/>
        <w:numPr>
          <w:ilvl w:val="0"/>
          <w:numId w:val="4"/>
        </w:numPr>
        <w:rPr>
          <w:sz w:val="24"/>
          <w:szCs w:val="24"/>
        </w:rPr>
      </w:pPr>
      <w:r w:rsidRPr="006F2FC9">
        <w:rPr>
          <w:sz w:val="24"/>
          <w:szCs w:val="24"/>
        </w:rPr>
        <w:t>Valuation in rural and remote Australia (the secondary market)</w:t>
      </w:r>
    </w:p>
    <w:p w14:paraId="3DC9B1E0" w14:textId="38A96B63" w:rsidR="009B428F" w:rsidRPr="006F2FC9" w:rsidRDefault="009B428F" w:rsidP="009B428F">
      <w:pPr>
        <w:pStyle w:val="ListParagraph"/>
        <w:numPr>
          <w:ilvl w:val="0"/>
          <w:numId w:val="4"/>
        </w:numPr>
        <w:rPr>
          <w:sz w:val="24"/>
          <w:szCs w:val="24"/>
        </w:rPr>
      </w:pPr>
      <w:r w:rsidRPr="006F2FC9">
        <w:rPr>
          <w:sz w:val="24"/>
          <w:szCs w:val="24"/>
        </w:rPr>
        <w:t>Reputational risk</w:t>
      </w:r>
      <w:r w:rsidR="0041232B" w:rsidRPr="006F2FC9">
        <w:rPr>
          <w:sz w:val="24"/>
          <w:szCs w:val="24"/>
        </w:rPr>
        <w:t xml:space="preserve"> to lenders</w:t>
      </w:r>
    </w:p>
    <w:p w14:paraId="7DB9A388" w14:textId="00C6387A" w:rsidR="009B428F" w:rsidRPr="006F2FC9" w:rsidRDefault="009B428F" w:rsidP="009B428F">
      <w:pPr>
        <w:pStyle w:val="ListParagraph"/>
        <w:numPr>
          <w:ilvl w:val="0"/>
          <w:numId w:val="4"/>
        </w:numPr>
        <w:rPr>
          <w:sz w:val="24"/>
          <w:szCs w:val="24"/>
        </w:rPr>
      </w:pPr>
      <w:r w:rsidRPr="006F2FC9">
        <w:rPr>
          <w:sz w:val="24"/>
          <w:szCs w:val="24"/>
        </w:rPr>
        <w:t>Tenure</w:t>
      </w:r>
      <w:r w:rsidR="0041232B" w:rsidRPr="006F2FC9">
        <w:rPr>
          <w:sz w:val="24"/>
          <w:szCs w:val="24"/>
        </w:rPr>
        <w:t xml:space="preserve"> of land used as collateral</w:t>
      </w:r>
    </w:p>
    <w:p w14:paraId="550B1193" w14:textId="73BBB8FF" w:rsidR="00AB51E2" w:rsidRPr="007133ED" w:rsidRDefault="002D199D">
      <w:pPr>
        <w:rPr>
          <w:sz w:val="24"/>
          <w:szCs w:val="24"/>
        </w:rPr>
      </w:pPr>
      <w:r>
        <w:rPr>
          <w:sz w:val="24"/>
          <w:szCs w:val="24"/>
        </w:rPr>
        <w:t xml:space="preserve">It was acknowledged that </w:t>
      </w:r>
      <w:r w:rsidR="00AB51E2" w:rsidRPr="006F2FC9">
        <w:rPr>
          <w:sz w:val="24"/>
          <w:szCs w:val="24"/>
        </w:rPr>
        <w:t>we don</w:t>
      </w:r>
      <w:r w:rsidR="00BF4150">
        <w:rPr>
          <w:sz w:val="24"/>
          <w:szCs w:val="24"/>
        </w:rPr>
        <w:t xml:space="preserve">’t live in an ideal world, so the challenge </w:t>
      </w:r>
      <w:r w:rsidR="000D39F5">
        <w:rPr>
          <w:sz w:val="24"/>
          <w:szCs w:val="24"/>
        </w:rPr>
        <w:t xml:space="preserve">remains </w:t>
      </w:r>
      <w:r w:rsidR="00BF4150">
        <w:rPr>
          <w:sz w:val="24"/>
          <w:szCs w:val="24"/>
        </w:rPr>
        <w:t>to create a</w:t>
      </w:r>
      <w:r w:rsidR="00AB51E2" w:rsidRPr="006F2FC9">
        <w:rPr>
          <w:sz w:val="24"/>
          <w:szCs w:val="24"/>
        </w:rPr>
        <w:t xml:space="preserve"> level playing fie</w:t>
      </w:r>
      <w:r w:rsidR="000D39F5">
        <w:rPr>
          <w:sz w:val="24"/>
          <w:szCs w:val="24"/>
        </w:rPr>
        <w:t xml:space="preserve">ld where those five decisions </w:t>
      </w:r>
      <w:r w:rsidR="00BF5E0E">
        <w:rPr>
          <w:sz w:val="24"/>
          <w:szCs w:val="24"/>
        </w:rPr>
        <w:t xml:space="preserve">can be applied equally to </w:t>
      </w:r>
      <w:r w:rsidR="008F36F2" w:rsidRPr="006F2FC9">
        <w:rPr>
          <w:sz w:val="24"/>
          <w:szCs w:val="24"/>
        </w:rPr>
        <w:t>Indigenous and non-Indigenous areas of economic devel</w:t>
      </w:r>
      <w:r w:rsidR="00BF5E0E">
        <w:rPr>
          <w:sz w:val="24"/>
          <w:szCs w:val="24"/>
        </w:rPr>
        <w:t>opment</w:t>
      </w:r>
      <w:r w:rsidR="008F36F2" w:rsidRPr="006F2FC9">
        <w:rPr>
          <w:sz w:val="24"/>
          <w:szCs w:val="24"/>
        </w:rPr>
        <w:t>.</w:t>
      </w:r>
    </w:p>
    <w:p w14:paraId="3DCD1474" w14:textId="3A78D698" w:rsidR="00A05FEB" w:rsidRPr="006F5E25" w:rsidRDefault="007133ED">
      <w:pPr>
        <w:rPr>
          <w:rFonts w:asciiTheme="majorHAnsi" w:hAnsiTheme="majorHAnsi"/>
          <w:b/>
          <w:color w:val="44546A" w:themeColor="text2"/>
          <w:sz w:val="32"/>
          <w:szCs w:val="32"/>
        </w:rPr>
      </w:pPr>
      <w:r w:rsidRPr="006F5E25">
        <w:rPr>
          <w:rFonts w:asciiTheme="majorHAnsi" w:hAnsiTheme="majorHAnsi"/>
          <w:b/>
          <w:color w:val="44546A" w:themeColor="text2"/>
          <w:sz w:val="32"/>
          <w:szCs w:val="32"/>
        </w:rPr>
        <w:t>Managing Risk</w:t>
      </w:r>
    </w:p>
    <w:p w14:paraId="43056E83" w14:textId="1B96EDD9" w:rsidR="008F36F2" w:rsidRPr="006F2FC9" w:rsidRDefault="008F36F2">
      <w:pPr>
        <w:rPr>
          <w:sz w:val="24"/>
          <w:szCs w:val="24"/>
        </w:rPr>
      </w:pPr>
      <w:r w:rsidRPr="006F2FC9">
        <w:rPr>
          <w:sz w:val="24"/>
          <w:szCs w:val="24"/>
        </w:rPr>
        <w:t xml:space="preserve">One way of creating a level playing field was to </w:t>
      </w:r>
      <w:r w:rsidR="0065247E">
        <w:rPr>
          <w:sz w:val="24"/>
          <w:szCs w:val="24"/>
        </w:rPr>
        <w:t xml:space="preserve">better </w:t>
      </w:r>
      <w:r w:rsidRPr="006F2FC9">
        <w:rPr>
          <w:sz w:val="24"/>
          <w:szCs w:val="24"/>
        </w:rPr>
        <w:t xml:space="preserve">understand and </w:t>
      </w:r>
      <w:r w:rsidR="00050E19" w:rsidRPr="006F2FC9">
        <w:rPr>
          <w:sz w:val="24"/>
          <w:szCs w:val="24"/>
        </w:rPr>
        <w:t>manage</w:t>
      </w:r>
      <w:r w:rsidRPr="006F2FC9">
        <w:rPr>
          <w:sz w:val="24"/>
          <w:szCs w:val="24"/>
        </w:rPr>
        <w:t xml:space="preserve"> the different risks involved </w:t>
      </w:r>
      <w:r w:rsidR="0065247E">
        <w:rPr>
          <w:sz w:val="24"/>
          <w:szCs w:val="24"/>
        </w:rPr>
        <w:t xml:space="preserve">in </w:t>
      </w:r>
      <w:r w:rsidRPr="006F2FC9">
        <w:rPr>
          <w:sz w:val="24"/>
          <w:szCs w:val="24"/>
        </w:rPr>
        <w:t xml:space="preserve">leveraging the Indigenous Estate </w:t>
      </w:r>
      <w:r w:rsidR="0065247E">
        <w:rPr>
          <w:sz w:val="24"/>
          <w:szCs w:val="24"/>
        </w:rPr>
        <w:t xml:space="preserve">when entering </w:t>
      </w:r>
      <w:r w:rsidRPr="006F2FC9">
        <w:rPr>
          <w:sz w:val="24"/>
          <w:szCs w:val="24"/>
        </w:rPr>
        <w:t xml:space="preserve">into economic development </w:t>
      </w:r>
      <w:r w:rsidR="00050E19" w:rsidRPr="006F2FC9">
        <w:rPr>
          <w:sz w:val="24"/>
          <w:szCs w:val="24"/>
        </w:rPr>
        <w:t>activities</w:t>
      </w:r>
      <w:r w:rsidR="00D05C5C">
        <w:rPr>
          <w:sz w:val="24"/>
          <w:szCs w:val="24"/>
        </w:rPr>
        <w:t xml:space="preserve">. This is particularly important in view of the </w:t>
      </w:r>
      <w:r w:rsidR="0065247E" w:rsidRPr="008F7D4C">
        <w:rPr>
          <w:i/>
          <w:sz w:val="24"/>
          <w:szCs w:val="24"/>
        </w:rPr>
        <w:t>Guiding Principles</w:t>
      </w:r>
      <w:r w:rsidR="0065247E">
        <w:rPr>
          <w:sz w:val="24"/>
          <w:szCs w:val="24"/>
        </w:rPr>
        <w:t xml:space="preserve"> </w:t>
      </w:r>
      <w:r w:rsidR="00D05C5C">
        <w:rPr>
          <w:sz w:val="24"/>
          <w:szCs w:val="24"/>
        </w:rPr>
        <w:t xml:space="preserve">which prioritised </w:t>
      </w:r>
      <w:r w:rsidR="00050E19" w:rsidRPr="006F2FC9">
        <w:rPr>
          <w:sz w:val="24"/>
          <w:szCs w:val="24"/>
        </w:rPr>
        <w:t>‘securing and protecting the Indigenous Estate’</w:t>
      </w:r>
      <w:r w:rsidRPr="006F2FC9">
        <w:rPr>
          <w:sz w:val="24"/>
          <w:szCs w:val="24"/>
        </w:rPr>
        <w:t>.</w:t>
      </w:r>
    </w:p>
    <w:p w14:paraId="7F967689" w14:textId="23F02196" w:rsidR="00A05FEB" w:rsidRPr="006F2FC9" w:rsidRDefault="00E23080">
      <w:pPr>
        <w:rPr>
          <w:sz w:val="24"/>
          <w:szCs w:val="24"/>
        </w:rPr>
      </w:pPr>
      <w:r w:rsidRPr="006F2FC9">
        <w:rPr>
          <w:sz w:val="24"/>
          <w:szCs w:val="24"/>
        </w:rPr>
        <w:t xml:space="preserve">The Roundtable noted </w:t>
      </w:r>
      <w:r w:rsidR="00BE3F1D" w:rsidRPr="006F2FC9">
        <w:rPr>
          <w:sz w:val="24"/>
          <w:szCs w:val="24"/>
        </w:rPr>
        <w:t xml:space="preserve">at </w:t>
      </w:r>
      <w:r w:rsidRPr="006F2FC9">
        <w:rPr>
          <w:sz w:val="24"/>
          <w:szCs w:val="24"/>
        </w:rPr>
        <w:t>least two areas of risk that required further understanding</w:t>
      </w:r>
      <w:r w:rsidR="00965EB1" w:rsidRPr="006F2FC9">
        <w:rPr>
          <w:sz w:val="24"/>
          <w:szCs w:val="24"/>
        </w:rPr>
        <w:t xml:space="preserve"> and mitigation;</w:t>
      </w:r>
      <w:r w:rsidR="007C4C34" w:rsidRPr="006F2FC9">
        <w:rPr>
          <w:sz w:val="24"/>
          <w:szCs w:val="24"/>
        </w:rPr>
        <w:t xml:space="preserve"> the risk of </w:t>
      </w:r>
      <w:r w:rsidRPr="006F2FC9">
        <w:rPr>
          <w:sz w:val="24"/>
          <w:szCs w:val="24"/>
        </w:rPr>
        <w:t>using the</w:t>
      </w:r>
      <w:r w:rsidR="00965EB1" w:rsidRPr="006F2FC9">
        <w:rPr>
          <w:sz w:val="24"/>
          <w:szCs w:val="24"/>
        </w:rPr>
        <w:t xml:space="preserve"> Indigenous Estate to raise capital and the risk to lenders in financing within the Indigenous Estate market.</w:t>
      </w:r>
    </w:p>
    <w:p w14:paraId="510F0158" w14:textId="77777777" w:rsidR="008F7D4C" w:rsidRDefault="00BA1398">
      <w:pPr>
        <w:rPr>
          <w:sz w:val="24"/>
          <w:szCs w:val="24"/>
        </w:rPr>
      </w:pPr>
      <w:r w:rsidRPr="006F2FC9">
        <w:rPr>
          <w:sz w:val="24"/>
          <w:szCs w:val="24"/>
        </w:rPr>
        <w:t>The Roundtable noted the importance of building t</w:t>
      </w:r>
      <w:r w:rsidR="007F5FB7">
        <w:rPr>
          <w:sz w:val="24"/>
          <w:szCs w:val="24"/>
        </w:rPr>
        <w:t>he governance capacity of</w:t>
      </w:r>
      <w:r w:rsidR="0041232B" w:rsidRPr="006F2FC9">
        <w:rPr>
          <w:sz w:val="24"/>
          <w:szCs w:val="24"/>
        </w:rPr>
        <w:t xml:space="preserve"> landholding</w:t>
      </w:r>
      <w:r w:rsidRPr="006F2FC9">
        <w:rPr>
          <w:sz w:val="24"/>
          <w:szCs w:val="24"/>
        </w:rPr>
        <w:t xml:space="preserve"> groups</w:t>
      </w:r>
      <w:r w:rsidR="00676AEA">
        <w:rPr>
          <w:sz w:val="24"/>
          <w:szCs w:val="24"/>
        </w:rPr>
        <w:t xml:space="preserve"> who were considering using </w:t>
      </w:r>
      <w:r w:rsidR="00676AEA" w:rsidRPr="006F2FC9">
        <w:rPr>
          <w:sz w:val="24"/>
          <w:szCs w:val="24"/>
        </w:rPr>
        <w:t>the Indigenou</w:t>
      </w:r>
      <w:r w:rsidR="00676AEA">
        <w:rPr>
          <w:sz w:val="24"/>
          <w:szCs w:val="24"/>
        </w:rPr>
        <w:t xml:space="preserve">s Estate to raise capital. </w:t>
      </w:r>
      <w:r w:rsidR="00BA47DA">
        <w:rPr>
          <w:sz w:val="24"/>
          <w:szCs w:val="24"/>
        </w:rPr>
        <w:t xml:space="preserve">Strong governance and implementation of the principle of free, prior and informed consent were important to risk management. </w:t>
      </w:r>
      <w:r w:rsidR="0043073D">
        <w:rPr>
          <w:sz w:val="24"/>
          <w:szCs w:val="24"/>
        </w:rPr>
        <w:t xml:space="preserve">Utilising resources to guide informed decision making, such as </w:t>
      </w:r>
      <w:r w:rsidR="0083009E">
        <w:rPr>
          <w:sz w:val="24"/>
          <w:szCs w:val="24"/>
        </w:rPr>
        <w:t xml:space="preserve">the </w:t>
      </w:r>
      <w:r w:rsidR="0083009E" w:rsidRPr="00D05C5C">
        <w:rPr>
          <w:i/>
          <w:sz w:val="24"/>
          <w:szCs w:val="24"/>
        </w:rPr>
        <w:t>Indigenous Investment</w:t>
      </w:r>
      <w:r w:rsidRPr="00D05C5C">
        <w:rPr>
          <w:i/>
          <w:sz w:val="24"/>
          <w:szCs w:val="24"/>
        </w:rPr>
        <w:t xml:space="preserve"> Principles</w:t>
      </w:r>
      <w:r w:rsidRPr="006F2FC9">
        <w:rPr>
          <w:sz w:val="24"/>
          <w:szCs w:val="24"/>
        </w:rPr>
        <w:t xml:space="preserve"> </w:t>
      </w:r>
      <w:r w:rsidR="0043073D">
        <w:rPr>
          <w:sz w:val="24"/>
          <w:szCs w:val="24"/>
        </w:rPr>
        <w:t xml:space="preserve">was </w:t>
      </w:r>
      <w:r w:rsidR="00A24C27">
        <w:rPr>
          <w:sz w:val="24"/>
          <w:szCs w:val="24"/>
        </w:rPr>
        <w:t xml:space="preserve">supported. </w:t>
      </w:r>
    </w:p>
    <w:p w14:paraId="1EC1195E" w14:textId="47B36349" w:rsidR="007C4C34" w:rsidRPr="006F2FC9" w:rsidRDefault="007C4C34">
      <w:pPr>
        <w:rPr>
          <w:sz w:val="24"/>
          <w:szCs w:val="24"/>
        </w:rPr>
      </w:pPr>
      <w:r w:rsidRPr="006F2FC9">
        <w:rPr>
          <w:sz w:val="24"/>
          <w:szCs w:val="24"/>
        </w:rPr>
        <w:lastRenderedPageBreak/>
        <w:t xml:space="preserve">The issues of risk </w:t>
      </w:r>
      <w:r w:rsidR="00B928FC">
        <w:rPr>
          <w:sz w:val="24"/>
          <w:szCs w:val="24"/>
        </w:rPr>
        <w:t xml:space="preserve">management </w:t>
      </w:r>
      <w:r w:rsidRPr="006F2FC9">
        <w:rPr>
          <w:sz w:val="24"/>
          <w:szCs w:val="24"/>
        </w:rPr>
        <w:t>from the lenders’ perspect</w:t>
      </w:r>
      <w:r w:rsidR="00BA47DA">
        <w:rPr>
          <w:sz w:val="24"/>
          <w:szCs w:val="24"/>
        </w:rPr>
        <w:t>ive was discussed extensively</w:t>
      </w:r>
      <w:r w:rsidR="00B928FC">
        <w:rPr>
          <w:sz w:val="24"/>
          <w:szCs w:val="24"/>
        </w:rPr>
        <w:t xml:space="preserve">. Practical considerations such as </w:t>
      </w:r>
      <w:r w:rsidR="00BA47DA">
        <w:rPr>
          <w:sz w:val="24"/>
          <w:szCs w:val="24"/>
        </w:rPr>
        <w:t xml:space="preserve">reputational </w:t>
      </w:r>
      <w:r w:rsidRPr="006F2FC9">
        <w:rPr>
          <w:sz w:val="24"/>
          <w:szCs w:val="24"/>
        </w:rPr>
        <w:t>risk to a bank of foreclosing on a loan within an Indigenous community</w:t>
      </w:r>
      <w:r w:rsidR="00B928FC">
        <w:rPr>
          <w:sz w:val="24"/>
          <w:szCs w:val="24"/>
        </w:rPr>
        <w:t>,</w:t>
      </w:r>
      <w:r w:rsidRPr="006F2FC9">
        <w:rPr>
          <w:sz w:val="24"/>
          <w:szCs w:val="24"/>
        </w:rPr>
        <w:t xml:space="preserve"> </w:t>
      </w:r>
      <w:r w:rsidR="00BA47DA">
        <w:rPr>
          <w:sz w:val="24"/>
          <w:szCs w:val="24"/>
        </w:rPr>
        <w:t xml:space="preserve">and </w:t>
      </w:r>
      <w:r w:rsidRPr="006F2FC9">
        <w:rPr>
          <w:sz w:val="24"/>
          <w:szCs w:val="24"/>
        </w:rPr>
        <w:t xml:space="preserve">the </w:t>
      </w:r>
      <w:r w:rsidR="008D21A7">
        <w:rPr>
          <w:sz w:val="24"/>
          <w:szCs w:val="24"/>
        </w:rPr>
        <w:t xml:space="preserve">difficulties </w:t>
      </w:r>
      <w:r w:rsidRPr="006F2FC9">
        <w:rPr>
          <w:sz w:val="24"/>
          <w:szCs w:val="24"/>
        </w:rPr>
        <w:t xml:space="preserve">of </w:t>
      </w:r>
      <w:r w:rsidR="00484C55">
        <w:rPr>
          <w:sz w:val="24"/>
          <w:szCs w:val="24"/>
        </w:rPr>
        <w:t xml:space="preserve">finding </w:t>
      </w:r>
      <w:r w:rsidRPr="006F2FC9">
        <w:rPr>
          <w:sz w:val="24"/>
          <w:szCs w:val="24"/>
        </w:rPr>
        <w:t>a ‘secondary market’ in rural and remote Australia from which to realise any ca</w:t>
      </w:r>
      <w:r w:rsidR="00B928FC">
        <w:rPr>
          <w:sz w:val="24"/>
          <w:szCs w:val="24"/>
        </w:rPr>
        <w:t xml:space="preserve">pital when a loan is distressed were discussed. </w:t>
      </w:r>
    </w:p>
    <w:p w14:paraId="47B19869" w14:textId="5B93BC6A" w:rsidR="0041232B" w:rsidRPr="006F2FC9" w:rsidRDefault="0041232B">
      <w:pPr>
        <w:rPr>
          <w:sz w:val="24"/>
          <w:szCs w:val="24"/>
        </w:rPr>
      </w:pPr>
      <w:r w:rsidRPr="006F2FC9">
        <w:rPr>
          <w:sz w:val="24"/>
          <w:szCs w:val="24"/>
        </w:rPr>
        <w:t xml:space="preserve">The Roundtable noted that </w:t>
      </w:r>
      <w:r w:rsidR="004409EA">
        <w:rPr>
          <w:sz w:val="24"/>
          <w:szCs w:val="24"/>
        </w:rPr>
        <w:t>federal g</w:t>
      </w:r>
      <w:r w:rsidRPr="006F2FC9">
        <w:rPr>
          <w:sz w:val="24"/>
          <w:szCs w:val="24"/>
        </w:rPr>
        <w:t xml:space="preserve">overnments had previously </w:t>
      </w:r>
      <w:r w:rsidR="00AB51E2" w:rsidRPr="006F2FC9">
        <w:rPr>
          <w:sz w:val="24"/>
          <w:szCs w:val="24"/>
        </w:rPr>
        <w:t>developed</w:t>
      </w:r>
      <w:r w:rsidRPr="006F2FC9">
        <w:rPr>
          <w:sz w:val="24"/>
          <w:szCs w:val="24"/>
        </w:rPr>
        <w:t xml:space="preserve"> </w:t>
      </w:r>
      <w:r w:rsidR="00151760">
        <w:rPr>
          <w:sz w:val="24"/>
          <w:szCs w:val="24"/>
        </w:rPr>
        <w:t>tax incentives</w:t>
      </w:r>
      <w:r w:rsidR="00151760" w:rsidRPr="006F2FC9">
        <w:rPr>
          <w:sz w:val="24"/>
          <w:szCs w:val="24"/>
        </w:rPr>
        <w:t xml:space="preserve"> </w:t>
      </w:r>
      <w:r w:rsidR="00151760">
        <w:rPr>
          <w:sz w:val="24"/>
          <w:szCs w:val="24"/>
        </w:rPr>
        <w:t xml:space="preserve">and </w:t>
      </w:r>
      <w:r w:rsidR="009F53D4">
        <w:rPr>
          <w:sz w:val="24"/>
          <w:szCs w:val="24"/>
        </w:rPr>
        <w:t xml:space="preserve">financial </w:t>
      </w:r>
      <w:r w:rsidRPr="006F2FC9">
        <w:rPr>
          <w:sz w:val="24"/>
          <w:szCs w:val="24"/>
        </w:rPr>
        <w:t>struc</w:t>
      </w:r>
      <w:r w:rsidR="00AB51E2" w:rsidRPr="006F2FC9">
        <w:rPr>
          <w:sz w:val="24"/>
          <w:szCs w:val="24"/>
        </w:rPr>
        <w:t>tures</w:t>
      </w:r>
      <w:r w:rsidR="00437AFC">
        <w:rPr>
          <w:sz w:val="24"/>
          <w:szCs w:val="24"/>
        </w:rPr>
        <w:t xml:space="preserve"> </w:t>
      </w:r>
      <w:r w:rsidR="00437AFC" w:rsidRPr="006F2FC9">
        <w:rPr>
          <w:sz w:val="24"/>
          <w:szCs w:val="24"/>
        </w:rPr>
        <w:t>to underwrite</w:t>
      </w:r>
      <w:r w:rsidR="00151760">
        <w:rPr>
          <w:sz w:val="24"/>
          <w:szCs w:val="24"/>
        </w:rPr>
        <w:t xml:space="preserve"> </w:t>
      </w:r>
      <w:r w:rsidR="00AB51E2" w:rsidRPr="006F2FC9">
        <w:rPr>
          <w:sz w:val="24"/>
          <w:szCs w:val="24"/>
        </w:rPr>
        <w:t>the risk</w:t>
      </w:r>
      <w:r w:rsidR="00A7094B">
        <w:rPr>
          <w:sz w:val="24"/>
          <w:szCs w:val="24"/>
        </w:rPr>
        <w:t>s</w:t>
      </w:r>
      <w:r w:rsidR="00AB51E2" w:rsidRPr="006F2FC9">
        <w:rPr>
          <w:sz w:val="24"/>
          <w:szCs w:val="24"/>
        </w:rPr>
        <w:t xml:space="preserve"> involved </w:t>
      </w:r>
      <w:r w:rsidR="009F53D4">
        <w:rPr>
          <w:sz w:val="24"/>
          <w:szCs w:val="24"/>
        </w:rPr>
        <w:t>in establishing</w:t>
      </w:r>
      <w:r w:rsidR="00AB51E2" w:rsidRPr="006F2FC9">
        <w:rPr>
          <w:sz w:val="24"/>
          <w:szCs w:val="24"/>
        </w:rPr>
        <w:t xml:space="preserve"> </w:t>
      </w:r>
      <w:r w:rsidR="004B1D1D">
        <w:rPr>
          <w:sz w:val="24"/>
          <w:szCs w:val="24"/>
        </w:rPr>
        <w:t xml:space="preserve">cutting edge </w:t>
      </w:r>
      <w:r w:rsidR="00AB51E2" w:rsidRPr="006F2FC9">
        <w:rPr>
          <w:sz w:val="24"/>
          <w:szCs w:val="24"/>
        </w:rPr>
        <w:t xml:space="preserve">new </w:t>
      </w:r>
      <w:r w:rsidR="00437AFC">
        <w:rPr>
          <w:sz w:val="24"/>
          <w:szCs w:val="24"/>
        </w:rPr>
        <w:t>industries</w:t>
      </w:r>
      <w:r w:rsidR="004409EA">
        <w:rPr>
          <w:sz w:val="24"/>
          <w:szCs w:val="24"/>
        </w:rPr>
        <w:t xml:space="preserve"> and nation building initiatives</w:t>
      </w:r>
      <w:r w:rsidR="00EF4B8E">
        <w:rPr>
          <w:sz w:val="24"/>
          <w:szCs w:val="24"/>
        </w:rPr>
        <w:t xml:space="preserve">. Financial institutions had also created specialty support for sectors facing difficulty such </w:t>
      </w:r>
      <w:r w:rsidR="00050E19" w:rsidRPr="006F2FC9">
        <w:rPr>
          <w:sz w:val="24"/>
          <w:szCs w:val="24"/>
        </w:rPr>
        <w:t xml:space="preserve">rural </w:t>
      </w:r>
      <w:r w:rsidR="00EF4B8E">
        <w:rPr>
          <w:sz w:val="24"/>
          <w:szCs w:val="24"/>
        </w:rPr>
        <w:t xml:space="preserve">businesses. </w:t>
      </w:r>
      <w:r w:rsidR="00050E19" w:rsidRPr="006F2FC9">
        <w:rPr>
          <w:sz w:val="24"/>
          <w:szCs w:val="24"/>
        </w:rPr>
        <w:t xml:space="preserve"> </w:t>
      </w:r>
    </w:p>
    <w:p w14:paraId="02A8AABB" w14:textId="1B792AA1" w:rsidR="0041232B" w:rsidRPr="006F2FC9" w:rsidRDefault="00F66AA6">
      <w:pPr>
        <w:rPr>
          <w:sz w:val="24"/>
          <w:szCs w:val="24"/>
        </w:rPr>
      </w:pPr>
      <w:r>
        <w:rPr>
          <w:sz w:val="24"/>
          <w:szCs w:val="24"/>
        </w:rPr>
        <w:t xml:space="preserve">Capacity building was </w:t>
      </w:r>
      <w:r w:rsidR="00AA5FCC">
        <w:rPr>
          <w:sz w:val="24"/>
          <w:szCs w:val="24"/>
        </w:rPr>
        <w:t>identified as an issue for both Indigenous community groups and the banking sector. B</w:t>
      </w:r>
      <w:r w:rsidR="009932A8" w:rsidRPr="006F2FC9">
        <w:rPr>
          <w:sz w:val="24"/>
          <w:szCs w:val="24"/>
        </w:rPr>
        <w:t>uilding the capacity of the banking sector to work with</w:t>
      </w:r>
      <w:r w:rsidR="00D30992">
        <w:rPr>
          <w:sz w:val="24"/>
          <w:szCs w:val="24"/>
        </w:rPr>
        <w:t xml:space="preserve"> Indigenous land holders </w:t>
      </w:r>
      <w:r w:rsidR="00DB59EA">
        <w:rPr>
          <w:sz w:val="24"/>
          <w:szCs w:val="24"/>
        </w:rPr>
        <w:t xml:space="preserve">and land owners </w:t>
      </w:r>
      <w:r w:rsidR="009932A8" w:rsidRPr="006F2FC9">
        <w:rPr>
          <w:sz w:val="24"/>
          <w:szCs w:val="24"/>
        </w:rPr>
        <w:t xml:space="preserve">was </w:t>
      </w:r>
      <w:r w:rsidR="00AA5FCC">
        <w:rPr>
          <w:sz w:val="24"/>
          <w:szCs w:val="24"/>
        </w:rPr>
        <w:t xml:space="preserve">seen as </w:t>
      </w:r>
      <w:r w:rsidR="009932A8" w:rsidRPr="006F2FC9">
        <w:rPr>
          <w:sz w:val="24"/>
          <w:szCs w:val="24"/>
        </w:rPr>
        <w:t>absolutely essential.</w:t>
      </w:r>
    </w:p>
    <w:p w14:paraId="7E921F74" w14:textId="3898B238" w:rsidR="00FA70F1" w:rsidRPr="006F5E25" w:rsidRDefault="008F3ABB" w:rsidP="00230FB0">
      <w:pPr>
        <w:rPr>
          <w:rFonts w:asciiTheme="majorHAnsi" w:hAnsiTheme="majorHAnsi"/>
          <w:b/>
          <w:color w:val="44546A" w:themeColor="text2"/>
          <w:sz w:val="32"/>
          <w:szCs w:val="32"/>
        </w:rPr>
      </w:pPr>
      <w:r w:rsidRPr="006F5E25">
        <w:rPr>
          <w:rFonts w:asciiTheme="majorHAnsi" w:hAnsiTheme="majorHAnsi"/>
          <w:b/>
          <w:color w:val="44546A" w:themeColor="text2"/>
          <w:sz w:val="32"/>
          <w:szCs w:val="32"/>
        </w:rPr>
        <w:t>The Strelei</w:t>
      </w:r>
      <w:r w:rsidR="00A05FEB" w:rsidRPr="006F5E25">
        <w:rPr>
          <w:rFonts w:asciiTheme="majorHAnsi" w:hAnsiTheme="majorHAnsi"/>
          <w:b/>
          <w:color w:val="44546A" w:themeColor="text2"/>
          <w:sz w:val="32"/>
          <w:szCs w:val="32"/>
        </w:rPr>
        <w:t>n Model</w:t>
      </w:r>
    </w:p>
    <w:p w14:paraId="0330E88C" w14:textId="5A92CF32" w:rsidR="00230FB0" w:rsidRPr="006F2FC9" w:rsidRDefault="00E14F97" w:rsidP="00230FB0">
      <w:pPr>
        <w:rPr>
          <w:sz w:val="24"/>
          <w:szCs w:val="24"/>
        </w:rPr>
      </w:pPr>
      <w:r w:rsidRPr="006F2FC9">
        <w:rPr>
          <w:sz w:val="24"/>
          <w:szCs w:val="24"/>
        </w:rPr>
        <w:t xml:space="preserve">Dr Lisa Strelein, </w:t>
      </w:r>
      <w:r w:rsidR="007133ED">
        <w:rPr>
          <w:sz w:val="24"/>
          <w:szCs w:val="24"/>
        </w:rPr>
        <w:t xml:space="preserve">Executive </w:t>
      </w:r>
      <w:r w:rsidRPr="006F2FC9">
        <w:rPr>
          <w:sz w:val="24"/>
          <w:szCs w:val="24"/>
        </w:rPr>
        <w:t>Dire</w:t>
      </w:r>
      <w:bookmarkStart w:id="0" w:name="_GoBack"/>
      <w:bookmarkEnd w:id="0"/>
      <w:r w:rsidRPr="006F2FC9">
        <w:rPr>
          <w:sz w:val="24"/>
          <w:szCs w:val="24"/>
        </w:rPr>
        <w:t xml:space="preserve">ctor of Research, Indigenous Country and Governance at the </w:t>
      </w:r>
      <w:r w:rsidR="00230FB0" w:rsidRPr="006F2FC9">
        <w:rPr>
          <w:sz w:val="24"/>
          <w:szCs w:val="24"/>
        </w:rPr>
        <w:t>Australian</w:t>
      </w:r>
      <w:r w:rsidRPr="006F2FC9">
        <w:rPr>
          <w:sz w:val="24"/>
          <w:szCs w:val="24"/>
        </w:rPr>
        <w:t xml:space="preserve"> Institute of Aboriginal and Torres Strait Islander Studies (AIATSIS) has been </w:t>
      </w:r>
      <w:r w:rsidR="00230FB0" w:rsidRPr="006F2FC9">
        <w:rPr>
          <w:sz w:val="24"/>
          <w:szCs w:val="24"/>
        </w:rPr>
        <w:t>developing</w:t>
      </w:r>
      <w:r w:rsidRPr="006F2FC9">
        <w:rPr>
          <w:sz w:val="24"/>
          <w:szCs w:val="24"/>
        </w:rPr>
        <w:t xml:space="preserve"> </w:t>
      </w:r>
      <w:r w:rsidR="008F0720">
        <w:rPr>
          <w:sz w:val="24"/>
          <w:szCs w:val="24"/>
        </w:rPr>
        <w:t>a model which responds</w:t>
      </w:r>
      <w:r w:rsidR="00A760B7">
        <w:rPr>
          <w:sz w:val="24"/>
          <w:szCs w:val="24"/>
        </w:rPr>
        <w:t xml:space="preserve"> to the need for </w:t>
      </w:r>
      <w:r w:rsidR="007133ED" w:rsidRPr="006F2FC9">
        <w:rPr>
          <w:sz w:val="24"/>
          <w:szCs w:val="24"/>
        </w:rPr>
        <w:t>tenure that protects the intergenerational interests of native title holders using existing property law mechanisms</w:t>
      </w:r>
      <w:r w:rsidR="00A760B7">
        <w:rPr>
          <w:sz w:val="24"/>
          <w:szCs w:val="24"/>
        </w:rPr>
        <w:t xml:space="preserve">. The model starts </w:t>
      </w:r>
      <w:r w:rsidR="00B2061C">
        <w:rPr>
          <w:sz w:val="24"/>
          <w:szCs w:val="24"/>
        </w:rPr>
        <w:t>with</w:t>
      </w:r>
      <w:r w:rsidR="00213A69">
        <w:rPr>
          <w:sz w:val="24"/>
          <w:szCs w:val="24"/>
        </w:rPr>
        <w:t xml:space="preserve"> </w:t>
      </w:r>
      <w:r w:rsidR="00230FB0" w:rsidRPr="006F2FC9">
        <w:rPr>
          <w:sz w:val="24"/>
          <w:szCs w:val="24"/>
        </w:rPr>
        <w:t xml:space="preserve">‘exclusive possession native title’ </w:t>
      </w:r>
      <w:r w:rsidR="00A760B7">
        <w:rPr>
          <w:sz w:val="24"/>
          <w:szCs w:val="24"/>
        </w:rPr>
        <w:t>and c</w:t>
      </w:r>
      <w:r w:rsidR="002866AF">
        <w:rPr>
          <w:sz w:val="24"/>
          <w:szCs w:val="24"/>
        </w:rPr>
        <w:t xml:space="preserve">onsiders processes whereby the interest becomes suitable for the </w:t>
      </w:r>
      <w:r w:rsidR="00230FB0" w:rsidRPr="006F2FC9">
        <w:rPr>
          <w:sz w:val="24"/>
          <w:szCs w:val="24"/>
        </w:rPr>
        <w:t>finance sec</w:t>
      </w:r>
      <w:r w:rsidR="002866AF">
        <w:rPr>
          <w:sz w:val="24"/>
          <w:szCs w:val="24"/>
        </w:rPr>
        <w:t xml:space="preserve">tor to </w:t>
      </w:r>
      <w:r w:rsidR="004F1096">
        <w:rPr>
          <w:sz w:val="24"/>
          <w:szCs w:val="24"/>
        </w:rPr>
        <w:t>deal with</w:t>
      </w:r>
      <w:r w:rsidR="00994A00">
        <w:rPr>
          <w:sz w:val="24"/>
          <w:szCs w:val="24"/>
        </w:rPr>
        <w:t xml:space="preserve"> as </w:t>
      </w:r>
      <w:r w:rsidR="00230FB0" w:rsidRPr="006F2FC9">
        <w:rPr>
          <w:sz w:val="24"/>
          <w:szCs w:val="24"/>
        </w:rPr>
        <w:t>a ‘mortgag</w:t>
      </w:r>
      <w:r w:rsidR="005B3E8D">
        <w:rPr>
          <w:sz w:val="24"/>
          <w:szCs w:val="24"/>
        </w:rPr>
        <w:t>e-</w:t>
      </w:r>
      <w:r w:rsidR="00230FB0" w:rsidRPr="006F2FC9">
        <w:rPr>
          <w:sz w:val="24"/>
          <w:szCs w:val="24"/>
        </w:rPr>
        <w:t>able interest’.  A copy of that model is attached to this communique.</w:t>
      </w:r>
    </w:p>
    <w:p w14:paraId="086B59F5" w14:textId="5FDD6E5B" w:rsidR="00A05FEB" w:rsidRPr="006F2FC9" w:rsidRDefault="00230FB0">
      <w:pPr>
        <w:rPr>
          <w:sz w:val="24"/>
          <w:szCs w:val="24"/>
        </w:rPr>
      </w:pPr>
      <w:r w:rsidRPr="006F2FC9">
        <w:rPr>
          <w:sz w:val="24"/>
          <w:szCs w:val="24"/>
        </w:rPr>
        <w:t>The Roundtable agreed that this model could produce a fundamental shift</w:t>
      </w:r>
      <w:r w:rsidR="007333A4" w:rsidRPr="006F2FC9">
        <w:rPr>
          <w:sz w:val="24"/>
          <w:szCs w:val="24"/>
        </w:rPr>
        <w:t xml:space="preserve"> in how native title land may be used to advance economic development of the Indigenous Estate and endorsed </w:t>
      </w:r>
      <w:r w:rsidR="00213A69">
        <w:rPr>
          <w:sz w:val="24"/>
          <w:szCs w:val="24"/>
        </w:rPr>
        <w:t>further work on</w:t>
      </w:r>
      <w:r w:rsidRPr="006F2FC9">
        <w:rPr>
          <w:sz w:val="24"/>
          <w:szCs w:val="24"/>
        </w:rPr>
        <w:t xml:space="preserve"> this model </w:t>
      </w:r>
      <w:r w:rsidR="007333A4" w:rsidRPr="006F2FC9">
        <w:rPr>
          <w:sz w:val="24"/>
          <w:szCs w:val="24"/>
        </w:rPr>
        <w:t>being</w:t>
      </w:r>
      <w:r w:rsidRPr="006F2FC9">
        <w:rPr>
          <w:sz w:val="24"/>
          <w:szCs w:val="24"/>
        </w:rPr>
        <w:t xml:space="preserve"> undertaken to </w:t>
      </w:r>
      <w:r w:rsidR="007333A4" w:rsidRPr="006F2FC9">
        <w:rPr>
          <w:sz w:val="24"/>
          <w:szCs w:val="24"/>
        </w:rPr>
        <w:t xml:space="preserve">test its assumptions, </w:t>
      </w:r>
      <w:r w:rsidR="008C6148">
        <w:rPr>
          <w:sz w:val="24"/>
          <w:szCs w:val="24"/>
        </w:rPr>
        <w:t xml:space="preserve">and </w:t>
      </w:r>
      <w:r w:rsidR="007333A4" w:rsidRPr="006F2FC9">
        <w:rPr>
          <w:sz w:val="24"/>
          <w:szCs w:val="24"/>
        </w:rPr>
        <w:t>legal</w:t>
      </w:r>
      <w:r w:rsidR="00213A69">
        <w:rPr>
          <w:sz w:val="24"/>
          <w:szCs w:val="24"/>
        </w:rPr>
        <w:t xml:space="preserve"> and practical </w:t>
      </w:r>
      <w:r w:rsidR="007333A4" w:rsidRPr="006F2FC9">
        <w:rPr>
          <w:sz w:val="24"/>
          <w:szCs w:val="24"/>
        </w:rPr>
        <w:t>workability.</w:t>
      </w:r>
    </w:p>
    <w:p w14:paraId="56B1E44B" w14:textId="78881D1D" w:rsidR="008F3ABB" w:rsidRPr="006F5E25" w:rsidRDefault="00A05FEB">
      <w:pPr>
        <w:rPr>
          <w:rFonts w:asciiTheme="majorHAnsi" w:hAnsiTheme="majorHAnsi"/>
          <w:b/>
          <w:color w:val="44546A" w:themeColor="text2"/>
          <w:sz w:val="32"/>
          <w:szCs w:val="32"/>
        </w:rPr>
      </w:pPr>
      <w:r w:rsidRPr="006F5E25">
        <w:rPr>
          <w:rFonts w:asciiTheme="majorHAnsi" w:hAnsiTheme="majorHAnsi"/>
          <w:b/>
          <w:color w:val="44546A" w:themeColor="text2"/>
          <w:sz w:val="32"/>
          <w:szCs w:val="32"/>
        </w:rPr>
        <w:t>The Way Forward</w:t>
      </w:r>
    </w:p>
    <w:p w14:paraId="019005B0" w14:textId="282378B8" w:rsidR="008F3ABB" w:rsidRPr="006F2FC9" w:rsidRDefault="008F3ABB" w:rsidP="008F3ABB">
      <w:pPr>
        <w:rPr>
          <w:sz w:val="24"/>
          <w:szCs w:val="24"/>
        </w:rPr>
      </w:pPr>
      <w:r w:rsidRPr="006F2FC9">
        <w:rPr>
          <w:sz w:val="24"/>
          <w:szCs w:val="24"/>
        </w:rPr>
        <w:t xml:space="preserve">There was a strong consensus between both the banks and the Indigenous participants that this was the first of many conversations and that the </w:t>
      </w:r>
      <w:r w:rsidR="00732423">
        <w:rPr>
          <w:sz w:val="24"/>
          <w:szCs w:val="24"/>
        </w:rPr>
        <w:t>Indigenous Property Rights Network reform agenda should</w:t>
      </w:r>
      <w:r w:rsidRPr="006F2FC9">
        <w:rPr>
          <w:sz w:val="24"/>
          <w:szCs w:val="24"/>
        </w:rPr>
        <w:t xml:space="preserve">:   </w:t>
      </w:r>
    </w:p>
    <w:p w14:paraId="0D36EEC2" w14:textId="77777777" w:rsidR="008F3ABB" w:rsidRPr="006F2FC9" w:rsidRDefault="008F3ABB" w:rsidP="008F3ABB">
      <w:pPr>
        <w:pStyle w:val="ListParagraph"/>
        <w:numPr>
          <w:ilvl w:val="0"/>
          <w:numId w:val="3"/>
        </w:numPr>
        <w:rPr>
          <w:sz w:val="24"/>
          <w:szCs w:val="24"/>
        </w:rPr>
      </w:pPr>
      <w:r w:rsidRPr="006F2FC9">
        <w:rPr>
          <w:sz w:val="24"/>
          <w:szCs w:val="24"/>
        </w:rPr>
        <w:t xml:space="preserve">continue building the relationship with the banking and finance sector to expand discussions about risk, return and serviceability.  </w:t>
      </w:r>
    </w:p>
    <w:p w14:paraId="0F723656" w14:textId="77777777" w:rsidR="008F3ABB" w:rsidRPr="006F2FC9" w:rsidRDefault="008F3ABB" w:rsidP="008F3ABB">
      <w:pPr>
        <w:pStyle w:val="ListParagraph"/>
        <w:numPr>
          <w:ilvl w:val="0"/>
          <w:numId w:val="3"/>
        </w:numPr>
        <w:rPr>
          <w:sz w:val="24"/>
          <w:szCs w:val="24"/>
        </w:rPr>
      </w:pPr>
      <w:r w:rsidRPr="006F2FC9">
        <w:rPr>
          <w:sz w:val="24"/>
          <w:szCs w:val="24"/>
        </w:rPr>
        <w:t>continuing mapping the Indigenous Estate to better understand its characteristics.</w:t>
      </w:r>
    </w:p>
    <w:p w14:paraId="2B9B4684" w14:textId="77777777" w:rsidR="008F3ABB" w:rsidRPr="006F2FC9" w:rsidRDefault="008F3ABB" w:rsidP="008F3ABB">
      <w:pPr>
        <w:pStyle w:val="ListParagraph"/>
        <w:numPr>
          <w:ilvl w:val="0"/>
          <w:numId w:val="3"/>
        </w:numPr>
        <w:rPr>
          <w:sz w:val="24"/>
          <w:szCs w:val="24"/>
        </w:rPr>
      </w:pPr>
      <w:r w:rsidRPr="006F2FC9">
        <w:rPr>
          <w:sz w:val="24"/>
          <w:szCs w:val="24"/>
        </w:rPr>
        <w:t>increase capacity building among Indigenous property holders to facilitate effective participation in decisions.</w:t>
      </w:r>
    </w:p>
    <w:p w14:paraId="7EECF9CC" w14:textId="77777777" w:rsidR="008F3ABB" w:rsidRPr="00213A69" w:rsidRDefault="008F3ABB" w:rsidP="008F3ABB">
      <w:pPr>
        <w:pStyle w:val="ListParagraph"/>
        <w:numPr>
          <w:ilvl w:val="0"/>
          <w:numId w:val="3"/>
        </w:numPr>
        <w:rPr>
          <w:sz w:val="24"/>
          <w:szCs w:val="24"/>
        </w:rPr>
      </w:pPr>
      <w:r w:rsidRPr="006F2FC9">
        <w:rPr>
          <w:sz w:val="24"/>
          <w:szCs w:val="24"/>
        </w:rPr>
        <w:t xml:space="preserve">continue building knowledge about the market value of specific economic </w:t>
      </w:r>
      <w:r w:rsidRPr="00213A69">
        <w:rPr>
          <w:sz w:val="24"/>
          <w:szCs w:val="24"/>
        </w:rPr>
        <w:t>development opportunities.</w:t>
      </w:r>
    </w:p>
    <w:p w14:paraId="64380660" w14:textId="77777777" w:rsidR="008F3ABB" w:rsidRPr="00213A69" w:rsidRDefault="008F3ABB" w:rsidP="008F3ABB">
      <w:pPr>
        <w:pStyle w:val="ListParagraph"/>
        <w:numPr>
          <w:ilvl w:val="0"/>
          <w:numId w:val="3"/>
        </w:numPr>
        <w:rPr>
          <w:sz w:val="24"/>
          <w:szCs w:val="24"/>
        </w:rPr>
      </w:pPr>
      <w:r w:rsidRPr="00213A69">
        <w:rPr>
          <w:sz w:val="24"/>
          <w:szCs w:val="24"/>
        </w:rPr>
        <w:t>continue to explore and test tenure models that provide for economic development and maintain the Indigenous ownership of the Estate.</w:t>
      </w:r>
    </w:p>
    <w:p w14:paraId="54596B76" w14:textId="77777777" w:rsidR="008F3ABB" w:rsidRPr="00213A69" w:rsidRDefault="008F3ABB" w:rsidP="008F3ABB">
      <w:pPr>
        <w:pStyle w:val="ListParagraph"/>
        <w:numPr>
          <w:ilvl w:val="0"/>
          <w:numId w:val="3"/>
        </w:numPr>
        <w:rPr>
          <w:sz w:val="24"/>
          <w:szCs w:val="24"/>
        </w:rPr>
      </w:pPr>
      <w:r w:rsidRPr="00213A69">
        <w:rPr>
          <w:sz w:val="24"/>
          <w:szCs w:val="24"/>
        </w:rPr>
        <w:t>continue exploring the potential for tax incentives and more flexible incorporation options for Indigenous organisations.</w:t>
      </w:r>
    </w:p>
    <w:p w14:paraId="057C7EDD" w14:textId="77777777" w:rsidR="008F3ABB" w:rsidRPr="00213A69" w:rsidRDefault="008F3ABB" w:rsidP="008F3ABB">
      <w:pPr>
        <w:pStyle w:val="ListParagraph"/>
        <w:numPr>
          <w:ilvl w:val="0"/>
          <w:numId w:val="3"/>
        </w:numPr>
        <w:rPr>
          <w:sz w:val="24"/>
          <w:szCs w:val="24"/>
        </w:rPr>
      </w:pPr>
      <w:r w:rsidRPr="00213A69">
        <w:rPr>
          <w:sz w:val="24"/>
          <w:szCs w:val="24"/>
        </w:rPr>
        <w:t>Explore finance mechanisms to mitigate risk.</w:t>
      </w:r>
    </w:p>
    <w:p w14:paraId="141B9478" w14:textId="77777777" w:rsidR="008F3ABB" w:rsidRPr="00213A69" w:rsidRDefault="008F3ABB" w:rsidP="008F3ABB">
      <w:pPr>
        <w:pStyle w:val="ListParagraph"/>
        <w:numPr>
          <w:ilvl w:val="0"/>
          <w:numId w:val="3"/>
        </w:numPr>
        <w:rPr>
          <w:sz w:val="24"/>
          <w:szCs w:val="24"/>
        </w:rPr>
      </w:pPr>
      <w:r w:rsidRPr="00213A69">
        <w:rPr>
          <w:sz w:val="24"/>
          <w:szCs w:val="24"/>
        </w:rPr>
        <w:t xml:space="preserve">Increase understanding about types of economic development that meets the risk appetite among Indigenous land holders.  </w:t>
      </w:r>
    </w:p>
    <w:p w14:paraId="13EC78CB" w14:textId="797346B9" w:rsidR="008F3ABB" w:rsidRPr="00213A69" w:rsidRDefault="008F3ABB" w:rsidP="00213A69">
      <w:pPr>
        <w:pStyle w:val="ListParagraph"/>
        <w:numPr>
          <w:ilvl w:val="0"/>
          <w:numId w:val="3"/>
        </w:numPr>
        <w:rPr>
          <w:sz w:val="24"/>
          <w:szCs w:val="24"/>
        </w:rPr>
      </w:pPr>
      <w:r w:rsidRPr="00213A69">
        <w:rPr>
          <w:sz w:val="24"/>
          <w:szCs w:val="24"/>
        </w:rPr>
        <w:t xml:space="preserve">Increase understanding about the diverse ways to share benefits with Indigenous land holders. </w:t>
      </w:r>
    </w:p>
    <w:sectPr w:rsidR="008F3ABB" w:rsidRPr="00213A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FFA10" w14:textId="77777777" w:rsidR="000E72A3" w:rsidRDefault="000E72A3" w:rsidP="007A2D3F">
      <w:pPr>
        <w:spacing w:after="0" w:line="240" w:lineRule="auto"/>
      </w:pPr>
      <w:r>
        <w:separator/>
      </w:r>
    </w:p>
  </w:endnote>
  <w:endnote w:type="continuationSeparator" w:id="0">
    <w:p w14:paraId="7EC35C78" w14:textId="77777777" w:rsidR="000E72A3" w:rsidRDefault="000E72A3" w:rsidP="007A2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8F8C0" w14:textId="77777777" w:rsidR="000E72A3" w:rsidRDefault="000E72A3" w:rsidP="007A2D3F">
      <w:pPr>
        <w:spacing w:after="0" w:line="240" w:lineRule="auto"/>
      </w:pPr>
      <w:r>
        <w:separator/>
      </w:r>
    </w:p>
  </w:footnote>
  <w:footnote w:type="continuationSeparator" w:id="0">
    <w:p w14:paraId="61D82039" w14:textId="77777777" w:rsidR="000E72A3" w:rsidRDefault="000E72A3" w:rsidP="007A2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C6077"/>
    <w:multiLevelType w:val="hybridMultilevel"/>
    <w:tmpl w:val="0D90A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F11B4B"/>
    <w:multiLevelType w:val="hybridMultilevel"/>
    <w:tmpl w:val="6DC0ED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4D17E5"/>
    <w:multiLevelType w:val="hybridMultilevel"/>
    <w:tmpl w:val="AD263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D262EC"/>
    <w:multiLevelType w:val="hybridMultilevel"/>
    <w:tmpl w:val="A3FA3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FEB"/>
    <w:rsid w:val="00006E31"/>
    <w:rsid w:val="00050E19"/>
    <w:rsid w:val="00064E3C"/>
    <w:rsid w:val="0007081A"/>
    <w:rsid w:val="00087B40"/>
    <w:rsid w:val="000D39F5"/>
    <w:rsid w:val="000E72A3"/>
    <w:rsid w:val="00110F91"/>
    <w:rsid w:val="001507FC"/>
    <w:rsid w:val="00151760"/>
    <w:rsid w:val="00171440"/>
    <w:rsid w:val="00175E5B"/>
    <w:rsid w:val="001D4111"/>
    <w:rsid w:val="001E489D"/>
    <w:rsid w:val="00213A69"/>
    <w:rsid w:val="00216C3E"/>
    <w:rsid w:val="00230FB0"/>
    <w:rsid w:val="00231699"/>
    <w:rsid w:val="00267357"/>
    <w:rsid w:val="002866AF"/>
    <w:rsid w:val="002D199D"/>
    <w:rsid w:val="002D6145"/>
    <w:rsid w:val="002F4E97"/>
    <w:rsid w:val="00381924"/>
    <w:rsid w:val="003A149B"/>
    <w:rsid w:val="0041232B"/>
    <w:rsid w:val="0043073D"/>
    <w:rsid w:val="00435A24"/>
    <w:rsid w:val="00437AFC"/>
    <w:rsid w:val="004409EA"/>
    <w:rsid w:val="004411D1"/>
    <w:rsid w:val="004670FF"/>
    <w:rsid w:val="0047767E"/>
    <w:rsid w:val="00484C55"/>
    <w:rsid w:val="00490C24"/>
    <w:rsid w:val="004B1D1D"/>
    <w:rsid w:val="004D0D44"/>
    <w:rsid w:val="004F1096"/>
    <w:rsid w:val="0050531A"/>
    <w:rsid w:val="00510995"/>
    <w:rsid w:val="005618B7"/>
    <w:rsid w:val="0058039C"/>
    <w:rsid w:val="005B3E8D"/>
    <w:rsid w:val="005E2937"/>
    <w:rsid w:val="00637B4F"/>
    <w:rsid w:val="0065247E"/>
    <w:rsid w:val="006567E9"/>
    <w:rsid w:val="00676AEA"/>
    <w:rsid w:val="006E7801"/>
    <w:rsid w:val="006F2FC9"/>
    <w:rsid w:val="006F5E25"/>
    <w:rsid w:val="007133ED"/>
    <w:rsid w:val="00732423"/>
    <w:rsid w:val="007333A4"/>
    <w:rsid w:val="00776D3C"/>
    <w:rsid w:val="007913F8"/>
    <w:rsid w:val="007A2D3F"/>
    <w:rsid w:val="007C4C34"/>
    <w:rsid w:val="007F0CE4"/>
    <w:rsid w:val="007F5FB7"/>
    <w:rsid w:val="0083009E"/>
    <w:rsid w:val="008A2671"/>
    <w:rsid w:val="008B0A1B"/>
    <w:rsid w:val="008C6148"/>
    <w:rsid w:val="008D21A7"/>
    <w:rsid w:val="008E5B73"/>
    <w:rsid w:val="008F0720"/>
    <w:rsid w:val="008F36F2"/>
    <w:rsid w:val="008F3ABB"/>
    <w:rsid w:val="008F7D4C"/>
    <w:rsid w:val="0090183B"/>
    <w:rsid w:val="00920BBD"/>
    <w:rsid w:val="00950001"/>
    <w:rsid w:val="00965EB1"/>
    <w:rsid w:val="00980A8D"/>
    <w:rsid w:val="009932A8"/>
    <w:rsid w:val="00994A00"/>
    <w:rsid w:val="009B428F"/>
    <w:rsid w:val="009F53D4"/>
    <w:rsid w:val="00A05FEB"/>
    <w:rsid w:val="00A24C27"/>
    <w:rsid w:val="00A36530"/>
    <w:rsid w:val="00A64635"/>
    <w:rsid w:val="00A7094B"/>
    <w:rsid w:val="00A760B7"/>
    <w:rsid w:val="00A876AE"/>
    <w:rsid w:val="00AA5FCC"/>
    <w:rsid w:val="00AB51E2"/>
    <w:rsid w:val="00AB6B72"/>
    <w:rsid w:val="00AB73ED"/>
    <w:rsid w:val="00B1317C"/>
    <w:rsid w:val="00B134FF"/>
    <w:rsid w:val="00B17338"/>
    <w:rsid w:val="00B2061C"/>
    <w:rsid w:val="00B34BA2"/>
    <w:rsid w:val="00B928FC"/>
    <w:rsid w:val="00BA1398"/>
    <w:rsid w:val="00BA47DA"/>
    <w:rsid w:val="00BE3F1D"/>
    <w:rsid w:val="00BE6614"/>
    <w:rsid w:val="00BF4150"/>
    <w:rsid w:val="00BF5E0E"/>
    <w:rsid w:val="00C214E0"/>
    <w:rsid w:val="00C61892"/>
    <w:rsid w:val="00CC708A"/>
    <w:rsid w:val="00D05C5C"/>
    <w:rsid w:val="00D24409"/>
    <w:rsid w:val="00D30992"/>
    <w:rsid w:val="00D753F1"/>
    <w:rsid w:val="00D93931"/>
    <w:rsid w:val="00DA1580"/>
    <w:rsid w:val="00DB59EA"/>
    <w:rsid w:val="00DC4D2B"/>
    <w:rsid w:val="00E13012"/>
    <w:rsid w:val="00E14F97"/>
    <w:rsid w:val="00E23080"/>
    <w:rsid w:val="00E43397"/>
    <w:rsid w:val="00EB0357"/>
    <w:rsid w:val="00EF4B8E"/>
    <w:rsid w:val="00F35AF7"/>
    <w:rsid w:val="00F66AA6"/>
    <w:rsid w:val="00F72C67"/>
    <w:rsid w:val="00FA70F1"/>
    <w:rsid w:val="00FF2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AE31E3"/>
  <w15:chartTrackingRefBased/>
  <w15:docId w15:val="{2D9BA272-17C8-4F1A-8B11-6AF3D4C1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635"/>
    <w:pPr>
      <w:ind w:left="720"/>
      <w:contextualSpacing/>
    </w:pPr>
  </w:style>
  <w:style w:type="character" w:styleId="CommentReference">
    <w:name w:val="annotation reference"/>
    <w:basedOn w:val="DefaultParagraphFont"/>
    <w:uiPriority w:val="99"/>
    <w:semiHidden/>
    <w:unhideWhenUsed/>
    <w:rsid w:val="009B428F"/>
    <w:rPr>
      <w:sz w:val="16"/>
      <w:szCs w:val="16"/>
    </w:rPr>
  </w:style>
  <w:style w:type="paragraph" w:styleId="CommentText">
    <w:name w:val="annotation text"/>
    <w:basedOn w:val="Normal"/>
    <w:link w:val="CommentTextChar"/>
    <w:uiPriority w:val="99"/>
    <w:semiHidden/>
    <w:unhideWhenUsed/>
    <w:rsid w:val="009B428F"/>
    <w:pPr>
      <w:spacing w:line="240" w:lineRule="auto"/>
    </w:pPr>
    <w:rPr>
      <w:sz w:val="20"/>
      <w:szCs w:val="20"/>
    </w:rPr>
  </w:style>
  <w:style w:type="character" w:customStyle="1" w:styleId="CommentTextChar">
    <w:name w:val="Comment Text Char"/>
    <w:basedOn w:val="DefaultParagraphFont"/>
    <w:link w:val="CommentText"/>
    <w:uiPriority w:val="99"/>
    <w:semiHidden/>
    <w:rsid w:val="009B428F"/>
    <w:rPr>
      <w:sz w:val="20"/>
      <w:szCs w:val="20"/>
    </w:rPr>
  </w:style>
  <w:style w:type="paragraph" w:styleId="BalloonText">
    <w:name w:val="Balloon Text"/>
    <w:basedOn w:val="Normal"/>
    <w:link w:val="BalloonTextChar"/>
    <w:uiPriority w:val="99"/>
    <w:semiHidden/>
    <w:unhideWhenUsed/>
    <w:rsid w:val="009B4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2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B428F"/>
    <w:rPr>
      <w:b/>
      <w:bCs/>
    </w:rPr>
  </w:style>
  <w:style w:type="character" w:customStyle="1" w:styleId="CommentSubjectChar">
    <w:name w:val="Comment Subject Char"/>
    <w:basedOn w:val="CommentTextChar"/>
    <w:link w:val="CommentSubject"/>
    <w:uiPriority w:val="99"/>
    <w:semiHidden/>
    <w:rsid w:val="009B428F"/>
    <w:rPr>
      <w:b/>
      <w:bCs/>
      <w:sz w:val="20"/>
      <w:szCs w:val="20"/>
    </w:rPr>
  </w:style>
  <w:style w:type="paragraph" w:styleId="PlainText">
    <w:name w:val="Plain Text"/>
    <w:basedOn w:val="Normal"/>
    <w:link w:val="PlainTextChar"/>
    <w:uiPriority w:val="99"/>
    <w:semiHidden/>
    <w:unhideWhenUsed/>
    <w:rsid w:val="00FA70F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A70F1"/>
    <w:rPr>
      <w:rFonts w:ascii="Calibri" w:hAnsi="Calibri"/>
      <w:szCs w:val="21"/>
    </w:rPr>
  </w:style>
  <w:style w:type="paragraph" w:styleId="Header">
    <w:name w:val="header"/>
    <w:basedOn w:val="Normal"/>
    <w:link w:val="HeaderChar"/>
    <w:uiPriority w:val="99"/>
    <w:unhideWhenUsed/>
    <w:rsid w:val="007A2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D3F"/>
  </w:style>
  <w:style w:type="paragraph" w:styleId="Footer">
    <w:name w:val="footer"/>
    <w:basedOn w:val="Normal"/>
    <w:link w:val="FooterChar"/>
    <w:uiPriority w:val="99"/>
    <w:unhideWhenUsed/>
    <w:rsid w:val="007A2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D3F"/>
  </w:style>
  <w:style w:type="paragraph" w:styleId="Title">
    <w:name w:val="Title"/>
    <w:basedOn w:val="Normal"/>
    <w:next w:val="Normal"/>
    <w:link w:val="TitleChar"/>
    <w:uiPriority w:val="10"/>
    <w:qFormat/>
    <w:rsid w:val="005B3E8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5B3E8D"/>
    <w:rPr>
      <w:rFonts w:asciiTheme="majorHAnsi" w:eastAsiaTheme="majorEastAsia" w:hAnsiTheme="majorHAnsi" w:cstheme="majorBidi"/>
      <w:color w:val="323E4F"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56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Gooda</dc:creator>
  <cp:keywords/>
  <dc:description/>
  <cp:lastModifiedBy>Amber Roberts</cp:lastModifiedBy>
  <cp:revision>3</cp:revision>
  <dcterms:created xsi:type="dcterms:W3CDTF">2016-05-26T07:14:00Z</dcterms:created>
  <dcterms:modified xsi:type="dcterms:W3CDTF">2016-06-22T01:50:00Z</dcterms:modified>
</cp:coreProperties>
</file>