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E5" w:rsidRDefault="00135806" w:rsidP="009709E5">
      <w:pPr>
        <w:spacing w:before="0" w:after="0"/>
      </w:pPr>
      <w:r>
        <w:t>23</w:t>
      </w:r>
      <w:r w:rsidR="006E759F">
        <w:t xml:space="preserve"> October 2014</w:t>
      </w:r>
    </w:p>
    <w:p w:rsidR="009709E5" w:rsidRDefault="009709E5" w:rsidP="009709E5">
      <w:pPr>
        <w:spacing w:before="0" w:after="0"/>
      </w:pPr>
    </w:p>
    <w:p w:rsidR="00E36B41" w:rsidRPr="005C2BA2" w:rsidRDefault="009406CE" w:rsidP="00E36B41">
      <w:pPr>
        <w:keepNext/>
        <w:keepLines/>
        <w:spacing w:before="0" w:after="0"/>
      </w:pPr>
      <w:r>
        <w:t>Senator the Hon Ian MacDonald</w:t>
      </w:r>
    </w:p>
    <w:p w:rsidR="00E36B41" w:rsidRDefault="009406CE" w:rsidP="00031A24">
      <w:pPr>
        <w:keepNext/>
        <w:keepLines/>
        <w:spacing w:before="0" w:after="0"/>
      </w:pPr>
      <w:r>
        <w:t>Chair</w:t>
      </w:r>
    </w:p>
    <w:p w:rsidR="009406CE" w:rsidRDefault="009406CE" w:rsidP="00031A24">
      <w:pPr>
        <w:keepNext/>
        <w:keepLines/>
        <w:spacing w:before="0" w:after="0"/>
      </w:pPr>
      <w:r>
        <w:t>Senate Legal and Constitutional Affairs Legislation Committee</w:t>
      </w:r>
    </w:p>
    <w:p w:rsidR="00031A24" w:rsidRDefault="009406CE" w:rsidP="009709E5">
      <w:pPr>
        <w:spacing w:before="0" w:after="0"/>
      </w:pPr>
      <w:r w:rsidRPr="009406CE">
        <w:t>PO Box 6100</w:t>
      </w:r>
      <w:r w:rsidRPr="009406CE">
        <w:br/>
        <w:t>Parliament House</w:t>
      </w:r>
      <w:r w:rsidRPr="009406CE">
        <w:br/>
        <w:t>Canberra ACT 2600</w:t>
      </w:r>
    </w:p>
    <w:p w:rsidR="009406CE" w:rsidRDefault="009406CE" w:rsidP="009709E5">
      <w:pPr>
        <w:spacing w:before="0" w:after="0"/>
      </w:pPr>
    </w:p>
    <w:p w:rsidR="009406CE" w:rsidRDefault="009406CE" w:rsidP="009709E5">
      <w:pPr>
        <w:spacing w:before="0" w:after="0"/>
      </w:pPr>
      <w:r>
        <w:t>By email: legcon.sen@aph.gov.au</w:t>
      </w:r>
    </w:p>
    <w:p w:rsidR="00031A24" w:rsidRDefault="00031A24" w:rsidP="009709E5">
      <w:pPr>
        <w:spacing w:before="0" w:after="0"/>
      </w:pPr>
    </w:p>
    <w:p w:rsidR="002D0C4F" w:rsidRDefault="002D0C4F" w:rsidP="009709E5">
      <w:pPr>
        <w:spacing w:before="0"/>
      </w:pPr>
      <w:r w:rsidRPr="005C2BA2">
        <w:t>Dea</w:t>
      </w:r>
      <w:r w:rsidR="0073642E">
        <w:t>r Chair</w:t>
      </w:r>
      <w:r w:rsidR="00B802E5">
        <w:t>,</w:t>
      </w:r>
    </w:p>
    <w:p w:rsidR="00181378" w:rsidRDefault="0073642E" w:rsidP="002E486B">
      <w:pPr>
        <w:spacing w:before="360" w:after="360"/>
        <w:jc w:val="both"/>
        <w:rPr>
          <w:b/>
        </w:rPr>
      </w:pPr>
      <w:r>
        <w:rPr>
          <w:b/>
        </w:rPr>
        <w:t>Submission on the Guardian for Unaccompanied Children Bill 2014</w:t>
      </w:r>
    </w:p>
    <w:p w:rsidR="007B6F0B" w:rsidRDefault="007B6F0B" w:rsidP="00B47D0C">
      <w:pPr>
        <w:jc w:val="both"/>
      </w:pPr>
      <w:r>
        <w:t>The Australian Human Rights Commission makes this submission to the Senate Legal and Constitutional Affair</w:t>
      </w:r>
      <w:r w:rsidR="0022077F">
        <w:t>s</w:t>
      </w:r>
      <w:r w:rsidR="00D306CE">
        <w:t xml:space="preserve"> Legislation Committee</w:t>
      </w:r>
      <w:r w:rsidR="00916992">
        <w:t xml:space="preserve"> in its i</w:t>
      </w:r>
      <w:r>
        <w:t>nquiry into the</w:t>
      </w:r>
      <w:r w:rsidR="000260BF">
        <w:t xml:space="preserve"> </w:t>
      </w:r>
      <w:r w:rsidR="000260BF" w:rsidRPr="0073642E">
        <w:t>Guardian for Unaccompanied Children Bill 2014</w:t>
      </w:r>
      <w:r w:rsidR="000260BF">
        <w:t>.</w:t>
      </w:r>
    </w:p>
    <w:p w:rsidR="000260BF" w:rsidRDefault="000260BF" w:rsidP="00B47D0C">
      <w:pPr>
        <w:jc w:val="both"/>
      </w:pPr>
      <w:r>
        <w:t xml:space="preserve">The Commission supports the passage of the Bill. </w:t>
      </w:r>
    </w:p>
    <w:p w:rsidR="000260BF" w:rsidRDefault="000260BF" w:rsidP="00331279">
      <w:pPr>
        <w:jc w:val="both"/>
      </w:pPr>
      <w:r>
        <w:t>The Commission would be will</w:t>
      </w:r>
      <w:r w:rsidR="002639F6">
        <w:t>ing</w:t>
      </w:r>
      <w:r>
        <w:t xml:space="preserve"> to expand upon the points raised in this short submission at any public hearing of the Committee into the Bill. </w:t>
      </w:r>
    </w:p>
    <w:p w:rsidR="006A1194" w:rsidRPr="00E5325F" w:rsidRDefault="006A1194" w:rsidP="002E486B">
      <w:pPr>
        <w:pStyle w:val="Heading3"/>
        <w:numPr>
          <w:ilvl w:val="0"/>
          <w:numId w:val="0"/>
        </w:numPr>
        <w:spacing w:after="360"/>
        <w:jc w:val="both"/>
      </w:pPr>
      <w:r w:rsidRPr="002639F6">
        <w:t>Australia’s obligations under the Convention on the Rights of the Child regar</w:t>
      </w:r>
      <w:r w:rsidRPr="0022077F">
        <w:t>ding unaccompanied children</w:t>
      </w:r>
    </w:p>
    <w:p w:rsidR="00452F40" w:rsidRDefault="00087F5A" w:rsidP="0022077F">
      <w:pPr>
        <w:jc w:val="both"/>
        <w:rPr>
          <w:sz w:val="22"/>
          <w:szCs w:val="22"/>
        </w:rPr>
      </w:pPr>
      <w:r>
        <w:t>The Bill proposes</w:t>
      </w:r>
      <w:r w:rsidR="00713BDB">
        <w:t xml:space="preserve"> to establish</w:t>
      </w:r>
      <w:r w:rsidR="00452F40">
        <w:rPr>
          <w:sz w:val="22"/>
          <w:szCs w:val="22"/>
        </w:rPr>
        <w:t xml:space="preserve"> </w:t>
      </w:r>
      <w:r w:rsidR="00713BDB" w:rsidRPr="0022077F">
        <w:rPr>
          <w:szCs w:val="22"/>
        </w:rPr>
        <w:t xml:space="preserve">an independent statutory office of Guardian for Unaccompanied Non-citizen Children (the </w:t>
      </w:r>
      <w:r w:rsidR="00713BDB" w:rsidRPr="0022077F">
        <w:t>Guardian) to</w:t>
      </w:r>
      <w:r w:rsidR="00452F40" w:rsidRPr="0022077F">
        <w:t>:</w:t>
      </w:r>
    </w:p>
    <w:p w:rsidR="00713BDB" w:rsidRPr="00713BDB" w:rsidRDefault="00713BDB" w:rsidP="0022077F">
      <w:pPr>
        <w:ind w:left="720"/>
        <w:jc w:val="both"/>
        <w:rPr>
          <w:sz w:val="22"/>
          <w:szCs w:val="22"/>
        </w:rPr>
      </w:pPr>
      <w:proofErr w:type="gramStart"/>
      <w:r w:rsidRPr="00713BDB">
        <w:rPr>
          <w:sz w:val="22"/>
          <w:szCs w:val="22"/>
        </w:rPr>
        <w:t>advocate</w:t>
      </w:r>
      <w:proofErr w:type="gramEnd"/>
      <w:r w:rsidRPr="00713BDB">
        <w:rPr>
          <w:sz w:val="22"/>
          <w:szCs w:val="22"/>
        </w:rPr>
        <w:t xml:space="preserve"> for the best interests of non-citizen children who arrive in Australia or Australian external territories to seek humanitarian protection, who are unaccompanied by their parents or another responsible adult.</w:t>
      </w:r>
      <w:r w:rsidR="009B56B1">
        <w:rPr>
          <w:rStyle w:val="EndnoteReference"/>
          <w:szCs w:val="22"/>
        </w:rPr>
        <w:endnoteReference w:id="1"/>
      </w:r>
    </w:p>
    <w:p w:rsidR="00713BDB" w:rsidRDefault="00F84072" w:rsidP="00331279">
      <w:pPr>
        <w:spacing w:before="100" w:beforeAutospacing="1" w:after="100" w:afterAutospacing="1"/>
        <w:jc w:val="both"/>
      </w:pPr>
      <w:r>
        <w:t>C</w:t>
      </w:r>
      <w:r w:rsidR="00065B0F">
        <w:t xml:space="preserve">lause 3(2) of the </w:t>
      </w:r>
      <w:r w:rsidR="009B56B1">
        <w:t xml:space="preserve">Bill </w:t>
      </w:r>
      <w:r w:rsidR="001F2743">
        <w:t>explains that:</w:t>
      </w:r>
    </w:p>
    <w:p w:rsidR="00713BDB" w:rsidRPr="00F3719A" w:rsidRDefault="00713BDB" w:rsidP="00331279">
      <w:pPr>
        <w:pStyle w:val="Default"/>
        <w:spacing w:after="120"/>
        <w:ind w:left="567"/>
        <w:jc w:val="both"/>
        <w:rPr>
          <w:rFonts w:ascii="Arial" w:hAnsi="Arial" w:cs="Arial"/>
          <w:sz w:val="16"/>
          <w:szCs w:val="16"/>
        </w:rPr>
      </w:pPr>
      <w:r w:rsidRPr="00F3719A">
        <w:rPr>
          <w:rFonts w:ascii="Arial" w:hAnsi="Arial" w:cs="Arial"/>
          <w:sz w:val="22"/>
          <w:szCs w:val="22"/>
        </w:rPr>
        <w:t xml:space="preserve">The Parliament intends the establishment of the Guardian as a measure to assist Australia in meeting its international obligations under the Convention on the Rights of the Child, particularly as they relate to the following Articles: </w:t>
      </w:r>
      <w:r w:rsidRPr="00F3719A">
        <w:rPr>
          <w:rFonts w:ascii="Arial" w:hAnsi="Arial" w:cs="Arial"/>
          <w:sz w:val="16"/>
          <w:szCs w:val="16"/>
        </w:rPr>
        <w:t xml:space="preserve"> </w:t>
      </w:r>
    </w:p>
    <w:p w:rsidR="00713BDB" w:rsidRPr="00F3719A" w:rsidRDefault="00713BDB" w:rsidP="00331279">
      <w:pPr>
        <w:pStyle w:val="Default"/>
        <w:numPr>
          <w:ilvl w:val="0"/>
          <w:numId w:val="33"/>
        </w:numPr>
        <w:spacing w:after="120"/>
        <w:ind w:left="993" w:hanging="426"/>
        <w:jc w:val="both"/>
        <w:rPr>
          <w:rFonts w:ascii="Arial" w:hAnsi="Arial" w:cs="Arial"/>
          <w:sz w:val="16"/>
          <w:szCs w:val="16"/>
        </w:rPr>
      </w:pPr>
      <w:r w:rsidRPr="00F3719A">
        <w:rPr>
          <w:rFonts w:ascii="Arial" w:hAnsi="Arial" w:cs="Arial"/>
          <w:sz w:val="22"/>
          <w:szCs w:val="22"/>
        </w:rPr>
        <w:t xml:space="preserve">the primacy of the consideration of the child’s best interests </w:t>
      </w:r>
      <w:r w:rsidRPr="00F3719A">
        <w:rPr>
          <w:rFonts w:ascii="Arial" w:hAnsi="Arial" w:cs="Arial"/>
          <w:sz w:val="16"/>
          <w:szCs w:val="16"/>
        </w:rPr>
        <w:t xml:space="preserve"> </w:t>
      </w:r>
      <w:r w:rsidRPr="00F3719A">
        <w:rPr>
          <w:rFonts w:ascii="Arial" w:hAnsi="Arial" w:cs="Arial"/>
          <w:sz w:val="22"/>
          <w:szCs w:val="22"/>
        </w:rPr>
        <w:t>(Article 4);</w:t>
      </w:r>
      <w:r w:rsidR="00512994">
        <w:rPr>
          <w:rStyle w:val="EndnoteReference"/>
          <w:rFonts w:cs="Arial"/>
          <w:szCs w:val="22"/>
        </w:rPr>
        <w:endnoteReference w:id="2"/>
      </w:r>
      <w:r w:rsidRPr="00F3719A">
        <w:rPr>
          <w:rFonts w:ascii="Arial" w:hAnsi="Arial" w:cs="Arial"/>
          <w:sz w:val="22"/>
          <w:szCs w:val="22"/>
        </w:rPr>
        <w:t xml:space="preserve"> </w:t>
      </w:r>
    </w:p>
    <w:p w:rsidR="00713BDB" w:rsidRPr="00F3719A" w:rsidRDefault="00713BDB" w:rsidP="00331279">
      <w:pPr>
        <w:pStyle w:val="Default"/>
        <w:numPr>
          <w:ilvl w:val="0"/>
          <w:numId w:val="33"/>
        </w:numPr>
        <w:spacing w:after="120"/>
        <w:ind w:left="993" w:hanging="426"/>
        <w:jc w:val="both"/>
        <w:rPr>
          <w:rFonts w:ascii="Arial" w:hAnsi="Arial" w:cs="Arial"/>
          <w:sz w:val="16"/>
          <w:szCs w:val="16"/>
        </w:rPr>
      </w:pPr>
      <w:r w:rsidRPr="00F3719A">
        <w:rPr>
          <w:rFonts w:ascii="Arial" w:hAnsi="Arial" w:cs="Arial"/>
          <w:sz w:val="22"/>
          <w:szCs w:val="22"/>
        </w:rPr>
        <w:t xml:space="preserve">the child’s right to survival and development (Article 6(1)); </w:t>
      </w:r>
    </w:p>
    <w:p w:rsidR="009B56B1" w:rsidRPr="00F3719A" w:rsidRDefault="00713BDB" w:rsidP="00331279">
      <w:pPr>
        <w:pStyle w:val="Default"/>
        <w:numPr>
          <w:ilvl w:val="0"/>
          <w:numId w:val="33"/>
        </w:numPr>
        <w:spacing w:after="120"/>
        <w:ind w:left="993" w:hanging="426"/>
        <w:jc w:val="both"/>
        <w:rPr>
          <w:rFonts w:ascii="Arial" w:hAnsi="Arial" w:cs="Arial"/>
          <w:sz w:val="16"/>
          <w:szCs w:val="16"/>
        </w:rPr>
      </w:pPr>
      <w:r w:rsidRPr="00F3719A">
        <w:rPr>
          <w:rFonts w:ascii="Arial" w:hAnsi="Arial" w:cs="Arial"/>
          <w:sz w:val="22"/>
          <w:szCs w:val="22"/>
        </w:rPr>
        <w:t xml:space="preserve">the child’s right to participate in decision-making (Article 12); </w:t>
      </w:r>
      <w:r w:rsidR="009B56B1" w:rsidRPr="00F3719A">
        <w:rPr>
          <w:rFonts w:ascii="Arial" w:hAnsi="Arial" w:cs="Arial"/>
          <w:sz w:val="16"/>
          <w:szCs w:val="16"/>
        </w:rPr>
        <w:t xml:space="preserve"> </w:t>
      </w:r>
    </w:p>
    <w:p w:rsidR="002E486B" w:rsidRPr="002E486B" w:rsidRDefault="00713BDB" w:rsidP="002E486B">
      <w:pPr>
        <w:pStyle w:val="Default"/>
        <w:numPr>
          <w:ilvl w:val="0"/>
          <w:numId w:val="33"/>
        </w:numPr>
        <w:spacing w:after="120"/>
        <w:ind w:left="993" w:hanging="426"/>
        <w:jc w:val="both"/>
        <w:rPr>
          <w:rFonts w:ascii="Arial" w:hAnsi="Arial" w:cs="Arial"/>
          <w:sz w:val="16"/>
          <w:szCs w:val="16"/>
        </w:rPr>
      </w:pPr>
      <w:proofErr w:type="gramStart"/>
      <w:r w:rsidRPr="00F3719A">
        <w:rPr>
          <w:rFonts w:ascii="Arial" w:hAnsi="Arial" w:cs="Arial"/>
          <w:sz w:val="22"/>
          <w:szCs w:val="22"/>
        </w:rPr>
        <w:lastRenderedPageBreak/>
        <w:t>no</w:t>
      </w:r>
      <w:proofErr w:type="gramEnd"/>
      <w:r w:rsidRPr="00F3719A">
        <w:rPr>
          <w:rFonts w:ascii="Arial" w:hAnsi="Arial" w:cs="Arial"/>
          <w:sz w:val="22"/>
          <w:szCs w:val="22"/>
        </w:rPr>
        <w:t xml:space="preserve"> arbitrary or unlawful deprivation of liberty (Article 37).</w:t>
      </w:r>
    </w:p>
    <w:p w:rsidR="006000A7" w:rsidRPr="006000A7" w:rsidRDefault="00087F5A" w:rsidP="00B47D0C">
      <w:pPr>
        <w:pStyle w:val="Default"/>
        <w:spacing w:before="240" w:after="240"/>
        <w:jc w:val="both"/>
        <w:rPr>
          <w:rFonts w:ascii="Arial" w:hAnsi="Arial"/>
          <w:color w:val="auto"/>
        </w:rPr>
      </w:pPr>
      <w:r>
        <w:rPr>
          <w:rFonts w:ascii="Arial" w:hAnsi="Arial"/>
          <w:color w:val="auto"/>
        </w:rPr>
        <w:t>I</w:t>
      </w:r>
      <w:r w:rsidR="006000A7" w:rsidRPr="006000A7">
        <w:rPr>
          <w:rFonts w:ascii="Arial" w:hAnsi="Arial"/>
          <w:color w:val="auto"/>
        </w:rPr>
        <w:t xml:space="preserve">n addition to the rights mentioned in clause 3(2), Australia has specific obligations under the </w:t>
      </w:r>
      <w:r w:rsidR="006000A7" w:rsidRPr="006000A7">
        <w:rPr>
          <w:rFonts w:ascii="Arial" w:hAnsi="Arial"/>
          <w:i/>
          <w:color w:val="auto"/>
        </w:rPr>
        <w:t>Convention on the Rights of the Child</w:t>
      </w:r>
      <w:r w:rsidR="006000A7" w:rsidRPr="006000A7">
        <w:rPr>
          <w:rFonts w:ascii="Arial" w:hAnsi="Arial"/>
          <w:color w:val="auto"/>
        </w:rPr>
        <w:t xml:space="preserve"> (the Convention) in relation to unaccompanied children.</w:t>
      </w:r>
      <w:r w:rsidR="00263B2B">
        <w:rPr>
          <w:rFonts w:ascii="Arial" w:hAnsi="Arial"/>
          <w:color w:val="auto"/>
        </w:rPr>
        <w:t xml:space="preserve"> The Commission submits that these specific obligations are directly relevant to the Bill under consideration.</w:t>
      </w:r>
    </w:p>
    <w:p w:rsidR="00F60BC0" w:rsidRDefault="00F60BC0" w:rsidP="00B47D0C">
      <w:pPr>
        <w:jc w:val="both"/>
        <w:rPr>
          <w:lang w:val="en"/>
        </w:rPr>
      </w:pPr>
      <w:r>
        <w:rPr>
          <w:lang w:val="en"/>
        </w:rPr>
        <w:t>Article</w:t>
      </w:r>
      <w:r w:rsidR="00D80E16">
        <w:rPr>
          <w:lang w:val="en"/>
        </w:rPr>
        <w:t xml:space="preserve"> 20 o</w:t>
      </w:r>
      <w:r w:rsidR="0097306F">
        <w:rPr>
          <w:lang w:val="en"/>
        </w:rPr>
        <w:t>f the Convention</w:t>
      </w:r>
      <w:r>
        <w:rPr>
          <w:lang w:val="en"/>
        </w:rPr>
        <w:t xml:space="preserve"> specifically relates to unaccompanied children.</w:t>
      </w:r>
      <w:r w:rsidR="0097306F">
        <w:rPr>
          <w:lang w:val="en"/>
        </w:rPr>
        <w:t xml:space="preserve"> </w:t>
      </w:r>
      <w:r>
        <w:rPr>
          <w:lang w:val="en"/>
        </w:rPr>
        <w:t>Article 20</w:t>
      </w:r>
      <w:r w:rsidR="009E1120">
        <w:rPr>
          <w:lang w:val="en"/>
        </w:rPr>
        <w:t xml:space="preserve"> paragraphs (1) and (2) provide</w:t>
      </w:r>
      <w:r>
        <w:rPr>
          <w:lang w:val="en"/>
        </w:rPr>
        <w:t>:</w:t>
      </w:r>
    </w:p>
    <w:p w:rsidR="00F60BC0" w:rsidRPr="00E05295" w:rsidRDefault="00F60BC0" w:rsidP="00331279">
      <w:pPr>
        <w:pStyle w:val="ListParagraph"/>
        <w:numPr>
          <w:ilvl w:val="0"/>
          <w:numId w:val="36"/>
        </w:numPr>
        <w:spacing w:before="100" w:beforeAutospacing="1" w:after="120"/>
        <w:ind w:left="851" w:hanging="284"/>
        <w:jc w:val="both"/>
      </w:pPr>
      <w:r w:rsidRPr="00E05295">
        <w:t xml:space="preserve">A child temporarily or permanently deprived of his or her family environment, or in whose own best interests cannot be allowed to remain in that environment, shall be entitled to </w:t>
      </w:r>
      <w:r w:rsidRPr="007274FD">
        <w:rPr>
          <w:b/>
        </w:rPr>
        <w:t>special protection and assistance</w:t>
      </w:r>
      <w:r w:rsidRPr="00E05295">
        <w:t xml:space="preserve"> provided by the State.</w:t>
      </w:r>
    </w:p>
    <w:p w:rsidR="002E486B" w:rsidRPr="002E486B" w:rsidRDefault="00F60BC0" w:rsidP="002E486B">
      <w:pPr>
        <w:pStyle w:val="ListParagraph"/>
        <w:numPr>
          <w:ilvl w:val="0"/>
          <w:numId w:val="36"/>
        </w:numPr>
        <w:spacing w:before="100" w:beforeAutospacing="1" w:after="120"/>
        <w:ind w:left="851" w:hanging="284"/>
        <w:jc w:val="both"/>
      </w:pPr>
      <w:r w:rsidRPr="00E05295">
        <w:t xml:space="preserve">States Parties shall in accordance with their national laws </w:t>
      </w:r>
      <w:r w:rsidRPr="007274FD">
        <w:rPr>
          <w:b/>
        </w:rPr>
        <w:t>ensure alternative care</w:t>
      </w:r>
      <w:r w:rsidRPr="00E05295">
        <w:t xml:space="preserve"> for such a child</w:t>
      </w:r>
      <w:r w:rsidR="009E1120">
        <w:t>.</w:t>
      </w:r>
      <w:r w:rsidR="007274FD">
        <w:t xml:space="preserve"> (emphasis added)</w:t>
      </w:r>
    </w:p>
    <w:p w:rsidR="00845E97" w:rsidRPr="00000C2B" w:rsidRDefault="00005D49" w:rsidP="00B47D0C">
      <w:pPr>
        <w:spacing w:after="0"/>
        <w:jc w:val="both"/>
        <w:rPr>
          <w:lang w:val="en"/>
        </w:rPr>
      </w:pPr>
      <w:r>
        <w:rPr>
          <w:lang w:val="en"/>
        </w:rPr>
        <w:t xml:space="preserve">There is also a specific provision in the Convention for </w:t>
      </w:r>
      <w:r w:rsidR="00C24E63">
        <w:rPr>
          <w:lang w:val="en"/>
        </w:rPr>
        <w:t>unaccompanied ch</w:t>
      </w:r>
      <w:r w:rsidR="00B44C55">
        <w:rPr>
          <w:lang w:val="en"/>
        </w:rPr>
        <w:t>ildren who are seeking asylum</w:t>
      </w:r>
      <w:r>
        <w:rPr>
          <w:lang w:val="en"/>
        </w:rPr>
        <w:t xml:space="preserve">. </w:t>
      </w:r>
      <w:r w:rsidR="00B44C55">
        <w:rPr>
          <w:lang w:val="en"/>
        </w:rPr>
        <w:t>A</w:t>
      </w:r>
      <w:r w:rsidR="00636343">
        <w:rPr>
          <w:lang w:val="en"/>
        </w:rPr>
        <w:t>rticle 22(1</w:t>
      </w:r>
      <w:r w:rsidR="00C24E63">
        <w:rPr>
          <w:lang w:val="en"/>
        </w:rPr>
        <w:t xml:space="preserve">) of the Convention requires that Australia ‘take appropriate measures’ to ensure that </w:t>
      </w:r>
      <w:r w:rsidR="00000C2B">
        <w:rPr>
          <w:lang w:val="en"/>
        </w:rPr>
        <w:t>such children ‘</w:t>
      </w:r>
      <w:r w:rsidR="00845E97">
        <w:t>receive appropriate protection and humanitarian assistance</w:t>
      </w:r>
      <w:r w:rsidR="00000C2B">
        <w:t>’ in the enjoyment of the</w:t>
      </w:r>
      <w:r w:rsidR="00B44C55">
        <w:t>ir</w:t>
      </w:r>
      <w:r w:rsidR="00000C2B">
        <w:t xml:space="preserve"> rights in the Convention</w:t>
      </w:r>
      <w:r w:rsidR="00B44C55">
        <w:t xml:space="preserve"> and other instruments</w:t>
      </w:r>
      <w:r w:rsidR="00000C2B">
        <w:t>.</w:t>
      </w:r>
    </w:p>
    <w:p w:rsidR="009E41ED" w:rsidRDefault="00507575" w:rsidP="00B47D0C">
      <w:pPr>
        <w:spacing w:before="100" w:beforeAutospacing="1" w:after="100" w:afterAutospacing="1"/>
        <w:jc w:val="both"/>
      </w:pPr>
      <w:r>
        <w:rPr>
          <w:lang w:val="en"/>
        </w:rPr>
        <w:t>Effect</w:t>
      </w:r>
      <w:r w:rsidR="00564725">
        <w:rPr>
          <w:lang w:val="en"/>
        </w:rPr>
        <w:t>ive guardianship is a</w:t>
      </w:r>
      <w:r w:rsidR="00703FAC">
        <w:rPr>
          <w:lang w:val="en"/>
        </w:rPr>
        <w:t>n essential</w:t>
      </w:r>
      <w:r>
        <w:rPr>
          <w:lang w:val="en"/>
        </w:rPr>
        <w:t xml:space="preserve"> element of </w:t>
      </w:r>
      <w:r w:rsidR="005E752E">
        <w:rPr>
          <w:lang w:val="en"/>
        </w:rPr>
        <w:t>the care of unaccompanied children</w:t>
      </w:r>
      <w:r>
        <w:rPr>
          <w:lang w:val="en"/>
        </w:rPr>
        <w:t xml:space="preserve">. </w:t>
      </w:r>
      <w:r w:rsidR="009E41ED">
        <w:t xml:space="preserve">In the absence of a child’s parents, the legal guardian of an unaccompanied child has </w:t>
      </w:r>
      <w:r w:rsidR="00987464">
        <w:t xml:space="preserve">‘the </w:t>
      </w:r>
      <w:r w:rsidR="009E41ED">
        <w:t>primary responsibility for the upbringing and development of</w:t>
      </w:r>
      <w:r w:rsidR="004C29B8">
        <w:t xml:space="preserve"> the child’.</w:t>
      </w:r>
      <w:r w:rsidR="004C29B8">
        <w:rPr>
          <w:rStyle w:val="EndnoteReference"/>
        </w:rPr>
        <w:endnoteReference w:id="3"/>
      </w:r>
      <w:r w:rsidR="004C29B8">
        <w:t xml:space="preserve"> He or she</w:t>
      </w:r>
      <w:r w:rsidR="009E41ED">
        <w:t xml:space="preserve"> is under an obligation under </w:t>
      </w:r>
      <w:r w:rsidR="009E60FE">
        <w:t xml:space="preserve">article 18(1) of </w:t>
      </w:r>
      <w:r w:rsidR="009E41ED">
        <w:t xml:space="preserve">the </w:t>
      </w:r>
      <w:r w:rsidR="009E41ED" w:rsidRPr="009E60FE">
        <w:t>Convention</w:t>
      </w:r>
      <w:r w:rsidR="009E41ED" w:rsidRPr="00B9558E">
        <w:rPr>
          <w:i/>
        </w:rPr>
        <w:t xml:space="preserve"> </w:t>
      </w:r>
      <w:r w:rsidR="009E41ED">
        <w:t>to a</w:t>
      </w:r>
      <w:r w:rsidR="004C29B8">
        <w:t xml:space="preserve">ct in the best interests of that </w:t>
      </w:r>
      <w:r w:rsidR="009E41ED">
        <w:t>child.</w:t>
      </w:r>
      <w:r w:rsidR="009E41ED">
        <w:rPr>
          <w:rStyle w:val="EndnoteReference"/>
        </w:rPr>
        <w:endnoteReference w:id="4"/>
      </w:r>
    </w:p>
    <w:p w:rsidR="000A37C7" w:rsidRPr="00C24E63" w:rsidRDefault="000A37C7" w:rsidP="00331279">
      <w:pPr>
        <w:jc w:val="both"/>
        <w:rPr>
          <w:rFonts w:cs="Arial"/>
        </w:rPr>
      </w:pPr>
      <w:r w:rsidRPr="00CB26DD">
        <w:rPr>
          <w:rFonts w:cs="Arial"/>
        </w:rPr>
        <w:t xml:space="preserve">The </w:t>
      </w:r>
      <w:r>
        <w:rPr>
          <w:rFonts w:cs="Arial"/>
        </w:rPr>
        <w:t xml:space="preserve">United Nations </w:t>
      </w:r>
      <w:r w:rsidRPr="00CB26DD">
        <w:rPr>
          <w:rFonts w:cs="Arial"/>
        </w:rPr>
        <w:t xml:space="preserve">Committee on the Rights of the Child has </w:t>
      </w:r>
      <w:r>
        <w:rPr>
          <w:rFonts w:cs="Arial"/>
        </w:rPr>
        <w:t xml:space="preserve">stated </w:t>
      </w:r>
      <w:r w:rsidRPr="00CB26DD">
        <w:rPr>
          <w:rFonts w:cs="Arial"/>
        </w:rPr>
        <w:t xml:space="preserve">that in order </w:t>
      </w:r>
      <w:r>
        <w:rPr>
          <w:rFonts w:cs="Arial"/>
        </w:rPr>
        <w:t>to ensure proper representation of</w:t>
      </w:r>
      <w:r w:rsidRPr="00CB26DD">
        <w:rPr>
          <w:rFonts w:cs="Arial"/>
        </w:rPr>
        <w:t xml:space="preserve"> an unaccompanied child’s best interests</w:t>
      </w:r>
      <w:r>
        <w:rPr>
          <w:rFonts w:cs="Arial"/>
        </w:rPr>
        <w:t xml:space="preserve">, it is important </w:t>
      </w:r>
      <w:r>
        <w:t>that his or her guardian:</w:t>
      </w:r>
    </w:p>
    <w:p w:rsidR="000A37C7" w:rsidRDefault="000A37C7" w:rsidP="00331279">
      <w:pPr>
        <w:ind w:left="567"/>
        <w:jc w:val="both"/>
      </w:pPr>
      <w:r w:rsidRPr="000A37C7">
        <w:rPr>
          <w:sz w:val="22"/>
          <w:szCs w:val="22"/>
        </w:rPr>
        <w:t>have the necessary expertise in the field of childcare, so as to ensure that the interests of the child are safeguarded and that the child’s legal, social, health, psychological, material and educational needs are appropriately covered by, inter alia, the guardian acting as a link between the child and existing specialist agencies/individuals who provide the continuum of care required by the child</w:t>
      </w:r>
      <w:r>
        <w:t>.</w:t>
      </w:r>
      <w:r>
        <w:rPr>
          <w:rStyle w:val="EndnoteReference"/>
        </w:rPr>
        <w:endnoteReference w:id="5"/>
      </w:r>
    </w:p>
    <w:p w:rsidR="000A37C7" w:rsidRDefault="000A37C7" w:rsidP="00331279">
      <w:pPr>
        <w:jc w:val="both"/>
      </w:pPr>
      <w:r>
        <w:t>The UN Committee also emphasised that</w:t>
      </w:r>
      <w:r>
        <w:rPr>
          <w:rFonts w:cs="Arial"/>
        </w:rPr>
        <w:t xml:space="preserve"> </w:t>
      </w:r>
      <w:r>
        <w:t>‘[a]</w:t>
      </w:r>
      <w:proofErr w:type="spellStart"/>
      <w:r w:rsidRPr="00CB26DD">
        <w:t>gencies</w:t>
      </w:r>
      <w:proofErr w:type="spellEnd"/>
      <w:r w:rsidRPr="00CB26DD">
        <w:t xml:space="preserve"> or individuals whose interests could potentially be in conflict with those of the child’s should not be eligible for guardianship</w:t>
      </w:r>
      <w:r>
        <w:t>’.</w:t>
      </w:r>
      <w:r>
        <w:rPr>
          <w:rStyle w:val="EndnoteReference"/>
        </w:rPr>
        <w:endnoteReference w:id="6"/>
      </w:r>
    </w:p>
    <w:p w:rsidR="00D570E6" w:rsidRPr="000A37C7" w:rsidRDefault="00413D81" w:rsidP="002E486B">
      <w:pPr>
        <w:pStyle w:val="Heading3"/>
        <w:numPr>
          <w:ilvl w:val="0"/>
          <w:numId w:val="0"/>
        </w:numPr>
        <w:spacing w:after="360"/>
        <w:ind w:left="851" w:hanging="851"/>
        <w:jc w:val="both"/>
      </w:pPr>
      <w:r>
        <w:t xml:space="preserve">Concerns </w:t>
      </w:r>
      <w:r w:rsidR="00A9094C">
        <w:t>with the existing</w:t>
      </w:r>
      <w:r w:rsidR="00627B15">
        <w:t xml:space="preserve"> guardianship arrangements</w:t>
      </w:r>
      <w:r w:rsidR="004D2176">
        <w:t xml:space="preserve"> for unaccompanied children</w:t>
      </w:r>
    </w:p>
    <w:p w:rsidR="00D570E6" w:rsidRDefault="00BA6C02" w:rsidP="00331279">
      <w:pPr>
        <w:spacing w:before="0" w:after="0"/>
        <w:jc w:val="both"/>
      </w:pPr>
      <w:r>
        <w:t xml:space="preserve">Currently the </w:t>
      </w:r>
      <w:r w:rsidR="00D570E6">
        <w:t xml:space="preserve">Minister for Immigration and Border Protection is the guardian for </w:t>
      </w:r>
      <w:r>
        <w:t xml:space="preserve">unaccompanied non-citizen children who come to Australia </w:t>
      </w:r>
      <w:r w:rsidR="001B6625">
        <w:t xml:space="preserve">under the </w:t>
      </w:r>
      <w:r w:rsidR="001B6625" w:rsidRPr="001B6625">
        <w:rPr>
          <w:i/>
        </w:rPr>
        <w:t>Immigration (Guardianship of Children) Act 1946</w:t>
      </w:r>
      <w:r w:rsidR="001B6625">
        <w:t xml:space="preserve"> (</w:t>
      </w:r>
      <w:proofErr w:type="spellStart"/>
      <w:r w:rsidR="001B6625">
        <w:t>Cth</w:t>
      </w:r>
      <w:proofErr w:type="spellEnd"/>
      <w:r w:rsidR="001B6625">
        <w:t>)</w:t>
      </w:r>
      <w:r w:rsidR="00D570E6">
        <w:t>.</w:t>
      </w:r>
      <w:r w:rsidR="00D570E6">
        <w:rPr>
          <w:rStyle w:val="EndnoteReference"/>
        </w:rPr>
        <w:endnoteReference w:id="7"/>
      </w:r>
      <w:r>
        <w:t xml:space="preserve"> </w:t>
      </w:r>
      <w:r w:rsidR="00C7557B">
        <w:t>For many years t</w:t>
      </w:r>
      <w:r>
        <w:t xml:space="preserve">he Commission has </w:t>
      </w:r>
      <w:r w:rsidR="00C7557B">
        <w:t>expressed concern</w:t>
      </w:r>
      <w:r>
        <w:t xml:space="preserve"> about this arrangement.</w:t>
      </w:r>
    </w:p>
    <w:p w:rsidR="00D570E6" w:rsidRDefault="00D570E6" w:rsidP="00331279">
      <w:pPr>
        <w:spacing w:before="0" w:after="0"/>
        <w:jc w:val="both"/>
        <w:rPr>
          <w:lang w:val="en"/>
        </w:rPr>
      </w:pPr>
    </w:p>
    <w:p w:rsidR="009E41ED" w:rsidRDefault="009E41ED" w:rsidP="00331279">
      <w:pPr>
        <w:spacing w:before="0" w:after="0"/>
        <w:jc w:val="both"/>
      </w:pPr>
      <w:r>
        <w:t xml:space="preserve">In the Commission’s 2004 report </w:t>
      </w:r>
      <w:proofErr w:type="gramStart"/>
      <w:r w:rsidRPr="001F2743">
        <w:rPr>
          <w:i/>
        </w:rPr>
        <w:t>A</w:t>
      </w:r>
      <w:proofErr w:type="gramEnd"/>
      <w:r w:rsidRPr="001F2743">
        <w:rPr>
          <w:i/>
        </w:rPr>
        <w:t xml:space="preserve"> last resort? National Inquiry into Children in Immigration Detention</w:t>
      </w:r>
      <w:r w:rsidR="00D570E6">
        <w:t xml:space="preserve">, the Commission found that: </w:t>
      </w:r>
    </w:p>
    <w:p w:rsidR="00D570E6" w:rsidRDefault="00D570E6" w:rsidP="00331279">
      <w:pPr>
        <w:spacing w:before="0" w:after="0"/>
        <w:jc w:val="both"/>
        <w:rPr>
          <w:lang w:val="en"/>
        </w:rPr>
      </w:pPr>
    </w:p>
    <w:p w:rsidR="00921DAD" w:rsidRPr="006000A7" w:rsidRDefault="00BF34C3" w:rsidP="00331279">
      <w:pPr>
        <w:spacing w:before="0" w:after="0"/>
        <w:ind w:left="567"/>
        <w:jc w:val="both"/>
        <w:rPr>
          <w:sz w:val="22"/>
          <w:szCs w:val="22"/>
          <w:lang w:val="en"/>
        </w:rPr>
      </w:pPr>
      <w:proofErr w:type="gramStart"/>
      <w:r w:rsidRPr="00627B15">
        <w:rPr>
          <w:sz w:val="22"/>
          <w:szCs w:val="22"/>
          <w:lang w:val="en"/>
        </w:rPr>
        <w:t>the</w:t>
      </w:r>
      <w:proofErr w:type="gramEnd"/>
      <w:r w:rsidRPr="00627B15">
        <w:rPr>
          <w:sz w:val="22"/>
          <w:szCs w:val="22"/>
          <w:lang w:val="en"/>
        </w:rPr>
        <w:t xml:space="preserve"> legislation providing that the Minister [for Immigration] be the guardian of children (the IGOC Act), and the delegation of those powers to Department Managers, created an insurmountable conflict of interest. In the Inquiry's view the Minister cannot possibly make the best interests of an unaccompanied child his or her primary concern when, at the same time, he or she is the detaining authority and visa decision maker. This conflict is not removed by delegation to the Department Managers. Indeed those Managers are placed in the invidious position of trying to gain children's trust while those same children view him or her as the person responsible for their detention.</w:t>
      </w:r>
      <w:r w:rsidR="00D570E6" w:rsidRPr="00627B15">
        <w:rPr>
          <w:rStyle w:val="EndnoteReference"/>
          <w:sz w:val="22"/>
          <w:szCs w:val="22"/>
          <w:lang w:val="en"/>
        </w:rPr>
        <w:endnoteReference w:id="8"/>
      </w:r>
    </w:p>
    <w:p w:rsidR="001F7087" w:rsidRDefault="006B21B0" w:rsidP="00331279">
      <w:pPr>
        <w:pStyle w:val="BodyText"/>
        <w:spacing w:after="240"/>
        <w:jc w:val="both"/>
      </w:pPr>
      <w:r>
        <w:t>In that report the Commission also rais</w:t>
      </w:r>
      <w:r w:rsidR="00FF339F">
        <w:t>ed concerns that the Minister and</w:t>
      </w:r>
      <w:r>
        <w:t xml:space="preserve"> his Department Managers did not have </w:t>
      </w:r>
      <w:r w:rsidR="00FF339F">
        <w:t xml:space="preserve">the </w:t>
      </w:r>
      <w:r>
        <w:t>appropriate</w:t>
      </w:r>
      <w:r w:rsidR="007D6735">
        <w:t xml:space="preserve"> child welfare </w:t>
      </w:r>
      <w:r>
        <w:t xml:space="preserve">expertise or experience </w:t>
      </w:r>
      <w:r w:rsidR="001F7087">
        <w:t>to properly monitor and ensure the appropriate care and progress of an unaccompanied child.</w:t>
      </w:r>
      <w:r w:rsidR="001F7087">
        <w:rPr>
          <w:rStyle w:val="EndnoteReference"/>
        </w:rPr>
        <w:endnoteReference w:id="9"/>
      </w:r>
    </w:p>
    <w:p w:rsidR="00F43DA5" w:rsidRDefault="00E833BA" w:rsidP="00331279">
      <w:pPr>
        <w:jc w:val="both"/>
      </w:pPr>
      <w:r>
        <w:rPr>
          <w:rFonts w:cs="Arial"/>
        </w:rPr>
        <w:t>Given the deficiencies with</w:t>
      </w:r>
      <w:r w:rsidR="00F43DA5">
        <w:rPr>
          <w:rFonts w:cs="Arial"/>
        </w:rPr>
        <w:t xml:space="preserve"> the guardianship arrangements, </w:t>
      </w:r>
      <w:r w:rsidR="00F43DA5">
        <w:t>the Commission has repeatedly recommended that an independent guardian be appointed for all unaccompanied children in immigration detention.</w:t>
      </w:r>
      <w:r w:rsidR="00F43DA5">
        <w:rPr>
          <w:rStyle w:val="EndnoteReference"/>
        </w:rPr>
        <w:endnoteReference w:id="10"/>
      </w:r>
      <w:r w:rsidR="00F43DA5">
        <w:t xml:space="preserve"> </w:t>
      </w:r>
    </w:p>
    <w:p w:rsidR="003E61B5" w:rsidRDefault="00FC7994" w:rsidP="00331279">
      <w:pPr>
        <w:jc w:val="both"/>
      </w:pPr>
      <w:r>
        <w:t>The UN Committee on the Rights of the Child i</w:t>
      </w:r>
      <w:r w:rsidR="00FC79A6">
        <w:t xml:space="preserve">n </w:t>
      </w:r>
      <w:proofErr w:type="gramStart"/>
      <w:r w:rsidR="00FC79A6">
        <w:t>its  review</w:t>
      </w:r>
      <w:proofErr w:type="gramEnd"/>
      <w:r w:rsidR="00FC79A6">
        <w:t xml:space="preserve"> of Australia’s</w:t>
      </w:r>
      <w:r>
        <w:t xml:space="preserve"> compliance with the Convention</w:t>
      </w:r>
      <w:r w:rsidR="00FC79A6">
        <w:t xml:space="preserve"> </w:t>
      </w:r>
      <w:r w:rsidR="004050E5">
        <w:t xml:space="preserve">in 2012 </w:t>
      </w:r>
      <w:r w:rsidR="00C50566">
        <w:t>reported it was</w:t>
      </w:r>
      <w:r w:rsidR="00FC79A6">
        <w:t xml:space="preserve"> ‘deeply concerned’ </w:t>
      </w:r>
      <w:r w:rsidR="00576BF7">
        <w:t>about the legal guardianship of unaccompanied children being vested wi</w:t>
      </w:r>
      <w:r w:rsidR="00092D13">
        <w:t>th the Minister for Immigration.</w:t>
      </w:r>
      <w:r w:rsidR="00092D13">
        <w:rPr>
          <w:rStyle w:val="EndnoteReference"/>
        </w:rPr>
        <w:endnoteReference w:id="11"/>
      </w:r>
      <w:r w:rsidR="00092D13">
        <w:t xml:space="preserve"> It urged Australia to ‘[e]</w:t>
      </w:r>
      <w:proofErr w:type="spellStart"/>
      <w:r w:rsidR="00092D13">
        <w:t>xpeditiously</w:t>
      </w:r>
      <w:proofErr w:type="spellEnd"/>
      <w:r w:rsidR="00092D13">
        <w:t xml:space="preserve"> establish an independent gua</w:t>
      </w:r>
      <w:r w:rsidR="00501641">
        <w:t>rdianship/support institution for</w:t>
      </w:r>
      <w:r w:rsidR="00092D13">
        <w:t xml:space="preserve"> unaccompanied immigrant children.’</w:t>
      </w:r>
      <w:r w:rsidR="00092D13">
        <w:rPr>
          <w:rStyle w:val="EndnoteReference"/>
        </w:rPr>
        <w:endnoteReference w:id="12"/>
      </w:r>
    </w:p>
    <w:p w:rsidR="00724EFE" w:rsidRDefault="00724EFE" w:rsidP="00331279">
      <w:pPr>
        <w:jc w:val="both"/>
      </w:pPr>
      <w:r>
        <w:t xml:space="preserve">Also in 2012 the </w:t>
      </w:r>
      <w:r w:rsidR="00F43DA5">
        <w:t xml:space="preserve">Parliamentary Joint Select Committee on Australia’s Immigration Detention Network </w:t>
      </w:r>
      <w:r>
        <w:t>recognised:</w:t>
      </w:r>
    </w:p>
    <w:p w:rsidR="00724EFE" w:rsidRDefault="00724EFE" w:rsidP="0089337C">
      <w:pPr>
        <w:ind w:left="567"/>
        <w:jc w:val="both"/>
      </w:pPr>
      <w:r w:rsidRPr="0089337C">
        <w:rPr>
          <w:sz w:val="22"/>
          <w:szCs w:val="22"/>
        </w:rPr>
        <w:t>the potential for a conflict of interest to arise where the Minister is simultaneously responsible for detaining asylum seekers for the purposes of processing their claims and acting in the best interest of unaccompanied minors seeking asylum</w:t>
      </w:r>
      <w:r>
        <w:t>.</w:t>
      </w:r>
      <w:r>
        <w:rPr>
          <w:rStyle w:val="EndnoteReference"/>
        </w:rPr>
        <w:endnoteReference w:id="13"/>
      </w:r>
      <w:r>
        <w:t xml:space="preserve"> </w:t>
      </w:r>
    </w:p>
    <w:p w:rsidR="00F43DA5" w:rsidRDefault="00724EFE" w:rsidP="00331279">
      <w:pPr>
        <w:jc w:val="both"/>
      </w:pPr>
      <w:r>
        <w:t>That Committ</w:t>
      </w:r>
      <w:r w:rsidR="0089337C">
        <w:t xml:space="preserve">ee </w:t>
      </w:r>
      <w:r w:rsidR="009D00BA">
        <w:t xml:space="preserve">was of the view </w:t>
      </w:r>
      <w:r w:rsidR="00F43DA5">
        <w:t xml:space="preserve">that the legal guardianship of unaccompanied children in immigration detention </w:t>
      </w:r>
      <w:r w:rsidR="009D00BA">
        <w:t xml:space="preserve">should </w:t>
      </w:r>
      <w:r w:rsidR="00F43DA5">
        <w:t>be transferred from the Minister</w:t>
      </w:r>
      <w:r w:rsidR="0089337C">
        <w:t xml:space="preserve"> for Immigration</w:t>
      </w:r>
      <w:r w:rsidR="009D00BA">
        <w:t xml:space="preserve"> ‘as soon as practicable’, and recommended that the legislation be amended to achieve this</w:t>
      </w:r>
      <w:r w:rsidR="00F43DA5">
        <w:t>.</w:t>
      </w:r>
      <w:r w:rsidR="00F43DA5">
        <w:rPr>
          <w:rStyle w:val="EndnoteReference"/>
        </w:rPr>
        <w:endnoteReference w:id="14"/>
      </w:r>
      <w:r w:rsidR="00F43DA5">
        <w:t xml:space="preserve"> </w:t>
      </w:r>
    </w:p>
    <w:p w:rsidR="001F7087" w:rsidRDefault="003071E7" w:rsidP="00811E6F">
      <w:pPr>
        <w:jc w:val="both"/>
        <w:rPr>
          <w:rFonts w:cs="Arial"/>
          <w:sz w:val="20"/>
          <w:szCs w:val="20"/>
        </w:rPr>
      </w:pPr>
      <w:r>
        <w:t>T</w:t>
      </w:r>
      <w:r w:rsidR="004D5EC1">
        <w:t xml:space="preserve">he Hon Christopher Bowen MP, who was </w:t>
      </w:r>
      <w:r w:rsidR="00DD07D0">
        <w:t xml:space="preserve">the Minister for Immigration and </w:t>
      </w:r>
      <w:r w:rsidR="00DD07D0" w:rsidRPr="0024137D">
        <w:t xml:space="preserve">Citizenship at the time the Parliamentary Joint Select Committee produced its report, </w:t>
      </w:r>
      <w:r w:rsidR="008259FE">
        <w:t>was recently questioned about</w:t>
      </w:r>
      <w:r w:rsidR="00811E6F" w:rsidRPr="0024137D">
        <w:t xml:space="preserve"> the Committee’s recommendation. He stated that he thought it ‘could be a worth</w:t>
      </w:r>
      <w:r w:rsidR="0024137D">
        <w:t>while reform’, and had ‘</w:t>
      </w:r>
      <w:r w:rsidR="00811E6F" w:rsidRPr="0024137D">
        <w:rPr>
          <w:rFonts w:cs="Arial"/>
        </w:rPr>
        <w:t>commissioned work from the Department [of Immigration and Citizenship] as to how an alternative model would work’.</w:t>
      </w:r>
      <w:r w:rsidR="0024137D">
        <w:rPr>
          <w:rStyle w:val="EndnoteReference"/>
          <w:rFonts w:cs="Arial"/>
        </w:rPr>
        <w:endnoteReference w:id="15"/>
      </w:r>
      <w:r w:rsidR="0024137D">
        <w:rPr>
          <w:rFonts w:cs="Arial"/>
          <w:sz w:val="20"/>
          <w:szCs w:val="20"/>
        </w:rPr>
        <w:t xml:space="preserve"> </w:t>
      </w:r>
    </w:p>
    <w:p w:rsidR="00AE47D9" w:rsidRPr="00AE47D9" w:rsidRDefault="002639F6" w:rsidP="002E486B">
      <w:pPr>
        <w:spacing w:before="360" w:after="360"/>
        <w:jc w:val="both"/>
        <w:rPr>
          <w:bCs/>
          <w:i/>
          <w:szCs w:val="26"/>
        </w:rPr>
      </w:pPr>
      <w:r>
        <w:rPr>
          <w:bCs/>
          <w:i/>
          <w:szCs w:val="26"/>
        </w:rPr>
        <w:t>Conclusion</w:t>
      </w:r>
    </w:p>
    <w:p w:rsidR="008A732D" w:rsidRDefault="0073121D" w:rsidP="00331279">
      <w:pPr>
        <w:pStyle w:val="BodyText"/>
        <w:spacing w:after="240"/>
        <w:jc w:val="both"/>
      </w:pPr>
      <w:r>
        <w:t xml:space="preserve">The Commission supports the transfer of the guardianship of unaccompanied non-citizen children to an independent statutory </w:t>
      </w:r>
      <w:r w:rsidR="000B267A">
        <w:t>office</w:t>
      </w:r>
      <w:r w:rsidR="00AB1734">
        <w:t xml:space="preserve">, as </w:t>
      </w:r>
      <w:r w:rsidR="000B267A">
        <w:t xml:space="preserve">provided by the Bill. Such a reform would bring Australia closer into line with its obligations under the </w:t>
      </w:r>
      <w:r w:rsidR="000B267A" w:rsidRPr="000B267A">
        <w:rPr>
          <w:i/>
        </w:rPr>
        <w:t>Convention on the Rights of the Child</w:t>
      </w:r>
      <w:r w:rsidR="000B267A">
        <w:t>.</w:t>
      </w:r>
    </w:p>
    <w:p w:rsidR="0073642E" w:rsidRDefault="0073642E" w:rsidP="000C4610">
      <w:pPr>
        <w:pStyle w:val="BodyText"/>
        <w:spacing w:after="240"/>
        <w:jc w:val="both"/>
      </w:pPr>
      <w:r>
        <w:lastRenderedPageBreak/>
        <w:t>Please do not hesitate to contact the Commission should you have any queries</w:t>
      </w:r>
      <w:r w:rsidR="00A92A58">
        <w:t xml:space="preserve"> about this submission</w:t>
      </w:r>
      <w:r w:rsidR="000C4610">
        <w:t>.</w:t>
      </w:r>
    </w:p>
    <w:p w:rsidR="0073642E" w:rsidRDefault="0073642E" w:rsidP="00331279">
      <w:pPr>
        <w:spacing w:before="0" w:after="0"/>
        <w:jc w:val="both"/>
      </w:pPr>
    </w:p>
    <w:p w:rsidR="00392158" w:rsidRDefault="00392158" w:rsidP="00331279">
      <w:pPr>
        <w:keepNext/>
        <w:spacing w:before="0" w:after="0"/>
        <w:jc w:val="both"/>
      </w:pPr>
      <w:r>
        <w:t>Yours sincerely,</w:t>
      </w:r>
    </w:p>
    <w:p w:rsidR="003F3CD4" w:rsidRDefault="003F3CD4" w:rsidP="00331279">
      <w:pPr>
        <w:spacing w:before="0" w:after="0"/>
        <w:jc w:val="both"/>
        <w:rPr>
          <w:rFonts w:cs="Arial"/>
        </w:rPr>
      </w:pPr>
    </w:p>
    <w:p w:rsidR="00392158" w:rsidRPr="005C2BA2" w:rsidRDefault="00392158" w:rsidP="00331279">
      <w:pPr>
        <w:pStyle w:val="AddressBlock"/>
        <w:spacing w:before="0"/>
        <w:jc w:val="both"/>
      </w:pPr>
      <w:bookmarkStart w:id="0" w:name="_GoBack"/>
      <w:bookmarkEnd w:id="0"/>
      <w:r>
        <w:t>Gillian Triggs</w:t>
      </w:r>
    </w:p>
    <w:p w:rsidR="00B802E5" w:rsidRPr="00BA4583" w:rsidRDefault="00B802E5" w:rsidP="00331279">
      <w:pPr>
        <w:pStyle w:val="AddressBlock"/>
        <w:spacing w:before="0"/>
        <w:jc w:val="both"/>
        <w:rPr>
          <w:rFonts w:cs="Arial"/>
          <w:b/>
        </w:rPr>
      </w:pPr>
      <w:r w:rsidRPr="00BA4583">
        <w:rPr>
          <w:rFonts w:cs="Arial"/>
          <w:b/>
        </w:rPr>
        <w:t>President</w:t>
      </w:r>
    </w:p>
    <w:p w:rsidR="00B802E5" w:rsidRPr="003F3CD4" w:rsidRDefault="00B802E5" w:rsidP="00331279">
      <w:pPr>
        <w:pStyle w:val="Contactdetails"/>
        <w:spacing w:before="0" w:after="0"/>
        <w:jc w:val="both"/>
        <w:rPr>
          <w:rFonts w:ascii="Arial" w:hAnsi="Arial" w:cs="Arial"/>
          <w:color w:val="000000"/>
          <w:sz w:val="24"/>
        </w:rPr>
      </w:pPr>
    </w:p>
    <w:p w:rsidR="006E2FE7" w:rsidRPr="00486099" w:rsidRDefault="006E2FE7" w:rsidP="003A29BA">
      <w:pPr>
        <w:pStyle w:val="Contactdetails"/>
        <w:spacing w:before="0" w:after="120"/>
        <w:jc w:val="both"/>
        <w:rPr>
          <w:rFonts w:ascii="Arial" w:hAnsi="Arial" w:cs="Arial"/>
          <w:szCs w:val="20"/>
        </w:rPr>
      </w:pPr>
    </w:p>
    <w:sectPr w:rsidR="006E2FE7" w:rsidRPr="00486099" w:rsidSect="002932DC">
      <w:headerReference w:type="default" r:id="rId9"/>
      <w:footerReference w:type="default" r:id="rId10"/>
      <w:headerReference w:type="first" r:id="rId11"/>
      <w:footerReference w:type="first" r:id="rId12"/>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BD" w:rsidRDefault="005D19BD" w:rsidP="00F14C6D">
      <w:r>
        <w:separator/>
      </w:r>
    </w:p>
  </w:endnote>
  <w:endnote w:type="continuationSeparator" w:id="0">
    <w:p w:rsidR="005D19BD" w:rsidRDefault="005D19BD" w:rsidP="00F14C6D">
      <w:r>
        <w:continuationSeparator/>
      </w:r>
    </w:p>
  </w:endnote>
  <w:endnote w:id="1">
    <w:p w:rsidR="00135806" w:rsidRDefault="00135806" w:rsidP="00486099">
      <w:pPr>
        <w:pStyle w:val="EndnoteText"/>
        <w:spacing w:after="40"/>
        <w:ind w:left="284" w:hanging="284"/>
      </w:pPr>
      <w:r>
        <w:rPr>
          <w:rStyle w:val="EndnoteReference"/>
        </w:rPr>
        <w:endnoteRef/>
      </w:r>
      <w:r>
        <w:t xml:space="preserve"> </w:t>
      </w:r>
      <w:r>
        <w:tab/>
        <w:t xml:space="preserve">Explanatory Memorandum, </w:t>
      </w:r>
      <w:r w:rsidRPr="0073642E">
        <w:t>Guardian for Unaccompanied Children Bill 2014</w:t>
      </w:r>
      <w:r>
        <w:t xml:space="preserve"> (</w:t>
      </w:r>
      <w:proofErr w:type="spellStart"/>
      <w:r>
        <w:t>Cth</w:t>
      </w:r>
      <w:proofErr w:type="spellEnd"/>
      <w:r>
        <w:t>), p 2.</w:t>
      </w:r>
    </w:p>
  </w:endnote>
  <w:endnote w:id="2">
    <w:p w:rsidR="00135806" w:rsidRDefault="00135806" w:rsidP="00486099">
      <w:pPr>
        <w:pStyle w:val="EndnoteText"/>
        <w:spacing w:after="40"/>
        <w:ind w:left="284" w:hanging="284"/>
      </w:pPr>
      <w:r>
        <w:rPr>
          <w:rStyle w:val="EndnoteReference"/>
        </w:rPr>
        <w:endnoteRef/>
      </w:r>
      <w:r>
        <w:t xml:space="preserve"> </w:t>
      </w:r>
      <w:r>
        <w:tab/>
        <w:t xml:space="preserve">The Commission notes that the best </w:t>
      </w:r>
      <w:proofErr w:type="gramStart"/>
      <w:r>
        <w:t>interests</w:t>
      </w:r>
      <w:proofErr w:type="gramEnd"/>
      <w:r>
        <w:t xml:space="preserve"> principle is contained in article 3(1) of the Convention, rather than article 4.</w:t>
      </w:r>
    </w:p>
  </w:endnote>
  <w:endnote w:id="3">
    <w:p w:rsidR="00135806" w:rsidRDefault="00135806" w:rsidP="00486099">
      <w:pPr>
        <w:pStyle w:val="EndnoteText"/>
        <w:spacing w:after="40"/>
        <w:ind w:left="284" w:hanging="284"/>
      </w:pPr>
      <w:r>
        <w:rPr>
          <w:rStyle w:val="EndnoteReference"/>
        </w:rPr>
        <w:endnoteRef/>
      </w:r>
      <w:r>
        <w:t xml:space="preserve"> </w:t>
      </w:r>
      <w:r>
        <w:tab/>
      </w:r>
      <w:proofErr w:type="gramStart"/>
      <w:r w:rsidRPr="004C29B8">
        <w:rPr>
          <w:i/>
        </w:rPr>
        <w:t>Convention on the Rights of the Child</w:t>
      </w:r>
      <w:r>
        <w:t>, 1989, art 18(1).</w:t>
      </w:r>
      <w:proofErr w:type="gramEnd"/>
    </w:p>
  </w:endnote>
  <w:endnote w:id="4">
    <w:p w:rsidR="00135806" w:rsidRDefault="00135806" w:rsidP="00486099">
      <w:pPr>
        <w:tabs>
          <w:tab w:val="left" w:pos="567"/>
        </w:tabs>
        <w:spacing w:before="0" w:after="40"/>
        <w:ind w:left="284" w:hanging="284"/>
        <w:rPr>
          <w:rFonts w:cs="Arial"/>
          <w:sz w:val="20"/>
          <w:szCs w:val="20"/>
        </w:rPr>
      </w:pPr>
      <w:r>
        <w:rPr>
          <w:rStyle w:val="EndnoteReference"/>
          <w:szCs w:val="20"/>
        </w:rPr>
        <w:endnoteRef/>
      </w:r>
      <w:r>
        <w:rPr>
          <w:rFonts w:cs="Arial"/>
          <w:sz w:val="20"/>
          <w:szCs w:val="20"/>
        </w:rPr>
        <w:t xml:space="preserve"> </w:t>
      </w:r>
      <w:r>
        <w:rPr>
          <w:rFonts w:cs="Arial"/>
          <w:sz w:val="20"/>
          <w:szCs w:val="20"/>
        </w:rPr>
        <w:tab/>
      </w:r>
      <w:proofErr w:type="gramStart"/>
      <w:r>
        <w:rPr>
          <w:rFonts w:cs="Arial"/>
          <w:sz w:val="20"/>
          <w:szCs w:val="20"/>
        </w:rPr>
        <w:t>Article 18(1) of the Convention states that 'the best interests of the child will be [the legal guardian's] basic concern'.</w:t>
      </w:r>
      <w:proofErr w:type="gramEnd"/>
      <w:r>
        <w:rPr>
          <w:rFonts w:cs="Arial"/>
          <w:sz w:val="20"/>
          <w:szCs w:val="20"/>
        </w:rPr>
        <w:t xml:space="preserve"> </w:t>
      </w:r>
    </w:p>
  </w:endnote>
  <w:endnote w:id="5">
    <w:p w:rsidR="00135806" w:rsidRDefault="00135806" w:rsidP="00486099">
      <w:pPr>
        <w:pStyle w:val="EndnoteText"/>
        <w:spacing w:after="40"/>
        <w:ind w:left="284" w:hanging="284"/>
      </w:pPr>
      <w:r>
        <w:rPr>
          <w:rStyle w:val="EndnoteReference"/>
        </w:rPr>
        <w:endnoteRef/>
      </w:r>
      <w:r>
        <w:t xml:space="preserve"> </w:t>
      </w:r>
      <w:r>
        <w:tab/>
        <w:t xml:space="preserve">Committee on the Rights of the Child, </w:t>
      </w:r>
      <w:r w:rsidRPr="00E75A0D">
        <w:rPr>
          <w:i/>
        </w:rPr>
        <w:t>General Comment No. 6 (2005): Treatment of Unaccompanied and Separated Children Outside their Country of Origin</w:t>
      </w:r>
      <w:r>
        <w:t xml:space="preserve">, UN Doc CRC/GC/2005/6 (2005), </w:t>
      </w:r>
      <w:proofErr w:type="spellStart"/>
      <w:r>
        <w:t>para</w:t>
      </w:r>
      <w:proofErr w:type="spellEnd"/>
      <w:r>
        <w:t xml:space="preserve"> 33. At </w:t>
      </w:r>
      <w:hyperlink r:id="rId1" w:history="1">
        <w:r w:rsidRPr="00F604FC">
          <w:rPr>
            <w:rStyle w:val="Hyperlink"/>
          </w:rPr>
          <w:t>http://www.refworld.org/docid/42dd174b4.html</w:t>
        </w:r>
      </w:hyperlink>
      <w:r>
        <w:t xml:space="preserve"> (viewed 9 October 2014). See also Separated Children in Europe Programme, </w:t>
      </w:r>
      <w:r w:rsidRPr="00AC3E13">
        <w:rPr>
          <w:i/>
        </w:rPr>
        <w:t>Statement of Good Practice</w:t>
      </w:r>
      <w:r>
        <w:t xml:space="preserve"> (4</w:t>
      </w:r>
      <w:r w:rsidRPr="00AC3E13">
        <w:rPr>
          <w:vertAlign w:val="superscript"/>
        </w:rPr>
        <w:t>th</w:t>
      </w:r>
      <w:r>
        <w:t xml:space="preserve"> </w:t>
      </w:r>
      <w:proofErr w:type="spellStart"/>
      <w:proofErr w:type="gramStart"/>
      <w:r>
        <w:t>ed</w:t>
      </w:r>
      <w:proofErr w:type="spellEnd"/>
      <w:proofErr w:type="gramEnd"/>
      <w:r>
        <w:t xml:space="preserve">, 2009), D3.3 (p 22). At </w:t>
      </w:r>
      <w:hyperlink r:id="rId2" w:history="1">
        <w:r w:rsidRPr="00F604FC">
          <w:rPr>
            <w:rStyle w:val="Hyperlink"/>
          </w:rPr>
          <w:t>http://scep.sitespirit.nl/images/18/219.pdf</w:t>
        </w:r>
      </w:hyperlink>
      <w:r>
        <w:t xml:space="preserve"> (viewed 9 October 2014). </w:t>
      </w:r>
    </w:p>
  </w:endnote>
  <w:endnote w:id="6">
    <w:p w:rsidR="00135806" w:rsidRDefault="00135806" w:rsidP="00486099">
      <w:pPr>
        <w:pStyle w:val="EndnoteText"/>
        <w:spacing w:after="40"/>
        <w:ind w:left="284" w:hanging="284"/>
      </w:pPr>
      <w:r>
        <w:rPr>
          <w:rStyle w:val="EndnoteReference"/>
        </w:rPr>
        <w:endnoteRef/>
      </w:r>
      <w:r>
        <w:t xml:space="preserve"> </w:t>
      </w:r>
      <w:r>
        <w:tab/>
      </w:r>
      <w:proofErr w:type="gramStart"/>
      <w:r>
        <w:t xml:space="preserve">Committee on the Rights of the Child, </w:t>
      </w:r>
      <w:r>
        <w:rPr>
          <w:i/>
        </w:rPr>
        <w:t xml:space="preserve">General Comment No. 6 (2005), </w:t>
      </w:r>
      <w:r w:rsidRPr="00C330F2">
        <w:t>above.</w:t>
      </w:r>
      <w:proofErr w:type="gramEnd"/>
      <w:r>
        <w:t xml:space="preserve"> </w:t>
      </w:r>
    </w:p>
  </w:endnote>
  <w:endnote w:id="7">
    <w:p w:rsidR="00135806" w:rsidRDefault="00135806" w:rsidP="00486099">
      <w:pPr>
        <w:pStyle w:val="EndnoteText"/>
        <w:spacing w:after="40"/>
        <w:ind w:left="284" w:hanging="284"/>
      </w:pPr>
      <w:r>
        <w:rPr>
          <w:rStyle w:val="EndnoteReference"/>
        </w:rPr>
        <w:endnoteRef/>
      </w:r>
      <w:r>
        <w:t xml:space="preserve"> </w:t>
      </w:r>
      <w:r>
        <w:tab/>
      </w:r>
      <w:r w:rsidRPr="005A0F8E">
        <w:rPr>
          <w:i/>
        </w:rPr>
        <w:t>Immigration (Guardianship of Children) Act 1946</w:t>
      </w:r>
      <w:r>
        <w:t xml:space="preserve"> (</w:t>
      </w:r>
      <w:proofErr w:type="spellStart"/>
      <w:r>
        <w:t>Cth</w:t>
      </w:r>
      <w:proofErr w:type="spellEnd"/>
      <w:r>
        <w:t>), s 6(1).</w:t>
      </w:r>
    </w:p>
  </w:endnote>
  <w:endnote w:id="8">
    <w:p w:rsidR="00135806" w:rsidRDefault="00135806" w:rsidP="00486099">
      <w:pPr>
        <w:pStyle w:val="EndnoteText"/>
        <w:spacing w:after="40"/>
        <w:ind w:left="284" w:hanging="284"/>
      </w:pPr>
      <w:r>
        <w:rPr>
          <w:rStyle w:val="EndnoteReference"/>
        </w:rPr>
        <w:endnoteRef/>
      </w:r>
      <w:r>
        <w:t xml:space="preserve"> </w:t>
      </w:r>
      <w:r>
        <w:tab/>
      </w:r>
      <w:proofErr w:type="gramStart"/>
      <w:r>
        <w:t xml:space="preserve">Human Rights and Equal Opportunity Commission, </w:t>
      </w:r>
      <w:r w:rsidRPr="00AC3E13">
        <w:rPr>
          <w:i/>
        </w:rPr>
        <w:t>A last resort?</w:t>
      </w:r>
      <w:proofErr w:type="gramEnd"/>
      <w:r w:rsidRPr="00AC3E13">
        <w:rPr>
          <w:i/>
        </w:rPr>
        <w:t xml:space="preserve"> </w:t>
      </w:r>
      <w:proofErr w:type="gramStart"/>
      <w:r w:rsidRPr="00AC3E13">
        <w:rPr>
          <w:i/>
        </w:rPr>
        <w:t>National Inquiry into Children in Immigration Detention</w:t>
      </w:r>
      <w:r>
        <w:t xml:space="preserve"> (2004), p 742-3.</w:t>
      </w:r>
      <w:proofErr w:type="gramEnd"/>
      <w:r>
        <w:t xml:space="preserve"> At </w:t>
      </w:r>
      <w:hyperlink r:id="rId3" w:history="1">
        <w:r w:rsidRPr="00C824C7">
          <w:rPr>
            <w:rStyle w:val="Hyperlink"/>
          </w:rPr>
          <w:t>http://www.humanrights.gov.au/sites/default/files/document/publication/alr_complete.pdf</w:t>
        </w:r>
      </w:hyperlink>
      <w:r>
        <w:t xml:space="preserve"> (viewed 9 October 2014).</w:t>
      </w:r>
    </w:p>
  </w:endnote>
  <w:endnote w:id="9">
    <w:p w:rsidR="00135806" w:rsidRDefault="00135806" w:rsidP="00486099">
      <w:pPr>
        <w:pStyle w:val="EndnoteText"/>
        <w:spacing w:after="40"/>
        <w:ind w:left="284" w:hanging="284"/>
      </w:pPr>
      <w:r>
        <w:rPr>
          <w:rStyle w:val="EndnoteReference"/>
        </w:rPr>
        <w:endnoteRef/>
      </w:r>
      <w:r>
        <w:t xml:space="preserve"> </w:t>
      </w:r>
      <w:r>
        <w:tab/>
      </w:r>
      <w:proofErr w:type="gramStart"/>
      <w:r>
        <w:t>Human Rights and Equal Opportunity Commission, above, p 722 and 742.</w:t>
      </w:r>
      <w:proofErr w:type="gramEnd"/>
    </w:p>
  </w:endnote>
  <w:endnote w:id="10">
    <w:p w:rsidR="00135806" w:rsidRDefault="00135806" w:rsidP="00486099">
      <w:pPr>
        <w:tabs>
          <w:tab w:val="left" w:pos="567"/>
        </w:tabs>
        <w:spacing w:before="0" w:after="40"/>
        <w:ind w:left="284" w:hanging="284"/>
        <w:rPr>
          <w:rFonts w:cs="Arial"/>
          <w:sz w:val="20"/>
          <w:szCs w:val="20"/>
        </w:rPr>
      </w:pPr>
      <w:r>
        <w:rPr>
          <w:rStyle w:val="EndnoteReference"/>
          <w:szCs w:val="20"/>
        </w:rPr>
        <w:endnoteRef/>
      </w:r>
      <w:r>
        <w:rPr>
          <w:rFonts w:cs="Arial"/>
          <w:sz w:val="20"/>
          <w:szCs w:val="20"/>
        </w:rPr>
        <w:t xml:space="preserve"> </w:t>
      </w:r>
      <w:r>
        <w:rPr>
          <w:rFonts w:cs="Arial"/>
          <w:sz w:val="20"/>
          <w:szCs w:val="20"/>
        </w:rPr>
        <w:tab/>
        <w:t xml:space="preserve">See for example, </w:t>
      </w:r>
      <w:r w:rsidRPr="00C330F2">
        <w:rPr>
          <w:rFonts w:cs="Arial"/>
          <w:sz w:val="20"/>
          <w:szCs w:val="20"/>
        </w:rPr>
        <w:t>Human Rights and Equal Opportunity Commission</w:t>
      </w:r>
      <w:r>
        <w:rPr>
          <w:rFonts w:cs="Arial"/>
          <w:sz w:val="20"/>
          <w:szCs w:val="20"/>
        </w:rPr>
        <w:t>, above, Recommendation 3; Australian Human Rights Commission, S</w:t>
      </w:r>
      <w:r>
        <w:rPr>
          <w:rFonts w:cs="Arial"/>
          <w:i/>
          <w:sz w:val="20"/>
          <w:szCs w:val="20"/>
        </w:rPr>
        <w:t>ubmission to the Joint Select Committee on Australia’s Immigration Detention Network</w:t>
      </w:r>
      <w:r>
        <w:rPr>
          <w:rFonts w:cs="Arial"/>
          <w:sz w:val="20"/>
          <w:szCs w:val="20"/>
        </w:rPr>
        <w:t xml:space="preserve"> (August 2011), Recommendation 26. At </w:t>
      </w:r>
      <w:hyperlink r:id="rId4" w:anchor="s3" w:history="1">
        <w:r>
          <w:rPr>
            <w:rStyle w:val="Hyperlink"/>
            <w:rFonts w:cs="Arial"/>
            <w:sz w:val="20"/>
            <w:szCs w:val="20"/>
          </w:rPr>
          <w:t>http://www.humanrights.gov.au/australian-human-rights-commission-submission-joint-select-committee-australia-s-immigration#s3</w:t>
        </w:r>
      </w:hyperlink>
      <w:r>
        <w:rPr>
          <w:rFonts w:cs="Arial"/>
          <w:sz w:val="20"/>
          <w:szCs w:val="20"/>
        </w:rPr>
        <w:t xml:space="preserve"> (viewed 9 October 2014).</w:t>
      </w:r>
    </w:p>
  </w:endnote>
  <w:endnote w:id="11">
    <w:p w:rsidR="00135806" w:rsidRDefault="00135806" w:rsidP="00486099">
      <w:pPr>
        <w:pStyle w:val="EndnoteText"/>
        <w:spacing w:after="40"/>
        <w:ind w:left="284" w:hanging="284"/>
      </w:pPr>
      <w:r>
        <w:rPr>
          <w:rStyle w:val="EndnoteReference"/>
        </w:rPr>
        <w:endnoteRef/>
      </w:r>
      <w:r>
        <w:t xml:space="preserve"> </w:t>
      </w:r>
      <w:r>
        <w:tab/>
      </w:r>
      <w:r w:rsidRPr="00BF1ADA">
        <w:t xml:space="preserve">Committee on the Rights of the Child, </w:t>
      </w:r>
      <w:r w:rsidRPr="00BF1ADA">
        <w:rPr>
          <w:i/>
        </w:rPr>
        <w:t>Consideration of reports submitted by States parties under article 44 of the Convention, Concluding Observations: Australia</w:t>
      </w:r>
      <w:r w:rsidRPr="00BF1ADA">
        <w:t>, UN Doc</w:t>
      </w:r>
      <w:r>
        <w:t xml:space="preserve"> CRC/C/AUS/CO/4 (2012), </w:t>
      </w:r>
      <w:proofErr w:type="spellStart"/>
      <w:r>
        <w:t>para</w:t>
      </w:r>
      <w:proofErr w:type="spellEnd"/>
      <w:r>
        <w:t xml:space="preserve"> [80(c</w:t>
      </w:r>
      <w:r w:rsidRPr="00BF1ADA">
        <w:t xml:space="preserve">)]. At </w:t>
      </w:r>
      <w:hyperlink r:id="rId5" w:history="1">
        <w:r w:rsidRPr="00BF1ADA">
          <w:rPr>
            <w:rStyle w:val="Hyperlink"/>
          </w:rPr>
          <w:t>http://www2.ohchr.org/english/bodies/crc/docs/co/CRC_C_AUS_CO_4.pdf</w:t>
        </w:r>
      </w:hyperlink>
      <w:r>
        <w:t xml:space="preserve"> (viewed 9 Octo</w:t>
      </w:r>
      <w:r w:rsidRPr="00BF1ADA">
        <w:t>ber 2014)</w:t>
      </w:r>
    </w:p>
  </w:endnote>
  <w:endnote w:id="12">
    <w:p w:rsidR="00135806" w:rsidRDefault="00135806" w:rsidP="00486099">
      <w:pPr>
        <w:pStyle w:val="EndnoteText"/>
        <w:spacing w:after="40"/>
        <w:ind w:left="284" w:hanging="284"/>
      </w:pPr>
      <w:r>
        <w:rPr>
          <w:rStyle w:val="EndnoteReference"/>
        </w:rPr>
        <w:endnoteRef/>
      </w:r>
      <w:r>
        <w:t xml:space="preserve"> </w:t>
      </w:r>
      <w:r>
        <w:tab/>
      </w:r>
      <w:proofErr w:type="gramStart"/>
      <w:r w:rsidRPr="00BF1ADA">
        <w:t>Committee on the Rights of the Child,</w:t>
      </w:r>
      <w:r>
        <w:t xml:space="preserve"> above, </w:t>
      </w:r>
      <w:proofErr w:type="spellStart"/>
      <w:r>
        <w:t>para</w:t>
      </w:r>
      <w:proofErr w:type="spellEnd"/>
      <w:r>
        <w:t xml:space="preserve"> [81(c)].</w:t>
      </w:r>
      <w:proofErr w:type="gramEnd"/>
    </w:p>
  </w:endnote>
  <w:endnote w:id="13">
    <w:p w:rsidR="00135806" w:rsidRDefault="00135806" w:rsidP="00486099">
      <w:pPr>
        <w:pStyle w:val="EndnoteText"/>
        <w:spacing w:after="40"/>
        <w:ind w:left="284" w:hanging="284"/>
      </w:pPr>
      <w:r>
        <w:rPr>
          <w:rStyle w:val="EndnoteReference"/>
        </w:rPr>
        <w:endnoteRef/>
      </w:r>
      <w:r>
        <w:t xml:space="preserve"> </w:t>
      </w:r>
      <w:r>
        <w:tab/>
      </w:r>
      <w:proofErr w:type="gramStart"/>
      <w:r w:rsidRPr="00923B45">
        <w:rPr>
          <w:rFonts w:cs="Arial"/>
        </w:rPr>
        <w:t xml:space="preserve">Joint Select Committee on Australia’s Immigration Detention Network, Parliament of Australia, </w:t>
      </w:r>
      <w:r w:rsidRPr="00923B45">
        <w:rPr>
          <w:rFonts w:cs="Arial"/>
          <w:i/>
        </w:rPr>
        <w:t>Final Report</w:t>
      </w:r>
      <w:r w:rsidR="005D0A0C">
        <w:rPr>
          <w:rFonts w:cs="Arial"/>
        </w:rPr>
        <w:t xml:space="preserve"> (2012), </w:t>
      </w:r>
      <w:proofErr w:type="spellStart"/>
      <w:r w:rsidR="005D0A0C">
        <w:rPr>
          <w:rFonts w:cs="Arial"/>
        </w:rPr>
        <w:t>para</w:t>
      </w:r>
      <w:proofErr w:type="spellEnd"/>
      <w:r>
        <w:rPr>
          <w:rFonts w:cs="Arial"/>
        </w:rPr>
        <w:t xml:space="preserve"> </w:t>
      </w:r>
      <w:r w:rsidR="005D0A0C">
        <w:rPr>
          <w:rFonts w:cs="Arial"/>
        </w:rPr>
        <w:t>[</w:t>
      </w:r>
      <w:r>
        <w:rPr>
          <w:rFonts w:cs="Arial"/>
        </w:rPr>
        <w:t>5.95</w:t>
      </w:r>
      <w:r w:rsidR="005D0A0C">
        <w:rPr>
          <w:rFonts w:cs="Arial"/>
        </w:rPr>
        <w:t>]</w:t>
      </w:r>
      <w:r w:rsidRPr="00923B45">
        <w:rPr>
          <w:rFonts w:cs="Arial"/>
        </w:rPr>
        <w:t>.</w:t>
      </w:r>
      <w:proofErr w:type="gramEnd"/>
      <w:r w:rsidRPr="00923B45">
        <w:rPr>
          <w:rFonts w:cs="Arial"/>
        </w:rPr>
        <w:t xml:space="preserve"> At </w:t>
      </w:r>
      <w:hyperlink r:id="rId6" w:history="1">
        <w:r w:rsidRPr="00923B45">
          <w:rPr>
            <w:rStyle w:val="Hyperlink"/>
            <w:rFonts w:cs="Arial"/>
          </w:rPr>
          <w:t>http://www.aph.gov.au/Parliamentary_Business/Committees/Joint/Former_Committees/immigrationdetention/report/index</w:t>
        </w:r>
      </w:hyperlink>
      <w:r>
        <w:rPr>
          <w:rFonts w:cs="Arial"/>
        </w:rPr>
        <w:t xml:space="preserve"> (viewed 9 October 2014).</w:t>
      </w:r>
    </w:p>
  </w:endnote>
  <w:endnote w:id="14">
    <w:p w:rsidR="00135806" w:rsidRDefault="00135806" w:rsidP="00486099">
      <w:pPr>
        <w:tabs>
          <w:tab w:val="left" w:pos="567"/>
        </w:tabs>
        <w:spacing w:before="0" w:after="40"/>
        <w:ind w:left="284" w:hanging="284"/>
        <w:rPr>
          <w:rFonts w:cs="Arial"/>
          <w:sz w:val="20"/>
          <w:szCs w:val="20"/>
        </w:rPr>
      </w:pPr>
      <w:r>
        <w:rPr>
          <w:rStyle w:val="EndnoteReference"/>
          <w:szCs w:val="20"/>
        </w:rPr>
        <w:endnoteRef/>
      </w:r>
      <w:r>
        <w:rPr>
          <w:sz w:val="20"/>
          <w:szCs w:val="20"/>
        </w:rPr>
        <w:t xml:space="preserve"> </w:t>
      </w:r>
      <w:r>
        <w:rPr>
          <w:sz w:val="20"/>
          <w:szCs w:val="20"/>
        </w:rPr>
        <w:tab/>
      </w:r>
      <w:proofErr w:type="gramStart"/>
      <w:r w:rsidRPr="00923B45">
        <w:rPr>
          <w:rFonts w:cs="Arial"/>
          <w:sz w:val="20"/>
          <w:szCs w:val="20"/>
        </w:rPr>
        <w:t xml:space="preserve">Joint Select Committee on Australia’s Immigration Detention Network, </w:t>
      </w:r>
      <w:r>
        <w:rPr>
          <w:rFonts w:cs="Arial"/>
          <w:sz w:val="20"/>
          <w:szCs w:val="20"/>
        </w:rPr>
        <w:t xml:space="preserve">above, </w:t>
      </w:r>
      <w:proofErr w:type="spellStart"/>
      <w:r w:rsidRPr="00923B45">
        <w:rPr>
          <w:rFonts w:cs="Arial"/>
          <w:sz w:val="20"/>
          <w:szCs w:val="20"/>
        </w:rPr>
        <w:t>p</w:t>
      </w:r>
      <w:r>
        <w:rPr>
          <w:rFonts w:cs="Arial"/>
          <w:sz w:val="20"/>
          <w:szCs w:val="20"/>
        </w:rPr>
        <w:t>aras</w:t>
      </w:r>
      <w:proofErr w:type="spellEnd"/>
      <w:r>
        <w:rPr>
          <w:rFonts w:cs="Arial"/>
          <w:sz w:val="20"/>
          <w:szCs w:val="20"/>
        </w:rPr>
        <w:t xml:space="preserve"> </w:t>
      </w:r>
      <w:r w:rsidR="005D0A0C">
        <w:rPr>
          <w:rFonts w:cs="Arial"/>
          <w:sz w:val="20"/>
          <w:szCs w:val="20"/>
        </w:rPr>
        <w:t>[</w:t>
      </w:r>
      <w:r>
        <w:rPr>
          <w:rFonts w:cs="Arial"/>
          <w:sz w:val="20"/>
          <w:szCs w:val="20"/>
        </w:rPr>
        <w:t>5.95</w:t>
      </w:r>
      <w:r w:rsidR="005D0A0C">
        <w:rPr>
          <w:rFonts w:cs="Arial"/>
          <w:sz w:val="20"/>
          <w:szCs w:val="20"/>
        </w:rPr>
        <w:t>]</w:t>
      </w:r>
      <w:r>
        <w:rPr>
          <w:rFonts w:cs="Arial"/>
          <w:sz w:val="20"/>
          <w:szCs w:val="20"/>
        </w:rPr>
        <w:t>-</w:t>
      </w:r>
      <w:r w:rsidR="005D0A0C">
        <w:rPr>
          <w:rFonts w:cs="Arial"/>
          <w:sz w:val="20"/>
          <w:szCs w:val="20"/>
        </w:rPr>
        <w:t>[</w:t>
      </w:r>
      <w:r>
        <w:rPr>
          <w:rFonts w:cs="Arial"/>
          <w:sz w:val="20"/>
          <w:szCs w:val="20"/>
        </w:rPr>
        <w:t>5.96</w:t>
      </w:r>
      <w:r w:rsidR="005D0A0C">
        <w:rPr>
          <w:rFonts w:cs="Arial"/>
          <w:sz w:val="20"/>
          <w:szCs w:val="20"/>
        </w:rPr>
        <w:t>]</w:t>
      </w:r>
      <w:r w:rsidRPr="00923B45">
        <w:rPr>
          <w:rFonts w:cs="Arial"/>
          <w:sz w:val="20"/>
          <w:szCs w:val="20"/>
        </w:rPr>
        <w:t>.</w:t>
      </w:r>
      <w:proofErr w:type="gramEnd"/>
    </w:p>
  </w:endnote>
  <w:endnote w:id="15">
    <w:p w:rsidR="00135806" w:rsidRDefault="00135806" w:rsidP="00486099">
      <w:pPr>
        <w:pStyle w:val="EndnoteText"/>
        <w:spacing w:after="40"/>
        <w:ind w:left="284" w:hanging="284"/>
      </w:pPr>
      <w:r>
        <w:rPr>
          <w:rStyle w:val="EndnoteReference"/>
        </w:rPr>
        <w:endnoteRef/>
      </w:r>
      <w:r>
        <w:t xml:space="preserve"> </w:t>
      </w:r>
      <w:r>
        <w:tab/>
      </w:r>
      <w:proofErr w:type="gramStart"/>
      <w:r>
        <w:t>The Hon Christopher Bowen MP, Fifth Public Hearing of the National Inquiry into Children in Immigration Detention 2014 (9 September 2014).</w:t>
      </w:r>
      <w:proofErr w:type="gramEnd"/>
      <w:r>
        <w:t xml:space="preserve"> At </w:t>
      </w:r>
      <w:hyperlink r:id="rId7" w:history="1">
        <w:r w:rsidRPr="00C824C7">
          <w:rPr>
            <w:rStyle w:val="Hyperlink"/>
          </w:rPr>
          <w:t>http://www.humanrights.gov.au/our-work/asylum-seekers-and-refugees/national-inquiry-children-immigration-detention-2014-1</w:t>
        </w:r>
      </w:hyperlink>
      <w:r>
        <w:t xml:space="preserve"> (viewed 9 October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06" w:rsidRPr="0090165F" w:rsidRDefault="00135806" w:rsidP="00162A8D">
    <w:pPr>
      <w:pStyle w:val="Footer"/>
      <w:jc w:val="right"/>
    </w:pPr>
    <w:r w:rsidRPr="0090165F">
      <w:fldChar w:fldCharType="begin"/>
    </w:r>
    <w:r w:rsidRPr="0090165F">
      <w:instrText xml:space="preserve"> PAGE   \* MERGEFORMAT </w:instrText>
    </w:r>
    <w:r w:rsidRPr="0090165F">
      <w:fldChar w:fldCharType="separate"/>
    </w:r>
    <w:r w:rsidR="00631C52">
      <w:rPr>
        <w:noProof/>
      </w:rPr>
      <w:t>4</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808080"/>
        <w:left w:val="single" w:sz="2" w:space="0" w:color="808080"/>
        <w:bottom w:val="single" w:sz="2" w:space="0" w:color="808080"/>
        <w:right w:val="single" w:sz="2" w:space="0" w:color="808080"/>
      </w:tblBorders>
      <w:tblLayout w:type="fixed"/>
      <w:tblLook w:val="00A0" w:firstRow="1" w:lastRow="0" w:firstColumn="1" w:lastColumn="0" w:noHBand="0" w:noVBand="0"/>
    </w:tblPr>
    <w:tblGrid>
      <w:gridCol w:w="1793"/>
      <w:gridCol w:w="2143"/>
      <w:gridCol w:w="1701"/>
      <w:gridCol w:w="2551"/>
      <w:gridCol w:w="1667"/>
    </w:tblGrid>
    <w:tr w:rsidR="00135806" w:rsidRPr="008D1634" w:rsidTr="00C87F1C">
      <w:tc>
        <w:tcPr>
          <w:tcW w:w="1793" w:type="dxa"/>
          <w:tcBorders>
            <w:top w:val="single" w:sz="2" w:space="0" w:color="808080"/>
            <w:left w:val="nil"/>
            <w:bottom w:val="nil"/>
            <w:right w:val="nil"/>
          </w:tcBorders>
        </w:tcPr>
        <w:p w:rsidR="00135806" w:rsidRDefault="00135806" w:rsidP="00A312FF">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135806" w:rsidRDefault="00135806"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Australian</w:t>
          </w:r>
        </w:p>
        <w:p w:rsidR="00135806" w:rsidRDefault="00135806"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Human Rights</w:t>
          </w:r>
        </w:p>
        <w:p w:rsidR="00135806" w:rsidRDefault="00135806"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Commission</w:t>
          </w:r>
        </w:p>
        <w:p w:rsidR="00135806" w:rsidRPr="008D1634" w:rsidRDefault="00135806" w:rsidP="005B50D7">
          <w:pPr>
            <w:widowControl w:val="0"/>
            <w:tabs>
              <w:tab w:val="left" w:pos="5830"/>
            </w:tabs>
            <w:autoSpaceDE w:val="0"/>
            <w:autoSpaceDN w:val="0"/>
            <w:adjustRightInd w:val="0"/>
            <w:spacing w:before="0" w:after="0" w:line="288" w:lineRule="auto"/>
            <w:ind w:right="17"/>
            <w:textAlignment w:val="center"/>
            <w:rPr>
              <w:rFonts w:cs="HelveticaNeue-Light"/>
              <w:sz w:val="16"/>
              <w:szCs w:val="16"/>
              <w:lang w:val="en-US" w:bidi="en-US"/>
            </w:rPr>
          </w:pPr>
          <w:r w:rsidRPr="008D1634">
            <w:rPr>
              <w:rFonts w:cs="HelveticaNeue-Light"/>
              <w:sz w:val="16"/>
              <w:szCs w:val="16"/>
              <w:lang w:val="en-US" w:bidi="en-US"/>
            </w:rPr>
            <w:t>ABN 47 996 232 602</w:t>
          </w:r>
        </w:p>
      </w:tc>
      <w:tc>
        <w:tcPr>
          <w:tcW w:w="2143" w:type="dxa"/>
          <w:tcBorders>
            <w:top w:val="single" w:sz="2" w:space="0" w:color="808080"/>
            <w:left w:val="nil"/>
            <w:bottom w:val="nil"/>
            <w:right w:val="nil"/>
          </w:tcBorders>
        </w:tcPr>
        <w:p w:rsidR="00135806" w:rsidRPr="008D1634" w:rsidRDefault="00135806"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135806" w:rsidRPr="008D1634" w:rsidRDefault="00135806"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 xml:space="preserve">Level </w:t>
          </w:r>
          <w:r>
            <w:rPr>
              <w:rFonts w:cs="HelveticaNeue-Light" w:hint="eastAsia"/>
              <w:sz w:val="16"/>
              <w:szCs w:val="16"/>
              <w:lang w:val="en-US" w:eastAsia="zh-CN" w:bidi="en-US"/>
            </w:rPr>
            <w:t>3</w:t>
          </w:r>
          <w:r w:rsidRPr="008D1634">
            <w:rPr>
              <w:rFonts w:cs="HelveticaNeue-Light"/>
              <w:sz w:val="16"/>
              <w:szCs w:val="16"/>
              <w:lang w:val="en-US" w:bidi="en-US"/>
            </w:rPr>
            <w:t xml:space="preserve"> </w:t>
          </w:r>
        </w:p>
        <w:p w:rsidR="00135806" w:rsidRPr="008D1634" w:rsidRDefault="00135806"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1</w:t>
          </w:r>
          <w:r>
            <w:rPr>
              <w:rFonts w:cs="HelveticaNeue-Light" w:hint="eastAsia"/>
              <w:sz w:val="16"/>
              <w:szCs w:val="16"/>
              <w:lang w:val="en-US" w:eastAsia="zh-CN" w:bidi="en-US"/>
            </w:rPr>
            <w:t>75</w:t>
          </w:r>
          <w:r w:rsidRPr="008D1634">
            <w:rPr>
              <w:rFonts w:cs="HelveticaNeue-Light"/>
              <w:sz w:val="16"/>
              <w:szCs w:val="16"/>
              <w:lang w:val="en-US" w:bidi="en-US"/>
            </w:rPr>
            <w:t xml:space="preserve"> </w:t>
          </w:r>
          <w:r>
            <w:rPr>
              <w:rFonts w:cs="HelveticaNeue-Light" w:hint="eastAsia"/>
              <w:sz w:val="16"/>
              <w:szCs w:val="16"/>
              <w:lang w:val="en-US" w:eastAsia="zh-CN" w:bidi="en-US"/>
            </w:rPr>
            <w:t>Pitt</w:t>
          </w:r>
          <w:r w:rsidRPr="008D1634">
            <w:rPr>
              <w:rFonts w:cs="HelveticaNeue-Light"/>
              <w:sz w:val="16"/>
              <w:szCs w:val="16"/>
              <w:lang w:val="en-US" w:bidi="en-US"/>
            </w:rPr>
            <w:t xml:space="preserve"> Street</w:t>
          </w:r>
        </w:p>
        <w:p w:rsidR="00135806" w:rsidRPr="008D1634" w:rsidRDefault="00135806"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sidRPr="008D1634">
            <w:rPr>
              <w:rFonts w:cs="HelveticaNeue-Light"/>
              <w:sz w:val="16"/>
              <w:szCs w:val="16"/>
              <w:lang w:val="en-US" w:bidi="en-US"/>
            </w:rPr>
            <w:t>Sydney NSW 200</w:t>
          </w:r>
          <w:r>
            <w:rPr>
              <w:rFonts w:cs="HelveticaNeue-Light" w:hint="eastAsia"/>
              <w:sz w:val="16"/>
              <w:szCs w:val="16"/>
              <w:lang w:val="en-US" w:eastAsia="zh-CN" w:bidi="en-US"/>
            </w:rPr>
            <w:t>0</w:t>
          </w:r>
        </w:p>
      </w:tc>
      <w:tc>
        <w:tcPr>
          <w:tcW w:w="1701" w:type="dxa"/>
          <w:tcBorders>
            <w:top w:val="single" w:sz="2" w:space="0" w:color="808080"/>
            <w:left w:val="nil"/>
            <w:bottom w:val="nil"/>
          </w:tcBorders>
        </w:tcPr>
        <w:p w:rsidR="00135806" w:rsidRPr="008D1634" w:rsidRDefault="00135806"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135806" w:rsidRPr="008D1634" w:rsidRDefault="00135806"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 xml:space="preserve">GPO </w:t>
          </w:r>
          <w:smartTag w:uri="urn:schemas-microsoft-com:office:smarttags" w:element="address">
            <w:smartTag w:uri="urn:schemas-microsoft-com:office:smarttags" w:element="Street">
              <w:r w:rsidRPr="008D1634">
                <w:rPr>
                  <w:rFonts w:cs="HelveticaNeue-Light"/>
                  <w:sz w:val="16"/>
                  <w:szCs w:val="16"/>
                  <w:lang w:val="en-US" w:bidi="en-US"/>
                </w:rPr>
                <w:t>Box</w:t>
              </w:r>
            </w:smartTag>
            <w:r w:rsidRPr="008D1634">
              <w:rPr>
                <w:rFonts w:cs="HelveticaNeue-Light"/>
                <w:sz w:val="16"/>
                <w:szCs w:val="16"/>
                <w:lang w:val="en-US" w:bidi="en-US"/>
              </w:rPr>
              <w:t xml:space="preserve"> 5218</w:t>
            </w:r>
          </w:smartTag>
        </w:p>
        <w:p w:rsidR="00135806" w:rsidRPr="008D1634" w:rsidRDefault="00135806" w:rsidP="005B50D7">
          <w:pPr>
            <w:widowControl w:val="0"/>
            <w:tabs>
              <w:tab w:val="left" w:pos="5830"/>
            </w:tabs>
            <w:autoSpaceDE w:val="0"/>
            <w:autoSpaceDN w:val="0"/>
            <w:adjustRightInd w:val="0"/>
            <w:spacing w:before="0" w:after="0" w:line="288" w:lineRule="auto"/>
            <w:ind w:right="34"/>
            <w:textAlignment w:val="center"/>
            <w:rPr>
              <w:rFonts w:cs="HelveticaNeue-Light"/>
              <w:sz w:val="16"/>
              <w:szCs w:val="16"/>
              <w:lang w:val="en-US" w:bidi="en-US"/>
            </w:rPr>
          </w:pPr>
          <w:smartTag w:uri="urn:schemas-microsoft-com:office:smarttags" w:element="place">
            <w:smartTag w:uri="urn:schemas-microsoft-com:office:smarttags" w:element="City">
              <w:r w:rsidRPr="008D1634">
                <w:rPr>
                  <w:rFonts w:cs="HelveticaNeue-Light"/>
                  <w:sz w:val="16"/>
                  <w:szCs w:val="16"/>
                  <w:lang w:val="en-US" w:bidi="en-US"/>
                </w:rPr>
                <w:t>Sydney</w:t>
              </w:r>
            </w:smartTag>
          </w:smartTag>
          <w:r w:rsidRPr="008D1634">
            <w:rPr>
              <w:rFonts w:cs="HelveticaNeue-Light"/>
              <w:sz w:val="16"/>
              <w:szCs w:val="16"/>
              <w:lang w:val="en-US" w:bidi="en-US"/>
            </w:rPr>
            <w:t xml:space="preserve"> NSW 2001</w:t>
          </w:r>
        </w:p>
      </w:tc>
      <w:tc>
        <w:tcPr>
          <w:tcW w:w="2551" w:type="dxa"/>
          <w:tcBorders>
            <w:top w:val="single" w:sz="2" w:space="0" w:color="808080"/>
            <w:bottom w:val="nil"/>
          </w:tcBorders>
        </w:tcPr>
        <w:p w:rsidR="00135806" w:rsidRPr="008D1634" w:rsidRDefault="00135806"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135806" w:rsidRPr="008D1634" w:rsidRDefault="00135806"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General enquiries</w:t>
          </w:r>
        </w:p>
        <w:p w:rsidR="00135806" w:rsidRPr="008D1634" w:rsidRDefault="00135806"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 xml:space="preserve">Complaints </w:t>
          </w:r>
          <w:proofErr w:type="spellStart"/>
          <w:r w:rsidRPr="008D1634">
            <w:rPr>
              <w:rFonts w:cs="HelveticaNeue-Light"/>
              <w:sz w:val="16"/>
              <w:szCs w:val="16"/>
              <w:lang w:val="en-US" w:bidi="en-US"/>
            </w:rPr>
            <w:t>infoline</w:t>
          </w:r>
          <w:proofErr w:type="spellEnd"/>
        </w:p>
        <w:p w:rsidR="00135806" w:rsidRPr="008D1634" w:rsidRDefault="00135806"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TTY</w:t>
          </w:r>
        </w:p>
        <w:p w:rsidR="00135806" w:rsidRPr="008D1634" w:rsidRDefault="00135806"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www.humanrights.gov.au</w:t>
          </w:r>
        </w:p>
      </w:tc>
      <w:tc>
        <w:tcPr>
          <w:tcW w:w="1667" w:type="dxa"/>
          <w:tcBorders>
            <w:top w:val="single" w:sz="2" w:space="0" w:color="808080"/>
            <w:bottom w:val="nil"/>
            <w:right w:val="nil"/>
          </w:tcBorders>
        </w:tcPr>
        <w:p w:rsidR="00135806" w:rsidRPr="008D1634" w:rsidRDefault="00135806"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135806" w:rsidRPr="008D1634" w:rsidRDefault="00135806"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1300 369 711</w:t>
          </w:r>
        </w:p>
        <w:p w:rsidR="00135806" w:rsidRPr="008D1634" w:rsidRDefault="00135806"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1300 656 419</w:t>
          </w:r>
        </w:p>
        <w:p w:rsidR="00135806" w:rsidRPr="008D1634" w:rsidRDefault="00135806" w:rsidP="005B50D7">
          <w:pPr>
            <w:widowControl w:val="0"/>
            <w:tabs>
              <w:tab w:val="left" w:pos="5830"/>
            </w:tabs>
            <w:autoSpaceDE w:val="0"/>
            <w:autoSpaceDN w:val="0"/>
            <w:adjustRightInd w:val="0"/>
            <w:spacing w:before="0" w:after="0" w:line="288" w:lineRule="auto"/>
            <w:ind w:right="360"/>
            <w:textAlignment w:val="center"/>
            <w:rPr>
              <w:rFonts w:cs="HelveticaNeue-Light"/>
              <w:sz w:val="16"/>
              <w:lang w:val="en-US"/>
            </w:rPr>
          </w:pPr>
          <w:r w:rsidRPr="008D1634">
            <w:rPr>
              <w:rFonts w:cs="HelveticaNeue-Light"/>
              <w:sz w:val="16"/>
              <w:szCs w:val="16"/>
              <w:lang w:val="en-US" w:bidi="en-US"/>
            </w:rPr>
            <w:t>1800 620 241</w:t>
          </w:r>
        </w:p>
      </w:tc>
    </w:tr>
  </w:tbl>
  <w:p w:rsidR="00135806" w:rsidRPr="001B25B3" w:rsidRDefault="00135806"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BD" w:rsidRDefault="005D19BD" w:rsidP="00F14C6D">
      <w:r>
        <w:separator/>
      </w:r>
    </w:p>
  </w:footnote>
  <w:footnote w:type="continuationSeparator" w:id="0">
    <w:p w:rsidR="005D19BD" w:rsidRDefault="005D19BD"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06" w:rsidRDefault="00135806"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5" w:type="dxa"/>
      <w:tblLayout w:type="fixed"/>
      <w:tblLook w:val="00A0" w:firstRow="1" w:lastRow="0" w:firstColumn="1" w:lastColumn="0" w:noHBand="0" w:noVBand="0"/>
    </w:tblPr>
    <w:tblGrid>
      <w:gridCol w:w="3652"/>
      <w:gridCol w:w="301"/>
      <w:gridCol w:w="5152"/>
    </w:tblGrid>
    <w:tr w:rsidR="00135806" w:rsidRPr="00F67D3F" w:rsidTr="00672637">
      <w:trPr>
        <w:trHeight w:val="1603"/>
      </w:trPr>
      <w:tc>
        <w:tcPr>
          <w:tcW w:w="3652" w:type="dxa"/>
        </w:tcPr>
        <w:p w:rsidR="00135806" w:rsidRPr="008D1634" w:rsidRDefault="00135806"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extent cx="2209800" cy="752475"/>
                <wp:effectExtent l="0" t="0" r="0" b="9525"/>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52475"/>
                        </a:xfrm>
                        <a:prstGeom prst="rect">
                          <a:avLst/>
                        </a:prstGeom>
                        <a:noFill/>
                        <a:ln>
                          <a:noFill/>
                        </a:ln>
                      </pic:spPr>
                    </pic:pic>
                  </a:graphicData>
                </a:graphic>
              </wp:inline>
            </w:drawing>
          </w:r>
        </w:p>
      </w:tc>
      <w:tc>
        <w:tcPr>
          <w:tcW w:w="301" w:type="dxa"/>
          <w:vAlign w:val="center"/>
        </w:tcPr>
        <w:p w:rsidR="00135806" w:rsidRPr="008D1634" w:rsidRDefault="00135806" w:rsidP="00331013">
          <w:pPr>
            <w:spacing w:before="0" w:after="0" w:line="210" w:lineRule="exact"/>
            <w:rPr>
              <w:rFonts w:cs="ArialMT"/>
              <w:i/>
              <w:color w:val="808080"/>
              <w:sz w:val="17"/>
              <w:lang w:val="en-US" w:eastAsia="en-US" w:bidi="en-US"/>
            </w:rPr>
          </w:pPr>
        </w:p>
      </w:tc>
      <w:tc>
        <w:tcPr>
          <w:tcW w:w="5152" w:type="dxa"/>
        </w:tcPr>
        <w:p w:rsidR="00135806" w:rsidRDefault="00135806" w:rsidP="00C22712">
          <w:pPr>
            <w:pStyle w:val="LogoType"/>
            <w:pBdr>
              <w:bottom w:val="none" w:sz="0" w:space="0" w:color="auto"/>
            </w:pBdr>
            <w:spacing w:before="0" w:after="0" w:line="240" w:lineRule="auto"/>
            <w:jc w:val="right"/>
            <w:rPr>
              <w:color w:val="646464"/>
              <w:spacing w:val="0"/>
              <w:kern w:val="144"/>
              <w:sz w:val="24"/>
              <w:lang w:val="en-US" w:eastAsia="en-US" w:bidi="en-US"/>
            </w:rPr>
          </w:pPr>
        </w:p>
        <w:p w:rsidR="00135806" w:rsidRDefault="00135806" w:rsidP="00490E63">
          <w:pPr>
            <w:pStyle w:val="LogoType"/>
            <w:pBdr>
              <w:bottom w:val="none" w:sz="0" w:space="0" w:color="auto"/>
            </w:pBdr>
            <w:spacing w:before="0" w:after="0" w:line="240" w:lineRule="auto"/>
            <w:jc w:val="right"/>
            <w:rPr>
              <w:color w:val="646464"/>
              <w:spacing w:val="0"/>
              <w:kern w:val="144"/>
              <w:sz w:val="24"/>
              <w:lang w:val="en-US" w:eastAsia="en-US" w:bidi="en-US"/>
            </w:rPr>
          </w:pPr>
        </w:p>
        <w:p w:rsidR="00135806" w:rsidRPr="00F67D3F" w:rsidRDefault="00135806" w:rsidP="00490E63">
          <w:pPr>
            <w:pStyle w:val="LogoType"/>
            <w:pBdr>
              <w:bottom w:val="none" w:sz="0" w:space="0" w:color="auto"/>
            </w:pBdr>
            <w:spacing w:before="0" w:after="0" w:line="240" w:lineRule="auto"/>
            <w:jc w:val="right"/>
            <w:rPr>
              <w:color w:val="646464"/>
              <w:spacing w:val="0"/>
              <w:kern w:val="144"/>
              <w:sz w:val="24"/>
              <w:lang w:val="en-US" w:eastAsia="en-US" w:bidi="en-US"/>
            </w:rPr>
          </w:pPr>
          <w:r>
            <w:rPr>
              <w:color w:val="646464"/>
              <w:spacing w:val="0"/>
              <w:kern w:val="144"/>
              <w:sz w:val="24"/>
              <w:lang w:val="en-US" w:eastAsia="en-US" w:bidi="en-US"/>
            </w:rPr>
            <w:t>President</w:t>
          </w:r>
        </w:p>
        <w:p w:rsidR="00135806" w:rsidRPr="00F67D3F" w:rsidRDefault="00135806" w:rsidP="00F67D3F">
          <w:pPr>
            <w:pStyle w:val="LogoType"/>
            <w:pBdr>
              <w:bottom w:val="none" w:sz="0" w:space="0" w:color="auto"/>
            </w:pBdr>
            <w:spacing w:before="120" w:after="80" w:line="240" w:lineRule="auto"/>
            <w:jc w:val="right"/>
            <w:rPr>
              <w:spacing w:val="0"/>
              <w:kern w:val="144"/>
              <w:sz w:val="24"/>
              <w:lang w:val="en-US" w:eastAsia="en-US" w:bidi="en-US"/>
            </w:rPr>
          </w:pPr>
          <w:r>
            <w:rPr>
              <w:noProof/>
              <w:color w:val="646464"/>
              <w:spacing w:val="0"/>
              <w:kern w:val="144"/>
              <w:sz w:val="24"/>
            </w:rPr>
            <mc:AlternateContent>
              <mc:Choice Requires="wps">
                <w:drawing>
                  <wp:anchor distT="0" distB="0" distL="114300" distR="114300" simplePos="0" relativeHeight="251657728" behindDoc="0" locked="0" layoutInCell="1" allowOverlap="1" wp14:anchorId="236CE916" wp14:editId="2436BCE6">
                    <wp:simplePos x="0" y="0"/>
                    <wp:positionH relativeFrom="column">
                      <wp:posOffset>1388694</wp:posOffset>
                    </wp:positionH>
                    <wp:positionV relativeFrom="paragraph">
                      <wp:posOffset>39954</wp:posOffset>
                    </wp:positionV>
                    <wp:extent cx="1809118" cy="0"/>
                    <wp:effectExtent l="0" t="0" r="1968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8" cy="0"/>
                            </a:xfrm>
                            <a:prstGeom prst="line">
                              <a:avLst/>
                            </a:prstGeom>
                            <a:noFill/>
                            <a:ln w="9525">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3.15pt" to="251.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" strokecolor="#5f5f5f"/>
                </w:pict>
              </mc:Fallback>
            </mc:AlternateContent>
          </w:r>
          <w:r>
            <w:rPr>
              <w:color w:val="646464"/>
              <w:spacing w:val="0"/>
              <w:kern w:val="144"/>
              <w:sz w:val="24"/>
              <w:lang w:val="en-US" w:eastAsia="en-US" w:bidi="en-US"/>
            </w:rPr>
            <w:t>Professor Gillian Triggs</w:t>
          </w:r>
        </w:p>
      </w:tc>
    </w:tr>
  </w:tbl>
  <w:p w:rsidR="00135806" w:rsidRPr="006E2FE7" w:rsidRDefault="00135806">
    <w:pPr>
      <w:pStyle w:val="Header"/>
      <w:rPr>
        <w:color w:val="73737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8970FC5"/>
    <w:multiLevelType w:val="hybridMultilevel"/>
    <w:tmpl w:val="34167D0A"/>
    <w:lvl w:ilvl="0" w:tplc="0C09000F">
      <w:start w:val="1"/>
      <w:numFmt w:val="decimal"/>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nsid w:val="19B02156"/>
    <w:multiLevelType w:val="hybridMultilevel"/>
    <w:tmpl w:val="DD4AE780"/>
    <w:lvl w:ilvl="0" w:tplc="CD048CA4">
      <w:start w:val="1"/>
      <w:numFmt w:val="lowerLetter"/>
      <w:lvlText w:val="(%1)"/>
      <w:lvlJc w:val="left"/>
      <w:pPr>
        <w:ind w:left="927" w:hanging="360"/>
      </w:pPr>
      <w:rPr>
        <w:rFonts w:hint="default"/>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386D7D14"/>
    <w:multiLevelType w:val="hybridMultilevel"/>
    <w:tmpl w:val="57F48CC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D371922"/>
    <w:multiLevelType w:val="hybridMultilevel"/>
    <w:tmpl w:val="DE3056F2"/>
    <w:lvl w:ilvl="0" w:tplc="940053C0">
      <w:start w:val="1"/>
      <w:numFmt w:val="lowerLetter"/>
      <w:lvlText w:val="(%1)"/>
      <w:lvlJc w:val="left"/>
      <w:pPr>
        <w:ind w:left="1287" w:hanging="360"/>
      </w:pPr>
      <w:rPr>
        <w:rFonts w:hint="default"/>
        <w:sz w:val="22"/>
        <w:szCs w:val="22"/>
      </w:rPr>
    </w:lvl>
    <w:lvl w:ilvl="1" w:tplc="18F4AD2A">
      <w:start w:val="1"/>
      <w:numFmt w:val="decimal"/>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2A62E72"/>
    <w:multiLevelType w:val="hybridMultilevel"/>
    <w:tmpl w:val="10A02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17602AF"/>
    <w:multiLevelType w:val="multilevel"/>
    <w:tmpl w:val="2168098A"/>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3"/>
  </w:num>
  <w:num w:numId="3">
    <w:abstractNumId w:val="26"/>
  </w:num>
  <w:num w:numId="4">
    <w:abstractNumId w:val="1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4"/>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9"/>
  </w:num>
  <w:num w:numId="23">
    <w:abstractNumId w:val="31"/>
  </w:num>
  <w:num w:numId="24">
    <w:abstractNumId w:val="32"/>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8"/>
  </w:num>
  <w:num w:numId="31">
    <w:abstractNumId w:val="30"/>
  </w:num>
  <w:num w:numId="32">
    <w:abstractNumId w:val="19"/>
  </w:num>
  <w:num w:numId="33">
    <w:abstractNumId w:val="20"/>
  </w:num>
  <w:num w:numId="34">
    <w:abstractNumId w:val="14"/>
  </w:num>
  <w:num w:numId="35">
    <w:abstractNumId w:val="1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7">
      <o:colormru v:ext="edit" colors="#5f5f5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9F"/>
    <w:rsid w:val="00000871"/>
    <w:rsid w:val="00000C2B"/>
    <w:rsid w:val="00005D49"/>
    <w:rsid w:val="000206B3"/>
    <w:rsid w:val="000210EA"/>
    <w:rsid w:val="000260BF"/>
    <w:rsid w:val="00031A24"/>
    <w:rsid w:val="00041650"/>
    <w:rsid w:val="000421C3"/>
    <w:rsid w:val="00043665"/>
    <w:rsid w:val="000579B1"/>
    <w:rsid w:val="000642C5"/>
    <w:rsid w:val="00065B0F"/>
    <w:rsid w:val="00070C80"/>
    <w:rsid w:val="00074B3E"/>
    <w:rsid w:val="00075A4D"/>
    <w:rsid w:val="00087F5A"/>
    <w:rsid w:val="00092D13"/>
    <w:rsid w:val="000A2DB5"/>
    <w:rsid w:val="000A37C7"/>
    <w:rsid w:val="000A5564"/>
    <w:rsid w:val="000B0A5D"/>
    <w:rsid w:val="000B267A"/>
    <w:rsid w:val="000B53EE"/>
    <w:rsid w:val="000C4610"/>
    <w:rsid w:val="000D2CAE"/>
    <w:rsid w:val="000E38FA"/>
    <w:rsid w:val="000F542F"/>
    <w:rsid w:val="00117980"/>
    <w:rsid w:val="00123209"/>
    <w:rsid w:val="00135806"/>
    <w:rsid w:val="001373D3"/>
    <w:rsid w:val="001508CE"/>
    <w:rsid w:val="00162A8D"/>
    <w:rsid w:val="001662B6"/>
    <w:rsid w:val="00176220"/>
    <w:rsid w:val="00177029"/>
    <w:rsid w:val="00181378"/>
    <w:rsid w:val="0018529F"/>
    <w:rsid w:val="00186C09"/>
    <w:rsid w:val="00190739"/>
    <w:rsid w:val="001A474C"/>
    <w:rsid w:val="001B0353"/>
    <w:rsid w:val="001B1D1D"/>
    <w:rsid w:val="001B25B3"/>
    <w:rsid w:val="001B6625"/>
    <w:rsid w:val="001C7AA6"/>
    <w:rsid w:val="001E195B"/>
    <w:rsid w:val="001E19B6"/>
    <w:rsid w:val="001F110E"/>
    <w:rsid w:val="001F2743"/>
    <w:rsid w:val="001F2BBB"/>
    <w:rsid w:val="001F7087"/>
    <w:rsid w:val="00201544"/>
    <w:rsid w:val="00201EFE"/>
    <w:rsid w:val="00214DBF"/>
    <w:rsid w:val="00215015"/>
    <w:rsid w:val="0022077F"/>
    <w:rsid w:val="0024137D"/>
    <w:rsid w:val="0024557E"/>
    <w:rsid w:val="002639F6"/>
    <w:rsid w:val="00263B2B"/>
    <w:rsid w:val="002677C3"/>
    <w:rsid w:val="002727B4"/>
    <w:rsid w:val="00272BD6"/>
    <w:rsid w:val="0028301A"/>
    <w:rsid w:val="002932DC"/>
    <w:rsid w:val="00293D66"/>
    <w:rsid w:val="002B557D"/>
    <w:rsid w:val="002D0C4F"/>
    <w:rsid w:val="002D54E2"/>
    <w:rsid w:val="002E1678"/>
    <w:rsid w:val="002E405A"/>
    <w:rsid w:val="002E486B"/>
    <w:rsid w:val="003071E7"/>
    <w:rsid w:val="00310ED4"/>
    <w:rsid w:val="0031492A"/>
    <w:rsid w:val="00316C1A"/>
    <w:rsid w:val="00320661"/>
    <w:rsid w:val="003209FE"/>
    <w:rsid w:val="00325965"/>
    <w:rsid w:val="00331013"/>
    <w:rsid w:val="00331279"/>
    <w:rsid w:val="003341CA"/>
    <w:rsid w:val="00363353"/>
    <w:rsid w:val="003731B3"/>
    <w:rsid w:val="00392158"/>
    <w:rsid w:val="003A0222"/>
    <w:rsid w:val="003A29BA"/>
    <w:rsid w:val="003A4F19"/>
    <w:rsid w:val="003A6426"/>
    <w:rsid w:val="003C3D19"/>
    <w:rsid w:val="003C5EEB"/>
    <w:rsid w:val="003D0999"/>
    <w:rsid w:val="003E61B5"/>
    <w:rsid w:val="003E7C58"/>
    <w:rsid w:val="003F3CD4"/>
    <w:rsid w:val="004050E5"/>
    <w:rsid w:val="00413D81"/>
    <w:rsid w:val="004148D6"/>
    <w:rsid w:val="00424DA9"/>
    <w:rsid w:val="00436828"/>
    <w:rsid w:val="00444B9C"/>
    <w:rsid w:val="0044690C"/>
    <w:rsid w:val="004510B9"/>
    <w:rsid w:val="00452F40"/>
    <w:rsid w:val="00474063"/>
    <w:rsid w:val="00484AD3"/>
    <w:rsid w:val="00484F87"/>
    <w:rsid w:val="00486099"/>
    <w:rsid w:val="00490E63"/>
    <w:rsid w:val="004B3F64"/>
    <w:rsid w:val="004B43A7"/>
    <w:rsid w:val="004C29B8"/>
    <w:rsid w:val="004D2176"/>
    <w:rsid w:val="004D285E"/>
    <w:rsid w:val="004D5EC1"/>
    <w:rsid w:val="004D6BC5"/>
    <w:rsid w:val="004E4F81"/>
    <w:rsid w:val="004F3F2D"/>
    <w:rsid w:val="00501641"/>
    <w:rsid w:val="00507575"/>
    <w:rsid w:val="00512994"/>
    <w:rsid w:val="00513540"/>
    <w:rsid w:val="005431C1"/>
    <w:rsid w:val="00547D3B"/>
    <w:rsid w:val="00550D31"/>
    <w:rsid w:val="0056264D"/>
    <w:rsid w:val="00564725"/>
    <w:rsid w:val="0057396F"/>
    <w:rsid w:val="005747B5"/>
    <w:rsid w:val="00576BF7"/>
    <w:rsid w:val="005A0F8E"/>
    <w:rsid w:val="005B50D7"/>
    <w:rsid w:val="005D0A0C"/>
    <w:rsid w:val="005D19BD"/>
    <w:rsid w:val="005D1F34"/>
    <w:rsid w:val="005E076E"/>
    <w:rsid w:val="005E69B1"/>
    <w:rsid w:val="005E752E"/>
    <w:rsid w:val="005F069A"/>
    <w:rsid w:val="005F36BE"/>
    <w:rsid w:val="005F7015"/>
    <w:rsid w:val="006000A7"/>
    <w:rsid w:val="0061324D"/>
    <w:rsid w:val="00627B15"/>
    <w:rsid w:val="00631C52"/>
    <w:rsid w:val="00636343"/>
    <w:rsid w:val="00643CC4"/>
    <w:rsid w:val="00672637"/>
    <w:rsid w:val="00683698"/>
    <w:rsid w:val="00690436"/>
    <w:rsid w:val="006A1194"/>
    <w:rsid w:val="006A482D"/>
    <w:rsid w:val="006A6BB3"/>
    <w:rsid w:val="006B21B0"/>
    <w:rsid w:val="006B2544"/>
    <w:rsid w:val="006C6741"/>
    <w:rsid w:val="006C6973"/>
    <w:rsid w:val="006D442C"/>
    <w:rsid w:val="006D5EE5"/>
    <w:rsid w:val="006D7CB1"/>
    <w:rsid w:val="006E2FE7"/>
    <w:rsid w:val="006E6D3A"/>
    <w:rsid w:val="006E759F"/>
    <w:rsid w:val="006F1E65"/>
    <w:rsid w:val="00703FAC"/>
    <w:rsid w:val="00713BDB"/>
    <w:rsid w:val="00724EFE"/>
    <w:rsid w:val="007274FD"/>
    <w:rsid w:val="0073121D"/>
    <w:rsid w:val="0073642E"/>
    <w:rsid w:val="00740E26"/>
    <w:rsid w:val="00741A14"/>
    <w:rsid w:val="00756661"/>
    <w:rsid w:val="007606CC"/>
    <w:rsid w:val="00761A4B"/>
    <w:rsid w:val="00770695"/>
    <w:rsid w:val="00770DCB"/>
    <w:rsid w:val="00775485"/>
    <w:rsid w:val="007913E9"/>
    <w:rsid w:val="007A4AF6"/>
    <w:rsid w:val="007B6F0B"/>
    <w:rsid w:val="007D6735"/>
    <w:rsid w:val="007E393C"/>
    <w:rsid w:val="007E3E6D"/>
    <w:rsid w:val="007F1E65"/>
    <w:rsid w:val="00811E6F"/>
    <w:rsid w:val="0081372D"/>
    <w:rsid w:val="00815463"/>
    <w:rsid w:val="008159B5"/>
    <w:rsid w:val="008259FE"/>
    <w:rsid w:val="008300EA"/>
    <w:rsid w:val="008415D0"/>
    <w:rsid w:val="00845E97"/>
    <w:rsid w:val="0084600B"/>
    <w:rsid w:val="008724DE"/>
    <w:rsid w:val="0089337C"/>
    <w:rsid w:val="00896197"/>
    <w:rsid w:val="008A23EC"/>
    <w:rsid w:val="008A66C0"/>
    <w:rsid w:val="008A732D"/>
    <w:rsid w:val="008B3662"/>
    <w:rsid w:val="008B4C13"/>
    <w:rsid w:val="008D0418"/>
    <w:rsid w:val="008D6140"/>
    <w:rsid w:val="008E36CD"/>
    <w:rsid w:val="008E3D60"/>
    <w:rsid w:val="008E675D"/>
    <w:rsid w:val="008F2F86"/>
    <w:rsid w:val="008F334F"/>
    <w:rsid w:val="0090165F"/>
    <w:rsid w:val="00916992"/>
    <w:rsid w:val="00921DAD"/>
    <w:rsid w:val="009348E1"/>
    <w:rsid w:val="009406CE"/>
    <w:rsid w:val="009532FA"/>
    <w:rsid w:val="009632E0"/>
    <w:rsid w:val="00966C2F"/>
    <w:rsid w:val="009709E5"/>
    <w:rsid w:val="00972659"/>
    <w:rsid w:val="0097306F"/>
    <w:rsid w:val="00974980"/>
    <w:rsid w:val="00987464"/>
    <w:rsid w:val="009B03DA"/>
    <w:rsid w:val="009B56B1"/>
    <w:rsid w:val="009C3DE5"/>
    <w:rsid w:val="009D00BA"/>
    <w:rsid w:val="009D0F66"/>
    <w:rsid w:val="009D5861"/>
    <w:rsid w:val="009E1120"/>
    <w:rsid w:val="009E41ED"/>
    <w:rsid w:val="009E60FE"/>
    <w:rsid w:val="009F63E3"/>
    <w:rsid w:val="00A0406E"/>
    <w:rsid w:val="00A1609B"/>
    <w:rsid w:val="00A312FF"/>
    <w:rsid w:val="00A32F15"/>
    <w:rsid w:val="00A41355"/>
    <w:rsid w:val="00A43B92"/>
    <w:rsid w:val="00A4438B"/>
    <w:rsid w:val="00A5443C"/>
    <w:rsid w:val="00A6179E"/>
    <w:rsid w:val="00A65532"/>
    <w:rsid w:val="00A9094C"/>
    <w:rsid w:val="00A90A64"/>
    <w:rsid w:val="00A9225B"/>
    <w:rsid w:val="00A92A58"/>
    <w:rsid w:val="00AA1BF0"/>
    <w:rsid w:val="00AB1734"/>
    <w:rsid w:val="00AB1873"/>
    <w:rsid w:val="00AD6C3D"/>
    <w:rsid w:val="00AE2247"/>
    <w:rsid w:val="00AE47D9"/>
    <w:rsid w:val="00B0666A"/>
    <w:rsid w:val="00B10447"/>
    <w:rsid w:val="00B13D59"/>
    <w:rsid w:val="00B15F40"/>
    <w:rsid w:val="00B16E54"/>
    <w:rsid w:val="00B17728"/>
    <w:rsid w:val="00B22EC4"/>
    <w:rsid w:val="00B277E0"/>
    <w:rsid w:val="00B32AEC"/>
    <w:rsid w:val="00B44C55"/>
    <w:rsid w:val="00B47D0C"/>
    <w:rsid w:val="00B53A65"/>
    <w:rsid w:val="00B67ED9"/>
    <w:rsid w:val="00B802E5"/>
    <w:rsid w:val="00BA262D"/>
    <w:rsid w:val="00BA2DA6"/>
    <w:rsid w:val="00BA6C02"/>
    <w:rsid w:val="00BB551C"/>
    <w:rsid w:val="00BC5EE9"/>
    <w:rsid w:val="00BD400C"/>
    <w:rsid w:val="00BF1C1B"/>
    <w:rsid w:val="00BF34C3"/>
    <w:rsid w:val="00C1697F"/>
    <w:rsid w:val="00C22712"/>
    <w:rsid w:val="00C24E63"/>
    <w:rsid w:val="00C25BDA"/>
    <w:rsid w:val="00C330F2"/>
    <w:rsid w:val="00C50566"/>
    <w:rsid w:val="00C52035"/>
    <w:rsid w:val="00C563C4"/>
    <w:rsid w:val="00C701B4"/>
    <w:rsid w:val="00C71D32"/>
    <w:rsid w:val="00C7557B"/>
    <w:rsid w:val="00C75BEE"/>
    <w:rsid w:val="00C80239"/>
    <w:rsid w:val="00C822A0"/>
    <w:rsid w:val="00C85D6D"/>
    <w:rsid w:val="00C86B6D"/>
    <w:rsid w:val="00C87F1C"/>
    <w:rsid w:val="00C9296D"/>
    <w:rsid w:val="00CA0D78"/>
    <w:rsid w:val="00CD0DA9"/>
    <w:rsid w:val="00D105F2"/>
    <w:rsid w:val="00D134AC"/>
    <w:rsid w:val="00D1390E"/>
    <w:rsid w:val="00D2220D"/>
    <w:rsid w:val="00D306CE"/>
    <w:rsid w:val="00D35F8B"/>
    <w:rsid w:val="00D41C6C"/>
    <w:rsid w:val="00D52509"/>
    <w:rsid w:val="00D570E6"/>
    <w:rsid w:val="00D57137"/>
    <w:rsid w:val="00D65207"/>
    <w:rsid w:val="00D65C76"/>
    <w:rsid w:val="00D665B6"/>
    <w:rsid w:val="00D80E16"/>
    <w:rsid w:val="00DA2F73"/>
    <w:rsid w:val="00DB0F86"/>
    <w:rsid w:val="00DB7F1A"/>
    <w:rsid w:val="00DC462F"/>
    <w:rsid w:val="00DD07D0"/>
    <w:rsid w:val="00DD36C1"/>
    <w:rsid w:val="00DD5B28"/>
    <w:rsid w:val="00DE047A"/>
    <w:rsid w:val="00E02DA0"/>
    <w:rsid w:val="00E05295"/>
    <w:rsid w:val="00E05AE7"/>
    <w:rsid w:val="00E14A38"/>
    <w:rsid w:val="00E24FA3"/>
    <w:rsid w:val="00E36B41"/>
    <w:rsid w:val="00E45954"/>
    <w:rsid w:val="00E47A25"/>
    <w:rsid w:val="00E5325F"/>
    <w:rsid w:val="00E57F61"/>
    <w:rsid w:val="00E833BA"/>
    <w:rsid w:val="00E94DD7"/>
    <w:rsid w:val="00EA4BE6"/>
    <w:rsid w:val="00ED43C0"/>
    <w:rsid w:val="00ED6D54"/>
    <w:rsid w:val="00EE50BC"/>
    <w:rsid w:val="00EF1261"/>
    <w:rsid w:val="00EF6238"/>
    <w:rsid w:val="00F05CD0"/>
    <w:rsid w:val="00F14C6D"/>
    <w:rsid w:val="00F36924"/>
    <w:rsid w:val="00F3719A"/>
    <w:rsid w:val="00F43DA5"/>
    <w:rsid w:val="00F60BC0"/>
    <w:rsid w:val="00F644B9"/>
    <w:rsid w:val="00F67D3F"/>
    <w:rsid w:val="00F84072"/>
    <w:rsid w:val="00F93E9B"/>
    <w:rsid w:val="00FA6159"/>
    <w:rsid w:val="00FB1B32"/>
    <w:rsid w:val="00FB625D"/>
    <w:rsid w:val="00FC3F0C"/>
    <w:rsid w:val="00FC7994"/>
    <w:rsid w:val="00FC79A6"/>
    <w:rsid w:val="00FF33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colormru v:ext="edit" colors="#5f5f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510B9"/>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uiPriority w:val="22"/>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uiPriority w:val="99"/>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locked/>
    <w:rsid w:val="0061324D"/>
    <w:rPr>
      <w:rFonts w:ascii="Arial" w:hAnsi="Arial"/>
      <w:lang w:bidi="ar-SA"/>
    </w:rPr>
  </w:style>
  <w:style w:type="paragraph" w:styleId="BalloonText">
    <w:name w:val="Balloon Text"/>
    <w:basedOn w:val="Normal"/>
    <w:semiHidden/>
    <w:locked/>
    <w:rsid w:val="006E2FE7"/>
    <w:rPr>
      <w:rFonts w:ascii="Tahoma" w:hAnsi="Tahoma" w:cs="Tahoma"/>
      <w:sz w:val="16"/>
      <w:szCs w:val="16"/>
    </w:rPr>
  </w:style>
  <w:style w:type="paragraph" w:styleId="ListParagraph">
    <w:name w:val="List Paragraph"/>
    <w:basedOn w:val="Normal"/>
    <w:uiPriority w:val="34"/>
    <w:qFormat/>
    <w:rsid w:val="001F7087"/>
    <w:pPr>
      <w:spacing w:before="0" w:after="0"/>
      <w:ind w:left="720"/>
    </w:pPr>
    <w:rPr>
      <w:rFonts w:eastAsia="Calibri" w:cs="Arial"/>
      <w:sz w:val="22"/>
      <w:szCs w:val="22"/>
      <w:lang w:eastAsia="en-US"/>
    </w:rPr>
  </w:style>
  <w:style w:type="paragraph" w:customStyle="1" w:styleId="Default">
    <w:name w:val="Default"/>
    <w:rsid w:val="0017702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510B9"/>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uiPriority w:val="22"/>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uiPriority w:val="99"/>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locked/>
    <w:rsid w:val="0061324D"/>
    <w:rPr>
      <w:rFonts w:ascii="Arial" w:hAnsi="Arial"/>
      <w:lang w:bidi="ar-SA"/>
    </w:rPr>
  </w:style>
  <w:style w:type="paragraph" w:styleId="BalloonText">
    <w:name w:val="Balloon Text"/>
    <w:basedOn w:val="Normal"/>
    <w:semiHidden/>
    <w:locked/>
    <w:rsid w:val="006E2FE7"/>
    <w:rPr>
      <w:rFonts w:ascii="Tahoma" w:hAnsi="Tahoma" w:cs="Tahoma"/>
      <w:sz w:val="16"/>
      <w:szCs w:val="16"/>
    </w:rPr>
  </w:style>
  <w:style w:type="paragraph" w:styleId="ListParagraph">
    <w:name w:val="List Paragraph"/>
    <w:basedOn w:val="Normal"/>
    <w:uiPriority w:val="34"/>
    <w:qFormat/>
    <w:rsid w:val="001F7087"/>
    <w:pPr>
      <w:spacing w:before="0" w:after="0"/>
      <w:ind w:left="720"/>
    </w:pPr>
    <w:rPr>
      <w:rFonts w:eastAsia="Calibri" w:cs="Arial"/>
      <w:sz w:val="22"/>
      <w:szCs w:val="22"/>
      <w:lang w:eastAsia="en-US"/>
    </w:rPr>
  </w:style>
  <w:style w:type="paragraph" w:customStyle="1" w:styleId="Default">
    <w:name w:val="Default"/>
    <w:rsid w:val="0017702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89319402">
      <w:bodyDiv w:val="1"/>
      <w:marLeft w:val="0"/>
      <w:marRight w:val="0"/>
      <w:marTop w:val="0"/>
      <w:marBottom w:val="0"/>
      <w:divBdr>
        <w:top w:val="none" w:sz="0" w:space="0" w:color="auto"/>
        <w:left w:val="none" w:sz="0" w:space="0" w:color="auto"/>
        <w:bottom w:val="none" w:sz="0" w:space="0" w:color="auto"/>
        <w:right w:val="none" w:sz="0" w:space="0" w:color="auto"/>
      </w:divBdr>
      <w:divsChild>
        <w:div w:id="2055346762">
          <w:marLeft w:val="0"/>
          <w:marRight w:val="0"/>
          <w:marTop w:val="0"/>
          <w:marBottom w:val="0"/>
          <w:divBdr>
            <w:top w:val="none" w:sz="0" w:space="0" w:color="auto"/>
            <w:left w:val="none" w:sz="0" w:space="0" w:color="auto"/>
            <w:bottom w:val="none" w:sz="0" w:space="0" w:color="auto"/>
            <w:right w:val="none" w:sz="0" w:space="0" w:color="auto"/>
          </w:divBdr>
          <w:divsChild>
            <w:div w:id="397243573">
              <w:marLeft w:val="0"/>
              <w:marRight w:val="0"/>
              <w:marTop w:val="0"/>
              <w:marBottom w:val="0"/>
              <w:divBdr>
                <w:top w:val="none" w:sz="0" w:space="0" w:color="auto"/>
                <w:left w:val="none" w:sz="0" w:space="0" w:color="auto"/>
                <w:bottom w:val="none" w:sz="0" w:space="0" w:color="auto"/>
                <w:right w:val="none" w:sz="0" w:space="0" w:color="auto"/>
              </w:divBdr>
              <w:divsChild>
                <w:div w:id="579487873">
                  <w:marLeft w:val="0"/>
                  <w:marRight w:val="0"/>
                  <w:marTop w:val="0"/>
                  <w:marBottom w:val="0"/>
                  <w:divBdr>
                    <w:top w:val="none" w:sz="0" w:space="0" w:color="auto"/>
                    <w:left w:val="none" w:sz="0" w:space="0" w:color="auto"/>
                    <w:bottom w:val="none" w:sz="0" w:space="0" w:color="auto"/>
                    <w:right w:val="none" w:sz="0" w:space="0" w:color="auto"/>
                  </w:divBdr>
                  <w:divsChild>
                    <w:div w:id="1297834796">
                      <w:marLeft w:val="0"/>
                      <w:marRight w:val="0"/>
                      <w:marTop w:val="0"/>
                      <w:marBottom w:val="0"/>
                      <w:divBdr>
                        <w:top w:val="none" w:sz="0" w:space="0" w:color="auto"/>
                        <w:left w:val="none" w:sz="0" w:space="0" w:color="auto"/>
                        <w:bottom w:val="none" w:sz="0" w:space="0" w:color="auto"/>
                        <w:right w:val="none" w:sz="0" w:space="0" w:color="auto"/>
                      </w:divBdr>
                      <w:divsChild>
                        <w:div w:id="948048829">
                          <w:marLeft w:val="0"/>
                          <w:marRight w:val="0"/>
                          <w:marTop w:val="0"/>
                          <w:marBottom w:val="0"/>
                          <w:divBdr>
                            <w:top w:val="none" w:sz="0" w:space="0" w:color="auto"/>
                            <w:left w:val="none" w:sz="0" w:space="0" w:color="auto"/>
                            <w:bottom w:val="none" w:sz="0" w:space="0" w:color="auto"/>
                            <w:right w:val="none" w:sz="0" w:space="0" w:color="auto"/>
                          </w:divBdr>
                          <w:divsChild>
                            <w:div w:id="1344816314">
                              <w:marLeft w:val="0"/>
                              <w:marRight w:val="0"/>
                              <w:marTop w:val="0"/>
                              <w:marBottom w:val="0"/>
                              <w:divBdr>
                                <w:top w:val="none" w:sz="0" w:space="0" w:color="auto"/>
                                <w:left w:val="none" w:sz="0" w:space="0" w:color="auto"/>
                                <w:bottom w:val="none" w:sz="0" w:space="0" w:color="auto"/>
                                <w:right w:val="none" w:sz="0" w:space="0" w:color="auto"/>
                              </w:divBdr>
                              <w:divsChild>
                                <w:div w:id="621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941602297">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humanrights.gov.au/sites/default/files/document/publication/alr_complete.pdf" TargetMode="External"/><Relationship Id="rId7" Type="http://schemas.openxmlformats.org/officeDocument/2006/relationships/hyperlink" Target="http://www.humanrights.gov.au/our-work/asylum-seekers-and-refugees/national-inquiry-children-immigration-detention-2014-1" TargetMode="External"/><Relationship Id="rId2" Type="http://schemas.openxmlformats.org/officeDocument/2006/relationships/hyperlink" Target="http://scep.sitespirit.nl/images/18/219.pdf" TargetMode="External"/><Relationship Id="rId1" Type="http://schemas.openxmlformats.org/officeDocument/2006/relationships/hyperlink" Target="http://www.refworld.org/docid/42dd174b4.html" TargetMode="External"/><Relationship Id="rId6" Type="http://schemas.openxmlformats.org/officeDocument/2006/relationships/hyperlink" Target="http://www.aph.gov.au/Parliamentary_Business/Committees/Joint/Former_Committees/immigrationdetention/report/index" TargetMode="External"/><Relationship Id="rId5" Type="http://schemas.openxmlformats.org/officeDocument/2006/relationships/hyperlink" Target="http://www2.ohchr.org/english/bodies/crc/docs/co/CRC_C_AUS_CO_4.pdf" TargetMode="External"/><Relationship Id="rId4" Type="http://schemas.openxmlformats.org/officeDocument/2006/relationships/hyperlink" Target="http://www.humanrights.gov.au/australian-human-rights-commission-submission-joint-select-committee-australia-s-immig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160;Gillian%20Triggs%20-%20Onlin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CC56-BC4E-4A56-9807-C855110D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Gillian Triggs - Online Letterhead.dotx</Template>
  <TotalTime>1</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Sarah Dillon</dc:creator>
  <cp:lastModifiedBy>Sarah Dillon</cp:lastModifiedBy>
  <cp:revision>3</cp:revision>
  <cp:lastPrinted>2015-02-13T00:45:00Z</cp:lastPrinted>
  <dcterms:created xsi:type="dcterms:W3CDTF">2015-02-13T00:44:00Z</dcterms:created>
  <dcterms:modified xsi:type="dcterms:W3CDTF">2015-02-13T00:45:00Z</dcterms:modified>
</cp:coreProperties>
</file>