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B0A85D" w14:textId="0FAD37DD" w:rsidR="008F01D8" w:rsidRDefault="003B54AD" w:rsidP="008F01D8">
      <w:pPr>
        <w:spacing w:before="360" w:after="360"/>
      </w:pPr>
      <w:r>
        <w:rPr>
          <w:rFonts w:ascii="Trebuchet MS" w:hAnsi="Trebuchet MS"/>
          <w:noProof/>
          <w:color w:val="339966"/>
          <w:sz w:val="20"/>
        </w:rPr>
        <mc:AlternateContent>
          <mc:Choice Requires="wps">
            <w:drawing>
              <wp:anchor distT="0" distB="0" distL="114300" distR="114300" simplePos="0" relativeHeight="251659264" behindDoc="0" locked="0" layoutInCell="1" allowOverlap="1" wp14:anchorId="65BCEFC3" wp14:editId="7E918F25">
                <wp:simplePos x="0" y="0"/>
                <wp:positionH relativeFrom="margin">
                  <wp:align>right</wp:align>
                </wp:positionH>
                <wp:positionV relativeFrom="paragraph">
                  <wp:posOffset>-1098014</wp:posOffset>
                </wp:positionV>
                <wp:extent cx="3174023" cy="720970"/>
                <wp:effectExtent l="38100" t="38100" r="45720" b="41275"/>
                <wp:wrapNone/>
                <wp:docPr id="2"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74023" cy="720970"/>
                        </a:xfrm>
                        <a:custGeom>
                          <a:avLst/>
                          <a:gdLst>
                            <a:gd name="G0" fmla="+- 42 0 0"/>
                            <a:gd name="G1" fmla="+- 21600 0 0"/>
                            <a:gd name="G2" fmla="+- 21600 0 0"/>
                            <a:gd name="T0" fmla="*/ 0 w 21642"/>
                            <a:gd name="T1" fmla="*/ 0 h 31982"/>
                            <a:gd name="T2" fmla="*/ 18983 w 21642"/>
                            <a:gd name="T3" fmla="*/ 31982 h 31982"/>
                            <a:gd name="T4" fmla="*/ 42 w 21642"/>
                            <a:gd name="T5" fmla="*/ 21600 h 31982"/>
                          </a:gdLst>
                          <a:ahLst/>
                          <a:cxnLst>
                            <a:cxn ang="0">
                              <a:pos x="T0" y="T1"/>
                            </a:cxn>
                            <a:cxn ang="0">
                              <a:pos x="T2" y="T3"/>
                            </a:cxn>
                            <a:cxn ang="0">
                              <a:pos x="T4" y="T5"/>
                            </a:cxn>
                          </a:cxnLst>
                          <a:rect l="0" t="0" r="r" b="b"/>
                          <a:pathLst>
                            <a:path w="21642" h="31982" fill="none" extrusionOk="0">
                              <a:moveTo>
                                <a:pt x="0" y="0"/>
                              </a:moveTo>
                              <a:cubicBezTo>
                                <a:pt x="14" y="0"/>
                                <a:pt x="28" y="-1"/>
                                <a:pt x="42" y="0"/>
                              </a:cubicBezTo>
                              <a:cubicBezTo>
                                <a:pt x="11971" y="0"/>
                                <a:pt x="21642" y="9670"/>
                                <a:pt x="21642" y="21600"/>
                              </a:cubicBezTo>
                              <a:cubicBezTo>
                                <a:pt x="21642" y="25229"/>
                                <a:pt x="20727" y="28799"/>
                                <a:pt x="18983" y="31982"/>
                              </a:cubicBezTo>
                            </a:path>
                            <a:path w="21642" h="31982" stroke="0" extrusionOk="0">
                              <a:moveTo>
                                <a:pt x="0" y="0"/>
                              </a:moveTo>
                              <a:cubicBezTo>
                                <a:pt x="14" y="0"/>
                                <a:pt x="28" y="-1"/>
                                <a:pt x="42" y="0"/>
                              </a:cubicBezTo>
                              <a:cubicBezTo>
                                <a:pt x="11971" y="0"/>
                                <a:pt x="21642" y="9670"/>
                                <a:pt x="21642" y="21600"/>
                              </a:cubicBezTo>
                              <a:cubicBezTo>
                                <a:pt x="21642" y="25229"/>
                                <a:pt x="20727" y="28799"/>
                                <a:pt x="18983" y="31982"/>
                              </a:cubicBezTo>
                              <a:lnTo>
                                <a:pt x="42" y="21600"/>
                              </a:lnTo>
                              <a:close/>
                            </a:path>
                          </a:pathLst>
                        </a:custGeom>
                        <a:noFill/>
                        <a:ln w="76200">
                          <a:solidFill>
                            <a:srgbClr val="FFFF99"/>
                          </a:solidFill>
                          <a:round/>
                          <a:headEnd/>
                          <a:tailEnd/>
                        </a:ln>
                        <a:extLst>
                          <a:ext uri="{909E8E84-426E-40DD-AFC4-6F175D3DCCD1}">
                            <a14:hiddenFill xmlns:a14="http://schemas.microsoft.com/office/drawing/2010/main">
                              <a:solidFill>
                                <a:srgbClr val="FFFFFF"/>
                              </a:solidFill>
                            </a14:hiddenFill>
                          </a:ext>
                        </a:extLst>
                      </wps:spPr>
                      <wps:txbx>
                        <w:txbxContent>
                          <w:p w14:paraId="2FFE3DCA" w14:textId="77777777" w:rsidR="003B54AD" w:rsidRPr="003B54AD" w:rsidRDefault="003B54AD" w:rsidP="003B54AD">
                            <w:pPr>
                              <w:pStyle w:val="Header"/>
                              <w:tabs>
                                <w:tab w:val="right" w:pos="15309"/>
                              </w:tabs>
                              <w:rPr>
                                <w:szCs w:val="22"/>
                              </w:rPr>
                            </w:pPr>
                            <w:r w:rsidRPr="003B54AD">
                              <w:rPr>
                                <w:rFonts w:ascii="Trebuchet MS" w:hAnsi="Trebuchet MS"/>
                                <w:color w:val="339966"/>
                                <w:szCs w:val="22"/>
                              </w:rPr>
                              <w:t>Australian Council of Human Rights Agencies</w:t>
                            </w:r>
                          </w:p>
                          <w:p w14:paraId="58BAD5ED" w14:textId="77777777" w:rsidR="003B54AD" w:rsidRDefault="003B54AD" w:rsidP="003B54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EFC3" id="Arc 11" o:spid="_x0000_s1026" style="position:absolute;margin-left:198.7pt;margin-top:-86.45pt;width:249.9pt;height:56.7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21642,319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" adj="-11796480,,5400" path="m,nfc14,,28,-1,42,,11971,,21642,9670,21642,21600v,3629,-915,7199,-2659,10382em,nsc14,,28,-1,42,,11971,,21642,9670,21642,21600v,3629,-915,7199,-2659,10382l42,21600,,xe" filled="f" strokecolor="#ff9" strokeweight="6pt">
                <v:stroke joinstyle="round"/>
                <v:formulas/>
                <v:path arrowok="t" o:extrusionok="f" o:connecttype="custom" o:connectlocs="0,0;2784053,720970;6160,486929" o:connectangles="0,0,0" textboxrect="0,0,21642,31982"/>
                <v:textbox>
                  <w:txbxContent>
                    <w:p w14:paraId="2FFE3DCA" w14:textId="77777777" w:rsidR="003B54AD" w:rsidRPr="003B54AD" w:rsidRDefault="003B54AD" w:rsidP="003B54AD">
                      <w:pPr>
                        <w:pStyle w:val="Header"/>
                        <w:tabs>
                          <w:tab w:val="right" w:pos="15309"/>
                        </w:tabs>
                        <w:rPr>
                          <w:szCs w:val="22"/>
                        </w:rPr>
                      </w:pPr>
                      <w:r w:rsidRPr="003B54AD">
                        <w:rPr>
                          <w:rFonts w:ascii="Trebuchet MS" w:hAnsi="Trebuchet MS"/>
                          <w:color w:val="339966"/>
                          <w:szCs w:val="22"/>
                        </w:rPr>
                        <w:t>Australian Council of Human Rights Agencies</w:t>
                      </w:r>
                    </w:p>
                    <w:p w14:paraId="58BAD5ED" w14:textId="77777777" w:rsidR="003B54AD" w:rsidRDefault="003B54AD" w:rsidP="003B54AD">
                      <w:pPr>
                        <w:jc w:val="center"/>
                      </w:pPr>
                    </w:p>
                  </w:txbxContent>
                </v:textbox>
                <w10:wrap anchorx="margin"/>
              </v:shape>
            </w:pict>
          </mc:Fallback>
        </mc:AlternateContent>
      </w:r>
      <w:r w:rsidR="003D4970">
        <w:t>21</w:t>
      </w:r>
      <w:r w:rsidR="00D01549">
        <w:t xml:space="preserve"> May </w:t>
      </w:r>
      <w:r w:rsidR="00DF2025">
        <w:t>2015</w:t>
      </w:r>
    </w:p>
    <w:p w14:paraId="0437C44A" w14:textId="69790600" w:rsidR="008F01D8" w:rsidRPr="00DF2025" w:rsidRDefault="00634E95" w:rsidP="00D01549">
      <w:pPr>
        <w:pStyle w:val="Heading1"/>
        <w:numPr>
          <w:ilvl w:val="0"/>
          <w:numId w:val="0"/>
        </w:numPr>
      </w:pPr>
      <w:r>
        <w:t>Submission to the Senate Community Affairs Legislation Committee Inquiry into the Social Services Legislation Amendment Bill 2015</w:t>
      </w:r>
    </w:p>
    <w:p w14:paraId="6A720FD1" w14:textId="50426A19" w:rsidR="00587582" w:rsidRDefault="00587582" w:rsidP="00587582">
      <w:pPr>
        <w:pStyle w:val="Heading1"/>
      </w:pPr>
      <w:r>
        <w:t>Introduction</w:t>
      </w:r>
    </w:p>
    <w:p w14:paraId="34D5A2F6" w14:textId="26D11C2C" w:rsidR="00E20799" w:rsidRPr="00E20799" w:rsidRDefault="00E20799" w:rsidP="00E20799">
      <w:r>
        <w:t xml:space="preserve">This submission </w:t>
      </w:r>
      <w:r w:rsidR="006B0842">
        <w:t xml:space="preserve">on the </w:t>
      </w:r>
      <w:r w:rsidR="006B0842" w:rsidRPr="006B0842">
        <w:t>Social Services Legislation Amendment Bill 2015</w:t>
      </w:r>
      <w:r w:rsidR="006B0842">
        <w:t xml:space="preserve"> </w:t>
      </w:r>
      <w:r>
        <w:t>is prepared by the Austral</w:t>
      </w:r>
      <w:r w:rsidR="00A164A0">
        <w:t xml:space="preserve">ian Human Rights Commission and </w:t>
      </w:r>
      <w:r w:rsidR="002523AA">
        <w:t xml:space="preserve">other </w:t>
      </w:r>
      <w:r w:rsidR="00D7436F">
        <w:t xml:space="preserve">members of the Australian Council of Human Rights </w:t>
      </w:r>
      <w:r w:rsidR="002523AA">
        <w:t xml:space="preserve">Authorities </w:t>
      </w:r>
      <w:r w:rsidR="00E25BED">
        <w:t>(ACHRA)</w:t>
      </w:r>
      <w:r w:rsidR="0009634F">
        <w:t xml:space="preserve"> including</w:t>
      </w:r>
      <w:r w:rsidR="006A0915">
        <w:t xml:space="preserve"> the</w:t>
      </w:r>
      <w:r w:rsidR="00A164A0">
        <w:t xml:space="preserve"> </w:t>
      </w:r>
      <w:r w:rsidR="00AF48E4">
        <w:t xml:space="preserve">Australian Capital Territory, </w:t>
      </w:r>
      <w:r w:rsidR="00A164A0">
        <w:t xml:space="preserve">South Australia, Victoria, Queensland, the Northern Territory, </w:t>
      </w:r>
      <w:r w:rsidR="0009634F">
        <w:t>Western Australia</w:t>
      </w:r>
      <w:r w:rsidR="00A164A0">
        <w:t xml:space="preserve"> and Tasmania.</w:t>
      </w:r>
    </w:p>
    <w:p w14:paraId="02D98FA3" w14:textId="77777777" w:rsidR="003C7008" w:rsidRDefault="00587582" w:rsidP="003C7008">
      <w:pPr>
        <w:pStyle w:val="Heading1"/>
        <w:rPr>
          <w:b w:val="0"/>
        </w:rPr>
      </w:pPr>
      <w:r>
        <w:t>Summary</w:t>
      </w:r>
      <w:r w:rsidR="00B32E99">
        <w:t xml:space="preserve"> </w:t>
      </w:r>
    </w:p>
    <w:p w14:paraId="6F6812A4" w14:textId="55830DBD" w:rsidR="006B17D2" w:rsidRDefault="006B17D2" w:rsidP="00DA2737">
      <w:r>
        <w:t>If the Bill is passed, forensic patients</w:t>
      </w:r>
      <w:r w:rsidR="007015CE">
        <w:rPr>
          <w:rStyle w:val="EndnoteReference"/>
        </w:rPr>
        <w:endnoteReference w:id="1"/>
      </w:r>
      <w:r>
        <w:t xml:space="preserve"> charged with a ‘serious offence’ will not receive financial support while in psychiatric confinement, until they enter ‘a period of integration back into the community’.</w:t>
      </w:r>
      <w:r>
        <w:rPr>
          <w:rStyle w:val="EndnoteReference"/>
        </w:rPr>
        <w:endnoteReference w:id="2"/>
      </w:r>
      <w:r>
        <w:t xml:space="preserve"> </w:t>
      </w:r>
    </w:p>
    <w:p w14:paraId="06A000CA" w14:textId="02985501" w:rsidR="00452CF6" w:rsidRDefault="00A72AEE" w:rsidP="00DA2737">
      <w:r>
        <w:t xml:space="preserve">Forensic patients are people </w:t>
      </w:r>
      <w:r w:rsidR="000D123D">
        <w:t>charged with an offence who</w:t>
      </w:r>
      <w:r>
        <w:t xml:space="preserve">, because of a </w:t>
      </w:r>
      <w:r w:rsidR="004B5861" w:rsidRPr="0070180B">
        <w:t>significant mental or intellectual impairment</w:t>
      </w:r>
      <w:r>
        <w:t xml:space="preserve">, are </w:t>
      </w:r>
      <w:r w:rsidR="00B81097">
        <w:t xml:space="preserve">detained </w:t>
      </w:r>
      <w:r w:rsidR="00735A2B">
        <w:t>while</w:t>
      </w:r>
      <w:r>
        <w:t xml:space="preserve"> be</w:t>
      </w:r>
      <w:r w:rsidR="00735A2B">
        <w:t>ing</w:t>
      </w:r>
      <w:r w:rsidR="009D7080">
        <w:t xml:space="preserve"> assessed for fitness to plea;</w:t>
      </w:r>
      <w:r>
        <w:t xml:space="preserve"> or</w:t>
      </w:r>
      <w:r w:rsidR="004B5861">
        <w:t xml:space="preserve"> after being found unfit</w:t>
      </w:r>
      <w:r w:rsidR="009D7080">
        <w:t xml:space="preserve"> to stand trial;</w:t>
      </w:r>
      <w:r w:rsidR="00735A2B">
        <w:t xml:space="preserve"> </w:t>
      </w:r>
      <w:r w:rsidR="004B5861">
        <w:t xml:space="preserve">or </w:t>
      </w:r>
      <w:r w:rsidR="00735A2B">
        <w:t xml:space="preserve">not guilty of the offence </w:t>
      </w:r>
      <w:r w:rsidR="004B5861">
        <w:t>b</w:t>
      </w:r>
      <w:r w:rsidR="00735A2B">
        <w:t>ecause of their mental impairment.</w:t>
      </w:r>
      <w:r w:rsidR="008C21FF">
        <w:t xml:space="preserve"> </w:t>
      </w:r>
      <w:r w:rsidR="008572AA">
        <w:t xml:space="preserve">The purpose of their confinement is treatment and rehabilitation, </w:t>
      </w:r>
      <w:r w:rsidR="008572AA" w:rsidRPr="004F5C17">
        <w:t>not punishment.</w:t>
      </w:r>
      <w:r w:rsidR="004F5C17" w:rsidRPr="004F5C17">
        <w:rPr>
          <w:rStyle w:val="EndnoteReference"/>
        </w:rPr>
        <w:t xml:space="preserve"> </w:t>
      </w:r>
      <w:r w:rsidR="004F5C17">
        <w:rPr>
          <w:rStyle w:val="EndnoteReference"/>
        </w:rPr>
        <w:endnoteReference w:id="3"/>
      </w:r>
      <w:r w:rsidR="008572AA" w:rsidRPr="009C290D">
        <w:rPr>
          <w:highlight w:val="yellow"/>
        </w:rPr>
        <w:t xml:space="preserve"> </w:t>
      </w:r>
    </w:p>
    <w:p w14:paraId="434AFC75" w14:textId="6DD155B3" w:rsidR="006B17D2" w:rsidRDefault="006B17D2" w:rsidP="00DA2737">
      <w:r>
        <w:t xml:space="preserve">The Commission and </w:t>
      </w:r>
      <w:r w:rsidR="002523AA">
        <w:t xml:space="preserve">other members of </w:t>
      </w:r>
      <w:r>
        <w:t>ACHRA are concerned that the measures proposed in the Bill</w:t>
      </w:r>
      <w:r w:rsidR="00C12ADB">
        <w:t xml:space="preserve"> have the effect of being punitive</w:t>
      </w:r>
      <w:r>
        <w:t xml:space="preserve">, and do not give adequate regard to </w:t>
      </w:r>
      <w:r w:rsidR="00E4682B">
        <w:t xml:space="preserve">the rights of </w:t>
      </w:r>
      <w:r>
        <w:t>forensic patients</w:t>
      </w:r>
      <w:r w:rsidR="000764AA">
        <w:t xml:space="preserve"> who are in psychiatric confinement</w:t>
      </w:r>
      <w:r>
        <w:t>. There are serious questions about the impact that removing financial support will have on the care and rehabilitation of forensic patients</w:t>
      </w:r>
      <w:r w:rsidR="0030007B">
        <w:t>.  This issue</w:t>
      </w:r>
      <w:r w:rsidR="00E017BC">
        <w:t xml:space="preserve"> </w:t>
      </w:r>
      <w:r w:rsidR="0030007B">
        <w:t>has</w:t>
      </w:r>
      <w:r>
        <w:t xml:space="preserve"> not been </w:t>
      </w:r>
      <w:r w:rsidR="00E017BC">
        <w:t xml:space="preserve">adequately </w:t>
      </w:r>
      <w:r>
        <w:t xml:space="preserve">addressed in the Explanatory Memorandum. </w:t>
      </w:r>
    </w:p>
    <w:p w14:paraId="2EC3DB63" w14:textId="77777777" w:rsidR="00587582" w:rsidRPr="00EE070E" w:rsidRDefault="00587582" w:rsidP="00587582">
      <w:pPr>
        <w:pStyle w:val="Heading1"/>
      </w:pPr>
      <w:r w:rsidRPr="00513774">
        <w:t xml:space="preserve">Relevant international </w:t>
      </w:r>
      <w:r>
        <w:t xml:space="preserve">human rights </w:t>
      </w:r>
      <w:r w:rsidRPr="00513774">
        <w:t>obligations</w:t>
      </w:r>
    </w:p>
    <w:p w14:paraId="2AC4385D" w14:textId="77777777" w:rsidR="002F4DC7" w:rsidRDefault="00CC58D5" w:rsidP="004F1BA4">
      <w:pPr>
        <w:pStyle w:val="ListParagraph"/>
        <w:ind w:left="0"/>
        <w:rPr>
          <w:rFonts w:cs="Arial"/>
          <w:color w:val="000000"/>
          <w:lang w:val="en"/>
        </w:rPr>
      </w:pPr>
      <w:r>
        <w:t>As Australia has ratified</w:t>
      </w:r>
      <w:r w:rsidR="004F1BA4">
        <w:t xml:space="preserve"> the </w:t>
      </w:r>
      <w:r w:rsidR="004F1BA4" w:rsidRPr="004F1BA4">
        <w:rPr>
          <w:i/>
        </w:rPr>
        <w:t>Convention on the Rights of Persons with Disabilities</w:t>
      </w:r>
      <w:r w:rsidR="002F4DC7">
        <w:rPr>
          <w:i/>
        </w:rPr>
        <w:t xml:space="preserve"> </w:t>
      </w:r>
      <w:r w:rsidR="002F4DC7" w:rsidRPr="002F4DC7">
        <w:t>(the Convention)</w:t>
      </w:r>
      <w:r w:rsidR="004F1BA4" w:rsidRPr="002F4DC7">
        <w:t>,</w:t>
      </w:r>
      <w:r w:rsidR="004F1BA4">
        <w:t xml:space="preserve"> </w:t>
      </w:r>
      <w:r>
        <w:t xml:space="preserve">it </w:t>
      </w:r>
      <w:r w:rsidR="00AE1C0C">
        <w:t xml:space="preserve">has </w:t>
      </w:r>
      <w:r w:rsidR="007B3A5B">
        <w:t>an obligation to en</w:t>
      </w:r>
      <w:r w:rsidR="004F1BA4">
        <w:t xml:space="preserve">sure that persons with disabilities </w:t>
      </w:r>
      <w:r w:rsidR="00045000">
        <w:t xml:space="preserve">enjoy </w:t>
      </w:r>
      <w:r w:rsidR="00F73DC3">
        <w:t xml:space="preserve">all </w:t>
      </w:r>
      <w:r w:rsidR="00045000">
        <w:t xml:space="preserve">their human rights without discrimination of any kind </w:t>
      </w:r>
      <w:r w:rsidR="00045000" w:rsidRPr="008A5325">
        <w:rPr>
          <w:rFonts w:cs="Arial"/>
        </w:rPr>
        <w:t>on the basis of disability.</w:t>
      </w:r>
      <w:r w:rsidR="00045000" w:rsidRPr="008A5325">
        <w:rPr>
          <w:rStyle w:val="EndnoteReference"/>
          <w:rFonts w:cs="Arial"/>
          <w:sz w:val="24"/>
        </w:rPr>
        <w:endnoteReference w:id="4"/>
      </w:r>
      <w:r w:rsidR="002D4EC3">
        <w:rPr>
          <w:rFonts w:cs="Arial"/>
        </w:rPr>
        <w:t xml:space="preserve"> It is also required</w:t>
      </w:r>
      <w:r w:rsidR="002F4DC7" w:rsidRPr="008A5325">
        <w:rPr>
          <w:rFonts w:cs="Arial"/>
        </w:rPr>
        <w:t xml:space="preserve"> to ‘take into account the protection and promotion of the human rights of persons with disabilities in all policies and programs’ and to ‘</w:t>
      </w:r>
      <w:r w:rsidR="002F4DC7" w:rsidRPr="008A5325">
        <w:rPr>
          <w:rFonts w:cs="Arial"/>
          <w:color w:val="000000"/>
          <w:lang w:val="en"/>
        </w:rPr>
        <w:t>refrain from engaging in any act or practice that is inconsistent with</w:t>
      </w:r>
      <w:r w:rsidR="00362D73">
        <w:rPr>
          <w:rFonts w:cs="Arial"/>
          <w:color w:val="000000"/>
          <w:lang w:val="en"/>
        </w:rPr>
        <w:t>’</w:t>
      </w:r>
      <w:r w:rsidR="002F4DC7" w:rsidRPr="008A5325">
        <w:rPr>
          <w:rFonts w:cs="Arial"/>
          <w:color w:val="000000"/>
          <w:lang w:val="en"/>
        </w:rPr>
        <w:t xml:space="preserve"> the</w:t>
      </w:r>
      <w:r w:rsidR="00362D73">
        <w:rPr>
          <w:rFonts w:cs="Arial"/>
          <w:color w:val="000000"/>
          <w:lang w:val="en"/>
        </w:rPr>
        <w:t xml:space="preserve"> </w:t>
      </w:r>
      <w:r w:rsidR="002F4DC7" w:rsidRPr="008A5325">
        <w:rPr>
          <w:rFonts w:cs="Arial"/>
          <w:color w:val="000000"/>
          <w:lang w:val="en"/>
        </w:rPr>
        <w:t>Convention.</w:t>
      </w:r>
      <w:r w:rsidR="002D4EC3">
        <w:rPr>
          <w:rStyle w:val="EndnoteReference"/>
          <w:rFonts w:cs="Arial"/>
          <w:color w:val="000000"/>
          <w:lang w:val="en"/>
        </w:rPr>
        <w:endnoteReference w:id="5"/>
      </w:r>
      <w:r w:rsidR="002F4DC7" w:rsidRPr="008A5325">
        <w:rPr>
          <w:rFonts w:cs="Arial"/>
          <w:color w:val="000000"/>
          <w:lang w:val="en"/>
        </w:rPr>
        <w:t xml:space="preserve"> </w:t>
      </w:r>
    </w:p>
    <w:p w14:paraId="44B301A1" w14:textId="2A1355F1" w:rsidR="008D0447" w:rsidRDefault="008D0447" w:rsidP="008D0447">
      <w:r>
        <w:lastRenderedPageBreak/>
        <w:t xml:space="preserve">The Convention </w:t>
      </w:r>
      <w:r w:rsidR="00C12ADB">
        <w:t xml:space="preserve">does not provide a comprehensive definition of disability, but provides that </w:t>
      </w:r>
      <w:r>
        <w:t>‘persons</w:t>
      </w:r>
      <w:r w:rsidR="00C12ADB">
        <w:t xml:space="preserve"> with disabilities’ include those</w:t>
      </w:r>
      <w:r>
        <w:t xml:space="preserve"> who have long-term mental impairm</w:t>
      </w:r>
      <w:r w:rsidR="002F67AF">
        <w:t>ents and intellectual impairments</w:t>
      </w:r>
      <w:r>
        <w:t>.  When a person’s impairment interacts with various barriers that restrict a person’s effective participation in society on an equal basis to others, they are considered to have disability.</w:t>
      </w:r>
      <w:r w:rsidR="00590159">
        <w:rPr>
          <w:rStyle w:val="EndnoteReference"/>
        </w:rPr>
        <w:endnoteReference w:id="6"/>
      </w:r>
      <w:r>
        <w:t xml:space="preserve"> </w:t>
      </w:r>
    </w:p>
    <w:p w14:paraId="0E2AB21A" w14:textId="5082241B" w:rsidR="00D41850" w:rsidRDefault="009C290D" w:rsidP="00736144">
      <w:r>
        <w:t>The National Mental Health Consumer and Carer Forum explain</w:t>
      </w:r>
      <w:r w:rsidR="002F72B8">
        <w:t>s</w:t>
      </w:r>
      <w:r>
        <w:t xml:space="preserve"> psychosocial disability as ‘the disability experience of people with impairments and participation restrictions related to mental health conditions’.</w:t>
      </w:r>
      <w:r>
        <w:rPr>
          <w:rStyle w:val="EndnoteReference"/>
        </w:rPr>
        <w:endnoteReference w:id="7"/>
      </w:r>
      <w:r w:rsidR="00DA3090">
        <w:t xml:space="preserve">  </w:t>
      </w:r>
      <w:r w:rsidR="0053053D">
        <w:t>Forensic patients</w:t>
      </w:r>
      <w:r w:rsidR="007D126C">
        <w:t>,</w:t>
      </w:r>
      <w:r w:rsidR="0053053D">
        <w:t xml:space="preserve"> </w:t>
      </w:r>
      <w:r w:rsidR="00D41C90">
        <w:t xml:space="preserve">the focus of this Bill, </w:t>
      </w:r>
      <w:r w:rsidR="008D0447">
        <w:t>have psychosocial disability, as they are unable to participate in the criminal justice syst</w:t>
      </w:r>
      <w:r w:rsidR="0053053D">
        <w:t xml:space="preserve">em on an equal basis as others </w:t>
      </w:r>
      <w:r w:rsidR="008D0447">
        <w:t>because of their</w:t>
      </w:r>
      <w:r w:rsidR="00DA3090">
        <w:t xml:space="preserve"> mental or intellectual</w:t>
      </w:r>
      <w:r w:rsidR="008D0447">
        <w:t xml:space="preserve"> </w:t>
      </w:r>
      <w:r w:rsidR="0053053D">
        <w:t>impairment</w:t>
      </w:r>
      <w:r w:rsidR="00BF0B74">
        <w:t>.</w:t>
      </w:r>
      <w:r w:rsidR="00C45782">
        <w:t xml:space="preserve"> </w:t>
      </w:r>
      <w:r w:rsidR="0066601B" w:rsidRPr="001F694C">
        <w:t>C</w:t>
      </w:r>
      <w:r w:rsidR="00F73E04" w:rsidRPr="001F694C">
        <w:t>hildren with psychosocial dis</w:t>
      </w:r>
      <w:r w:rsidR="002A6CE9" w:rsidRPr="001F694C">
        <w:t>ability</w:t>
      </w:r>
      <w:r w:rsidR="00F73E04" w:rsidRPr="001F694C">
        <w:t xml:space="preserve"> who become forensic patients have particularly complex needs</w:t>
      </w:r>
      <w:r w:rsidR="009F2569">
        <w:t xml:space="preserve"> and require special consideration</w:t>
      </w:r>
      <w:r w:rsidR="00F73E04" w:rsidRPr="001F694C">
        <w:t>.</w:t>
      </w:r>
      <w:r w:rsidR="00F73E04" w:rsidRPr="001F694C">
        <w:rPr>
          <w:rStyle w:val="EndnoteReference"/>
        </w:rPr>
        <w:endnoteReference w:id="8"/>
      </w:r>
      <w:r w:rsidR="00F73E04">
        <w:t xml:space="preserve">  </w:t>
      </w:r>
    </w:p>
    <w:p w14:paraId="3ED2E7C3" w14:textId="16FF42C6" w:rsidR="00FF3E57" w:rsidRPr="00DA3090" w:rsidRDefault="00AC0EE1" w:rsidP="00736144">
      <w:r>
        <w:rPr>
          <w:rFonts w:cs="Arial"/>
          <w:color w:val="000000"/>
          <w:lang w:val="en"/>
        </w:rPr>
        <w:t xml:space="preserve">Key human </w:t>
      </w:r>
      <w:r w:rsidR="009D5198">
        <w:rPr>
          <w:rFonts w:cs="Arial"/>
          <w:color w:val="000000"/>
          <w:lang w:val="en"/>
        </w:rPr>
        <w:t xml:space="preserve">rights under the Convention and other international treaties </w:t>
      </w:r>
      <w:r>
        <w:rPr>
          <w:rFonts w:cs="Arial"/>
          <w:color w:val="000000"/>
          <w:lang w:val="en"/>
        </w:rPr>
        <w:t>which are releva</w:t>
      </w:r>
      <w:r w:rsidR="00FF3E57">
        <w:rPr>
          <w:rFonts w:cs="Arial"/>
          <w:color w:val="000000"/>
          <w:lang w:val="en"/>
        </w:rPr>
        <w:t xml:space="preserve">nt to the situation of forensic patients </w:t>
      </w:r>
      <w:r w:rsidR="009D5198">
        <w:rPr>
          <w:rFonts w:cs="Arial"/>
          <w:color w:val="000000"/>
          <w:lang w:val="en"/>
        </w:rPr>
        <w:t>include:</w:t>
      </w:r>
    </w:p>
    <w:p w14:paraId="3C11FD14" w14:textId="77777777" w:rsidR="00390BB1" w:rsidRPr="00B57102" w:rsidRDefault="00AC0EE1" w:rsidP="0009634F">
      <w:pPr>
        <w:pStyle w:val="ListParagraph"/>
        <w:numPr>
          <w:ilvl w:val="0"/>
          <w:numId w:val="35"/>
        </w:numPr>
        <w:spacing w:before="0" w:after="120"/>
        <w:ind w:left="284" w:hanging="284"/>
        <w:contextualSpacing w:val="0"/>
        <w:rPr>
          <w:rFonts w:cs="Arial"/>
          <w:color w:val="000000"/>
          <w:lang w:val="en"/>
        </w:rPr>
      </w:pPr>
      <w:r>
        <w:rPr>
          <w:rFonts w:cs="Arial"/>
          <w:color w:val="000000"/>
          <w:lang w:val="en"/>
        </w:rPr>
        <w:t>the r</w:t>
      </w:r>
      <w:r w:rsidR="00390BB1">
        <w:rPr>
          <w:rFonts w:cs="Arial"/>
          <w:color w:val="000000"/>
          <w:lang w:val="en"/>
        </w:rPr>
        <w:t xml:space="preserve">ight </w:t>
      </w:r>
      <w:r w:rsidR="00890BAB">
        <w:rPr>
          <w:rFonts w:cs="Arial"/>
          <w:color w:val="000000"/>
          <w:lang w:val="en"/>
        </w:rPr>
        <w:t>of persons with disabilities to</w:t>
      </w:r>
      <w:r w:rsidR="00390BB1">
        <w:rPr>
          <w:rFonts w:cs="Arial"/>
          <w:color w:val="000000"/>
          <w:lang w:val="en"/>
        </w:rPr>
        <w:t xml:space="preserve"> access to justice</w:t>
      </w:r>
      <w:r w:rsidR="00CB644D">
        <w:rPr>
          <w:rFonts w:cs="Arial"/>
          <w:color w:val="000000"/>
          <w:lang w:val="en"/>
        </w:rPr>
        <w:t xml:space="preserve"> </w:t>
      </w:r>
      <w:r w:rsidR="00390BB1">
        <w:rPr>
          <w:rFonts w:cs="Arial"/>
          <w:color w:val="000000"/>
          <w:lang w:val="en"/>
        </w:rPr>
        <w:t>on an equal basis with others</w:t>
      </w:r>
      <w:r w:rsidR="00853B4D">
        <w:rPr>
          <w:rStyle w:val="EndnoteReference"/>
          <w:rFonts w:cs="Arial"/>
          <w:color w:val="000000"/>
          <w:lang w:val="en"/>
        </w:rPr>
        <w:endnoteReference w:id="9"/>
      </w:r>
      <w:r w:rsidR="00CB644D">
        <w:rPr>
          <w:rFonts w:cs="Arial"/>
          <w:color w:val="000000"/>
          <w:lang w:val="en"/>
        </w:rPr>
        <w:t xml:space="preserve"> </w:t>
      </w:r>
    </w:p>
    <w:p w14:paraId="1926CEEC" w14:textId="77777777" w:rsidR="00570B41" w:rsidRPr="00B57102" w:rsidRDefault="00CB644D" w:rsidP="0009634F">
      <w:pPr>
        <w:pStyle w:val="ListParagraph"/>
        <w:numPr>
          <w:ilvl w:val="0"/>
          <w:numId w:val="35"/>
        </w:numPr>
        <w:spacing w:before="0" w:after="120"/>
        <w:ind w:left="284" w:hanging="284"/>
        <w:contextualSpacing w:val="0"/>
        <w:rPr>
          <w:rFonts w:cs="Arial"/>
          <w:color w:val="000000"/>
          <w:lang w:val="en"/>
        </w:rPr>
      </w:pPr>
      <w:r>
        <w:rPr>
          <w:rFonts w:cs="Arial"/>
          <w:color w:val="000000"/>
          <w:lang w:val="en"/>
        </w:rPr>
        <w:t>t</w:t>
      </w:r>
      <w:r w:rsidR="00390BB1">
        <w:rPr>
          <w:rFonts w:cs="Arial"/>
          <w:color w:val="000000"/>
          <w:lang w:val="en"/>
        </w:rPr>
        <w:t xml:space="preserve">he right of persons with disabilities </w:t>
      </w:r>
      <w:r w:rsidR="00853B4D">
        <w:rPr>
          <w:rFonts w:cs="Arial"/>
          <w:color w:val="000000"/>
          <w:lang w:val="en"/>
        </w:rPr>
        <w:t xml:space="preserve">who are </w:t>
      </w:r>
      <w:r w:rsidR="00390BB1">
        <w:rPr>
          <w:rFonts w:cs="Arial"/>
          <w:color w:val="000000"/>
          <w:lang w:val="en"/>
        </w:rPr>
        <w:t xml:space="preserve">deprived of their liberty to </w:t>
      </w:r>
      <w:r w:rsidR="004D494F">
        <w:rPr>
          <w:rFonts w:cs="Arial"/>
          <w:color w:val="000000"/>
          <w:lang w:val="en"/>
        </w:rPr>
        <w:t>‘</w:t>
      </w:r>
      <w:r w:rsidR="00390BB1">
        <w:rPr>
          <w:rFonts w:cs="Arial"/>
          <w:color w:val="000000"/>
          <w:lang w:val="en"/>
        </w:rPr>
        <w:t>guarantees</w:t>
      </w:r>
      <w:r w:rsidR="00570B41">
        <w:rPr>
          <w:rFonts w:cs="Arial"/>
          <w:color w:val="000000"/>
          <w:lang w:val="en"/>
        </w:rPr>
        <w:t xml:space="preserve"> in accordance with international human rights law</w:t>
      </w:r>
      <w:r w:rsidR="004D494F">
        <w:rPr>
          <w:rFonts w:cs="Arial"/>
          <w:color w:val="000000"/>
          <w:lang w:val="en"/>
        </w:rPr>
        <w:t>’</w:t>
      </w:r>
      <w:r w:rsidR="00570B41">
        <w:rPr>
          <w:rFonts w:cs="Arial"/>
          <w:color w:val="000000"/>
          <w:lang w:val="en"/>
        </w:rPr>
        <w:t xml:space="preserve"> on an equal basis with others, </w:t>
      </w:r>
      <w:r w:rsidR="00B93BC3">
        <w:rPr>
          <w:rFonts w:cs="Arial"/>
          <w:color w:val="000000"/>
          <w:lang w:val="en"/>
        </w:rPr>
        <w:t>including</w:t>
      </w:r>
      <w:r w:rsidR="00570B41">
        <w:rPr>
          <w:rFonts w:cs="Arial"/>
          <w:color w:val="000000"/>
          <w:lang w:val="en"/>
        </w:rPr>
        <w:t xml:space="preserve"> the right to be presumed innocent until proven guilty</w:t>
      </w:r>
      <w:r w:rsidR="00853B4D">
        <w:rPr>
          <w:rStyle w:val="EndnoteReference"/>
          <w:rFonts w:cs="Arial"/>
          <w:color w:val="000000"/>
          <w:lang w:val="en"/>
        </w:rPr>
        <w:endnoteReference w:id="10"/>
      </w:r>
    </w:p>
    <w:p w14:paraId="00DCE15F" w14:textId="03AADB80" w:rsidR="00570B41" w:rsidRPr="00B57102" w:rsidRDefault="004D494F" w:rsidP="0009634F">
      <w:pPr>
        <w:pStyle w:val="ListParagraph"/>
        <w:numPr>
          <w:ilvl w:val="0"/>
          <w:numId w:val="35"/>
        </w:numPr>
        <w:spacing w:before="0" w:after="120"/>
        <w:ind w:left="284" w:hanging="284"/>
        <w:contextualSpacing w:val="0"/>
        <w:rPr>
          <w:rFonts w:cs="Arial"/>
          <w:color w:val="000000"/>
          <w:lang w:val="en"/>
        </w:rPr>
      </w:pPr>
      <w:r>
        <w:rPr>
          <w:rFonts w:cs="Arial"/>
          <w:color w:val="000000"/>
          <w:lang w:val="en"/>
        </w:rPr>
        <w:t>t</w:t>
      </w:r>
      <w:r w:rsidR="00570B41">
        <w:rPr>
          <w:rFonts w:cs="Arial"/>
          <w:color w:val="000000"/>
          <w:lang w:val="en"/>
        </w:rPr>
        <w:t xml:space="preserve">he right to the enjoyment of the highest attainable standard of </w:t>
      </w:r>
      <w:r w:rsidR="0087650A">
        <w:rPr>
          <w:rFonts w:cs="Arial"/>
          <w:color w:val="000000"/>
          <w:lang w:val="en"/>
        </w:rPr>
        <w:t xml:space="preserve">physical and mental </w:t>
      </w:r>
      <w:r w:rsidR="00570B41">
        <w:rPr>
          <w:rFonts w:cs="Arial"/>
          <w:color w:val="000000"/>
          <w:lang w:val="en"/>
        </w:rPr>
        <w:t xml:space="preserve">health, including </w:t>
      </w:r>
      <w:r w:rsidR="00957A2B">
        <w:rPr>
          <w:rFonts w:cs="Arial"/>
          <w:color w:val="000000"/>
          <w:lang w:val="en"/>
        </w:rPr>
        <w:t xml:space="preserve">access to </w:t>
      </w:r>
      <w:r w:rsidR="00570B41">
        <w:rPr>
          <w:rFonts w:cs="Arial"/>
          <w:color w:val="000000"/>
          <w:lang w:val="en"/>
        </w:rPr>
        <w:t xml:space="preserve">health services needed specifically because of their disabilities, and </w:t>
      </w:r>
      <w:r>
        <w:rPr>
          <w:rFonts w:cs="Arial"/>
          <w:color w:val="000000"/>
          <w:lang w:val="en"/>
        </w:rPr>
        <w:t xml:space="preserve">the </w:t>
      </w:r>
      <w:r w:rsidR="00EC54D5">
        <w:rPr>
          <w:rFonts w:cs="Arial"/>
          <w:color w:val="000000"/>
          <w:lang w:val="en"/>
        </w:rPr>
        <w:t>right to rehabilitation</w:t>
      </w:r>
      <w:r>
        <w:rPr>
          <w:rStyle w:val="EndnoteReference"/>
          <w:rFonts w:cs="Arial"/>
          <w:color w:val="000000"/>
          <w:lang w:val="en"/>
        </w:rPr>
        <w:endnoteReference w:id="11"/>
      </w:r>
    </w:p>
    <w:p w14:paraId="34BE9E61" w14:textId="77777777" w:rsidR="00D41953" w:rsidRPr="00FF3E57" w:rsidRDefault="00B8405E" w:rsidP="0009634F">
      <w:pPr>
        <w:pStyle w:val="ListParagraph"/>
        <w:numPr>
          <w:ilvl w:val="0"/>
          <w:numId w:val="35"/>
        </w:numPr>
        <w:spacing w:before="0" w:after="120"/>
        <w:ind w:left="284" w:hanging="284"/>
        <w:contextualSpacing w:val="0"/>
        <w:rPr>
          <w:rFonts w:cs="Arial"/>
          <w:color w:val="000000"/>
          <w:lang w:val="en"/>
        </w:rPr>
      </w:pPr>
      <w:r>
        <w:rPr>
          <w:rFonts w:cs="Arial"/>
          <w:color w:val="000000"/>
          <w:lang w:val="en"/>
        </w:rPr>
        <w:t>the r</w:t>
      </w:r>
      <w:r w:rsidR="00EC54D5">
        <w:rPr>
          <w:rFonts w:cs="Arial"/>
          <w:color w:val="000000"/>
          <w:lang w:val="en"/>
        </w:rPr>
        <w:t xml:space="preserve">ight to an adequate standard of living for themselves and their families, and </w:t>
      </w:r>
      <w:r>
        <w:rPr>
          <w:rFonts w:cs="Arial"/>
          <w:color w:val="000000"/>
          <w:lang w:val="en"/>
        </w:rPr>
        <w:t xml:space="preserve">their </w:t>
      </w:r>
      <w:r w:rsidR="00EC54D5">
        <w:rPr>
          <w:rFonts w:cs="Arial"/>
          <w:color w:val="000000"/>
          <w:lang w:val="en"/>
        </w:rPr>
        <w:t xml:space="preserve">right to </w:t>
      </w:r>
      <w:r w:rsidR="00EC54D5" w:rsidRPr="00B8405E">
        <w:rPr>
          <w:rFonts w:cs="Arial"/>
          <w:color w:val="000000"/>
          <w:lang w:val="en"/>
        </w:rPr>
        <w:t>social protection</w:t>
      </w:r>
      <w:r w:rsidR="00777C87">
        <w:rPr>
          <w:rFonts w:cs="Arial"/>
          <w:color w:val="000000"/>
          <w:lang w:val="en"/>
        </w:rPr>
        <w:t xml:space="preserve"> (including social security)</w:t>
      </w:r>
      <w:r w:rsidR="00EC54D5" w:rsidRPr="00B8405E">
        <w:rPr>
          <w:rFonts w:cs="Arial"/>
          <w:color w:val="000000"/>
          <w:lang w:val="en"/>
        </w:rPr>
        <w:t>, without</w:t>
      </w:r>
      <w:r w:rsidR="00EC54D5">
        <w:rPr>
          <w:rFonts w:cs="Arial"/>
          <w:color w:val="000000"/>
          <w:lang w:val="en"/>
        </w:rPr>
        <w:t xml:space="preserve"> discrimination on the basis of disability</w:t>
      </w:r>
      <w:r>
        <w:rPr>
          <w:rStyle w:val="EndnoteReference"/>
          <w:rFonts w:cs="Arial"/>
          <w:color w:val="000000"/>
          <w:lang w:val="en"/>
        </w:rPr>
        <w:endnoteReference w:id="12"/>
      </w:r>
      <w:r w:rsidR="00570B41">
        <w:rPr>
          <w:rFonts w:cs="Arial"/>
          <w:color w:val="000000"/>
          <w:lang w:val="en"/>
        </w:rPr>
        <w:t xml:space="preserve"> </w:t>
      </w:r>
      <w:r w:rsidR="009C1064">
        <w:rPr>
          <w:rFonts w:cs="Arial"/>
          <w:color w:val="000000"/>
          <w:lang w:val="en"/>
        </w:rPr>
        <w:t xml:space="preserve">  </w:t>
      </w:r>
    </w:p>
    <w:p w14:paraId="0FCEB0CE" w14:textId="77777777" w:rsidR="00587582" w:rsidRDefault="00FA7A94" w:rsidP="00587582">
      <w:pPr>
        <w:pStyle w:val="Heading1"/>
      </w:pPr>
      <w:r>
        <w:t>Forensic patients are different from prisoners</w:t>
      </w:r>
    </w:p>
    <w:p w14:paraId="4D1A41CA" w14:textId="49021E06" w:rsidR="00B14AE0" w:rsidRDefault="00C91A63" w:rsidP="00B14AE0">
      <w:pPr>
        <w:pStyle w:val="ListParagraph"/>
        <w:spacing w:before="0" w:after="0"/>
        <w:ind w:left="0"/>
        <w:contextualSpacing w:val="0"/>
      </w:pPr>
      <w:r>
        <w:t>T</w:t>
      </w:r>
      <w:r w:rsidR="00C20881">
        <w:t xml:space="preserve">he </w:t>
      </w:r>
      <w:r w:rsidR="00957A2B">
        <w:t xml:space="preserve">Bill’s Statement of Compatibility with Human Rights </w:t>
      </w:r>
      <w:r w:rsidR="00BF3117">
        <w:t>s</w:t>
      </w:r>
      <w:r>
        <w:t>tates</w:t>
      </w:r>
      <w:r w:rsidR="00C20881">
        <w:t xml:space="preserve"> that</w:t>
      </w:r>
      <w:r w:rsidR="00BA1D25">
        <w:t xml:space="preserve"> one of</w:t>
      </w:r>
      <w:r w:rsidR="00C20881">
        <w:t xml:space="preserve"> the effect</w:t>
      </w:r>
      <w:r w:rsidR="00BA1D25">
        <w:t>s</w:t>
      </w:r>
      <w:r w:rsidR="00C20881">
        <w:t xml:space="preserve"> of the Bill is</w:t>
      </w:r>
      <w:r w:rsidR="00BF3117">
        <w:t xml:space="preserve"> </w:t>
      </w:r>
      <w:r w:rsidR="004841C6">
        <w:t>to treat</w:t>
      </w:r>
      <w:r w:rsidR="00FF3E57">
        <w:t xml:space="preserve"> forensic patients who have been </w:t>
      </w:r>
      <w:r w:rsidR="00BF3117">
        <w:t xml:space="preserve">charged with a serious offence </w:t>
      </w:r>
      <w:r w:rsidR="00C20881">
        <w:t>the same way as</w:t>
      </w:r>
      <w:r w:rsidR="00BF3117">
        <w:t xml:space="preserve"> </w:t>
      </w:r>
      <w:r w:rsidR="00531264">
        <w:t>persons in gaol who have been convicted</w:t>
      </w:r>
      <w:r w:rsidR="004E0725">
        <w:t xml:space="preserve"> of an offence</w:t>
      </w:r>
      <w:r w:rsidR="004841C6">
        <w:t xml:space="preserve"> are treated</w:t>
      </w:r>
      <w:r w:rsidR="00531264">
        <w:t>.</w:t>
      </w:r>
      <w:r w:rsidR="00531264">
        <w:rPr>
          <w:rStyle w:val="EndnoteReference"/>
        </w:rPr>
        <w:endnoteReference w:id="13"/>
      </w:r>
      <w:r w:rsidR="00DC611B">
        <w:t xml:space="preserve"> </w:t>
      </w:r>
      <w:r w:rsidR="00531264">
        <w:t xml:space="preserve">However, </w:t>
      </w:r>
      <w:r w:rsidR="00FF3E57" w:rsidRPr="008E3BA3">
        <w:rPr>
          <w:b/>
        </w:rPr>
        <w:t xml:space="preserve">forensic patients </w:t>
      </w:r>
      <w:r w:rsidR="00341CDE" w:rsidRPr="008E3BA3">
        <w:rPr>
          <w:b/>
        </w:rPr>
        <w:t xml:space="preserve">are in a </w:t>
      </w:r>
      <w:r w:rsidR="00FF692F" w:rsidRPr="008E3BA3">
        <w:rPr>
          <w:b/>
        </w:rPr>
        <w:t xml:space="preserve">fundamentally different </w:t>
      </w:r>
      <w:r w:rsidR="0006130C" w:rsidRPr="008E3BA3">
        <w:rPr>
          <w:b/>
        </w:rPr>
        <w:t>situation</w:t>
      </w:r>
      <w:r w:rsidR="0006130C">
        <w:t xml:space="preserve"> to </w:t>
      </w:r>
      <w:r w:rsidR="00341CDE">
        <w:t xml:space="preserve">persons who have </w:t>
      </w:r>
      <w:r w:rsidR="0006130C">
        <w:t>been found guilty of an offence.</w:t>
      </w:r>
      <w:r w:rsidR="00341CDE">
        <w:t xml:space="preserve"> </w:t>
      </w:r>
    </w:p>
    <w:p w14:paraId="4CAE5476" w14:textId="77777777" w:rsidR="00B14AE0" w:rsidRDefault="00B14AE0" w:rsidP="00B14AE0">
      <w:pPr>
        <w:pStyle w:val="ListParagraph"/>
        <w:spacing w:before="0" w:after="0"/>
        <w:ind w:left="0"/>
        <w:contextualSpacing w:val="0"/>
      </w:pPr>
    </w:p>
    <w:p w14:paraId="442B6927" w14:textId="77777777" w:rsidR="00493EC1" w:rsidRDefault="00445DEA" w:rsidP="00B14AE0">
      <w:pPr>
        <w:pStyle w:val="ListParagraph"/>
        <w:spacing w:before="0" w:after="0"/>
        <w:ind w:left="0"/>
        <w:contextualSpacing w:val="0"/>
      </w:pPr>
      <w:r>
        <w:t>A person is</w:t>
      </w:r>
      <w:r w:rsidR="00D52667" w:rsidRPr="00D675E0">
        <w:t xml:space="preserve"> placed in psychiatric confinement </w:t>
      </w:r>
      <w:r w:rsidR="00A0602A" w:rsidRPr="00D675E0">
        <w:t xml:space="preserve">in a secure mental health facility, or (in some jurisdictions) </w:t>
      </w:r>
      <w:r w:rsidR="00D52667" w:rsidRPr="00D675E0">
        <w:t>in a prison</w:t>
      </w:r>
      <w:r>
        <w:t>,</w:t>
      </w:r>
      <w:r w:rsidR="00D52667" w:rsidRPr="00D675E0">
        <w:t xml:space="preserve"> if a court </w:t>
      </w:r>
      <w:r w:rsidR="00D54A56" w:rsidRPr="00D675E0">
        <w:t>find</w:t>
      </w:r>
      <w:r w:rsidR="00D52667" w:rsidRPr="00D675E0">
        <w:t xml:space="preserve">s </w:t>
      </w:r>
      <w:r w:rsidR="00D54A56" w:rsidRPr="00D675E0">
        <w:t xml:space="preserve">that, because of their mental </w:t>
      </w:r>
      <w:r w:rsidR="00AE1C0C" w:rsidRPr="00D675E0">
        <w:t xml:space="preserve">or intellectual </w:t>
      </w:r>
      <w:r w:rsidR="00D54A56" w:rsidRPr="00D675E0">
        <w:t>impairment,</w:t>
      </w:r>
      <w:r w:rsidR="00493EC1" w:rsidRPr="00D675E0">
        <w:t xml:space="preserve"> the</w:t>
      </w:r>
      <w:r>
        <w:t xml:space="preserve"> person charged </w:t>
      </w:r>
      <w:r w:rsidR="00D54A56" w:rsidRPr="00D675E0">
        <w:t>either:</w:t>
      </w:r>
    </w:p>
    <w:p w14:paraId="59B169AA" w14:textId="77777777" w:rsidR="00D41850" w:rsidRPr="00D675E0" w:rsidRDefault="00D41850" w:rsidP="00B14AE0">
      <w:pPr>
        <w:pStyle w:val="ListParagraph"/>
        <w:spacing w:before="0" w:after="0"/>
        <w:ind w:left="0"/>
        <w:contextualSpacing w:val="0"/>
      </w:pPr>
    </w:p>
    <w:p w14:paraId="506DC583" w14:textId="77777777" w:rsidR="00D54A56" w:rsidRPr="00D675E0" w:rsidRDefault="00445DEA">
      <w:pPr>
        <w:pStyle w:val="ListParagraph"/>
        <w:numPr>
          <w:ilvl w:val="0"/>
          <w:numId w:val="35"/>
        </w:numPr>
        <w:spacing w:before="0" w:after="120"/>
        <w:ind w:left="568" w:hanging="284"/>
        <w:contextualSpacing w:val="0"/>
      </w:pPr>
      <w:r>
        <w:t xml:space="preserve">is </w:t>
      </w:r>
      <w:r w:rsidR="00D54A56" w:rsidRPr="00D675E0">
        <w:t xml:space="preserve">not able to participate in criminal proceedings (in the case of unfitness to stand </w:t>
      </w:r>
      <w:r w:rsidR="00D54A56" w:rsidRPr="00D675E0">
        <w:rPr>
          <w:rFonts w:cs="Arial"/>
          <w:color w:val="000000"/>
          <w:lang w:val="en"/>
        </w:rPr>
        <w:t>trial</w:t>
      </w:r>
      <w:r w:rsidR="00D54A56" w:rsidRPr="00D675E0">
        <w:t xml:space="preserve">) or </w:t>
      </w:r>
    </w:p>
    <w:p w14:paraId="1E3F0790" w14:textId="77777777" w:rsidR="00D54A56" w:rsidRPr="00D675E0" w:rsidRDefault="00D54A56">
      <w:pPr>
        <w:pStyle w:val="ListParagraph"/>
        <w:numPr>
          <w:ilvl w:val="0"/>
          <w:numId w:val="35"/>
        </w:numPr>
        <w:spacing w:before="0" w:after="120"/>
        <w:ind w:left="568" w:hanging="284"/>
        <w:contextualSpacing w:val="0"/>
      </w:pPr>
      <w:proofErr w:type="gramStart"/>
      <w:r w:rsidRPr="00D675E0">
        <w:t>should</w:t>
      </w:r>
      <w:proofErr w:type="gramEnd"/>
      <w:r w:rsidRPr="00D675E0">
        <w:t xml:space="preserve"> not be </w:t>
      </w:r>
      <w:r w:rsidRPr="00D675E0">
        <w:rPr>
          <w:rFonts w:cs="Arial"/>
          <w:color w:val="000000"/>
          <w:lang w:val="en"/>
        </w:rPr>
        <w:t>held</w:t>
      </w:r>
      <w:r w:rsidRPr="00D675E0">
        <w:t xml:space="preserve"> legally responsible for the crime committed (in the case of a finding of not guilty by reason of mental impairment). </w:t>
      </w:r>
    </w:p>
    <w:p w14:paraId="3F680C92" w14:textId="4F6151F6" w:rsidR="002523AA" w:rsidRDefault="00363FC4" w:rsidP="003114A9">
      <w:pPr>
        <w:pStyle w:val="ListParagraph"/>
        <w:ind w:left="0"/>
      </w:pPr>
      <w:r>
        <w:t>T</w:t>
      </w:r>
      <w:r w:rsidR="004A088F">
        <w:t>he</w:t>
      </w:r>
      <w:r w:rsidR="006D43A9">
        <w:t xml:space="preserve"> </w:t>
      </w:r>
      <w:r w:rsidR="00BB7893">
        <w:t>purpose of the</w:t>
      </w:r>
      <w:r w:rsidR="00E23DFD">
        <w:t xml:space="preserve"> </w:t>
      </w:r>
      <w:r>
        <w:t>psychiatric confinement</w:t>
      </w:r>
      <w:r w:rsidR="00E23DFD">
        <w:t xml:space="preserve"> </w:t>
      </w:r>
      <w:r w:rsidR="00BB7893">
        <w:t xml:space="preserve">of forensic patients </w:t>
      </w:r>
      <w:r w:rsidR="00E23DFD">
        <w:t xml:space="preserve">is </w:t>
      </w:r>
      <w:r w:rsidR="004155B4">
        <w:t xml:space="preserve">therefore </w:t>
      </w:r>
      <w:r w:rsidR="00E23DFD">
        <w:t xml:space="preserve">different from </w:t>
      </w:r>
      <w:r w:rsidR="00062CBA">
        <w:t>a sentence of imprisonment</w:t>
      </w:r>
      <w:r w:rsidR="00BB7893">
        <w:t xml:space="preserve">. Imprisonment </w:t>
      </w:r>
      <w:r w:rsidR="00E05D8A">
        <w:t xml:space="preserve">is </w:t>
      </w:r>
      <w:r w:rsidR="006C4E42">
        <w:t xml:space="preserve">imposed </w:t>
      </w:r>
      <w:r w:rsidR="00E05D8A">
        <w:t xml:space="preserve">(in part) </w:t>
      </w:r>
      <w:r w:rsidR="006C4E42">
        <w:t xml:space="preserve">as a form of punishment on a person who has been </w:t>
      </w:r>
      <w:r w:rsidR="008E3BA3">
        <w:t>convicted</w:t>
      </w:r>
      <w:r w:rsidR="00331342">
        <w:t xml:space="preserve"> </w:t>
      </w:r>
      <w:r w:rsidR="006C4E42">
        <w:t>of an offence</w:t>
      </w:r>
      <w:r w:rsidR="00711A32">
        <w:t xml:space="preserve">. </w:t>
      </w:r>
    </w:p>
    <w:p w14:paraId="15B70785" w14:textId="77777777" w:rsidR="002523AA" w:rsidRDefault="002523AA" w:rsidP="003114A9">
      <w:pPr>
        <w:pStyle w:val="ListParagraph"/>
        <w:ind w:left="0"/>
      </w:pPr>
    </w:p>
    <w:p w14:paraId="29A841EC" w14:textId="78363A6A" w:rsidR="003C2A26" w:rsidRDefault="00E05D8A" w:rsidP="003114A9">
      <w:pPr>
        <w:pStyle w:val="ListParagraph"/>
        <w:ind w:left="0"/>
      </w:pPr>
      <w:r>
        <w:t xml:space="preserve">Forensic patients </w:t>
      </w:r>
      <w:r w:rsidR="00097D23">
        <w:t xml:space="preserve">have not been </w:t>
      </w:r>
      <w:r w:rsidR="008E3BA3">
        <w:t>found to be</w:t>
      </w:r>
      <w:r w:rsidR="00097D23">
        <w:t xml:space="preserve"> guilty</w:t>
      </w:r>
      <w:r w:rsidR="004155B4">
        <w:t xml:space="preserve"> of an offence</w:t>
      </w:r>
      <w:r w:rsidR="00097D23">
        <w:t xml:space="preserve"> </w:t>
      </w:r>
      <w:r w:rsidR="00BC20D7">
        <w:t xml:space="preserve">and therefore are not </w:t>
      </w:r>
      <w:r w:rsidR="004A088F">
        <w:t>appropriate</w:t>
      </w:r>
      <w:r w:rsidR="00171324">
        <w:t xml:space="preserve"> subject</w:t>
      </w:r>
      <w:r w:rsidR="00BC20D7">
        <w:t>s</w:t>
      </w:r>
      <w:r w:rsidR="00171324">
        <w:t xml:space="preserve"> for punishment.</w:t>
      </w:r>
      <w:r w:rsidR="006C2EE3">
        <w:rPr>
          <w:rStyle w:val="EndnoteReference"/>
        </w:rPr>
        <w:endnoteReference w:id="14"/>
      </w:r>
      <w:r w:rsidR="00171324">
        <w:t xml:space="preserve"> </w:t>
      </w:r>
      <w:r w:rsidR="004A088F">
        <w:t xml:space="preserve"> </w:t>
      </w:r>
      <w:r w:rsidR="00496B88" w:rsidRPr="00F73FF0">
        <w:rPr>
          <w:b/>
        </w:rPr>
        <w:t>The purpose of their psychiatric confinement is not punishment, but treatment</w:t>
      </w:r>
      <w:r w:rsidR="00F935D0" w:rsidRPr="00F73FF0">
        <w:rPr>
          <w:b/>
        </w:rPr>
        <w:t xml:space="preserve"> and rehabilitation</w:t>
      </w:r>
      <w:r w:rsidR="00D87C4E" w:rsidRPr="00F73FF0">
        <w:rPr>
          <w:b/>
        </w:rPr>
        <w:t>,</w:t>
      </w:r>
      <w:r w:rsidR="00496B88" w:rsidRPr="00F73FF0">
        <w:rPr>
          <w:b/>
        </w:rPr>
        <w:t xml:space="preserve"> </w:t>
      </w:r>
      <w:r w:rsidR="00097A6E" w:rsidRPr="00F73FF0">
        <w:rPr>
          <w:b/>
        </w:rPr>
        <w:t>and</w:t>
      </w:r>
      <w:r w:rsidR="00C47D8F" w:rsidRPr="00F73FF0">
        <w:rPr>
          <w:b/>
        </w:rPr>
        <w:t xml:space="preserve"> </w:t>
      </w:r>
      <w:r w:rsidR="00097A6E" w:rsidRPr="00F73FF0">
        <w:rPr>
          <w:b/>
        </w:rPr>
        <w:t xml:space="preserve">protection of the </w:t>
      </w:r>
      <w:r w:rsidR="008F4D38" w:rsidRPr="00F73FF0">
        <w:rPr>
          <w:b/>
        </w:rPr>
        <w:t xml:space="preserve">individual and the </w:t>
      </w:r>
      <w:r w:rsidR="00097A6E" w:rsidRPr="00F73FF0">
        <w:rPr>
          <w:b/>
        </w:rPr>
        <w:t>community</w:t>
      </w:r>
      <w:r w:rsidR="00496B88">
        <w:t>.</w:t>
      </w:r>
      <w:r w:rsidR="00370668">
        <w:rPr>
          <w:rStyle w:val="EndnoteReference"/>
        </w:rPr>
        <w:endnoteReference w:id="15"/>
      </w:r>
    </w:p>
    <w:p w14:paraId="36F5D4F3" w14:textId="77777777" w:rsidR="00341CDE" w:rsidRDefault="00341CDE" w:rsidP="003114A9">
      <w:pPr>
        <w:pStyle w:val="ListParagraph"/>
        <w:ind w:left="0"/>
      </w:pPr>
    </w:p>
    <w:p w14:paraId="0FF73C6E" w14:textId="6D736244" w:rsidR="00587582" w:rsidRDefault="00E63668" w:rsidP="00493EC1">
      <w:pPr>
        <w:pStyle w:val="ListParagraph"/>
        <w:ind w:left="0"/>
      </w:pPr>
      <w:r>
        <w:t xml:space="preserve">The </w:t>
      </w:r>
      <w:r w:rsidR="00957A2B">
        <w:t xml:space="preserve">Statement of Compatibility with Human Rights </w:t>
      </w:r>
      <w:r w:rsidR="000115C9">
        <w:t>does not</w:t>
      </w:r>
      <w:r>
        <w:t xml:space="preserve"> acknowledge this </w:t>
      </w:r>
      <w:r w:rsidR="000C5400">
        <w:t>important distinction</w:t>
      </w:r>
      <w:r>
        <w:t xml:space="preserve">. </w:t>
      </w:r>
      <w:r w:rsidR="00BA1D25">
        <w:t>P</w:t>
      </w:r>
      <w:r>
        <w:t>sychiatric con</w:t>
      </w:r>
      <w:r w:rsidR="00E6414F">
        <w:t>finement is, by its nature,</w:t>
      </w:r>
      <w:r>
        <w:t xml:space="preserve"> </w:t>
      </w:r>
      <w:r w:rsidR="008F32E8">
        <w:t>imposed</w:t>
      </w:r>
      <w:r w:rsidR="00983887">
        <w:t xml:space="preserve"> on persons with </w:t>
      </w:r>
      <w:r w:rsidR="00615F25">
        <w:t>psychosocial disability</w:t>
      </w:r>
      <w:r w:rsidR="00E6414F">
        <w:t>, or those undergoing assessment for psychosocial disability</w:t>
      </w:r>
      <w:r w:rsidR="00811D29">
        <w:t>.</w:t>
      </w:r>
      <w:r w:rsidR="00E6414F">
        <w:rPr>
          <w:rStyle w:val="EndnoteReference"/>
        </w:rPr>
        <w:endnoteReference w:id="16"/>
      </w:r>
      <w:r w:rsidR="00811D29">
        <w:t xml:space="preserve"> </w:t>
      </w:r>
      <w:r>
        <w:t xml:space="preserve"> </w:t>
      </w:r>
      <w:r w:rsidR="007E3F51">
        <w:t xml:space="preserve">Persons who do not have a </w:t>
      </w:r>
      <w:r w:rsidR="007E3F51" w:rsidRPr="00DE78E8">
        <w:t>m</w:t>
      </w:r>
      <w:r w:rsidR="00983887" w:rsidRPr="00DE78E8">
        <w:t>ental or intellectual impairment</w:t>
      </w:r>
      <w:r w:rsidR="007E3F51">
        <w:t xml:space="preserve"> are </w:t>
      </w:r>
      <w:r w:rsidR="00957A2B">
        <w:t xml:space="preserve">generally </w:t>
      </w:r>
      <w:r w:rsidR="007E3F51">
        <w:t xml:space="preserve">not detained if they </w:t>
      </w:r>
      <w:r w:rsidR="0009634F">
        <w:t xml:space="preserve">are </w:t>
      </w:r>
      <w:r w:rsidR="001B175D">
        <w:t xml:space="preserve">not </w:t>
      </w:r>
      <w:r w:rsidR="00CA18C2">
        <w:t xml:space="preserve">proven guilty </w:t>
      </w:r>
      <w:r w:rsidR="007E3F51">
        <w:t xml:space="preserve">of </w:t>
      </w:r>
      <w:r w:rsidR="0009634F">
        <w:t>an</w:t>
      </w:r>
      <w:r w:rsidR="007E3F51">
        <w:t xml:space="preserve"> offence.</w:t>
      </w:r>
      <w:r w:rsidR="00D675E0">
        <w:t xml:space="preserve"> </w:t>
      </w:r>
    </w:p>
    <w:p w14:paraId="1A9D55EE" w14:textId="77777777" w:rsidR="00F73FF0" w:rsidRDefault="00F73FF0" w:rsidP="00F73FF0">
      <w:pPr>
        <w:pStyle w:val="ListParagraph"/>
        <w:ind w:left="0"/>
      </w:pPr>
    </w:p>
    <w:p w14:paraId="04A3690F" w14:textId="59F9CEC8" w:rsidR="00F73FF0" w:rsidRPr="001F694C" w:rsidRDefault="00F73FF0" w:rsidP="00F73FF0">
      <w:pPr>
        <w:pStyle w:val="ListParagraph"/>
        <w:ind w:left="0"/>
      </w:pPr>
      <w:r w:rsidRPr="001F694C">
        <w:t>The U</w:t>
      </w:r>
      <w:r w:rsidR="004B3E81">
        <w:t xml:space="preserve">nited </w:t>
      </w:r>
      <w:r w:rsidRPr="001F694C">
        <w:t>N</w:t>
      </w:r>
      <w:r w:rsidR="004B3E81">
        <w:t>ations</w:t>
      </w:r>
      <w:r w:rsidRPr="001F694C">
        <w:t xml:space="preserve"> Committee on the Rights of Persons with Disabilities recently noted with concern that in Australia</w:t>
      </w:r>
      <w:r w:rsidRPr="00B27D13">
        <w:t>:</w:t>
      </w:r>
    </w:p>
    <w:p w14:paraId="0C021B60" w14:textId="77777777" w:rsidR="00F73FF0" w:rsidRPr="00B27D13" w:rsidRDefault="00F73FF0" w:rsidP="00F73FF0">
      <w:pPr>
        <w:pStyle w:val="SingleTxtG"/>
        <w:tabs>
          <w:tab w:val="left" w:pos="1701"/>
        </w:tabs>
        <w:ind w:left="284"/>
        <w:rPr>
          <w:rFonts w:ascii="Arial" w:hAnsi="Arial" w:cs="Arial"/>
          <w:sz w:val="22"/>
          <w:szCs w:val="22"/>
        </w:rPr>
      </w:pPr>
      <w:r w:rsidRPr="00B27D13">
        <w:rPr>
          <w:rFonts w:ascii="Arial" w:hAnsi="Arial" w:cs="Arial"/>
          <w:sz w:val="22"/>
          <w:szCs w:val="22"/>
        </w:rPr>
        <w:t>persons with disabilities, who are deemed unfit to stand trial due to an intellectual or psychosocial disability can be detained indefinitely in prisons or psychiatric facilities without being convicted of a crime, and for periods that can significantly exceed the maximum period of custodial sentence for the offence.</w:t>
      </w:r>
      <w:r w:rsidRPr="001F694C">
        <w:rPr>
          <w:rStyle w:val="EndnoteReference"/>
          <w:rFonts w:cs="Arial"/>
          <w:szCs w:val="22"/>
        </w:rPr>
        <w:endnoteReference w:id="17"/>
      </w:r>
      <w:r w:rsidRPr="00B27D13">
        <w:rPr>
          <w:rFonts w:ascii="Arial" w:hAnsi="Arial" w:cs="Arial"/>
          <w:sz w:val="22"/>
          <w:szCs w:val="22"/>
        </w:rPr>
        <w:t xml:space="preserve"> </w:t>
      </w:r>
    </w:p>
    <w:p w14:paraId="2B5EAB74" w14:textId="77777777" w:rsidR="00017621" w:rsidRDefault="00C45782" w:rsidP="00C45782">
      <w:pPr>
        <w:pStyle w:val="ListParagraph"/>
        <w:ind w:left="0"/>
      </w:pPr>
      <w:r>
        <w:t xml:space="preserve">People with mental illness are among the most excluded and most disadvantaged in society, according to a recent report by the Committee for Economic Development </w:t>
      </w:r>
      <w:r w:rsidRPr="00D01549">
        <w:t>of Australia.</w:t>
      </w:r>
      <w:r w:rsidRPr="00D01549">
        <w:rPr>
          <w:rStyle w:val="EndnoteReference"/>
        </w:rPr>
        <w:endnoteReference w:id="18"/>
      </w:r>
      <w:r w:rsidRPr="00D01549">
        <w:t xml:space="preserve"> Many people with mental illness experience ‘social and economic hardship as a direct result of their illness’ and ‘live in a cycle of entrenched disadvantage.’</w:t>
      </w:r>
      <w:r w:rsidRPr="00D01549">
        <w:rPr>
          <w:rStyle w:val="EndnoteReference"/>
        </w:rPr>
        <w:endnoteReference w:id="19"/>
      </w:r>
      <w:r w:rsidRPr="00D01549">
        <w:t xml:space="preserve"> </w:t>
      </w:r>
    </w:p>
    <w:p w14:paraId="7F267CA6" w14:textId="062F8065" w:rsidR="00C45782" w:rsidRDefault="00830A12" w:rsidP="001F694C">
      <w:r w:rsidRPr="001F694C">
        <w:t xml:space="preserve">The </w:t>
      </w:r>
      <w:r w:rsidR="00D41850">
        <w:t xml:space="preserve">Australian Human Rights </w:t>
      </w:r>
      <w:r w:rsidRPr="001F694C">
        <w:t xml:space="preserve">Commission has previously highlighted that </w:t>
      </w:r>
      <w:r w:rsidR="004723AA" w:rsidRPr="001F694C">
        <w:t xml:space="preserve">Aboriginal and Torres Strait Islander people with </w:t>
      </w:r>
      <w:r w:rsidR="002F1847" w:rsidRPr="001F694C">
        <w:t xml:space="preserve">psychosocial </w:t>
      </w:r>
      <w:r w:rsidR="004723AA" w:rsidRPr="001F694C">
        <w:t>disability are particularly vulnerable to being indefinitely detained as forensic patients.</w:t>
      </w:r>
      <w:r w:rsidR="004723AA" w:rsidRPr="001F694C">
        <w:rPr>
          <w:rStyle w:val="EndnoteReference"/>
        </w:rPr>
        <w:endnoteReference w:id="20"/>
      </w:r>
      <w:r w:rsidR="002F1847" w:rsidRPr="001F694C">
        <w:t xml:space="preserve"> For example, Marlon Noble was detained in a p</w:t>
      </w:r>
      <w:r w:rsidR="005E1BEA" w:rsidRPr="001F694C">
        <w:t>rison for 10 years after having</w:t>
      </w:r>
      <w:r w:rsidR="002F1847" w:rsidRPr="001F694C">
        <w:t xml:space="preserve"> being found unfit to plead</w:t>
      </w:r>
      <w:r w:rsidR="005E1BEA" w:rsidRPr="001F694C">
        <w:t xml:space="preserve"> because of his cognitive impairment.</w:t>
      </w:r>
      <w:r w:rsidR="002A6CE9" w:rsidRPr="001F694C">
        <w:rPr>
          <w:rStyle w:val="EndnoteReference"/>
        </w:rPr>
        <w:endnoteReference w:id="21"/>
      </w:r>
      <w:r w:rsidR="002A6CE9">
        <w:t xml:space="preserve"> </w:t>
      </w:r>
    </w:p>
    <w:p w14:paraId="1AD60CBF" w14:textId="77777777" w:rsidR="00587582" w:rsidRDefault="00242C39" w:rsidP="00587582">
      <w:pPr>
        <w:pStyle w:val="Heading1"/>
      </w:pPr>
      <w:r>
        <w:t>Importance of rehabilitation for forensic patients</w:t>
      </w:r>
    </w:p>
    <w:p w14:paraId="20B3CB7D" w14:textId="37408D40" w:rsidR="00B008ED" w:rsidRPr="00BB017B" w:rsidRDefault="004723AA" w:rsidP="00BB017B">
      <w:pPr>
        <w:pStyle w:val="ListParagraph"/>
        <w:spacing w:before="0" w:after="120"/>
        <w:ind w:left="0"/>
        <w:contextualSpacing w:val="0"/>
      </w:pPr>
      <w:r>
        <w:t>All f</w:t>
      </w:r>
      <w:r w:rsidR="00996FA9">
        <w:t>o</w:t>
      </w:r>
      <w:r w:rsidR="00687CFE">
        <w:t xml:space="preserve">rensic patients have the right </w:t>
      </w:r>
      <w:r w:rsidR="00996FA9">
        <w:t>to</w:t>
      </w:r>
      <w:r w:rsidR="00DE2289">
        <w:t xml:space="preserve"> </w:t>
      </w:r>
      <w:r w:rsidR="00996FA9">
        <w:t>enjoy the highest attainable standard of health</w:t>
      </w:r>
      <w:r w:rsidR="00687CFE">
        <w:t>, and accordingly to access health-related rehabilitation services, including those which they need specifically because of their disabilities.</w:t>
      </w:r>
      <w:r w:rsidR="00687CFE">
        <w:rPr>
          <w:rStyle w:val="EndnoteReference"/>
        </w:rPr>
        <w:endnoteReference w:id="22"/>
      </w:r>
      <w:r w:rsidR="00996FA9">
        <w:t xml:space="preserve"> </w:t>
      </w:r>
      <w:r w:rsidR="00687CFE">
        <w:t xml:space="preserve"> </w:t>
      </w:r>
      <w:r w:rsidR="00B008ED">
        <w:t>The Convention</w:t>
      </w:r>
      <w:r w:rsidR="0009634F">
        <w:t>, under a</w:t>
      </w:r>
      <w:r w:rsidR="00BB017B">
        <w:t xml:space="preserve">rticle 26, </w:t>
      </w:r>
      <w:r w:rsidR="00831614">
        <w:t xml:space="preserve">also imposes a specific obligation on States Parties </w:t>
      </w:r>
      <w:r w:rsidR="00A26950">
        <w:t>to support</w:t>
      </w:r>
      <w:r w:rsidR="00831614">
        <w:t xml:space="preserve"> the </w:t>
      </w:r>
      <w:r w:rsidR="00AB42DF">
        <w:t xml:space="preserve">holistic </w:t>
      </w:r>
      <w:r w:rsidR="00831614">
        <w:t>rehabilitation of persons with disabilities</w:t>
      </w:r>
      <w:r w:rsidR="00A164A0">
        <w:t>.</w:t>
      </w:r>
      <w:r w:rsidR="002040F5">
        <w:rPr>
          <w:rStyle w:val="EndnoteReference"/>
        </w:rPr>
        <w:endnoteReference w:id="23"/>
      </w:r>
    </w:p>
    <w:p w14:paraId="2C92348E" w14:textId="77777777" w:rsidR="00F378E1" w:rsidRDefault="00F378E1" w:rsidP="003311C2">
      <w:pPr>
        <w:pStyle w:val="ListParagraph"/>
        <w:ind w:left="0"/>
      </w:pPr>
      <w:r>
        <w:t xml:space="preserve">Accordingly, </w:t>
      </w:r>
      <w:r w:rsidR="006A5749">
        <w:t xml:space="preserve">a human rights-based </w:t>
      </w:r>
      <w:r>
        <w:t>ap</w:t>
      </w:r>
      <w:r w:rsidR="002E1A6C">
        <w:t>proach to the question of financial</w:t>
      </w:r>
      <w:r>
        <w:t xml:space="preserve"> support for forensic patients would focus on what is necessary for their treatment and rehabilitation. This </w:t>
      </w:r>
      <w:r w:rsidR="00F132B1">
        <w:t xml:space="preserve">approach </w:t>
      </w:r>
      <w:r>
        <w:t>would als</w:t>
      </w:r>
      <w:r w:rsidR="00875074">
        <w:t>o be consistent with the aims</w:t>
      </w:r>
      <w:r>
        <w:t xml:space="preserve"> of psychiatric c</w:t>
      </w:r>
      <w:r w:rsidR="00BB1E7A">
        <w:t>onfinement, as the Victorian Law Reform Commission has noted:</w:t>
      </w:r>
    </w:p>
    <w:p w14:paraId="7FF703A0" w14:textId="77777777" w:rsidR="005A4A42" w:rsidRPr="00516487" w:rsidRDefault="0058555A" w:rsidP="00516487">
      <w:pPr>
        <w:autoSpaceDE w:val="0"/>
        <w:autoSpaceDN w:val="0"/>
        <w:adjustRightInd w:val="0"/>
        <w:spacing w:before="0" w:after="0"/>
        <w:ind w:left="284"/>
        <w:rPr>
          <w:rFonts w:ascii="Frutiger-Light" w:hAnsi="Frutiger-Light" w:cs="Frutiger-Light"/>
          <w:sz w:val="22"/>
          <w:szCs w:val="22"/>
        </w:rPr>
      </w:pPr>
      <w:proofErr w:type="gramStart"/>
      <w:r w:rsidRPr="00516487">
        <w:rPr>
          <w:rFonts w:ascii="Frutiger-Light" w:hAnsi="Frutiger-Light" w:cs="Frutiger-Light"/>
          <w:sz w:val="22"/>
          <w:szCs w:val="22"/>
        </w:rPr>
        <w:t>rehabilitation</w:t>
      </w:r>
      <w:proofErr w:type="gramEnd"/>
      <w:r w:rsidRPr="00516487">
        <w:rPr>
          <w:rFonts w:ascii="Frutiger-Light" w:hAnsi="Frutiger-Light" w:cs="Frutiger-Light"/>
          <w:sz w:val="22"/>
          <w:szCs w:val="22"/>
        </w:rPr>
        <w:t xml:space="preserve"> of </w:t>
      </w:r>
      <w:r w:rsidR="00BB1E7A" w:rsidRPr="00516487">
        <w:rPr>
          <w:rFonts w:ascii="Frutiger-Light" w:hAnsi="Frutiger-Light" w:cs="Frutiger-Light"/>
          <w:sz w:val="22"/>
          <w:szCs w:val="22"/>
        </w:rPr>
        <w:t xml:space="preserve">[forensic patients] through successful </w:t>
      </w:r>
      <w:r w:rsidRPr="00516487">
        <w:rPr>
          <w:rFonts w:ascii="Frutiger-Light" w:hAnsi="Frutiger-Light" w:cs="Frutiger-Light"/>
          <w:sz w:val="22"/>
          <w:szCs w:val="22"/>
        </w:rPr>
        <w:t>community reintegration is the best way to ensure prote</w:t>
      </w:r>
      <w:r w:rsidR="00BB1E7A" w:rsidRPr="00516487">
        <w:rPr>
          <w:rFonts w:ascii="Frutiger-Light" w:hAnsi="Frutiger-Light" w:cs="Frutiger-Light"/>
          <w:sz w:val="22"/>
          <w:szCs w:val="22"/>
        </w:rPr>
        <w:t xml:space="preserve">ction of the community, as well </w:t>
      </w:r>
      <w:r w:rsidRPr="00516487">
        <w:rPr>
          <w:rFonts w:ascii="Frutiger-Light" w:hAnsi="Frutiger-Light" w:cs="Frutiger-Light"/>
          <w:sz w:val="22"/>
          <w:szCs w:val="22"/>
        </w:rPr>
        <w:t xml:space="preserve">as restoring the person to a state in which they can be a functioning member of that </w:t>
      </w:r>
      <w:r w:rsidRPr="00516487">
        <w:rPr>
          <w:rFonts w:cs="Arial"/>
          <w:color w:val="000000"/>
          <w:sz w:val="22"/>
          <w:szCs w:val="22"/>
          <w:lang w:val="en"/>
        </w:rPr>
        <w:t>community</w:t>
      </w:r>
      <w:r w:rsidRPr="00516487">
        <w:rPr>
          <w:rFonts w:ascii="Frutiger-Light" w:hAnsi="Frutiger-Light" w:cs="Frutiger-Light"/>
          <w:sz w:val="22"/>
          <w:szCs w:val="22"/>
        </w:rPr>
        <w:t>.</w:t>
      </w:r>
      <w:r w:rsidR="00516487" w:rsidRPr="00516487">
        <w:rPr>
          <w:rStyle w:val="EndnoteReference"/>
          <w:rFonts w:cs="Frutiger-Light"/>
          <w:sz w:val="22"/>
          <w:szCs w:val="22"/>
        </w:rPr>
        <w:endnoteReference w:id="24"/>
      </w:r>
      <w:r w:rsidR="00516487" w:rsidRPr="00516487">
        <w:rPr>
          <w:rFonts w:ascii="Frutiger-Light" w:hAnsi="Frutiger-Light" w:cs="Frutiger-Light"/>
          <w:sz w:val="22"/>
          <w:szCs w:val="22"/>
        </w:rPr>
        <w:t xml:space="preserve"> </w:t>
      </w:r>
    </w:p>
    <w:p w14:paraId="4252FB60" w14:textId="20F6448F" w:rsidR="00DC36B0" w:rsidRDefault="00F935D0" w:rsidP="00DC36B0">
      <w:pPr>
        <w:pStyle w:val="ListParagraph"/>
        <w:ind w:left="0"/>
      </w:pPr>
      <w:r w:rsidRPr="00CE7354">
        <w:t xml:space="preserve">However, </w:t>
      </w:r>
      <w:r w:rsidR="00265832" w:rsidRPr="00CE7354">
        <w:t xml:space="preserve">the </w:t>
      </w:r>
      <w:r w:rsidR="00CE7354" w:rsidRPr="00CE7354">
        <w:t xml:space="preserve">measures in the </w:t>
      </w:r>
      <w:r w:rsidRPr="00CE7354">
        <w:t xml:space="preserve">Bill </w:t>
      </w:r>
      <w:r w:rsidR="00CE7354" w:rsidRPr="00CE7354">
        <w:t>do</w:t>
      </w:r>
      <w:r w:rsidR="005C796F" w:rsidRPr="00CE7354">
        <w:t xml:space="preserve"> not </w:t>
      </w:r>
      <w:r w:rsidR="00CE7354" w:rsidRPr="00CE7354">
        <w:t xml:space="preserve">appear to be designed to address </w:t>
      </w:r>
      <w:r w:rsidR="005C796F" w:rsidRPr="00CE7354">
        <w:t xml:space="preserve">the </w:t>
      </w:r>
      <w:r w:rsidR="00CE7354" w:rsidRPr="00CE7354">
        <w:t xml:space="preserve">treatment and </w:t>
      </w:r>
      <w:r w:rsidR="005C796F" w:rsidRPr="00CE7354">
        <w:t>rehabilitation of forensic patients.</w:t>
      </w:r>
      <w:r w:rsidR="005C796F">
        <w:t xml:space="preserve"> </w:t>
      </w:r>
      <w:r w:rsidR="00CE7354">
        <w:t>T</w:t>
      </w:r>
      <w:r w:rsidR="00D1101D">
        <w:t>he cut-</w:t>
      </w:r>
      <w:r w:rsidR="009B2E2A">
        <w:t xml:space="preserve">off for payment of </w:t>
      </w:r>
      <w:r w:rsidR="00CE7354">
        <w:t>financial</w:t>
      </w:r>
      <w:r w:rsidR="00D1101D">
        <w:t xml:space="preserve"> support </w:t>
      </w:r>
      <w:r w:rsidR="00CE7354">
        <w:t xml:space="preserve">under the Bill </w:t>
      </w:r>
      <w:r w:rsidR="00D1101D">
        <w:t xml:space="preserve">is not based on an assessment of the needs of the forensic </w:t>
      </w:r>
      <w:r w:rsidR="00D1101D">
        <w:lastRenderedPageBreak/>
        <w:t>patient</w:t>
      </w:r>
      <w:r w:rsidR="00F73FF0">
        <w:t xml:space="preserve"> and/or their dependents</w:t>
      </w:r>
      <w:r w:rsidR="00D1101D">
        <w:t xml:space="preserve">, but whether the offence charged against the patient was </w:t>
      </w:r>
      <w:r w:rsidR="00A503E2">
        <w:t xml:space="preserve">sufficiently </w:t>
      </w:r>
      <w:r w:rsidR="00CE7354">
        <w:t>serious</w:t>
      </w:r>
      <w:r w:rsidR="009B2E2A">
        <w:t xml:space="preserve">. </w:t>
      </w:r>
      <w:r w:rsidR="00DC36B0">
        <w:t xml:space="preserve">Under the </w:t>
      </w:r>
      <w:r w:rsidR="007C0592">
        <w:t>Bill</w:t>
      </w:r>
      <w:r w:rsidR="00DC36B0">
        <w:t xml:space="preserve"> forensic patients who have been charged with a serious offence will not receive financial support even if they are undertaking a course of rehabilitation.</w:t>
      </w:r>
      <w:r w:rsidR="00DC36B0">
        <w:rPr>
          <w:rStyle w:val="EndnoteReference"/>
        </w:rPr>
        <w:endnoteReference w:id="25"/>
      </w:r>
      <w:r w:rsidR="00DC36B0">
        <w:t xml:space="preserve"> </w:t>
      </w:r>
    </w:p>
    <w:p w14:paraId="04825B3C" w14:textId="77777777" w:rsidR="00DC36B0" w:rsidRDefault="00DC36B0" w:rsidP="00D1101D">
      <w:pPr>
        <w:pStyle w:val="ListParagraph"/>
        <w:ind w:left="0"/>
      </w:pPr>
    </w:p>
    <w:p w14:paraId="041D631A" w14:textId="77777777" w:rsidR="000D2EBF" w:rsidRPr="000D2EBF" w:rsidRDefault="00E55E1C" w:rsidP="00F935D0">
      <w:pPr>
        <w:pStyle w:val="ListParagraph"/>
        <w:ind w:left="0"/>
        <w:rPr>
          <w:b/>
        </w:rPr>
      </w:pPr>
      <w:r w:rsidRPr="000D2EBF">
        <w:rPr>
          <w:b/>
        </w:rPr>
        <w:t xml:space="preserve">The </w:t>
      </w:r>
      <w:r w:rsidR="00E5553F" w:rsidRPr="000D2EBF">
        <w:rPr>
          <w:b/>
        </w:rPr>
        <w:t xml:space="preserve">differential treatment under the </w:t>
      </w:r>
      <w:r w:rsidR="00383152" w:rsidRPr="000D2EBF">
        <w:rPr>
          <w:b/>
        </w:rPr>
        <w:t xml:space="preserve">Bill </w:t>
      </w:r>
      <w:r w:rsidR="00E5553F" w:rsidRPr="000D2EBF">
        <w:rPr>
          <w:b/>
        </w:rPr>
        <w:t xml:space="preserve">of </w:t>
      </w:r>
      <w:r w:rsidR="004D16A9" w:rsidRPr="000D2EBF">
        <w:rPr>
          <w:b/>
        </w:rPr>
        <w:t>patients charged wi</w:t>
      </w:r>
      <w:r w:rsidR="00383152" w:rsidRPr="000D2EBF">
        <w:rPr>
          <w:b/>
        </w:rPr>
        <w:t xml:space="preserve">th a ‘serious’ offence </w:t>
      </w:r>
      <w:r w:rsidR="00E5553F" w:rsidRPr="000D2EBF">
        <w:rPr>
          <w:b/>
        </w:rPr>
        <w:t>(</w:t>
      </w:r>
      <w:r w:rsidR="004D16A9" w:rsidRPr="000D2EBF">
        <w:rPr>
          <w:b/>
        </w:rPr>
        <w:t xml:space="preserve">punishable by </w:t>
      </w:r>
      <w:r w:rsidRPr="000D2EBF">
        <w:rPr>
          <w:b/>
        </w:rPr>
        <w:t>at least seven years’</w:t>
      </w:r>
      <w:r w:rsidR="00383152" w:rsidRPr="000D2EBF">
        <w:rPr>
          <w:b/>
        </w:rPr>
        <w:t xml:space="preserve"> imprisonment)</w:t>
      </w:r>
      <w:r w:rsidR="00E5553F" w:rsidRPr="000D2EBF">
        <w:rPr>
          <w:b/>
        </w:rPr>
        <w:t>, compared with</w:t>
      </w:r>
      <w:r w:rsidR="00383152" w:rsidRPr="000D2EBF">
        <w:rPr>
          <w:b/>
        </w:rPr>
        <w:t xml:space="preserve"> patients</w:t>
      </w:r>
      <w:r w:rsidRPr="000D2EBF">
        <w:rPr>
          <w:b/>
        </w:rPr>
        <w:t xml:space="preserve"> </w:t>
      </w:r>
      <w:r w:rsidR="00383152" w:rsidRPr="000D2EBF">
        <w:rPr>
          <w:b/>
        </w:rPr>
        <w:t>charged with a non-‘serious’ offence</w:t>
      </w:r>
      <w:r w:rsidR="0000213A" w:rsidRPr="000D2EBF">
        <w:rPr>
          <w:b/>
        </w:rPr>
        <w:t xml:space="preserve"> </w:t>
      </w:r>
      <w:r w:rsidR="00E5553F" w:rsidRPr="000D2EBF">
        <w:rPr>
          <w:b/>
        </w:rPr>
        <w:t>(punishable by anything less)</w:t>
      </w:r>
      <w:r w:rsidR="00802B38" w:rsidRPr="000D2EBF">
        <w:rPr>
          <w:b/>
        </w:rPr>
        <w:t xml:space="preserve">, seems arbitrary. </w:t>
      </w:r>
    </w:p>
    <w:p w14:paraId="30F9C205" w14:textId="77777777" w:rsidR="000D2EBF" w:rsidRDefault="000D2EBF" w:rsidP="00F935D0">
      <w:pPr>
        <w:pStyle w:val="ListParagraph"/>
        <w:ind w:left="0"/>
      </w:pPr>
    </w:p>
    <w:p w14:paraId="17F2B99B" w14:textId="22B0E529" w:rsidR="00342237" w:rsidRPr="00D01549" w:rsidRDefault="00802B38" w:rsidP="00F935D0">
      <w:pPr>
        <w:pStyle w:val="ListParagraph"/>
        <w:ind w:left="0"/>
        <w:rPr>
          <w:highlight w:val="yellow"/>
        </w:rPr>
      </w:pPr>
      <w:r w:rsidRPr="001F694C">
        <w:t xml:space="preserve">The </w:t>
      </w:r>
      <w:r w:rsidR="00E55E1C" w:rsidRPr="001F694C">
        <w:t xml:space="preserve">fact that the Bill would only remove access to social security </w:t>
      </w:r>
      <w:r w:rsidRPr="001F694C">
        <w:t>for the former group</w:t>
      </w:r>
      <w:r w:rsidR="009B2E2A" w:rsidRPr="001F694C">
        <w:t>, along with the comparison made to prisoners mentioned above, suggests that the Bill has</w:t>
      </w:r>
      <w:r w:rsidR="009B2E2A">
        <w:t xml:space="preserve"> a puni</w:t>
      </w:r>
      <w:r w:rsidR="0002738B">
        <w:t>tive, rather than therapeutic</w:t>
      </w:r>
      <w:r w:rsidR="009B2E2A">
        <w:t xml:space="preserve"> focus. </w:t>
      </w:r>
    </w:p>
    <w:p w14:paraId="55C73A9C" w14:textId="02049A35" w:rsidR="006576FA" w:rsidRDefault="0012097F" w:rsidP="00D01549">
      <w:pPr>
        <w:pStyle w:val="Heading1"/>
      </w:pPr>
      <w:r>
        <w:t>Concern</w:t>
      </w:r>
      <w:r w:rsidR="00C67166">
        <w:t>s</w:t>
      </w:r>
      <w:r>
        <w:t xml:space="preserve"> Bill will </w:t>
      </w:r>
      <w:r w:rsidR="0099277A">
        <w:t xml:space="preserve">negatively </w:t>
      </w:r>
      <w:r>
        <w:t xml:space="preserve">impact on </w:t>
      </w:r>
      <w:r w:rsidR="00957A2B">
        <w:t xml:space="preserve">the </w:t>
      </w:r>
      <w:r>
        <w:t>rehabilitation of forensic patients</w:t>
      </w:r>
    </w:p>
    <w:p w14:paraId="57206191" w14:textId="675D49CD" w:rsidR="0080266C" w:rsidRDefault="00E72C00" w:rsidP="00573156">
      <w:pPr>
        <w:pStyle w:val="ListParagraph"/>
        <w:ind w:left="0"/>
      </w:pPr>
      <w:r w:rsidRPr="00D14709">
        <w:t xml:space="preserve">The </w:t>
      </w:r>
      <w:r w:rsidR="00D41850">
        <w:t xml:space="preserve">Australian Human Rights </w:t>
      </w:r>
      <w:r w:rsidRPr="00D14709">
        <w:t xml:space="preserve">Commission and </w:t>
      </w:r>
      <w:r w:rsidR="002523AA" w:rsidRPr="001F694C">
        <w:t xml:space="preserve">other members of </w:t>
      </w:r>
      <w:r w:rsidRPr="001F694C">
        <w:t>ACHRA</w:t>
      </w:r>
      <w:r w:rsidR="00B7523A" w:rsidRPr="001F694C">
        <w:t xml:space="preserve"> </w:t>
      </w:r>
      <w:r w:rsidR="0080266C" w:rsidRPr="001F694C">
        <w:t>are</w:t>
      </w:r>
      <w:r w:rsidRPr="001F694C">
        <w:t xml:space="preserve"> concern</w:t>
      </w:r>
      <w:r w:rsidR="0080266C" w:rsidRPr="001F694C">
        <w:t>ed</w:t>
      </w:r>
      <w:r w:rsidR="009D74EB" w:rsidRPr="001F694C">
        <w:t xml:space="preserve"> </w:t>
      </w:r>
      <w:r w:rsidRPr="001F694C">
        <w:t xml:space="preserve">the removal of financial support for forensic patients </w:t>
      </w:r>
      <w:r w:rsidR="00732C3A" w:rsidRPr="001F694C">
        <w:t xml:space="preserve">charged with a serious offence </w:t>
      </w:r>
      <w:r w:rsidR="00B54AE0" w:rsidRPr="001F694C">
        <w:t xml:space="preserve">may impact on </w:t>
      </w:r>
      <w:r w:rsidR="004364D1" w:rsidRPr="001F694C">
        <w:t>the quality of the care and rehabilitation services they receive</w:t>
      </w:r>
      <w:r w:rsidR="00EF0069" w:rsidRPr="001F694C">
        <w:t>. It may</w:t>
      </w:r>
      <w:r w:rsidR="00B54AE0" w:rsidRPr="00194806">
        <w:t xml:space="preserve"> </w:t>
      </w:r>
      <w:r w:rsidR="004364D1" w:rsidRPr="00194806">
        <w:t xml:space="preserve">consequently </w:t>
      </w:r>
      <w:r w:rsidR="00EF0069" w:rsidRPr="00194806">
        <w:t xml:space="preserve">impair </w:t>
      </w:r>
      <w:r w:rsidR="004364D1" w:rsidRPr="00194806">
        <w:t xml:space="preserve">their </w:t>
      </w:r>
      <w:r w:rsidR="00B54AE0" w:rsidRPr="00194806">
        <w:t>ability to transition</w:t>
      </w:r>
      <w:r w:rsidR="007B05F2" w:rsidRPr="00194806">
        <w:t xml:space="preserve"> out of psychiatric confinement </w:t>
      </w:r>
      <w:r w:rsidR="002523AA" w:rsidRPr="00194806">
        <w:t xml:space="preserve">and </w:t>
      </w:r>
      <w:r w:rsidR="00EF0069" w:rsidRPr="00194806">
        <w:t xml:space="preserve">to </w:t>
      </w:r>
      <w:r w:rsidR="002523AA" w:rsidRPr="00194806">
        <w:t>access the necessary resources to rebuild their lives in the community</w:t>
      </w:r>
      <w:r w:rsidR="007B05F2" w:rsidRPr="001F694C">
        <w:t>.</w:t>
      </w:r>
      <w:r w:rsidR="007B05F2">
        <w:t xml:space="preserve"> </w:t>
      </w:r>
      <w:r w:rsidR="00194806">
        <w:t xml:space="preserve">Forensic patients are not likely to have access to any income-earning activities and such, will be more disadvantaged than prisoners. </w:t>
      </w:r>
      <w:r w:rsidR="00F73FF0">
        <w:t xml:space="preserve"> There is also limited understanding about how the Bill will affect families/dependents of forensic patients.  </w:t>
      </w:r>
    </w:p>
    <w:p w14:paraId="104BCAED" w14:textId="77777777" w:rsidR="0080266C" w:rsidRDefault="0080266C" w:rsidP="00573156">
      <w:pPr>
        <w:pStyle w:val="ListParagraph"/>
        <w:ind w:left="0"/>
      </w:pPr>
    </w:p>
    <w:p w14:paraId="46B49201" w14:textId="77777777" w:rsidR="00573156" w:rsidRPr="00D01549" w:rsidRDefault="0080266C" w:rsidP="00573156">
      <w:pPr>
        <w:pStyle w:val="ListParagraph"/>
        <w:ind w:left="0"/>
        <w:rPr>
          <w:highlight w:val="yellow"/>
        </w:rPr>
      </w:pPr>
      <w:r w:rsidRPr="00D01549">
        <w:t xml:space="preserve">The justification given for removing financial support for forensic patients charged with a serious offence is that it is unnecessary because they have their basic needs (such as food, clothing and housing) met by the State or Territory governments which run the secure mental health facilities in which they are confined. </w:t>
      </w:r>
      <w:r>
        <w:t>However, t</w:t>
      </w:r>
      <w:r w:rsidR="003477B5" w:rsidRPr="005E34CF">
        <w:t xml:space="preserve">he Explanatory Memorandum does </w:t>
      </w:r>
      <w:r w:rsidR="00BB017B">
        <w:t xml:space="preserve">not </w:t>
      </w:r>
      <w:r w:rsidR="006E7175" w:rsidRPr="005E34CF">
        <w:t xml:space="preserve">adequately address </w:t>
      </w:r>
      <w:r w:rsidR="004364D1" w:rsidRPr="00D01549">
        <w:t xml:space="preserve">how </w:t>
      </w:r>
      <w:r w:rsidR="003477B5" w:rsidRPr="005E34CF">
        <w:t>the costs associated with the care, treatment and rehabilitation of forensic patients</w:t>
      </w:r>
      <w:r w:rsidR="006E7175" w:rsidRPr="005E34CF">
        <w:t xml:space="preserve"> beyond the basic necessities</w:t>
      </w:r>
      <w:r w:rsidR="003477B5" w:rsidRPr="005E34CF">
        <w:t xml:space="preserve"> </w:t>
      </w:r>
      <w:r w:rsidR="00803C52" w:rsidRPr="00D01549">
        <w:t xml:space="preserve">will be </w:t>
      </w:r>
      <w:r w:rsidR="003477B5" w:rsidRPr="005E34CF">
        <w:t>covered by</w:t>
      </w:r>
      <w:r w:rsidR="0049412B">
        <w:t xml:space="preserve"> the</w:t>
      </w:r>
      <w:r w:rsidR="003477B5" w:rsidRPr="005E34CF">
        <w:t xml:space="preserve"> </w:t>
      </w:r>
      <w:r w:rsidR="0049412B">
        <w:t>S</w:t>
      </w:r>
      <w:r w:rsidR="003477B5" w:rsidRPr="005E34CF">
        <w:t>tate and Territory governments</w:t>
      </w:r>
      <w:r w:rsidR="0049412B">
        <w:t xml:space="preserve"> (or failing that, the patients themselves)</w:t>
      </w:r>
      <w:r w:rsidR="003477B5" w:rsidRPr="005E34CF">
        <w:t>.</w:t>
      </w:r>
      <w:r w:rsidR="003477B5">
        <w:t xml:space="preserve"> </w:t>
      </w:r>
      <w:r w:rsidR="00573156">
        <w:t xml:space="preserve"> </w:t>
      </w:r>
    </w:p>
    <w:p w14:paraId="18521B24" w14:textId="77777777" w:rsidR="00603BE2" w:rsidRDefault="00603BE2" w:rsidP="007B05F2">
      <w:pPr>
        <w:pStyle w:val="ListParagraph"/>
        <w:ind w:left="0"/>
      </w:pPr>
    </w:p>
    <w:p w14:paraId="12D1A001" w14:textId="7E8DC488" w:rsidR="0030007B" w:rsidRDefault="00A518D0" w:rsidP="00760098">
      <w:pPr>
        <w:pStyle w:val="ListParagraph"/>
        <w:ind w:left="0"/>
      </w:pPr>
      <w:r>
        <w:rPr>
          <w:rFonts w:cs="Arial"/>
        </w:rPr>
        <w:t xml:space="preserve">As forensic patients have significant mental health conditions, their </w:t>
      </w:r>
      <w:r w:rsidR="00E55D76" w:rsidRPr="00A9044F">
        <w:rPr>
          <w:rFonts w:cs="Arial"/>
        </w:rPr>
        <w:t xml:space="preserve">recovery and progression towards </w:t>
      </w:r>
      <w:r w:rsidR="00DF3AF1">
        <w:rPr>
          <w:rFonts w:cs="Arial"/>
        </w:rPr>
        <w:t xml:space="preserve">rehabilitation and </w:t>
      </w:r>
      <w:r w:rsidR="00AE52FA" w:rsidRPr="00A9044F">
        <w:rPr>
          <w:rFonts w:cs="Arial"/>
        </w:rPr>
        <w:t>reintegration</w:t>
      </w:r>
      <w:r w:rsidR="00E55D76" w:rsidRPr="00A9044F">
        <w:rPr>
          <w:rFonts w:cs="Arial"/>
        </w:rPr>
        <w:t xml:space="preserve"> is a gradual process.</w:t>
      </w:r>
      <w:r w:rsidR="00E55D76" w:rsidRPr="00A9044F">
        <w:rPr>
          <w:rStyle w:val="EndnoteReference"/>
          <w:rFonts w:cs="Arial"/>
          <w:sz w:val="24"/>
        </w:rPr>
        <w:endnoteReference w:id="26"/>
      </w:r>
      <w:r w:rsidR="008322DB">
        <w:rPr>
          <w:rFonts w:cs="Arial"/>
        </w:rPr>
        <w:t xml:space="preserve"> </w:t>
      </w:r>
      <w:r w:rsidR="00916171">
        <w:rPr>
          <w:rFonts w:cs="Arial"/>
        </w:rPr>
        <w:t>A</w:t>
      </w:r>
      <w:r w:rsidR="001E53F5">
        <w:t xml:space="preserve"> </w:t>
      </w:r>
      <w:r w:rsidR="00806022">
        <w:t xml:space="preserve">forensic patient’s </w:t>
      </w:r>
      <w:r w:rsidR="001E53F5">
        <w:t xml:space="preserve">successful </w:t>
      </w:r>
      <w:r w:rsidR="00AE52FA">
        <w:t xml:space="preserve">rehabilitation </w:t>
      </w:r>
      <w:r w:rsidR="001E53F5">
        <w:t>require</w:t>
      </w:r>
      <w:r w:rsidR="00EE6F77">
        <w:t>s</w:t>
      </w:r>
      <w:r w:rsidR="001E53F5">
        <w:t xml:space="preserve"> </w:t>
      </w:r>
      <w:r w:rsidR="00916171">
        <w:t>development of the person’s</w:t>
      </w:r>
      <w:r w:rsidR="00FF429B">
        <w:t xml:space="preserve"> </w:t>
      </w:r>
      <w:r w:rsidR="00FF429B" w:rsidRPr="00916171">
        <w:t>physical, mental, social and vocational abilit</w:t>
      </w:r>
      <w:r w:rsidR="00916171" w:rsidRPr="00916171">
        <w:t>ies,</w:t>
      </w:r>
      <w:r w:rsidR="00916171">
        <w:rPr>
          <w:rFonts w:cs="Arial"/>
          <w:color w:val="000000"/>
          <w:sz w:val="22"/>
          <w:szCs w:val="22"/>
          <w:lang w:val="en"/>
        </w:rPr>
        <w:t xml:space="preserve"> </w:t>
      </w:r>
      <w:r w:rsidR="00DD66B6" w:rsidRPr="00D01549">
        <w:t xml:space="preserve">as </w:t>
      </w:r>
      <w:r w:rsidR="00916171">
        <w:t>article 26 of the Convention</w:t>
      </w:r>
      <w:r w:rsidR="00DD66B6">
        <w:t xml:space="preserve"> recogni</w:t>
      </w:r>
      <w:r w:rsidR="00B944C9">
        <w:t>s</w:t>
      </w:r>
      <w:r w:rsidR="00DD66B6">
        <w:t>es</w:t>
      </w:r>
      <w:r w:rsidR="00916171" w:rsidRPr="00916171">
        <w:t>.</w:t>
      </w:r>
      <w:r w:rsidR="00FF429B">
        <w:t xml:space="preserve"> </w:t>
      </w:r>
      <w:r w:rsidR="00916171">
        <w:t xml:space="preserve"> </w:t>
      </w:r>
      <w:r w:rsidR="00760098">
        <w:t>Social security provides them with money to help take steps to progress in their rehabilitation (</w:t>
      </w:r>
      <w:r w:rsidR="00FC36EC">
        <w:t>for example,</w:t>
      </w:r>
      <w:r w:rsidR="00FD0AB9">
        <w:t xml:space="preserve"> payment of </w:t>
      </w:r>
      <w:r w:rsidR="00760098">
        <w:t>fees</w:t>
      </w:r>
      <w:r w:rsidR="00FD0AB9">
        <w:t xml:space="preserve"> for</w:t>
      </w:r>
      <w:r w:rsidR="00FD0AB9" w:rsidRPr="00FD0AB9">
        <w:t xml:space="preserve"> </w:t>
      </w:r>
      <w:r w:rsidR="00FD0AB9" w:rsidRPr="00B27D13">
        <w:t>educational courses to develop skills and acquire vocational knowledge</w:t>
      </w:r>
      <w:r w:rsidR="00BB017B" w:rsidRPr="00B27D13">
        <w:t xml:space="preserve"> or </w:t>
      </w:r>
      <w:r w:rsidR="00760098" w:rsidRPr="00B27D13">
        <w:t>rent for</w:t>
      </w:r>
      <w:r w:rsidR="00BB017B" w:rsidRPr="00B27D13">
        <w:t xml:space="preserve"> transitional accommodation</w:t>
      </w:r>
      <w:r w:rsidR="00760098" w:rsidRPr="00B27D13">
        <w:t xml:space="preserve">). </w:t>
      </w:r>
    </w:p>
    <w:p w14:paraId="3F4ECF97" w14:textId="77777777" w:rsidR="0030007B" w:rsidRDefault="0030007B" w:rsidP="00760098">
      <w:pPr>
        <w:pStyle w:val="ListParagraph"/>
        <w:ind w:left="0"/>
      </w:pPr>
    </w:p>
    <w:p w14:paraId="29FADC71" w14:textId="38EBE9BC" w:rsidR="00EF49AE" w:rsidRDefault="0009634F">
      <w:pPr>
        <w:pStyle w:val="ListParagraph"/>
        <w:ind w:left="0"/>
      </w:pPr>
      <w:r>
        <w:t>According</w:t>
      </w:r>
      <w:r w:rsidR="00573156">
        <w:t xml:space="preserve"> to the Explanatory Memorandum, prior to </w:t>
      </w:r>
      <w:r w:rsidR="00EF49AE">
        <w:t>the forensic patient enter</w:t>
      </w:r>
      <w:r w:rsidR="00573156">
        <w:t>ing</w:t>
      </w:r>
      <w:r w:rsidR="00EF49AE">
        <w:t xml:space="preserve"> a ‘period of integration</w:t>
      </w:r>
      <w:r w:rsidR="00806BB9">
        <w:t xml:space="preserve"> back into the community</w:t>
      </w:r>
      <w:r w:rsidR="00EF49AE">
        <w:t xml:space="preserve">’ </w:t>
      </w:r>
      <w:r w:rsidR="00806BB9">
        <w:t>(</w:t>
      </w:r>
      <w:r w:rsidR="00EF49AE">
        <w:t>as de</w:t>
      </w:r>
      <w:r w:rsidR="00806BB9">
        <w:t>fined</w:t>
      </w:r>
      <w:r w:rsidR="00EF49AE">
        <w:t xml:space="preserve"> by the Minister</w:t>
      </w:r>
      <w:r w:rsidR="00416820">
        <w:t xml:space="preserve"> under proposed sub-s 23(9C)</w:t>
      </w:r>
      <w:r w:rsidR="00806BB9">
        <w:t>)</w:t>
      </w:r>
      <w:r w:rsidR="00EF49AE">
        <w:t xml:space="preserve">, the patients ‘could expect that the State or Territory would meet their </w:t>
      </w:r>
      <w:r w:rsidR="00EF49AE" w:rsidRPr="00B944C9">
        <w:t>requirements for support, treatment and activities designed to further their recovery.’</w:t>
      </w:r>
      <w:r w:rsidR="00FE36DB" w:rsidRPr="00FE36DB">
        <w:rPr>
          <w:rStyle w:val="EndnoteReference"/>
        </w:rPr>
        <w:t xml:space="preserve"> </w:t>
      </w:r>
      <w:r w:rsidR="00FE36DB">
        <w:rPr>
          <w:rStyle w:val="EndnoteReference"/>
        </w:rPr>
        <w:endnoteReference w:id="27"/>
      </w:r>
      <w:r w:rsidR="00EF49AE" w:rsidRPr="00B944C9">
        <w:t xml:space="preserve"> </w:t>
      </w:r>
      <w:r w:rsidR="00B944C9" w:rsidRPr="00B944C9">
        <w:t xml:space="preserve">It is not clear </w:t>
      </w:r>
      <w:r w:rsidR="00E60457" w:rsidRPr="00B944C9">
        <w:t>how the States and Territories will cover these costs</w:t>
      </w:r>
      <w:r w:rsidR="00B54FA2" w:rsidRPr="00B944C9">
        <w:t>.</w:t>
      </w:r>
    </w:p>
    <w:p w14:paraId="17E7B0B2" w14:textId="77777777" w:rsidR="00EF49AE" w:rsidRDefault="00EF49AE" w:rsidP="00EF49AE">
      <w:pPr>
        <w:pStyle w:val="ListParagraph"/>
        <w:ind w:left="0"/>
      </w:pPr>
    </w:p>
    <w:p w14:paraId="2E7267BE" w14:textId="1A0BC49B" w:rsidR="00785CED" w:rsidRDefault="00BA6916" w:rsidP="009E3841">
      <w:pPr>
        <w:pStyle w:val="ListParagraph"/>
        <w:ind w:left="0"/>
      </w:pPr>
      <w:r w:rsidRPr="00D01549">
        <w:lastRenderedPageBreak/>
        <w:t>T</w:t>
      </w:r>
      <w:r w:rsidR="00E46623" w:rsidRPr="00D01549">
        <w:t xml:space="preserve">he </w:t>
      </w:r>
      <w:r w:rsidR="00D41850">
        <w:t xml:space="preserve">Australian Human Rights </w:t>
      </w:r>
      <w:r w:rsidR="00E46623" w:rsidRPr="00D01549">
        <w:t xml:space="preserve">Commission and </w:t>
      </w:r>
      <w:r w:rsidR="00444BDD">
        <w:t xml:space="preserve">other members of </w:t>
      </w:r>
      <w:r w:rsidR="00E46623" w:rsidRPr="00D01549">
        <w:t>ACHRA</w:t>
      </w:r>
      <w:r w:rsidR="009B2365" w:rsidRPr="00D01549">
        <w:t xml:space="preserve"> </w:t>
      </w:r>
      <w:r w:rsidRPr="00D01549">
        <w:t>also</w:t>
      </w:r>
      <w:r>
        <w:t xml:space="preserve"> </w:t>
      </w:r>
      <w:r w:rsidR="009B2365">
        <w:t>have</w:t>
      </w:r>
      <w:r w:rsidR="00E46623">
        <w:t xml:space="preserve"> concerns </w:t>
      </w:r>
      <w:r w:rsidR="0024403B">
        <w:t xml:space="preserve">about </w:t>
      </w:r>
      <w:r w:rsidR="00365508">
        <w:t xml:space="preserve">the </w:t>
      </w:r>
      <w:r w:rsidR="00E46623">
        <w:t>m</w:t>
      </w:r>
      <w:r w:rsidR="00DA54FC">
        <w:t xml:space="preserve">echanism </w:t>
      </w:r>
      <w:r w:rsidR="00416820">
        <w:t xml:space="preserve">in sub-s 23(9C) </w:t>
      </w:r>
      <w:r w:rsidR="003B69C2">
        <w:t xml:space="preserve">for determining </w:t>
      </w:r>
      <w:r w:rsidR="0024403B">
        <w:t xml:space="preserve">when a forensic patient </w:t>
      </w:r>
      <w:r w:rsidR="00A35F09">
        <w:t xml:space="preserve">charged with a serious offence </w:t>
      </w:r>
      <w:r w:rsidR="0024403B">
        <w:t>has entered a ‘</w:t>
      </w:r>
      <w:r w:rsidR="009143DD">
        <w:t xml:space="preserve">period </w:t>
      </w:r>
      <w:r w:rsidR="00DA54FC">
        <w:t>of integration</w:t>
      </w:r>
      <w:r w:rsidR="006920B8">
        <w:t xml:space="preserve"> back into the community</w:t>
      </w:r>
      <w:r w:rsidR="00DA54FC">
        <w:t>’</w:t>
      </w:r>
      <w:r w:rsidR="00416820">
        <w:t xml:space="preserve">, </w:t>
      </w:r>
      <w:r w:rsidR="009143DD">
        <w:t>and the</w:t>
      </w:r>
      <w:r w:rsidR="00365508">
        <w:t>refore becomes entitled to financial</w:t>
      </w:r>
      <w:r w:rsidR="009143DD">
        <w:t xml:space="preserve"> support.</w:t>
      </w:r>
      <w:r w:rsidR="006A152E">
        <w:t xml:space="preserve"> Proposed sub-s</w:t>
      </w:r>
      <w:r w:rsidR="00D41850">
        <w:t> </w:t>
      </w:r>
      <w:r w:rsidR="006A152E">
        <w:t xml:space="preserve">23(9C) leaves </w:t>
      </w:r>
      <w:r w:rsidR="009F2F04">
        <w:t>all the</w:t>
      </w:r>
      <w:r w:rsidR="009E3841">
        <w:t xml:space="preserve"> detail of </w:t>
      </w:r>
      <w:r w:rsidR="006A152E">
        <w:t xml:space="preserve">how </w:t>
      </w:r>
      <w:r w:rsidR="009E3841">
        <w:t xml:space="preserve">a ‘period of integration’ </w:t>
      </w:r>
      <w:r w:rsidR="006A152E">
        <w:t xml:space="preserve">will be defined to be </w:t>
      </w:r>
      <w:r w:rsidR="009E3841">
        <w:t>determined by</w:t>
      </w:r>
      <w:r w:rsidR="006920B8">
        <w:t xml:space="preserve"> the Minister</w:t>
      </w:r>
      <w:r w:rsidR="009E3841">
        <w:t xml:space="preserve"> in a </w:t>
      </w:r>
      <w:r w:rsidR="006A152E">
        <w:t xml:space="preserve">subsequent </w:t>
      </w:r>
      <w:r w:rsidR="009E3841">
        <w:t xml:space="preserve">legislative instrument. </w:t>
      </w:r>
      <w:r w:rsidR="006A152E">
        <w:t>The Explanatory Memora</w:t>
      </w:r>
      <w:r w:rsidR="009F2F04">
        <w:t>n</w:t>
      </w:r>
      <w:r w:rsidR="0009634F">
        <w:t>dum suggests it may consist</w:t>
      </w:r>
      <w:r w:rsidR="006A152E">
        <w:t xml:space="preserve"> of blanket requirements set by the Minister</w:t>
      </w:r>
      <w:r w:rsidR="006A152E" w:rsidDel="006A152E">
        <w:t xml:space="preserve"> </w:t>
      </w:r>
      <w:r w:rsidR="0009634F">
        <w:t>(for example</w:t>
      </w:r>
      <w:r w:rsidR="006A152E">
        <w:t>, a number of days of leave</w:t>
      </w:r>
      <w:r w:rsidR="009F2F04">
        <w:t xml:space="preserve"> from the facility</w:t>
      </w:r>
      <w:r w:rsidR="006A152E">
        <w:t>).</w:t>
      </w:r>
      <w:r w:rsidR="00FE36DB" w:rsidRPr="00FE36DB">
        <w:rPr>
          <w:rStyle w:val="EndnoteReference"/>
        </w:rPr>
        <w:t xml:space="preserve"> </w:t>
      </w:r>
      <w:r w:rsidR="00FE36DB">
        <w:rPr>
          <w:rStyle w:val="EndnoteReference"/>
        </w:rPr>
        <w:endnoteReference w:id="28"/>
      </w:r>
    </w:p>
    <w:p w14:paraId="7602BE02" w14:textId="77777777" w:rsidR="00785CED" w:rsidRDefault="00785CED" w:rsidP="009E3841">
      <w:pPr>
        <w:pStyle w:val="ListParagraph"/>
        <w:ind w:left="0"/>
      </w:pPr>
    </w:p>
    <w:p w14:paraId="624058B2" w14:textId="77777777" w:rsidR="007E0ADD" w:rsidRDefault="00923F9C" w:rsidP="002E68D2">
      <w:pPr>
        <w:pStyle w:val="ListParagraph"/>
        <w:ind w:left="0"/>
      </w:pPr>
      <w:r w:rsidRPr="00D01549">
        <w:t>I</w:t>
      </w:r>
      <w:r w:rsidR="00EC42AF" w:rsidRPr="00D01549">
        <w:t xml:space="preserve">f the Bill passes, </w:t>
      </w:r>
      <w:r w:rsidR="007E0ADD" w:rsidRPr="00D01549">
        <w:t xml:space="preserve">the definition of a ‘period of integration’ will effectively become </w:t>
      </w:r>
      <w:r w:rsidR="007E0ADD">
        <w:t xml:space="preserve">the new threshold for </w:t>
      </w:r>
      <w:r w:rsidR="009B2A89">
        <w:t xml:space="preserve">certain forensic patients </w:t>
      </w:r>
      <w:r w:rsidR="007E0ADD">
        <w:t>gaining access to social security</w:t>
      </w:r>
      <w:r>
        <w:t xml:space="preserve">. </w:t>
      </w:r>
      <w:r w:rsidR="008E7C9C">
        <w:t>There is a</w:t>
      </w:r>
      <w:r w:rsidR="007E0ADD">
        <w:t xml:space="preserve"> lack of detail in the Explanatory Memorandum about this</w:t>
      </w:r>
      <w:r w:rsidR="00EC42AF">
        <w:t xml:space="preserve"> definition</w:t>
      </w:r>
      <w:r w:rsidR="008E7C9C">
        <w:t>. T</w:t>
      </w:r>
      <w:r w:rsidR="00EC42AF">
        <w:t>here is no detail about how this new threshold will operate in practice.</w:t>
      </w:r>
      <w:r w:rsidR="008E7C9C">
        <w:t xml:space="preserve"> I</w:t>
      </w:r>
      <w:r w:rsidR="00EC42AF">
        <w:t xml:space="preserve">t is not clear </w:t>
      </w:r>
      <w:r w:rsidR="009B2A89">
        <w:t>who will make the determination that a particular patient has reached a ‘period of integration’</w:t>
      </w:r>
      <w:r w:rsidR="00EC42AF">
        <w:t>.</w:t>
      </w:r>
      <w:r w:rsidR="006546E5">
        <w:t xml:space="preserve">  </w:t>
      </w:r>
    </w:p>
    <w:p w14:paraId="59979C2C" w14:textId="77777777" w:rsidR="007E0ADD" w:rsidRDefault="007E0ADD" w:rsidP="002E68D2">
      <w:pPr>
        <w:pStyle w:val="ListParagraph"/>
        <w:ind w:left="0"/>
      </w:pPr>
    </w:p>
    <w:p w14:paraId="284F3953" w14:textId="252EF310" w:rsidR="00CC64AF" w:rsidRDefault="00E60457" w:rsidP="002E68D2">
      <w:pPr>
        <w:pStyle w:val="ListParagraph"/>
        <w:ind w:left="0"/>
      </w:pPr>
      <w:r>
        <w:t>We recommend that d</w:t>
      </w:r>
      <w:r w:rsidR="009F2F04">
        <w:t xml:space="preserve">ecisions as to whether a person in psychiatric confinement should receive the </w:t>
      </w:r>
      <w:r w:rsidR="004C7385">
        <w:t>Disability Support Pension</w:t>
      </w:r>
      <w:r w:rsidR="00CC64AF">
        <w:t xml:space="preserve"> </w:t>
      </w:r>
      <w:r w:rsidR="004C7385">
        <w:t>should follow similar processes to the determination made</w:t>
      </w:r>
      <w:r w:rsidR="0030007B">
        <w:t xml:space="preserve"> for people in the community</w:t>
      </w:r>
      <w:r w:rsidR="004C7385">
        <w:t>.</w:t>
      </w:r>
      <w:r w:rsidR="004C7385">
        <w:rPr>
          <w:rStyle w:val="EndnoteReference"/>
        </w:rPr>
        <w:endnoteReference w:id="29"/>
      </w:r>
      <w:r w:rsidR="004C7385">
        <w:t xml:space="preserve">  </w:t>
      </w:r>
      <w:r w:rsidR="00815189">
        <w:t xml:space="preserve">Children who access the Disability Support Pension from 16 years may require special considerations.  </w:t>
      </w:r>
      <w:r w:rsidR="004C7385">
        <w:t xml:space="preserve">In particular, a person’s health care team would be able to assess the rehabilitation and progress of individual patients.  </w:t>
      </w:r>
      <w:r w:rsidR="00BB017B">
        <w:t>Re-integration activities may include study or skills training commenced while in care, but don’t necessarily come with significant days spent outside of the facility.</w:t>
      </w:r>
    </w:p>
    <w:p w14:paraId="0256E9DE" w14:textId="77777777" w:rsidR="006A39E2" w:rsidRDefault="006A39E2" w:rsidP="002E68D2">
      <w:pPr>
        <w:pStyle w:val="ListParagraph"/>
        <w:ind w:left="0"/>
      </w:pPr>
    </w:p>
    <w:p w14:paraId="5B568C6A" w14:textId="77777777" w:rsidR="007E0ADD" w:rsidRDefault="00E60457" w:rsidP="002E68D2">
      <w:pPr>
        <w:pStyle w:val="ListParagraph"/>
        <w:ind w:left="0"/>
      </w:pPr>
      <w:r>
        <w:t>T</w:t>
      </w:r>
      <w:r w:rsidR="006546E5">
        <w:t>h</w:t>
      </w:r>
      <w:r w:rsidR="002D5410">
        <w:t>e</w:t>
      </w:r>
      <w:r w:rsidR="006546E5">
        <w:t xml:space="preserve"> mechanism</w:t>
      </w:r>
      <w:r w:rsidR="00C57195">
        <w:t xml:space="preserve"> </w:t>
      </w:r>
      <w:r w:rsidR="002D5410">
        <w:t xml:space="preserve">proposed in sub-s 23(9C) </w:t>
      </w:r>
      <w:r>
        <w:t xml:space="preserve">contains no assurance of </w:t>
      </w:r>
      <w:r w:rsidR="00C57195">
        <w:t xml:space="preserve">sufficient flexibility to ensure that forensic patients can access the social security necessary to fund important steps in their rehabilitation.  </w:t>
      </w:r>
    </w:p>
    <w:p w14:paraId="2255A324" w14:textId="77777777" w:rsidR="009B2A89" w:rsidRPr="00D01549" w:rsidRDefault="009B2A89" w:rsidP="00D01549">
      <w:pPr>
        <w:pStyle w:val="Heading1"/>
      </w:pPr>
      <w:r w:rsidRPr="00D01549">
        <w:t xml:space="preserve">Conclusion </w:t>
      </w:r>
    </w:p>
    <w:p w14:paraId="4A606462" w14:textId="2F92D0FC" w:rsidR="0080266C" w:rsidRDefault="0080266C" w:rsidP="0080266C">
      <w:pPr>
        <w:pStyle w:val="ListParagraph"/>
        <w:ind w:left="0"/>
      </w:pPr>
      <w:r w:rsidRPr="00D01549">
        <w:t xml:space="preserve">The </w:t>
      </w:r>
      <w:r w:rsidR="00D41850">
        <w:t xml:space="preserve">Australian Human Rights </w:t>
      </w:r>
      <w:r w:rsidRPr="00D01549">
        <w:t xml:space="preserve">Commission and </w:t>
      </w:r>
      <w:r w:rsidR="00444BDD">
        <w:t xml:space="preserve">other members of </w:t>
      </w:r>
      <w:r w:rsidRPr="00D01549">
        <w:t xml:space="preserve">ACHRA consider that the Explanatory Memorandum provides insufficient evidence to conclude that removal of the financial support </w:t>
      </w:r>
      <w:r w:rsidR="00C12D24">
        <w:t>for forensic patients charged with a ‘serious offence’ is consistent with those</w:t>
      </w:r>
      <w:r w:rsidR="0009634F">
        <w:t xml:space="preserve"> forensic</w:t>
      </w:r>
      <w:r w:rsidR="004F5C17">
        <w:t xml:space="preserve"> patients’ rights </w:t>
      </w:r>
      <w:r w:rsidRPr="00D01549">
        <w:t xml:space="preserve">to rehabilitation. </w:t>
      </w:r>
    </w:p>
    <w:p w14:paraId="6EF7E84D" w14:textId="77777777" w:rsidR="000C5051" w:rsidRDefault="000C5051" w:rsidP="002E68D2">
      <w:pPr>
        <w:pStyle w:val="ListParagraph"/>
        <w:ind w:left="0"/>
      </w:pPr>
    </w:p>
    <w:p w14:paraId="0047815F" w14:textId="00539352" w:rsidR="001240F1" w:rsidRDefault="001240F1" w:rsidP="001240F1">
      <w:pPr>
        <w:pStyle w:val="ListParagraph"/>
        <w:ind w:left="0"/>
        <w:rPr>
          <w:b/>
        </w:rPr>
      </w:pPr>
      <w:r>
        <w:rPr>
          <w:b/>
        </w:rPr>
        <w:t xml:space="preserve">Recommendation </w:t>
      </w:r>
      <w:r w:rsidR="000833A9">
        <w:rPr>
          <w:b/>
        </w:rPr>
        <w:t>1</w:t>
      </w:r>
      <w:r>
        <w:rPr>
          <w:b/>
        </w:rPr>
        <w:t xml:space="preserve">: </w:t>
      </w:r>
      <w:r w:rsidR="00BA1D25">
        <w:rPr>
          <w:b/>
        </w:rPr>
        <w:t xml:space="preserve">The </w:t>
      </w:r>
      <w:r>
        <w:rPr>
          <w:b/>
        </w:rPr>
        <w:t xml:space="preserve">criteria </w:t>
      </w:r>
      <w:r w:rsidR="00BA1D25">
        <w:rPr>
          <w:b/>
        </w:rPr>
        <w:t>used to determine eligibility for</w:t>
      </w:r>
      <w:r>
        <w:rPr>
          <w:b/>
        </w:rPr>
        <w:t xml:space="preserve"> D</w:t>
      </w:r>
      <w:r w:rsidRPr="00E60457">
        <w:rPr>
          <w:b/>
        </w:rPr>
        <w:t>isability Support Pension</w:t>
      </w:r>
      <w:r w:rsidR="00BA1D25">
        <w:rPr>
          <w:b/>
        </w:rPr>
        <w:t>,</w:t>
      </w:r>
      <w:r w:rsidRPr="00E60457">
        <w:rPr>
          <w:b/>
        </w:rPr>
        <w:t xml:space="preserve"> </w:t>
      </w:r>
      <w:r>
        <w:rPr>
          <w:b/>
        </w:rPr>
        <w:t xml:space="preserve">for people in psychiatric confinement, </w:t>
      </w:r>
      <w:r w:rsidRPr="00E60457">
        <w:rPr>
          <w:b/>
        </w:rPr>
        <w:t xml:space="preserve">should </w:t>
      </w:r>
      <w:r>
        <w:rPr>
          <w:b/>
        </w:rPr>
        <w:t xml:space="preserve">be similar to the eligibility criteria for people in the community. </w:t>
      </w:r>
    </w:p>
    <w:p w14:paraId="1EE09272" w14:textId="77777777" w:rsidR="000833A9" w:rsidRDefault="000833A9" w:rsidP="001214A7">
      <w:pPr>
        <w:pStyle w:val="ListParagraph"/>
        <w:spacing w:before="0" w:after="120"/>
        <w:ind w:left="0"/>
        <w:contextualSpacing w:val="0"/>
        <w:rPr>
          <w:b/>
        </w:rPr>
      </w:pPr>
    </w:p>
    <w:p w14:paraId="3797D6F9" w14:textId="2499D570" w:rsidR="001214A7" w:rsidRDefault="001214A7" w:rsidP="001214A7">
      <w:pPr>
        <w:pStyle w:val="ListParagraph"/>
        <w:spacing w:before="0" w:after="120"/>
        <w:ind w:left="0"/>
        <w:contextualSpacing w:val="0"/>
        <w:rPr>
          <w:b/>
        </w:rPr>
      </w:pPr>
      <w:r>
        <w:rPr>
          <w:b/>
        </w:rPr>
        <w:t xml:space="preserve">Recommendation </w:t>
      </w:r>
      <w:r w:rsidR="000833A9">
        <w:rPr>
          <w:b/>
        </w:rPr>
        <w:t>2</w:t>
      </w:r>
      <w:r>
        <w:rPr>
          <w:b/>
        </w:rPr>
        <w:t xml:space="preserve">:  The Bill not proceed unless the Government provides evidence that the removal of the Disability Support Pension and associated benefits from people in </w:t>
      </w:r>
      <w:r w:rsidR="0030007B">
        <w:rPr>
          <w:b/>
        </w:rPr>
        <w:t>psychiatric confinement</w:t>
      </w:r>
      <w:r>
        <w:rPr>
          <w:b/>
        </w:rPr>
        <w:t xml:space="preserve"> will not negatively impact on their rehabilitation. </w:t>
      </w:r>
    </w:p>
    <w:p w14:paraId="3D92D6FD" w14:textId="77777777" w:rsidR="007C61BC" w:rsidRDefault="007C61BC" w:rsidP="000C5051">
      <w:pPr>
        <w:pStyle w:val="ListParagraph"/>
        <w:ind w:left="0"/>
        <w:rPr>
          <w:b/>
        </w:rPr>
      </w:pPr>
    </w:p>
    <w:p w14:paraId="315C9B02" w14:textId="66F8AD46" w:rsidR="001240F1" w:rsidRDefault="001240F1" w:rsidP="001240F1">
      <w:pPr>
        <w:pStyle w:val="ListParagraph"/>
        <w:ind w:left="0"/>
        <w:rPr>
          <w:b/>
        </w:rPr>
      </w:pPr>
      <w:r>
        <w:rPr>
          <w:b/>
        </w:rPr>
        <w:t xml:space="preserve">Recommendation </w:t>
      </w:r>
      <w:r w:rsidR="000833A9">
        <w:rPr>
          <w:b/>
        </w:rPr>
        <w:t>3</w:t>
      </w:r>
      <w:r>
        <w:rPr>
          <w:b/>
        </w:rPr>
        <w:t xml:space="preserve">: </w:t>
      </w:r>
      <w:r w:rsidRPr="003C7008">
        <w:rPr>
          <w:b/>
        </w:rPr>
        <w:t>That the Bill not proceed unless and until</w:t>
      </w:r>
      <w:r>
        <w:rPr>
          <w:b/>
        </w:rPr>
        <w:t>,</w:t>
      </w:r>
      <w:r w:rsidRPr="003C7008">
        <w:rPr>
          <w:b/>
        </w:rPr>
        <w:t xml:space="preserve"> the Government provides </w:t>
      </w:r>
      <w:r w:rsidRPr="0031125D">
        <w:rPr>
          <w:b/>
        </w:rPr>
        <w:t>specific detail in the Explanatory Memorandum</w:t>
      </w:r>
      <w:r>
        <w:rPr>
          <w:b/>
        </w:rPr>
        <w:t>,</w:t>
      </w:r>
      <w:r w:rsidRPr="0031125D">
        <w:rPr>
          <w:b/>
        </w:rPr>
        <w:t xml:space="preserve"> of how a ‘period of integration back into the community’ for the purposes of sub-</w:t>
      </w:r>
      <w:r w:rsidRPr="00B27D13">
        <w:rPr>
          <w:b/>
        </w:rPr>
        <w:t>section 23(9B) will be defined, and there has been a further opportunity to provide comment on the proposed approach.</w:t>
      </w:r>
    </w:p>
    <w:sectPr w:rsidR="001240F1"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ED8B5" w14:textId="77777777" w:rsidR="00C87F62" w:rsidRDefault="00C87F62" w:rsidP="00F14C6D">
      <w:r>
        <w:separator/>
      </w:r>
    </w:p>
  </w:endnote>
  <w:endnote w:type="continuationSeparator" w:id="0">
    <w:p w14:paraId="262DB176" w14:textId="77777777" w:rsidR="00C87F62" w:rsidRDefault="00C87F62" w:rsidP="00F14C6D">
      <w:r>
        <w:continuationSeparator/>
      </w:r>
    </w:p>
  </w:endnote>
  <w:endnote w:id="1">
    <w:p w14:paraId="1FB2EE45" w14:textId="565DC2F6" w:rsidR="007015CE" w:rsidRPr="006665EE" w:rsidRDefault="007015CE" w:rsidP="00ED5848">
      <w:pPr>
        <w:pStyle w:val="EndnoteText"/>
        <w:spacing w:after="120"/>
        <w:ind w:left="284" w:hanging="284"/>
        <w:rPr>
          <w:i/>
        </w:rPr>
      </w:pPr>
      <w:r>
        <w:rPr>
          <w:rStyle w:val="EndnoteReference"/>
        </w:rPr>
        <w:endnoteRef/>
      </w:r>
      <w:r>
        <w:t xml:space="preserve"> </w:t>
      </w:r>
      <w:r w:rsidR="00ED5848">
        <w:tab/>
      </w:r>
      <w:r>
        <w:t xml:space="preserve">Mental Health Coordinating Council, </w:t>
      </w:r>
      <w:r w:rsidRPr="006665EE">
        <w:rPr>
          <w:i/>
        </w:rPr>
        <w:t>Mental Health Rights Manual</w:t>
      </w:r>
      <w:r w:rsidR="006665EE">
        <w:t xml:space="preserve">: </w:t>
      </w:r>
      <w:r w:rsidR="006665EE" w:rsidRPr="006665EE">
        <w:rPr>
          <w:i/>
        </w:rPr>
        <w:t xml:space="preserve">A Consumer Guide to the Legal </w:t>
      </w:r>
      <w:r w:rsidR="006665EE">
        <w:rPr>
          <w:i/>
        </w:rPr>
        <w:t xml:space="preserve">and Human Rights of People with </w:t>
      </w:r>
      <w:r w:rsidR="006665EE" w:rsidRPr="006665EE">
        <w:rPr>
          <w:i/>
        </w:rPr>
        <w:t>Mental Illness in NSW</w:t>
      </w:r>
      <w:r w:rsidR="006665EE">
        <w:t xml:space="preserve"> (3rd </w:t>
      </w:r>
      <w:proofErr w:type="spellStart"/>
      <w:proofErr w:type="gramStart"/>
      <w:r w:rsidR="006665EE">
        <w:t>ed</w:t>
      </w:r>
      <w:proofErr w:type="spellEnd"/>
      <w:proofErr w:type="gramEnd"/>
      <w:r w:rsidR="006665EE">
        <w:t xml:space="preserve">, 2011) </w:t>
      </w:r>
      <w:r w:rsidR="002A2197">
        <w:t xml:space="preserve">Part 4 Section K, 4K.1 </w:t>
      </w:r>
      <w:r w:rsidR="006665EE">
        <w:t>(</w:t>
      </w:r>
      <w:r w:rsidR="002A2197">
        <w:t>p</w:t>
      </w:r>
      <w:r w:rsidR="006665EE">
        <w:t xml:space="preserve"> </w:t>
      </w:r>
      <w:r w:rsidR="002A2197">
        <w:t>56</w:t>
      </w:r>
      <w:r w:rsidR="006665EE">
        <w:t>)</w:t>
      </w:r>
      <w:r w:rsidR="002A2197" w:rsidRPr="00C43CF4">
        <w:rPr>
          <w:color w:val="000000" w:themeColor="text1"/>
        </w:rPr>
        <w:t>.  At</w:t>
      </w:r>
      <w:r w:rsidRPr="00C43CF4">
        <w:rPr>
          <w:color w:val="000000" w:themeColor="text1"/>
        </w:rPr>
        <w:t xml:space="preserve"> </w:t>
      </w:r>
      <w:hyperlink r:id="rId1" w:history="1">
        <w:r w:rsidRPr="00C43CF4">
          <w:rPr>
            <w:rStyle w:val="Hyperlink"/>
            <w:color w:val="000000" w:themeColor="text1"/>
          </w:rPr>
          <w:t>http://mhrm.mhcc.org.au/chapter-4/4k.aspx</w:t>
        </w:r>
      </w:hyperlink>
      <w:r w:rsidR="00E97434">
        <w:rPr>
          <w:color w:val="000000" w:themeColor="text1"/>
        </w:rPr>
        <w:t xml:space="preserve"> (viewed 21</w:t>
      </w:r>
      <w:r w:rsidRPr="00C43CF4">
        <w:rPr>
          <w:color w:val="000000" w:themeColor="text1"/>
        </w:rPr>
        <w:t xml:space="preserve"> May 2015).</w:t>
      </w:r>
    </w:p>
  </w:endnote>
  <w:endnote w:id="2">
    <w:p w14:paraId="5A4D5657" w14:textId="660D3061" w:rsidR="006B17D2" w:rsidRPr="00C43CF4" w:rsidRDefault="006B17D2"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Social Services Legislation Amendment Bill 2015, cl 6. The Bill defines the term ‘serious offence’ as including murder, attempted murder, manslaughter, rape, attempted rape, and other offences involving risks to the safety of others that are punishable by at least seven years’ imprisonment: see proposed sub-</w:t>
      </w:r>
      <w:proofErr w:type="spellStart"/>
      <w:r w:rsidRPr="00C43CF4">
        <w:rPr>
          <w:color w:val="000000" w:themeColor="text1"/>
        </w:rPr>
        <w:t>ss</w:t>
      </w:r>
      <w:proofErr w:type="spellEnd"/>
      <w:r w:rsidRPr="00C43CF4">
        <w:rPr>
          <w:color w:val="000000" w:themeColor="text1"/>
        </w:rPr>
        <w:t xml:space="preserve"> 23(9E) and (9F).</w:t>
      </w:r>
    </w:p>
  </w:endnote>
  <w:endnote w:id="3">
    <w:p w14:paraId="783ACB5B" w14:textId="2305F15A" w:rsidR="004F5C17" w:rsidRPr="00C43CF4" w:rsidRDefault="004F5C17"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See, for example, </w:t>
      </w:r>
      <w:r w:rsidRPr="00C43CF4">
        <w:rPr>
          <w:i/>
          <w:color w:val="000000" w:themeColor="text1"/>
        </w:rPr>
        <w:t>Mental Health (Forensic Provisions) Act 1990</w:t>
      </w:r>
      <w:r w:rsidRPr="00C43CF4">
        <w:rPr>
          <w:color w:val="000000" w:themeColor="text1"/>
        </w:rPr>
        <w:t xml:space="preserve"> (NSW), s 40; New South Wales Law Reform Commission, </w:t>
      </w:r>
      <w:r w:rsidR="00874005" w:rsidRPr="00C43CF4">
        <w:rPr>
          <w:i/>
          <w:color w:val="000000" w:themeColor="text1"/>
        </w:rPr>
        <w:t>People with cognitive and mental health impairments in the criminal justice system: criminal responsibility and consequences</w:t>
      </w:r>
      <w:r w:rsidR="00874005" w:rsidRPr="00C43CF4">
        <w:rPr>
          <w:color w:val="000000" w:themeColor="text1"/>
        </w:rPr>
        <w:t xml:space="preserve">, Consultation Paper 6 (January 2012), paras 6.53 – 6.57.  At </w:t>
      </w:r>
      <w:hyperlink r:id="rId2" w:history="1">
        <w:r w:rsidR="00874005" w:rsidRPr="00C43CF4">
          <w:rPr>
            <w:rStyle w:val="Hyperlink"/>
            <w:color w:val="000000" w:themeColor="text1"/>
          </w:rPr>
          <w:t>http://www.lawreform.justice.nsw.gov.au/Pages/lrc/lrc_completed_projects/lrc_peoplewithcognitiveandmentalhealthimpairmentsinthecriminaljusticesystem/lrc_peoplewithcognitiveandmentalhealthimpairmentsinthecriminaljusticesystem.aspx</w:t>
        </w:r>
      </w:hyperlink>
      <w:r w:rsidR="00E97434">
        <w:rPr>
          <w:color w:val="000000" w:themeColor="text1"/>
        </w:rPr>
        <w:t xml:space="preserve"> (viewed 21 May</w:t>
      </w:r>
      <w:r w:rsidR="00874005" w:rsidRPr="00C43CF4">
        <w:rPr>
          <w:color w:val="000000" w:themeColor="text1"/>
        </w:rPr>
        <w:t xml:space="preserve"> 2015)</w:t>
      </w:r>
      <w:r w:rsidRPr="00C43CF4">
        <w:rPr>
          <w:color w:val="000000" w:themeColor="text1"/>
        </w:rPr>
        <w:t>; Victorian Law Reform Commission,</w:t>
      </w:r>
      <w:r w:rsidR="00874005" w:rsidRPr="00C43CF4">
        <w:rPr>
          <w:color w:val="000000" w:themeColor="text1"/>
        </w:rPr>
        <w:t xml:space="preserve"> </w:t>
      </w:r>
      <w:r w:rsidR="00874005" w:rsidRPr="00C43CF4">
        <w:rPr>
          <w:i/>
          <w:color w:val="000000" w:themeColor="text1"/>
        </w:rPr>
        <w:t>Review of the Crimes (Mental Impairment and Unfitness to be Tried) Act 1997: Report</w:t>
      </w:r>
      <w:r w:rsidR="00E933E5">
        <w:rPr>
          <w:color w:val="000000" w:themeColor="text1"/>
        </w:rPr>
        <w:t xml:space="preserve"> (</w:t>
      </w:r>
      <w:r w:rsidR="00874005" w:rsidRPr="00C43CF4">
        <w:rPr>
          <w:color w:val="000000" w:themeColor="text1"/>
        </w:rPr>
        <w:t>2014),</w:t>
      </w:r>
      <w:r w:rsidRPr="00C43CF4">
        <w:rPr>
          <w:color w:val="000000" w:themeColor="text1"/>
        </w:rPr>
        <w:t xml:space="preserve"> paras 2.101- 2.105. At </w:t>
      </w:r>
      <w:hyperlink r:id="rId3" w:history="1">
        <w:r w:rsidRPr="00C43CF4">
          <w:rPr>
            <w:rStyle w:val="Hyperlink"/>
            <w:color w:val="000000" w:themeColor="text1"/>
          </w:rPr>
          <w:t>http://www.lawreform.vic.gov.au/projects/crimes-mental-impairment/crimes-mental-impairment-and-unfitness-be-tried-act-1997-report</w:t>
        </w:r>
      </w:hyperlink>
      <w:r w:rsidR="00E97434">
        <w:rPr>
          <w:color w:val="000000" w:themeColor="text1"/>
        </w:rPr>
        <w:t xml:space="preserve"> (viewed 21 May</w:t>
      </w:r>
      <w:r w:rsidRPr="00C43CF4">
        <w:rPr>
          <w:color w:val="000000" w:themeColor="text1"/>
        </w:rPr>
        <w:t xml:space="preserve"> 2015).</w:t>
      </w:r>
    </w:p>
  </w:endnote>
  <w:endnote w:id="4">
    <w:p w14:paraId="63F625CA" w14:textId="3608C3B1" w:rsidR="00045000" w:rsidRPr="00C43CF4" w:rsidRDefault="00045000"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Convention on the Rights of Persons with Disabilities</w:t>
      </w:r>
      <w:r w:rsidRPr="00C43CF4">
        <w:rPr>
          <w:color w:val="000000" w:themeColor="text1"/>
        </w:rPr>
        <w:t>, 2006, art</w:t>
      </w:r>
      <w:r w:rsidR="00277729" w:rsidRPr="00C43CF4">
        <w:rPr>
          <w:color w:val="000000" w:themeColor="text1"/>
        </w:rPr>
        <w:t>s</w:t>
      </w:r>
      <w:r w:rsidRPr="00C43CF4">
        <w:rPr>
          <w:color w:val="000000" w:themeColor="text1"/>
        </w:rPr>
        <w:t xml:space="preserve"> 4(1)</w:t>
      </w:r>
      <w:r w:rsidR="00277729" w:rsidRPr="00C43CF4">
        <w:rPr>
          <w:color w:val="000000" w:themeColor="text1"/>
        </w:rPr>
        <w:t xml:space="preserve"> and 5(1) and (2)</w:t>
      </w:r>
      <w:r w:rsidRPr="00C43CF4">
        <w:rPr>
          <w:color w:val="000000" w:themeColor="text1"/>
        </w:rPr>
        <w:t xml:space="preserve">. At </w:t>
      </w:r>
      <w:hyperlink r:id="rId4" w:history="1">
        <w:r w:rsidR="002F4DC7" w:rsidRPr="00C43CF4">
          <w:rPr>
            <w:rStyle w:val="Hyperlink"/>
            <w:color w:val="000000" w:themeColor="text1"/>
          </w:rPr>
          <w:t>http://www.un.org/disabilities/convention/conventionfull.shtml</w:t>
        </w:r>
      </w:hyperlink>
      <w:r w:rsidR="006F055C">
        <w:rPr>
          <w:color w:val="000000" w:themeColor="text1"/>
        </w:rPr>
        <w:t xml:space="preserve"> (viewed 21 May</w:t>
      </w:r>
      <w:r w:rsidR="002F4DC7" w:rsidRPr="00C43CF4">
        <w:rPr>
          <w:color w:val="000000" w:themeColor="text1"/>
        </w:rPr>
        <w:t xml:space="preserve"> 2015).</w:t>
      </w:r>
    </w:p>
  </w:endnote>
  <w:endnote w:id="5">
    <w:p w14:paraId="75149C95" w14:textId="09482769" w:rsidR="002D4EC3" w:rsidRPr="00C43CF4" w:rsidRDefault="002D4EC3"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Convention on the Rights of Persons with Disabilities</w:t>
      </w:r>
      <w:r w:rsidRPr="00C43CF4">
        <w:rPr>
          <w:color w:val="000000" w:themeColor="text1"/>
        </w:rPr>
        <w:t xml:space="preserve">, </w:t>
      </w:r>
      <w:r w:rsidR="00687CFE" w:rsidRPr="00C43CF4">
        <w:rPr>
          <w:color w:val="000000" w:themeColor="text1"/>
        </w:rPr>
        <w:t xml:space="preserve">2006, </w:t>
      </w:r>
      <w:r w:rsidRPr="00C43CF4">
        <w:rPr>
          <w:color w:val="000000" w:themeColor="text1"/>
        </w:rPr>
        <w:t>art 4(1</w:t>
      </w:r>
      <w:proofErr w:type="gramStart"/>
      <w:r w:rsidRPr="00C43CF4">
        <w:rPr>
          <w:color w:val="000000" w:themeColor="text1"/>
        </w:rPr>
        <w:t>)(</w:t>
      </w:r>
      <w:proofErr w:type="gramEnd"/>
      <w:r w:rsidRPr="00C43CF4">
        <w:rPr>
          <w:color w:val="000000" w:themeColor="text1"/>
        </w:rPr>
        <w:t>c) and (d).</w:t>
      </w:r>
    </w:p>
  </w:endnote>
  <w:endnote w:id="6">
    <w:p w14:paraId="32C7F70B" w14:textId="301C8CE9" w:rsidR="00590159" w:rsidRPr="00C43CF4" w:rsidRDefault="00590159"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Convention on the Rights of Persons with Disabilities</w:t>
      </w:r>
      <w:r w:rsidRPr="00C43CF4">
        <w:rPr>
          <w:color w:val="000000" w:themeColor="text1"/>
        </w:rPr>
        <w:t>, 2006, art 1.</w:t>
      </w:r>
    </w:p>
  </w:endnote>
  <w:endnote w:id="7">
    <w:p w14:paraId="575942DF" w14:textId="52568F19" w:rsidR="009C290D" w:rsidRPr="00C43CF4" w:rsidRDefault="009C290D"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National Mental Health Consumer &amp; Carer Forum, </w:t>
      </w:r>
      <w:r w:rsidRPr="00681F5A">
        <w:rPr>
          <w:i/>
          <w:color w:val="000000" w:themeColor="text1"/>
        </w:rPr>
        <w:t>Unra</w:t>
      </w:r>
      <w:r w:rsidR="00681F5A" w:rsidRPr="00681F5A">
        <w:rPr>
          <w:i/>
          <w:color w:val="000000" w:themeColor="text1"/>
        </w:rPr>
        <w:t>velling Psychosocial Disability:</w:t>
      </w:r>
      <w:r w:rsidRPr="00681F5A">
        <w:rPr>
          <w:i/>
          <w:color w:val="000000" w:themeColor="text1"/>
        </w:rPr>
        <w:t xml:space="preserve"> A position statement by the National Mental Health Consumer &amp; Carer Forum on psychosocial disability associated with mental health conditions</w:t>
      </w:r>
      <w:r w:rsidR="00681F5A">
        <w:rPr>
          <w:color w:val="000000" w:themeColor="text1"/>
        </w:rPr>
        <w:t xml:space="preserve"> (</w:t>
      </w:r>
      <w:r w:rsidRPr="00C43CF4">
        <w:rPr>
          <w:color w:val="000000" w:themeColor="text1"/>
        </w:rPr>
        <w:t>2011</w:t>
      </w:r>
      <w:r w:rsidR="00681F5A">
        <w:rPr>
          <w:color w:val="000000" w:themeColor="text1"/>
        </w:rPr>
        <w:t>)</w:t>
      </w:r>
      <w:r w:rsidRPr="00C43CF4">
        <w:rPr>
          <w:color w:val="000000" w:themeColor="text1"/>
        </w:rPr>
        <w:t xml:space="preserve">, p 16.  At </w:t>
      </w:r>
      <w:hyperlink r:id="rId5" w:history="1">
        <w:r w:rsidRPr="00C43CF4">
          <w:rPr>
            <w:rStyle w:val="Hyperlink"/>
            <w:color w:val="000000" w:themeColor="text1"/>
          </w:rPr>
          <w:t>http://nmhccf.org.au/publication/position-statement-unravelling-psychosocial-disability</w:t>
        </w:r>
      </w:hyperlink>
      <w:r w:rsidR="00681F5A">
        <w:rPr>
          <w:color w:val="000000" w:themeColor="text1"/>
        </w:rPr>
        <w:t xml:space="preserve"> (viewed 2</w:t>
      </w:r>
      <w:r w:rsidRPr="00C43CF4">
        <w:rPr>
          <w:color w:val="000000" w:themeColor="text1"/>
        </w:rPr>
        <w:t>1 May 2015).</w:t>
      </w:r>
    </w:p>
  </w:endnote>
  <w:endnote w:id="8">
    <w:p w14:paraId="0545CEB9" w14:textId="5DBCA4B9" w:rsidR="00F73E04" w:rsidRPr="00C43CF4" w:rsidRDefault="00F73E04"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See Victorian Law Reform Commission, </w:t>
      </w:r>
      <w:r w:rsidRPr="00C43CF4">
        <w:rPr>
          <w:i/>
          <w:color w:val="000000" w:themeColor="text1"/>
        </w:rPr>
        <w:t>Review of the Crimes (Mental Impairment and Unfitness to be Tried) Act 1997: Report</w:t>
      </w:r>
      <w:r w:rsidR="00E933E5">
        <w:rPr>
          <w:color w:val="000000" w:themeColor="text1"/>
        </w:rPr>
        <w:t xml:space="preserve"> (</w:t>
      </w:r>
      <w:r w:rsidRPr="00C43CF4">
        <w:rPr>
          <w:color w:val="000000" w:themeColor="text1"/>
        </w:rPr>
        <w:t xml:space="preserve">2014), paras 6.21- 6.31. At </w:t>
      </w:r>
      <w:hyperlink r:id="rId6" w:history="1">
        <w:r w:rsidRPr="00C43CF4">
          <w:rPr>
            <w:rStyle w:val="Hyperlink"/>
            <w:color w:val="000000" w:themeColor="text1"/>
          </w:rPr>
          <w:t>http://www.lawreform.vic.gov.au/projects/crimes-mental-impairment/crimes-mental-impairment-and-unfitness-be-tried-act-1997-report</w:t>
        </w:r>
      </w:hyperlink>
      <w:r w:rsidR="009E6162">
        <w:rPr>
          <w:color w:val="000000" w:themeColor="text1"/>
        </w:rPr>
        <w:t xml:space="preserve"> (viewed 21 May</w:t>
      </w:r>
      <w:r w:rsidRPr="00C43CF4">
        <w:rPr>
          <w:color w:val="000000" w:themeColor="text1"/>
        </w:rPr>
        <w:t xml:space="preserve"> 2015).</w:t>
      </w:r>
    </w:p>
  </w:endnote>
  <w:endnote w:id="9">
    <w:p w14:paraId="2BB63602" w14:textId="2908239A" w:rsidR="00853B4D" w:rsidRPr="00C43CF4" w:rsidRDefault="00853B4D"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Convention on the Rights of Persons with Disabilities</w:t>
      </w:r>
      <w:r w:rsidRPr="00310331">
        <w:rPr>
          <w:color w:val="000000" w:themeColor="text1"/>
        </w:rPr>
        <w:t xml:space="preserve">, </w:t>
      </w:r>
      <w:r w:rsidR="00687CFE" w:rsidRPr="00310331">
        <w:rPr>
          <w:color w:val="000000" w:themeColor="text1"/>
        </w:rPr>
        <w:t>2006,</w:t>
      </w:r>
      <w:r w:rsidR="00687CFE" w:rsidRPr="00C43CF4">
        <w:rPr>
          <w:i/>
          <w:color w:val="000000" w:themeColor="text1"/>
        </w:rPr>
        <w:t xml:space="preserve"> </w:t>
      </w:r>
      <w:r w:rsidRPr="00C43CF4">
        <w:rPr>
          <w:color w:val="000000" w:themeColor="text1"/>
        </w:rPr>
        <w:t xml:space="preserve">art </w:t>
      </w:r>
      <w:r w:rsidR="0028039E" w:rsidRPr="00C43CF4">
        <w:rPr>
          <w:color w:val="000000" w:themeColor="text1"/>
        </w:rPr>
        <w:t xml:space="preserve">13(1); </w:t>
      </w:r>
      <w:r w:rsidR="0028039E" w:rsidRPr="00C43CF4">
        <w:rPr>
          <w:i/>
          <w:color w:val="000000" w:themeColor="text1"/>
        </w:rPr>
        <w:t xml:space="preserve">International Covenant on Civil and Political Rights, </w:t>
      </w:r>
      <w:r w:rsidR="0028039E" w:rsidRPr="00C43CF4">
        <w:rPr>
          <w:color w:val="000000" w:themeColor="text1"/>
        </w:rPr>
        <w:t>1966, art 14.</w:t>
      </w:r>
      <w:r w:rsidR="009E6162">
        <w:rPr>
          <w:color w:val="000000" w:themeColor="text1"/>
        </w:rPr>
        <w:t xml:space="preserve"> At </w:t>
      </w:r>
      <w:hyperlink r:id="rId7" w:history="1">
        <w:r w:rsidR="009E6162" w:rsidRPr="005178FF">
          <w:rPr>
            <w:rStyle w:val="Hyperlink"/>
          </w:rPr>
          <w:t>http://www.austlii.edu.au/au/other/dfat/treaties/1980/23.html</w:t>
        </w:r>
      </w:hyperlink>
      <w:r w:rsidR="009E6162">
        <w:rPr>
          <w:color w:val="000000" w:themeColor="text1"/>
        </w:rPr>
        <w:t xml:space="preserve"> (viewed 21 May 2015).</w:t>
      </w:r>
    </w:p>
  </w:endnote>
  <w:endnote w:id="10">
    <w:p w14:paraId="0842C58B" w14:textId="384A8EFB" w:rsidR="00853B4D" w:rsidRPr="00C43CF4" w:rsidRDefault="00853B4D"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 xml:space="preserve">Convention on the Rights of Persons with Disabilities, </w:t>
      </w:r>
      <w:r w:rsidR="00687CFE" w:rsidRPr="00310331">
        <w:rPr>
          <w:color w:val="000000" w:themeColor="text1"/>
        </w:rPr>
        <w:t>2006,</w:t>
      </w:r>
      <w:r w:rsidR="00687CFE" w:rsidRPr="00C43CF4">
        <w:rPr>
          <w:i/>
          <w:color w:val="000000" w:themeColor="text1"/>
        </w:rPr>
        <w:t xml:space="preserve"> </w:t>
      </w:r>
      <w:r w:rsidRPr="00C43CF4">
        <w:rPr>
          <w:color w:val="000000" w:themeColor="text1"/>
        </w:rPr>
        <w:t>art 14(2)</w:t>
      </w:r>
      <w:r w:rsidR="0087650A" w:rsidRPr="00C43CF4">
        <w:rPr>
          <w:color w:val="000000" w:themeColor="text1"/>
        </w:rPr>
        <w:t>;</w:t>
      </w:r>
      <w:r w:rsidRPr="00C43CF4">
        <w:rPr>
          <w:i/>
          <w:color w:val="000000" w:themeColor="text1"/>
        </w:rPr>
        <w:t xml:space="preserve"> International Covenant on Civil and Political Rights, </w:t>
      </w:r>
      <w:r w:rsidRPr="00C43CF4">
        <w:rPr>
          <w:color w:val="000000" w:themeColor="text1"/>
        </w:rPr>
        <w:t>1966, art 14(2)</w:t>
      </w:r>
      <w:r w:rsidR="00FA2F42" w:rsidRPr="00C43CF4">
        <w:rPr>
          <w:color w:val="000000" w:themeColor="text1"/>
        </w:rPr>
        <w:t xml:space="preserve">; </w:t>
      </w:r>
      <w:r w:rsidR="00FA2F42" w:rsidRPr="00C43CF4">
        <w:rPr>
          <w:i/>
          <w:color w:val="000000" w:themeColor="text1"/>
        </w:rPr>
        <w:t>Convention on the Rights of the Child</w:t>
      </w:r>
      <w:r w:rsidR="00FA2F42" w:rsidRPr="00C43CF4">
        <w:rPr>
          <w:color w:val="000000" w:themeColor="text1"/>
        </w:rPr>
        <w:t>, 1989, art 40(2)(b)(</w:t>
      </w:r>
      <w:proofErr w:type="spellStart"/>
      <w:r w:rsidR="00FA2F42" w:rsidRPr="00C43CF4">
        <w:rPr>
          <w:color w:val="000000" w:themeColor="text1"/>
        </w:rPr>
        <w:t>i</w:t>
      </w:r>
      <w:proofErr w:type="spellEnd"/>
      <w:r w:rsidR="00FA2F42" w:rsidRPr="00C43CF4">
        <w:rPr>
          <w:color w:val="000000" w:themeColor="text1"/>
        </w:rPr>
        <w:t xml:space="preserve">). At </w:t>
      </w:r>
      <w:hyperlink r:id="rId8" w:history="1">
        <w:r w:rsidR="00FA2F42" w:rsidRPr="00C43CF4">
          <w:rPr>
            <w:rStyle w:val="Hyperlink"/>
            <w:color w:val="000000" w:themeColor="text1"/>
          </w:rPr>
          <w:t>http://www.austlii.edu.au/au/other/dfat/treaties/1991/4.html</w:t>
        </w:r>
      </w:hyperlink>
      <w:r w:rsidR="009E6162">
        <w:rPr>
          <w:color w:val="000000" w:themeColor="text1"/>
        </w:rPr>
        <w:t xml:space="preserve"> (viewed 21 May</w:t>
      </w:r>
      <w:r w:rsidR="00FA2F42" w:rsidRPr="00C43CF4">
        <w:rPr>
          <w:color w:val="000000" w:themeColor="text1"/>
        </w:rPr>
        <w:t xml:space="preserve"> 2015).</w:t>
      </w:r>
    </w:p>
  </w:endnote>
  <w:endnote w:id="11">
    <w:p w14:paraId="04A11EAC" w14:textId="64AC915C" w:rsidR="004D494F" w:rsidRPr="00C43CF4" w:rsidRDefault="004D494F"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 xml:space="preserve">Convention on the Rights of Persons with Disabilities, </w:t>
      </w:r>
      <w:r w:rsidR="00687CFE" w:rsidRPr="00310331">
        <w:rPr>
          <w:color w:val="000000" w:themeColor="text1"/>
        </w:rPr>
        <w:t xml:space="preserve">2006, </w:t>
      </w:r>
      <w:r w:rsidRPr="00310331">
        <w:rPr>
          <w:color w:val="000000" w:themeColor="text1"/>
        </w:rPr>
        <w:t>arts</w:t>
      </w:r>
      <w:r w:rsidRPr="00C43CF4">
        <w:rPr>
          <w:color w:val="000000" w:themeColor="text1"/>
        </w:rPr>
        <w:t xml:space="preserve"> 25 and 26</w:t>
      </w:r>
      <w:r w:rsidR="0087650A" w:rsidRPr="00C43CF4">
        <w:rPr>
          <w:color w:val="000000" w:themeColor="text1"/>
        </w:rPr>
        <w:t xml:space="preserve">; </w:t>
      </w:r>
      <w:r w:rsidR="0087650A" w:rsidRPr="00C43CF4">
        <w:rPr>
          <w:i/>
          <w:color w:val="000000" w:themeColor="text1"/>
        </w:rPr>
        <w:t xml:space="preserve">International Covenant on Economic, Social and Cultural Rights, </w:t>
      </w:r>
      <w:r w:rsidR="0087650A" w:rsidRPr="00C43CF4">
        <w:rPr>
          <w:color w:val="000000" w:themeColor="text1"/>
        </w:rPr>
        <w:t>1966, art 12(1)</w:t>
      </w:r>
      <w:r w:rsidR="009E6162">
        <w:rPr>
          <w:color w:val="000000" w:themeColor="text1"/>
        </w:rPr>
        <w:t xml:space="preserve">. At </w:t>
      </w:r>
      <w:hyperlink r:id="rId9" w:history="1">
        <w:r w:rsidR="009E6162" w:rsidRPr="005178FF">
          <w:rPr>
            <w:rStyle w:val="Hyperlink"/>
          </w:rPr>
          <w:t>http://www.austlii.edu.au/au/other/dfat/treaties/1976/5.html</w:t>
        </w:r>
      </w:hyperlink>
      <w:r w:rsidR="009E6162">
        <w:rPr>
          <w:color w:val="000000" w:themeColor="text1"/>
        </w:rPr>
        <w:t xml:space="preserve"> (viewed 21 May 2015)</w:t>
      </w:r>
      <w:r w:rsidR="00FA2F42" w:rsidRPr="00C43CF4">
        <w:rPr>
          <w:color w:val="000000" w:themeColor="text1"/>
        </w:rPr>
        <w:t xml:space="preserve">; </w:t>
      </w:r>
      <w:r w:rsidR="00FA2F42" w:rsidRPr="00C43CF4">
        <w:rPr>
          <w:i/>
          <w:color w:val="000000" w:themeColor="text1"/>
        </w:rPr>
        <w:t>Convention on the Rights of the Child</w:t>
      </w:r>
      <w:r w:rsidR="002D78E0">
        <w:rPr>
          <w:color w:val="000000" w:themeColor="text1"/>
        </w:rPr>
        <w:t xml:space="preserve">, 1989, arts 24(1) and </w:t>
      </w:r>
      <w:r w:rsidR="00FA2F42" w:rsidRPr="00C43CF4">
        <w:rPr>
          <w:color w:val="000000" w:themeColor="text1"/>
        </w:rPr>
        <w:t>40(1).</w:t>
      </w:r>
    </w:p>
  </w:endnote>
  <w:endnote w:id="12">
    <w:p w14:paraId="3422504D" w14:textId="2904F582" w:rsidR="00B8405E" w:rsidRPr="00C43CF4" w:rsidRDefault="00B8405E"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Convention on the Rights of Persons with Disabilities,</w:t>
      </w:r>
      <w:r w:rsidRPr="00C43CF4">
        <w:rPr>
          <w:color w:val="000000" w:themeColor="text1"/>
        </w:rPr>
        <w:t xml:space="preserve"> </w:t>
      </w:r>
      <w:r w:rsidR="00687CFE" w:rsidRPr="00C43CF4">
        <w:rPr>
          <w:color w:val="000000" w:themeColor="text1"/>
        </w:rPr>
        <w:t xml:space="preserve">2006, </w:t>
      </w:r>
      <w:r w:rsidRPr="00C43CF4">
        <w:rPr>
          <w:color w:val="000000" w:themeColor="text1"/>
        </w:rPr>
        <w:t>art 28</w:t>
      </w:r>
      <w:r w:rsidR="00167B02" w:rsidRPr="00C43CF4">
        <w:rPr>
          <w:color w:val="000000" w:themeColor="text1"/>
        </w:rPr>
        <w:t xml:space="preserve">(1) and (2); </w:t>
      </w:r>
      <w:r w:rsidRPr="00C43CF4">
        <w:rPr>
          <w:color w:val="000000" w:themeColor="text1"/>
        </w:rPr>
        <w:t xml:space="preserve"> </w:t>
      </w:r>
      <w:r w:rsidR="00167B02" w:rsidRPr="00C43CF4">
        <w:rPr>
          <w:i/>
          <w:color w:val="000000" w:themeColor="text1"/>
        </w:rPr>
        <w:t xml:space="preserve">International Covenant on Economic, Social and Cultural Rights, </w:t>
      </w:r>
      <w:r w:rsidR="00167B02" w:rsidRPr="00C43CF4">
        <w:rPr>
          <w:color w:val="000000" w:themeColor="text1"/>
        </w:rPr>
        <w:t>1966, arts 9 and 11(1)</w:t>
      </w:r>
      <w:r w:rsidR="00FA2F42" w:rsidRPr="00C43CF4">
        <w:rPr>
          <w:color w:val="000000" w:themeColor="text1"/>
        </w:rPr>
        <w:t xml:space="preserve">; </w:t>
      </w:r>
      <w:r w:rsidR="00FA2F42" w:rsidRPr="00C43CF4">
        <w:rPr>
          <w:i/>
          <w:color w:val="000000" w:themeColor="text1"/>
        </w:rPr>
        <w:t>Convention on the Rights of the Child</w:t>
      </w:r>
      <w:r w:rsidR="00FA2F42" w:rsidRPr="00C43CF4">
        <w:rPr>
          <w:color w:val="000000" w:themeColor="text1"/>
        </w:rPr>
        <w:t>, 1989, arts 23 and 27(1).</w:t>
      </w:r>
      <w:r w:rsidR="00167B02" w:rsidRPr="00C43CF4">
        <w:rPr>
          <w:color w:val="000000" w:themeColor="text1"/>
        </w:rPr>
        <w:t xml:space="preserve"> </w:t>
      </w:r>
    </w:p>
  </w:endnote>
  <w:endnote w:id="13">
    <w:p w14:paraId="236F6D12" w14:textId="3E4B5085" w:rsidR="00531264" w:rsidRPr="00C43CF4" w:rsidRDefault="00531264"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Statement of Compatibility with Human Rights, Explanatory Memorandum, Social Services Legislation Amendment Bill 2015, p 2.</w:t>
      </w:r>
    </w:p>
  </w:endnote>
  <w:endnote w:id="14">
    <w:p w14:paraId="2445D107" w14:textId="6A5CE56A" w:rsidR="006C2EE3" w:rsidRPr="00C43CF4" w:rsidRDefault="006C2EE3"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See for example, New South Wales Law Reform Commission, </w:t>
      </w:r>
      <w:r w:rsidRPr="00C43CF4">
        <w:rPr>
          <w:i/>
          <w:color w:val="000000" w:themeColor="text1"/>
        </w:rPr>
        <w:t>People with cognitive and mental health impairments in the criminal justice system: criminal responsibility and consequences</w:t>
      </w:r>
      <w:r w:rsidRPr="00C43CF4">
        <w:rPr>
          <w:color w:val="000000" w:themeColor="text1"/>
        </w:rPr>
        <w:t>, Consultation Paper 6 (January 201</w:t>
      </w:r>
      <w:r w:rsidR="002B39F2" w:rsidRPr="00C43CF4">
        <w:rPr>
          <w:color w:val="000000" w:themeColor="text1"/>
        </w:rPr>
        <w:t>2</w:t>
      </w:r>
      <w:r w:rsidRPr="00C43CF4">
        <w:rPr>
          <w:color w:val="000000" w:themeColor="text1"/>
        </w:rPr>
        <w:t xml:space="preserve">), paras 6.53 and 6.54. At </w:t>
      </w:r>
      <w:hyperlink r:id="rId10" w:history="1">
        <w:r w:rsidRPr="00C43CF4">
          <w:rPr>
            <w:rStyle w:val="Hyperlink"/>
            <w:color w:val="000000" w:themeColor="text1"/>
          </w:rPr>
          <w:t>http://www.lawreform.justice.nsw.gov.au/Pages/lrc/lrc_completed_projects/lrc_peoplewithcognitiveandmentalhealthimpairmentsinthecriminaljusticesystem/lrc_peoplewithcognitiveandmentalhealthimpairmentsinthecriminaljusticesystem.aspx</w:t>
        </w:r>
      </w:hyperlink>
      <w:r w:rsidRPr="00C43CF4">
        <w:rPr>
          <w:color w:val="000000" w:themeColor="text1"/>
        </w:rPr>
        <w:t xml:space="preserve"> </w:t>
      </w:r>
      <w:r w:rsidR="003827D1">
        <w:rPr>
          <w:color w:val="000000" w:themeColor="text1"/>
        </w:rPr>
        <w:t>(viewed 21 May</w:t>
      </w:r>
      <w:r w:rsidR="002B39F2" w:rsidRPr="00C43CF4">
        <w:rPr>
          <w:color w:val="000000" w:themeColor="text1"/>
        </w:rPr>
        <w:t xml:space="preserve"> 2015); Victorian Law Reform Commission,</w:t>
      </w:r>
      <w:r w:rsidR="008C6A16" w:rsidRPr="00C43CF4">
        <w:rPr>
          <w:color w:val="000000" w:themeColor="text1"/>
        </w:rPr>
        <w:t xml:space="preserve"> </w:t>
      </w:r>
      <w:r w:rsidR="003827D1" w:rsidRPr="00C43CF4">
        <w:rPr>
          <w:i/>
          <w:color w:val="000000" w:themeColor="text1"/>
        </w:rPr>
        <w:t>Review of the Crimes (Mental Impairment and Unfitness to be Tried) Act 1997: Report</w:t>
      </w:r>
      <w:r w:rsidR="00E933E5">
        <w:rPr>
          <w:color w:val="000000" w:themeColor="text1"/>
        </w:rPr>
        <w:t xml:space="preserve"> (</w:t>
      </w:r>
      <w:r w:rsidR="003827D1" w:rsidRPr="00C43CF4">
        <w:rPr>
          <w:color w:val="000000" w:themeColor="text1"/>
        </w:rPr>
        <w:t>2014)</w:t>
      </w:r>
      <w:r w:rsidR="002B39F2" w:rsidRPr="00C43CF4">
        <w:rPr>
          <w:color w:val="000000" w:themeColor="text1"/>
        </w:rPr>
        <w:t xml:space="preserve">, para 2.101. At </w:t>
      </w:r>
      <w:hyperlink r:id="rId11" w:history="1">
        <w:r w:rsidR="002B39F2" w:rsidRPr="00C43CF4">
          <w:rPr>
            <w:rStyle w:val="Hyperlink"/>
            <w:color w:val="000000" w:themeColor="text1"/>
          </w:rPr>
          <w:t>http://www.lawreform.vic.gov.au/projects/crimes-mental-impairment/crimes-mental-impairment-and-unfitness-be-tried-act-1997-report</w:t>
        </w:r>
      </w:hyperlink>
      <w:r w:rsidR="002B39F2" w:rsidRPr="00C43CF4">
        <w:rPr>
          <w:color w:val="000000" w:themeColor="text1"/>
        </w:rPr>
        <w:t xml:space="preserve"> (viewed 30 April 2015).</w:t>
      </w:r>
    </w:p>
  </w:endnote>
  <w:endnote w:id="15">
    <w:p w14:paraId="2570CC6A" w14:textId="08DA1151" w:rsidR="00370668" w:rsidRPr="00C43CF4" w:rsidRDefault="00370668"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See, for example, </w:t>
      </w:r>
      <w:r w:rsidR="00366025" w:rsidRPr="00C43CF4">
        <w:rPr>
          <w:i/>
          <w:color w:val="000000" w:themeColor="text1"/>
        </w:rPr>
        <w:t>Mental Health (Forensic Provisions) Act 1990</w:t>
      </w:r>
      <w:r w:rsidR="00366025" w:rsidRPr="00C43CF4">
        <w:rPr>
          <w:color w:val="000000" w:themeColor="text1"/>
        </w:rPr>
        <w:t xml:space="preserve"> (NSW),</w:t>
      </w:r>
      <w:r w:rsidR="0035599D" w:rsidRPr="00C43CF4">
        <w:rPr>
          <w:color w:val="000000" w:themeColor="text1"/>
        </w:rPr>
        <w:t xml:space="preserve"> s 40; New South Wales Law Reform Commission, above</w:t>
      </w:r>
      <w:r w:rsidR="00512E96" w:rsidRPr="00C43CF4">
        <w:rPr>
          <w:color w:val="000000" w:themeColor="text1"/>
        </w:rPr>
        <w:t>, paras 6.53 – 6.57; V</w:t>
      </w:r>
      <w:r w:rsidR="002D0A80" w:rsidRPr="00C43CF4">
        <w:rPr>
          <w:color w:val="000000" w:themeColor="text1"/>
        </w:rPr>
        <w:t xml:space="preserve">ictorian Law Reform Commission, </w:t>
      </w:r>
      <w:r w:rsidR="003827D1">
        <w:rPr>
          <w:color w:val="000000" w:themeColor="text1"/>
        </w:rPr>
        <w:t xml:space="preserve">above, </w:t>
      </w:r>
      <w:r w:rsidR="008A1D58" w:rsidRPr="00C43CF4">
        <w:rPr>
          <w:color w:val="000000" w:themeColor="text1"/>
        </w:rPr>
        <w:t>paras 2.101- 2.105</w:t>
      </w:r>
      <w:r w:rsidR="002D0A80" w:rsidRPr="00C43CF4">
        <w:rPr>
          <w:color w:val="000000" w:themeColor="text1"/>
        </w:rPr>
        <w:t>.</w:t>
      </w:r>
    </w:p>
  </w:endnote>
  <w:endnote w:id="16">
    <w:p w14:paraId="1DFE1FAE" w14:textId="30D702EE" w:rsidR="00E6414F" w:rsidRPr="00C43CF4" w:rsidRDefault="00E6414F"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0028403C" w:rsidRPr="00C43CF4">
        <w:rPr>
          <w:color w:val="000000" w:themeColor="text1"/>
        </w:rPr>
        <w:t xml:space="preserve">The Statement of Compatibility with </w:t>
      </w:r>
      <w:r w:rsidR="00615F25" w:rsidRPr="00C43CF4">
        <w:rPr>
          <w:color w:val="000000" w:themeColor="text1"/>
        </w:rPr>
        <w:t>Human Rights only acknowledges that</w:t>
      </w:r>
      <w:r w:rsidR="0028403C" w:rsidRPr="00C43CF4">
        <w:rPr>
          <w:color w:val="000000" w:themeColor="text1"/>
        </w:rPr>
        <w:t xml:space="preserve"> </w:t>
      </w:r>
      <w:r w:rsidR="003827D1">
        <w:rPr>
          <w:rFonts w:cs="Arial"/>
          <w:color w:val="000000" w:themeColor="text1"/>
        </w:rPr>
        <w:t>‘</w:t>
      </w:r>
      <w:r w:rsidR="00615F25" w:rsidRPr="00C43CF4">
        <w:rPr>
          <w:rFonts w:cs="Arial"/>
          <w:color w:val="000000" w:themeColor="text1"/>
        </w:rPr>
        <w:t xml:space="preserve">…people who are undergoing psychiatric confinement </w:t>
      </w:r>
      <w:r w:rsidR="00615F25" w:rsidRPr="00C43CF4">
        <w:rPr>
          <w:rFonts w:cs="Arial"/>
          <w:b/>
          <w:color w:val="000000" w:themeColor="text1"/>
        </w:rPr>
        <w:t>may</w:t>
      </w:r>
      <w:r w:rsidR="00615F25" w:rsidRPr="00C43CF4">
        <w:rPr>
          <w:rFonts w:cs="Arial"/>
          <w:color w:val="000000" w:themeColor="text1"/>
        </w:rPr>
        <w:t xml:space="preserve"> [emp</w:t>
      </w:r>
      <w:r w:rsidR="003827D1">
        <w:rPr>
          <w:rFonts w:cs="Arial"/>
          <w:color w:val="000000" w:themeColor="text1"/>
        </w:rPr>
        <w:t>hasis added] have a disability…’</w:t>
      </w:r>
      <w:r w:rsidR="00615F25" w:rsidRPr="00C43CF4">
        <w:rPr>
          <w:rFonts w:cs="Arial"/>
          <w:color w:val="000000" w:themeColor="text1"/>
        </w:rPr>
        <w:t xml:space="preserve">  </w:t>
      </w:r>
      <w:r w:rsidR="0028403C" w:rsidRPr="00C43CF4">
        <w:rPr>
          <w:color w:val="000000" w:themeColor="text1"/>
        </w:rPr>
        <w:t>Explanatory Memorandum, Social Services Legislation Amendment Bill 2015, p 5.</w:t>
      </w:r>
      <w:r w:rsidRPr="00C43CF4">
        <w:rPr>
          <w:rFonts w:cs="Arial"/>
          <w:color w:val="000000" w:themeColor="text1"/>
          <w:highlight w:val="yellow"/>
        </w:rPr>
        <w:t xml:space="preserve"> </w:t>
      </w:r>
    </w:p>
  </w:endnote>
  <w:endnote w:id="17">
    <w:p w14:paraId="47E0EAD2" w14:textId="43982845" w:rsidR="00F73FF0" w:rsidRPr="00C43CF4" w:rsidRDefault="00F73FF0"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UN Committee on the Rights of Persons with Disabilities, </w:t>
      </w:r>
      <w:r w:rsidRPr="00C43CF4">
        <w:rPr>
          <w:i/>
          <w:color w:val="000000" w:themeColor="text1"/>
        </w:rPr>
        <w:t>Concluding Observations on the initial report of Australia, adopted by the Committee at its tenth session (2–13 September 2013)</w:t>
      </w:r>
      <w:r w:rsidRPr="00C43CF4">
        <w:rPr>
          <w:color w:val="000000" w:themeColor="text1"/>
        </w:rPr>
        <w:t xml:space="preserve">, UN Doc CRPD/C/AUS/CO/1 (2013), para 31. At </w:t>
      </w:r>
      <w:hyperlink r:id="rId12" w:history="1">
        <w:r w:rsidR="002D0A80" w:rsidRPr="00C43CF4">
          <w:rPr>
            <w:rStyle w:val="Hyperlink"/>
            <w:color w:val="000000" w:themeColor="text1"/>
          </w:rPr>
          <w:t>http://tbinternet.ohchr.org/_layouts/treatybodyexternal/TBSearch.aspx?Lang=en&amp;TreatyID=4&amp;DocTypeID=5</w:t>
        </w:r>
      </w:hyperlink>
      <w:r w:rsidR="002D0A80" w:rsidRPr="00C43CF4">
        <w:rPr>
          <w:color w:val="000000" w:themeColor="text1"/>
        </w:rPr>
        <w:t xml:space="preserve"> </w:t>
      </w:r>
      <w:hyperlink r:id="rId13" w:history="1"/>
      <w:r w:rsidR="00D94694">
        <w:rPr>
          <w:color w:val="000000" w:themeColor="text1"/>
        </w:rPr>
        <w:t xml:space="preserve"> (viewed 21 May</w:t>
      </w:r>
      <w:r w:rsidRPr="00C43CF4">
        <w:rPr>
          <w:color w:val="000000" w:themeColor="text1"/>
        </w:rPr>
        <w:t xml:space="preserve"> 2015).</w:t>
      </w:r>
    </w:p>
  </w:endnote>
  <w:endnote w:id="18">
    <w:p w14:paraId="4AC9D45A" w14:textId="3F4DC7AB" w:rsidR="00C45782" w:rsidRPr="00C43CF4" w:rsidRDefault="00C45782" w:rsidP="00ED5848">
      <w:pPr>
        <w:pStyle w:val="EndnoteText"/>
        <w:spacing w:after="120"/>
        <w:ind w:left="284" w:hanging="284"/>
        <w:rPr>
          <w:rFonts w:cs="Arial"/>
          <w:color w:val="000000" w:themeColor="text1"/>
        </w:rPr>
      </w:pPr>
      <w:r w:rsidRPr="00C43CF4">
        <w:rPr>
          <w:rStyle w:val="EndnoteReference"/>
          <w:rFonts w:cs="Arial"/>
          <w:color w:val="000000" w:themeColor="text1"/>
        </w:rPr>
        <w:endnoteRef/>
      </w:r>
      <w:r w:rsidRPr="00C43CF4">
        <w:rPr>
          <w:rFonts w:cs="Arial"/>
          <w:color w:val="000000" w:themeColor="text1"/>
        </w:rPr>
        <w:t xml:space="preserve"> </w:t>
      </w:r>
      <w:r w:rsidR="00ED5848">
        <w:rPr>
          <w:rFonts w:cs="Arial"/>
          <w:color w:val="000000" w:themeColor="text1"/>
        </w:rPr>
        <w:tab/>
      </w:r>
      <w:r w:rsidRPr="00C43CF4">
        <w:rPr>
          <w:rFonts w:cs="Arial"/>
          <w:color w:val="000000" w:themeColor="text1"/>
        </w:rPr>
        <w:t xml:space="preserve">Committee for Economic Development of Australia, </w:t>
      </w:r>
      <w:r w:rsidRPr="00C43CF4">
        <w:rPr>
          <w:rFonts w:cs="Arial"/>
          <w:i/>
          <w:color w:val="000000" w:themeColor="text1"/>
        </w:rPr>
        <w:t>Addressing entrenched disadvantage in Australia</w:t>
      </w:r>
      <w:r w:rsidRPr="00C43CF4">
        <w:rPr>
          <w:rFonts w:cs="Arial"/>
          <w:color w:val="000000" w:themeColor="text1"/>
        </w:rPr>
        <w:t xml:space="preserve"> (April 2015) p 83.</w:t>
      </w:r>
      <w:r w:rsidR="00D94694">
        <w:rPr>
          <w:rFonts w:cs="Arial"/>
          <w:color w:val="000000" w:themeColor="text1"/>
        </w:rPr>
        <w:t xml:space="preserve"> At </w:t>
      </w:r>
      <w:hyperlink r:id="rId14" w:history="1">
        <w:r w:rsidR="00D94694" w:rsidRPr="005178FF">
          <w:rPr>
            <w:rStyle w:val="Hyperlink"/>
            <w:rFonts w:cs="Arial"/>
          </w:rPr>
          <w:t>http://www.ceda.com.au/research-and-policy/policy-priorities/disadvantage</w:t>
        </w:r>
      </w:hyperlink>
      <w:r w:rsidR="00D94694">
        <w:rPr>
          <w:rFonts w:cs="Arial"/>
          <w:color w:val="000000" w:themeColor="text1"/>
        </w:rPr>
        <w:t xml:space="preserve"> (viewed 21 May 2015).</w:t>
      </w:r>
    </w:p>
  </w:endnote>
  <w:endnote w:id="19">
    <w:p w14:paraId="3BE459C9" w14:textId="25F1B47A" w:rsidR="00C45782" w:rsidRPr="00C43CF4" w:rsidRDefault="00C45782" w:rsidP="00ED5848">
      <w:pPr>
        <w:pStyle w:val="EndnoteText"/>
        <w:spacing w:after="120"/>
        <w:ind w:left="284" w:hanging="284"/>
        <w:rPr>
          <w:color w:val="000000" w:themeColor="text1"/>
        </w:rPr>
      </w:pPr>
      <w:r w:rsidRPr="00C43CF4">
        <w:rPr>
          <w:rStyle w:val="EndnoteReference"/>
          <w:rFonts w:cs="Arial"/>
          <w:color w:val="000000" w:themeColor="text1"/>
        </w:rPr>
        <w:endnoteRef/>
      </w:r>
      <w:r w:rsidRPr="00C43CF4">
        <w:rPr>
          <w:rFonts w:cs="Arial"/>
          <w:color w:val="000000" w:themeColor="text1"/>
        </w:rPr>
        <w:t xml:space="preserve"> </w:t>
      </w:r>
      <w:r w:rsidR="00ED5848">
        <w:rPr>
          <w:rFonts w:cs="Arial"/>
          <w:color w:val="000000" w:themeColor="text1"/>
        </w:rPr>
        <w:tab/>
      </w:r>
      <w:r w:rsidRPr="00C43CF4">
        <w:rPr>
          <w:rFonts w:cs="Arial"/>
          <w:color w:val="000000" w:themeColor="text1"/>
        </w:rPr>
        <w:t xml:space="preserve">Committee for Economic Development of Australia, </w:t>
      </w:r>
      <w:r w:rsidR="00D94694" w:rsidRPr="00D94694">
        <w:rPr>
          <w:rFonts w:cs="Arial"/>
          <w:color w:val="000000" w:themeColor="text1"/>
        </w:rPr>
        <w:t>above,</w:t>
      </w:r>
      <w:r w:rsidR="00D94694">
        <w:rPr>
          <w:rFonts w:cs="Arial"/>
          <w:i/>
          <w:color w:val="000000" w:themeColor="text1"/>
        </w:rPr>
        <w:t xml:space="preserve"> </w:t>
      </w:r>
      <w:r w:rsidRPr="00C43CF4">
        <w:rPr>
          <w:rFonts w:cs="Arial"/>
          <w:color w:val="000000" w:themeColor="text1"/>
        </w:rPr>
        <w:t>p 83.</w:t>
      </w:r>
    </w:p>
  </w:endnote>
  <w:endnote w:id="20">
    <w:p w14:paraId="7E446A08" w14:textId="44A57F7E" w:rsidR="004723AA" w:rsidRPr="00C43CF4" w:rsidRDefault="004723AA"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002A6CE9" w:rsidRPr="00C43CF4">
        <w:rPr>
          <w:color w:val="000000" w:themeColor="text1"/>
        </w:rPr>
        <w:t xml:space="preserve">See M Gooda, </w:t>
      </w:r>
      <w:r w:rsidR="002A6CE9" w:rsidRPr="00C43CF4">
        <w:rPr>
          <w:i/>
          <w:color w:val="000000" w:themeColor="text1"/>
        </w:rPr>
        <w:t>Social Justice Report 2012</w:t>
      </w:r>
      <w:r w:rsidR="002A6CE9" w:rsidRPr="00C43CF4">
        <w:rPr>
          <w:color w:val="000000" w:themeColor="text1"/>
        </w:rPr>
        <w:t xml:space="preserve">, Australian Human Rights Commission (2012), pp 62-4. At </w:t>
      </w:r>
      <w:hyperlink r:id="rId15" w:history="1">
        <w:r w:rsidR="002A6CE9" w:rsidRPr="00C43CF4">
          <w:rPr>
            <w:rStyle w:val="Hyperlink"/>
            <w:color w:val="000000" w:themeColor="text1"/>
          </w:rPr>
          <w:t>http://www.humanrights.gov.au/our-work/aboriginal-and-torres-strait-islander-social-justice/publications/social-justice-report-11</w:t>
        </w:r>
      </w:hyperlink>
      <w:r w:rsidR="00D94694">
        <w:rPr>
          <w:color w:val="000000" w:themeColor="text1"/>
        </w:rPr>
        <w:t xml:space="preserve"> (viewed 21 May</w:t>
      </w:r>
      <w:r w:rsidR="002A6CE9" w:rsidRPr="00C43CF4">
        <w:rPr>
          <w:color w:val="000000" w:themeColor="text1"/>
        </w:rPr>
        <w:t xml:space="preserve"> 2015); M Gooda, </w:t>
      </w:r>
      <w:r w:rsidRPr="00D94694">
        <w:rPr>
          <w:i/>
          <w:color w:val="000000" w:themeColor="text1"/>
        </w:rPr>
        <w:t xml:space="preserve">Social </w:t>
      </w:r>
      <w:r w:rsidR="002A6CE9" w:rsidRPr="00D94694">
        <w:rPr>
          <w:i/>
          <w:color w:val="000000" w:themeColor="text1"/>
        </w:rPr>
        <w:t>J</w:t>
      </w:r>
      <w:r w:rsidRPr="00D94694">
        <w:rPr>
          <w:i/>
          <w:color w:val="000000" w:themeColor="text1"/>
        </w:rPr>
        <w:t xml:space="preserve">ustice and </w:t>
      </w:r>
      <w:r w:rsidR="002A6CE9" w:rsidRPr="00D94694">
        <w:rPr>
          <w:i/>
          <w:color w:val="000000" w:themeColor="text1"/>
        </w:rPr>
        <w:t>N</w:t>
      </w:r>
      <w:r w:rsidRPr="00D94694">
        <w:rPr>
          <w:i/>
          <w:color w:val="000000" w:themeColor="text1"/>
        </w:rPr>
        <w:t>ative Title Report 2013</w:t>
      </w:r>
      <w:r w:rsidR="002A6CE9" w:rsidRPr="00C43CF4">
        <w:rPr>
          <w:color w:val="000000" w:themeColor="text1"/>
        </w:rPr>
        <w:t xml:space="preserve">, Australian Human Rights Commission (2013), </w:t>
      </w:r>
      <w:r w:rsidRPr="00C43CF4">
        <w:rPr>
          <w:color w:val="000000" w:themeColor="text1"/>
        </w:rPr>
        <w:t>p 55</w:t>
      </w:r>
      <w:r w:rsidR="000935DA" w:rsidRPr="00C43CF4">
        <w:rPr>
          <w:color w:val="000000" w:themeColor="text1"/>
        </w:rPr>
        <w:t>.</w:t>
      </w:r>
      <w:r w:rsidR="002A6CE9" w:rsidRPr="00C43CF4">
        <w:rPr>
          <w:color w:val="000000" w:themeColor="text1"/>
        </w:rPr>
        <w:t xml:space="preserve"> At </w:t>
      </w:r>
      <w:hyperlink r:id="rId16" w:history="1">
        <w:r w:rsidR="002A6CE9" w:rsidRPr="00C43CF4">
          <w:rPr>
            <w:rStyle w:val="Hyperlink"/>
            <w:color w:val="000000" w:themeColor="text1"/>
          </w:rPr>
          <w:t>http://www.humanrights.gov.au/our-work/aboriginal-and-torres-strait-islander-social-justice/publications/social-justice-and-native</w:t>
        </w:r>
      </w:hyperlink>
      <w:r w:rsidR="00D94694">
        <w:rPr>
          <w:color w:val="000000" w:themeColor="text1"/>
        </w:rPr>
        <w:t xml:space="preserve"> (viewed 21 May</w:t>
      </w:r>
      <w:r w:rsidR="002A6CE9" w:rsidRPr="00C43CF4">
        <w:rPr>
          <w:color w:val="000000" w:themeColor="text1"/>
        </w:rPr>
        <w:t xml:space="preserve"> 2015).</w:t>
      </w:r>
    </w:p>
  </w:endnote>
  <w:endnote w:id="21">
    <w:p w14:paraId="3D277A20" w14:textId="1C18D014" w:rsidR="002A6CE9" w:rsidRPr="00C43CF4" w:rsidRDefault="002A6CE9"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M Gooda, </w:t>
      </w:r>
      <w:r w:rsidRPr="00C43CF4">
        <w:rPr>
          <w:i/>
          <w:color w:val="000000" w:themeColor="text1"/>
        </w:rPr>
        <w:t>Social Justice Report 2012</w:t>
      </w:r>
      <w:r w:rsidRPr="00C43CF4">
        <w:rPr>
          <w:color w:val="000000" w:themeColor="text1"/>
        </w:rPr>
        <w:t>, Australian Human</w:t>
      </w:r>
      <w:r w:rsidR="00D94694">
        <w:rPr>
          <w:color w:val="000000" w:themeColor="text1"/>
        </w:rPr>
        <w:t xml:space="preserve"> Rights Commission (2012), pp </w:t>
      </w:r>
      <w:r w:rsidRPr="00C43CF4">
        <w:rPr>
          <w:color w:val="000000" w:themeColor="text1"/>
        </w:rPr>
        <w:t xml:space="preserve">63-4. At </w:t>
      </w:r>
      <w:hyperlink r:id="rId17" w:history="1">
        <w:r w:rsidRPr="00C43CF4">
          <w:rPr>
            <w:rStyle w:val="Hyperlink"/>
            <w:color w:val="000000" w:themeColor="text1"/>
          </w:rPr>
          <w:t>http://www.humanrights.gov.au/our-work/aboriginal-and-torres-strait-islander-social-justice/publications/social-justice-report-11</w:t>
        </w:r>
      </w:hyperlink>
      <w:r w:rsidRPr="00C43CF4">
        <w:rPr>
          <w:color w:val="000000" w:themeColor="text1"/>
        </w:rPr>
        <w:t xml:space="preserve"> (viewed </w:t>
      </w:r>
      <w:r w:rsidR="00D94694">
        <w:rPr>
          <w:color w:val="000000" w:themeColor="text1"/>
        </w:rPr>
        <w:t xml:space="preserve">21 May </w:t>
      </w:r>
      <w:r w:rsidRPr="00C43CF4">
        <w:rPr>
          <w:color w:val="000000" w:themeColor="text1"/>
        </w:rPr>
        <w:t>2015).</w:t>
      </w:r>
    </w:p>
  </w:endnote>
  <w:endnote w:id="22">
    <w:p w14:paraId="735ED44C" w14:textId="7EF357CB" w:rsidR="00687CFE" w:rsidRPr="00C43CF4" w:rsidRDefault="00687CFE"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i/>
          <w:color w:val="000000" w:themeColor="text1"/>
        </w:rPr>
        <w:t xml:space="preserve">Convention on the Rights of Persons with Disabilities, </w:t>
      </w:r>
      <w:r w:rsidRPr="00C43CF4">
        <w:rPr>
          <w:color w:val="000000" w:themeColor="text1"/>
        </w:rPr>
        <w:t>2006, art</w:t>
      </w:r>
      <w:r w:rsidR="00DE2289" w:rsidRPr="00C43CF4">
        <w:rPr>
          <w:color w:val="000000" w:themeColor="text1"/>
        </w:rPr>
        <w:t>s</w:t>
      </w:r>
      <w:r w:rsidRPr="00C43CF4">
        <w:rPr>
          <w:color w:val="000000" w:themeColor="text1"/>
        </w:rPr>
        <w:t xml:space="preserve"> 25 (b)</w:t>
      </w:r>
      <w:r w:rsidR="00DE2289" w:rsidRPr="00C43CF4">
        <w:rPr>
          <w:color w:val="000000" w:themeColor="text1"/>
        </w:rPr>
        <w:t xml:space="preserve"> and 28(1)</w:t>
      </w:r>
      <w:r w:rsidRPr="00C43CF4">
        <w:rPr>
          <w:color w:val="000000" w:themeColor="text1"/>
        </w:rPr>
        <w:t>.</w:t>
      </w:r>
    </w:p>
  </w:endnote>
  <w:endnote w:id="23">
    <w:p w14:paraId="180366FD" w14:textId="587C005B" w:rsidR="002040F5" w:rsidRPr="00C43CF4" w:rsidRDefault="002040F5" w:rsidP="00ED5848">
      <w:pPr>
        <w:shd w:val="clear" w:color="auto" w:fill="FFFFFF"/>
        <w:spacing w:before="0" w:after="120"/>
        <w:ind w:left="284" w:hanging="284"/>
        <w:textAlignment w:val="top"/>
        <w:rPr>
          <w:color w:val="000000" w:themeColor="text1"/>
          <w:sz w:val="20"/>
          <w:szCs w:val="20"/>
        </w:rPr>
      </w:pPr>
      <w:r w:rsidRPr="00C43CF4">
        <w:rPr>
          <w:rStyle w:val="EndnoteReference"/>
          <w:color w:val="000000" w:themeColor="text1"/>
          <w:szCs w:val="20"/>
        </w:rPr>
        <w:endnoteRef/>
      </w:r>
      <w:r w:rsidRPr="00C43CF4">
        <w:rPr>
          <w:color w:val="000000" w:themeColor="text1"/>
          <w:sz w:val="20"/>
          <w:szCs w:val="20"/>
        </w:rPr>
        <w:t xml:space="preserve"> </w:t>
      </w:r>
      <w:r w:rsidR="00ED5848">
        <w:rPr>
          <w:color w:val="000000" w:themeColor="text1"/>
          <w:sz w:val="20"/>
          <w:szCs w:val="20"/>
        </w:rPr>
        <w:tab/>
      </w:r>
      <w:r w:rsidRPr="00C43CF4">
        <w:rPr>
          <w:color w:val="000000" w:themeColor="text1"/>
          <w:sz w:val="20"/>
          <w:szCs w:val="20"/>
        </w:rPr>
        <w:t xml:space="preserve">Article 26 reads: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w:t>
      </w:r>
      <w:proofErr w:type="spellStart"/>
      <w:r w:rsidRPr="00C43CF4">
        <w:rPr>
          <w:color w:val="000000" w:themeColor="text1"/>
          <w:sz w:val="20"/>
          <w:szCs w:val="20"/>
        </w:rPr>
        <w:t>habilitation</w:t>
      </w:r>
      <w:proofErr w:type="spellEnd"/>
      <w:r w:rsidRPr="00C43CF4">
        <w:rPr>
          <w:color w:val="000000" w:themeColor="text1"/>
          <w:sz w:val="20"/>
          <w:szCs w:val="20"/>
        </w:rPr>
        <w:t xml:space="preserve"> and rehabilitation services and programmes, particularly in the areas of health, employment, education and social services, in such a way that these services and programmes:</w:t>
      </w:r>
    </w:p>
    <w:p w14:paraId="5592C9A8" w14:textId="1F5A67CC" w:rsidR="002040F5" w:rsidRPr="00494356" w:rsidRDefault="002040F5" w:rsidP="00ED5848">
      <w:pPr>
        <w:pStyle w:val="ListParagraph"/>
        <w:numPr>
          <w:ilvl w:val="0"/>
          <w:numId w:val="34"/>
        </w:numPr>
        <w:shd w:val="clear" w:color="auto" w:fill="FFFFFF"/>
        <w:spacing w:before="0" w:after="120"/>
        <w:ind w:left="567" w:hanging="283"/>
        <w:textAlignment w:val="top"/>
        <w:rPr>
          <w:color w:val="000000" w:themeColor="text1"/>
          <w:sz w:val="20"/>
          <w:szCs w:val="20"/>
        </w:rPr>
      </w:pPr>
      <w:r w:rsidRPr="00494356">
        <w:rPr>
          <w:color w:val="000000" w:themeColor="text1"/>
          <w:sz w:val="20"/>
          <w:szCs w:val="20"/>
        </w:rPr>
        <w:t>Begin at the earliest possible stage, and are based on the multidisciplinary assessment of individual needs and strengths;</w:t>
      </w:r>
    </w:p>
    <w:p w14:paraId="7B4F1263" w14:textId="664D3C46" w:rsidR="002040F5" w:rsidRPr="00494356" w:rsidRDefault="002040F5" w:rsidP="00ED5848">
      <w:pPr>
        <w:pStyle w:val="ListParagraph"/>
        <w:numPr>
          <w:ilvl w:val="0"/>
          <w:numId w:val="34"/>
        </w:numPr>
        <w:shd w:val="clear" w:color="auto" w:fill="FFFFFF"/>
        <w:spacing w:before="0" w:after="120"/>
        <w:ind w:left="567" w:hanging="283"/>
        <w:textAlignment w:val="top"/>
        <w:rPr>
          <w:color w:val="000000" w:themeColor="text1"/>
          <w:sz w:val="20"/>
          <w:szCs w:val="20"/>
        </w:rPr>
      </w:pPr>
      <w:r w:rsidRPr="00494356">
        <w:rPr>
          <w:color w:val="000000" w:themeColor="text1"/>
          <w:sz w:val="20"/>
          <w:szCs w:val="20"/>
        </w:rPr>
        <w:t>Support participation and inclusion in the community and all aspects of society…’</w:t>
      </w:r>
    </w:p>
  </w:endnote>
  <w:endnote w:id="24">
    <w:p w14:paraId="2381506F" w14:textId="28267568" w:rsidR="00516487" w:rsidRPr="00C43CF4" w:rsidRDefault="00516487"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Victorian Law Reform Commission,</w:t>
      </w:r>
      <w:r w:rsidR="002D0A80" w:rsidRPr="00C43CF4">
        <w:rPr>
          <w:color w:val="000000" w:themeColor="text1"/>
        </w:rPr>
        <w:t xml:space="preserve"> </w:t>
      </w:r>
      <w:r w:rsidR="002D0A80" w:rsidRPr="00D94694">
        <w:rPr>
          <w:i/>
          <w:color w:val="000000" w:themeColor="text1"/>
        </w:rPr>
        <w:t>Review of the Crimes (Mental Impairment and Unfitness to be Tried) Act 1997</w:t>
      </w:r>
      <w:r w:rsidR="00D94694">
        <w:rPr>
          <w:color w:val="000000" w:themeColor="text1"/>
        </w:rPr>
        <w:t xml:space="preserve"> (</w:t>
      </w:r>
      <w:r w:rsidR="002D0A80" w:rsidRPr="00C43CF4">
        <w:rPr>
          <w:color w:val="000000" w:themeColor="text1"/>
        </w:rPr>
        <w:t>2014</w:t>
      </w:r>
      <w:r w:rsidR="00D94694">
        <w:rPr>
          <w:color w:val="000000" w:themeColor="text1"/>
        </w:rPr>
        <w:t>)</w:t>
      </w:r>
      <w:r w:rsidR="002D0A80" w:rsidRPr="00C43CF4">
        <w:rPr>
          <w:color w:val="000000" w:themeColor="text1"/>
        </w:rPr>
        <w:t xml:space="preserve">, </w:t>
      </w:r>
      <w:r w:rsidRPr="00C43CF4">
        <w:rPr>
          <w:color w:val="000000" w:themeColor="text1"/>
        </w:rPr>
        <w:t>para 2.105.</w:t>
      </w:r>
      <w:r w:rsidR="002D0A80" w:rsidRPr="00C43CF4">
        <w:rPr>
          <w:color w:val="000000" w:themeColor="text1"/>
        </w:rPr>
        <w:t xml:space="preserve">  At </w:t>
      </w:r>
      <w:hyperlink r:id="rId18" w:history="1">
        <w:r w:rsidR="002D0A80" w:rsidRPr="00C43CF4">
          <w:rPr>
            <w:rStyle w:val="Hyperlink"/>
            <w:color w:val="000000" w:themeColor="text1"/>
          </w:rPr>
          <w:t>http://www.lawreform.vic.gov.au/projects/crimes-mental-impairment/crimes-mental-impairment-and-unfitness-be-tried-act-1997-report</w:t>
        </w:r>
      </w:hyperlink>
      <w:r w:rsidR="00D94694">
        <w:rPr>
          <w:color w:val="000000" w:themeColor="text1"/>
        </w:rPr>
        <w:t xml:space="preserve"> (viewed 21 May</w:t>
      </w:r>
      <w:r w:rsidR="002D0A80" w:rsidRPr="00C43CF4">
        <w:rPr>
          <w:color w:val="000000" w:themeColor="text1"/>
        </w:rPr>
        <w:t xml:space="preserve"> 2015).</w:t>
      </w:r>
    </w:p>
  </w:endnote>
  <w:endnote w:id="25">
    <w:p w14:paraId="32F77E87" w14:textId="6672E228" w:rsidR="00DC36B0" w:rsidRPr="00C43CF4" w:rsidRDefault="00DC36B0"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Explanatory Memorandum, Social Services Legislation Amendment Bill 2015, p 3.</w:t>
      </w:r>
    </w:p>
  </w:endnote>
  <w:endnote w:id="26">
    <w:p w14:paraId="5BBDD077" w14:textId="605B0E64" w:rsidR="00E55D76" w:rsidRPr="00C43CF4" w:rsidRDefault="00E55D76"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 xml:space="preserve">See, for example, Victorian Law Reform Commission, </w:t>
      </w:r>
      <w:r w:rsidR="002D0A80" w:rsidRPr="00E933E5">
        <w:rPr>
          <w:i/>
          <w:color w:val="000000" w:themeColor="text1"/>
        </w:rPr>
        <w:t>Review of the Crimes (Mental Impairment and Unfitness to be Tried) Act 1997</w:t>
      </w:r>
      <w:r w:rsidR="00E933E5">
        <w:rPr>
          <w:color w:val="000000" w:themeColor="text1"/>
        </w:rPr>
        <w:t xml:space="preserve"> (2014),</w:t>
      </w:r>
      <w:r w:rsidR="002D0A80" w:rsidRPr="00C43CF4">
        <w:rPr>
          <w:color w:val="000000" w:themeColor="text1"/>
        </w:rPr>
        <w:t xml:space="preserve"> </w:t>
      </w:r>
      <w:r w:rsidRPr="00C43CF4">
        <w:rPr>
          <w:color w:val="000000" w:themeColor="text1"/>
        </w:rPr>
        <w:t>para 2.101.</w:t>
      </w:r>
      <w:r w:rsidR="002D0A80" w:rsidRPr="00C43CF4">
        <w:rPr>
          <w:color w:val="000000" w:themeColor="text1"/>
        </w:rPr>
        <w:t xml:space="preserve">  At </w:t>
      </w:r>
      <w:hyperlink r:id="rId19" w:history="1">
        <w:r w:rsidR="002D0A80" w:rsidRPr="00C43CF4">
          <w:rPr>
            <w:rStyle w:val="Hyperlink"/>
            <w:color w:val="000000" w:themeColor="text1"/>
          </w:rPr>
          <w:t>http://www.lawreform.vic.gov.au/projects/crimes-mental-impairment/crimes-mental-impairment-and-unfitness-be-tried-act-1997-report</w:t>
        </w:r>
      </w:hyperlink>
      <w:r w:rsidR="00E933E5">
        <w:rPr>
          <w:color w:val="000000" w:themeColor="text1"/>
        </w:rPr>
        <w:t xml:space="preserve"> (viewed 21 May</w:t>
      </w:r>
      <w:r w:rsidR="002D0A80" w:rsidRPr="00C43CF4">
        <w:rPr>
          <w:color w:val="000000" w:themeColor="text1"/>
        </w:rPr>
        <w:t xml:space="preserve"> 2015).</w:t>
      </w:r>
    </w:p>
  </w:endnote>
  <w:endnote w:id="27">
    <w:p w14:paraId="4AF1CA55" w14:textId="204407D1" w:rsidR="00FE36DB" w:rsidRPr="00C43CF4" w:rsidRDefault="00FE36DB"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Explanatory Memorandum, Social Services Legislation Amendment Bill 2015, p 6.</w:t>
      </w:r>
    </w:p>
  </w:endnote>
  <w:endnote w:id="28">
    <w:p w14:paraId="3AF52219" w14:textId="6CECAF92" w:rsidR="00FE36DB" w:rsidRPr="00C43CF4" w:rsidRDefault="00FE36DB"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Pr="00C43CF4">
        <w:rPr>
          <w:color w:val="000000" w:themeColor="text1"/>
        </w:rPr>
        <w:t>Explanatory Memorandum, Social Services Legislation Amendment Bill 2015, p 5.</w:t>
      </w:r>
    </w:p>
  </w:endnote>
  <w:endnote w:id="29">
    <w:p w14:paraId="7F893D14" w14:textId="4F185B4A" w:rsidR="004C7385" w:rsidRPr="00C43CF4" w:rsidRDefault="004C7385" w:rsidP="00ED5848">
      <w:pPr>
        <w:pStyle w:val="EndnoteText"/>
        <w:spacing w:after="120"/>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sidR="00ED5848">
        <w:rPr>
          <w:color w:val="000000" w:themeColor="text1"/>
        </w:rPr>
        <w:tab/>
      </w:r>
      <w:r w:rsidR="00E933E5">
        <w:rPr>
          <w:color w:val="000000" w:themeColor="text1"/>
        </w:rPr>
        <w:t xml:space="preserve">See </w:t>
      </w:r>
      <w:r w:rsidRPr="00C43CF4">
        <w:rPr>
          <w:color w:val="000000" w:themeColor="text1"/>
        </w:rPr>
        <w:t xml:space="preserve">Department of Social Services, </w:t>
      </w:r>
      <w:r w:rsidR="00E933E5">
        <w:rPr>
          <w:color w:val="000000" w:themeColor="text1"/>
        </w:rPr>
        <w:t xml:space="preserve">Australian Government, </w:t>
      </w:r>
      <w:r w:rsidRPr="00E933E5">
        <w:rPr>
          <w:i/>
          <w:color w:val="000000" w:themeColor="text1"/>
        </w:rPr>
        <w:t>Eligibility basics for the Disability Support Pension</w:t>
      </w:r>
      <w:r w:rsidR="00E933E5">
        <w:rPr>
          <w:color w:val="000000" w:themeColor="text1"/>
        </w:rPr>
        <w:t xml:space="preserve">, </w:t>
      </w:r>
      <w:hyperlink r:id="rId20" w:history="1">
        <w:r w:rsidRPr="00C43CF4">
          <w:rPr>
            <w:rStyle w:val="Hyperlink"/>
            <w:color w:val="000000" w:themeColor="text1"/>
          </w:rPr>
          <w:t>http://www.humanservices.gov.au/customer/services/centrelink/disability-support-pension</w:t>
        </w:r>
      </w:hyperlink>
      <w:r w:rsidR="00E933E5">
        <w:rPr>
          <w:color w:val="000000" w:themeColor="text1"/>
        </w:rPr>
        <w:t xml:space="preserve"> (viewed 21</w:t>
      </w:r>
      <w:r w:rsidRPr="00C43CF4">
        <w:rPr>
          <w:color w:val="000000" w:themeColor="text1"/>
        </w:rPr>
        <w:t xml:space="preserve">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8C7B" w14:textId="77777777"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7D2DA9">
      <w:rPr>
        <w:noProof/>
      </w:rPr>
      <w:t>6</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8D6140" w:rsidRPr="008D1634" w14:paraId="1CFA9A62" w14:textId="77777777" w:rsidTr="00C87F1C">
      <w:tc>
        <w:tcPr>
          <w:tcW w:w="1793" w:type="dxa"/>
          <w:tcBorders>
            <w:top w:val="single" w:sz="2" w:space="0" w:color="808080"/>
            <w:left w:val="nil"/>
            <w:bottom w:val="nil"/>
            <w:right w:val="nil"/>
          </w:tcBorders>
        </w:tcPr>
        <w:p w14:paraId="7B9D3A7B"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59D98E00"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14:paraId="0A296DE5"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14:paraId="7269A023"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14:paraId="59315686" w14:textId="77777777" w:rsidR="008D6140" w:rsidRPr="008D1634" w:rsidRDefault="008D6140"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14:paraId="54D13D9A"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7A351E80" w14:textId="77777777" w:rsidR="00C00DC8"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14:paraId="62E0015E" w14:textId="77777777" w:rsidR="00C00DC8"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14:paraId="46A17081" w14:textId="77777777" w:rsidR="008D6140"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14:paraId="3A65DA48"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7073D8B1"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14:paraId="274CE4A8" w14:textId="77777777" w:rsidR="008D6140" w:rsidRPr="008D1634" w:rsidRDefault="008D6140"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14:paraId="4BECB94D"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538DA89F"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14:paraId="7C8AB9F1"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Complaints </w:t>
          </w:r>
          <w:proofErr w:type="spellStart"/>
          <w:r w:rsidRPr="008D1634">
            <w:rPr>
              <w:rFonts w:cs="HelveticaNeue-Light"/>
              <w:sz w:val="16"/>
              <w:szCs w:val="16"/>
              <w:lang w:val="en-US" w:bidi="en-US"/>
            </w:rPr>
            <w:t>infoline</w:t>
          </w:r>
          <w:proofErr w:type="spellEnd"/>
        </w:p>
        <w:p w14:paraId="710C5F1D"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14:paraId="02A9D273"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www.humanrights.gov.au</w:t>
          </w:r>
        </w:p>
      </w:tc>
      <w:tc>
        <w:tcPr>
          <w:tcW w:w="1667" w:type="dxa"/>
          <w:tcBorders>
            <w:top w:val="single" w:sz="2" w:space="0" w:color="808080"/>
            <w:bottom w:val="nil"/>
            <w:right w:val="nil"/>
          </w:tcBorders>
        </w:tcPr>
        <w:p w14:paraId="47FB4371"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0D5732B4"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14:paraId="6540D60A"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14:paraId="036035BF"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14:paraId="55016BB4" w14:textId="77777777"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0609A" w14:textId="77777777" w:rsidR="00C87F62" w:rsidRDefault="00C87F62" w:rsidP="00F14C6D">
      <w:r>
        <w:separator/>
      </w:r>
    </w:p>
  </w:footnote>
  <w:footnote w:type="continuationSeparator" w:id="0">
    <w:p w14:paraId="072133C8" w14:textId="77777777" w:rsidR="00C87F62" w:rsidRDefault="00C87F6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AF8CD" w14:textId="77777777"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44" w:type="dxa"/>
      <w:tblLayout w:type="fixed"/>
      <w:tblLook w:val="00A0" w:firstRow="1" w:lastRow="0" w:firstColumn="1" w:lastColumn="0" w:noHBand="0" w:noVBand="0"/>
    </w:tblPr>
    <w:tblGrid>
      <w:gridCol w:w="3936"/>
      <w:gridCol w:w="2688"/>
      <w:gridCol w:w="2302"/>
      <w:gridCol w:w="2130"/>
      <w:gridCol w:w="1988"/>
    </w:tblGrid>
    <w:tr w:rsidR="008D6140" w:rsidRPr="008D1634" w14:paraId="0917A916" w14:textId="77777777" w:rsidTr="009C678D">
      <w:trPr>
        <w:trHeight w:val="1603"/>
      </w:trPr>
      <w:tc>
        <w:tcPr>
          <w:tcW w:w="3936" w:type="dxa"/>
        </w:tcPr>
        <w:p w14:paraId="74A9517B" w14:textId="77777777" w:rsidR="008D6140" w:rsidRPr="008D1634" w:rsidRDefault="00E275DA"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7D2E2239" wp14:editId="2A359094">
                <wp:extent cx="2127738" cy="729266"/>
                <wp:effectExtent l="0" t="0" r="635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284" cy="738365"/>
                        </a:xfrm>
                        <a:prstGeom prst="rect">
                          <a:avLst/>
                        </a:prstGeom>
                        <a:noFill/>
                        <a:ln>
                          <a:noFill/>
                        </a:ln>
                      </pic:spPr>
                    </pic:pic>
                  </a:graphicData>
                </a:graphic>
              </wp:inline>
            </w:drawing>
          </w:r>
        </w:p>
      </w:tc>
      <w:tc>
        <w:tcPr>
          <w:tcW w:w="2688" w:type="dxa"/>
          <w:vAlign w:val="center"/>
        </w:tcPr>
        <w:p w14:paraId="1EA7DDB0" w14:textId="77777777" w:rsidR="008D6140" w:rsidRPr="008D1634" w:rsidRDefault="008D6140" w:rsidP="00331013">
          <w:pPr>
            <w:spacing w:before="0" w:after="0" w:line="210" w:lineRule="exact"/>
            <w:rPr>
              <w:rFonts w:cs="ArialMT"/>
              <w:i/>
              <w:color w:val="808080"/>
              <w:sz w:val="17"/>
              <w:lang w:val="en-US" w:eastAsia="en-US" w:bidi="en-US"/>
            </w:rPr>
          </w:pPr>
        </w:p>
      </w:tc>
      <w:tc>
        <w:tcPr>
          <w:tcW w:w="2302" w:type="dxa"/>
        </w:tcPr>
        <w:p w14:paraId="28F0621C" w14:textId="77777777" w:rsidR="008D6140" w:rsidRPr="008D1634" w:rsidRDefault="008D6140" w:rsidP="00C87F1C">
          <w:pPr>
            <w:pStyle w:val="HeaderFooter"/>
            <w:spacing w:before="0" w:after="0"/>
            <w:jc w:val="both"/>
            <w:rPr>
              <w:b/>
              <w:color w:val="000000"/>
              <w:spacing w:val="-20"/>
              <w:sz w:val="40"/>
              <w:lang w:val="en-US" w:eastAsia="en-US" w:bidi="en-US"/>
            </w:rPr>
          </w:pPr>
        </w:p>
      </w:tc>
      <w:tc>
        <w:tcPr>
          <w:tcW w:w="2130" w:type="dxa"/>
        </w:tcPr>
        <w:p w14:paraId="28F0965A" w14:textId="77777777" w:rsidR="008D6140" w:rsidRPr="008D1634" w:rsidRDefault="008D6140" w:rsidP="00C87F1C">
          <w:pPr>
            <w:pStyle w:val="HeaderFooter"/>
            <w:spacing w:before="0" w:after="0"/>
            <w:jc w:val="both"/>
            <w:rPr>
              <w:b/>
              <w:color w:val="000000"/>
              <w:spacing w:val="-20"/>
              <w:sz w:val="40"/>
              <w:lang w:val="en-US" w:eastAsia="en-US" w:bidi="en-US"/>
            </w:rPr>
          </w:pPr>
        </w:p>
      </w:tc>
      <w:tc>
        <w:tcPr>
          <w:tcW w:w="1988" w:type="dxa"/>
        </w:tcPr>
        <w:p w14:paraId="30C4CDCB" w14:textId="77777777" w:rsidR="008D6140" w:rsidRPr="008D1634" w:rsidRDefault="008D6140" w:rsidP="00C87F1C">
          <w:pPr>
            <w:pStyle w:val="HeaderFooter"/>
            <w:jc w:val="both"/>
            <w:rPr>
              <w:b/>
              <w:color w:val="000000"/>
              <w:spacing w:val="-20"/>
              <w:sz w:val="40"/>
              <w:lang w:val="en-US" w:eastAsia="en-US" w:bidi="en-US"/>
            </w:rPr>
          </w:pPr>
        </w:p>
      </w:tc>
    </w:tr>
  </w:tbl>
  <w:p w14:paraId="6BBE5747" w14:textId="77777777" w:rsidR="008D6140" w:rsidRDefault="008D6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55309BC"/>
    <w:multiLevelType w:val="hybridMultilevel"/>
    <w:tmpl w:val="27DA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BE2945"/>
    <w:multiLevelType w:val="hybridMultilevel"/>
    <w:tmpl w:val="131A3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73D6213"/>
    <w:multiLevelType w:val="hybridMultilevel"/>
    <w:tmpl w:val="58F08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A57387"/>
    <w:multiLevelType w:val="hybridMultilevel"/>
    <w:tmpl w:val="AA62F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D830D6"/>
    <w:multiLevelType w:val="hybridMultilevel"/>
    <w:tmpl w:val="5A725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DCA05E8"/>
    <w:multiLevelType w:val="multilevel"/>
    <w:tmpl w:val="90522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CE4784"/>
    <w:multiLevelType w:val="multilevel"/>
    <w:tmpl w:val="D4963978"/>
    <w:lvl w:ilvl="0">
      <w:start w:val="1"/>
      <w:numFmt w:val="lowerLetter"/>
      <w:lvlText w:val="%1."/>
      <w:lvlJc w:val="left"/>
      <w:pPr>
        <w:tabs>
          <w:tab w:val="num" w:pos="1288"/>
        </w:tabs>
        <w:ind w:left="1288" w:hanging="360"/>
      </w:pPr>
      <w:rPr>
        <w:rFonts w:ascii="Arial" w:eastAsia="Times New Roman" w:hAnsi="Arial" w:cs="Times New Roman"/>
      </w:rPr>
    </w:lvl>
    <w:lvl w:ilvl="1" w:tentative="1">
      <w:start w:val="1"/>
      <w:numFmt w:val="lowerLetter"/>
      <w:lvlText w:val="%2."/>
      <w:lvlJc w:val="left"/>
      <w:pPr>
        <w:tabs>
          <w:tab w:val="num" w:pos="2008"/>
        </w:tabs>
        <w:ind w:left="2008" w:hanging="360"/>
      </w:pPr>
    </w:lvl>
    <w:lvl w:ilvl="2" w:tentative="1">
      <w:start w:val="1"/>
      <w:numFmt w:val="lowerLetter"/>
      <w:lvlText w:val="%3."/>
      <w:lvlJc w:val="left"/>
      <w:pPr>
        <w:tabs>
          <w:tab w:val="num" w:pos="2728"/>
        </w:tabs>
        <w:ind w:left="2728" w:hanging="360"/>
      </w:pPr>
    </w:lvl>
    <w:lvl w:ilvl="3" w:tentative="1">
      <w:start w:val="1"/>
      <w:numFmt w:val="lowerLetter"/>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Letter"/>
      <w:lvlText w:val="%6."/>
      <w:lvlJc w:val="left"/>
      <w:pPr>
        <w:tabs>
          <w:tab w:val="num" w:pos="4888"/>
        </w:tabs>
        <w:ind w:left="4888" w:hanging="360"/>
      </w:pPr>
    </w:lvl>
    <w:lvl w:ilvl="6" w:tentative="1">
      <w:start w:val="1"/>
      <w:numFmt w:val="lowerLetter"/>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Letter"/>
      <w:lvlText w:val="%9."/>
      <w:lvlJc w:val="left"/>
      <w:pPr>
        <w:tabs>
          <w:tab w:val="num" w:pos="7048"/>
        </w:tabs>
        <w:ind w:left="7048" w:hanging="360"/>
      </w:pPr>
    </w:lvl>
  </w:abstractNum>
  <w:abstractNum w:abstractNumId="3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68764042"/>
    <w:multiLevelType w:val="multilevel"/>
    <w:tmpl w:val="90522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CE72551"/>
    <w:multiLevelType w:val="hybridMultilevel"/>
    <w:tmpl w:val="8D8E21D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175994"/>
    <w:multiLevelType w:val="hybridMultilevel"/>
    <w:tmpl w:val="7412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0C16C4"/>
    <w:multiLevelType w:val="hybridMultilevel"/>
    <w:tmpl w:val="FBEA030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3"/>
  </w:num>
  <w:num w:numId="3">
    <w:abstractNumId w:val="27"/>
  </w:num>
  <w:num w:numId="4">
    <w:abstractNumId w:val="1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5"/>
  </w:num>
  <w:num w:numId="18">
    <w:abstractNumId w:val="20"/>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3"/>
  </w:num>
  <w:num w:numId="23">
    <w:abstractNumId w:val="34"/>
  </w:num>
  <w:num w:numId="24">
    <w:abstractNumId w:val="35"/>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37"/>
  </w:num>
  <w:num w:numId="32">
    <w:abstractNumId w:val="22"/>
  </w:num>
  <w:num w:numId="33">
    <w:abstractNumId w:val="36"/>
  </w:num>
  <w:num w:numId="34">
    <w:abstractNumId w:val="29"/>
  </w:num>
  <w:num w:numId="35">
    <w:abstractNumId w:val="14"/>
  </w:num>
  <w:num w:numId="36">
    <w:abstractNumId w:val="32"/>
  </w:num>
  <w:num w:numId="37">
    <w:abstractNumId w:val="19"/>
  </w:num>
  <w:num w:numId="38">
    <w:abstractNumId w:val="15"/>
  </w:num>
  <w:num w:numId="39">
    <w:abstractNumId w:val="21"/>
  </w:num>
  <w:num w:numId="40">
    <w:abstractNumId w:val="31"/>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82"/>
    <w:rsid w:val="00000871"/>
    <w:rsid w:val="00000B94"/>
    <w:rsid w:val="0000112A"/>
    <w:rsid w:val="0000213A"/>
    <w:rsid w:val="0000214F"/>
    <w:rsid w:val="00005BD7"/>
    <w:rsid w:val="00007990"/>
    <w:rsid w:val="00007DA5"/>
    <w:rsid w:val="00007EA6"/>
    <w:rsid w:val="00010239"/>
    <w:rsid w:val="000113D9"/>
    <w:rsid w:val="000115C9"/>
    <w:rsid w:val="00011E6E"/>
    <w:rsid w:val="000139F7"/>
    <w:rsid w:val="0001616B"/>
    <w:rsid w:val="00017621"/>
    <w:rsid w:val="00020484"/>
    <w:rsid w:val="00020756"/>
    <w:rsid w:val="000214D2"/>
    <w:rsid w:val="000250F7"/>
    <w:rsid w:val="0002738B"/>
    <w:rsid w:val="00032B4C"/>
    <w:rsid w:val="00037721"/>
    <w:rsid w:val="00041650"/>
    <w:rsid w:val="00045000"/>
    <w:rsid w:val="00046062"/>
    <w:rsid w:val="00054422"/>
    <w:rsid w:val="000579B1"/>
    <w:rsid w:val="0006043A"/>
    <w:rsid w:val="0006130C"/>
    <w:rsid w:val="000615DF"/>
    <w:rsid w:val="00061E29"/>
    <w:rsid w:val="0006297C"/>
    <w:rsid w:val="00062CBA"/>
    <w:rsid w:val="00075118"/>
    <w:rsid w:val="000764AA"/>
    <w:rsid w:val="00076AA6"/>
    <w:rsid w:val="000818A4"/>
    <w:rsid w:val="000833A9"/>
    <w:rsid w:val="000907E3"/>
    <w:rsid w:val="0009123B"/>
    <w:rsid w:val="00091A69"/>
    <w:rsid w:val="000935DA"/>
    <w:rsid w:val="0009634F"/>
    <w:rsid w:val="000969EF"/>
    <w:rsid w:val="00097A6E"/>
    <w:rsid w:val="00097D23"/>
    <w:rsid w:val="000A539A"/>
    <w:rsid w:val="000A7B34"/>
    <w:rsid w:val="000B0401"/>
    <w:rsid w:val="000B0A5D"/>
    <w:rsid w:val="000B196B"/>
    <w:rsid w:val="000B1B40"/>
    <w:rsid w:val="000B53EE"/>
    <w:rsid w:val="000C4EE8"/>
    <w:rsid w:val="000C5051"/>
    <w:rsid w:val="000C5400"/>
    <w:rsid w:val="000C59C9"/>
    <w:rsid w:val="000C6300"/>
    <w:rsid w:val="000C63C0"/>
    <w:rsid w:val="000C6D1E"/>
    <w:rsid w:val="000D123D"/>
    <w:rsid w:val="000D29E2"/>
    <w:rsid w:val="000D2EBF"/>
    <w:rsid w:val="000D6C2B"/>
    <w:rsid w:val="000E1C60"/>
    <w:rsid w:val="000E26AD"/>
    <w:rsid w:val="000E38FA"/>
    <w:rsid w:val="000E39B6"/>
    <w:rsid w:val="000F76C3"/>
    <w:rsid w:val="00102558"/>
    <w:rsid w:val="00104937"/>
    <w:rsid w:val="001107FE"/>
    <w:rsid w:val="00111AD6"/>
    <w:rsid w:val="0012097F"/>
    <w:rsid w:val="001214A7"/>
    <w:rsid w:val="00123209"/>
    <w:rsid w:val="001240F1"/>
    <w:rsid w:val="0013030B"/>
    <w:rsid w:val="001332E9"/>
    <w:rsid w:val="001373D3"/>
    <w:rsid w:val="00142B7F"/>
    <w:rsid w:val="001436D9"/>
    <w:rsid w:val="001439BA"/>
    <w:rsid w:val="0014585F"/>
    <w:rsid w:val="0014641B"/>
    <w:rsid w:val="0014670D"/>
    <w:rsid w:val="001509E3"/>
    <w:rsid w:val="00152C79"/>
    <w:rsid w:val="0015524A"/>
    <w:rsid w:val="00157BEA"/>
    <w:rsid w:val="00157F1C"/>
    <w:rsid w:val="00162A8D"/>
    <w:rsid w:val="001662B6"/>
    <w:rsid w:val="00167B02"/>
    <w:rsid w:val="001705F0"/>
    <w:rsid w:val="0017066B"/>
    <w:rsid w:val="00171324"/>
    <w:rsid w:val="00173813"/>
    <w:rsid w:val="00176220"/>
    <w:rsid w:val="0018033D"/>
    <w:rsid w:val="00181378"/>
    <w:rsid w:val="00183056"/>
    <w:rsid w:val="00194806"/>
    <w:rsid w:val="001A03A6"/>
    <w:rsid w:val="001B0353"/>
    <w:rsid w:val="001B175D"/>
    <w:rsid w:val="001B25B3"/>
    <w:rsid w:val="001B2EF7"/>
    <w:rsid w:val="001B5604"/>
    <w:rsid w:val="001C26F9"/>
    <w:rsid w:val="001C41F9"/>
    <w:rsid w:val="001C4DF9"/>
    <w:rsid w:val="001C66A5"/>
    <w:rsid w:val="001D27C1"/>
    <w:rsid w:val="001D2EA7"/>
    <w:rsid w:val="001D3926"/>
    <w:rsid w:val="001D3D3E"/>
    <w:rsid w:val="001E195B"/>
    <w:rsid w:val="001E234B"/>
    <w:rsid w:val="001E53F5"/>
    <w:rsid w:val="001E5D06"/>
    <w:rsid w:val="001F2BBB"/>
    <w:rsid w:val="001F3EEC"/>
    <w:rsid w:val="001F694C"/>
    <w:rsid w:val="001F73EB"/>
    <w:rsid w:val="00201EFE"/>
    <w:rsid w:val="002040F5"/>
    <w:rsid w:val="002046FE"/>
    <w:rsid w:val="00213175"/>
    <w:rsid w:val="00213871"/>
    <w:rsid w:val="00214AA1"/>
    <w:rsid w:val="00214DBF"/>
    <w:rsid w:val="00215015"/>
    <w:rsid w:val="00220087"/>
    <w:rsid w:val="002242C5"/>
    <w:rsid w:val="002304C0"/>
    <w:rsid w:val="002332AC"/>
    <w:rsid w:val="002403E8"/>
    <w:rsid w:val="00242C39"/>
    <w:rsid w:val="00242EAF"/>
    <w:rsid w:val="00243039"/>
    <w:rsid w:val="0024403B"/>
    <w:rsid w:val="002446F7"/>
    <w:rsid w:val="00244F55"/>
    <w:rsid w:val="0024557E"/>
    <w:rsid w:val="002523AA"/>
    <w:rsid w:val="00252AB8"/>
    <w:rsid w:val="00256681"/>
    <w:rsid w:val="002570DC"/>
    <w:rsid w:val="00265832"/>
    <w:rsid w:val="0027496D"/>
    <w:rsid w:val="00275D1C"/>
    <w:rsid w:val="00277729"/>
    <w:rsid w:val="0028039E"/>
    <w:rsid w:val="0028403C"/>
    <w:rsid w:val="00284931"/>
    <w:rsid w:val="00287B80"/>
    <w:rsid w:val="00290D3C"/>
    <w:rsid w:val="002932DC"/>
    <w:rsid w:val="002933E8"/>
    <w:rsid w:val="0029429B"/>
    <w:rsid w:val="00295B20"/>
    <w:rsid w:val="002961B0"/>
    <w:rsid w:val="002961E7"/>
    <w:rsid w:val="002964FB"/>
    <w:rsid w:val="002A2197"/>
    <w:rsid w:val="002A3882"/>
    <w:rsid w:val="002A6314"/>
    <w:rsid w:val="002A6CE9"/>
    <w:rsid w:val="002A7DBB"/>
    <w:rsid w:val="002A7E46"/>
    <w:rsid w:val="002B3332"/>
    <w:rsid w:val="002B39F2"/>
    <w:rsid w:val="002B44B7"/>
    <w:rsid w:val="002C3A71"/>
    <w:rsid w:val="002C4092"/>
    <w:rsid w:val="002D0A80"/>
    <w:rsid w:val="002D0C4F"/>
    <w:rsid w:val="002D23C3"/>
    <w:rsid w:val="002D47B6"/>
    <w:rsid w:val="002D4EC3"/>
    <w:rsid w:val="002D5410"/>
    <w:rsid w:val="002D54E2"/>
    <w:rsid w:val="002D71F7"/>
    <w:rsid w:val="002D78E0"/>
    <w:rsid w:val="002E1A6C"/>
    <w:rsid w:val="002E23AD"/>
    <w:rsid w:val="002E68D2"/>
    <w:rsid w:val="002F07AF"/>
    <w:rsid w:val="002F1440"/>
    <w:rsid w:val="002F1847"/>
    <w:rsid w:val="002F38D5"/>
    <w:rsid w:val="002F4DC7"/>
    <w:rsid w:val="002F6040"/>
    <w:rsid w:val="002F6735"/>
    <w:rsid w:val="002F67AF"/>
    <w:rsid w:val="002F6BC2"/>
    <w:rsid w:val="002F72B8"/>
    <w:rsid w:val="0030007B"/>
    <w:rsid w:val="00302412"/>
    <w:rsid w:val="00303F0B"/>
    <w:rsid w:val="00305298"/>
    <w:rsid w:val="003062D1"/>
    <w:rsid w:val="00307521"/>
    <w:rsid w:val="00310331"/>
    <w:rsid w:val="00310ED4"/>
    <w:rsid w:val="003114A9"/>
    <w:rsid w:val="003129DF"/>
    <w:rsid w:val="00313962"/>
    <w:rsid w:val="00314012"/>
    <w:rsid w:val="0031492A"/>
    <w:rsid w:val="0031584E"/>
    <w:rsid w:val="00316202"/>
    <w:rsid w:val="00316C1A"/>
    <w:rsid w:val="00317169"/>
    <w:rsid w:val="003255F2"/>
    <w:rsid w:val="00325F23"/>
    <w:rsid w:val="00331013"/>
    <w:rsid w:val="003311C2"/>
    <w:rsid w:val="00331342"/>
    <w:rsid w:val="003341CA"/>
    <w:rsid w:val="00341CDE"/>
    <w:rsid w:val="00342237"/>
    <w:rsid w:val="003430B1"/>
    <w:rsid w:val="0034734A"/>
    <w:rsid w:val="003477B5"/>
    <w:rsid w:val="003528B6"/>
    <w:rsid w:val="00352994"/>
    <w:rsid w:val="0035599D"/>
    <w:rsid w:val="00357BAD"/>
    <w:rsid w:val="00360203"/>
    <w:rsid w:val="00362474"/>
    <w:rsid w:val="00362D73"/>
    <w:rsid w:val="00363FC4"/>
    <w:rsid w:val="00365508"/>
    <w:rsid w:val="00366025"/>
    <w:rsid w:val="00370668"/>
    <w:rsid w:val="00370CAD"/>
    <w:rsid w:val="003731B3"/>
    <w:rsid w:val="003736DF"/>
    <w:rsid w:val="0037554F"/>
    <w:rsid w:val="00376345"/>
    <w:rsid w:val="00380A89"/>
    <w:rsid w:val="003827D1"/>
    <w:rsid w:val="00382F73"/>
    <w:rsid w:val="00383152"/>
    <w:rsid w:val="00390BB1"/>
    <w:rsid w:val="00393659"/>
    <w:rsid w:val="0039495D"/>
    <w:rsid w:val="00394DCD"/>
    <w:rsid w:val="003A0961"/>
    <w:rsid w:val="003A0E45"/>
    <w:rsid w:val="003A1F9C"/>
    <w:rsid w:val="003A5398"/>
    <w:rsid w:val="003A7952"/>
    <w:rsid w:val="003B16D2"/>
    <w:rsid w:val="003B3ACE"/>
    <w:rsid w:val="003B54AD"/>
    <w:rsid w:val="003B6047"/>
    <w:rsid w:val="003B69C2"/>
    <w:rsid w:val="003C0138"/>
    <w:rsid w:val="003C2A26"/>
    <w:rsid w:val="003C3D19"/>
    <w:rsid w:val="003C4184"/>
    <w:rsid w:val="003C66B4"/>
    <w:rsid w:val="003C7008"/>
    <w:rsid w:val="003C7F56"/>
    <w:rsid w:val="003D4970"/>
    <w:rsid w:val="003D7537"/>
    <w:rsid w:val="003D7638"/>
    <w:rsid w:val="003E3A6B"/>
    <w:rsid w:val="003E3FD7"/>
    <w:rsid w:val="003F13C2"/>
    <w:rsid w:val="003F1D6D"/>
    <w:rsid w:val="003F2D2B"/>
    <w:rsid w:val="003F3DCA"/>
    <w:rsid w:val="003F5DB8"/>
    <w:rsid w:val="004001C7"/>
    <w:rsid w:val="004009BE"/>
    <w:rsid w:val="004076A6"/>
    <w:rsid w:val="00410D92"/>
    <w:rsid w:val="00411EA6"/>
    <w:rsid w:val="004138AE"/>
    <w:rsid w:val="004155B4"/>
    <w:rsid w:val="00416820"/>
    <w:rsid w:val="004171CC"/>
    <w:rsid w:val="004202A9"/>
    <w:rsid w:val="00422906"/>
    <w:rsid w:val="004238C6"/>
    <w:rsid w:val="00431EE4"/>
    <w:rsid w:val="00433386"/>
    <w:rsid w:val="00434723"/>
    <w:rsid w:val="00434985"/>
    <w:rsid w:val="00435BDF"/>
    <w:rsid w:val="004364D1"/>
    <w:rsid w:val="00436828"/>
    <w:rsid w:val="00436CAF"/>
    <w:rsid w:val="00440202"/>
    <w:rsid w:val="00440A8E"/>
    <w:rsid w:val="004445C3"/>
    <w:rsid w:val="00444BDD"/>
    <w:rsid w:val="00445DEA"/>
    <w:rsid w:val="0044690C"/>
    <w:rsid w:val="00446E73"/>
    <w:rsid w:val="00450F9D"/>
    <w:rsid w:val="004510B9"/>
    <w:rsid w:val="00451384"/>
    <w:rsid w:val="00452CF6"/>
    <w:rsid w:val="00454838"/>
    <w:rsid w:val="00457C69"/>
    <w:rsid w:val="004647BE"/>
    <w:rsid w:val="004723AA"/>
    <w:rsid w:val="00474063"/>
    <w:rsid w:val="00476931"/>
    <w:rsid w:val="00481C78"/>
    <w:rsid w:val="004841C6"/>
    <w:rsid w:val="00485A71"/>
    <w:rsid w:val="00491FA4"/>
    <w:rsid w:val="00493EC1"/>
    <w:rsid w:val="0049412B"/>
    <w:rsid w:val="00494356"/>
    <w:rsid w:val="004967E7"/>
    <w:rsid w:val="00496B88"/>
    <w:rsid w:val="004A0876"/>
    <w:rsid w:val="004A088F"/>
    <w:rsid w:val="004A0F59"/>
    <w:rsid w:val="004A422A"/>
    <w:rsid w:val="004A58C4"/>
    <w:rsid w:val="004A63D2"/>
    <w:rsid w:val="004B24A6"/>
    <w:rsid w:val="004B328D"/>
    <w:rsid w:val="004B35B7"/>
    <w:rsid w:val="004B3E81"/>
    <w:rsid w:val="004B3F64"/>
    <w:rsid w:val="004B5861"/>
    <w:rsid w:val="004C2BDA"/>
    <w:rsid w:val="004C60E3"/>
    <w:rsid w:val="004C6116"/>
    <w:rsid w:val="004C68BC"/>
    <w:rsid w:val="004C7385"/>
    <w:rsid w:val="004C7F28"/>
    <w:rsid w:val="004D16A9"/>
    <w:rsid w:val="004D494F"/>
    <w:rsid w:val="004D5C50"/>
    <w:rsid w:val="004D6462"/>
    <w:rsid w:val="004D6BC5"/>
    <w:rsid w:val="004D7CB5"/>
    <w:rsid w:val="004E0725"/>
    <w:rsid w:val="004F1BA4"/>
    <w:rsid w:val="004F5C17"/>
    <w:rsid w:val="004F7B85"/>
    <w:rsid w:val="00501894"/>
    <w:rsid w:val="00502073"/>
    <w:rsid w:val="005024B5"/>
    <w:rsid w:val="00512E96"/>
    <w:rsid w:val="00513540"/>
    <w:rsid w:val="00515B43"/>
    <w:rsid w:val="00516487"/>
    <w:rsid w:val="00520268"/>
    <w:rsid w:val="00520F8D"/>
    <w:rsid w:val="00525194"/>
    <w:rsid w:val="005255CE"/>
    <w:rsid w:val="00527FCB"/>
    <w:rsid w:val="0053053D"/>
    <w:rsid w:val="00531264"/>
    <w:rsid w:val="00533C74"/>
    <w:rsid w:val="00544D62"/>
    <w:rsid w:val="005501CD"/>
    <w:rsid w:val="0055476D"/>
    <w:rsid w:val="0055787E"/>
    <w:rsid w:val="00562177"/>
    <w:rsid w:val="00570B41"/>
    <w:rsid w:val="0057183C"/>
    <w:rsid w:val="00573156"/>
    <w:rsid w:val="0057396F"/>
    <w:rsid w:val="005747B5"/>
    <w:rsid w:val="00574C28"/>
    <w:rsid w:val="00575B68"/>
    <w:rsid w:val="00583B8A"/>
    <w:rsid w:val="00584584"/>
    <w:rsid w:val="005845E0"/>
    <w:rsid w:val="0058555A"/>
    <w:rsid w:val="00585AFD"/>
    <w:rsid w:val="00587582"/>
    <w:rsid w:val="00590159"/>
    <w:rsid w:val="00593433"/>
    <w:rsid w:val="00594D18"/>
    <w:rsid w:val="00596C51"/>
    <w:rsid w:val="005A04E2"/>
    <w:rsid w:val="005A1200"/>
    <w:rsid w:val="005A4A42"/>
    <w:rsid w:val="005B50D7"/>
    <w:rsid w:val="005C44E4"/>
    <w:rsid w:val="005C4E28"/>
    <w:rsid w:val="005C796F"/>
    <w:rsid w:val="005D0732"/>
    <w:rsid w:val="005D1F34"/>
    <w:rsid w:val="005D3800"/>
    <w:rsid w:val="005D5E43"/>
    <w:rsid w:val="005E0573"/>
    <w:rsid w:val="005E1BEA"/>
    <w:rsid w:val="005E315D"/>
    <w:rsid w:val="005E34CF"/>
    <w:rsid w:val="005E4038"/>
    <w:rsid w:val="005E746B"/>
    <w:rsid w:val="005F33F4"/>
    <w:rsid w:val="005F36BE"/>
    <w:rsid w:val="005F4789"/>
    <w:rsid w:val="005F6113"/>
    <w:rsid w:val="005F7015"/>
    <w:rsid w:val="00603BE2"/>
    <w:rsid w:val="00603DCF"/>
    <w:rsid w:val="006041FA"/>
    <w:rsid w:val="00604E40"/>
    <w:rsid w:val="0061324D"/>
    <w:rsid w:val="00615F25"/>
    <w:rsid w:val="0062348F"/>
    <w:rsid w:val="00627683"/>
    <w:rsid w:val="0063182C"/>
    <w:rsid w:val="00632C42"/>
    <w:rsid w:val="00634E95"/>
    <w:rsid w:val="00635DE5"/>
    <w:rsid w:val="00650323"/>
    <w:rsid w:val="00650D33"/>
    <w:rsid w:val="00651EED"/>
    <w:rsid w:val="006546E5"/>
    <w:rsid w:val="00654DB4"/>
    <w:rsid w:val="006562ED"/>
    <w:rsid w:val="006576FA"/>
    <w:rsid w:val="00665B21"/>
    <w:rsid w:val="0066601B"/>
    <w:rsid w:val="006665EE"/>
    <w:rsid w:val="006727AD"/>
    <w:rsid w:val="00681F5A"/>
    <w:rsid w:val="006863FA"/>
    <w:rsid w:val="00687CFE"/>
    <w:rsid w:val="006920B8"/>
    <w:rsid w:val="006A0915"/>
    <w:rsid w:val="006A152E"/>
    <w:rsid w:val="006A2AAC"/>
    <w:rsid w:val="006A39E2"/>
    <w:rsid w:val="006A5749"/>
    <w:rsid w:val="006A6BB3"/>
    <w:rsid w:val="006A6C4C"/>
    <w:rsid w:val="006A7343"/>
    <w:rsid w:val="006B0842"/>
    <w:rsid w:val="006B17D2"/>
    <w:rsid w:val="006B1936"/>
    <w:rsid w:val="006B2544"/>
    <w:rsid w:val="006B42B6"/>
    <w:rsid w:val="006B588E"/>
    <w:rsid w:val="006C0C75"/>
    <w:rsid w:val="006C2EE3"/>
    <w:rsid w:val="006C4CF0"/>
    <w:rsid w:val="006C4E42"/>
    <w:rsid w:val="006C4FB2"/>
    <w:rsid w:val="006C5571"/>
    <w:rsid w:val="006C6741"/>
    <w:rsid w:val="006D3E50"/>
    <w:rsid w:val="006D43A9"/>
    <w:rsid w:val="006D5EE5"/>
    <w:rsid w:val="006D645B"/>
    <w:rsid w:val="006E3349"/>
    <w:rsid w:val="006E6DA9"/>
    <w:rsid w:val="006E7175"/>
    <w:rsid w:val="006F055C"/>
    <w:rsid w:val="006F06E3"/>
    <w:rsid w:val="006F4709"/>
    <w:rsid w:val="007015CE"/>
    <w:rsid w:val="0070180B"/>
    <w:rsid w:val="00711589"/>
    <w:rsid w:val="00711A32"/>
    <w:rsid w:val="00721184"/>
    <w:rsid w:val="007247B8"/>
    <w:rsid w:val="00725155"/>
    <w:rsid w:val="007254BE"/>
    <w:rsid w:val="00727D95"/>
    <w:rsid w:val="00732C3A"/>
    <w:rsid w:val="00734D3B"/>
    <w:rsid w:val="00735A2B"/>
    <w:rsid w:val="00735CB9"/>
    <w:rsid w:val="00736144"/>
    <w:rsid w:val="00740E26"/>
    <w:rsid w:val="007411AC"/>
    <w:rsid w:val="00745727"/>
    <w:rsid w:val="007558CF"/>
    <w:rsid w:val="00760098"/>
    <w:rsid w:val="007606CC"/>
    <w:rsid w:val="007656AF"/>
    <w:rsid w:val="00766727"/>
    <w:rsid w:val="0076735D"/>
    <w:rsid w:val="00770DCB"/>
    <w:rsid w:val="00770F69"/>
    <w:rsid w:val="007747CB"/>
    <w:rsid w:val="00775485"/>
    <w:rsid w:val="00777C87"/>
    <w:rsid w:val="00780652"/>
    <w:rsid w:val="007822C9"/>
    <w:rsid w:val="00782E96"/>
    <w:rsid w:val="00783EFA"/>
    <w:rsid w:val="00785CED"/>
    <w:rsid w:val="00787F24"/>
    <w:rsid w:val="007A0070"/>
    <w:rsid w:val="007A646D"/>
    <w:rsid w:val="007B05F2"/>
    <w:rsid w:val="007B3A5B"/>
    <w:rsid w:val="007B3CE6"/>
    <w:rsid w:val="007B5205"/>
    <w:rsid w:val="007C0592"/>
    <w:rsid w:val="007C1317"/>
    <w:rsid w:val="007C4876"/>
    <w:rsid w:val="007C61BC"/>
    <w:rsid w:val="007C6969"/>
    <w:rsid w:val="007C69E1"/>
    <w:rsid w:val="007D126C"/>
    <w:rsid w:val="007D2DA9"/>
    <w:rsid w:val="007D36AD"/>
    <w:rsid w:val="007D4C4B"/>
    <w:rsid w:val="007E0ADD"/>
    <w:rsid w:val="007E3F51"/>
    <w:rsid w:val="007E6B31"/>
    <w:rsid w:val="007F4287"/>
    <w:rsid w:val="007F47D2"/>
    <w:rsid w:val="007F533A"/>
    <w:rsid w:val="0080266C"/>
    <w:rsid w:val="00802B38"/>
    <w:rsid w:val="00803C52"/>
    <w:rsid w:val="00804627"/>
    <w:rsid w:val="00805DDA"/>
    <w:rsid w:val="00806022"/>
    <w:rsid w:val="00806BB9"/>
    <w:rsid w:val="00811D29"/>
    <w:rsid w:val="00812611"/>
    <w:rsid w:val="0081397E"/>
    <w:rsid w:val="00814D4D"/>
    <w:rsid w:val="00815189"/>
    <w:rsid w:val="00816F54"/>
    <w:rsid w:val="00820238"/>
    <w:rsid w:val="00821DDF"/>
    <w:rsid w:val="00822829"/>
    <w:rsid w:val="00822E6D"/>
    <w:rsid w:val="00825227"/>
    <w:rsid w:val="00826A36"/>
    <w:rsid w:val="00830A12"/>
    <w:rsid w:val="00831614"/>
    <w:rsid w:val="008322DB"/>
    <w:rsid w:val="0083436A"/>
    <w:rsid w:val="0083538F"/>
    <w:rsid w:val="00835B40"/>
    <w:rsid w:val="00836F04"/>
    <w:rsid w:val="008377D1"/>
    <w:rsid w:val="008473C8"/>
    <w:rsid w:val="00847E5E"/>
    <w:rsid w:val="00851019"/>
    <w:rsid w:val="00853B4D"/>
    <w:rsid w:val="008551CA"/>
    <w:rsid w:val="008566C0"/>
    <w:rsid w:val="008572AA"/>
    <w:rsid w:val="008651FB"/>
    <w:rsid w:val="008724DE"/>
    <w:rsid w:val="00874005"/>
    <w:rsid w:val="00875074"/>
    <w:rsid w:val="00875CC8"/>
    <w:rsid w:val="0087650A"/>
    <w:rsid w:val="0088409A"/>
    <w:rsid w:val="0088613A"/>
    <w:rsid w:val="00890BAB"/>
    <w:rsid w:val="00892CC1"/>
    <w:rsid w:val="00896C1B"/>
    <w:rsid w:val="008A1D58"/>
    <w:rsid w:val="008A5325"/>
    <w:rsid w:val="008B29BA"/>
    <w:rsid w:val="008B2B82"/>
    <w:rsid w:val="008B3662"/>
    <w:rsid w:val="008B4C13"/>
    <w:rsid w:val="008B62AF"/>
    <w:rsid w:val="008B79C7"/>
    <w:rsid w:val="008C1735"/>
    <w:rsid w:val="008C21FF"/>
    <w:rsid w:val="008C6A16"/>
    <w:rsid w:val="008D0447"/>
    <w:rsid w:val="008D6140"/>
    <w:rsid w:val="008D6C6D"/>
    <w:rsid w:val="008D6DFD"/>
    <w:rsid w:val="008E3BA3"/>
    <w:rsid w:val="008E3D60"/>
    <w:rsid w:val="008E4D9A"/>
    <w:rsid w:val="008E675D"/>
    <w:rsid w:val="008E6FB7"/>
    <w:rsid w:val="008E7C9C"/>
    <w:rsid w:val="008F01D8"/>
    <w:rsid w:val="008F32E8"/>
    <w:rsid w:val="008F4D38"/>
    <w:rsid w:val="008F5CFE"/>
    <w:rsid w:val="008F79AB"/>
    <w:rsid w:val="009012C7"/>
    <w:rsid w:val="0090165F"/>
    <w:rsid w:val="00906558"/>
    <w:rsid w:val="00906D2B"/>
    <w:rsid w:val="009143DD"/>
    <w:rsid w:val="00916171"/>
    <w:rsid w:val="00917C9C"/>
    <w:rsid w:val="009200AC"/>
    <w:rsid w:val="0092013F"/>
    <w:rsid w:val="0092100A"/>
    <w:rsid w:val="00923DC8"/>
    <w:rsid w:val="00923F9C"/>
    <w:rsid w:val="009313BA"/>
    <w:rsid w:val="00931514"/>
    <w:rsid w:val="00934ECE"/>
    <w:rsid w:val="00936D87"/>
    <w:rsid w:val="00936FBC"/>
    <w:rsid w:val="00937AD5"/>
    <w:rsid w:val="00937BD0"/>
    <w:rsid w:val="009410C7"/>
    <w:rsid w:val="009423E5"/>
    <w:rsid w:val="0094603C"/>
    <w:rsid w:val="00950EC4"/>
    <w:rsid w:val="00953AB1"/>
    <w:rsid w:val="00955262"/>
    <w:rsid w:val="0095789A"/>
    <w:rsid w:val="00957A2B"/>
    <w:rsid w:val="00960268"/>
    <w:rsid w:val="00963466"/>
    <w:rsid w:val="00966C2F"/>
    <w:rsid w:val="009678B0"/>
    <w:rsid w:val="00980723"/>
    <w:rsid w:val="00983887"/>
    <w:rsid w:val="009844EF"/>
    <w:rsid w:val="009858DB"/>
    <w:rsid w:val="009868BF"/>
    <w:rsid w:val="00986C78"/>
    <w:rsid w:val="0099277A"/>
    <w:rsid w:val="00996FA9"/>
    <w:rsid w:val="009A3721"/>
    <w:rsid w:val="009B0690"/>
    <w:rsid w:val="009B08E9"/>
    <w:rsid w:val="009B150F"/>
    <w:rsid w:val="009B1763"/>
    <w:rsid w:val="009B2365"/>
    <w:rsid w:val="009B2A89"/>
    <w:rsid w:val="009B2E2A"/>
    <w:rsid w:val="009B636E"/>
    <w:rsid w:val="009B6397"/>
    <w:rsid w:val="009C1064"/>
    <w:rsid w:val="009C290D"/>
    <w:rsid w:val="009C54E1"/>
    <w:rsid w:val="009C5551"/>
    <w:rsid w:val="009C678D"/>
    <w:rsid w:val="009D5198"/>
    <w:rsid w:val="009D7080"/>
    <w:rsid w:val="009D74EB"/>
    <w:rsid w:val="009E3841"/>
    <w:rsid w:val="009E5D30"/>
    <w:rsid w:val="009E6162"/>
    <w:rsid w:val="009F0F0A"/>
    <w:rsid w:val="009F2569"/>
    <w:rsid w:val="009F2F04"/>
    <w:rsid w:val="009F65AB"/>
    <w:rsid w:val="00A00770"/>
    <w:rsid w:val="00A010C6"/>
    <w:rsid w:val="00A01432"/>
    <w:rsid w:val="00A03A51"/>
    <w:rsid w:val="00A0406E"/>
    <w:rsid w:val="00A0602A"/>
    <w:rsid w:val="00A07454"/>
    <w:rsid w:val="00A1073A"/>
    <w:rsid w:val="00A1466C"/>
    <w:rsid w:val="00A14973"/>
    <w:rsid w:val="00A152A4"/>
    <w:rsid w:val="00A164A0"/>
    <w:rsid w:val="00A165B7"/>
    <w:rsid w:val="00A25A8E"/>
    <w:rsid w:val="00A263F7"/>
    <w:rsid w:val="00A2665C"/>
    <w:rsid w:val="00A26950"/>
    <w:rsid w:val="00A26BD8"/>
    <w:rsid w:val="00A31ED9"/>
    <w:rsid w:val="00A32F15"/>
    <w:rsid w:val="00A35F09"/>
    <w:rsid w:val="00A3731C"/>
    <w:rsid w:val="00A411C0"/>
    <w:rsid w:val="00A41355"/>
    <w:rsid w:val="00A43393"/>
    <w:rsid w:val="00A43B92"/>
    <w:rsid w:val="00A503E2"/>
    <w:rsid w:val="00A518D0"/>
    <w:rsid w:val="00A51ABA"/>
    <w:rsid w:val="00A56EE6"/>
    <w:rsid w:val="00A60598"/>
    <w:rsid w:val="00A60CE6"/>
    <w:rsid w:val="00A6179E"/>
    <w:rsid w:val="00A64549"/>
    <w:rsid w:val="00A67082"/>
    <w:rsid w:val="00A71494"/>
    <w:rsid w:val="00A72AEE"/>
    <w:rsid w:val="00A74955"/>
    <w:rsid w:val="00A751C4"/>
    <w:rsid w:val="00A75C75"/>
    <w:rsid w:val="00A77AC9"/>
    <w:rsid w:val="00A9044F"/>
    <w:rsid w:val="00A90F9F"/>
    <w:rsid w:val="00A91851"/>
    <w:rsid w:val="00A9225B"/>
    <w:rsid w:val="00A9264E"/>
    <w:rsid w:val="00A92D12"/>
    <w:rsid w:val="00AA13BE"/>
    <w:rsid w:val="00AA18F6"/>
    <w:rsid w:val="00AA305E"/>
    <w:rsid w:val="00AA61D1"/>
    <w:rsid w:val="00AA72EA"/>
    <w:rsid w:val="00AB209B"/>
    <w:rsid w:val="00AB42DF"/>
    <w:rsid w:val="00AB488F"/>
    <w:rsid w:val="00AC0EE1"/>
    <w:rsid w:val="00AC2547"/>
    <w:rsid w:val="00AC346B"/>
    <w:rsid w:val="00AC6EDC"/>
    <w:rsid w:val="00AD5342"/>
    <w:rsid w:val="00AE1C0C"/>
    <w:rsid w:val="00AE4213"/>
    <w:rsid w:val="00AE52FA"/>
    <w:rsid w:val="00AF035F"/>
    <w:rsid w:val="00AF48E4"/>
    <w:rsid w:val="00B008ED"/>
    <w:rsid w:val="00B039C2"/>
    <w:rsid w:val="00B03BB8"/>
    <w:rsid w:val="00B0666A"/>
    <w:rsid w:val="00B06A29"/>
    <w:rsid w:val="00B10447"/>
    <w:rsid w:val="00B12C2A"/>
    <w:rsid w:val="00B14AE0"/>
    <w:rsid w:val="00B14FCB"/>
    <w:rsid w:val="00B15F40"/>
    <w:rsid w:val="00B22D7A"/>
    <w:rsid w:val="00B23F53"/>
    <w:rsid w:val="00B277E0"/>
    <w:rsid w:val="00B27D13"/>
    <w:rsid w:val="00B3062C"/>
    <w:rsid w:val="00B32E99"/>
    <w:rsid w:val="00B32FB0"/>
    <w:rsid w:val="00B427ED"/>
    <w:rsid w:val="00B45BDC"/>
    <w:rsid w:val="00B46394"/>
    <w:rsid w:val="00B5253F"/>
    <w:rsid w:val="00B53608"/>
    <w:rsid w:val="00B53A65"/>
    <w:rsid w:val="00B54AE0"/>
    <w:rsid w:val="00B54FA2"/>
    <w:rsid w:val="00B57102"/>
    <w:rsid w:val="00B5744D"/>
    <w:rsid w:val="00B60743"/>
    <w:rsid w:val="00B62972"/>
    <w:rsid w:val="00B650EF"/>
    <w:rsid w:val="00B675F7"/>
    <w:rsid w:val="00B7523A"/>
    <w:rsid w:val="00B754B1"/>
    <w:rsid w:val="00B7573D"/>
    <w:rsid w:val="00B7718F"/>
    <w:rsid w:val="00B77F60"/>
    <w:rsid w:val="00B80F8F"/>
    <w:rsid w:val="00B81097"/>
    <w:rsid w:val="00B81374"/>
    <w:rsid w:val="00B839FE"/>
    <w:rsid w:val="00B83AFF"/>
    <w:rsid w:val="00B8405E"/>
    <w:rsid w:val="00B84C4E"/>
    <w:rsid w:val="00B86FC9"/>
    <w:rsid w:val="00B87ECF"/>
    <w:rsid w:val="00B92907"/>
    <w:rsid w:val="00B93BC3"/>
    <w:rsid w:val="00B944C9"/>
    <w:rsid w:val="00B969FC"/>
    <w:rsid w:val="00BA1A3A"/>
    <w:rsid w:val="00BA1D25"/>
    <w:rsid w:val="00BA262D"/>
    <w:rsid w:val="00BA4CF3"/>
    <w:rsid w:val="00BA6916"/>
    <w:rsid w:val="00BA7277"/>
    <w:rsid w:val="00BB017B"/>
    <w:rsid w:val="00BB1E7A"/>
    <w:rsid w:val="00BB285E"/>
    <w:rsid w:val="00BB7893"/>
    <w:rsid w:val="00BC156A"/>
    <w:rsid w:val="00BC20D7"/>
    <w:rsid w:val="00BC4A72"/>
    <w:rsid w:val="00BC5F2E"/>
    <w:rsid w:val="00BD17CA"/>
    <w:rsid w:val="00BD400C"/>
    <w:rsid w:val="00BD4F24"/>
    <w:rsid w:val="00BE5F8A"/>
    <w:rsid w:val="00BF0508"/>
    <w:rsid w:val="00BF0B74"/>
    <w:rsid w:val="00BF1C1B"/>
    <w:rsid w:val="00BF3117"/>
    <w:rsid w:val="00BF3C32"/>
    <w:rsid w:val="00BF7452"/>
    <w:rsid w:val="00C00DC8"/>
    <w:rsid w:val="00C04B04"/>
    <w:rsid w:val="00C072A0"/>
    <w:rsid w:val="00C12ADB"/>
    <w:rsid w:val="00C12D24"/>
    <w:rsid w:val="00C15E5C"/>
    <w:rsid w:val="00C164C5"/>
    <w:rsid w:val="00C17021"/>
    <w:rsid w:val="00C17A29"/>
    <w:rsid w:val="00C20881"/>
    <w:rsid w:val="00C216D0"/>
    <w:rsid w:val="00C25BDA"/>
    <w:rsid w:val="00C32A4A"/>
    <w:rsid w:val="00C43762"/>
    <w:rsid w:val="00C43CF4"/>
    <w:rsid w:val="00C4486A"/>
    <w:rsid w:val="00C4546B"/>
    <w:rsid w:val="00C45782"/>
    <w:rsid w:val="00C47D8F"/>
    <w:rsid w:val="00C523D9"/>
    <w:rsid w:val="00C532EC"/>
    <w:rsid w:val="00C5572A"/>
    <w:rsid w:val="00C57195"/>
    <w:rsid w:val="00C65EAF"/>
    <w:rsid w:val="00C67166"/>
    <w:rsid w:val="00C71D32"/>
    <w:rsid w:val="00C72C41"/>
    <w:rsid w:val="00C80F51"/>
    <w:rsid w:val="00C83328"/>
    <w:rsid w:val="00C87F1C"/>
    <w:rsid w:val="00C87F62"/>
    <w:rsid w:val="00C90513"/>
    <w:rsid w:val="00C91A63"/>
    <w:rsid w:val="00C92875"/>
    <w:rsid w:val="00C955AC"/>
    <w:rsid w:val="00C95ECE"/>
    <w:rsid w:val="00C97C48"/>
    <w:rsid w:val="00CA0D78"/>
    <w:rsid w:val="00CA18C2"/>
    <w:rsid w:val="00CA6527"/>
    <w:rsid w:val="00CA7EC5"/>
    <w:rsid w:val="00CB06EC"/>
    <w:rsid w:val="00CB2CDD"/>
    <w:rsid w:val="00CB5EDD"/>
    <w:rsid w:val="00CB644D"/>
    <w:rsid w:val="00CB7880"/>
    <w:rsid w:val="00CC58D5"/>
    <w:rsid w:val="00CC64AF"/>
    <w:rsid w:val="00CD2868"/>
    <w:rsid w:val="00CE07F1"/>
    <w:rsid w:val="00CE1AA9"/>
    <w:rsid w:val="00CE7354"/>
    <w:rsid w:val="00CF03CB"/>
    <w:rsid w:val="00CF09E3"/>
    <w:rsid w:val="00CF45B5"/>
    <w:rsid w:val="00CF59B8"/>
    <w:rsid w:val="00CF6381"/>
    <w:rsid w:val="00D01549"/>
    <w:rsid w:val="00D1101D"/>
    <w:rsid w:val="00D11B89"/>
    <w:rsid w:val="00D12F57"/>
    <w:rsid w:val="00D1390E"/>
    <w:rsid w:val="00D14709"/>
    <w:rsid w:val="00D14A35"/>
    <w:rsid w:val="00D22B1F"/>
    <w:rsid w:val="00D25C87"/>
    <w:rsid w:val="00D3249A"/>
    <w:rsid w:val="00D32AB1"/>
    <w:rsid w:val="00D35D7C"/>
    <w:rsid w:val="00D41850"/>
    <w:rsid w:val="00D41953"/>
    <w:rsid w:val="00D41C6C"/>
    <w:rsid w:val="00D41C90"/>
    <w:rsid w:val="00D450C7"/>
    <w:rsid w:val="00D52667"/>
    <w:rsid w:val="00D54A56"/>
    <w:rsid w:val="00D572BC"/>
    <w:rsid w:val="00D60DB1"/>
    <w:rsid w:val="00D61C75"/>
    <w:rsid w:val="00D623C6"/>
    <w:rsid w:val="00D63327"/>
    <w:rsid w:val="00D65207"/>
    <w:rsid w:val="00D65C76"/>
    <w:rsid w:val="00D6632F"/>
    <w:rsid w:val="00D675E0"/>
    <w:rsid w:val="00D7315D"/>
    <w:rsid w:val="00D7436F"/>
    <w:rsid w:val="00D75686"/>
    <w:rsid w:val="00D8033A"/>
    <w:rsid w:val="00D80F53"/>
    <w:rsid w:val="00D84317"/>
    <w:rsid w:val="00D853BB"/>
    <w:rsid w:val="00D87C4E"/>
    <w:rsid w:val="00D87E0E"/>
    <w:rsid w:val="00D92614"/>
    <w:rsid w:val="00D94694"/>
    <w:rsid w:val="00DA0F35"/>
    <w:rsid w:val="00DA176C"/>
    <w:rsid w:val="00DA2737"/>
    <w:rsid w:val="00DA2F73"/>
    <w:rsid w:val="00DA3090"/>
    <w:rsid w:val="00DA5080"/>
    <w:rsid w:val="00DA54FC"/>
    <w:rsid w:val="00DA6BB2"/>
    <w:rsid w:val="00DB3C72"/>
    <w:rsid w:val="00DC36B0"/>
    <w:rsid w:val="00DC3BD3"/>
    <w:rsid w:val="00DC462F"/>
    <w:rsid w:val="00DC611B"/>
    <w:rsid w:val="00DC6B4F"/>
    <w:rsid w:val="00DD0B34"/>
    <w:rsid w:val="00DD66B6"/>
    <w:rsid w:val="00DE047A"/>
    <w:rsid w:val="00DE1917"/>
    <w:rsid w:val="00DE2289"/>
    <w:rsid w:val="00DE78E8"/>
    <w:rsid w:val="00DF2025"/>
    <w:rsid w:val="00DF3AF1"/>
    <w:rsid w:val="00DF4851"/>
    <w:rsid w:val="00E01205"/>
    <w:rsid w:val="00E016AB"/>
    <w:rsid w:val="00E017BC"/>
    <w:rsid w:val="00E037B1"/>
    <w:rsid w:val="00E05D8A"/>
    <w:rsid w:val="00E06593"/>
    <w:rsid w:val="00E14A38"/>
    <w:rsid w:val="00E15B8B"/>
    <w:rsid w:val="00E20799"/>
    <w:rsid w:val="00E20F9B"/>
    <w:rsid w:val="00E22115"/>
    <w:rsid w:val="00E23DFD"/>
    <w:rsid w:val="00E24FA3"/>
    <w:rsid w:val="00E25926"/>
    <w:rsid w:val="00E25BED"/>
    <w:rsid w:val="00E275DA"/>
    <w:rsid w:val="00E316E4"/>
    <w:rsid w:val="00E34156"/>
    <w:rsid w:val="00E358F4"/>
    <w:rsid w:val="00E36B41"/>
    <w:rsid w:val="00E379FB"/>
    <w:rsid w:val="00E4021F"/>
    <w:rsid w:val="00E4152B"/>
    <w:rsid w:val="00E433CC"/>
    <w:rsid w:val="00E45954"/>
    <w:rsid w:val="00E46623"/>
    <w:rsid w:val="00E4682B"/>
    <w:rsid w:val="00E5190B"/>
    <w:rsid w:val="00E52ACE"/>
    <w:rsid w:val="00E54526"/>
    <w:rsid w:val="00E5553F"/>
    <w:rsid w:val="00E55D76"/>
    <w:rsid w:val="00E55E1C"/>
    <w:rsid w:val="00E562A8"/>
    <w:rsid w:val="00E60457"/>
    <w:rsid w:val="00E6108A"/>
    <w:rsid w:val="00E63668"/>
    <w:rsid w:val="00E6414F"/>
    <w:rsid w:val="00E72C00"/>
    <w:rsid w:val="00E7539D"/>
    <w:rsid w:val="00E8426C"/>
    <w:rsid w:val="00E84286"/>
    <w:rsid w:val="00E933E5"/>
    <w:rsid w:val="00E97434"/>
    <w:rsid w:val="00EA1A3D"/>
    <w:rsid w:val="00EA3932"/>
    <w:rsid w:val="00EA6A3D"/>
    <w:rsid w:val="00EB0AC7"/>
    <w:rsid w:val="00EB3234"/>
    <w:rsid w:val="00EB6BD9"/>
    <w:rsid w:val="00EB7574"/>
    <w:rsid w:val="00EC3BD0"/>
    <w:rsid w:val="00EC42AF"/>
    <w:rsid w:val="00EC4D70"/>
    <w:rsid w:val="00EC54D5"/>
    <w:rsid w:val="00EC5DC9"/>
    <w:rsid w:val="00ED03B1"/>
    <w:rsid w:val="00ED03E3"/>
    <w:rsid w:val="00ED0DC5"/>
    <w:rsid w:val="00ED0F44"/>
    <w:rsid w:val="00ED10B2"/>
    <w:rsid w:val="00ED2E3C"/>
    <w:rsid w:val="00ED4052"/>
    <w:rsid w:val="00ED5848"/>
    <w:rsid w:val="00ED74B4"/>
    <w:rsid w:val="00EE0F13"/>
    <w:rsid w:val="00EE50BC"/>
    <w:rsid w:val="00EE6908"/>
    <w:rsid w:val="00EE6F77"/>
    <w:rsid w:val="00EF0069"/>
    <w:rsid w:val="00EF49AE"/>
    <w:rsid w:val="00EF6147"/>
    <w:rsid w:val="00EF6522"/>
    <w:rsid w:val="00EF7D2B"/>
    <w:rsid w:val="00F0244F"/>
    <w:rsid w:val="00F120FA"/>
    <w:rsid w:val="00F132B1"/>
    <w:rsid w:val="00F145EA"/>
    <w:rsid w:val="00F14C6D"/>
    <w:rsid w:val="00F2091C"/>
    <w:rsid w:val="00F213CD"/>
    <w:rsid w:val="00F26EC1"/>
    <w:rsid w:val="00F300F8"/>
    <w:rsid w:val="00F30E66"/>
    <w:rsid w:val="00F3295D"/>
    <w:rsid w:val="00F3322B"/>
    <w:rsid w:val="00F344EA"/>
    <w:rsid w:val="00F34FDD"/>
    <w:rsid w:val="00F357E3"/>
    <w:rsid w:val="00F378E1"/>
    <w:rsid w:val="00F40890"/>
    <w:rsid w:val="00F44F34"/>
    <w:rsid w:val="00F52246"/>
    <w:rsid w:val="00F5417C"/>
    <w:rsid w:val="00F553DE"/>
    <w:rsid w:val="00F57E3F"/>
    <w:rsid w:val="00F60792"/>
    <w:rsid w:val="00F65E03"/>
    <w:rsid w:val="00F73DC3"/>
    <w:rsid w:val="00F73E04"/>
    <w:rsid w:val="00F73FF0"/>
    <w:rsid w:val="00F7450A"/>
    <w:rsid w:val="00F74A07"/>
    <w:rsid w:val="00F84B22"/>
    <w:rsid w:val="00F90F18"/>
    <w:rsid w:val="00F935D0"/>
    <w:rsid w:val="00F95C35"/>
    <w:rsid w:val="00FA2F42"/>
    <w:rsid w:val="00FA5CBF"/>
    <w:rsid w:val="00FA6159"/>
    <w:rsid w:val="00FA7A94"/>
    <w:rsid w:val="00FB2E43"/>
    <w:rsid w:val="00FB3632"/>
    <w:rsid w:val="00FB625D"/>
    <w:rsid w:val="00FB7216"/>
    <w:rsid w:val="00FC2721"/>
    <w:rsid w:val="00FC36EC"/>
    <w:rsid w:val="00FD0AB9"/>
    <w:rsid w:val="00FD0C93"/>
    <w:rsid w:val="00FD5545"/>
    <w:rsid w:val="00FD6446"/>
    <w:rsid w:val="00FE2034"/>
    <w:rsid w:val="00FE354B"/>
    <w:rsid w:val="00FE36DB"/>
    <w:rsid w:val="00FE7754"/>
    <w:rsid w:val="00FF2317"/>
    <w:rsid w:val="00FF3C5D"/>
    <w:rsid w:val="00FF3E57"/>
    <w:rsid w:val="00FF429B"/>
    <w:rsid w:val="00FF58C5"/>
    <w:rsid w:val="00FF6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29B985D5"/>
  <w15:docId w15:val="{EB556ACF-72A0-49C6-8393-0606FF4D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587582"/>
    <w:pPr>
      <w:ind w:left="720"/>
      <w:contextualSpacing/>
    </w:pPr>
  </w:style>
  <w:style w:type="paragraph" w:styleId="BalloonText">
    <w:name w:val="Balloon Text"/>
    <w:basedOn w:val="Normal"/>
    <w:link w:val="BalloonTextChar"/>
    <w:locked/>
    <w:rsid w:val="00CF03C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F03CB"/>
    <w:rPr>
      <w:rFonts w:ascii="Tahoma" w:hAnsi="Tahoma" w:cs="Tahoma"/>
      <w:sz w:val="16"/>
      <w:szCs w:val="16"/>
    </w:rPr>
  </w:style>
  <w:style w:type="character" w:styleId="CommentReference">
    <w:name w:val="annotation reference"/>
    <w:basedOn w:val="DefaultParagraphFont"/>
    <w:locked/>
    <w:rsid w:val="007C4876"/>
    <w:rPr>
      <w:sz w:val="16"/>
      <w:szCs w:val="16"/>
    </w:rPr>
  </w:style>
  <w:style w:type="paragraph" w:styleId="CommentText">
    <w:name w:val="annotation text"/>
    <w:basedOn w:val="Normal"/>
    <w:link w:val="CommentTextChar"/>
    <w:locked/>
    <w:rsid w:val="007C4876"/>
    <w:rPr>
      <w:sz w:val="20"/>
      <w:szCs w:val="20"/>
    </w:rPr>
  </w:style>
  <w:style w:type="character" w:customStyle="1" w:styleId="CommentTextChar">
    <w:name w:val="Comment Text Char"/>
    <w:basedOn w:val="DefaultParagraphFont"/>
    <w:link w:val="CommentText"/>
    <w:rsid w:val="007C4876"/>
    <w:rPr>
      <w:rFonts w:ascii="Arial" w:hAnsi="Arial"/>
    </w:rPr>
  </w:style>
  <w:style w:type="paragraph" w:styleId="CommentSubject">
    <w:name w:val="annotation subject"/>
    <w:basedOn w:val="CommentText"/>
    <w:next w:val="CommentText"/>
    <w:link w:val="CommentSubjectChar"/>
    <w:locked/>
    <w:rsid w:val="007C4876"/>
    <w:rPr>
      <w:b/>
      <w:bCs/>
    </w:rPr>
  </w:style>
  <w:style w:type="character" w:customStyle="1" w:styleId="CommentSubjectChar">
    <w:name w:val="Comment Subject Char"/>
    <w:basedOn w:val="CommentTextChar"/>
    <w:link w:val="CommentSubject"/>
    <w:rsid w:val="007C4876"/>
    <w:rPr>
      <w:rFonts w:ascii="Arial" w:hAnsi="Arial"/>
      <w:b/>
      <w:bCs/>
    </w:rPr>
  </w:style>
  <w:style w:type="character" w:customStyle="1" w:styleId="field-content">
    <w:name w:val="field-content"/>
    <w:rsid w:val="0034734A"/>
  </w:style>
  <w:style w:type="paragraph" w:styleId="Revision">
    <w:name w:val="Revision"/>
    <w:hidden/>
    <w:uiPriority w:val="99"/>
    <w:semiHidden/>
    <w:rsid w:val="00875CC8"/>
    <w:rPr>
      <w:rFonts w:ascii="Arial" w:hAnsi="Arial"/>
      <w:sz w:val="24"/>
      <w:szCs w:val="24"/>
    </w:rPr>
  </w:style>
  <w:style w:type="character" w:customStyle="1" w:styleId="SingleTxtGChar">
    <w:name w:val="_ Single Txt_G Char"/>
    <w:link w:val="SingleTxtG"/>
    <w:locked/>
    <w:rsid w:val="002961E7"/>
    <w:rPr>
      <w:lang w:val="en-GB" w:eastAsia="en-US"/>
    </w:rPr>
  </w:style>
  <w:style w:type="paragraph" w:customStyle="1" w:styleId="SingleTxtG">
    <w:name w:val="_ Single Txt_G"/>
    <w:basedOn w:val="Normal"/>
    <w:link w:val="SingleTxtGChar"/>
    <w:rsid w:val="002961E7"/>
    <w:pPr>
      <w:suppressAutoHyphens/>
      <w:spacing w:before="0" w:after="120" w:line="240" w:lineRule="atLeast"/>
      <w:ind w:left="1134" w:right="1134"/>
      <w:jc w:val="both"/>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0790">
      <w:bodyDiv w:val="1"/>
      <w:marLeft w:val="0"/>
      <w:marRight w:val="0"/>
      <w:marTop w:val="0"/>
      <w:marBottom w:val="0"/>
      <w:divBdr>
        <w:top w:val="none" w:sz="0" w:space="0" w:color="auto"/>
        <w:left w:val="none" w:sz="0" w:space="0" w:color="auto"/>
        <w:bottom w:val="none" w:sz="0" w:space="0" w:color="auto"/>
        <w:right w:val="none" w:sz="0" w:space="0" w:color="auto"/>
      </w:divBdr>
      <w:divsChild>
        <w:div w:id="1685328180">
          <w:marLeft w:val="0"/>
          <w:marRight w:val="0"/>
          <w:marTop w:val="0"/>
          <w:marBottom w:val="0"/>
          <w:divBdr>
            <w:top w:val="single" w:sz="6" w:space="0" w:color="5056A3"/>
            <w:left w:val="single" w:sz="6" w:space="0" w:color="5056A3"/>
            <w:bottom w:val="single" w:sz="6" w:space="0" w:color="5056A3"/>
            <w:right w:val="single" w:sz="6" w:space="0" w:color="5056A3"/>
          </w:divBdr>
          <w:divsChild>
            <w:div w:id="4528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85188348">
      <w:bodyDiv w:val="1"/>
      <w:marLeft w:val="0"/>
      <w:marRight w:val="0"/>
      <w:marTop w:val="0"/>
      <w:marBottom w:val="0"/>
      <w:divBdr>
        <w:top w:val="none" w:sz="0" w:space="0" w:color="auto"/>
        <w:left w:val="none" w:sz="0" w:space="0" w:color="auto"/>
        <w:bottom w:val="none" w:sz="0" w:space="0" w:color="auto"/>
        <w:right w:val="none" w:sz="0" w:space="0" w:color="auto"/>
      </w:divBdr>
      <w:divsChild>
        <w:div w:id="1338338422">
          <w:marLeft w:val="0"/>
          <w:marRight w:val="0"/>
          <w:marTop w:val="0"/>
          <w:marBottom w:val="0"/>
          <w:divBdr>
            <w:top w:val="single" w:sz="6" w:space="0" w:color="5056A3"/>
            <w:left w:val="single" w:sz="6" w:space="0" w:color="5056A3"/>
            <w:bottom w:val="single" w:sz="6" w:space="0" w:color="5056A3"/>
            <w:right w:val="single" w:sz="6" w:space="0" w:color="5056A3"/>
          </w:divBdr>
          <w:divsChild>
            <w:div w:id="9207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43332">
      <w:bodyDiv w:val="1"/>
      <w:marLeft w:val="0"/>
      <w:marRight w:val="0"/>
      <w:marTop w:val="0"/>
      <w:marBottom w:val="0"/>
      <w:divBdr>
        <w:top w:val="none" w:sz="0" w:space="0" w:color="auto"/>
        <w:left w:val="none" w:sz="0" w:space="0" w:color="auto"/>
        <w:bottom w:val="none" w:sz="0" w:space="0" w:color="auto"/>
        <w:right w:val="none" w:sz="0" w:space="0" w:color="auto"/>
      </w:divBdr>
      <w:divsChild>
        <w:div w:id="2108966022">
          <w:marLeft w:val="0"/>
          <w:marRight w:val="0"/>
          <w:marTop w:val="0"/>
          <w:marBottom w:val="0"/>
          <w:divBdr>
            <w:top w:val="single" w:sz="6" w:space="0" w:color="5056A3"/>
            <w:left w:val="single" w:sz="6" w:space="0" w:color="5056A3"/>
            <w:bottom w:val="single" w:sz="6" w:space="0" w:color="5056A3"/>
            <w:right w:val="single" w:sz="6" w:space="0" w:color="5056A3"/>
          </w:divBdr>
          <w:divsChild>
            <w:div w:id="1768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099">
      <w:bodyDiv w:val="1"/>
      <w:marLeft w:val="0"/>
      <w:marRight w:val="0"/>
      <w:marTop w:val="0"/>
      <w:marBottom w:val="0"/>
      <w:divBdr>
        <w:top w:val="none" w:sz="0" w:space="0" w:color="auto"/>
        <w:left w:val="none" w:sz="0" w:space="0" w:color="auto"/>
        <w:bottom w:val="none" w:sz="0" w:space="0" w:color="auto"/>
        <w:right w:val="none" w:sz="0" w:space="0" w:color="auto"/>
      </w:divBdr>
    </w:div>
    <w:div w:id="1595746292">
      <w:bodyDiv w:val="1"/>
      <w:marLeft w:val="0"/>
      <w:marRight w:val="0"/>
      <w:marTop w:val="0"/>
      <w:marBottom w:val="0"/>
      <w:divBdr>
        <w:top w:val="none" w:sz="0" w:space="0" w:color="auto"/>
        <w:left w:val="none" w:sz="0" w:space="0" w:color="auto"/>
        <w:bottom w:val="none" w:sz="0" w:space="0" w:color="auto"/>
        <w:right w:val="none" w:sz="0" w:space="0" w:color="auto"/>
      </w:divBdr>
    </w:div>
    <w:div w:id="1674795940">
      <w:bodyDiv w:val="1"/>
      <w:marLeft w:val="0"/>
      <w:marRight w:val="0"/>
      <w:marTop w:val="0"/>
      <w:marBottom w:val="0"/>
      <w:divBdr>
        <w:top w:val="none" w:sz="0" w:space="0" w:color="auto"/>
        <w:left w:val="none" w:sz="0" w:space="0" w:color="auto"/>
        <w:bottom w:val="none" w:sz="0" w:space="0" w:color="auto"/>
        <w:right w:val="none" w:sz="0" w:space="0" w:color="auto"/>
      </w:divBdr>
      <w:divsChild>
        <w:div w:id="439568311">
          <w:marLeft w:val="0"/>
          <w:marRight w:val="0"/>
          <w:marTop w:val="0"/>
          <w:marBottom w:val="0"/>
          <w:divBdr>
            <w:top w:val="single" w:sz="6" w:space="0" w:color="5056A3"/>
            <w:left w:val="single" w:sz="6" w:space="0" w:color="5056A3"/>
            <w:bottom w:val="single" w:sz="6" w:space="0" w:color="5056A3"/>
            <w:right w:val="single" w:sz="6" w:space="0" w:color="5056A3"/>
          </w:divBdr>
          <w:divsChild>
            <w:div w:id="17200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9">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ustlii.edu.au/au/other/dfat/treaties/1991/4.html" TargetMode="External"/><Relationship Id="rId13" Type="http://schemas.openxmlformats.org/officeDocument/2006/relationships/hyperlink" Target="http://www.refworld.org/docid/5280b5cb4.html" TargetMode="External"/><Relationship Id="rId18" Type="http://schemas.openxmlformats.org/officeDocument/2006/relationships/hyperlink" Target="http://www.lawreform.vic.gov.au/projects/crimes-mental-impairment/crimes-mental-impairment-and-unfitness-be-tried-act-1997-report" TargetMode="External"/><Relationship Id="rId3" Type="http://schemas.openxmlformats.org/officeDocument/2006/relationships/hyperlink" Target="http://www.lawreform.vic.gov.au/projects/crimes-mental-impairment/crimes-mental-impairment-and-unfitness-be-tried-act-1997-report" TargetMode="External"/><Relationship Id="rId7" Type="http://schemas.openxmlformats.org/officeDocument/2006/relationships/hyperlink" Target="http://www.austlii.edu.au/au/other/dfat/treaties/1980/23.html" TargetMode="External"/><Relationship Id="rId12" Type="http://schemas.openxmlformats.org/officeDocument/2006/relationships/hyperlink" Target="http://tbinternet.ohchr.org/_layouts/treatybodyexternal/TBSearch.aspx?Lang=en&amp;TreatyID=4&amp;DocTypeID=5" TargetMode="External"/><Relationship Id="rId17" Type="http://schemas.openxmlformats.org/officeDocument/2006/relationships/hyperlink" Target="http://www.humanrights.gov.au/our-work/aboriginal-and-torres-strait-islander-social-justice/publications/social-justice-report-11" TargetMode="External"/><Relationship Id="rId2" Type="http://schemas.openxmlformats.org/officeDocument/2006/relationships/hyperlink" Target="http://www.lawreform.justice.nsw.gov.au/Pages/lrc/lrc_completed_projects/lrc_peoplewithcognitiveandmentalhealthimpairmentsinthecriminaljusticesystem/lrc_peoplewithcognitiveandmentalhealthimpairmentsinthecriminaljusticesystem.aspx" TargetMode="External"/><Relationship Id="rId16" Type="http://schemas.openxmlformats.org/officeDocument/2006/relationships/hyperlink" Target="http://www.humanrights.gov.au/our-work/aboriginal-and-torres-strait-islander-social-justice/publications/social-justice-and-native" TargetMode="External"/><Relationship Id="rId20" Type="http://schemas.openxmlformats.org/officeDocument/2006/relationships/hyperlink" Target="http://www.humanservices.gov.au/customer/services/centrelink/disability-support-pension" TargetMode="External"/><Relationship Id="rId1" Type="http://schemas.openxmlformats.org/officeDocument/2006/relationships/hyperlink" Target="http://mhrm.mhcc.org.au/chapter-4/4k.aspx" TargetMode="External"/><Relationship Id="rId6" Type="http://schemas.openxmlformats.org/officeDocument/2006/relationships/hyperlink" Target="http://www.lawreform.vic.gov.au/projects/crimes-mental-impairment/crimes-mental-impairment-and-unfitness-be-tried-act-1997-report" TargetMode="External"/><Relationship Id="rId11" Type="http://schemas.openxmlformats.org/officeDocument/2006/relationships/hyperlink" Target="http://www.lawreform.vic.gov.au/projects/crimes-mental-impairment/crimes-mental-impairment-and-unfitness-be-tried-act-1997-report" TargetMode="External"/><Relationship Id="rId5" Type="http://schemas.openxmlformats.org/officeDocument/2006/relationships/hyperlink" Target="http://nmhccf.org.au/publication/position-statement-unravelling-psychosocial-disability" TargetMode="External"/><Relationship Id="rId15" Type="http://schemas.openxmlformats.org/officeDocument/2006/relationships/hyperlink" Target="http://www.humanrights.gov.au/our-work/aboriginal-and-torres-strait-islander-social-justice/publications/social-justice-report-11" TargetMode="External"/><Relationship Id="rId10" Type="http://schemas.openxmlformats.org/officeDocument/2006/relationships/hyperlink" Target="http://www.lawreform.justice.nsw.gov.au/Pages/lrc/lrc_completed_projects/lrc_peoplewithcognitiveandmentalhealthimpairmentsinthecriminaljusticesystem/lrc_peoplewithcognitiveandmentalhealthimpairmentsinthecriminaljusticesystem.aspx" TargetMode="External"/><Relationship Id="rId19" Type="http://schemas.openxmlformats.org/officeDocument/2006/relationships/hyperlink" Target="http://www.lawreform.vic.gov.au/projects/crimes-mental-impairment/crimes-mental-impairment-and-unfitness-be-tried-act-1997-report" TargetMode="External"/><Relationship Id="rId4" Type="http://schemas.openxmlformats.org/officeDocument/2006/relationships/hyperlink" Target="http://www.un.org/disabilities/convention/conventionfull.shtml" TargetMode="External"/><Relationship Id="rId9" Type="http://schemas.openxmlformats.org/officeDocument/2006/relationships/hyperlink" Target="http://www.austlii.edu.au/au/other/dfat/treaties/1976/5.html" TargetMode="External"/><Relationship Id="rId14" Type="http://schemas.openxmlformats.org/officeDocument/2006/relationships/hyperlink" Target="http://www.ceda.com.au/research-and-policy/policy-priorities/disadvant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04AF-D622-4DD7-99EE-8C15D926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2121</Words>
  <Characters>12040</Characters>
  <Application>Microsoft Office Word</Application>
  <DocSecurity>0</DocSecurity>
  <Lines>213</Lines>
  <Paragraphs>50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Sarah Dillon</dc:creator>
  <cp:lastModifiedBy>Darryl Barrett</cp:lastModifiedBy>
  <cp:revision>34</cp:revision>
  <cp:lastPrinted>2015-05-21T01:07:00Z</cp:lastPrinted>
  <dcterms:created xsi:type="dcterms:W3CDTF">2015-05-21T00:59:00Z</dcterms:created>
  <dcterms:modified xsi:type="dcterms:W3CDTF">2015-05-21T03:45:00Z</dcterms:modified>
</cp:coreProperties>
</file>