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6A3580"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7AB6C6AC" wp14:editId="50F0BBF4">
                <wp:simplePos x="0" y="0"/>
                <wp:positionH relativeFrom="column">
                  <wp:posOffset>227727</wp:posOffset>
                </wp:positionH>
                <wp:positionV relativeFrom="paragraph">
                  <wp:posOffset>-40426</wp:posOffset>
                </wp:positionV>
                <wp:extent cx="5504122"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4122" cy="1485900"/>
                        </a:xfrm>
                        <a:prstGeom prst="rect">
                          <a:avLst/>
                        </a:prstGeom>
                        <a:noFill/>
                        <a:ln w="6350">
                          <a:noFill/>
                        </a:ln>
                        <a:effectLst/>
                      </wps:spPr>
                      <wps:txbx>
                        <w:txbxContent>
                          <w:p w:rsidR="00965871" w:rsidRDefault="00965871" w:rsidP="00DF72E7">
                            <w:pPr>
                              <w:pStyle w:val="MainTitle"/>
                            </w:pPr>
                            <w:r>
                              <w:t xml:space="preserve">Inquiry into the </w:t>
                            </w:r>
                            <w:r>
                              <w:rPr>
                                <w:rFonts w:cs="Arial"/>
                              </w:rPr>
                              <w:t>Counter-Terrorism Legislation Amendment Bill (No.1)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95pt;margin-top:-3.2pt;width:433.4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" filled="f" stroked="f" strokeweight=".5pt">
                <v:path arrowok="t"/>
                <v:textbox>
                  <w:txbxContent>
                    <w:p w:rsidR="00965871" w:rsidRDefault="00965871" w:rsidP="00DF72E7">
                      <w:pPr>
                        <w:pStyle w:val="MainTitle"/>
                      </w:pPr>
                      <w:r>
                        <w:t xml:space="preserve">Inquiry into the </w:t>
                      </w:r>
                      <w:r>
                        <w:rPr>
                          <w:rFonts w:cs="Arial"/>
                        </w:rPr>
                        <w:t>Counter-Terrorism Legislation Amendment Bill (No.1) 2014</w:t>
                      </w:r>
                    </w:p>
                  </w:txbxContent>
                </v:textbox>
              </v:shape>
            </w:pict>
          </mc:Fallback>
        </mc:AlternateContent>
      </w:r>
      <w:r w:rsidR="00EC0C3B">
        <w:rPr>
          <w:noProof/>
        </w:rPr>
        <mc:AlternateContent>
          <mc:Choice Requires="wps">
            <w:drawing>
              <wp:anchor distT="0" distB="0" distL="114300" distR="114300" simplePos="0" relativeHeight="251658752" behindDoc="0" locked="0" layoutInCell="1" allowOverlap="1" wp14:anchorId="3E676911" wp14:editId="20367A75">
                <wp:simplePos x="0" y="0"/>
                <wp:positionH relativeFrom="column">
                  <wp:posOffset>1965325</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965871" w:rsidRPr="00B74219" w:rsidRDefault="00965871" w:rsidP="002863D7">
                            <w:pPr>
                              <w:pStyle w:val="Date"/>
                            </w:pPr>
                            <w:r>
                              <w:t>1</w:t>
                            </w:r>
                            <w:r w:rsidR="005F58D9">
                              <w:t>1</w:t>
                            </w:r>
                            <w:bookmarkStart w:id="0" w:name="_GoBack"/>
                            <w:bookmarkEnd w:id="0"/>
                            <w:r>
                              <w:t xml:space="preserve"> November </w:t>
                            </w:r>
                            <w:r w:rsidRPr="002863D7">
                              <w:t>20</w:t>
                            </w: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4.75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" filled="f" stroked="f" strokeweight=".5pt">
                <v:path arrowok="t"/>
                <v:textbox>
                  <w:txbxContent>
                    <w:p w:rsidR="00965871" w:rsidRPr="00B74219" w:rsidRDefault="00965871" w:rsidP="002863D7">
                      <w:pPr>
                        <w:pStyle w:val="Date"/>
                      </w:pPr>
                      <w:r>
                        <w:t>1</w:t>
                      </w:r>
                      <w:r w:rsidR="005F58D9">
                        <w:t>1</w:t>
                      </w:r>
                      <w:bookmarkStart w:id="1" w:name="_GoBack"/>
                      <w:bookmarkEnd w:id="1"/>
                      <w:r>
                        <w:t xml:space="preserve"> November </w:t>
                      </w:r>
                      <w:r w:rsidRPr="002863D7">
                        <w:t>20</w:t>
                      </w:r>
                      <w:r>
                        <w:t>14</w:t>
                      </w:r>
                    </w:p>
                  </w:txbxContent>
                </v:textbox>
              </v:shape>
            </w:pict>
          </mc:Fallback>
        </mc:AlternateContent>
      </w:r>
      <w:r w:rsidR="00DF72E7">
        <w:rPr>
          <w:noProof/>
        </w:rPr>
        <mc:AlternateContent>
          <mc:Choice Requires="wps">
            <w:drawing>
              <wp:anchor distT="0" distB="0" distL="114300" distR="114300" simplePos="0" relativeHeight="251657728" behindDoc="0" locked="0" layoutInCell="1" allowOverlap="1" wp14:anchorId="6504A6B4" wp14:editId="7E7C3D2D">
                <wp:simplePos x="0" y="0"/>
                <wp:positionH relativeFrom="column">
                  <wp:posOffset>-548005</wp:posOffset>
                </wp:positionH>
                <wp:positionV relativeFrom="paragraph">
                  <wp:posOffset>1453515</wp:posOffset>
                </wp:positionV>
                <wp:extent cx="6282690" cy="752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752475"/>
                        </a:xfrm>
                        <a:prstGeom prst="rect">
                          <a:avLst/>
                        </a:prstGeom>
                        <a:noFill/>
                        <a:ln w="6350">
                          <a:noFill/>
                        </a:ln>
                        <a:effectLst/>
                      </wps:spPr>
                      <wps:txbx>
                        <w:txbxContent>
                          <w:p w:rsidR="00965871" w:rsidRPr="00B74219" w:rsidRDefault="00965871" w:rsidP="00A11307">
                            <w:pPr>
                              <w:pStyle w:val="Subtitle"/>
                            </w:pPr>
                            <w:bookmarkStart w:id="2" w:name="_Toc403037704"/>
                            <w:r w:rsidRPr="002863D7">
                              <w:t xml:space="preserve">Australian Human Rights Commission Submission to the </w:t>
                            </w:r>
                            <w:r>
                              <w:t>Parliamentary Joint Committee on Intelligence and Security</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3.15pt;margin-top:114.45pt;width:494.7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" filled="f" stroked="f" strokeweight=".5pt">
                <v:path arrowok="t"/>
                <v:textbox>
                  <w:txbxContent>
                    <w:p w:rsidR="00965871" w:rsidRPr="00B74219" w:rsidRDefault="00965871" w:rsidP="00A11307">
                      <w:pPr>
                        <w:pStyle w:val="Subtitle"/>
                      </w:pPr>
                      <w:bookmarkStart w:id="1" w:name="_Toc403037704"/>
                      <w:r w:rsidRPr="002863D7">
                        <w:t xml:space="preserve">Australian Human Rights Commission Submission to the </w:t>
                      </w:r>
                      <w:r>
                        <w:t>Parliamentary Joint Committee on Intelligence and Security</w:t>
                      </w:r>
                      <w:bookmarkEnd w:id="1"/>
                    </w:p>
                  </w:txbxContent>
                </v:textbox>
              </v:shape>
            </w:pict>
          </mc:Fallback>
        </mc:AlternateContent>
      </w:r>
    </w:p>
    <w:p w:rsidR="00591951" w:rsidRPr="00827DE2" w:rsidRDefault="00591951" w:rsidP="00EC0C3B">
      <w:pPr>
        <w:pStyle w:val="MainTitle"/>
        <w:jc w:val="center"/>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3" w:name="_Toc209316062"/>
      <w:bookmarkEnd w:id="3"/>
    </w:p>
    <w:p w:rsidR="00B63D24" w:rsidRPr="00907336" w:rsidRDefault="00B63D24" w:rsidP="00B63D24">
      <w:pPr>
        <w:rPr>
          <w:b/>
          <w:sz w:val="28"/>
          <w:szCs w:val="28"/>
        </w:rPr>
      </w:pPr>
      <w:bookmarkStart w:id="4" w:name="_Toc207761829"/>
      <w:r w:rsidRPr="00907336">
        <w:rPr>
          <w:b/>
          <w:sz w:val="28"/>
          <w:szCs w:val="28"/>
        </w:rPr>
        <w:lastRenderedPageBreak/>
        <w:t>Table of Contents</w:t>
      </w:r>
      <w:bookmarkEnd w:id="4"/>
    </w:p>
    <w:p w:rsidR="00B83AC7" w:rsidRDefault="00B63D24">
      <w:pPr>
        <w:pStyle w:val="TOC2"/>
        <w:rPr>
          <w:rFonts w:asciiTheme="minorHAnsi" w:eastAsiaTheme="minorEastAsia" w:hAnsiTheme="minorHAnsi" w:cstheme="minorBidi"/>
          <w:b w:val="0"/>
          <w:i w:val="0"/>
          <w:sz w:val="22"/>
          <w:szCs w:val="22"/>
        </w:rPr>
      </w:pPr>
      <w:r w:rsidRPr="00722B7E">
        <w:fldChar w:fldCharType="begin"/>
      </w:r>
      <w:r w:rsidRPr="00722B7E">
        <w:instrText xml:space="preserve"> TOC \o "1-4" \h \z \u </w:instrText>
      </w:r>
      <w:r w:rsidRPr="00722B7E">
        <w:fldChar w:fldCharType="separate"/>
      </w:r>
      <w:hyperlink r:id="rId14" w:anchor="_Toc403037704" w:history="1">
        <w:r w:rsidR="00B83AC7" w:rsidRPr="00C74F64">
          <w:rPr>
            <w:rStyle w:val="Hyperlink"/>
          </w:rPr>
          <w:t>Australian Human Rights Commission Submission to the Parliamentary Joint Committee on Intelligence and Security</w:t>
        </w:r>
        <w:r w:rsidR="00B83AC7">
          <w:rPr>
            <w:webHidden/>
          </w:rPr>
          <w:tab/>
        </w:r>
        <w:r w:rsidR="00B83AC7">
          <w:rPr>
            <w:webHidden/>
          </w:rPr>
          <w:fldChar w:fldCharType="begin"/>
        </w:r>
        <w:r w:rsidR="00B83AC7">
          <w:rPr>
            <w:webHidden/>
          </w:rPr>
          <w:instrText xml:space="preserve"> PAGEREF _Toc403037704 \h </w:instrText>
        </w:r>
        <w:r w:rsidR="00B83AC7">
          <w:rPr>
            <w:webHidden/>
          </w:rPr>
        </w:r>
        <w:r w:rsidR="00B83AC7">
          <w:rPr>
            <w:webHidden/>
          </w:rPr>
          <w:fldChar w:fldCharType="separate"/>
        </w:r>
        <w:r w:rsidR="005F58D9">
          <w:rPr>
            <w:webHidden/>
          </w:rPr>
          <w:t>1</w:t>
        </w:r>
        <w:r w:rsidR="00B83AC7">
          <w:rPr>
            <w:webHidden/>
          </w:rPr>
          <w:fldChar w:fldCharType="end"/>
        </w:r>
      </w:hyperlink>
    </w:p>
    <w:p w:rsidR="00B83AC7" w:rsidRDefault="005F58D9">
      <w:pPr>
        <w:pStyle w:val="TOC1"/>
        <w:rPr>
          <w:rFonts w:asciiTheme="minorHAnsi" w:eastAsiaTheme="minorEastAsia" w:hAnsiTheme="minorHAnsi" w:cstheme="minorBidi"/>
          <w:b w:val="0"/>
          <w:szCs w:val="22"/>
        </w:rPr>
      </w:pPr>
      <w:hyperlink w:anchor="_Toc403037705" w:history="1">
        <w:r w:rsidR="00B83AC7" w:rsidRPr="00C74F64">
          <w:rPr>
            <w:rStyle w:val="Hyperlink"/>
          </w:rPr>
          <w:t>1</w:t>
        </w:r>
        <w:r w:rsidR="00B83AC7">
          <w:rPr>
            <w:rFonts w:asciiTheme="minorHAnsi" w:eastAsiaTheme="minorEastAsia" w:hAnsiTheme="minorHAnsi" w:cstheme="minorBidi"/>
            <w:b w:val="0"/>
            <w:szCs w:val="22"/>
          </w:rPr>
          <w:tab/>
        </w:r>
        <w:r w:rsidR="00B83AC7" w:rsidRPr="00C74F64">
          <w:rPr>
            <w:rStyle w:val="Hyperlink"/>
          </w:rPr>
          <w:t>Introduction</w:t>
        </w:r>
        <w:r w:rsidR="00B83AC7">
          <w:rPr>
            <w:webHidden/>
          </w:rPr>
          <w:tab/>
        </w:r>
        <w:r w:rsidR="00B83AC7">
          <w:rPr>
            <w:webHidden/>
          </w:rPr>
          <w:fldChar w:fldCharType="begin"/>
        </w:r>
        <w:r w:rsidR="00B83AC7">
          <w:rPr>
            <w:webHidden/>
          </w:rPr>
          <w:instrText xml:space="preserve"> PAGEREF _Toc403037705 \h </w:instrText>
        </w:r>
        <w:r w:rsidR="00B83AC7">
          <w:rPr>
            <w:webHidden/>
          </w:rPr>
        </w:r>
        <w:r w:rsidR="00B83AC7">
          <w:rPr>
            <w:webHidden/>
          </w:rPr>
          <w:fldChar w:fldCharType="separate"/>
        </w:r>
        <w:r>
          <w:rPr>
            <w:webHidden/>
          </w:rPr>
          <w:t>3</w:t>
        </w:r>
        <w:r w:rsidR="00B83AC7">
          <w:rPr>
            <w:webHidden/>
          </w:rPr>
          <w:fldChar w:fldCharType="end"/>
        </w:r>
      </w:hyperlink>
    </w:p>
    <w:p w:rsidR="00B83AC7" w:rsidRDefault="005F58D9">
      <w:pPr>
        <w:pStyle w:val="TOC1"/>
        <w:rPr>
          <w:rFonts w:asciiTheme="minorHAnsi" w:eastAsiaTheme="minorEastAsia" w:hAnsiTheme="minorHAnsi" w:cstheme="minorBidi"/>
          <w:b w:val="0"/>
          <w:szCs w:val="22"/>
        </w:rPr>
      </w:pPr>
      <w:hyperlink w:anchor="_Toc403037706" w:history="1">
        <w:r w:rsidR="00B83AC7" w:rsidRPr="00C74F64">
          <w:rPr>
            <w:rStyle w:val="Hyperlink"/>
          </w:rPr>
          <w:t>2</w:t>
        </w:r>
        <w:r w:rsidR="00B83AC7">
          <w:rPr>
            <w:rFonts w:asciiTheme="minorHAnsi" w:eastAsiaTheme="minorEastAsia" w:hAnsiTheme="minorHAnsi" w:cstheme="minorBidi"/>
            <w:b w:val="0"/>
            <w:szCs w:val="22"/>
          </w:rPr>
          <w:tab/>
        </w:r>
        <w:r w:rsidR="00B83AC7" w:rsidRPr="00C74F64">
          <w:rPr>
            <w:rStyle w:val="Hyperlink"/>
          </w:rPr>
          <w:t>The Control Order regime</w:t>
        </w:r>
        <w:r w:rsidR="00B83AC7">
          <w:rPr>
            <w:webHidden/>
          </w:rPr>
          <w:tab/>
        </w:r>
        <w:r w:rsidR="00B83AC7">
          <w:rPr>
            <w:webHidden/>
          </w:rPr>
          <w:fldChar w:fldCharType="begin"/>
        </w:r>
        <w:r w:rsidR="00B83AC7">
          <w:rPr>
            <w:webHidden/>
          </w:rPr>
          <w:instrText xml:space="preserve"> PAGEREF _Toc403037706 \h </w:instrText>
        </w:r>
        <w:r w:rsidR="00B83AC7">
          <w:rPr>
            <w:webHidden/>
          </w:rPr>
        </w:r>
        <w:r w:rsidR="00B83AC7">
          <w:rPr>
            <w:webHidden/>
          </w:rPr>
          <w:fldChar w:fldCharType="separate"/>
        </w:r>
        <w:r>
          <w:rPr>
            <w:webHidden/>
          </w:rPr>
          <w:t>3</w:t>
        </w:r>
        <w:r w:rsidR="00B83AC7">
          <w:rPr>
            <w:webHidden/>
          </w:rPr>
          <w:fldChar w:fldCharType="end"/>
        </w:r>
      </w:hyperlink>
    </w:p>
    <w:p w:rsidR="00B83AC7" w:rsidRDefault="005F58D9">
      <w:pPr>
        <w:pStyle w:val="TOC2"/>
        <w:rPr>
          <w:rFonts w:asciiTheme="minorHAnsi" w:eastAsiaTheme="minorEastAsia" w:hAnsiTheme="minorHAnsi" w:cstheme="minorBidi"/>
          <w:b w:val="0"/>
          <w:i w:val="0"/>
          <w:sz w:val="22"/>
          <w:szCs w:val="22"/>
        </w:rPr>
      </w:pPr>
      <w:hyperlink w:anchor="_Toc403037707" w:history="1">
        <w:r w:rsidR="00B83AC7" w:rsidRPr="00C74F64">
          <w:rPr>
            <w:rStyle w:val="Hyperlink"/>
          </w:rPr>
          <w:t>2.1</w:t>
        </w:r>
        <w:r w:rsidR="00B83AC7">
          <w:rPr>
            <w:rFonts w:asciiTheme="minorHAnsi" w:eastAsiaTheme="minorEastAsia" w:hAnsiTheme="minorHAnsi" w:cstheme="minorBidi"/>
            <w:b w:val="0"/>
            <w:i w:val="0"/>
            <w:sz w:val="22"/>
            <w:szCs w:val="22"/>
          </w:rPr>
          <w:tab/>
        </w:r>
        <w:r w:rsidR="00B83AC7" w:rsidRPr="00C74F64">
          <w:rPr>
            <w:rStyle w:val="Hyperlink"/>
          </w:rPr>
          <w:t>Expanding the grounds for a control order</w:t>
        </w:r>
        <w:r w:rsidR="00B83AC7">
          <w:rPr>
            <w:webHidden/>
          </w:rPr>
          <w:tab/>
        </w:r>
        <w:r w:rsidR="00B83AC7">
          <w:rPr>
            <w:webHidden/>
          </w:rPr>
          <w:fldChar w:fldCharType="begin"/>
        </w:r>
        <w:r w:rsidR="00B83AC7">
          <w:rPr>
            <w:webHidden/>
          </w:rPr>
          <w:instrText xml:space="preserve"> PAGEREF _Toc403037707 \h </w:instrText>
        </w:r>
        <w:r w:rsidR="00B83AC7">
          <w:rPr>
            <w:webHidden/>
          </w:rPr>
        </w:r>
        <w:r w:rsidR="00B83AC7">
          <w:rPr>
            <w:webHidden/>
          </w:rPr>
          <w:fldChar w:fldCharType="separate"/>
        </w:r>
        <w:r>
          <w:rPr>
            <w:webHidden/>
          </w:rPr>
          <w:t>5</w:t>
        </w:r>
        <w:r w:rsidR="00B83AC7">
          <w:rPr>
            <w:webHidden/>
          </w:rPr>
          <w:fldChar w:fldCharType="end"/>
        </w:r>
      </w:hyperlink>
    </w:p>
    <w:p w:rsidR="00B83AC7" w:rsidRDefault="005F58D9">
      <w:pPr>
        <w:pStyle w:val="TOC2"/>
        <w:rPr>
          <w:rFonts w:asciiTheme="minorHAnsi" w:eastAsiaTheme="minorEastAsia" w:hAnsiTheme="minorHAnsi" w:cstheme="minorBidi"/>
          <w:b w:val="0"/>
          <w:i w:val="0"/>
          <w:sz w:val="22"/>
          <w:szCs w:val="22"/>
        </w:rPr>
      </w:pPr>
      <w:hyperlink w:anchor="_Toc403037708" w:history="1">
        <w:r w:rsidR="00B83AC7" w:rsidRPr="00C74F64">
          <w:rPr>
            <w:rStyle w:val="Hyperlink"/>
          </w:rPr>
          <w:t>2.2</w:t>
        </w:r>
        <w:r w:rsidR="00B83AC7">
          <w:rPr>
            <w:rFonts w:asciiTheme="minorHAnsi" w:eastAsiaTheme="minorEastAsia" w:hAnsiTheme="minorHAnsi" w:cstheme="minorBidi"/>
            <w:b w:val="0"/>
            <w:i w:val="0"/>
            <w:sz w:val="22"/>
            <w:szCs w:val="22"/>
          </w:rPr>
          <w:tab/>
        </w:r>
        <w:r w:rsidR="00B83AC7" w:rsidRPr="00C74F64">
          <w:rPr>
            <w:rStyle w:val="Hyperlink"/>
          </w:rPr>
          <w:t>A less targeted proportionality analysis</w:t>
        </w:r>
        <w:r w:rsidR="00B83AC7">
          <w:rPr>
            <w:webHidden/>
          </w:rPr>
          <w:tab/>
        </w:r>
        <w:r w:rsidR="00B83AC7">
          <w:rPr>
            <w:webHidden/>
          </w:rPr>
          <w:fldChar w:fldCharType="begin"/>
        </w:r>
        <w:r w:rsidR="00B83AC7">
          <w:rPr>
            <w:webHidden/>
          </w:rPr>
          <w:instrText xml:space="preserve"> PAGEREF _Toc403037708 \h </w:instrText>
        </w:r>
        <w:r w:rsidR="00B83AC7">
          <w:rPr>
            <w:webHidden/>
          </w:rPr>
        </w:r>
        <w:r w:rsidR="00B83AC7">
          <w:rPr>
            <w:webHidden/>
          </w:rPr>
          <w:fldChar w:fldCharType="separate"/>
        </w:r>
        <w:r>
          <w:rPr>
            <w:webHidden/>
          </w:rPr>
          <w:t>5</w:t>
        </w:r>
        <w:r w:rsidR="00B83AC7">
          <w:rPr>
            <w:webHidden/>
          </w:rPr>
          <w:fldChar w:fldCharType="end"/>
        </w:r>
      </w:hyperlink>
    </w:p>
    <w:p w:rsidR="00B83AC7" w:rsidRDefault="005F58D9">
      <w:pPr>
        <w:pStyle w:val="TOC2"/>
        <w:rPr>
          <w:rFonts w:asciiTheme="minorHAnsi" w:eastAsiaTheme="minorEastAsia" w:hAnsiTheme="minorHAnsi" w:cstheme="minorBidi"/>
          <w:b w:val="0"/>
          <w:i w:val="0"/>
          <w:sz w:val="22"/>
          <w:szCs w:val="22"/>
        </w:rPr>
      </w:pPr>
      <w:hyperlink w:anchor="_Toc403037709" w:history="1">
        <w:r w:rsidR="00B83AC7" w:rsidRPr="00C74F64">
          <w:rPr>
            <w:rStyle w:val="Hyperlink"/>
          </w:rPr>
          <w:t>2.3</w:t>
        </w:r>
        <w:r w:rsidR="00B83AC7">
          <w:rPr>
            <w:rFonts w:asciiTheme="minorHAnsi" w:eastAsiaTheme="minorEastAsia" w:hAnsiTheme="minorHAnsi" w:cstheme="minorBidi"/>
            <w:b w:val="0"/>
            <w:i w:val="0"/>
            <w:sz w:val="22"/>
            <w:szCs w:val="22"/>
          </w:rPr>
          <w:tab/>
        </w:r>
        <w:r w:rsidR="00B83AC7" w:rsidRPr="00C74F64">
          <w:rPr>
            <w:rStyle w:val="Hyperlink"/>
          </w:rPr>
          <w:t>Attorney-General’s consent</w:t>
        </w:r>
        <w:r w:rsidR="00B83AC7">
          <w:rPr>
            <w:webHidden/>
          </w:rPr>
          <w:tab/>
        </w:r>
        <w:r w:rsidR="00B83AC7">
          <w:rPr>
            <w:webHidden/>
          </w:rPr>
          <w:fldChar w:fldCharType="begin"/>
        </w:r>
        <w:r w:rsidR="00B83AC7">
          <w:rPr>
            <w:webHidden/>
          </w:rPr>
          <w:instrText xml:space="preserve"> PAGEREF _Toc403037709 \h </w:instrText>
        </w:r>
        <w:r w:rsidR="00B83AC7">
          <w:rPr>
            <w:webHidden/>
          </w:rPr>
        </w:r>
        <w:r w:rsidR="00B83AC7">
          <w:rPr>
            <w:webHidden/>
          </w:rPr>
          <w:fldChar w:fldCharType="separate"/>
        </w:r>
        <w:r>
          <w:rPr>
            <w:webHidden/>
          </w:rPr>
          <w:t>6</w:t>
        </w:r>
        <w:r w:rsidR="00B83AC7">
          <w:rPr>
            <w:webHidden/>
          </w:rPr>
          <w:fldChar w:fldCharType="end"/>
        </w:r>
      </w:hyperlink>
    </w:p>
    <w:p w:rsidR="00B34946" w:rsidRPr="00722B7E" w:rsidRDefault="00B63D24" w:rsidP="00B63D24">
      <w:r w:rsidRPr="00722B7E">
        <w:fldChar w:fldCharType="end"/>
      </w:r>
      <w:bookmarkStart w:id="5" w:name="_Toc396139896"/>
      <w:bookmarkStart w:id="6" w:name="_Toc396139913"/>
      <w:bookmarkStart w:id="7" w:name="_Toc396197325"/>
      <w:bookmarkStart w:id="8" w:name="_Toc396203140"/>
      <w:bookmarkStart w:id="9" w:name="_Toc396215008"/>
      <w:bookmarkStart w:id="10" w:name="_Toc396215797"/>
    </w:p>
    <w:p w:rsidR="00B34946" w:rsidRDefault="00B34946">
      <w:pPr>
        <w:spacing w:before="0" w:after="0"/>
      </w:pPr>
      <w:r>
        <w:br w:type="page"/>
      </w:r>
    </w:p>
    <w:p w:rsidR="00B34946" w:rsidRPr="001E1304" w:rsidRDefault="00B34946" w:rsidP="00AE590D">
      <w:pPr>
        <w:pStyle w:val="Heading1"/>
        <w:numPr>
          <w:ilvl w:val="0"/>
          <w:numId w:val="16"/>
        </w:numPr>
      </w:pPr>
      <w:bookmarkStart w:id="11" w:name="_Toc207761830"/>
      <w:bookmarkStart w:id="12" w:name="_Toc209578266"/>
      <w:bookmarkStart w:id="13" w:name="_Toc403037705"/>
      <w:r w:rsidRPr="001E1304">
        <w:lastRenderedPageBreak/>
        <w:t>Introduction</w:t>
      </w:r>
      <w:bookmarkEnd w:id="11"/>
      <w:bookmarkEnd w:id="12"/>
      <w:bookmarkEnd w:id="13"/>
    </w:p>
    <w:p w:rsidR="00B34946" w:rsidRDefault="00B34946" w:rsidP="007931F7">
      <w:pPr>
        <w:pStyle w:val="SubmissionNormal"/>
        <w:tabs>
          <w:tab w:val="clear" w:pos="720"/>
          <w:tab w:val="num" w:pos="851"/>
        </w:tabs>
        <w:ind w:left="851" w:hanging="567"/>
        <w:jc w:val="both"/>
      </w:pPr>
      <w:r w:rsidRPr="00C5786C">
        <w:t>The Aust</w:t>
      </w:r>
      <w:r w:rsidR="00074319">
        <w:t>ralian Human Rights Commission</w:t>
      </w:r>
      <w:r w:rsidR="003E1DA9">
        <w:t xml:space="preserve"> </w:t>
      </w:r>
      <w:r w:rsidRPr="00C5786C">
        <w:t xml:space="preserve">makes this </w:t>
      </w:r>
      <w:r w:rsidR="00F36F4C">
        <w:t xml:space="preserve">brief </w:t>
      </w:r>
      <w:r w:rsidRPr="00C5786C">
        <w:t xml:space="preserve">submission to the </w:t>
      </w:r>
      <w:r w:rsidR="00EC0C3B">
        <w:t>Parliamentary Joint Committee on Intelligence</w:t>
      </w:r>
      <w:r w:rsidRPr="00C5786C">
        <w:t xml:space="preserve"> </w:t>
      </w:r>
      <w:r w:rsidR="00033CA2">
        <w:t>and Security (Committee) in its Inquiry</w:t>
      </w:r>
      <w:r w:rsidR="00786C88" w:rsidRPr="00786C88">
        <w:t xml:space="preserve"> into the Counter-T</w:t>
      </w:r>
      <w:r w:rsidR="004D40C5">
        <w:t xml:space="preserve">errorism Legislation Amendment </w:t>
      </w:r>
      <w:r w:rsidR="00786C88" w:rsidRPr="00786C88">
        <w:t>Bill</w:t>
      </w:r>
      <w:r w:rsidR="004D40C5">
        <w:t xml:space="preserve"> (No.1)</w:t>
      </w:r>
      <w:r w:rsidR="00786C88" w:rsidRPr="00786C88">
        <w:t xml:space="preserve"> 2014</w:t>
      </w:r>
      <w:r w:rsidR="00E9331F">
        <w:t xml:space="preserve"> (the Bill).</w:t>
      </w:r>
      <w:r w:rsidR="0009651D">
        <w:t xml:space="preserve"> </w:t>
      </w:r>
    </w:p>
    <w:p w:rsidR="003E1DA9" w:rsidRDefault="003E1DA9" w:rsidP="007931F7">
      <w:pPr>
        <w:pStyle w:val="SubmissionNormal"/>
        <w:tabs>
          <w:tab w:val="clear" w:pos="720"/>
          <w:tab w:val="num" w:pos="851"/>
        </w:tabs>
        <w:ind w:left="851" w:hanging="567"/>
        <w:jc w:val="both"/>
      </w:pPr>
      <w:r w:rsidRPr="003E1DA9">
        <w:t xml:space="preserve">The </w:t>
      </w:r>
      <w:proofErr w:type="gramStart"/>
      <w:r w:rsidRPr="003E1DA9">
        <w:t xml:space="preserve">Commission is established by the </w:t>
      </w:r>
      <w:r w:rsidRPr="006F00B0">
        <w:rPr>
          <w:i/>
        </w:rPr>
        <w:t>Australian Human Rights Commission Act 1986</w:t>
      </w:r>
      <w:proofErr w:type="gramEnd"/>
      <w:r w:rsidRPr="003E1DA9">
        <w:t xml:space="preserve"> (Cth)</w:t>
      </w:r>
      <w:r w:rsidR="00786C88">
        <w:t xml:space="preserve">. </w:t>
      </w:r>
      <w:r w:rsidRPr="003E1DA9">
        <w:t xml:space="preserve"> </w:t>
      </w:r>
      <w:r w:rsidR="00786C88">
        <w:t>It</w:t>
      </w:r>
      <w:r w:rsidRPr="003E1DA9">
        <w:t xml:space="preserve"> is Australia’s national human rights institution.</w:t>
      </w:r>
    </w:p>
    <w:p w:rsidR="00786C88" w:rsidRDefault="00965871" w:rsidP="007931F7">
      <w:pPr>
        <w:pStyle w:val="SubmissionNormal"/>
        <w:tabs>
          <w:tab w:val="clear" w:pos="720"/>
          <w:tab w:val="num" w:pos="851"/>
        </w:tabs>
        <w:ind w:left="851" w:hanging="567"/>
        <w:jc w:val="both"/>
      </w:pPr>
      <w:r>
        <w:t>In light of the extremely short timeframe given to the public to make submissions to this inquiry, t</w:t>
      </w:r>
      <w:r w:rsidR="00BF54CE">
        <w:t xml:space="preserve">his submission addresses </w:t>
      </w:r>
      <w:r w:rsidR="00A06595">
        <w:t xml:space="preserve">only a few </w:t>
      </w:r>
      <w:r w:rsidR="008368EA">
        <w:t xml:space="preserve">key </w:t>
      </w:r>
      <w:r w:rsidR="00595ECE">
        <w:t>concerns raised by the Bill</w:t>
      </w:r>
      <w:r w:rsidR="005A52E2">
        <w:t>’s amendments to the Control Order regime</w:t>
      </w:r>
      <w:r w:rsidR="00595ECE">
        <w:t xml:space="preserve">. </w:t>
      </w:r>
      <w:r w:rsidR="00430D56">
        <w:t>The Submission does not address all aspects of the Bill.</w:t>
      </w:r>
      <w:r>
        <w:t xml:space="preserve"> </w:t>
      </w:r>
    </w:p>
    <w:p w:rsidR="00595ECE" w:rsidRDefault="005512F9" w:rsidP="007931F7">
      <w:pPr>
        <w:pStyle w:val="SubmissionNormal"/>
        <w:tabs>
          <w:tab w:val="clear" w:pos="720"/>
          <w:tab w:val="num" w:pos="851"/>
        </w:tabs>
        <w:ind w:left="851" w:hanging="567"/>
        <w:jc w:val="both"/>
      </w:pPr>
      <w:r w:rsidRPr="00A2770E">
        <w:t xml:space="preserve">The Commission acknowledges the critical importance of ensuring that our </w:t>
      </w:r>
      <w:r>
        <w:t xml:space="preserve">law enforcement </w:t>
      </w:r>
      <w:r w:rsidRPr="00A2770E">
        <w:t>agencies have appropriate powers to protect our national security</w:t>
      </w:r>
      <w:r w:rsidR="00824537">
        <w:t xml:space="preserve"> and to protect the human rights of other citizens</w:t>
      </w:r>
      <w:r w:rsidR="007B4D5B">
        <w:t xml:space="preserve">, including </w:t>
      </w:r>
      <w:r w:rsidR="00033CA2">
        <w:t>protect</w:t>
      </w:r>
      <w:r w:rsidR="007B4D5B">
        <w:t>ing</w:t>
      </w:r>
      <w:r w:rsidR="00033CA2">
        <w:t xml:space="preserve"> the Australian community from terrorism</w:t>
      </w:r>
      <w:r w:rsidRPr="00A2770E">
        <w:t xml:space="preserve">. Human rights law provides significant scope for such agencies to have expansive powers, even where they impinge on individual rights and freedoms. Such limitations </w:t>
      </w:r>
      <w:r w:rsidR="007B4D5B">
        <w:t xml:space="preserve">on rights </w:t>
      </w:r>
      <w:proofErr w:type="gramStart"/>
      <w:r w:rsidRPr="00A2770E">
        <w:t>must, however, be</w:t>
      </w:r>
      <w:proofErr w:type="gramEnd"/>
      <w:r w:rsidRPr="00A2770E">
        <w:t xml:space="preserve"> clearly expressed, unambiguous in their terms, and </w:t>
      </w:r>
      <w:r>
        <w:t>must be necessary</w:t>
      </w:r>
      <w:r w:rsidRPr="00A2770E">
        <w:t xml:space="preserve"> and proportionate responses to potential harms.</w:t>
      </w:r>
    </w:p>
    <w:p w:rsidR="00595ECE" w:rsidRDefault="0054131D" w:rsidP="007931F7">
      <w:pPr>
        <w:pStyle w:val="SubmissionNormal"/>
        <w:tabs>
          <w:tab w:val="clear" w:pos="720"/>
          <w:tab w:val="num" w:pos="851"/>
        </w:tabs>
        <w:ind w:left="851" w:hanging="567"/>
        <w:jc w:val="both"/>
      </w:pPr>
      <w:r>
        <w:t xml:space="preserve">The Commission recommends that certain provisions of the Bill not </w:t>
      </w:r>
      <w:proofErr w:type="gramStart"/>
      <w:r>
        <w:t>be passed</w:t>
      </w:r>
      <w:proofErr w:type="gramEnd"/>
      <w:r>
        <w:t>.</w:t>
      </w:r>
    </w:p>
    <w:p w:rsidR="00B52F7E" w:rsidRDefault="00107549" w:rsidP="00266828">
      <w:pPr>
        <w:pStyle w:val="Heading1"/>
        <w:numPr>
          <w:ilvl w:val="0"/>
          <w:numId w:val="16"/>
        </w:numPr>
      </w:pPr>
      <w:bookmarkStart w:id="14" w:name="_Toc403037706"/>
      <w:r>
        <w:t>The</w:t>
      </w:r>
      <w:r w:rsidR="00A12D88">
        <w:t xml:space="preserve"> Control Order regime</w:t>
      </w:r>
      <w:bookmarkEnd w:id="14"/>
      <w:r>
        <w:t xml:space="preserve"> </w:t>
      </w:r>
    </w:p>
    <w:p w:rsidR="00B27036" w:rsidRPr="002D7820" w:rsidRDefault="00B27036" w:rsidP="005C1647">
      <w:pPr>
        <w:pStyle w:val="SubmissionNormal"/>
        <w:tabs>
          <w:tab w:val="clear" w:pos="720"/>
          <w:tab w:val="num" w:pos="851"/>
        </w:tabs>
        <w:ind w:left="851" w:hanging="491"/>
        <w:jc w:val="both"/>
        <w:rPr>
          <w:lang w:val="en"/>
        </w:rPr>
      </w:pPr>
      <w:r>
        <w:rPr>
          <w:lang w:val="en"/>
        </w:rPr>
        <w:t xml:space="preserve">Division 104 of Part 5.3 of the </w:t>
      </w:r>
      <w:r w:rsidRPr="0019196D">
        <w:rPr>
          <w:i/>
          <w:lang w:val="en"/>
        </w:rPr>
        <w:t>Criminal Code Act 1995</w:t>
      </w:r>
      <w:r>
        <w:rPr>
          <w:lang w:val="en"/>
        </w:rPr>
        <w:t xml:space="preserve"> (Cth) provides for the making of control orders. A control order is an order issued by a court (either the Federal Court, Family Court or Federal Magistrates Court), at the request of a member of the Australian Federal Police (AFP), to allow obligations, prohibitions and restrictions to be imposed on a person, for the purpose of protecting the public from a terrorist act</w:t>
      </w:r>
      <w:r w:rsidR="0064535E">
        <w:rPr>
          <w:lang w:val="en"/>
        </w:rPr>
        <w:t>.</w:t>
      </w:r>
      <w:r w:rsidR="0064535E">
        <w:rPr>
          <w:rStyle w:val="EndnoteReference"/>
          <w:lang w:val="en"/>
        </w:rPr>
        <w:endnoteReference w:id="1"/>
      </w:r>
      <w:r w:rsidR="0064535E">
        <w:rPr>
          <w:lang w:val="en"/>
        </w:rPr>
        <w:t xml:space="preserve"> </w:t>
      </w:r>
    </w:p>
    <w:p w:rsidR="005C1647" w:rsidRPr="005C1647" w:rsidRDefault="005C1647" w:rsidP="005C1647">
      <w:pPr>
        <w:pStyle w:val="SubmissionNormal"/>
        <w:tabs>
          <w:tab w:val="clear" w:pos="720"/>
          <w:tab w:val="num" w:pos="851"/>
        </w:tabs>
        <w:ind w:left="851" w:hanging="491"/>
        <w:jc w:val="both"/>
      </w:pPr>
      <w:r>
        <w:t xml:space="preserve">Control Orders </w:t>
      </w:r>
      <w:r w:rsidR="00107549">
        <w:t>impose</w:t>
      </w:r>
      <w:r w:rsidRPr="005C1647">
        <w:t xml:space="preserve"> prohibitions or restrictions</w:t>
      </w:r>
      <w:r w:rsidR="00107549">
        <w:t>, which</w:t>
      </w:r>
      <w:r w:rsidRPr="005C1647">
        <w:t xml:space="preserve"> may prevent </w:t>
      </w:r>
      <w:r w:rsidR="00107549">
        <w:t>a</w:t>
      </w:r>
      <w:r w:rsidRPr="005C1647">
        <w:t xml:space="preserve"> person from: </w:t>
      </w:r>
    </w:p>
    <w:p w:rsidR="005C1647" w:rsidRDefault="005C1647" w:rsidP="00C50BF3">
      <w:pPr>
        <w:pStyle w:val="SubmissionNormal"/>
        <w:numPr>
          <w:ilvl w:val="1"/>
          <w:numId w:val="17"/>
        </w:numPr>
        <w:tabs>
          <w:tab w:val="left" w:pos="720"/>
        </w:tabs>
        <w:spacing w:before="100" w:beforeAutospacing="1" w:after="120"/>
        <w:rPr>
          <w:rFonts w:cs="Arial"/>
          <w:lang w:val="en"/>
        </w:rPr>
      </w:pPr>
      <w:r>
        <w:rPr>
          <w:rFonts w:cs="Arial"/>
          <w:lang w:val="en"/>
        </w:rPr>
        <w:t xml:space="preserve">being at specified areas or places </w:t>
      </w:r>
    </w:p>
    <w:p w:rsidR="005C1647" w:rsidRDefault="005C1647" w:rsidP="00C50BF3">
      <w:pPr>
        <w:pStyle w:val="SubmissionNormal"/>
        <w:numPr>
          <w:ilvl w:val="1"/>
          <w:numId w:val="18"/>
        </w:numPr>
        <w:tabs>
          <w:tab w:val="left" w:pos="720"/>
        </w:tabs>
        <w:spacing w:before="100" w:beforeAutospacing="1" w:after="120"/>
        <w:rPr>
          <w:rFonts w:cs="Arial"/>
          <w:lang w:val="en"/>
        </w:rPr>
      </w:pPr>
      <w:r>
        <w:rPr>
          <w:rFonts w:cs="Arial"/>
          <w:lang w:val="en"/>
        </w:rPr>
        <w:t xml:space="preserve">leaving Australia </w:t>
      </w:r>
    </w:p>
    <w:p w:rsidR="005C1647" w:rsidRDefault="005C1647" w:rsidP="00C50BF3">
      <w:pPr>
        <w:pStyle w:val="SubmissionNormal"/>
        <w:numPr>
          <w:ilvl w:val="1"/>
          <w:numId w:val="18"/>
        </w:numPr>
        <w:tabs>
          <w:tab w:val="left" w:pos="720"/>
        </w:tabs>
        <w:spacing w:before="100" w:beforeAutospacing="1" w:after="120"/>
        <w:rPr>
          <w:rFonts w:cs="Arial"/>
          <w:lang w:val="en"/>
        </w:rPr>
      </w:pPr>
      <w:r>
        <w:rPr>
          <w:rFonts w:cs="Arial"/>
          <w:lang w:val="en"/>
        </w:rPr>
        <w:t xml:space="preserve">communicating or associating with specific individuals </w:t>
      </w:r>
    </w:p>
    <w:p w:rsidR="005C1647" w:rsidRDefault="005C1647" w:rsidP="00C50BF3">
      <w:pPr>
        <w:pStyle w:val="SubmissionNormal"/>
        <w:numPr>
          <w:ilvl w:val="1"/>
          <w:numId w:val="18"/>
        </w:numPr>
        <w:tabs>
          <w:tab w:val="left" w:pos="720"/>
        </w:tabs>
        <w:spacing w:before="100" w:beforeAutospacing="1" w:after="120"/>
        <w:rPr>
          <w:rFonts w:cs="Arial"/>
          <w:lang w:val="en"/>
        </w:rPr>
      </w:pPr>
      <w:r>
        <w:rPr>
          <w:rFonts w:cs="Arial"/>
          <w:lang w:val="en"/>
        </w:rPr>
        <w:t xml:space="preserve">accessing or using specified types of telecommunications, including the internet </w:t>
      </w:r>
    </w:p>
    <w:p w:rsidR="005C1647" w:rsidRDefault="005C1647" w:rsidP="00C50BF3">
      <w:pPr>
        <w:pStyle w:val="SubmissionNormal"/>
        <w:numPr>
          <w:ilvl w:val="1"/>
          <w:numId w:val="18"/>
        </w:numPr>
        <w:tabs>
          <w:tab w:val="left" w:pos="720"/>
        </w:tabs>
        <w:spacing w:before="100" w:beforeAutospacing="1" w:after="120"/>
        <w:rPr>
          <w:rFonts w:cs="Arial"/>
          <w:lang w:val="en"/>
        </w:rPr>
      </w:pPr>
      <w:r>
        <w:rPr>
          <w:rFonts w:cs="Arial"/>
          <w:lang w:val="en"/>
        </w:rPr>
        <w:t xml:space="preserve">possessing or using specified articles or substances </w:t>
      </w:r>
    </w:p>
    <w:p w:rsidR="005C1647" w:rsidRDefault="005C1647" w:rsidP="00C50BF3">
      <w:pPr>
        <w:pStyle w:val="SubmissionNormal"/>
        <w:numPr>
          <w:ilvl w:val="1"/>
          <w:numId w:val="18"/>
        </w:numPr>
        <w:tabs>
          <w:tab w:val="left" w:pos="720"/>
        </w:tabs>
        <w:spacing w:before="100" w:beforeAutospacing="1" w:after="120"/>
        <w:rPr>
          <w:rFonts w:cs="Arial"/>
          <w:lang w:val="en"/>
        </w:rPr>
      </w:pPr>
      <w:proofErr w:type="gramStart"/>
      <w:r>
        <w:rPr>
          <w:rFonts w:cs="Arial"/>
          <w:lang w:val="en"/>
        </w:rPr>
        <w:t>carrying</w:t>
      </w:r>
      <w:proofErr w:type="gramEnd"/>
      <w:r>
        <w:rPr>
          <w:rFonts w:cs="Arial"/>
          <w:lang w:val="en"/>
        </w:rPr>
        <w:t xml:space="preserve"> out specified activities (including in respect to their work or occupation).</w:t>
      </w:r>
      <w:r>
        <w:rPr>
          <w:rStyle w:val="EndnoteReference"/>
          <w:lang w:val="en"/>
        </w:rPr>
        <w:endnoteReference w:id="2"/>
      </w:r>
      <w:r>
        <w:rPr>
          <w:rFonts w:cs="Arial"/>
          <w:lang w:val="en"/>
        </w:rPr>
        <w:t xml:space="preserve"> </w:t>
      </w:r>
    </w:p>
    <w:p w:rsidR="005C1647" w:rsidRPr="00107549" w:rsidRDefault="005C1647" w:rsidP="00107549">
      <w:pPr>
        <w:pStyle w:val="SubmissionNormal"/>
        <w:tabs>
          <w:tab w:val="clear" w:pos="720"/>
          <w:tab w:val="num" w:pos="851"/>
        </w:tabs>
        <w:ind w:left="851" w:hanging="491"/>
        <w:jc w:val="both"/>
      </w:pPr>
      <w:r w:rsidRPr="00107549">
        <w:lastRenderedPageBreak/>
        <w:t xml:space="preserve">Control order terms may also require the person to: </w:t>
      </w:r>
    </w:p>
    <w:p w:rsidR="005C1647" w:rsidRDefault="005C1647" w:rsidP="00C50BF3">
      <w:pPr>
        <w:pStyle w:val="SubmissionNormal"/>
        <w:numPr>
          <w:ilvl w:val="1"/>
          <w:numId w:val="19"/>
        </w:numPr>
        <w:tabs>
          <w:tab w:val="left" w:pos="720"/>
        </w:tabs>
        <w:spacing w:before="100" w:beforeAutospacing="1" w:after="120"/>
        <w:rPr>
          <w:rFonts w:cs="Arial"/>
          <w:lang w:val="en"/>
        </w:rPr>
      </w:pPr>
      <w:r>
        <w:rPr>
          <w:rFonts w:cs="Arial"/>
          <w:lang w:val="en"/>
        </w:rPr>
        <w:t xml:space="preserve">remain at specific premises at particular times of the day </w:t>
      </w:r>
    </w:p>
    <w:p w:rsidR="005C1647" w:rsidRDefault="005C1647" w:rsidP="00C50BF3">
      <w:pPr>
        <w:pStyle w:val="SubmissionNormal"/>
        <w:numPr>
          <w:ilvl w:val="1"/>
          <w:numId w:val="19"/>
        </w:numPr>
        <w:tabs>
          <w:tab w:val="left" w:pos="720"/>
        </w:tabs>
        <w:spacing w:before="100" w:beforeAutospacing="1" w:after="120"/>
        <w:rPr>
          <w:rFonts w:cs="Arial"/>
          <w:lang w:val="en"/>
        </w:rPr>
      </w:pPr>
      <w:r>
        <w:rPr>
          <w:rFonts w:cs="Arial"/>
          <w:lang w:val="en"/>
        </w:rPr>
        <w:t xml:space="preserve">wear a tracking device </w:t>
      </w:r>
    </w:p>
    <w:p w:rsidR="005C1647" w:rsidRDefault="005C1647" w:rsidP="00C50BF3">
      <w:pPr>
        <w:pStyle w:val="SubmissionNormal"/>
        <w:numPr>
          <w:ilvl w:val="1"/>
          <w:numId w:val="19"/>
        </w:numPr>
        <w:tabs>
          <w:tab w:val="left" w:pos="720"/>
        </w:tabs>
        <w:spacing w:before="100" w:beforeAutospacing="1" w:after="120"/>
        <w:rPr>
          <w:rFonts w:cs="Arial"/>
          <w:lang w:val="en"/>
        </w:rPr>
      </w:pPr>
      <w:r>
        <w:rPr>
          <w:rFonts w:cs="Arial"/>
          <w:lang w:val="en"/>
        </w:rPr>
        <w:t xml:space="preserve">report to specified persons at specified times and places </w:t>
      </w:r>
    </w:p>
    <w:p w:rsidR="005C1647" w:rsidRDefault="005C1647" w:rsidP="00C50BF3">
      <w:pPr>
        <w:pStyle w:val="SubmissionNormal"/>
        <w:numPr>
          <w:ilvl w:val="1"/>
          <w:numId w:val="19"/>
        </w:numPr>
        <w:tabs>
          <w:tab w:val="left" w:pos="720"/>
        </w:tabs>
        <w:spacing w:before="100" w:beforeAutospacing="1" w:after="120"/>
        <w:rPr>
          <w:rFonts w:cs="Arial"/>
          <w:lang w:val="en"/>
        </w:rPr>
      </w:pPr>
      <w:r>
        <w:rPr>
          <w:rFonts w:cs="Arial"/>
          <w:lang w:val="en"/>
        </w:rPr>
        <w:t>allow him or herself to be ph</w:t>
      </w:r>
      <w:r w:rsidR="00107549">
        <w:rPr>
          <w:rFonts w:cs="Arial"/>
          <w:lang w:val="en"/>
        </w:rPr>
        <w:t xml:space="preserve">otographed and have fingerprint </w:t>
      </w:r>
      <w:r>
        <w:rPr>
          <w:rFonts w:cs="Arial"/>
          <w:lang w:val="en"/>
        </w:rPr>
        <w:t xml:space="preserve">impressions taken </w:t>
      </w:r>
    </w:p>
    <w:p w:rsidR="005C1647" w:rsidRDefault="005C1647" w:rsidP="00C50BF3">
      <w:pPr>
        <w:pStyle w:val="SubmissionNormal"/>
        <w:numPr>
          <w:ilvl w:val="1"/>
          <w:numId w:val="19"/>
        </w:numPr>
        <w:tabs>
          <w:tab w:val="left" w:pos="720"/>
        </w:tabs>
        <w:spacing w:before="100" w:beforeAutospacing="1" w:after="120"/>
        <w:rPr>
          <w:rFonts w:cs="Arial"/>
          <w:lang w:val="en"/>
        </w:rPr>
      </w:pPr>
      <w:proofErr w:type="gramStart"/>
      <w:r>
        <w:rPr>
          <w:rFonts w:cs="Arial"/>
          <w:lang w:val="en"/>
        </w:rPr>
        <w:t>participate</w:t>
      </w:r>
      <w:proofErr w:type="gramEnd"/>
      <w:r>
        <w:rPr>
          <w:rFonts w:cs="Arial"/>
          <w:lang w:val="en"/>
        </w:rPr>
        <w:t xml:space="preserve"> in specified </w:t>
      </w:r>
      <w:proofErr w:type="spellStart"/>
      <w:r>
        <w:rPr>
          <w:rFonts w:cs="Arial"/>
          <w:lang w:val="en"/>
        </w:rPr>
        <w:t>counse</w:t>
      </w:r>
      <w:r w:rsidR="00107549">
        <w:rPr>
          <w:rFonts w:cs="Arial"/>
          <w:lang w:val="en"/>
        </w:rPr>
        <w:t>l</w:t>
      </w:r>
      <w:r>
        <w:rPr>
          <w:rFonts w:cs="Arial"/>
          <w:lang w:val="en"/>
        </w:rPr>
        <w:t>ling</w:t>
      </w:r>
      <w:proofErr w:type="spellEnd"/>
      <w:r>
        <w:rPr>
          <w:rFonts w:cs="Arial"/>
          <w:lang w:val="en"/>
        </w:rPr>
        <w:t xml:space="preserve"> or education (only if they agree to do so).</w:t>
      </w:r>
      <w:r>
        <w:rPr>
          <w:rStyle w:val="EndnoteReference"/>
          <w:lang w:val="en"/>
        </w:rPr>
        <w:endnoteReference w:id="3"/>
      </w:r>
      <w:r>
        <w:rPr>
          <w:rFonts w:cs="Arial"/>
          <w:lang w:val="en"/>
        </w:rPr>
        <w:t xml:space="preserve"> </w:t>
      </w:r>
    </w:p>
    <w:p w:rsidR="00107549" w:rsidRPr="00107549" w:rsidRDefault="00107549" w:rsidP="00107549">
      <w:pPr>
        <w:pStyle w:val="SubmissionNormal"/>
        <w:tabs>
          <w:tab w:val="clear" w:pos="720"/>
          <w:tab w:val="num" w:pos="851"/>
        </w:tabs>
        <w:ind w:left="851" w:hanging="491"/>
        <w:jc w:val="both"/>
      </w:pPr>
      <w:r w:rsidRPr="00107549">
        <w:t xml:space="preserve">It is evident from the types of prohibitions and restrictions which can be placed upon a person that </w:t>
      </w:r>
      <w:r w:rsidR="002E7817">
        <w:t>control</w:t>
      </w:r>
      <w:r w:rsidRPr="00107549">
        <w:t xml:space="preserve"> orders potentially infringe upon a number of human rights, including:</w:t>
      </w:r>
    </w:p>
    <w:p w:rsidR="00107549" w:rsidRDefault="00107549" w:rsidP="00C50BF3">
      <w:pPr>
        <w:pStyle w:val="SubmissionNormal"/>
        <w:numPr>
          <w:ilvl w:val="1"/>
          <w:numId w:val="20"/>
        </w:numPr>
        <w:tabs>
          <w:tab w:val="left" w:pos="720"/>
        </w:tabs>
        <w:spacing w:before="100" w:beforeAutospacing="1" w:after="120"/>
        <w:rPr>
          <w:rFonts w:cs="Arial"/>
          <w:lang w:val="en"/>
        </w:rPr>
      </w:pPr>
      <w:r>
        <w:rPr>
          <w:rFonts w:cs="Arial"/>
          <w:lang w:val="en"/>
        </w:rPr>
        <w:t xml:space="preserve">the right to liberty (article 9(1) of the </w:t>
      </w:r>
      <w:r w:rsidR="009221CC">
        <w:rPr>
          <w:rFonts w:cs="Arial"/>
          <w:i/>
          <w:lang w:val="en"/>
        </w:rPr>
        <w:t>International Covenant on Civil and Political Rights</w:t>
      </w:r>
      <w:r w:rsidR="00470DC9">
        <w:rPr>
          <w:rStyle w:val="EndnoteReference"/>
          <w:rFonts w:cs="Arial"/>
          <w:lang w:val="en"/>
        </w:rPr>
        <w:endnoteReference w:id="4"/>
      </w:r>
      <w:r w:rsidR="009221CC">
        <w:rPr>
          <w:rFonts w:cs="Arial"/>
          <w:i/>
          <w:lang w:val="en"/>
        </w:rPr>
        <w:t xml:space="preserve"> </w:t>
      </w:r>
      <w:r w:rsidR="009221CC">
        <w:rPr>
          <w:rFonts w:cs="Arial"/>
          <w:lang w:val="en"/>
        </w:rPr>
        <w:t>(</w:t>
      </w:r>
      <w:r>
        <w:rPr>
          <w:rFonts w:cs="Arial"/>
          <w:lang w:val="en"/>
        </w:rPr>
        <w:t>ICCPR)</w:t>
      </w:r>
      <w:r w:rsidR="009221CC">
        <w:rPr>
          <w:rFonts w:cs="Arial"/>
          <w:lang w:val="en"/>
        </w:rPr>
        <w:t>)</w:t>
      </w:r>
    </w:p>
    <w:p w:rsidR="00107549" w:rsidRDefault="00107549" w:rsidP="00C50BF3">
      <w:pPr>
        <w:pStyle w:val="SubmissionNormal"/>
        <w:numPr>
          <w:ilvl w:val="1"/>
          <w:numId w:val="20"/>
        </w:numPr>
        <w:tabs>
          <w:tab w:val="left" w:pos="720"/>
        </w:tabs>
        <w:spacing w:before="100" w:beforeAutospacing="1" w:after="120"/>
        <w:rPr>
          <w:rFonts w:cs="Arial"/>
          <w:lang w:val="en"/>
        </w:rPr>
      </w:pPr>
      <w:r>
        <w:rPr>
          <w:rFonts w:cs="Arial"/>
          <w:lang w:val="en"/>
        </w:rPr>
        <w:t xml:space="preserve">the right to freedom of movement (article 12 of the ICCPR) </w:t>
      </w:r>
    </w:p>
    <w:p w:rsidR="00107549" w:rsidRDefault="00107549" w:rsidP="00C50BF3">
      <w:pPr>
        <w:pStyle w:val="SubmissionNormal"/>
        <w:numPr>
          <w:ilvl w:val="1"/>
          <w:numId w:val="20"/>
        </w:numPr>
        <w:tabs>
          <w:tab w:val="left" w:pos="720"/>
        </w:tabs>
        <w:spacing w:before="100" w:beforeAutospacing="1" w:after="120"/>
        <w:rPr>
          <w:rFonts w:cs="Arial"/>
          <w:lang w:val="en"/>
        </w:rPr>
      </w:pPr>
      <w:r>
        <w:rPr>
          <w:rFonts w:cs="Arial"/>
          <w:lang w:val="en"/>
        </w:rPr>
        <w:t>the right to privacy (article 17 of the ICCPR)</w:t>
      </w:r>
    </w:p>
    <w:p w:rsidR="00107549" w:rsidRDefault="00107549" w:rsidP="00C50BF3">
      <w:pPr>
        <w:pStyle w:val="SubmissionNormal"/>
        <w:numPr>
          <w:ilvl w:val="1"/>
          <w:numId w:val="20"/>
        </w:numPr>
        <w:tabs>
          <w:tab w:val="left" w:pos="720"/>
        </w:tabs>
        <w:spacing w:before="100" w:beforeAutospacing="1" w:after="120"/>
        <w:rPr>
          <w:rFonts w:cs="Arial"/>
          <w:lang w:val="en"/>
        </w:rPr>
      </w:pPr>
      <w:r>
        <w:rPr>
          <w:rFonts w:cs="Arial"/>
          <w:lang w:val="en"/>
        </w:rPr>
        <w:t>the right to freedom of expression (article 19 of the ICCPR)</w:t>
      </w:r>
    </w:p>
    <w:p w:rsidR="00107549" w:rsidRDefault="00107549" w:rsidP="00C50BF3">
      <w:pPr>
        <w:pStyle w:val="SubmissionNormal"/>
        <w:numPr>
          <w:ilvl w:val="1"/>
          <w:numId w:val="20"/>
        </w:numPr>
        <w:tabs>
          <w:tab w:val="left" w:pos="720"/>
        </w:tabs>
        <w:spacing w:before="100" w:beforeAutospacing="1" w:after="120"/>
        <w:rPr>
          <w:rFonts w:cs="Arial"/>
          <w:lang w:val="en"/>
        </w:rPr>
      </w:pPr>
      <w:r>
        <w:rPr>
          <w:rFonts w:cs="Arial"/>
          <w:lang w:val="en"/>
        </w:rPr>
        <w:t>the right to freedom of association (article 22 of the ICCPR)</w:t>
      </w:r>
    </w:p>
    <w:p w:rsidR="00107549" w:rsidRDefault="00107549" w:rsidP="00C50BF3">
      <w:pPr>
        <w:pStyle w:val="SubmissionNormal"/>
        <w:numPr>
          <w:ilvl w:val="1"/>
          <w:numId w:val="20"/>
        </w:numPr>
        <w:tabs>
          <w:tab w:val="left" w:pos="720"/>
        </w:tabs>
        <w:spacing w:before="100" w:beforeAutospacing="1" w:after="120"/>
        <w:rPr>
          <w:rFonts w:cs="Arial"/>
          <w:lang w:val="en"/>
        </w:rPr>
      </w:pPr>
      <w:proofErr w:type="gramStart"/>
      <w:r>
        <w:rPr>
          <w:rFonts w:cs="Arial"/>
          <w:lang w:val="en"/>
        </w:rPr>
        <w:t>the</w:t>
      </w:r>
      <w:proofErr w:type="gramEnd"/>
      <w:r>
        <w:rPr>
          <w:rFonts w:cs="Arial"/>
          <w:lang w:val="en"/>
        </w:rPr>
        <w:t xml:space="preserve"> right to work (article 7 of the </w:t>
      </w:r>
      <w:r>
        <w:rPr>
          <w:rFonts w:cs="Arial"/>
          <w:i/>
          <w:lang w:val="en"/>
        </w:rPr>
        <w:t>International Covenant on Economic, Social and Cultural Rights</w:t>
      </w:r>
      <w:r>
        <w:rPr>
          <w:rStyle w:val="EndnoteReference"/>
          <w:i/>
          <w:lang w:val="en"/>
        </w:rPr>
        <w:endnoteReference w:id="5"/>
      </w:r>
      <w:r>
        <w:rPr>
          <w:rFonts w:cs="Arial"/>
          <w:lang w:val="en"/>
        </w:rPr>
        <w:t>).</w:t>
      </w:r>
    </w:p>
    <w:p w:rsidR="00B5762D" w:rsidRDefault="00097186" w:rsidP="00107549">
      <w:pPr>
        <w:pStyle w:val="SubmissionNormal"/>
        <w:tabs>
          <w:tab w:val="clear" w:pos="720"/>
          <w:tab w:val="num" w:pos="851"/>
        </w:tabs>
        <w:ind w:left="851" w:hanging="491"/>
        <w:jc w:val="both"/>
      </w:pPr>
      <w:r w:rsidRPr="00107549">
        <w:t>T</w:t>
      </w:r>
      <w:r w:rsidR="00B5762D" w:rsidRPr="00107549">
        <w:t xml:space="preserve">he right to liberty is not absolute – a person </w:t>
      </w:r>
      <w:proofErr w:type="gramStart"/>
      <w:r w:rsidR="00B5762D" w:rsidRPr="00107549">
        <w:t>may be deprived</w:t>
      </w:r>
      <w:proofErr w:type="gramEnd"/>
      <w:r w:rsidR="00B5762D" w:rsidRPr="00107549">
        <w:t xml:space="preserve"> of that right</w:t>
      </w:r>
      <w:r w:rsidR="00394C38">
        <w:t xml:space="preserve"> for legitimate purpose</w:t>
      </w:r>
      <w:r w:rsidR="00D109EA">
        <w:t>s</w:t>
      </w:r>
      <w:r w:rsidR="00394C38">
        <w:t xml:space="preserve"> where the deprivation meets the test of</w:t>
      </w:r>
      <w:r w:rsidR="00B5762D" w:rsidRPr="00107549">
        <w:t xml:space="preserve"> proportionality in all the circumstances. The same </w:t>
      </w:r>
      <w:proofErr w:type="gramStart"/>
      <w:r w:rsidR="00B5762D" w:rsidRPr="00107549">
        <w:t>may generally be said</w:t>
      </w:r>
      <w:proofErr w:type="gramEnd"/>
      <w:r w:rsidR="00B5762D" w:rsidRPr="00107549">
        <w:t xml:space="preserve"> of the other human rights potentially infringed by the restrictions available under control orders.</w:t>
      </w:r>
    </w:p>
    <w:p w:rsidR="003F7CED" w:rsidRDefault="003F7CED" w:rsidP="00C32B10">
      <w:pPr>
        <w:pStyle w:val="SubmissionNormal"/>
        <w:tabs>
          <w:tab w:val="clear" w:pos="720"/>
          <w:tab w:val="num" w:pos="851"/>
        </w:tabs>
        <w:ind w:left="851" w:hanging="491"/>
        <w:jc w:val="both"/>
      </w:pPr>
      <w:r>
        <w:t xml:space="preserve">A critical feature of </w:t>
      </w:r>
      <w:r w:rsidR="00E05282">
        <w:t>control orders</w:t>
      </w:r>
      <w:r>
        <w:t xml:space="preserve"> is that they place significant restrictions on a </w:t>
      </w:r>
      <w:r w:rsidR="00BD136D">
        <w:t xml:space="preserve">person’s </w:t>
      </w:r>
      <w:r w:rsidR="000E53AF">
        <w:t>human rights</w:t>
      </w:r>
      <w:r w:rsidR="00BD136D">
        <w:t xml:space="preserve"> without the</w:t>
      </w:r>
      <w:r>
        <w:t xml:space="preserve"> need to </w:t>
      </w:r>
      <w:r w:rsidR="00BD136D">
        <w:t xml:space="preserve">charge, </w:t>
      </w:r>
      <w:r>
        <w:t>prosecute</w:t>
      </w:r>
      <w:r w:rsidR="00BD136D">
        <w:t xml:space="preserve"> or convict an individual</w:t>
      </w:r>
      <w:r w:rsidR="000B0BC8">
        <w:t xml:space="preserve"> of any crime</w:t>
      </w:r>
      <w:r w:rsidR="00BD136D">
        <w:t>.</w:t>
      </w:r>
    </w:p>
    <w:p w:rsidR="00B27036" w:rsidRDefault="00B27036" w:rsidP="00C32B10">
      <w:pPr>
        <w:pStyle w:val="SubmissionNormal"/>
        <w:tabs>
          <w:tab w:val="clear" w:pos="720"/>
          <w:tab w:val="num" w:pos="851"/>
        </w:tabs>
        <w:ind w:left="851" w:hanging="491"/>
        <w:jc w:val="both"/>
      </w:pPr>
      <w:r>
        <w:t>The Commission has previously raised its concerns about control orders in its submission</w:t>
      </w:r>
      <w:r w:rsidR="00E865E6">
        <w:t>s</w:t>
      </w:r>
      <w:r>
        <w:t xml:space="preserve"> to the </w:t>
      </w:r>
      <w:r w:rsidR="00E865E6">
        <w:t>C</w:t>
      </w:r>
      <w:r w:rsidR="003C69F5">
        <w:t>ouncil of Australian Governments</w:t>
      </w:r>
      <w:r w:rsidR="000576F0">
        <w:t xml:space="preserve"> (COAG) </w:t>
      </w:r>
      <w:r w:rsidR="00E865E6">
        <w:t>Review Committee,</w:t>
      </w:r>
      <w:r w:rsidR="00E865E6">
        <w:rPr>
          <w:rStyle w:val="EndnoteReference"/>
        </w:rPr>
        <w:endnoteReference w:id="6"/>
      </w:r>
      <w:r w:rsidR="00E865E6">
        <w:t xml:space="preserve"> to the Independent National</w:t>
      </w:r>
      <w:r>
        <w:t xml:space="preserve"> </w:t>
      </w:r>
      <w:r w:rsidR="00E865E6">
        <w:t>Security Legislation Monitor,</w:t>
      </w:r>
      <w:r w:rsidR="00E865E6">
        <w:rPr>
          <w:rStyle w:val="EndnoteReference"/>
        </w:rPr>
        <w:endnoteReference w:id="7"/>
      </w:r>
      <w:r w:rsidR="00E865E6">
        <w:t xml:space="preserve"> and to the </w:t>
      </w:r>
      <w:r w:rsidR="00E865E6">
        <w:rPr>
          <w:lang w:val="en"/>
        </w:rPr>
        <w:t>Senate Legal and Constitutional Legislation Committee inquiry into the Anti-Terrorism Bill (No 2) 2005</w:t>
      </w:r>
      <w:r w:rsidR="0034121D">
        <w:rPr>
          <w:lang w:val="en"/>
        </w:rPr>
        <w:t>.</w:t>
      </w:r>
      <w:r w:rsidR="0034121D">
        <w:rPr>
          <w:rStyle w:val="EndnoteReference"/>
          <w:lang w:val="en"/>
        </w:rPr>
        <w:endnoteReference w:id="8"/>
      </w:r>
    </w:p>
    <w:p w:rsidR="00C32B10" w:rsidRPr="00D72569" w:rsidRDefault="0041154C" w:rsidP="00C32B10">
      <w:pPr>
        <w:pStyle w:val="SubmissionNormal"/>
        <w:tabs>
          <w:tab w:val="clear" w:pos="720"/>
          <w:tab w:val="num" w:pos="851"/>
        </w:tabs>
        <w:ind w:left="851" w:hanging="491"/>
        <w:jc w:val="both"/>
      </w:pPr>
      <w:r>
        <w:t>The former Independent Security Legislation Monitor has criticised the control order regime.</w:t>
      </w:r>
      <w:r w:rsidRPr="00C32B10">
        <w:rPr>
          <w:vertAlign w:val="superscript"/>
        </w:rPr>
        <w:endnoteReference w:id="9"/>
      </w:r>
      <w:r>
        <w:t xml:space="preserve"> </w:t>
      </w:r>
      <w:r w:rsidR="00C32B10">
        <w:t xml:space="preserve">In </w:t>
      </w:r>
      <w:proofErr w:type="gramStart"/>
      <w:r w:rsidR="00C32B10">
        <w:t>particular</w:t>
      </w:r>
      <w:proofErr w:type="gramEnd"/>
      <w:r w:rsidR="00C32B10">
        <w:t xml:space="preserve"> the Monitor concluded that ‘</w:t>
      </w:r>
      <w:r w:rsidR="00C32B10" w:rsidRPr="00C32B10">
        <w:t>control orders in their present form are not effective, not appropriate and not necessary</w:t>
      </w:r>
      <w:r w:rsidR="00C32B10">
        <w:t>’</w:t>
      </w:r>
      <w:r w:rsidR="00C32B10" w:rsidRPr="00C32B10">
        <w:t>.</w:t>
      </w:r>
      <w:r w:rsidR="00FA176B">
        <w:rPr>
          <w:rStyle w:val="EndnoteReference"/>
        </w:rPr>
        <w:endnoteReference w:id="10"/>
      </w:r>
      <w:r w:rsidR="00C32B10" w:rsidRPr="00C32B10">
        <w:t xml:space="preserve"> </w:t>
      </w:r>
      <w:r w:rsidR="00394C38">
        <w:t xml:space="preserve">The Monitor recommended that the </w:t>
      </w:r>
      <w:r w:rsidR="00394C38">
        <w:rPr>
          <w:lang w:val="en-GB"/>
        </w:rPr>
        <w:t xml:space="preserve">provisions of </w:t>
      </w:r>
      <w:proofErr w:type="spellStart"/>
      <w:r w:rsidR="00394C38">
        <w:rPr>
          <w:lang w:val="en-GB"/>
        </w:rPr>
        <w:t>Div</w:t>
      </w:r>
      <w:proofErr w:type="spellEnd"/>
      <w:r w:rsidR="00394C38">
        <w:rPr>
          <w:lang w:val="en-GB"/>
        </w:rPr>
        <w:t xml:space="preserve"> 104 of Part 5.3 of the Criminal Code </w:t>
      </w:r>
      <w:proofErr w:type="gramStart"/>
      <w:r w:rsidR="00394C38">
        <w:rPr>
          <w:lang w:val="en-GB"/>
        </w:rPr>
        <w:t>be repealed</w:t>
      </w:r>
      <w:proofErr w:type="gramEnd"/>
      <w:r w:rsidR="00394C38">
        <w:rPr>
          <w:lang w:val="en-GB"/>
        </w:rPr>
        <w:t>.</w:t>
      </w:r>
      <w:r w:rsidR="002623E7">
        <w:rPr>
          <w:rStyle w:val="EndnoteReference"/>
          <w:lang w:val="en-GB"/>
        </w:rPr>
        <w:endnoteReference w:id="11"/>
      </w:r>
      <w:r w:rsidR="00D72569">
        <w:rPr>
          <w:lang w:val="en-GB"/>
        </w:rPr>
        <w:t xml:space="preserve"> </w:t>
      </w:r>
    </w:p>
    <w:p w:rsidR="00D72569" w:rsidRDefault="00D72569" w:rsidP="00C32B10">
      <w:pPr>
        <w:pStyle w:val="SubmissionNormal"/>
        <w:tabs>
          <w:tab w:val="clear" w:pos="720"/>
          <w:tab w:val="num" w:pos="851"/>
        </w:tabs>
        <w:ind w:left="851" w:hanging="491"/>
        <w:jc w:val="both"/>
      </w:pPr>
      <w:r w:rsidRPr="00D72569">
        <w:t>The C</w:t>
      </w:r>
      <w:r w:rsidR="000576F0">
        <w:t>OAG</w:t>
      </w:r>
      <w:r w:rsidRPr="00D72569">
        <w:t xml:space="preserve"> Review </w:t>
      </w:r>
      <w:r w:rsidR="00BF7165">
        <w:t xml:space="preserve">of Counter-Terrorism Legislation </w:t>
      </w:r>
      <w:r w:rsidRPr="00D72569">
        <w:t xml:space="preserve">concluded that the control order regime should be retained </w:t>
      </w:r>
      <w:r>
        <w:t xml:space="preserve">but </w:t>
      </w:r>
      <w:r w:rsidRPr="00D72569">
        <w:t>with additional safeguards and protections included</w:t>
      </w:r>
      <w:r>
        <w:t>.</w:t>
      </w:r>
      <w:r>
        <w:rPr>
          <w:rStyle w:val="EndnoteReference"/>
        </w:rPr>
        <w:endnoteReference w:id="12"/>
      </w:r>
    </w:p>
    <w:p w:rsidR="00915DF7" w:rsidRPr="003C69F5" w:rsidRDefault="00915DF7" w:rsidP="00C32B10">
      <w:pPr>
        <w:pStyle w:val="SubmissionNormal"/>
        <w:tabs>
          <w:tab w:val="clear" w:pos="720"/>
          <w:tab w:val="num" w:pos="851"/>
        </w:tabs>
        <w:ind w:left="851" w:hanging="491"/>
        <w:jc w:val="both"/>
      </w:pPr>
      <w:r w:rsidRPr="002D7820">
        <w:rPr>
          <w:lang w:val="en"/>
        </w:rPr>
        <w:lastRenderedPageBreak/>
        <w:t xml:space="preserve">To date, two control orders </w:t>
      </w:r>
      <w:proofErr w:type="gramStart"/>
      <w:r w:rsidRPr="002D7820">
        <w:rPr>
          <w:lang w:val="en"/>
        </w:rPr>
        <w:t>have been issued</w:t>
      </w:r>
      <w:proofErr w:type="gramEnd"/>
      <w:r w:rsidRPr="002D7820">
        <w:rPr>
          <w:lang w:val="en"/>
        </w:rPr>
        <w:t>.</w:t>
      </w:r>
      <w:r>
        <w:rPr>
          <w:lang w:val="en"/>
        </w:rPr>
        <w:t xml:space="preserve"> </w:t>
      </w:r>
    </w:p>
    <w:p w:rsidR="00EB6B44" w:rsidRPr="00266828" w:rsidRDefault="00EB6B44" w:rsidP="00385A96">
      <w:pPr>
        <w:pStyle w:val="Heading2"/>
        <w:numPr>
          <w:ilvl w:val="1"/>
          <w:numId w:val="16"/>
        </w:numPr>
      </w:pPr>
      <w:bookmarkStart w:id="16" w:name="_Toc403037707"/>
      <w:r w:rsidRPr="00266828">
        <w:t>Expanding the grounds for a control order</w:t>
      </w:r>
      <w:bookmarkEnd w:id="16"/>
      <w:r w:rsidRPr="00266828">
        <w:t xml:space="preserve"> </w:t>
      </w:r>
    </w:p>
    <w:p w:rsidR="0041154C" w:rsidRDefault="0041154C" w:rsidP="00FF5D80">
      <w:pPr>
        <w:pStyle w:val="SubmissionNormal"/>
      </w:pPr>
      <w:r>
        <w:t xml:space="preserve">The Bill proposes to expand the objects of the control order regime, and </w:t>
      </w:r>
      <w:r w:rsidR="004A3052">
        <w:t>the</w:t>
      </w:r>
      <w:r>
        <w:t xml:space="preserve"> grounds upon which a control order can be requested</w:t>
      </w:r>
      <w:r w:rsidR="00BE20C6">
        <w:t>,</w:t>
      </w:r>
      <w:r>
        <w:t xml:space="preserve"> issued</w:t>
      </w:r>
      <w:r w:rsidR="00BE20C6">
        <w:t xml:space="preserve"> or varied</w:t>
      </w:r>
      <w:r>
        <w:t>, to include</w:t>
      </w:r>
      <w:r w:rsidR="00FF5D80">
        <w:t xml:space="preserve"> prevention of the provision of support </w:t>
      </w:r>
      <w:r>
        <w:t>or the facilitation of a terrorist act</w:t>
      </w:r>
      <w:r w:rsidR="0061230E">
        <w:t>;</w:t>
      </w:r>
      <w:r>
        <w:t xml:space="preserve"> or engagement in a hostile activity in a foreign country.</w:t>
      </w:r>
      <w:r w:rsidR="007A3B97">
        <w:t xml:space="preserve"> </w:t>
      </w:r>
    </w:p>
    <w:p w:rsidR="007A3B97" w:rsidRDefault="007A3B97" w:rsidP="0041154C">
      <w:pPr>
        <w:pStyle w:val="SubmissionNormal"/>
      </w:pPr>
      <w:r>
        <w:t>The Explanatory Memorandum states that the amendments ‘reflect the importance of being able to place appropriate controls on all individuals assessed as representing a threat to the security of Australia by not only engaging in terrorism themselves, but also engaging in facilitating or supporting conduct that could result in the commission of a terrorist act’.</w:t>
      </w:r>
      <w:r>
        <w:rPr>
          <w:rStyle w:val="EndnoteReference"/>
        </w:rPr>
        <w:endnoteReference w:id="13"/>
      </w:r>
      <w:r>
        <w:t xml:space="preserve"> </w:t>
      </w:r>
    </w:p>
    <w:p w:rsidR="0079243A" w:rsidRDefault="0079243A" w:rsidP="0041154C">
      <w:pPr>
        <w:pStyle w:val="SubmissionNormal"/>
      </w:pPr>
      <w:r>
        <w:t xml:space="preserve">The Bill’s statement of compatibility notes that </w:t>
      </w:r>
      <w:r w:rsidR="007C463E">
        <w:t>‘</w:t>
      </w:r>
      <w:r>
        <w:t>the new grounds upon which a control order can be requested and issued may potentially increase the number of individuals who may be subject to a control order</w:t>
      </w:r>
      <w:r w:rsidR="007C463E">
        <w:t>’</w:t>
      </w:r>
      <w:r>
        <w:t>.</w:t>
      </w:r>
      <w:r>
        <w:rPr>
          <w:rStyle w:val="EndnoteReference"/>
        </w:rPr>
        <w:endnoteReference w:id="14"/>
      </w:r>
      <w:r>
        <w:t xml:space="preserve"> </w:t>
      </w:r>
    </w:p>
    <w:p w:rsidR="00EE3949" w:rsidRDefault="00B14C74" w:rsidP="0041154C">
      <w:pPr>
        <w:pStyle w:val="SubmissionNormal"/>
      </w:pPr>
      <w:r>
        <w:t xml:space="preserve">The Commission is concerned that the Bill proposes to increase the availability of control orders </w:t>
      </w:r>
      <w:r w:rsidR="00394C38">
        <w:t xml:space="preserve">in light of the Monitor’s criticisms of the current </w:t>
      </w:r>
      <w:r w:rsidR="00266E77">
        <w:t>regime</w:t>
      </w:r>
      <w:r w:rsidR="00394C38">
        <w:t xml:space="preserve"> and </w:t>
      </w:r>
      <w:r>
        <w:t xml:space="preserve">without </w:t>
      </w:r>
      <w:r w:rsidR="00096A3D">
        <w:t xml:space="preserve">introducing any of the </w:t>
      </w:r>
      <w:r>
        <w:t>additional safeguards recommended by the C</w:t>
      </w:r>
      <w:r w:rsidR="000576F0">
        <w:t>OAG</w:t>
      </w:r>
      <w:r>
        <w:t xml:space="preserve"> R</w:t>
      </w:r>
      <w:r w:rsidR="00BE20C6">
        <w:t>eview of Counter-Terrorism Legislation</w:t>
      </w:r>
      <w:r w:rsidR="00785BEB">
        <w:t>.</w:t>
      </w:r>
      <w:r>
        <w:rPr>
          <w:rStyle w:val="EndnoteReference"/>
        </w:rPr>
        <w:endnoteReference w:id="15"/>
      </w:r>
      <w:r w:rsidR="00785BEB">
        <w:t xml:space="preserve"> </w:t>
      </w:r>
      <w:r w:rsidR="008368EA">
        <w:t>The Commission submits that the</w:t>
      </w:r>
      <w:r w:rsidR="0061230E">
        <w:t xml:space="preserve"> </w:t>
      </w:r>
      <w:r w:rsidR="00F57A80">
        <w:t>expansion of the availability of c</w:t>
      </w:r>
      <w:r w:rsidR="00F759BA">
        <w:t>ontrol orders should not proceed</w:t>
      </w:r>
      <w:r w:rsidR="00F57A80">
        <w:t>.</w:t>
      </w:r>
    </w:p>
    <w:p w:rsidR="00530CA2" w:rsidRPr="00530CA2" w:rsidRDefault="00530CA2" w:rsidP="00530CA2">
      <w:pPr>
        <w:pStyle w:val="SubmissionNormal"/>
        <w:numPr>
          <w:ilvl w:val="0"/>
          <w:numId w:val="0"/>
        </w:numPr>
        <w:ind w:left="360"/>
        <w:rPr>
          <w:b/>
        </w:rPr>
      </w:pPr>
      <w:r>
        <w:rPr>
          <w:b/>
        </w:rPr>
        <w:t xml:space="preserve">Recommendation 1: </w:t>
      </w:r>
      <w:r w:rsidR="00266E77">
        <w:rPr>
          <w:b/>
        </w:rPr>
        <w:t>the Commission recommends that proposed s104.1, 104.2(2), 104.4(1</w:t>
      </w:r>
      <w:proofErr w:type="gramStart"/>
      <w:r w:rsidR="00266E77">
        <w:rPr>
          <w:b/>
        </w:rPr>
        <w:t>)(</w:t>
      </w:r>
      <w:proofErr w:type="gramEnd"/>
      <w:r w:rsidR="00266E77">
        <w:rPr>
          <w:b/>
        </w:rPr>
        <w:t>d), 104.23(1), 104.24(1)(b) not be passed.</w:t>
      </w:r>
    </w:p>
    <w:p w:rsidR="00555879" w:rsidRDefault="00FA79B0" w:rsidP="00266828">
      <w:pPr>
        <w:pStyle w:val="Heading2"/>
        <w:numPr>
          <w:ilvl w:val="1"/>
          <w:numId w:val="16"/>
        </w:numPr>
      </w:pPr>
      <w:bookmarkStart w:id="17" w:name="_Toc403037708"/>
      <w:r>
        <w:t xml:space="preserve">A less targeted </w:t>
      </w:r>
      <w:r w:rsidR="00EB6B44">
        <w:t>proportionality analysis</w:t>
      </w:r>
      <w:bookmarkEnd w:id="17"/>
      <w:r w:rsidR="006A7875">
        <w:t xml:space="preserve"> </w:t>
      </w:r>
    </w:p>
    <w:p w:rsidR="000E13D5" w:rsidRDefault="001134F3" w:rsidP="0041154C">
      <w:pPr>
        <w:pStyle w:val="SubmissionNormal"/>
      </w:pPr>
      <w:r>
        <w:t>Currently w</w:t>
      </w:r>
      <w:r w:rsidR="00B07BF6">
        <w:t>hen requesting the court to make an interim control order u</w:t>
      </w:r>
      <w:r w:rsidR="001107B9">
        <w:t>nder existing s</w:t>
      </w:r>
      <w:r w:rsidR="00B07BF6">
        <w:t> </w:t>
      </w:r>
      <w:r w:rsidR="001107B9">
        <w:t>104.2(d)(</w:t>
      </w:r>
      <w:proofErr w:type="spellStart"/>
      <w:r w:rsidR="001107B9">
        <w:t>i</w:t>
      </w:r>
      <w:proofErr w:type="spellEnd"/>
      <w:r w:rsidR="001107B9">
        <w:t>) and (ii) and 104.3(a), a senior AFP member is required to provide the court with an explanation of ‘each’ obligation, prohibition and restriction as well as information regarding why ‘any of those’ obligations, prohibitions or restrictions should not be imposed. New s104.3(d)(</w:t>
      </w:r>
      <w:proofErr w:type="spellStart"/>
      <w:r w:rsidR="001107B9">
        <w:t>i</w:t>
      </w:r>
      <w:proofErr w:type="spellEnd"/>
      <w:r w:rsidR="001107B9">
        <w:t xml:space="preserve">)and(ii) </w:t>
      </w:r>
      <w:r w:rsidR="00B07BF6">
        <w:t xml:space="preserve">propose to </w:t>
      </w:r>
      <w:r w:rsidR="001107B9">
        <w:t>reduce the burden by only requiring the member to provide an explanation as to why ‘the’ proposed obligations</w:t>
      </w:r>
      <w:r w:rsidR="000E13D5">
        <w:t>,</w:t>
      </w:r>
      <w:r w:rsidR="001107B9">
        <w:t xml:space="preserve"> prohibitions or restrictions should be imposed and, to the extent known, a statement of facts as to why ‘the’ proposed obligations, prohibitions or restrictions – as a whole rather than individually – should not be imposed.</w:t>
      </w:r>
    </w:p>
    <w:p w:rsidR="000E13D5" w:rsidRDefault="000E13D5" w:rsidP="0041154C">
      <w:pPr>
        <w:pStyle w:val="SubmissionNormal"/>
      </w:pPr>
      <w:r>
        <w:t>Similarly, under proposed s 104.4(1</w:t>
      </w:r>
      <w:proofErr w:type="gramStart"/>
      <w:r>
        <w:t>)(</w:t>
      </w:r>
      <w:proofErr w:type="gramEnd"/>
      <w:r>
        <w:t xml:space="preserve">d), the court </w:t>
      </w:r>
      <w:r w:rsidR="00B07BF6">
        <w:t>may make an interim control order where the court is satisfied on the balance of probabilities that ‘the order’ is reasonably necessary, and reasonably appropriate and adapted, for the purpose of one</w:t>
      </w:r>
      <w:r w:rsidR="0021000B">
        <w:t xml:space="preserve"> of the objects of the Division. This replaces the current requirement under existing s104.4(1)(d) for the issuing court to be satisfied on the balance of probabilities that ‘each of the obligations, prohibitions and restrictions to be imposed on the person by the order’ is reasonably necessary, and reasonably appropriate and adapted, for the purpose of one of the objects of the Division. </w:t>
      </w:r>
    </w:p>
    <w:p w:rsidR="00D636E8" w:rsidRDefault="000E13D5" w:rsidP="00D636E8">
      <w:pPr>
        <w:pStyle w:val="SubmissionNormal"/>
      </w:pPr>
      <w:r>
        <w:lastRenderedPageBreak/>
        <w:t xml:space="preserve">The Commission is concerned that reducing the burden in this way will result in the proportionality analysis </w:t>
      </w:r>
      <w:r w:rsidR="004E69DB">
        <w:t xml:space="preserve">not being targeted to the specific </w:t>
      </w:r>
      <w:r>
        <w:t>obligation, prohibition or restriction</w:t>
      </w:r>
      <w:r w:rsidR="004E69DB">
        <w:t xml:space="preserve"> imposed </w:t>
      </w:r>
      <w:r w:rsidR="000B3C17">
        <w:t>on a person</w:t>
      </w:r>
      <w:r>
        <w:t>.</w:t>
      </w:r>
      <w:r w:rsidR="0021000B">
        <w:t xml:space="preserve"> </w:t>
      </w:r>
      <w:r w:rsidR="00D56310">
        <w:t xml:space="preserve">The Explanatory Memorandum does not include any </w:t>
      </w:r>
      <w:r w:rsidR="0021000B">
        <w:t>justification for</w:t>
      </w:r>
      <w:r w:rsidR="00D56310">
        <w:t xml:space="preserve"> </w:t>
      </w:r>
      <w:r w:rsidR="004E69DB">
        <w:t>changing</w:t>
      </w:r>
      <w:r w:rsidR="00D56310">
        <w:t xml:space="preserve"> the requirements or the </w:t>
      </w:r>
      <w:r w:rsidR="00CA2D10">
        <w:t xml:space="preserve">standard </w:t>
      </w:r>
      <w:r w:rsidR="003B7946">
        <w:t xml:space="preserve">of which </w:t>
      </w:r>
      <w:r w:rsidR="00CA2D10">
        <w:t>the issuing court must be satisfied</w:t>
      </w:r>
      <w:r w:rsidR="00D56310">
        <w:t xml:space="preserve">. </w:t>
      </w:r>
      <w:r w:rsidR="007C08F0">
        <w:t xml:space="preserve">The Commission </w:t>
      </w:r>
      <w:r w:rsidR="00CA2D10">
        <w:t>s</w:t>
      </w:r>
      <w:r w:rsidR="007C08F0">
        <w:t xml:space="preserve">ubmits that there is value in considering the impact of each of the obligations, prohibitions and restrictions individually rather than as a whole. </w:t>
      </w:r>
      <w:r w:rsidR="00CE7699">
        <w:t>G</w:t>
      </w:r>
      <w:r w:rsidR="007C08F0">
        <w:t>iven the extreme nature of</w:t>
      </w:r>
      <w:r w:rsidR="00D56310">
        <w:t xml:space="preserve"> control </w:t>
      </w:r>
      <w:r w:rsidR="000B3C17">
        <w:t>orders,</w:t>
      </w:r>
      <w:r w:rsidR="00D56310">
        <w:t xml:space="preserve"> a </w:t>
      </w:r>
      <w:r w:rsidR="004E69DB">
        <w:t>targeted</w:t>
      </w:r>
      <w:r w:rsidR="00D56310">
        <w:t xml:space="preserve"> test of proportionality</w:t>
      </w:r>
      <w:r w:rsidR="004E69DB">
        <w:t xml:space="preserve"> considering each restriction and its impact</w:t>
      </w:r>
      <w:r w:rsidR="00D56310">
        <w:t xml:space="preserve"> is appropriate.</w:t>
      </w:r>
    </w:p>
    <w:p w:rsidR="00806411" w:rsidRPr="00806411" w:rsidRDefault="00E73EF0" w:rsidP="00D636E8">
      <w:pPr>
        <w:pStyle w:val="SubmissionNormal"/>
      </w:pPr>
      <w:r>
        <w:t>The Commission has previously submitted that the</w:t>
      </w:r>
      <w:r w:rsidRPr="00D636E8">
        <w:t xml:space="preserve"> issuing court </w:t>
      </w:r>
      <w:proofErr w:type="gramStart"/>
      <w:r w:rsidR="00676B2C" w:rsidRPr="00D636E8">
        <w:t xml:space="preserve">should </w:t>
      </w:r>
      <w:r w:rsidRPr="00D636E8">
        <w:t>be required to be satisfied</w:t>
      </w:r>
      <w:proofErr w:type="gramEnd"/>
      <w:r w:rsidRPr="00D636E8">
        <w:t xml:space="preserve"> that imposing each of the obligations, prohibitions and restrictions is the least restrictive way of achieving the purpose for which the </w:t>
      </w:r>
      <w:r w:rsidR="00676B2C" w:rsidRPr="00D636E8">
        <w:t xml:space="preserve">control </w:t>
      </w:r>
      <w:r w:rsidRPr="00D636E8">
        <w:t>order is sought.</w:t>
      </w:r>
      <w:r w:rsidR="00D06D79" w:rsidRPr="00D636E8">
        <w:rPr>
          <w:vertAlign w:val="superscript"/>
        </w:rPr>
        <w:endnoteReference w:id="16"/>
      </w:r>
      <w:r w:rsidRPr="00D636E8">
        <w:t xml:space="preserve"> </w:t>
      </w:r>
      <w:r w:rsidR="00955EDC" w:rsidRPr="00D636E8">
        <w:t>Recommendation 37 of the COAG Re</w:t>
      </w:r>
      <w:r w:rsidR="00FE2EBD">
        <w:t xml:space="preserve">view of Counter-Terrorism Legislation </w:t>
      </w:r>
      <w:r w:rsidR="00955EDC" w:rsidRPr="00D636E8">
        <w:t xml:space="preserve">also recommended that section 104.5 </w:t>
      </w:r>
      <w:proofErr w:type="gramStart"/>
      <w:r w:rsidR="00955EDC" w:rsidRPr="00D636E8">
        <w:t>be amended</w:t>
      </w:r>
      <w:proofErr w:type="gramEnd"/>
      <w:r w:rsidR="00955EDC" w:rsidRPr="00D636E8">
        <w:t xml:space="preserve"> </w:t>
      </w:r>
      <w:r w:rsidR="00D636E8" w:rsidRPr="00D636E8">
        <w:t xml:space="preserve">to ensure that whenever a control </w:t>
      </w:r>
      <w:r w:rsidR="00955EDC" w:rsidRPr="00D636E8">
        <w:t>o</w:t>
      </w:r>
      <w:r w:rsidR="00D636E8" w:rsidRPr="00D636E8">
        <w:t>rder is imposed, any obligations, prohibitions and restrictions to be imposed constitute the least interference with the person’s liberty, privacy or freedom of movement that is necessary in all the circumstances’.</w:t>
      </w:r>
      <w:r w:rsidR="00530CA2">
        <w:t xml:space="preserve"> </w:t>
      </w:r>
      <w:r w:rsidR="00A73150">
        <w:t xml:space="preserve">The </w:t>
      </w:r>
      <w:r w:rsidR="00530CA2">
        <w:t>Commission</w:t>
      </w:r>
      <w:r w:rsidR="00A73150">
        <w:t xml:space="preserve"> </w:t>
      </w:r>
      <w:r w:rsidR="00530CA2">
        <w:t>s</w:t>
      </w:r>
      <w:r w:rsidR="00A73150">
        <w:t xml:space="preserve">ubmits that </w:t>
      </w:r>
      <w:r w:rsidR="00530CA2">
        <w:t xml:space="preserve">the proportionality analysis </w:t>
      </w:r>
      <w:r w:rsidR="000B0BC8">
        <w:t xml:space="preserve">for the imposition of control orders </w:t>
      </w:r>
      <w:proofErr w:type="gramStart"/>
      <w:r w:rsidR="00530CA2">
        <w:t>should be strengthened</w:t>
      </w:r>
      <w:proofErr w:type="gramEnd"/>
      <w:r w:rsidR="00530CA2">
        <w:t xml:space="preserve"> </w:t>
      </w:r>
      <w:r w:rsidR="004A3052">
        <w:t xml:space="preserve">(as described above) </w:t>
      </w:r>
      <w:r w:rsidR="00530CA2">
        <w:t>not weakened.</w:t>
      </w:r>
    </w:p>
    <w:p w:rsidR="000E13D5" w:rsidRDefault="008C28AB" w:rsidP="008C28AB">
      <w:pPr>
        <w:pStyle w:val="SubmissionNormal"/>
        <w:numPr>
          <w:ilvl w:val="0"/>
          <w:numId w:val="0"/>
        </w:numPr>
        <w:ind w:left="360"/>
        <w:rPr>
          <w:b/>
          <w:lang w:val="en"/>
        </w:rPr>
      </w:pPr>
      <w:r>
        <w:rPr>
          <w:b/>
          <w:lang w:val="en"/>
        </w:rPr>
        <w:t xml:space="preserve">Recommendation </w:t>
      </w:r>
      <w:r w:rsidR="00F63AF0">
        <w:rPr>
          <w:b/>
          <w:lang w:val="en"/>
        </w:rPr>
        <w:t>2</w:t>
      </w:r>
      <w:r>
        <w:rPr>
          <w:b/>
          <w:lang w:val="en"/>
        </w:rPr>
        <w:t xml:space="preserve">: </w:t>
      </w:r>
      <w:r w:rsidR="00806411" w:rsidRPr="008C28AB">
        <w:rPr>
          <w:b/>
          <w:lang w:val="en"/>
        </w:rPr>
        <w:t xml:space="preserve">The Commission recommends </w:t>
      </w:r>
      <w:r w:rsidR="00262267">
        <w:rPr>
          <w:b/>
          <w:lang w:val="en"/>
        </w:rPr>
        <w:t>that</w:t>
      </w:r>
      <w:r w:rsidR="00806411" w:rsidRPr="008C28AB">
        <w:rPr>
          <w:b/>
          <w:lang w:val="en"/>
        </w:rPr>
        <w:t xml:space="preserve"> </w:t>
      </w:r>
      <w:r w:rsidR="003F10F0">
        <w:rPr>
          <w:b/>
          <w:lang w:val="en"/>
        </w:rPr>
        <w:t>those parts of s</w:t>
      </w:r>
      <w:r w:rsidR="0026001F">
        <w:rPr>
          <w:b/>
          <w:lang w:val="en"/>
        </w:rPr>
        <w:t>104.3(d), 104.4(1)(d), 104.4(2) and (3)</w:t>
      </w:r>
      <w:r w:rsidR="00194688">
        <w:rPr>
          <w:b/>
          <w:lang w:val="en"/>
        </w:rPr>
        <w:t>, 104</w:t>
      </w:r>
      <w:r w:rsidR="00F63AF0">
        <w:rPr>
          <w:b/>
          <w:lang w:val="en"/>
        </w:rPr>
        <w:t>.23(2)(b)(</w:t>
      </w:r>
      <w:proofErr w:type="spellStart"/>
      <w:r w:rsidR="00F63AF0">
        <w:rPr>
          <w:b/>
          <w:lang w:val="en"/>
        </w:rPr>
        <w:t>i</w:t>
      </w:r>
      <w:proofErr w:type="spellEnd"/>
      <w:r w:rsidR="00F63AF0">
        <w:rPr>
          <w:b/>
          <w:lang w:val="en"/>
        </w:rPr>
        <w:t xml:space="preserve">), 104.23(2)(b)(ii), </w:t>
      </w:r>
      <w:r w:rsidR="00194688">
        <w:rPr>
          <w:b/>
          <w:lang w:val="en"/>
        </w:rPr>
        <w:t>104.24(1)(b)</w:t>
      </w:r>
      <w:r w:rsidR="00F63AF0">
        <w:rPr>
          <w:b/>
          <w:lang w:val="en"/>
        </w:rPr>
        <w:t>,104.24(2)and(3)</w:t>
      </w:r>
      <w:r w:rsidR="0026001F">
        <w:rPr>
          <w:b/>
          <w:lang w:val="en"/>
        </w:rPr>
        <w:t xml:space="preserve"> that </w:t>
      </w:r>
      <w:r w:rsidR="00530CA2">
        <w:rPr>
          <w:b/>
          <w:lang w:val="en"/>
        </w:rPr>
        <w:t>weaken</w:t>
      </w:r>
      <w:r w:rsidR="0026001F">
        <w:rPr>
          <w:b/>
          <w:lang w:val="en"/>
        </w:rPr>
        <w:t xml:space="preserve"> the proportionality analysis not be passed.</w:t>
      </w:r>
      <w:r w:rsidR="003B7946">
        <w:rPr>
          <w:b/>
          <w:lang w:val="en"/>
        </w:rPr>
        <w:t xml:space="preserve"> </w:t>
      </w:r>
    </w:p>
    <w:p w:rsidR="00D7033E" w:rsidRDefault="00AA0F1B" w:rsidP="003D3877">
      <w:pPr>
        <w:pStyle w:val="Heading2"/>
        <w:numPr>
          <w:ilvl w:val="1"/>
          <w:numId w:val="27"/>
        </w:numPr>
      </w:pPr>
      <w:bookmarkStart w:id="18" w:name="_Toc403037709"/>
      <w:r>
        <w:t>Attorney-General’s consent</w:t>
      </w:r>
      <w:bookmarkEnd w:id="5"/>
      <w:bookmarkEnd w:id="6"/>
      <w:bookmarkEnd w:id="7"/>
      <w:bookmarkEnd w:id="8"/>
      <w:bookmarkEnd w:id="9"/>
      <w:bookmarkEnd w:id="10"/>
      <w:bookmarkEnd w:id="18"/>
      <w:r>
        <w:t xml:space="preserve"> </w:t>
      </w:r>
    </w:p>
    <w:p w:rsidR="00AA0F1B" w:rsidRDefault="00AA0F1B" w:rsidP="00AA0F1B">
      <w:pPr>
        <w:pStyle w:val="ListParagraph"/>
        <w:numPr>
          <w:ilvl w:val="1"/>
          <w:numId w:val="27"/>
        </w:numPr>
      </w:pPr>
      <w:r>
        <w:t xml:space="preserve">The Bill proposes to extend the time for seeking the Attorney-General’s consent after obtaining an urgent interim control order from an issuing court from 4 hours to 12 hours. </w:t>
      </w:r>
    </w:p>
    <w:p w:rsidR="00AA0F1B" w:rsidRDefault="00AA0F1B" w:rsidP="00AA0F1B">
      <w:pPr>
        <w:pStyle w:val="ListParagraph"/>
      </w:pPr>
    </w:p>
    <w:p w:rsidR="00AA0F1B" w:rsidRDefault="00426C34" w:rsidP="00AA0F1B">
      <w:pPr>
        <w:pStyle w:val="ListParagraph"/>
        <w:numPr>
          <w:ilvl w:val="1"/>
          <w:numId w:val="27"/>
        </w:numPr>
      </w:pPr>
      <w:r>
        <w:t>The Explanatory Memorandum states that this reflects the fact that it may not always be practical or even possible to seek the Attorney-General’s consent within 4 hours of making a request for an urgent interim control order. For example, the Attorney-General may be in transit between the east and west coasts of Australia and unable to be contacted for a period of more than 4 hours.</w:t>
      </w:r>
      <w:r w:rsidR="00A10FE5">
        <w:rPr>
          <w:rStyle w:val="EndnoteReference"/>
        </w:rPr>
        <w:endnoteReference w:id="17"/>
      </w:r>
    </w:p>
    <w:p w:rsidR="00426C34" w:rsidRDefault="00426C34" w:rsidP="00426C34">
      <w:pPr>
        <w:pStyle w:val="ListParagraph"/>
      </w:pPr>
    </w:p>
    <w:p w:rsidR="00426C34" w:rsidRDefault="00426C34" w:rsidP="00AA0F1B">
      <w:pPr>
        <w:pStyle w:val="ListParagraph"/>
        <w:numPr>
          <w:ilvl w:val="1"/>
          <w:numId w:val="27"/>
        </w:numPr>
      </w:pPr>
      <w:r>
        <w:t xml:space="preserve">The Commission considers it reasonable to extend the period for obtaining the Attorney-General’s consent. However, </w:t>
      </w:r>
      <w:r w:rsidR="008455DD">
        <w:t xml:space="preserve">it submits that a period of 8 hours would be more appropriate. Obtaining the Attorney-General’s consent to an urgent interim control order is an important safeguard and it </w:t>
      </w:r>
      <w:proofErr w:type="gramStart"/>
      <w:r w:rsidR="008455DD">
        <w:t>should be carried out</w:t>
      </w:r>
      <w:proofErr w:type="gramEnd"/>
      <w:r w:rsidR="008455DD">
        <w:t xml:space="preserve"> as quickly as</w:t>
      </w:r>
      <w:r w:rsidR="00A10FE5">
        <w:t xml:space="preserve"> </w:t>
      </w:r>
      <w:r w:rsidR="008455DD">
        <w:t>possible.</w:t>
      </w:r>
    </w:p>
    <w:p w:rsidR="00AA0F1B" w:rsidRDefault="00AA0F1B" w:rsidP="00AA0F1B">
      <w:pPr>
        <w:pStyle w:val="ListParagraph"/>
        <w:ind w:left="405"/>
      </w:pPr>
      <w:r>
        <w:t xml:space="preserve"> </w:t>
      </w:r>
    </w:p>
    <w:p w:rsidR="00AA0F1B" w:rsidRPr="008F6888" w:rsidRDefault="008F6888" w:rsidP="00AA0F1B">
      <w:pPr>
        <w:rPr>
          <w:b/>
        </w:rPr>
      </w:pPr>
      <w:r>
        <w:rPr>
          <w:b/>
        </w:rPr>
        <w:t xml:space="preserve">Recommendation 3: </w:t>
      </w:r>
      <w:r w:rsidRPr="008F6888">
        <w:rPr>
          <w:b/>
        </w:rPr>
        <w:t xml:space="preserve">The Commission recommends that the period for seeking the Attorney-General’s consent after obtaining an urgent interim control order be 8 hours. </w:t>
      </w:r>
    </w:p>
    <w:sectPr w:rsidR="00AA0F1B" w:rsidRPr="008F6888"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71" w:rsidRDefault="00965871" w:rsidP="00F14C6D">
      <w:r>
        <w:separator/>
      </w:r>
    </w:p>
  </w:endnote>
  <w:endnote w:type="continuationSeparator" w:id="0">
    <w:p w:rsidR="00965871" w:rsidRDefault="00965871" w:rsidP="00F14C6D">
      <w:r>
        <w:continuationSeparator/>
      </w:r>
    </w:p>
  </w:endnote>
  <w:endnote w:id="1">
    <w:p w:rsidR="00965871" w:rsidRDefault="00965871">
      <w:pPr>
        <w:pStyle w:val="EndnoteText"/>
      </w:pPr>
      <w:r>
        <w:rPr>
          <w:rStyle w:val="EndnoteReference"/>
        </w:rPr>
        <w:endnoteRef/>
      </w:r>
      <w:r>
        <w:t xml:space="preserve"> </w:t>
      </w:r>
      <w:bookmarkStart w:id="15" w:name="fn8"/>
      <w:bookmarkEnd w:id="15"/>
      <w:r>
        <w:rPr>
          <w:lang w:val="en"/>
        </w:rPr>
        <w:t>Criminal Code Act 1995 (Cth) s 104.1</w:t>
      </w:r>
    </w:p>
  </w:endnote>
  <w:endnote w:id="2">
    <w:p w:rsidR="00965871" w:rsidRDefault="00965871" w:rsidP="005C1647">
      <w:pPr>
        <w:pStyle w:val="EndnoteText"/>
      </w:pPr>
      <w:r>
        <w:rPr>
          <w:rStyle w:val="EndnoteReference"/>
        </w:rPr>
        <w:endnoteRef/>
      </w:r>
      <w:r>
        <w:t xml:space="preserve"> See </w:t>
      </w:r>
      <w:r>
        <w:rPr>
          <w:rFonts w:cs="Arial"/>
          <w:i/>
          <w:iCs/>
        </w:rPr>
        <w:t xml:space="preserve">Criminal Code Act 1995 </w:t>
      </w:r>
      <w:r>
        <w:rPr>
          <w:rFonts w:cs="Arial"/>
        </w:rPr>
        <w:t xml:space="preserve">(Cth) </w:t>
      </w:r>
      <w:proofErr w:type="spellStart"/>
      <w:r>
        <w:rPr>
          <w:rFonts w:cs="Arial"/>
        </w:rPr>
        <w:t>ss</w:t>
      </w:r>
      <w:proofErr w:type="spellEnd"/>
      <w:r>
        <w:rPr>
          <w:rFonts w:cs="Arial"/>
        </w:rPr>
        <w:t xml:space="preserve"> 104.5(3) and 104.16(1</w:t>
      </w:r>
      <w:proofErr w:type="gramStart"/>
      <w:r>
        <w:rPr>
          <w:rFonts w:cs="Arial"/>
        </w:rPr>
        <w:t>)(</w:t>
      </w:r>
      <w:proofErr w:type="gramEnd"/>
      <w:r>
        <w:rPr>
          <w:rFonts w:cs="Arial"/>
        </w:rPr>
        <w:t>c).</w:t>
      </w:r>
    </w:p>
  </w:endnote>
  <w:endnote w:id="3">
    <w:p w:rsidR="00965871" w:rsidRDefault="00965871" w:rsidP="005C1647">
      <w:pPr>
        <w:pStyle w:val="EndnoteText"/>
      </w:pPr>
      <w:r>
        <w:rPr>
          <w:rStyle w:val="EndnoteReference"/>
        </w:rPr>
        <w:endnoteRef/>
      </w:r>
      <w:r>
        <w:t xml:space="preserve"> </w:t>
      </w:r>
      <w:r>
        <w:rPr>
          <w:rFonts w:cs="Arial"/>
          <w:i/>
          <w:iCs/>
        </w:rPr>
        <w:t xml:space="preserve">Criminal Code Act 1995 </w:t>
      </w:r>
      <w:r>
        <w:rPr>
          <w:rFonts w:cs="Arial"/>
        </w:rPr>
        <w:t xml:space="preserve">(Cth) </w:t>
      </w:r>
      <w:proofErr w:type="spellStart"/>
      <w:r>
        <w:rPr>
          <w:rFonts w:cs="Arial"/>
        </w:rPr>
        <w:t>ss</w:t>
      </w:r>
      <w:proofErr w:type="spellEnd"/>
      <w:r>
        <w:rPr>
          <w:rFonts w:cs="Arial"/>
        </w:rPr>
        <w:t xml:space="preserve"> 104.5(3) and 104.16(1</w:t>
      </w:r>
      <w:proofErr w:type="gramStart"/>
      <w:r>
        <w:rPr>
          <w:rFonts w:cs="Arial"/>
        </w:rPr>
        <w:t>)(</w:t>
      </w:r>
      <w:proofErr w:type="gramEnd"/>
      <w:r>
        <w:rPr>
          <w:rFonts w:cs="Arial"/>
        </w:rPr>
        <w:t>c).</w:t>
      </w:r>
    </w:p>
  </w:endnote>
  <w:endnote w:id="4">
    <w:p w:rsidR="00965871" w:rsidRPr="009221CC" w:rsidRDefault="00965871" w:rsidP="00470DC9">
      <w:pPr>
        <w:pStyle w:val="EndnoteText"/>
      </w:pPr>
      <w:r>
        <w:rPr>
          <w:rStyle w:val="EndnoteReference"/>
        </w:rPr>
        <w:endnoteRef/>
      </w:r>
      <w:r>
        <w:t xml:space="preserve"> Opened for signature, </w:t>
      </w:r>
      <w:r w:rsidRPr="009221CC">
        <w:t>16 December 1966, 999 UNTS 171 (entered into force 23 March 1976).</w:t>
      </w:r>
    </w:p>
  </w:endnote>
  <w:endnote w:id="5">
    <w:p w:rsidR="00965871" w:rsidRDefault="00965871" w:rsidP="00107549">
      <w:pPr>
        <w:pStyle w:val="EndnoteText"/>
        <w:rPr>
          <w:rFonts w:cs="Arial"/>
        </w:rPr>
      </w:pPr>
      <w:r>
        <w:rPr>
          <w:rStyle w:val="EndnoteReference"/>
        </w:rPr>
        <w:endnoteRef/>
      </w:r>
      <w:r>
        <w:rPr>
          <w:rFonts w:cs="Arial"/>
        </w:rPr>
        <w:t xml:space="preserve"> </w:t>
      </w:r>
      <w:r>
        <w:rPr>
          <w:rFonts w:cs="Arial"/>
          <w:color w:val="000000"/>
        </w:rPr>
        <w:t xml:space="preserve">Opened for signature, 16 December 1966, 993 United Nations Treaty Series 3; entered into force 3 January 1976; ratified by Australia </w:t>
      </w:r>
      <w:r>
        <w:rPr>
          <w:rFonts w:cs="Arial"/>
        </w:rPr>
        <w:t>10 December 1975.</w:t>
      </w:r>
    </w:p>
  </w:endnote>
  <w:endnote w:id="6">
    <w:p w:rsidR="00965871" w:rsidRDefault="00965871">
      <w:pPr>
        <w:pStyle w:val="EndnoteText"/>
      </w:pPr>
      <w:r>
        <w:rPr>
          <w:rStyle w:val="EndnoteReference"/>
        </w:rPr>
        <w:endnoteRef/>
      </w:r>
      <w:r>
        <w:t xml:space="preserve"> Australian Human Rights Commission, Submission to the COAG Review Committee, September 2012 (available at </w:t>
      </w:r>
      <w:hyperlink r:id="rId1" w:anchor="fnB8" w:history="1">
        <w:r w:rsidRPr="003C2179">
          <w:rPr>
            <w:rStyle w:val="Hyperlink"/>
          </w:rPr>
          <w:t>https://www.humanrights.gov.au/coag-review-counter-terrorism-legislation#fnB8</w:t>
        </w:r>
      </w:hyperlink>
      <w:r>
        <w:t xml:space="preserve">) </w:t>
      </w:r>
    </w:p>
  </w:endnote>
  <w:endnote w:id="7">
    <w:p w:rsidR="00965871" w:rsidRDefault="00965871">
      <w:pPr>
        <w:pStyle w:val="EndnoteText"/>
      </w:pPr>
      <w:r>
        <w:rPr>
          <w:rStyle w:val="EndnoteReference"/>
        </w:rPr>
        <w:endnoteRef/>
      </w:r>
      <w:r>
        <w:t xml:space="preserve"> </w:t>
      </w:r>
      <w:proofErr w:type="gramStart"/>
      <w:r>
        <w:t xml:space="preserve">Australian Human Rights Commission, Submission to the Independent National Security Legislation Monitor, 14 September 2012, (available at </w:t>
      </w:r>
      <w:hyperlink r:id="rId2" w:history="1">
        <w:r w:rsidRPr="00F84A5D">
          <w:rPr>
            <w:rStyle w:val="Hyperlink"/>
          </w:rPr>
          <w:t>https://www.humanrights.gov.au/review-counter-terrorism-and-national-security-legislation</w:t>
        </w:r>
      </w:hyperlink>
      <w:r>
        <w:t>).</w:t>
      </w:r>
      <w:proofErr w:type="gramEnd"/>
      <w:r>
        <w:t xml:space="preserve">  </w:t>
      </w:r>
    </w:p>
  </w:endnote>
  <w:endnote w:id="8">
    <w:p w:rsidR="00965871" w:rsidRDefault="00965871">
      <w:pPr>
        <w:pStyle w:val="EndnoteText"/>
      </w:pPr>
      <w:r>
        <w:rPr>
          <w:rStyle w:val="EndnoteReference"/>
        </w:rPr>
        <w:endnoteRef/>
      </w:r>
      <w:r>
        <w:t xml:space="preserve"> Australian Human Rights Commission, Submission to the Senate Legal and Constitutional Legislation Committee, 11 November 2005 (available at </w:t>
      </w:r>
      <w:hyperlink r:id="rId3" w:history="1">
        <w:r w:rsidRPr="003C2179">
          <w:rPr>
            <w:rStyle w:val="Hyperlink"/>
          </w:rPr>
          <w:t>https://www.humanrights.gov.au/submission-anti-terrorism-bill-no-2-2005</w:t>
        </w:r>
      </w:hyperlink>
      <w:r>
        <w:t xml:space="preserve">) </w:t>
      </w:r>
    </w:p>
  </w:endnote>
  <w:endnote w:id="9">
    <w:p w:rsidR="00965871" w:rsidRDefault="00965871" w:rsidP="0041154C">
      <w:pPr>
        <w:pStyle w:val="EndnoteText"/>
      </w:pPr>
      <w:r>
        <w:rPr>
          <w:rStyle w:val="EndnoteReference"/>
        </w:rPr>
        <w:endnoteRef/>
      </w:r>
      <w:r>
        <w:t xml:space="preserve"> Independent National Security Legislation Monitor, </w:t>
      </w:r>
      <w:r>
        <w:rPr>
          <w:i/>
          <w:iCs/>
        </w:rPr>
        <w:t xml:space="preserve">Declassified Annual Report </w:t>
      </w:r>
      <w:r>
        <w:t xml:space="preserve">(2012), Chapter II (available at </w:t>
      </w:r>
      <w:hyperlink r:id="rId4" w:history="1">
        <w:r w:rsidRPr="00136BB6">
          <w:rPr>
            <w:rStyle w:val="Hyperlink"/>
          </w:rPr>
          <w:t>http://www.dpmc.gov.au/INSLM/index.cfm</w:t>
        </w:r>
      </w:hyperlink>
      <w:r>
        <w:t xml:space="preserve">).  </w:t>
      </w:r>
    </w:p>
  </w:endnote>
  <w:endnote w:id="10">
    <w:p w:rsidR="00965871" w:rsidRDefault="00965871">
      <w:pPr>
        <w:pStyle w:val="EndnoteText"/>
      </w:pPr>
      <w:r>
        <w:rPr>
          <w:rStyle w:val="EndnoteReference"/>
        </w:rPr>
        <w:endnoteRef/>
      </w:r>
      <w:r>
        <w:t xml:space="preserve"> Independent National Security Legislation Monitor, </w:t>
      </w:r>
      <w:r w:rsidRPr="00FA176B">
        <w:rPr>
          <w:i/>
        </w:rPr>
        <w:t>Declassified Annual Report</w:t>
      </w:r>
      <w:r>
        <w:t xml:space="preserve"> (2012), 8-9 (available at </w:t>
      </w:r>
      <w:hyperlink r:id="rId5" w:history="1">
        <w:r w:rsidRPr="00136BB6">
          <w:rPr>
            <w:rStyle w:val="Hyperlink"/>
          </w:rPr>
          <w:t>http://www.dpmc.gov.au/INSLM/index.cfm</w:t>
        </w:r>
      </w:hyperlink>
      <w:r>
        <w:rPr>
          <w:rStyle w:val="Hyperlink"/>
        </w:rPr>
        <w:t>)</w:t>
      </w:r>
    </w:p>
  </w:endnote>
  <w:endnote w:id="11">
    <w:p w:rsidR="00965871" w:rsidRDefault="00965871">
      <w:pPr>
        <w:pStyle w:val="EndnoteText"/>
      </w:pPr>
      <w:r>
        <w:rPr>
          <w:rStyle w:val="EndnoteReference"/>
        </w:rPr>
        <w:endnoteRef/>
      </w:r>
      <w:r>
        <w:t xml:space="preserve"> Independent National Security Legislation Monitor, </w:t>
      </w:r>
      <w:r w:rsidRPr="00FA176B">
        <w:rPr>
          <w:i/>
        </w:rPr>
        <w:t>Declassified Annual Report</w:t>
      </w:r>
      <w:r>
        <w:t xml:space="preserve"> (2012), 40 (available at </w:t>
      </w:r>
      <w:hyperlink r:id="rId6" w:history="1">
        <w:r w:rsidRPr="00136BB6">
          <w:rPr>
            <w:rStyle w:val="Hyperlink"/>
          </w:rPr>
          <w:t>http://www.dpmc.gov.au/INSLM/index.cfm</w:t>
        </w:r>
      </w:hyperlink>
      <w:r>
        <w:rPr>
          <w:rStyle w:val="Hyperlink"/>
        </w:rPr>
        <w:t xml:space="preserve">). </w:t>
      </w:r>
    </w:p>
  </w:endnote>
  <w:endnote w:id="12">
    <w:p w:rsidR="00965871" w:rsidRDefault="00965871">
      <w:pPr>
        <w:pStyle w:val="EndnoteText"/>
      </w:pPr>
      <w:r>
        <w:rPr>
          <w:rStyle w:val="EndnoteReference"/>
        </w:rPr>
        <w:endnoteRef/>
      </w:r>
      <w:r>
        <w:t xml:space="preserve"> </w:t>
      </w:r>
      <w:r w:rsidRPr="00B275D4">
        <w:rPr>
          <w:i/>
        </w:rPr>
        <w:t>Council of Australian Governments Review of Counter-Terrorism Legislation</w:t>
      </w:r>
      <w:r>
        <w:t xml:space="preserve"> (2013),</w:t>
      </w:r>
      <w:r w:rsidRPr="00B275D4">
        <w:t xml:space="preserve"> </w:t>
      </w:r>
      <w:r>
        <w:t xml:space="preserve">54 [215] (available at </w:t>
      </w:r>
      <w:hyperlink r:id="rId7" w:history="1">
        <w:r w:rsidRPr="005F6FFE">
          <w:rPr>
            <w:rStyle w:val="Hyperlink"/>
          </w:rPr>
          <w:t>http://www.coagctreview.gov.au/Report/Pages/default.aspx</w:t>
        </w:r>
      </w:hyperlink>
      <w:r>
        <w:rPr>
          <w:rStyle w:val="Hyperlink"/>
        </w:rPr>
        <w:t>,</w:t>
      </w:r>
    </w:p>
  </w:endnote>
  <w:endnote w:id="13">
    <w:p w:rsidR="00965871" w:rsidRDefault="00965871">
      <w:pPr>
        <w:pStyle w:val="EndnoteText"/>
      </w:pPr>
      <w:r>
        <w:rPr>
          <w:rStyle w:val="EndnoteReference"/>
        </w:rPr>
        <w:endnoteRef/>
      </w:r>
      <w:r>
        <w:t xml:space="preserve"> </w:t>
      </w:r>
      <w:proofErr w:type="gramStart"/>
      <w:r>
        <w:t>Explanatory Memorandum, 18 [88].</w:t>
      </w:r>
      <w:proofErr w:type="gramEnd"/>
    </w:p>
  </w:endnote>
  <w:endnote w:id="14">
    <w:p w:rsidR="00965871" w:rsidRDefault="00965871">
      <w:pPr>
        <w:pStyle w:val="EndnoteText"/>
      </w:pPr>
      <w:r>
        <w:rPr>
          <w:rStyle w:val="EndnoteReference"/>
        </w:rPr>
        <w:endnoteRef/>
      </w:r>
      <w:r>
        <w:t xml:space="preserve"> </w:t>
      </w:r>
      <w:proofErr w:type="gramStart"/>
      <w:r>
        <w:t>Statement of Compatibility, 7 [31].</w:t>
      </w:r>
      <w:proofErr w:type="gramEnd"/>
    </w:p>
  </w:endnote>
  <w:endnote w:id="15">
    <w:p w:rsidR="00965871" w:rsidRDefault="00965871">
      <w:pPr>
        <w:pStyle w:val="EndnoteText"/>
      </w:pPr>
      <w:r>
        <w:rPr>
          <w:rStyle w:val="EndnoteReference"/>
        </w:rPr>
        <w:endnoteRef/>
      </w:r>
      <w:r>
        <w:t xml:space="preserve"> </w:t>
      </w:r>
      <w:proofErr w:type="gramStart"/>
      <w:r w:rsidRPr="00B275D4">
        <w:rPr>
          <w:i/>
        </w:rPr>
        <w:t>Council of Australian Governments Review of Counter-Terrorism Legislation</w:t>
      </w:r>
      <w:r>
        <w:t xml:space="preserve"> (2013),</w:t>
      </w:r>
      <w:r w:rsidRPr="00B275D4">
        <w:t xml:space="preserve"> </w:t>
      </w:r>
      <w:r>
        <w:t xml:space="preserve">54 [215] (available at </w:t>
      </w:r>
      <w:hyperlink r:id="rId8" w:history="1">
        <w:r w:rsidRPr="005F6FFE">
          <w:rPr>
            <w:rStyle w:val="Hyperlink"/>
          </w:rPr>
          <w:t>http://www.coagctreview.gov.au/Report/Pages/default.aspx</w:t>
        </w:r>
      </w:hyperlink>
      <w:r>
        <w:rPr>
          <w:rStyle w:val="Hyperlink"/>
        </w:rPr>
        <w:t>)</w:t>
      </w:r>
      <w:r>
        <w:t>.</w:t>
      </w:r>
      <w:proofErr w:type="gramEnd"/>
      <w:r>
        <w:t xml:space="preserve">  </w:t>
      </w:r>
    </w:p>
  </w:endnote>
  <w:endnote w:id="16">
    <w:p w:rsidR="00965871" w:rsidRDefault="00965871">
      <w:pPr>
        <w:pStyle w:val="EndnoteText"/>
      </w:pPr>
      <w:r>
        <w:rPr>
          <w:rStyle w:val="EndnoteReference"/>
        </w:rPr>
        <w:endnoteRef/>
      </w:r>
      <w:r>
        <w:t xml:space="preserve"> </w:t>
      </w:r>
      <w:proofErr w:type="gramStart"/>
      <w:r>
        <w:t xml:space="preserve">Australian Human Rights Commission, Submission to the Independent National Security Legislation Monitor, 14 September 2012, [73] (available at </w:t>
      </w:r>
      <w:hyperlink r:id="rId9" w:history="1">
        <w:r w:rsidRPr="00F84A5D">
          <w:rPr>
            <w:rStyle w:val="Hyperlink"/>
          </w:rPr>
          <w:t>https://www.humanrights.gov.au/review-counter-terrorism-and-national-security-legislation</w:t>
        </w:r>
      </w:hyperlink>
      <w:r>
        <w:t>).</w:t>
      </w:r>
      <w:proofErr w:type="gramEnd"/>
      <w:r>
        <w:t xml:space="preserve">  </w:t>
      </w:r>
    </w:p>
  </w:endnote>
  <w:endnote w:id="17">
    <w:p w:rsidR="00965871" w:rsidRDefault="00965871">
      <w:pPr>
        <w:pStyle w:val="EndnoteText"/>
      </w:pPr>
      <w:r>
        <w:rPr>
          <w:rStyle w:val="EndnoteReference"/>
        </w:rPr>
        <w:endnoteRef/>
      </w:r>
      <w:r>
        <w:t xml:space="preserve"> </w:t>
      </w:r>
      <w:proofErr w:type="gramStart"/>
      <w:r>
        <w:t>Explanatory Memorandum, 24 [122].</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Pr="0090165F" w:rsidRDefault="00965871"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Pr="004A187B" w:rsidRDefault="00965871" w:rsidP="008B23BC">
    <w:pPr>
      <w:pStyle w:val="Footer"/>
    </w:pPr>
    <w:r>
      <w:rPr>
        <w:noProof/>
      </w:rPr>
      <mc:AlternateContent>
        <mc:Choice Requires="wps">
          <w:drawing>
            <wp:anchor distT="0" distB="0" distL="114300" distR="114300" simplePos="0" relativeHeight="251660288" behindDoc="0" locked="0" layoutInCell="1" allowOverlap="1" wp14:anchorId="75AE968D" wp14:editId="45D2A6B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965871" w:rsidRPr="0003606D" w:rsidRDefault="00965871" w:rsidP="0003606D">
                          <w:pPr>
                            <w:pStyle w:val="coveraddresses"/>
                          </w:pPr>
                          <w:r w:rsidRPr="0003606D">
                            <w:t>ABN 47 996 232 602</w:t>
                          </w:r>
                        </w:p>
                        <w:p w:rsidR="00965871" w:rsidRPr="0003606D" w:rsidRDefault="00965871" w:rsidP="0003606D">
                          <w:pPr>
                            <w:pStyle w:val="coveraddresses"/>
                          </w:pPr>
                          <w:r w:rsidRPr="0003606D">
                            <w:t xml:space="preserve">Level </w:t>
                          </w:r>
                          <w:proofErr w:type="gramStart"/>
                          <w:r w:rsidRPr="0003606D">
                            <w:t>3</w:t>
                          </w:r>
                          <w:proofErr w:type="gramEnd"/>
                          <w:r w:rsidRPr="0003606D">
                            <w:t>, 175 Pitt Street, Sydney NSW 2000</w:t>
                          </w:r>
                        </w:p>
                        <w:p w:rsidR="00965871" w:rsidRPr="0003606D" w:rsidRDefault="00965871" w:rsidP="0003606D">
                          <w:pPr>
                            <w:pStyle w:val="coveraddresses"/>
                          </w:pPr>
                          <w:r w:rsidRPr="0003606D">
                            <w:t>GPO Box 5218, Sydney NSW 2001</w:t>
                          </w:r>
                        </w:p>
                        <w:p w:rsidR="00965871" w:rsidRPr="0003606D" w:rsidRDefault="00965871" w:rsidP="0003606D">
                          <w:pPr>
                            <w:pStyle w:val="coveraddresses"/>
                          </w:pPr>
                          <w:r w:rsidRPr="0003606D">
                            <w:t>General enquiries 1300 369 711</w:t>
                          </w:r>
                        </w:p>
                        <w:p w:rsidR="00965871" w:rsidRPr="0003606D" w:rsidRDefault="00965871" w:rsidP="0003606D">
                          <w:pPr>
                            <w:pStyle w:val="coveraddresses"/>
                          </w:pPr>
                          <w:r w:rsidRPr="0003606D">
                            <w:t>Complaints info line 1300 656 419</w:t>
                          </w:r>
                        </w:p>
                        <w:p w:rsidR="00965871" w:rsidRPr="0003606D" w:rsidRDefault="00965871" w:rsidP="0003606D">
                          <w:pPr>
                            <w:pStyle w:val="coveraddresses"/>
                          </w:pPr>
                          <w:r w:rsidRPr="0003606D">
                            <w:t>TTY 1800 620 241</w:t>
                          </w:r>
                        </w:p>
                        <w:p w:rsidR="00965871" w:rsidRPr="00B63D24" w:rsidRDefault="00965871"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965871" w:rsidRPr="0003606D" w:rsidRDefault="00965871" w:rsidP="0003606D">
                    <w:pPr>
                      <w:pStyle w:val="coveraddresses"/>
                    </w:pPr>
                    <w:r w:rsidRPr="0003606D">
                      <w:t>ABN 47 996 232 602</w:t>
                    </w:r>
                  </w:p>
                  <w:p w:rsidR="00965871" w:rsidRPr="0003606D" w:rsidRDefault="00965871" w:rsidP="0003606D">
                    <w:pPr>
                      <w:pStyle w:val="coveraddresses"/>
                    </w:pPr>
                    <w:r w:rsidRPr="0003606D">
                      <w:t>Level 3, 175 Pitt Street, Sydney NSW 2000</w:t>
                    </w:r>
                  </w:p>
                  <w:p w:rsidR="00965871" w:rsidRPr="0003606D" w:rsidRDefault="00965871" w:rsidP="0003606D">
                    <w:pPr>
                      <w:pStyle w:val="coveraddresses"/>
                    </w:pPr>
                    <w:r w:rsidRPr="0003606D">
                      <w:t>GPO Box 5218, Sydney NSW 2001</w:t>
                    </w:r>
                  </w:p>
                  <w:p w:rsidR="00965871" w:rsidRPr="0003606D" w:rsidRDefault="00965871" w:rsidP="0003606D">
                    <w:pPr>
                      <w:pStyle w:val="coveraddresses"/>
                    </w:pPr>
                    <w:r w:rsidRPr="0003606D">
                      <w:t>General enquiries 1300 369 711</w:t>
                    </w:r>
                  </w:p>
                  <w:p w:rsidR="00965871" w:rsidRPr="0003606D" w:rsidRDefault="00965871" w:rsidP="0003606D">
                    <w:pPr>
                      <w:pStyle w:val="coveraddresses"/>
                    </w:pPr>
                    <w:r w:rsidRPr="0003606D">
                      <w:t>Complaints info line 1300 656 419</w:t>
                    </w:r>
                  </w:p>
                  <w:p w:rsidR="00965871" w:rsidRPr="0003606D" w:rsidRDefault="00965871" w:rsidP="0003606D">
                    <w:pPr>
                      <w:pStyle w:val="coveraddresses"/>
                    </w:pPr>
                    <w:r w:rsidRPr="0003606D">
                      <w:t>TTY 1800 620 241</w:t>
                    </w:r>
                  </w:p>
                  <w:p w:rsidR="00965871" w:rsidRPr="00B63D24" w:rsidRDefault="00965871"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Pr="0090165F" w:rsidRDefault="00965871"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F58D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71" w:rsidRDefault="00965871" w:rsidP="00F14C6D">
      <w:r>
        <w:separator/>
      </w:r>
    </w:p>
  </w:footnote>
  <w:footnote w:type="continuationSeparator" w:id="0">
    <w:p w:rsidR="00965871" w:rsidRDefault="0096587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Default="005F58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Pr="00D27262" w:rsidRDefault="005F58D9"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965871" w:rsidRPr="00D27262">
      <w:rPr>
        <w:sz w:val="22"/>
        <w:szCs w:val="22"/>
      </w:rPr>
      <w:t>Au</w:t>
    </w:r>
    <w:r w:rsidR="00965871">
      <w:rPr>
        <w:sz w:val="22"/>
        <w:szCs w:val="22"/>
      </w:rPr>
      <w:t>stralian Human Rights Commission</w:t>
    </w:r>
  </w:p>
  <w:p w:rsidR="00965871" w:rsidRDefault="00965871"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65871" w:rsidRPr="00B85DD4" w:rsidTr="00165E3C">
      <w:trPr>
        <w:trHeight w:val="1276"/>
      </w:trPr>
      <w:tc>
        <w:tcPr>
          <w:tcW w:w="1508" w:type="dxa"/>
        </w:tcPr>
        <w:p w:rsidR="00965871" w:rsidRPr="00B85DD4" w:rsidRDefault="005F58D9"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965871" w:rsidRPr="00B85DD4" w:rsidRDefault="00965871" w:rsidP="002B1B65">
          <w:pPr>
            <w:spacing w:before="0" w:after="0"/>
            <w:rPr>
              <w:rFonts w:cs="ArialMT"/>
              <w:i/>
              <w:color w:val="808080"/>
              <w:sz w:val="17"/>
            </w:rPr>
          </w:pPr>
        </w:p>
      </w:tc>
      <w:tc>
        <w:tcPr>
          <w:tcW w:w="2302" w:type="dxa"/>
        </w:tcPr>
        <w:p w:rsidR="00965871" w:rsidRPr="00B85DD4" w:rsidRDefault="00965871" w:rsidP="00B520BC">
          <w:pPr>
            <w:pStyle w:val="HeaderFooter"/>
            <w:rPr>
              <w:b/>
              <w:spacing w:val="-20"/>
              <w:sz w:val="40"/>
            </w:rPr>
          </w:pPr>
        </w:p>
      </w:tc>
      <w:tc>
        <w:tcPr>
          <w:tcW w:w="2130" w:type="dxa"/>
        </w:tcPr>
        <w:p w:rsidR="00965871" w:rsidRPr="00B85DD4" w:rsidRDefault="00965871" w:rsidP="00B520BC">
          <w:pPr>
            <w:pStyle w:val="HeaderFooter"/>
            <w:rPr>
              <w:b/>
              <w:spacing w:val="-20"/>
              <w:sz w:val="40"/>
            </w:rPr>
          </w:pPr>
        </w:p>
      </w:tc>
      <w:tc>
        <w:tcPr>
          <w:tcW w:w="1721" w:type="dxa"/>
        </w:tcPr>
        <w:p w:rsidR="00965871" w:rsidRPr="00B85DD4" w:rsidRDefault="00965871" w:rsidP="00B520BC">
          <w:pPr>
            <w:pStyle w:val="HeaderFooter"/>
            <w:spacing w:before="227" w:after="340"/>
            <w:rPr>
              <w:b/>
              <w:spacing w:val="-20"/>
              <w:sz w:val="40"/>
            </w:rPr>
          </w:pPr>
        </w:p>
      </w:tc>
    </w:tr>
  </w:tbl>
  <w:p w:rsidR="00965871" w:rsidRDefault="009658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Default="005F58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71" w:rsidRPr="00D27262" w:rsidRDefault="00965871" w:rsidP="00B34946">
    <w:pPr>
      <w:spacing w:before="0" w:after="60"/>
      <w:jc w:val="right"/>
      <w:rPr>
        <w:sz w:val="22"/>
        <w:szCs w:val="22"/>
      </w:rPr>
    </w:pPr>
    <w:r w:rsidRPr="00D27262">
      <w:rPr>
        <w:sz w:val="22"/>
        <w:szCs w:val="22"/>
      </w:rPr>
      <w:t>Au</w:t>
    </w:r>
    <w:r>
      <w:rPr>
        <w:sz w:val="22"/>
        <w:szCs w:val="22"/>
      </w:rPr>
      <w:t>stralian Human Rights Commission</w:t>
    </w:r>
  </w:p>
  <w:p w:rsidR="00965871" w:rsidRPr="00D729AD" w:rsidRDefault="00965871" w:rsidP="002F4CE1">
    <w:pPr>
      <w:pStyle w:val="Footer"/>
      <w:spacing w:after="240"/>
      <w:jc w:val="right"/>
      <w:rPr>
        <w:i/>
        <w:szCs w:val="18"/>
      </w:rPr>
    </w:pPr>
    <w:r w:rsidRPr="00786C88">
      <w:rPr>
        <w:b/>
        <w:i/>
        <w:szCs w:val="18"/>
      </w:rPr>
      <w:t>Counter-Terrorism Legislation Amendment Bill</w:t>
    </w:r>
    <w:r>
      <w:rPr>
        <w:b/>
        <w:i/>
        <w:szCs w:val="18"/>
      </w:rPr>
      <w:t xml:space="preserve"> (No.1)</w:t>
    </w:r>
    <w:r w:rsidRPr="00786C88">
      <w:rPr>
        <w:b/>
        <w:i/>
        <w:szCs w:val="18"/>
      </w:rPr>
      <w:t xml:space="preserve"> 2014</w:t>
    </w:r>
    <w:r w:rsidRPr="00D729AD">
      <w:rPr>
        <w:i/>
        <w:szCs w:val="18"/>
      </w:rPr>
      <w:t xml:space="preserve">– </w:t>
    </w:r>
    <w:r>
      <w:rPr>
        <w:i/>
        <w:szCs w:val="18"/>
      </w:rPr>
      <w:t>10 November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65871" w:rsidRPr="00B85DD4" w:rsidTr="002B1B65">
      <w:trPr>
        <w:trHeight w:val="1603"/>
      </w:trPr>
      <w:tc>
        <w:tcPr>
          <w:tcW w:w="1508" w:type="dxa"/>
        </w:tcPr>
        <w:p w:rsidR="00965871" w:rsidRPr="00B85DD4" w:rsidRDefault="005F58D9"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965871">
            <w:rPr>
              <w:rFonts w:cs="ArialMT"/>
              <w:b/>
              <w:noProof/>
              <w:spacing w:val="-20"/>
            </w:rPr>
            <w:drawing>
              <wp:inline distT="0" distB="0" distL="0" distR="0" wp14:anchorId="52B130D5" wp14:editId="72AB2B06">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965871" w:rsidRPr="00D36BB2" w:rsidRDefault="00965871" w:rsidP="002B1B65">
          <w:pPr>
            <w:pStyle w:val="LogoType"/>
            <w:pBdr>
              <w:bottom w:val="single" w:sz="4" w:space="1" w:color="808080"/>
            </w:pBdr>
            <w:spacing w:line="240" w:lineRule="auto"/>
          </w:pPr>
          <w:r w:rsidRPr="00D36BB2">
            <w:t>Australian</w:t>
          </w:r>
        </w:p>
        <w:p w:rsidR="00965871" w:rsidRPr="00D36BB2" w:rsidRDefault="00965871" w:rsidP="002B1B65">
          <w:pPr>
            <w:pStyle w:val="LogoType"/>
            <w:pBdr>
              <w:bottom w:val="single" w:sz="4" w:space="1" w:color="808080"/>
            </w:pBdr>
            <w:spacing w:line="240" w:lineRule="auto"/>
          </w:pPr>
          <w:r w:rsidRPr="00D36BB2">
            <w:t>Human Rights</w:t>
          </w:r>
        </w:p>
        <w:p w:rsidR="00965871" w:rsidRPr="00D36BB2" w:rsidRDefault="00965871" w:rsidP="002B1B65">
          <w:pPr>
            <w:pStyle w:val="LogoType"/>
            <w:pBdr>
              <w:bottom w:val="single" w:sz="4" w:space="1" w:color="808080"/>
            </w:pBdr>
            <w:spacing w:line="240" w:lineRule="auto"/>
          </w:pPr>
          <w:r w:rsidRPr="00D36BB2">
            <w:t>Commission</w:t>
          </w:r>
        </w:p>
        <w:p w:rsidR="00965871" w:rsidRPr="00B85DD4" w:rsidRDefault="00965871"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965871" w:rsidRPr="00B85DD4" w:rsidRDefault="00965871" w:rsidP="00B520BC">
          <w:pPr>
            <w:pStyle w:val="HeaderFooter"/>
            <w:rPr>
              <w:b/>
              <w:spacing w:val="-20"/>
              <w:sz w:val="40"/>
            </w:rPr>
          </w:pPr>
        </w:p>
      </w:tc>
      <w:tc>
        <w:tcPr>
          <w:tcW w:w="2130" w:type="dxa"/>
        </w:tcPr>
        <w:p w:rsidR="00965871" w:rsidRPr="00B85DD4" w:rsidRDefault="00965871" w:rsidP="00B520BC">
          <w:pPr>
            <w:pStyle w:val="HeaderFooter"/>
            <w:rPr>
              <w:b/>
              <w:spacing w:val="-20"/>
              <w:sz w:val="40"/>
            </w:rPr>
          </w:pPr>
        </w:p>
      </w:tc>
      <w:tc>
        <w:tcPr>
          <w:tcW w:w="1721" w:type="dxa"/>
        </w:tcPr>
        <w:p w:rsidR="00965871" w:rsidRPr="00B85DD4" w:rsidRDefault="00965871" w:rsidP="00B520BC">
          <w:pPr>
            <w:pStyle w:val="HeaderFooter"/>
            <w:spacing w:before="227" w:after="340"/>
            <w:rPr>
              <w:b/>
              <w:spacing w:val="-20"/>
              <w:sz w:val="40"/>
            </w:rPr>
          </w:pPr>
        </w:p>
      </w:tc>
    </w:tr>
  </w:tbl>
  <w:p w:rsidR="00965871" w:rsidRDefault="00965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6A0E00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lowerLetter"/>
      <w:lvlText w:val="(%9)"/>
      <w:lvlJc w:val="left"/>
      <w:pPr>
        <w:tabs>
          <w:tab w:val="num" w:pos="0"/>
        </w:tabs>
        <w:ind w:left="1584" w:hanging="1584"/>
      </w:pPr>
      <w:rPr>
        <w:rFonts w:ascii="Arial" w:eastAsia="Times New Roman" w:hAnsi="Arial" w:cs="Times New Roman"/>
      </w:rPr>
    </w:lvl>
  </w:abstractNum>
  <w:abstractNum w:abstractNumId="11">
    <w:nsid w:val="0F4A345F"/>
    <w:multiLevelType w:val="hybridMultilevel"/>
    <w:tmpl w:val="AD7C0E20"/>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EB7C7BC8">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DCB237C"/>
    <w:multiLevelType w:val="hybridMultilevel"/>
    <w:tmpl w:val="3D985B32"/>
    <w:lvl w:ilvl="0" w:tplc="D752E692">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5864E0B"/>
    <w:multiLevelType w:val="multilevel"/>
    <w:tmpl w:val="13F4F25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9FF7A73"/>
    <w:multiLevelType w:val="multilevel"/>
    <w:tmpl w:val="BEB82AB8"/>
    <w:lvl w:ilvl="0">
      <w:start w:val="5"/>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nsid w:val="4D9A526C"/>
    <w:multiLevelType w:val="hybridMultilevel"/>
    <w:tmpl w:val="927AD0EE"/>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EB7C7BC8">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68B653F"/>
    <w:multiLevelType w:val="multilevel"/>
    <w:tmpl w:val="B7DACF78"/>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8473441"/>
    <w:multiLevelType w:val="hybridMultilevel"/>
    <w:tmpl w:val="B5ECAF4A"/>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EB7C7BC8">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749838E0"/>
    <w:multiLevelType w:val="hybridMultilevel"/>
    <w:tmpl w:val="69242424"/>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EB7C7BC8">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8"/>
  </w:num>
  <w:num w:numId="13">
    <w:abstractNumId w:val="15"/>
  </w:num>
  <w:num w:numId="14">
    <w:abstractNumId w:val="13"/>
  </w:num>
  <w:num w:numId="15">
    <w:abstractNumId w:val="12"/>
  </w:num>
  <w:num w:numId="16">
    <w:abstractNumId w:val="10"/>
  </w:num>
  <w:num w:numId="17">
    <w:abstractNumId w:val="17"/>
  </w:num>
  <w:num w:numId="18">
    <w:abstractNumId w:val="20"/>
  </w:num>
  <w:num w:numId="19">
    <w:abstractNumId w:val="11"/>
  </w:num>
  <w:num w:numId="20">
    <w:abstractNumId w:val="21"/>
  </w:num>
  <w:num w:numId="21">
    <w:abstractNumId w:val="12"/>
    <w:lvlOverride w:ilvl="0">
      <w:startOverride w:val="1"/>
    </w:lvlOverride>
  </w:num>
  <w:num w:numId="22">
    <w:abstractNumId w:val="12"/>
  </w:num>
  <w:num w:numId="23">
    <w:abstractNumId w:val="12"/>
  </w:num>
  <w:num w:numId="24">
    <w:abstractNumId w:val="12"/>
  </w:num>
  <w:num w:numId="25">
    <w:abstractNumId w:val="16"/>
  </w:num>
  <w:num w:numId="26">
    <w:abstractNumId w:val="19"/>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10"/>
    <w:rsid w:val="00011586"/>
    <w:rsid w:val="00012BCC"/>
    <w:rsid w:val="000131A8"/>
    <w:rsid w:val="000152CA"/>
    <w:rsid w:val="000167DB"/>
    <w:rsid w:val="0002683C"/>
    <w:rsid w:val="00033C68"/>
    <w:rsid w:val="00033CA2"/>
    <w:rsid w:val="00033E89"/>
    <w:rsid w:val="00034856"/>
    <w:rsid w:val="0003606D"/>
    <w:rsid w:val="00037626"/>
    <w:rsid w:val="000414F6"/>
    <w:rsid w:val="00041609"/>
    <w:rsid w:val="00041D8C"/>
    <w:rsid w:val="00046883"/>
    <w:rsid w:val="000515CA"/>
    <w:rsid w:val="000543F0"/>
    <w:rsid w:val="000558E9"/>
    <w:rsid w:val="000576F0"/>
    <w:rsid w:val="00057862"/>
    <w:rsid w:val="000579B1"/>
    <w:rsid w:val="00057B15"/>
    <w:rsid w:val="00061FE4"/>
    <w:rsid w:val="000620A2"/>
    <w:rsid w:val="00062A13"/>
    <w:rsid w:val="0006324A"/>
    <w:rsid w:val="0006509A"/>
    <w:rsid w:val="000665CF"/>
    <w:rsid w:val="00072D2F"/>
    <w:rsid w:val="00074319"/>
    <w:rsid w:val="00074517"/>
    <w:rsid w:val="00077074"/>
    <w:rsid w:val="00082141"/>
    <w:rsid w:val="00090CC0"/>
    <w:rsid w:val="00091664"/>
    <w:rsid w:val="00094400"/>
    <w:rsid w:val="000948D8"/>
    <w:rsid w:val="0009533A"/>
    <w:rsid w:val="00095982"/>
    <w:rsid w:val="0009651D"/>
    <w:rsid w:val="00096A3D"/>
    <w:rsid w:val="00097186"/>
    <w:rsid w:val="000A1354"/>
    <w:rsid w:val="000A15B3"/>
    <w:rsid w:val="000A1DB8"/>
    <w:rsid w:val="000A1F8E"/>
    <w:rsid w:val="000A48AC"/>
    <w:rsid w:val="000A62A1"/>
    <w:rsid w:val="000B0A5D"/>
    <w:rsid w:val="000B0BC8"/>
    <w:rsid w:val="000B374C"/>
    <w:rsid w:val="000B3C17"/>
    <w:rsid w:val="000C05BC"/>
    <w:rsid w:val="000C4808"/>
    <w:rsid w:val="000D2D9C"/>
    <w:rsid w:val="000D3716"/>
    <w:rsid w:val="000D6701"/>
    <w:rsid w:val="000D6AAF"/>
    <w:rsid w:val="000D6BA5"/>
    <w:rsid w:val="000D7870"/>
    <w:rsid w:val="000E130A"/>
    <w:rsid w:val="000E13D5"/>
    <w:rsid w:val="000E53AF"/>
    <w:rsid w:val="000F7ABC"/>
    <w:rsid w:val="000F7F59"/>
    <w:rsid w:val="001007E0"/>
    <w:rsid w:val="00107549"/>
    <w:rsid w:val="001107B9"/>
    <w:rsid w:val="00111553"/>
    <w:rsid w:val="001134F3"/>
    <w:rsid w:val="00114661"/>
    <w:rsid w:val="00115DF3"/>
    <w:rsid w:val="00124640"/>
    <w:rsid w:val="0012587D"/>
    <w:rsid w:val="001279E9"/>
    <w:rsid w:val="0013034B"/>
    <w:rsid w:val="0013229C"/>
    <w:rsid w:val="00134774"/>
    <w:rsid w:val="00135FCF"/>
    <w:rsid w:val="0013724A"/>
    <w:rsid w:val="001372B1"/>
    <w:rsid w:val="00137620"/>
    <w:rsid w:val="00140274"/>
    <w:rsid w:val="001409B6"/>
    <w:rsid w:val="001471B6"/>
    <w:rsid w:val="00151263"/>
    <w:rsid w:val="0015145E"/>
    <w:rsid w:val="00152C6B"/>
    <w:rsid w:val="001550AD"/>
    <w:rsid w:val="001558D9"/>
    <w:rsid w:val="00162A8D"/>
    <w:rsid w:val="0016401B"/>
    <w:rsid w:val="00165E3C"/>
    <w:rsid w:val="001665CD"/>
    <w:rsid w:val="00166D19"/>
    <w:rsid w:val="001707AC"/>
    <w:rsid w:val="00173FB5"/>
    <w:rsid w:val="001741A1"/>
    <w:rsid w:val="0017517D"/>
    <w:rsid w:val="001912BC"/>
    <w:rsid w:val="0019196D"/>
    <w:rsid w:val="00192E56"/>
    <w:rsid w:val="00193AE7"/>
    <w:rsid w:val="00194688"/>
    <w:rsid w:val="001947AE"/>
    <w:rsid w:val="0019563A"/>
    <w:rsid w:val="0019769A"/>
    <w:rsid w:val="001A1759"/>
    <w:rsid w:val="001A2871"/>
    <w:rsid w:val="001B0353"/>
    <w:rsid w:val="001B08E1"/>
    <w:rsid w:val="001B0CED"/>
    <w:rsid w:val="001B314F"/>
    <w:rsid w:val="001B6D13"/>
    <w:rsid w:val="001B7886"/>
    <w:rsid w:val="001C0031"/>
    <w:rsid w:val="001C1F54"/>
    <w:rsid w:val="001C1F8B"/>
    <w:rsid w:val="001C3877"/>
    <w:rsid w:val="001C4E99"/>
    <w:rsid w:val="001D11AA"/>
    <w:rsid w:val="001D6AA3"/>
    <w:rsid w:val="001E1391"/>
    <w:rsid w:val="001E27CD"/>
    <w:rsid w:val="001F2BBB"/>
    <w:rsid w:val="001F39D3"/>
    <w:rsid w:val="001F3E75"/>
    <w:rsid w:val="001F62B8"/>
    <w:rsid w:val="001F6736"/>
    <w:rsid w:val="001F6DC9"/>
    <w:rsid w:val="001F7930"/>
    <w:rsid w:val="00200677"/>
    <w:rsid w:val="002023D9"/>
    <w:rsid w:val="00202D52"/>
    <w:rsid w:val="0020352F"/>
    <w:rsid w:val="00206648"/>
    <w:rsid w:val="0021000B"/>
    <w:rsid w:val="00210A0C"/>
    <w:rsid w:val="002111D3"/>
    <w:rsid w:val="00217AA0"/>
    <w:rsid w:val="002217D3"/>
    <w:rsid w:val="002225DD"/>
    <w:rsid w:val="00224AA3"/>
    <w:rsid w:val="00226D71"/>
    <w:rsid w:val="00231ED1"/>
    <w:rsid w:val="002325EF"/>
    <w:rsid w:val="0023482F"/>
    <w:rsid w:val="00234ABD"/>
    <w:rsid w:val="00241DED"/>
    <w:rsid w:val="00241FD0"/>
    <w:rsid w:val="00242624"/>
    <w:rsid w:val="00242FB5"/>
    <w:rsid w:val="0024557E"/>
    <w:rsid w:val="00251FD0"/>
    <w:rsid w:val="00253F36"/>
    <w:rsid w:val="00254D1A"/>
    <w:rsid w:val="00254FB8"/>
    <w:rsid w:val="0026001F"/>
    <w:rsid w:val="002602EB"/>
    <w:rsid w:val="00262267"/>
    <w:rsid w:val="002623E7"/>
    <w:rsid w:val="00266828"/>
    <w:rsid w:val="00266E77"/>
    <w:rsid w:val="00272CFE"/>
    <w:rsid w:val="002759DB"/>
    <w:rsid w:val="00277F83"/>
    <w:rsid w:val="00280AC1"/>
    <w:rsid w:val="00281400"/>
    <w:rsid w:val="00281EAA"/>
    <w:rsid w:val="00284137"/>
    <w:rsid w:val="00285DF8"/>
    <w:rsid w:val="002863D7"/>
    <w:rsid w:val="00294177"/>
    <w:rsid w:val="002970C5"/>
    <w:rsid w:val="00297E01"/>
    <w:rsid w:val="002A0488"/>
    <w:rsid w:val="002B1B65"/>
    <w:rsid w:val="002B3EEC"/>
    <w:rsid w:val="002C1866"/>
    <w:rsid w:val="002C2242"/>
    <w:rsid w:val="002C3C17"/>
    <w:rsid w:val="002C6B65"/>
    <w:rsid w:val="002D12AB"/>
    <w:rsid w:val="002D1F8A"/>
    <w:rsid w:val="002D1FDF"/>
    <w:rsid w:val="002D21B7"/>
    <w:rsid w:val="002D7820"/>
    <w:rsid w:val="002E302E"/>
    <w:rsid w:val="002E48A6"/>
    <w:rsid w:val="002E7817"/>
    <w:rsid w:val="002F0CAB"/>
    <w:rsid w:val="002F123D"/>
    <w:rsid w:val="002F4CE1"/>
    <w:rsid w:val="002F4CE2"/>
    <w:rsid w:val="002F4D05"/>
    <w:rsid w:val="002F4DF0"/>
    <w:rsid w:val="00300F22"/>
    <w:rsid w:val="0030214F"/>
    <w:rsid w:val="003022BE"/>
    <w:rsid w:val="00302E85"/>
    <w:rsid w:val="00304A37"/>
    <w:rsid w:val="00304EFF"/>
    <w:rsid w:val="00310ED4"/>
    <w:rsid w:val="00312301"/>
    <w:rsid w:val="003129DF"/>
    <w:rsid w:val="00313101"/>
    <w:rsid w:val="00313406"/>
    <w:rsid w:val="0031492A"/>
    <w:rsid w:val="003163BC"/>
    <w:rsid w:val="00316C1A"/>
    <w:rsid w:val="00323C73"/>
    <w:rsid w:val="00325FBF"/>
    <w:rsid w:val="003262E0"/>
    <w:rsid w:val="003266A9"/>
    <w:rsid w:val="00331003"/>
    <w:rsid w:val="00331141"/>
    <w:rsid w:val="00331D9B"/>
    <w:rsid w:val="0034121D"/>
    <w:rsid w:val="00344758"/>
    <w:rsid w:val="0034612B"/>
    <w:rsid w:val="003467BF"/>
    <w:rsid w:val="00347142"/>
    <w:rsid w:val="003471FD"/>
    <w:rsid w:val="0035087A"/>
    <w:rsid w:val="00350DB6"/>
    <w:rsid w:val="003525CA"/>
    <w:rsid w:val="003534D1"/>
    <w:rsid w:val="00354D2F"/>
    <w:rsid w:val="00355712"/>
    <w:rsid w:val="00355DC0"/>
    <w:rsid w:val="003565A8"/>
    <w:rsid w:val="003566EA"/>
    <w:rsid w:val="003568D7"/>
    <w:rsid w:val="003614D1"/>
    <w:rsid w:val="00362E2A"/>
    <w:rsid w:val="0036508A"/>
    <w:rsid w:val="00372C79"/>
    <w:rsid w:val="00375DEB"/>
    <w:rsid w:val="00376362"/>
    <w:rsid w:val="003764AD"/>
    <w:rsid w:val="00380F0D"/>
    <w:rsid w:val="00384A62"/>
    <w:rsid w:val="00385A2D"/>
    <w:rsid w:val="00385A96"/>
    <w:rsid w:val="00386958"/>
    <w:rsid w:val="00390988"/>
    <w:rsid w:val="003948A4"/>
    <w:rsid w:val="00394C38"/>
    <w:rsid w:val="00395569"/>
    <w:rsid w:val="0039590B"/>
    <w:rsid w:val="00396EC2"/>
    <w:rsid w:val="003A00F7"/>
    <w:rsid w:val="003A08F6"/>
    <w:rsid w:val="003A467E"/>
    <w:rsid w:val="003A75CF"/>
    <w:rsid w:val="003B2573"/>
    <w:rsid w:val="003B3196"/>
    <w:rsid w:val="003B34BA"/>
    <w:rsid w:val="003B46DA"/>
    <w:rsid w:val="003B7946"/>
    <w:rsid w:val="003C1229"/>
    <w:rsid w:val="003C69F5"/>
    <w:rsid w:val="003D0D0B"/>
    <w:rsid w:val="003D0D49"/>
    <w:rsid w:val="003D3877"/>
    <w:rsid w:val="003D3E7C"/>
    <w:rsid w:val="003D5B9F"/>
    <w:rsid w:val="003E1DA9"/>
    <w:rsid w:val="003E29F7"/>
    <w:rsid w:val="003E4BA8"/>
    <w:rsid w:val="003E658B"/>
    <w:rsid w:val="003F097F"/>
    <w:rsid w:val="003F10F0"/>
    <w:rsid w:val="003F59E9"/>
    <w:rsid w:val="003F61D0"/>
    <w:rsid w:val="003F7CED"/>
    <w:rsid w:val="004012AC"/>
    <w:rsid w:val="004017F4"/>
    <w:rsid w:val="00405261"/>
    <w:rsid w:val="004076C6"/>
    <w:rsid w:val="004114A6"/>
    <w:rsid w:val="00411534"/>
    <w:rsid w:val="0041154C"/>
    <w:rsid w:val="004120E3"/>
    <w:rsid w:val="00414A87"/>
    <w:rsid w:val="00415B10"/>
    <w:rsid w:val="00416DAF"/>
    <w:rsid w:val="00416E25"/>
    <w:rsid w:val="00417774"/>
    <w:rsid w:val="00422417"/>
    <w:rsid w:val="00424233"/>
    <w:rsid w:val="004252E0"/>
    <w:rsid w:val="00426733"/>
    <w:rsid w:val="00426C34"/>
    <w:rsid w:val="0043042B"/>
    <w:rsid w:val="00430ADF"/>
    <w:rsid w:val="00430D56"/>
    <w:rsid w:val="0043243E"/>
    <w:rsid w:val="00433149"/>
    <w:rsid w:val="00435526"/>
    <w:rsid w:val="00435E1C"/>
    <w:rsid w:val="00436F7F"/>
    <w:rsid w:val="0044066C"/>
    <w:rsid w:val="00443114"/>
    <w:rsid w:val="00453BE4"/>
    <w:rsid w:val="0046024F"/>
    <w:rsid w:val="00462191"/>
    <w:rsid w:val="00467390"/>
    <w:rsid w:val="00470DC9"/>
    <w:rsid w:val="00471410"/>
    <w:rsid w:val="00472EFF"/>
    <w:rsid w:val="00474063"/>
    <w:rsid w:val="00474179"/>
    <w:rsid w:val="00476793"/>
    <w:rsid w:val="004768CF"/>
    <w:rsid w:val="004773DE"/>
    <w:rsid w:val="00477A90"/>
    <w:rsid w:val="00480228"/>
    <w:rsid w:val="004839F4"/>
    <w:rsid w:val="00484DEB"/>
    <w:rsid w:val="004902BF"/>
    <w:rsid w:val="00491867"/>
    <w:rsid w:val="004929E1"/>
    <w:rsid w:val="004A08C5"/>
    <w:rsid w:val="004A187B"/>
    <w:rsid w:val="004A1D44"/>
    <w:rsid w:val="004A27A3"/>
    <w:rsid w:val="004A2D3C"/>
    <w:rsid w:val="004A3052"/>
    <w:rsid w:val="004A3C5D"/>
    <w:rsid w:val="004A70EF"/>
    <w:rsid w:val="004A7873"/>
    <w:rsid w:val="004B100F"/>
    <w:rsid w:val="004B31A0"/>
    <w:rsid w:val="004B56EC"/>
    <w:rsid w:val="004C7412"/>
    <w:rsid w:val="004D04BF"/>
    <w:rsid w:val="004D3D9D"/>
    <w:rsid w:val="004D40C5"/>
    <w:rsid w:val="004D53E7"/>
    <w:rsid w:val="004D6E55"/>
    <w:rsid w:val="004D7B5F"/>
    <w:rsid w:val="004E09D9"/>
    <w:rsid w:val="004E0DFF"/>
    <w:rsid w:val="004E1E10"/>
    <w:rsid w:val="004E69DB"/>
    <w:rsid w:val="004E7C5A"/>
    <w:rsid w:val="004F0D95"/>
    <w:rsid w:val="004F1C7C"/>
    <w:rsid w:val="004F2641"/>
    <w:rsid w:val="004F3275"/>
    <w:rsid w:val="004F5A55"/>
    <w:rsid w:val="005015CF"/>
    <w:rsid w:val="00503B00"/>
    <w:rsid w:val="005059FE"/>
    <w:rsid w:val="00505DF8"/>
    <w:rsid w:val="00506D62"/>
    <w:rsid w:val="0051067F"/>
    <w:rsid w:val="00510C08"/>
    <w:rsid w:val="005120E7"/>
    <w:rsid w:val="005123F0"/>
    <w:rsid w:val="00512E17"/>
    <w:rsid w:val="005132FF"/>
    <w:rsid w:val="00513540"/>
    <w:rsid w:val="00513941"/>
    <w:rsid w:val="00517A27"/>
    <w:rsid w:val="0052204C"/>
    <w:rsid w:val="0052216D"/>
    <w:rsid w:val="00523E95"/>
    <w:rsid w:val="0053051D"/>
    <w:rsid w:val="00530CA2"/>
    <w:rsid w:val="00534D96"/>
    <w:rsid w:val="00536185"/>
    <w:rsid w:val="00536455"/>
    <w:rsid w:val="0054131D"/>
    <w:rsid w:val="005512F9"/>
    <w:rsid w:val="005514EF"/>
    <w:rsid w:val="00555879"/>
    <w:rsid w:val="00556026"/>
    <w:rsid w:val="005616BF"/>
    <w:rsid w:val="0056284A"/>
    <w:rsid w:val="00563021"/>
    <w:rsid w:val="00563C24"/>
    <w:rsid w:val="00563E47"/>
    <w:rsid w:val="00564208"/>
    <w:rsid w:val="00565474"/>
    <w:rsid w:val="00570B77"/>
    <w:rsid w:val="005711E3"/>
    <w:rsid w:val="00571CEB"/>
    <w:rsid w:val="00573B04"/>
    <w:rsid w:val="005778E8"/>
    <w:rsid w:val="00580DD9"/>
    <w:rsid w:val="00581231"/>
    <w:rsid w:val="005812E5"/>
    <w:rsid w:val="00581826"/>
    <w:rsid w:val="00581B10"/>
    <w:rsid w:val="005823AD"/>
    <w:rsid w:val="00591951"/>
    <w:rsid w:val="005941DC"/>
    <w:rsid w:val="00594520"/>
    <w:rsid w:val="00594F23"/>
    <w:rsid w:val="00595783"/>
    <w:rsid w:val="00595ECE"/>
    <w:rsid w:val="005A30AE"/>
    <w:rsid w:val="005A52E2"/>
    <w:rsid w:val="005A76F6"/>
    <w:rsid w:val="005B7AF1"/>
    <w:rsid w:val="005C1647"/>
    <w:rsid w:val="005C1795"/>
    <w:rsid w:val="005C47FC"/>
    <w:rsid w:val="005C5D41"/>
    <w:rsid w:val="005D1F34"/>
    <w:rsid w:val="005D3115"/>
    <w:rsid w:val="005D383D"/>
    <w:rsid w:val="005E12B0"/>
    <w:rsid w:val="005E3173"/>
    <w:rsid w:val="005F02CB"/>
    <w:rsid w:val="005F18B3"/>
    <w:rsid w:val="005F3B88"/>
    <w:rsid w:val="005F4EB0"/>
    <w:rsid w:val="005F58D9"/>
    <w:rsid w:val="00603CCE"/>
    <w:rsid w:val="00605166"/>
    <w:rsid w:val="00607B9F"/>
    <w:rsid w:val="0061230E"/>
    <w:rsid w:val="00616336"/>
    <w:rsid w:val="0061712C"/>
    <w:rsid w:val="0061787D"/>
    <w:rsid w:val="00617B9E"/>
    <w:rsid w:val="00623B20"/>
    <w:rsid w:val="006257E3"/>
    <w:rsid w:val="00630A76"/>
    <w:rsid w:val="00635042"/>
    <w:rsid w:val="00637500"/>
    <w:rsid w:val="00643E46"/>
    <w:rsid w:val="0064535E"/>
    <w:rsid w:val="00646003"/>
    <w:rsid w:val="00650560"/>
    <w:rsid w:val="00654793"/>
    <w:rsid w:val="00655A04"/>
    <w:rsid w:val="00655BDF"/>
    <w:rsid w:val="00656509"/>
    <w:rsid w:val="006571A3"/>
    <w:rsid w:val="00660B00"/>
    <w:rsid w:val="00663E4C"/>
    <w:rsid w:val="00664400"/>
    <w:rsid w:val="00666C0D"/>
    <w:rsid w:val="0066792D"/>
    <w:rsid w:val="006722C0"/>
    <w:rsid w:val="006730B6"/>
    <w:rsid w:val="00676B2C"/>
    <w:rsid w:val="006776A9"/>
    <w:rsid w:val="00681BBE"/>
    <w:rsid w:val="00682E4A"/>
    <w:rsid w:val="006855A5"/>
    <w:rsid w:val="006862AB"/>
    <w:rsid w:val="006868D2"/>
    <w:rsid w:val="006875E8"/>
    <w:rsid w:val="00695E7A"/>
    <w:rsid w:val="006A287A"/>
    <w:rsid w:val="006A3580"/>
    <w:rsid w:val="006A3DA2"/>
    <w:rsid w:val="006A6BB3"/>
    <w:rsid w:val="006A6BD9"/>
    <w:rsid w:val="006A7875"/>
    <w:rsid w:val="006B137C"/>
    <w:rsid w:val="006B541E"/>
    <w:rsid w:val="006C1B94"/>
    <w:rsid w:val="006C2BCB"/>
    <w:rsid w:val="006C5474"/>
    <w:rsid w:val="006C6297"/>
    <w:rsid w:val="006C6502"/>
    <w:rsid w:val="006D0CC1"/>
    <w:rsid w:val="006D1DAD"/>
    <w:rsid w:val="006D5EE5"/>
    <w:rsid w:val="006D6ED1"/>
    <w:rsid w:val="006E037B"/>
    <w:rsid w:val="006E14DE"/>
    <w:rsid w:val="006E2F0B"/>
    <w:rsid w:val="006E380B"/>
    <w:rsid w:val="006E6722"/>
    <w:rsid w:val="006E6DBC"/>
    <w:rsid w:val="006F00B0"/>
    <w:rsid w:val="006F12E2"/>
    <w:rsid w:val="006F19B4"/>
    <w:rsid w:val="006F285B"/>
    <w:rsid w:val="006F55D7"/>
    <w:rsid w:val="006F7704"/>
    <w:rsid w:val="006F7CB5"/>
    <w:rsid w:val="007007D2"/>
    <w:rsid w:val="0070255F"/>
    <w:rsid w:val="00714ECD"/>
    <w:rsid w:val="00722B7E"/>
    <w:rsid w:val="00727583"/>
    <w:rsid w:val="0073086D"/>
    <w:rsid w:val="00734035"/>
    <w:rsid w:val="00734691"/>
    <w:rsid w:val="00743727"/>
    <w:rsid w:val="00744567"/>
    <w:rsid w:val="0074590E"/>
    <w:rsid w:val="00753752"/>
    <w:rsid w:val="00753FDF"/>
    <w:rsid w:val="007540BF"/>
    <w:rsid w:val="00756C1F"/>
    <w:rsid w:val="00760818"/>
    <w:rsid w:val="00760FDC"/>
    <w:rsid w:val="00761311"/>
    <w:rsid w:val="00761778"/>
    <w:rsid w:val="00770336"/>
    <w:rsid w:val="00770DCB"/>
    <w:rsid w:val="00771496"/>
    <w:rsid w:val="00772B60"/>
    <w:rsid w:val="007737DC"/>
    <w:rsid w:val="00775485"/>
    <w:rsid w:val="00780C49"/>
    <w:rsid w:val="00781709"/>
    <w:rsid w:val="00783FE9"/>
    <w:rsid w:val="00785082"/>
    <w:rsid w:val="00785BEB"/>
    <w:rsid w:val="00786C88"/>
    <w:rsid w:val="007875D4"/>
    <w:rsid w:val="0079243A"/>
    <w:rsid w:val="0079288A"/>
    <w:rsid w:val="007931F7"/>
    <w:rsid w:val="007943D2"/>
    <w:rsid w:val="007966D9"/>
    <w:rsid w:val="007A3B97"/>
    <w:rsid w:val="007A4ED4"/>
    <w:rsid w:val="007B3A0E"/>
    <w:rsid w:val="007B4D5B"/>
    <w:rsid w:val="007C08F0"/>
    <w:rsid w:val="007C15EA"/>
    <w:rsid w:val="007C463E"/>
    <w:rsid w:val="007C4894"/>
    <w:rsid w:val="007C4A3D"/>
    <w:rsid w:val="007D0BC3"/>
    <w:rsid w:val="007E0C5C"/>
    <w:rsid w:val="007E2181"/>
    <w:rsid w:val="007E3E84"/>
    <w:rsid w:val="007E5B88"/>
    <w:rsid w:val="007E6D1B"/>
    <w:rsid w:val="007F0D0B"/>
    <w:rsid w:val="007F13DD"/>
    <w:rsid w:val="007F2A54"/>
    <w:rsid w:val="007F31E1"/>
    <w:rsid w:val="008007A8"/>
    <w:rsid w:val="008042D9"/>
    <w:rsid w:val="00806411"/>
    <w:rsid w:val="00806E26"/>
    <w:rsid w:val="00807B98"/>
    <w:rsid w:val="00813AB6"/>
    <w:rsid w:val="00814FC0"/>
    <w:rsid w:val="00815B0C"/>
    <w:rsid w:val="00821E23"/>
    <w:rsid w:val="00822B2A"/>
    <w:rsid w:val="00824537"/>
    <w:rsid w:val="00825CE7"/>
    <w:rsid w:val="00825EE0"/>
    <w:rsid w:val="00826CF8"/>
    <w:rsid w:val="0083249C"/>
    <w:rsid w:val="00833968"/>
    <w:rsid w:val="008368EA"/>
    <w:rsid w:val="00840F41"/>
    <w:rsid w:val="00841C75"/>
    <w:rsid w:val="00842D75"/>
    <w:rsid w:val="00842FAC"/>
    <w:rsid w:val="008455DD"/>
    <w:rsid w:val="00852E56"/>
    <w:rsid w:val="00860F1D"/>
    <w:rsid w:val="008610A2"/>
    <w:rsid w:val="008615F4"/>
    <w:rsid w:val="00861C5B"/>
    <w:rsid w:val="00862302"/>
    <w:rsid w:val="0086315E"/>
    <w:rsid w:val="00864FA8"/>
    <w:rsid w:val="008709E2"/>
    <w:rsid w:val="00871593"/>
    <w:rsid w:val="008724DE"/>
    <w:rsid w:val="00881BC7"/>
    <w:rsid w:val="008927E0"/>
    <w:rsid w:val="00892DC7"/>
    <w:rsid w:val="008960E0"/>
    <w:rsid w:val="008969AD"/>
    <w:rsid w:val="0089743C"/>
    <w:rsid w:val="0089799B"/>
    <w:rsid w:val="008A08E5"/>
    <w:rsid w:val="008A2F2D"/>
    <w:rsid w:val="008A37B7"/>
    <w:rsid w:val="008A3D57"/>
    <w:rsid w:val="008A45EC"/>
    <w:rsid w:val="008A5BFB"/>
    <w:rsid w:val="008B23BC"/>
    <w:rsid w:val="008B30F3"/>
    <w:rsid w:val="008B539A"/>
    <w:rsid w:val="008B5461"/>
    <w:rsid w:val="008C0A6B"/>
    <w:rsid w:val="008C28AB"/>
    <w:rsid w:val="008C55A8"/>
    <w:rsid w:val="008C6D1F"/>
    <w:rsid w:val="008D2AAB"/>
    <w:rsid w:val="008D4949"/>
    <w:rsid w:val="008D5D0D"/>
    <w:rsid w:val="008E37EA"/>
    <w:rsid w:val="008E39DC"/>
    <w:rsid w:val="008E3D60"/>
    <w:rsid w:val="008E3F4C"/>
    <w:rsid w:val="008E4BFC"/>
    <w:rsid w:val="008E4F9E"/>
    <w:rsid w:val="008E6C1B"/>
    <w:rsid w:val="008F1E8C"/>
    <w:rsid w:val="008F2CC9"/>
    <w:rsid w:val="008F6888"/>
    <w:rsid w:val="008F6B7B"/>
    <w:rsid w:val="0090165F"/>
    <w:rsid w:val="00901B82"/>
    <w:rsid w:val="009052A0"/>
    <w:rsid w:val="009115DC"/>
    <w:rsid w:val="00912B09"/>
    <w:rsid w:val="00915DF7"/>
    <w:rsid w:val="00920E7F"/>
    <w:rsid w:val="009215F7"/>
    <w:rsid w:val="0092180E"/>
    <w:rsid w:val="00921E2A"/>
    <w:rsid w:val="009221CC"/>
    <w:rsid w:val="009238DB"/>
    <w:rsid w:val="00924FDE"/>
    <w:rsid w:val="00925490"/>
    <w:rsid w:val="00941939"/>
    <w:rsid w:val="00946AC9"/>
    <w:rsid w:val="00953820"/>
    <w:rsid w:val="00955EDC"/>
    <w:rsid w:val="009613AD"/>
    <w:rsid w:val="00962085"/>
    <w:rsid w:val="00963F00"/>
    <w:rsid w:val="009640BE"/>
    <w:rsid w:val="009655B9"/>
    <w:rsid w:val="00965871"/>
    <w:rsid w:val="00965C9C"/>
    <w:rsid w:val="00966C2F"/>
    <w:rsid w:val="00967BC7"/>
    <w:rsid w:val="009722EA"/>
    <w:rsid w:val="0097512B"/>
    <w:rsid w:val="00976C99"/>
    <w:rsid w:val="00977164"/>
    <w:rsid w:val="009813F2"/>
    <w:rsid w:val="00983E7E"/>
    <w:rsid w:val="00984DE7"/>
    <w:rsid w:val="00987C45"/>
    <w:rsid w:val="0099029B"/>
    <w:rsid w:val="009949B8"/>
    <w:rsid w:val="0099567B"/>
    <w:rsid w:val="009962BB"/>
    <w:rsid w:val="00997314"/>
    <w:rsid w:val="00997467"/>
    <w:rsid w:val="009A25FB"/>
    <w:rsid w:val="009A46C7"/>
    <w:rsid w:val="009A617C"/>
    <w:rsid w:val="009A617E"/>
    <w:rsid w:val="009A618C"/>
    <w:rsid w:val="009B117E"/>
    <w:rsid w:val="009B2EA7"/>
    <w:rsid w:val="009B5B98"/>
    <w:rsid w:val="009B62ED"/>
    <w:rsid w:val="009B63E2"/>
    <w:rsid w:val="009B706F"/>
    <w:rsid w:val="009C48D9"/>
    <w:rsid w:val="009C51B5"/>
    <w:rsid w:val="009C6110"/>
    <w:rsid w:val="009C6BD2"/>
    <w:rsid w:val="009D67F6"/>
    <w:rsid w:val="009E0FE1"/>
    <w:rsid w:val="009E1346"/>
    <w:rsid w:val="009E61B6"/>
    <w:rsid w:val="00A000DB"/>
    <w:rsid w:val="00A00111"/>
    <w:rsid w:val="00A0406E"/>
    <w:rsid w:val="00A04C12"/>
    <w:rsid w:val="00A06595"/>
    <w:rsid w:val="00A1044D"/>
    <w:rsid w:val="00A10FE5"/>
    <w:rsid w:val="00A11307"/>
    <w:rsid w:val="00A12D88"/>
    <w:rsid w:val="00A13081"/>
    <w:rsid w:val="00A13AF3"/>
    <w:rsid w:val="00A163DE"/>
    <w:rsid w:val="00A16D38"/>
    <w:rsid w:val="00A202C7"/>
    <w:rsid w:val="00A207CC"/>
    <w:rsid w:val="00A21388"/>
    <w:rsid w:val="00A25CC9"/>
    <w:rsid w:val="00A26EEC"/>
    <w:rsid w:val="00A2770E"/>
    <w:rsid w:val="00A27791"/>
    <w:rsid w:val="00A324C6"/>
    <w:rsid w:val="00A3313B"/>
    <w:rsid w:val="00A37F65"/>
    <w:rsid w:val="00A404BB"/>
    <w:rsid w:val="00A41355"/>
    <w:rsid w:val="00A4264F"/>
    <w:rsid w:val="00A43B92"/>
    <w:rsid w:val="00A4554D"/>
    <w:rsid w:val="00A4711E"/>
    <w:rsid w:val="00A5332D"/>
    <w:rsid w:val="00A54251"/>
    <w:rsid w:val="00A54AC3"/>
    <w:rsid w:val="00A577F4"/>
    <w:rsid w:val="00A6179E"/>
    <w:rsid w:val="00A62DBB"/>
    <w:rsid w:val="00A63488"/>
    <w:rsid w:val="00A64316"/>
    <w:rsid w:val="00A670A1"/>
    <w:rsid w:val="00A706A4"/>
    <w:rsid w:val="00A73150"/>
    <w:rsid w:val="00A74406"/>
    <w:rsid w:val="00A75A07"/>
    <w:rsid w:val="00A7781F"/>
    <w:rsid w:val="00A804D9"/>
    <w:rsid w:val="00A92F92"/>
    <w:rsid w:val="00A96892"/>
    <w:rsid w:val="00AA0F1B"/>
    <w:rsid w:val="00AA2051"/>
    <w:rsid w:val="00AA6D63"/>
    <w:rsid w:val="00AA7B02"/>
    <w:rsid w:val="00AC1A4B"/>
    <w:rsid w:val="00AC1D9A"/>
    <w:rsid w:val="00AC1F80"/>
    <w:rsid w:val="00AD2273"/>
    <w:rsid w:val="00AE3CF5"/>
    <w:rsid w:val="00AE43B5"/>
    <w:rsid w:val="00AE590D"/>
    <w:rsid w:val="00AF40D9"/>
    <w:rsid w:val="00AF744C"/>
    <w:rsid w:val="00B01389"/>
    <w:rsid w:val="00B0435E"/>
    <w:rsid w:val="00B057B3"/>
    <w:rsid w:val="00B07BF6"/>
    <w:rsid w:val="00B13988"/>
    <w:rsid w:val="00B14C74"/>
    <w:rsid w:val="00B21EB3"/>
    <w:rsid w:val="00B24B1D"/>
    <w:rsid w:val="00B26347"/>
    <w:rsid w:val="00B27036"/>
    <w:rsid w:val="00B275D4"/>
    <w:rsid w:val="00B2760B"/>
    <w:rsid w:val="00B277E0"/>
    <w:rsid w:val="00B33824"/>
    <w:rsid w:val="00B34946"/>
    <w:rsid w:val="00B360B3"/>
    <w:rsid w:val="00B364FD"/>
    <w:rsid w:val="00B40801"/>
    <w:rsid w:val="00B45F0A"/>
    <w:rsid w:val="00B519FD"/>
    <w:rsid w:val="00B520BC"/>
    <w:rsid w:val="00B52F7E"/>
    <w:rsid w:val="00B56881"/>
    <w:rsid w:val="00B5762D"/>
    <w:rsid w:val="00B618E4"/>
    <w:rsid w:val="00B61B24"/>
    <w:rsid w:val="00B63D24"/>
    <w:rsid w:val="00B6462E"/>
    <w:rsid w:val="00B67539"/>
    <w:rsid w:val="00B701BD"/>
    <w:rsid w:val="00B707FE"/>
    <w:rsid w:val="00B71307"/>
    <w:rsid w:val="00B72332"/>
    <w:rsid w:val="00B77C82"/>
    <w:rsid w:val="00B83AC7"/>
    <w:rsid w:val="00B848E2"/>
    <w:rsid w:val="00B906C1"/>
    <w:rsid w:val="00B924E6"/>
    <w:rsid w:val="00BA0994"/>
    <w:rsid w:val="00BA0EBD"/>
    <w:rsid w:val="00BA158D"/>
    <w:rsid w:val="00BA262D"/>
    <w:rsid w:val="00BA351F"/>
    <w:rsid w:val="00BA5698"/>
    <w:rsid w:val="00BA591D"/>
    <w:rsid w:val="00BA7BD5"/>
    <w:rsid w:val="00BB0383"/>
    <w:rsid w:val="00BB268F"/>
    <w:rsid w:val="00BB5B72"/>
    <w:rsid w:val="00BB7D17"/>
    <w:rsid w:val="00BC2095"/>
    <w:rsid w:val="00BC6480"/>
    <w:rsid w:val="00BC795B"/>
    <w:rsid w:val="00BC79EB"/>
    <w:rsid w:val="00BD0ABB"/>
    <w:rsid w:val="00BD136D"/>
    <w:rsid w:val="00BD61CE"/>
    <w:rsid w:val="00BD7FCF"/>
    <w:rsid w:val="00BE1609"/>
    <w:rsid w:val="00BE20C6"/>
    <w:rsid w:val="00BE26A1"/>
    <w:rsid w:val="00BE5FF3"/>
    <w:rsid w:val="00BE77F8"/>
    <w:rsid w:val="00BF24F3"/>
    <w:rsid w:val="00BF54CE"/>
    <w:rsid w:val="00BF6F9E"/>
    <w:rsid w:val="00BF6FE5"/>
    <w:rsid w:val="00BF7165"/>
    <w:rsid w:val="00C03C13"/>
    <w:rsid w:val="00C054C4"/>
    <w:rsid w:val="00C05E95"/>
    <w:rsid w:val="00C131BB"/>
    <w:rsid w:val="00C14F24"/>
    <w:rsid w:val="00C154C4"/>
    <w:rsid w:val="00C17B61"/>
    <w:rsid w:val="00C20B70"/>
    <w:rsid w:val="00C23C0E"/>
    <w:rsid w:val="00C25BDA"/>
    <w:rsid w:val="00C261F3"/>
    <w:rsid w:val="00C26EC7"/>
    <w:rsid w:val="00C32B10"/>
    <w:rsid w:val="00C33104"/>
    <w:rsid w:val="00C3443D"/>
    <w:rsid w:val="00C3743A"/>
    <w:rsid w:val="00C41375"/>
    <w:rsid w:val="00C4407E"/>
    <w:rsid w:val="00C46D9D"/>
    <w:rsid w:val="00C50BF3"/>
    <w:rsid w:val="00C52ADA"/>
    <w:rsid w:val="00C52E2D"/>
    <w:rsid w:val="00C531F6"/>
    <w:rsid w:val="00C538FC"/>
    <w:rsid w:val="00C6025E"/>
    <w:rsid w:val="00C706D9"/>
    <w:rsid w:val="00C75B01"/>
    <w:rsid w:val="00C7633D"/>
    <w:rsid w:val="00C81FD8"/>
    <w:rsid w:val="00C854D4"/>
    <w:rsid w:val="00C90556"/>
    <w:rsid w:val="00C95203"/>
    <w:rsid w:val="00CA0D78"/>
    <w:rsid w:val="00CA1901"/>
    <w:rsid w:val="00CA2D10"/>
    <w:rsid w:val="00CA4855"/>
    <w:rsid w:val="00CA7BA0"/>
    <w:rsid w:val="00CB16EA"/>
    <w:rsid w:val="00CB24FE"/>
    <w:rsid w:val="00CB2CFD"/>
    <w:rsid w:val="00CB429D"/>
    <w:rsid w:val="00CB4A0F"/>
    <w:rsid w:val="00CB66A6"/>
    <w:rsid w:val="00CC3843"/>
    <w:rsid w:val="00CC464D"/>
    <w:rsid w:val="00CC502E"/>
    <w:rsid w:val="00CC6446"/>
    <w:rsid w:val="00CC7B4D"/>
    <w:rsid w:val="00CD1B9C"/>
    <w:rsid w:val="00CD58FD"/>
    <w:rsid w:val="00CD6D1D"/>
    <w:rsid w:val="00CE1A80"/>
    <w:rsid w:val="00CE2788"/>
    <w:rsid w:val="00CE3007"/>
    <w:rsid w:val="00CE3404"/>
    <w:rsid w:val="00CE7699"/>
    <w:rsid w:val="00CF0AA5"/>
    <w:rsid w:val="00CF1979"/>
    <w:rsid w:val="00CF356A"/>
    <w:rsid w:val="00CF6E63"/>
    <w:rsid w:val="00D01D9E"/>
    <w:rsid w:val="00D01FF3"/>
    <w:rsid w:val="00D03D64"/>
    <w:rsid w:val="00D04ADA"/>
    <w:rsid w:val="00D06D79"/>
    <w:rsid w:val="00D109EA"/>
    <w:rsid w:val="00D121DF"/>
    <w:rsid w:val="00D132F1"/>
    <w:rsid w:val="00D140A0"/>
    <w:rsid w:val="00D154C6"/>
    <w:rsid w:val="00D205F9"/>
    <w:rsid w:val="00D21613"/>
    <w:rsid w:val="00D21913"/>
    <w:rsid w:val="00D2397B"/>
    <w:rsid w:val="00D241BF"/>
    <w:rsid w:val="00D25A73"/>
    <w:rsid w:val="00D2607F"/>
    <w:rsid w:val="00D26751"/>
    <w:rsid w:val="00D30A61"/>
    <w:rsid w:val="00D32C35"/>
    <w:rsid w:val="00D343FA"/>
    <w:rsid w:val="00D372C3"/>
    <w:rsid w:val="00D40A8F"/>
    <w:rsid w:val="00D40C3C"/>
    <w:rsid w:val="00D418FF"/>
    <w:rsid w:val="00D469F6"/>
    <w:rsid w:val="00D47F11"/>
    <w:rsid w:val="00D5127A"/>
    <w:rsid w:val="00D546F8"/>
    <w:rsid w:val="00D5618C"/>
    <w:rsid w:val="00D56310"/>
    <w:rsid w:val="00D60BCC"/>
    <w:rsid w:val="00D62961"/>
    <w:rsid w:val="00D636E8"/>
    <w:rsid w:val="00D65397"/>
    <w:rsid w:val="00D65494"/>
    <w:rsid w:val="00D65C76"/>
    <w:rsid w:val="00D7033E"/>
    <w:rsid w:val="00D72569"/>
    <w:rsid w:val="00D729AD"/>
    <w:rsid w:val="00D734C7"/>
    <w:rsid w:val="00D754E1"/>
    <w:rsid w:val="00D777C8"/>
    <w:rsid w:val="00D77AA7"/>
    <w:rsid w:val="00D813B2"/>
    <w:rsid w:val="00D81BE7"/>
    <w:rsid w:val="00D83248"/>
    <w:rsid w:val="00D939DA"/>
    <w:rsid w:val="00D96CA9"/>
    <w:rsid w:val="00DA0C58"/>
    <w:rsid w:val="00DA226F"/>
    <w:rsid w:val="00DA2F73"/>
    <w:rsid w:val="00DA794A"/>
    <w:rsid w:val="00DB4E73"/>
    <w:rsid w:val="00DB7766"/>
    <w:rsid w:val="00DB7FEE"/>
    <w:rsid w:val="00DC3AAC"/>
    <w:rsid w:val="00DC462F"/>
    <w:rsid w:val="00DD6A21"/>
    <w:rsid w:val="00DE2136"/>
    <w:rsid w:val="00DE60CA"/>
    <w:rsid w:val="00DE7FC8"/>
    <w:rsid w:val="00DF0007"/>
    <w:rsid w:val="00DF11BB"/>
    <w:rsid w:val="00DF6480"/>
    <w:rsid w:val="00DF68CA"/>
    <w:rsid w:val="00DF6DCC"/>
    <w:rsid w:val="00DF72E7"/>
    <w:rsid w:val="00E05282"/>
    <w:rsid w:val="00E07B80"/>
    <w:rsid w:val="00E1024D"/>
    <w:rsid w:val="00E1571B"/>
    <w:rsid w:val="00E21008"/>
    <w:rsid w:val="00E223A6"/>
    <w:rsid w:val="00E22673"/>
    <w:rsid w:val="00E24F77"/>
    <w:rsid w:val="00E24FA3"/>
    <w:rsid w:val="00E26B28"/>
    <w:rsid w:val="00E26F02"/>
    <w:rsid w:val="00E301DA"/>
    <w:rsid w:val="00E31465"/>
    <w:rsid w:val="00E328CD"/>
    <w:rsid w:val="00E36B95"/>
    <w:rsid w:val="00E3743D"/>
    <w:rsid w:val="00E4003F"/>
    <w:rsid w:val="00E4049C"/>
    <w:rsid w:val="00E4163F"/>
    <w:rsid w:val="00E42805"/>
    <w:rsid w:val="00E458F6"/>
    <w:rsid w:val="00E45954"/>
    <w:rsid w:val="00E51D7A"/>
    <w:rsid w:val="00E5350A"/>
    <w:rsid w:val="00E56855"/>
    <w:rsid w:val="00E579AA"/>
    <w:rsid w:val="00E627D6"/>
    <w:rsid w:val="00E646EC"/>
    <w:rsid w:val="00E659DD"/>
    <w:rsid w:val="00E67A83"/>
    <w:rsid w:val="00E71633"/>
    <w:rsid w:val="00E72D91"/>
    <w:rsid w:val="00E73EF0"/>
    <w:rsid w:val="00E76A76"/>
    <w:rsid w:val="00E865E6"/>
    <w:rsid w:val="00E87191"/>
    <w:rsid w:val="00E90321"/>
    <w:rsid w:val="00E928C0"/>
    <w:rsid w:val="00E93093"/>
    <w:rsid w:val="00E9331F"/>
    <w:rsid w:val="00E94EA2"/>
    <w:rsid w:val="00E95742"/>
    <w:rsid w:val="00E96809"/>
    <w:rsid w:val="00EA44D9"/>
    <w:rsid w:val="00EA5847"/>
    <w:rsid w:val="00EA5BCE"/>
    <w:rsid w:val="00EA7A5D"/>
    <w:rsid w:val="00EB2BD1"/>
    <w:rsid w:val="00EB37F8"/>
    <w:rsid w:val="00EB4C9F"/>
    <w:rsid w:val="00EB6A76"/>
    <w:rsid w:val="00EB6B44"/>
    <w:rsid w:val="00EB72F6"/>
    <w:rsid w:val="00EC0C3B"/>
    <w:rsid w:val="00EC37B9"/>
    <w:rsid w:val="00EC7DD2"/>
    <w:rsid w:val="00ED0E86"/>
    <w:rsid w:val="00ED2F06"/>
    <w:rsid w:val="00ED2F7F"/>
    <w:rsid w:val="00EE0425"/>
    <w:rsid w:val="00EE0EEF"/>
    <w:rsid w:val="00EE3949"/>
    <w:rsid w:val="00EE3996"/>
    <w:rsid w:val="00EE4202"/>
    <w:rsid w:val="00EF4F36"/>
    <w:rsid w:val="00EF6A01"/>
    <w:rsid w:val="00EF74C7"/>
    <w:rsid w:val="00F000E8"/>
    <w:rsid w:val="00F002FD"/>
    <w:rsid w:val="00F05C71"/>
    <w:rsid w:val="00F05CE2"/>
    <w:rsid w:val="00F062FF"/>
    <w:rsid w:val="00F10E78"/>
    <w:rsid w:val="00F1395C"/>
    <w:rsid w:val="00F14C6D"/>
    <w:rsid w:val="00F14FC5"/>
    <w:rsid w:val="00F15B75"/>
    <w:rsid w:val="00F160FB"/>
    <w:rsid w:val="00F1646E"/>
    <w:rsid w:val="00F2021F"/>
    <w:rsid w:val="00F203BC"/>
    <w:rsid w:val="00F2419C"/>
    <w:rsid w:val="00F363D0"/>
    <w:rsid w:val="00F36F4C"/>
    <w:rsid w:val="00F377EE"/>
    <w:rsid w:val="00F40BC0"/>
    <w:rsid w:val="00F51A6F"/>
    <w:rsid w:val="00F5230B"/>
    <w:rsid w:val="00F55D8C"/>
    <w:rsid w:val="00F562F1"/>
    <w:rsid w:val="00F56C53"/>
    <w:rsid w:val="00F57A80"/>
    <w:rsid w:val="00F611A0"/>
    <w:rsid w:val="00F61E67"/>
    <w:rsid w:val="00F63AF0"/>
    <w:rsid w:val="00F64213"/>
    <w:rsid w:val="00F668BF"/>
    <w:rsid w:val="00F70CD6"/>
    <w:rsid w:val="00F72088"/>
    <w:rsid w:val="00F720DD"/>
    <w:rsid w:val="00F72B99"/>
    <w:rsid w:val="00F73DCF"/>
    <w:rsid w:val="00F74881"/>
    <w:rsid w:val="00F7557A"/>
    <w:rsid w:val="00F759BA"/>
    <w:rsid w:val="00F803BF"/>
    <w:rsid w:val="00F85C74"/>
    <w:rsid w:val="00F8659F"/>
    <w:rsid w:val="00F937EE"/>
    <w:rsid w:val="00F95C7B"/>
    <w:rsid w:val="00F968C5"/>
    <w:rsid w:val="00FA12E1"/>
    <w:rsid w:val="00FA176B"/>
    <w:rsid w:val="00FA404C"/>
    <w:rsid w:val="00FA40D4"/>
    <w:rsid w:val="00FA4916"/>
    <w:rsid w:val="00FA79B0"/>
    <w:rsid w:val="00FB4183"/>
    <w:rsid w:val="00FC0FF0"/>
    <w:rsid w:val="00FC6C0E"/>
    <w:rsid w:val="00FC73D6"/>
    <w:rsid w:val="00FD01B5"/>
    <w:rsid w:val="00FD02A4"/>
    <w:rsid w:val="00FD2E37"/>
    <w:rsid w:val="00FE2EBD"/>
    <w:rsid w:val="00FF05A0"/>
    <w:rsid w:val="00FF0788"/>
    <w:rsid w:val="00FF5D80"/>
    <w:rsid w:val="00FF6418"/>
    <w:rsid w:val="00FF6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paragraph" w:customStyle="1" w:styleId="Default">
    <w:name w:val="Default"/>
    <w:rsid w:val="00B275D4"/>
    <w:pPr>
      <w:autoSpaceDE w:val="0"/>
      <w:autoSpaceDN w:val="0"/>
      <w:adjustRightInd w:val="0"/>
    </w:pPr>
    <w:rPr>
      <w:color w:val="000000"/>
      <w:sz w:val="24"/>
      <w:szCs w:val="24"/>
    </w:rPr>
  </w:style>
  <w:style w:type="paragraph" w:customStyle="1" w:styleId="Pa20">
    <w:name w:val="Pa20"/>
    <w:basedOn w:val="Default"/>
    <w:next w:val="Default"/>
    <w:uiPriority w:val="99"/>
    <w:rsid w:val="00D72569"/>
    <w:pPr>
      <w:spacing w:line="181" w:lineRule="atLeast"/>
    </w:pPr>
    <w:rPr>
      <w:rFonts w:ascii="News Gothic Std" w:hAnsi="News Gothic Std"/>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paragraph" w:customStyle="1" w:styleId="Default">
    <w:name w:val="Default"/>
    <w:rsid w:val="00B275D4"/>
    <w:pPr>
      <w:autoSpaceDE w:val="0"/>
      <w:autoSpaceDN w:val="0"/>
      <w:adjustRightInd w:val="0"/>
    </w:pPr>
    <w:rPr>
      <w:color w:val="000000"/>
      <w:sz w:val="24"/>
      <w:szCs w:val="24"/>
    </w:rPr>
  </w:style>
  <w:style w:type="paragraph" w:customStyle="1" w:styleId="Pa20">
    <w:name w:val="Pa20"/>
    <w:basedOn w:val="Default"/>
    <w:next w:val="Default"/>
    <w:uiPriority w:val="99"/>
    <w:rsid w:val="00D72569"/>
    <w:pPr>
      <w:spacing w:line="181" w:lineRule="atLeast"/>
    </w:pPr>
    <w:rPr>
      <w:rFonts w:ascii="News Gothic Std" w:hAnsi="News Gothic St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439375149">
      <w:bodyDiv w:val="1"/>
      <w:marLeft w:val="0"/>
      <w:marRight w:val="0"/>
      <w:marTop w:val="0"/>
      <w:marBottom w:val="0"/>
      <w:divBdr>
        <w:top w:val="none" w:sz="0" w:space="0" w:color="auto"/>
        <w:left w:val="none" w:sz="0" w:space="0" w:color="auto"/>
        <w:bottom w:val="none" w:sz="0" w:space="0" w:color="auto"/>
        <w:right w:val="none" w:sz="0" w:space="0" w:color="auto"/>
      </w:divBdr>
      <w:divsChild>
        <w:div w:id="821626869">
          <w:marLeft w:val="0"/>
          <w:marRight w:val="0"/>
          <w:marTop w:val="0"/>
          <w:marBottom w:val="0"/>
          <w:divBdr>
            <w:top w:val="none" w:sz="0" w:space="0" w:color="auto"/>
            <w:left w:val="none" w:sz="0" w:space="0" w:color="auto"/>
            <w:bottom w:val="none" w:sz="0" w:space="0" w:color="auto"/>
            <w:right w:val="none" w:sz="0" w:space="0" w:color="auto"/>
          </w:divBdr>
          <w:divsChild>
            <w:div w:id="2029865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46478828">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44140161">
      <w:bodyDiv w:val="1"/>
      <w:marLeft w:val="0"/>
      <w:marRight w:val="0"/>
      <w:marTop w:val="0"/>
      <w:marBottom w:val="0"/>
      <w:divBdr>
        <w:top w:val="none" w:sz="0" w:space="0" w:color="auto"/>
        <w:left w:val="none" w:sz="0" w:space="0" w:color="auto"/>
        <w:bottom w:val="none" w:sz="0" w:space="0" w:color="auto"/>
        <w:right w:val="none" w:sz="0" w:space="0" w:color="auto"/>
      </w:divBdr>
    </w:div>
    <w:div w:id="15339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I:\Submissions%20to%20Committees%20etc\Counter-Terrorism%20Legislation%20Amendment%20Bill%20(No.1)%202014\AHRC%20Submission%20-%20Inquiry%20into%20the%20Counter-Terrorism%20Legislation%20Amendment%20Bill%20(No.1).doc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coagctreview.gov.au/Report/Pages/default.aspx" TargetMode="External"/><Relationship Id="rId3" Type="http://schemas.openxmlformats.org/officeDocument/2006/relationships/hyperlink" Target="https://www.humanrights.gov.au/submission-anti-terrorism-bill-no-2-2005" TargetMode="External"/><Relationship Id="rId7" Type="http://schemas.openxmlformats.org/officeDocument/2006/relationships/hyperlink" Target="http://www.coagctreview.gov.au/Report/Pages/default.aspx" TargetMode="External"/><Relationship Id="rId2" Type="http://schemas.openxmlformats.org/officeDocument/2006/relationships/hyperlink" Target="https://www.humanrights.gov.au/review-counter-terrorism-and-national-security-legislation" TargetMode="External"/><Relationship Id="rId1" Type="http://schemas.openxmlformats.org/officeDocument/2006/relationships/hyperlink" Target="https://www.humanrights.gov.au/coag-review-counter-terrorism-legislation" TargetMode="External"/><Relationship Id="rId6" Type="http://schemas.openxmlformats.org/officeDocument/2006/relationships/hyperlink" Target="http://www.dpmc.gov.au/INSLM/index.cfm" TargetMode="External"/><Relationship Id="rId5" Type="http://schemas.openxmlformats.org/officeDocument/2006/relationships/hyperlink" Target="http://www.dpmc.gov.au/INSLM/index.cfm" TargetMode="External"/><Relationship Id="rId4" Type="http://schemas.openxmlformats.org/officeDocument/2006/relationships/hyperlink" Target="http://www.dpmc.gov.au/INSLM/index.cfm" TargetMode="External"/><Relationship Id="rId9" Type="http://schemas.openxmlformats.org/officeDocument/2006/relationships/hyperlink" Target="https://www.humanrights.gov.au/review-counter-terrorism-and-national-security-legis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4760-7A13-4901-AB9E-CB65A2CD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Pages>
  <Words>1615</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11079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John Howell</dc:creator>
  <cp:lastModifiedBy>Bronwyn Byrnes</cp:lastModifiedBy>
  <cp:revision>98</cp:revision>
  <cp:lastPrinted>2014-11-10T21:58:00Z</cp:lastPrinted>
  <dcterms:created xsi:type="dcterms:W3CDTF">2014-11-04T01:11:00Z</dcterms:created>
  <dcterms:modified xsi:type="dcterms:W3CDTF">2014-11-10T21:59:00Z</dcterms:modified>
</cp:coreProperties>
</file>