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94" w:rsidRPr="00223C7A" w:rsidRDefault="004F4AF6" w:rsidP="004F4AF6">
      <w:pPr>
        <w:spacing w:before="0" w:after="0"/>
        <w:jc w:val="center"/>
        <w:rPr>
          <w:rFonts w:cs="Arial"/>
          <w:b/>
          <w:sz w:val="28"/>
          <w:szCs w:val="28"/>
        </w:rPr>
      </w:pPr>
      <w:r w:rsidRPr="00223C7A">
        <w:rPr>
          <w:rFonts w:cs="Arial"/>
          <w:b/>
          <w:sz w:val="28"/>
          <w:szCs w:val="28"/>
        </w:rPr>
        <w:t>Willing to Work: National Inquiry into Employment Discrimination against Older Australians and Australians with Disability</w:t>
      </w:r>
    </w:p>
    <w:p w:rsidR="004F4AF6" w:rsidRPr="00223C7A" w:rsidRDefault="004F4AF6" w:rsidP="004F4AF6">
      <w:pPr>
        <w:spacing w:before="0" w:after="0"/>
        <w:jc w:val="center"/>
        <w:rPr>
          <w:rFonts w:cs="Arial"/>
          <w:b/>
          <w:sz w:val="28"/>
          <w:szCs w:val="28"/>
        </w:rPr>
      </w:pPr>
    </w:p>
    <w:p w:rsidR="00BC4967" w:rsidRDefault="00EE1299" w:rsidP="00BC4967">
      <w:pPr>
        <w:spacing w:before="0" w:after="0"/>
        <w:jc w:val="center"/>
        <w:rPr>
          <w:rFonts w:cs="Arial"/>
          <w:b/>
          <w:sz w:val="28"/>
          <w:szCs w:val="28"/>
        </w:rPr>
      </w:pPr>
      <w:r w:rsidRPr="00223C7A">
        <w:rPr>
          <w:rFonts w:cs="Arial"/>
          <w:b/>
          <w:sz w:val="28"/>
          <w:szCs w:val="28"/>
        </w:rPr>
        <w:t>Factsheet</w:t>
      </w:r>
      <w:r w:rsidR="001B6B59">
        <w:rPr>
          <w:rFonts w:cs="Arial"/>
          <w:b/>
          <w:sz w:val="28"/>
          <w:szCs w:val="28"/>
        </w:rPr>
        <w:t>: Older Australians</w:t>
      </w:r>
    </w:p>
    <w:p w:rsidR="00BC4967" w:rsidRDefault="002D1072" w:rsidP="00BC4967">
      <w:pPr>
        <w:spacing w:after="0"/>
        <w:rPr>
          <w:rFonts w:cs="Arial"/>
          <w:color w:val="000000"/>
          <w:lang w:val="en-GB"/>
        </w:rPr>
      </w:pPr>
      <w:r>
        <w:rPr>
          <w:rFonts w:cs="Arial"/>
          <w:color w:val="000000"/>
          <w:lang w:val="en-GB"/>
        </w:rPr>
        <w:t>The Hon. Susan Ryan</w:t>
      </w:r>
      <w:r w:rsidR="00BC4967" w:rsidRPr="00223C7A">
        <w:rPr>
          <w:rFonts w:cs="Arial"/>
          <w:color w:val="000000"/>
          <w:lang w:val="en-GB"/>
        </w:rPr>
        <w:t xml:space="preserve"> AO, Age and Disability Discrimination Commissioner, on behalf of the Australian Human Rights Commission, </w:t>
      </w:r>
      <w:r w:rsidR="00BC4967">
        <w:rPr>
          <w:rFonts w:cs="Arial"/>
          <w:color w:val="000000"/>
          <w:lang w:val="en-GB"/>
        </w:rPr>
        <w:t xml:space="preserve">has </w:t>
      </w:r>
      <w:r w:rsidR="00BC4967" w:rsidRPr="00223C7A">
        <w:rPr>
          <w:rFonts w:cs="Arial"/>
          <w:color w:val="000000"/>
          <w:lang w:val="en-GB"/>
        </w:rPr>
        <w:t xml:space="preserve">conducted a National Inquiry into employment discrimination against older Australians and Australians with disability. </w:t>
      </w:r>
    </w:p>
    <w:p w:rsidR="00BC4967" w:rsidRDefault="00BC4967" w:rsidP="00BC4967">
      <w:pPr>
        <w:spacing w:after="0"/>
        <w:rPr>
          <w:rFonts w:cs="Arial"/>
          <w:color w:val="000000"/>
          <w:lang w:val="en-GB"/>
        </w:rPr>
      </w:pPr>
      <w:r>
        <w:rPr>
          <w:rFonts w:cs="Arial"/>
          <w:color w:val="000000"/>
          <w:lang w:val="en-GB"/>
        </w:rPr>
        <w:t>The terms of reference for the Inquiry were provided by</w:t>
      </w:r>
      <w:r w:rsidR="002D1072">
        <w:rPr>
          <w:rFonts w:cs="Arial"/>
          <w:color w:val="000000"/>
          <w:lang w:val="en-GB"/>
        </w:rPr>
        <w:t xml:space="preserve"> the</w:t>
      </w:r>
      <w:r>
        <w:rPr>
          <w:rFonts w:cs="Arial"/>
          <w:color w:val="000000"/>
          <w:lang w:val="en-GB"/>
        </w:rPr>
        <w:t xml:space="preserve"> Attorney General, Senator the Hon</w:t>
      </w:r>
      <w:r w:rsidR="002D1072">
        <w:rPr>
          <w:rFonts w:cs="Arial"/>
          <w:color w:val="000000"/>
          <w:lang w:val="en-GB"/>
        </w:rPr>
        <w:t>.</w:t>
      </w:r>
      <w:r>
        <w:rPr>
          <w:rFonts w:cs="Arial"/>
          <w:color w:val="000000"/>
          <w:lang w:val="en-GB"/>
        </w:rPr>
        <w:t xml:space="preserve"> George Brandis QC, and asked the </w:t>
      </w:r>
      <w:r w:rsidRPr="007B29FE">
        <w:rPr>
          <w:rFonts w:cs="Arial"/>
          <w:color w:val="000000"/>
          <w:lang w:val="en-GB"/>
        </w:rPr>
        <w:t>Australian Human Rights Commission</w:t>
      </w:r>
      <w:r>
        <w:rPr>
          <w:rFonts w:cs="Arial"/>
          <w:color w:val="000000"/>
          <w:lang w:val="en-GB"/>
        </w:rPr>
        <w:t xml:space="preserve"> to:  </w:t>
      </w:r>
    </w:p>
    <w:p w:rsidR="00BC4967" w:rsidRPr="007A4BEB" w:rsidRDefault="00BC4967" w:rsidP="00BC4967">
      <w:pPr>
        <w:pStyle w:val="ListParagraph"/>
        <w:numPr>
          <w:ilvl w:val="0"/>
          <w:numId w:val="19"/>
        </w:numPr>
        <w:spacing w:after="0"/>
        <w:rPr>
          <w:rFonts w:cs="Arial"/>
          <w:color w:val="000000"/>
          <w:lang w:val="en-GB"/>
        </w:rPr>
      </w:pPr>
      <w:r w:rsidRPr="007A4BEB">
        <w:rPr>
          <w:rFonts w:cs="Arial"/>
          <w:color w:val="000000"/>
          <w:lang w:val="en-GB"/>
        </w:rPr>
        <w:t xml:space="preserve">examine the </w:t>
      </w:r>
      <w:r w:rsidRPr="007A4BEB">
        <w:rPr>
          <w:rFonts w:cs="Arial"/>
          <w:bCs/>
          <w:lang w:val="en"/>
        </w:rPr>
        <w:t xml:space="preserve">barriers to employment for people with </w:t>
      </w:r>
      <w:r>
        <w:rPr>
          <w:rFonts w:cs="Arial"/>
          <w:bCs/>
          <w:lang w:val="en"/>
        </w:rPr>
        <w:t>disability and older people; and</w:t>
      </w:r>
    </w:p>
    <w:p w:rsidR="00BC4967" w:rsidRPr="00AA6342" w:rsidRDefault="00BC4967" w:rsidP="00BC4967">
      <w:pPr>
        <w:pStyle w:val="ListParagraph"/>
        <w:numPr>
          <w:ilvl w:val="0"/>
          <w:numId w:val="19"/>
        </w:numPr>
        <w:spacing w:after="0"/>
        <w:rPr>
          <w:rFonts w:cs="Arial"/>
          <w:color w:val="000000"/>
          <w:lang w:val="en-GB"/>
        </w:rPr>
      </w:pPr>
      <w:r w:rsidRPr="007A4BEB">
        <w:rPr>
          <w:rFonts w:cs="Arial"/>
          <w:bCs/>
          <w:lang w:val="en"/>
        </w:rPr>
        <w:t xml:space="preserve">make recommendations about practices, attitudes and Commonwealth laws that should be changed, and actions that should be taken in order to address employment discrimination. </w:t>
      </w:r>
    </w:p>
    <w:p w:rsidR="00BC4967" w:rsidRDefault="00BC4967" w:rsidP="00BC4967">
      <w:pPr>
        <w:spacing w:before="0" w:after="0"/>
        <w:rPr>
          <w:rFonts w:cs="Arial"/>
          <w:b/>
        </w:rPr>
      </w:pPr>
    </w:p>
    <w:p w:rsidR="00BC4967" w:rsidRDefault="00BC4967" w:rsidP="00BC4967">
      <w:pPr>
        <w:spacing w:before="0" w:after="0"/>
        <w:rPr>
          <w:rFonts w:cs="Arial"/>
          <w:b/>
        </w:rPr>
      </w:pPr>
      <w:r>
        <w:rPr>
          <w:rFonts w:cs="Arial"/>
          <w:b/>
        </w:rPr>
        <w:t>Key data</w:t>
      </w:r>
    </w:p>
    <w:p w:rsidR="00BC4967" w:rsidRPr="00BC4967" w:rsidRDefault="00BC4967" w:rsidP="00BC4967">
      <w:pPr>
        <w:spacing w:after="0"/>
        <w:rPr>
          <w:rFonts w:cs="Arial"/>
          <w:color w:val="000000"/>
          <w:lang w:val="en-GB"/>
        </w:rPr>
      </w:pPr>
      <w:r>
        <w:rPr>
          <w:rFonts w:cs="Arial"/>
          <w:color w:val="000000"/>
          <w:lang w:val="en-GB"/>
        </w:rPr>
        <w:t xml:space="preserve">The data included in the </w:t>
      </w:r>
      <w:r>
        <w:rPr>
          <w:rFonts w:cs="Arial"/>
          <w:i/>
          <w:color w:val="000000"/>
          <w:lang w:val="en-GB"/>
        </w:rPr>
        <w:t>Willing to Work</w:t>
      </w:r>
      <w:r>
        <w:rPr>
          <w:rFonts w:cs="Arial"/>
          <w:color w:val="000000"/>
          <w:lang w:val="en-GB"/>
        </w:rPr>
        <w:t xml:space="preserve"> Report highlights the widespread nature of discrimination against older people in employment: </w:t>
      </w:r>
    </w:p>
    <w:p w:rsidR="00F76F5E" w:rsidRPr="00F76F5E" w:rsidRDefault="00F76F5E" w:rsidP="00F76F5E">
      <w:pPr>
        <w:pStyle w:val="ListParagraph"/>
        <w:numPr>
          <w:ilvl w:val="0"/>
          <w:numId w:val="23"/>
        </w:numPr>
        <w:rPr>
          <w:i/>
        </w:rPr>
      </w:pPr>
      <w:r w:rsidRPr="00542A15">
        <w:t>People aged 55 years and over make up roughly a quarter of the population,</w:t>
      </w:r>
      <w:r w:rsidRPr="00542A15">
        <w:rPr>
          <w:vertAlign w:val="superscript"/>
        </w:rPr>
        <w:endnoteReference w:id="1"/>
      </w:r>
      <w:r w:rsidRPr="00542A15">
        <w:t xml:space="preserve"> but only 16% of the total workforce.</w:t>
      </w:r>
      <w:r w:rsidRPr="00542A15">
        <w:rPr>
          <w:vertAlign w:val="superscript"/>
        </w:rPr>
        <w:endnoteReference w:id="2"/>
      </w:r>
      <w:r w:rsidRPr="00542A15">
        <w:t xml:space="preserve"> We know from the 2015 Intergenerational Report that this age cohort is the fastest growing in Australia, and will remain so for the foreseeable future.</w:t>
      </w:r>
    </w:p>
    <w:p w:rsidR="00F76F5E" w:rsidRPr="00542A15" w:rsidRDefault="00F76F5E" w:rsidP="00F76F5E">
      <w:pPr>
        <w:pStyle w:val="ListParagraph"/>
        <w:rPr>
          <w:i/>
        </w:rPr>
      </w:pPr>
    </w:p>
    <w:p w:rsidR="00F76F5E" w:rsidRPr="00542A15" w:rsidRDefault="00F76F5E" w:rsidP="00F76F5E">
      <w:pPr>
        <w:pStyle w:val="ListParagraph"/>
        <w:numPr>
          <w:ilvl w:val="0"/>
          <w:numId w:val="17"/>
        </w:numPr>
        <w:spacing w:before="0" w:after="0"/>
        <w:ind w:left="714" w:hanging="357"/>
        <w:rPr>
          <w:rFonts w:cs="Arial"/>
        </w:rPr>
      </w:pPr>
      <w:r w:rsidRPr="00542A15">
        <w:rPr>
          <w:rFonts w:cs="Arial"/>
        </w:rPr>
        <w:t xml:space="preserve">Labour force participation declines with age. </w:t>
      </w:r>
      <w:r w:rsidRPr="00542A15">
        <w:rPr>
          <w:rFonts w:cs="Arial"/>
          <w:lang w:val="en"/>
        </w:rPr>
        <w:t>In November 2015,</w:t>
      </w:r>
      <w:r w:rsidRPr="00542A15">
        <w:rPr>
          <w:rFonts w:cs="Arial"/>
        </w:rPr>
        <w:t xml:space="preserve"> </w:t>
      </w:r>
      <w:r w:rsidRPr="00542A15">
        <w:rPr>
          <w:rFonts w:cs="Arial"/>
          <w:lang w:val="en"/>
        </w:rPr>
        <w:t xml:space="preserve">73.8% of Australians aged 55–59 years were participating in the </w:t>
      </w:r>
      <w:proofErr w:type="spellStart"/>
      <w:r w:rsidRPr="00542A15">
        <w:rPr>
          <w:rFonts w:cs="Arial"/>
          <w:lang w:val="en"/>
        </w:rPr>
        <w:t>labour</w:t>
      </w:r>
      <w:proofErr w:type="spellEnd"/>
      <w:r w:rsidRPr="00542A15">
        <w:rPr>
          <w:rFonts w:cs="Arial"/>
          <w:lang w:val="en"/>
        </w:rPr>
        <w:t xml:space="preserve"> force, with 56.5% of 60–64 year olds and 12.7% of those aged 65 years and over in the </w:t>
      </w:r>
      <w:proofErr w:type="spellStart"/>
      <w:r w:rsidRPr="00542A15">
        <w:rPr>
          <w:rFonts w:cs="Arial"/>
          <w:lang w:val="en"/>
        </w:rPr>
        <w:t>labour</w:t>
      </w:r>
      <w:proofErr w:type="spellEnd"/>
      <w:r w:rsidRPr="00542A15">
        <w:rPr>
          <w:rFonts w:cs="Arial"/>
          <w:lang w:val="en"/>
        </w:rPr>
        <w:t xml:space="preserve"> force.</w:t>
      </w:r>
      <w:r w:rsidRPr="00542A15">
        <w:rPr>
          <w:rFonts w:cs="Arial"/>
          <w:vertAlign w:val="superscript"/>
          <w:lang w:val="en"/>
        </w:rPr>
        <w:endnoteReference w:id="3"/>
      </w:r>
    </w:p>
    <w:p w:rsidR="00F76F5E" w:rsidRPr="00542A15" w:rsidRDefault="00F76F5E" w:rsidP="00F76F5E">
      <w:pPr>
        <w:pStyle w:val="ListParagraph"/>
        <w:rPr>
          <w:rFonts w:cs="Arial"/>
        </w:rPr>
      </w:pPr>
    </w:p>
    <w:p w:rsidR="00F76F5E" w:rsidRDefault="00F76F5E" w:rsidP="00F76F5E">
      <w:pPr>
        <w:pStyle w:val="ListParagraph"/>
        <w:numPr>
          <w:ilvl w:val="0"/>
          <w:numId w:val="20"/>
        </w:numPr>
        <w:rPr>
          <w:rFonts w:cs="Arial"/>
        </w:rPr>
      </w:pPr>
      <w:r w:rsidRPr="00542A15">
        <w:rPr>
          <w:rFonts w:cs="Arial"/>
        </w:rPr>
        <w:t xml:space="preserve">Older people face longer periods of unemployment. In November 2015, the average duration of unemployment for </w:t>
      </w:r>
      <w:r w:rsidR="000C635F">
        <w:rPr>
          <w:rFonts w:cs="Arial"/>
        </w:rPr>
        <w:t xml:space="preserve">mature age </w:t>
      </w:r>
      <w:r w:rsidRPr="00542A15">
        <w:rPr>
          <w:rFonts w:cs="Arial"/>
        </w:rPr>
        <w:t>people was 68 weeks, compared with 30 weeks for 15–24 year olds and 49 weeks for 25–54 year olds.</w:t>
      </w:r>
      <w:r w:rsidRPr="00542A15">
        <w:rPr>
          <w:rFonts w:cs="Arial"/>
          <w:vertAlign w:val="superscript"/>
        </w:rPr>
        <w:endnoteReference w:id="4"/>
      </w:r>
    </w:p>
    <w:p w:rsidR="00F76F5E" w:rsidRDefault="00F76F5E" w:rsidP="00F76F5E">
      <w:pPr>
        <w:pStyle w:val="ListParagraph"/>
        <w:rPr>
          <w:rFonts w:cs="Arial"/>
        </w:rPr>
      </w:pPr>
    </w:p>
    <w:p w:rsidR="00F76F5E" w:rsidRPr="00F76F5E" w:rsidRDefault="00F76F5E" w:rsidP="00F76F5E">
      <w:pPr>
        <w:pStyle w:val="ListParagraph"/>
        <w:numPr>
          <w:ilvl w:val="0"/>
          <w:numId w:val="20"/>
        </w:numPr>
        <w:autoSpaceDE w:val="0"/>
        <w:autoSpaceDN w:val="0"/>
        <w:adjustRightInd w:val="0"/>
        <w:spacing w:before="0" w:after="0"/>
        <w:rPr>
          <w:rFonts w:cs="Arial"/>
        </w:rPr>
      </w:pPr>
      <w:r w:rsidRPr="00542A15">
        <w:rPr>
          <w:rFonts w:cs="Arial"/>
        </w:rPr>
        <w:t xml:space="preserve">In the Australian Human Rights Commission’s 2015 National prevalence survey of age discrimination in the workplace, 27% of people over the age of 50 reported experiencing age discrimination at work. </w:t>
      </w:r>
      <w:r>
        <w:rPr>
          <w:rFonts w:cs="Arial"/>
        </w:rPr>
        <w:t xml:space="preserve"> </w:t>
      </w:r>
      <w:r w:rsidRPr="00F76F5E">
        <w:rPr>
          <w:rFonts w:cs="Arial"/>
        </w:rPr>
        <w:t>A third of those who had experienced age discrimination gave up looking for work.</w:t>
      </w:r>
      <w:r w:rsidRPr="00542A15">
        <w:rPr>
          <w:bCs/>
          <w:vertAlign w:val="superscript"/>
          <w:lang w:val="en"/>
        </w:rPr>
        <w:endnoteReference w:id="5"/>
      </w:r>
      <w:r w:rsidRPr="00F76F5E">
        <w:rPr>
          <w:rFonts w:cs="Arial"/>
          <w:bCs/>
          <w:vertAlign w:val="superscript"/>
          <w:lang w:val="en"/>
        </w:rPr>
        <w:t xml:space="preserve"> </w:t>
      </w:r>
    </w:p>
    <w:p w:rsidR="00F76F5E" w:rsidRPr="00542A15" w:rsidRDefault="00F76F5E" w:rsidP="00F76F5E">
      <w:pPr>
        <w:pStyle w:val="ListParagraph"/>
        <w:rPr>
          <w:rFonts w:cs="Arial"/>
        </w:rPr>
      </w:pPr>
    </w:p>
    <w:p w:rsidR="00F76F5E" w:rsidRPr="00542A15" w:rsidRDefault="00F76F5E" w:rsidP="00F76F5E">
      <w:pPr>
        <w:pStyle w:val="ListParagraph"/>
        <w:numPr>
          <w:ilvl w:val="0"/>
          <w:numId w:val="20"/>
        </w:numPr>
        <w:autoSpaceDE w:val="0"/>
        <w:autoSpaceDN w:val="0"/>
        <w:adjustRightInd w:val="0"/>
        <w:spacing w:before="0" w:after="0"/>
        <w:rPr>
          <w:rFonts w:cs="Arial"/>
        </w:rPr>
      </w:pPr>
      <w:r w:rsidRPr="00542A15">
        <w:rPr>
          <w:rFonts w:cs="Arial"/>
        </w:rPr>
        <w:t xml:space="preserve">In 2014-15, 70.9% of complaints </w:t>
      </w:r>
      <w:r w:rsidR="002D1072">
        <w:rPr>
          <w:rFonts w:cs="Arial"/>
        </w:rPr>
        <w:t xml:space="preserve">made by people over the age of 45 </w:t>
      </w:r>
      <w:r w:rsidRPr="00542A15">
        <w:rPr>
          <w:rFonts w:cs="Arial"/>
        </w:rPr>
        <w:t xml:space="preserve">about age discrimination to the Australian Human Rights Commission were in the area of employment. </w:t>
      </w:r>
    </w:p>
    <w:p w:rsidR="00F76F5E" w:rsidRDefault="00F76F5E" w:rsidP="00F76F5E">
      <w:pPr>
        <w:rPr>
          <w:rFonts w:cs="Arial"/>
          <w:b/>
        </w:rPr>
      </w:pPr>
      <w:r>
        <w:rPr>
          <w:rFonts w:cs="Arial"/>
          <w:b/>
        </w:rPr>
        <w:t>The Inquiry’s findings</w:t>
      </w:r>
      <w:r w:rsidR="00BC4967">
        <w:rPr>
          <w:rFonts w:cs="Arial"/>
          <w:b/>
        </w:rPr>
        <w:t xml:space="preserve"> and recommendations</w:t>
      </w:r>
    </w:p>
    <w:p w:rsidR="00A57BA6" w:rsidRDefault="00896A18" w:rsidP="00A57BA6">
      <w:pPr>
        <w:spacing w:before="0" w:after="0"/>
        <w:rPr>
          <w:bCs/>
          <w:lang w:val="en"/>
        </w:rPr>
      </w:pPr>
      <w:r w:rsidRPr="00896A18">
        <w:rPr>
          <w:rFonts w:cs="Arial"/>
        </w:rPr>
        <w:t>The</w:t>
      </w:r>
      <w:r w:rsidRPr="00896A18">
        <w:rPr>
          <w:rFonts w:cs="Arial"/>
          <w:i/>
        </w:rPr>
        <w:t xml:space="preserve"> Willing to Work</w:t>
      </w:r>
      <w:r w:rsidR="00442CCD">
        <w:rPr>
          <w:rFonts w:cs="Arial"/>
        </w:rPr>
        <w:t xml:space="preserve"> R</w:t>
      </w:r>
      <w:r w:rsidRPr="00896A18">
        <w:rPr>
          <w:rFonts w:cs="Arial"/>
        </w:rPr>
        <w:t>eport contains 56 recommendations, 72 examples of good pra</w:t>
      </w:r>
      <w:r w:rsidR="00442CCD">
        <w:rPr>
          <w:rFonts w:cs="Arial"/>
        </w:rPr>
        <w:t>ctice from a range of employers,</w:t>
      </w:r>
      <w:r w:rsidRPr="00896A18">
        <w:rPr>
          <w:rFonts w:cs="Arial"/>
        </w:rPr>
        <w:t xml:space="preserve"> and 44 case studies outlining individual experiences. </w:t>
      </w:r>
      <w:r w:rsidR="00A57BA6" w:rsidRPr="000E0D97">
        <w:rPr>
          <w:bCs/>
          <w:lang w:val="en"/>
        </w:rPr>
        <w:t>The recommendations are grouped into three key themes:</w:t>
      </w:r>
    </w:p>
    <w:p w:rsidR="00A57BA6" w:rsidRPr="000E0D97" w:rsidRDefault="00A57BA6" w:rsidP="00A57BA6">
      <w:pPr>
        <w:spacing w:before="0" w:after="0"/>
        <w:rPr>
          <w:bCs/>
          <w:lang w:val="en"/>
        </w:rPr>
      </w:pPr>
    </w:p>
    <w:p w:rsidR="00A57BA6" w:rsidRPr="00D54EDB" w:rsidRDefault="00A57BA6" w:rsidP="00A57BA6">
      <w:pPr>
        <w:pStyle w:val="Normal1"/>
        <w:numPr>
          <w:ilvl w:val="0"/>
          <w:numId w:val="37"/>
        </w:numPr>
        <w:spacing w:after="0"/>
        <w:ind w:left="714" w:hanging="357"/>
      </w:pPr>
      <w:bookmarkStart w:id="0" w:name="_Toc449425393"/>
      <w:bookmarkStart w:id="1" w:name="_Toc449434858"/>
      <w:r>
        <w:t>Priority Government c</w:t>
      </w:r>
      <w:r w:rsidRPr="00D54EDB">
        <w:t>ommitments</w:t>
      </w:r>
      <w:bookmarkEnd w:id="0"/>
      <w:bookmarkEnd w:id="1"/>
    </w:p>
    <w:p w:rsidR="00A57BA6" w:rsidRPr="00D54EDB" w:rsidRDefault="00A57BA6" w:rsidP="00A57BA6">
      <w:pPr>
        <w:pStyle w:val="Normal1"/>
        <w:numPr>
          <w:ilvl w:val="0"/>
          <w:numId w:val="37"/>
        </w:numPr>
        <w:spacing w:after="0"/>
        <w:ind w:left="714" w:hanging="357"/>
      </w:pPr>
      <w:bookmarkStart w:id="2" w:name="_Toc449425394"/>
      <w:bookmarkStart w:id="3" w:name="_Toc449434859"/>
      <w:r w:rsidRPr="00D54EDB">
        <w:t>Improving existing systems</w:t>
      </w:r>
      <w:bookmarkEnd w:id="2"/>
      <w:bookmarkEnd w:id="3"/>
    </w:p>
    <w:p w:rsidR="00A57BA6" w:rsidRPr="00D54EDB" w:rsidRDefault="00A57BA6" w:rsidP="00A57BA6">
      <w:pPr>
        <w:pStyle w:val="Normal1"/>
        <w:numPr>
          <w:ilvl w:val="0"/>
          <w:numId w:val="37"/>
        </w:numPr>
        <w:spacing w:after="0"/>
        <w:ind w:left="714" w:hanging="357"/>
      </w:pPr>
      <w:bookmarkStart w:id="4" w:name="_Toc449425395"/>
      <w:bookmarkStart w:id="5" w:name="_Toc449434860"/>
      <w:r w:rsidRPr="00D54EDB">
        <w:t xml:space="preserve">What employers and business can </w:t>
      </w:r>
      <w:proofErr w:type="gramStart"/>
      <w:r w:rsidRPr="00D54EDB">
        <w:t>do</w:t>
      </w:r>
      <w:bookmarkEnd w:id="4"/>
      <w:bookmarkEnd w:id="5"/>
      <w:proofErr w:type="gramEnd"/>
    </w:p>
    <w:p w:rsidR="00896A18" w:rsidRDefault="00896A18" w:rsidP="00896A18">
      <w:pPr>
        <w:autoSpaceDE w:val="0"/>
        <w:autoSpaceDN w:val="0"/>
        <w:adjustRightInd w:val="0"/>
        <w:spacing w:before="0" w:after="0"/>
        <w:rPr>
          <w:rFonts w:cs="Arial"/>
        </w:rPr>
      </w:pPr>
    </w:p>
    <w:p w:rsidR="00896A18" w:rsidRDefault="00A57BA6" w:rsidP="00A57BA6">
      <w:pPr>
        <w:autoSpaceDE w:val="0"/>
        <w:autoSpaceDN w:val="0"/>
        <w:adjustRightInd w:val="0"/>
        <w:spacing w:before="0" w:after="0"/>
        <w:rPr>
          <w:rFonts w:cs="Arial"/>
          <w:i/>
        </w:rPr>
      </w:pPr>
      <w:r>
        <w:rPr>
          <w:rFonts w:cs="Arial"/>
          <w:i/>
        </w:rPr>
        <w:t>Priority Government commitments</w:t>
      </w:r>
    </w:p>
    <w:p w:rsidR="00F76F5E" w:rsidRPr="00BC4967" w:rsidRDefault="00F76F5E" w:rsidP="00BC4967">
      <w:pPr>
        <w:rPr>
          <w:rFonts w:cs="Arial"/>
        </w:rPr>
      </w:pPr>
      <w:r w:rsidRPr="00BC4967">
        <w:rPr>
          <w:rFonts w:cs="Arial"/>
        </w:rPr>
        <w:t xml:space="preserve">The Inquiry heard from older Australians who experienced discrimination at all stages of the employment cycle, from being </w:t>
      </w:r>
      <w:r>
        <w:t xml:space="preserve">‘shut out’ of recruitment to being </w:t>
      </w:r>
      <w:r w:rsidRPr="000E0D97">
        <w:t xml:space="preserve">offered </w:t>
      </w:r>
      <w:r>
        <w:t>fewer</w:t>
      </w:r>
      <w:r w:rsidRPr="000E0D97">
        <w:t xml:space="preserve"> professional development opportunities, or </w:t>
      </w:r>
      <w:r>
        <w:t xml:space="preserve">feeling as though they were </w:t>
      </w:r>
      <w:r w:rsidRPr="000E0D97">
        <w:t xml:space="preserve">targeted for redundancy during periods of organisational restructure. </w:t>
      </w:r>
      <w:r>
        <w:t>N</w:t>
      </w:r>
      <w:r w:rsidRPr="000E0D97">
        <w:t>egative assumptions and pervasive stereotypes about older people contribute to</w:t>
      </w:r>
      <w:r>
        <w:t xml:space="preserve"> these</w:t>
      </w:r>
      <w:r w:rsidRPr="000E0D97">
        <w:t xml:space="preserve"> discriminatory practices.</w:t>
      </w:r>
    </w:p>
    <w:p w:rsidR="00A57BA6" w:rsidRDefault="00BC4967" w:rsidP="00BC4967">
      <w:pPr>
        <w:rPr>
          <w:rFonts w:cs="Arial"/>
        </w:rPr>
      </w:pPr>
      <w:r>
        <w:rPr>
          <w:rFonts w:cs="Arial"/>
        </w:rPr>
        <w:t xml:space="preserve">In order to address these negative assumptions and stereotypes, the Inquiry </w:t>
      </w:r>
      <w:r w:rsidR="00FC3368">
        <w:rPr>
          <w:rFonts w:cs="Arial"/>
        </w:rPr>
        <w:t xml:space="preserve">makes a </w:t>
      </w:r>
      <w:r w:rsidR="001C7B11">
        <w:rPr>
          <w:rFonts w:cs="Arial"/>
        </w:rPr>
        <w:t>number</w:t>
      </w:r>
      <w:r w:rsidR="00FC3368">
        <w:rPr>
          <w:rFonts w:cs="Arial"/>
        </w:rPr>
        <w:t xml:space="preserve"> of recommendations</w:t>
      </w:r>
      <w:r w:rsidR="00A57BA6">
        <w:rPr>
          <w:rFonts w:cs="Arial"/>
        </w:rPr>
        <w:t xml:space="preserve">, which include: </w:t>
      </w:r>
    </w:p>
    <w:p w:rsidR="00FC3368" w:rsidRDefault="00FC3368" w:rsidP="00FC3368">
      <w:pPr>
        <w:pStyle w:val="ListParagraph"/>
        <w:numPr>
          <w:ilvl w:val="0"/>
          <w:numId w:val="35"/>
        </w:numPr>
        <w:spacing w:before="0" w:after="0"/>
        <w:rPr>
          <w:lang w:val="en"/>
        </w:rPr>
      </w:pPr>
      <w:r w:rsidRPr="00FC3368">
        <w:rPr>
          <w:lang w:val="en"/>
        </w:rPr>
        <w:t>The appoint</w:t>
      </w:r>
      <w:r w:rsidR="00A57BA6">
        <w:rPr>
          <w:lang w:val="en"/>
        </w:rPr>
        <w:t>ment of</w:t>
      </w:r>
      <w:r w:rsidRPr="00FC3368">
        <w:rPr>
          <w:lang w:val="en"/>
        </w:rPr>
        <w:t xml:space="preserve"> a Cabinet Minister for Longevity to address employment discrimination</w:t>
      </w:r>
      <w:r>
        <w:rPr>
          <w:lang w:val="en"/>
        </w:rPr>
        <w:t xml:space="preserve"> and</w:t>
      </w:r>
      <w:r w:rsidRPr="00FC3368">
        <w:rPr>
          <w:lang w:val="en"/>
        </w:rPr>
        <w:t xml:space="preserve"> drive the increase in </w:t>
      </w:r>
      <w:proofErr w:type="spellStart"/>
      <w:r w:rsidRPr="00FC3368">
        <w:rPr>
          <w:lang w:val="en"/>
        </w:rPr>
        <w:t>labour</w:t>
      </w:r>
      <w:proofErr w:type="spellEnd"/>
      <w:r w:rsidRPr="00FC3368">
        <w:rPr>
          <w:lang w:val="en"/>
        </w:rPr>
        <w:t xml:space="preserve"> force participation of older Australians</w:t>
      </w:r>
      <w:r w:rsidR="00A57BA6">
        <w:rPr>
          <w:lang w:val="en"/>
        </w:rPr>
        <w:t>.</w:t>
      </w:r>
    </w:p>
    <w:p w:rsidR="00FC3368" w:rsidRPr="00FC3368" w:rsidRDefault="00FC3368" w:rsidP="00FC3368">
      <w:pPr>
        <w:pStyle w:val="ListParagraph"/>
        <w:spacing w:before="0" w:after="0"/>
        <w:rPr>
          <w:lang w:val="en"/>
        </w:rPr>
      </w:pPr>
    </w:p>
    <w:p w:rsidR="00FC3368" w:rsidRPr="00A57BA6" w:rsidRDefault="00A57BA6" w:rsidP="00FC3368">
      <w:pPr>
        <w:pStyle w:val="ListParagraph"/>
        <w:numPr>
          <w:ilvl w:val="0"/>
          <w:numId w:val="35"/>
        </w:numPr>
        <w:rPr>
          <w:rFonts w:cs="Arial"/>
        </w:rPr>
      </w:pPr>
      <w:r>
        <w:rPr>
          <w:bCs/>
          <w:lang w:val="en"/>
        </w:rPr>
        <w:t xml:space="preserve">The development and implementation </w:t>
      </w:r>
      <w:r w:rsidRPr="00FC3368">
        <w:rPr>
          <w:bCs/>
          <w:lang w:val="en"/>
        </w:rPr>
        <w:t>of</w:t>
      </w:r>
      <w:r w:rsidR="00FC3368" w:rsidRPr="00FC3368">
        <w:rPr>
          <w:bCs/>
          <w:lang w:val="en"/>
        </w:rPr>
        <w:t xml:space="preserve"> a national workforce strategy to lift the workforce par</w:t>
      </w:r>
      <w:r>
        <w:rPr>
          <w:bCs/>
          <w:lang w:val="en"/>
        </w:rPr>
        <w:t>ticipation of older Australians.</w:t>
      </w:r>
    </w:p>
    <w:p w:rsidR="00A57BA6" w:rsidRPr="00A57BA6" w:rsidRDefault="00A57BA6" w:rsidP="00A57BA6">
      <w:pPr>
        <w:pStyle w:val="ListParagraph"/>
        <w:rPr>
          <w:rFonts w:cs="Arial"/>
        </w:rPr>
      </w:pPr>
    </w:p>
    <w:p w:rsidR="00A57BA6" w:rsidRPr="00A57BA6" w:rsidRDefault="00A57BA6" w:rsidP="00A57BA6">
      <w:pPr>
        <w:pStyle w:val="ListParagraph"/>
        <w:numPr>
          <w:ilvl w:val="0"/>
          <w:numId w:val="35"/>
        </w:numPr>
      </w:pPr>
      <w:r w:rsidRPr="00A57BA6">
        <w:rPr>
          <w:rFonts w:cs="Arial"/>
        </w:rPr>
        <w:t xml:space="preserve">The expansion of the </w:t>
      </w:r>
      <w:r w:rsidR="00FC3368" w:rsidRPr="00A57BA6">
        <w:rPr>
          <w:lang w:val="en"/>
        </w:rPr>
        <w:t xml:space="preserve">the role of the Workplace Gender Equality Agency (WGEA) to become the Workplace Gender Equality and Diversity </w:t>
      </w:r>
      <w:r w:rsidRPr="00A57BA6">
        <w:rPr>
          <w:lang w:val="en"/>
        </w:rPr>
        <w:t>Agency, extending its</w:t>
      </w:r>
      <w:r>
        <w:rPr>
          <w:lang w:val="en"/>
        </w:rPr>
        <w:t xml:space="preserve"> current</w:t>
      </w:r>
      <w:r w:rsidRPr="00A57BA6">
        <w:rPr>
          <w:lang w:val="en"/>
        </w:rPr>
        <w:t xml:space="preserve"> functions to older Australians. </w:t>
      </w:r>
    </w:p>
    <w:p w:rsidR="00A57BA6" w:rsidRDefault="00A57BA6" w:rsidP="00A57BA6">
      <w:pPr>
        <w:pStyle w:val="ListParagraph"/>
      </w:pPr>
    </w:p>
    <w:p w:rsidR="001C7B11" w:rsidRPr="00A57BA6" w:rsidRDefault="00A57BA6" w:rsidP="00A57BA6">
      <w:pPr>
        <w:pStyle w:val="ListParagraph"/>
        <w:numPr>
          <w:ilvl w:val="0"/>
          <w:numId w:val="35"/>
        </w:numPr>
      </w:pPr>
      <w:r>
        <w:t xml:space="preserve">The </w:t>
      </w:r>
      <w:r w:rsidR="00FC3368" w:rsidRPr="00A57BA6">
        <w:rPr>
          <w:lang w:val="en"/>
        </w:rPr>
        <w:t>develop</w:t>
      </w:r>
      <w:r>
        <w:rPr>
          <w:lang w:val="en"/>
        </w:rPr>
        <w:t xml:space="preserve">ment and delivery of a </w:t>
      </w:r>
      <w:r w:rsidR="00FC3368" w:rsidRPr="00A57BA6">
        <w:rPr>
          <w:lang w:val="en"/>
        </w:rPr>
        <w:t>sustained, focused national community edu</w:t>
      </w:r>
      <w:r>
        <w:rPr>
          <w:lang w:val="en"/>
        </w:rPr>
        <w:t>cation and information campaign</w:t>
      </w:r>
      <w:r w:rsidR="00FC3368" w:rsidRPr="00A57BA6">
        <w:rPr>
          <w:lang w:val="en"/>
        </w:rPr>
        <w:t xml:space="preserve"> to </w:t>
      </w:r>
      <w:r w:rsidR="00FC3368" w:rsidRPr="00A57BA6">
        <w:rPr>
          <w:rFonts w:cs="Arial"/>
        </w:rPr>
        <w:t xml:space="preserve">lift awareness </w:t>
      </w:r>
      <w:r>
        <w:rPr>
          <w:rFonts w:cs="Arial"/>
        </w:rPr>
        <w:t>of</w:t>
      </w:r>
      <w:r w:rsidR="00FC3368" w:rsidRPr="00A57BA6">
        <w:rPr>
          <w:rFonts w:cs="Arial"/>
        </w:rPr>
        <w:t xml:space="preserve"> the economic benefits of employing older people and</w:t>
      </w:r>
      <w:r>
        <w:rPr>
          <w:rFonts w:cs="Arial"/>
        </w:rPr>
        <w:t xml:space="preserve"> to</w:t>
      </w:r>
      <w:r w:rsidR="00FC3368" w:rsidRPr="00A57BA6">
        <w:rPr>
          <w:rFonts w:cs="Arial"/>
        </w:rPr>
        <w:t xml:space="preserve"> dispel myths and stereotypes to change the way we value the contributions of older people.</w:t>
      </w:r>
    </w:p>
    <w:p w:rsidR="001C7B11" w:rsidRDefault="001C7B11" w:rsidP="001C7B11">
      <w:pPr>
        <w:pStyle w:val="ListParagraph"/>
      </w:pPr>
    </w:p>
    <w:p w:rsidR="001C7B11" w:rsidRPr="00D82DF7" w:rsidRDefault="00A57BA6" w:rsidP="001C7B11">
      <w:pPr>
        <w:pStyle w:val="ListParagraph"/>
        <w:numPr>
          <w:ilvl w:val="0"/>
          <w:numId w:val="35"/>
        </w:numPr>
        <w:rPr>
          <w:rFonts w:cs="Arial"/>
        </w:rPr>
      </w:pPr>
      <w:r>
        <w:t xml:space="preserve">That the Australian </w:t>
      </w:r>
      <w:r w:rsidR="00FC3368" w:rsidRPr="000E0D97">
        <w:t>Government</w:t>
      </w:r>
      <w:r>
        <w:t xml:space="preserve"> </w:t>
      </w:r>
      <w:r w:rsidRPr="000E0D97">
        <w:t>consider leveraging</w:t>
      </w:r>
      <w:r w:rsidR="00FC3368" w:rsidRPr="000E0D97">
        <w:t xml:space="preserve"> </w:t>
      </w:r>
      <w:r>
        <w:t>its position as</w:t>
      </w:r>
      <w:r w:rsidR="00FC3368" w:rsidRPr="000E0D97">
        <w:t xml:space="preserve"> a major buyer of goods and services to encourage the labour force par</w:t>
      </w:r>
      <w:r>
        <w:t>ticipation of older Australians.</w:t>
      </w:r>
    </w:p>
    <w:p w:rsidR="00D82DF7" w:rsidRPr="00D82DF7" w:rsidRDefault="00D82DF7" w:rsidP="00D82DF7">
      <w:pPr>
        <w:pStyle w:val="ListParagraph"/>
        <w:rPr>
          <w:rFonts w:cs="Arial"/>
        </w:rPr>
      </w:pPr>
    </w:p>
    <w:p w:rsidR="00D82DF7" w:rsidRPr="001C7B11" w:rsidRDefault="00D82DF7" w:rsidP="001C7B11">
      <w:pPr>
        <w:pStyle w:val="ListParagraph"/>
        <w:numPr>
          <w:ilvl w:val="0"/>
          <w:numId w:val="35"/>
        </w:numPr>
        <w:rPr>
          <w:rFonts w:cs="Arial"/>
        </w:rPr>
      </w:pPr>
      <w:r>
        <w:rPr>
          <w:rFonts w:cs="Arial"/>
        </w:rPr>
        <w:t>That Australian state</w:t>
      </w:r>
      <w:r w:rsidR="00D435BB">
        <w:rPr>
          <w:rFonts w:cs="Arial"/>
        </w:rPr>
        <w:t>, territory</w:t>
      </w:r>
      <w:r w:rsidR="00912750">
        <w:rPr>
          <w:rFonts w:cs="Arial"/>
        </w:rPr>
        <w:t xml:space="preserve"> and federal g</w:t>
      </w:r>
      <w:r>
        <w:rPr>
          <w:rFonts w:cs="Arial"/>
        </w:rPr>
        <w:t xml:space="preserve">overnments take deliberate action to employ and retain older people within their own respective workforces. </w:t>
      </w:r>
    </w:p>
    <w:p w:rsidR="008C1E2E" w:rsidRDefault="008C1E2E" w:rsidP="002C225A">
      <w:pPr>
        <w:rPr>
          <w:rFonts w:cs="Arial"/>
        </w:rPr>
      </w:pPr>
    </w:p>
    <w:p w:rsidR="008C1E2E" w:rsidRDefault="008C1E2E" w:rsidP="002C225A">
      <w:pPr>
        <w:rPr>
          <w:rFonts w:cs="Arial"/>
          <w:i/>
        </w:rPr>
      </w:pPr>
      <w:r>
        <w:rPr>
          <w:rFonts w:cs="Arial"/>
          <w:i/>
        </w:rPr>
        <w:lastRenderedPageBreak/>
        <w:t>Improving existing systems</w:t>
      </w:r>
    </w:p>
    <w:p w:rsidR="00D6343F" w:rsidRPr="00D6343F" w:rsidRDefault="00D6343F" w:rsidP="00D6343F">
      <w:pPr>
        <w:spacing w:before="0" w:after="0"/>
      </w:pPr>
      <w:r w:rsidRPr="000E0D97">
        <w:t>The Inquiry also found that some</w:t>
      </w:r>
      <w:r w:rsidR="00E00C31">
        <w:t xml:space="preserve"> laws and</w:t>
      </w:r>
      <w:r w:rsidRPr="000E0D97">
        <w:t xml:space="preserve"> government policies and programs are not achieving their intended objectives and may be serving as a disincentive to workforce participation.</w:t>
      </w:r>
    </w:p>
    <w:p w:rsidR="002C225A" w:rsidRDefault="002C225A" w:rsidP="002C225A">
      <w:pPr>
        <w:rPr>
          <w:rFonts w:cs="Arial"/>
        </w:rPr>
      </w:pPr>
      <w:r>
        <w:rPr>
          <w:rFonts w:cs="Arial"/>
        </w:rPr>
        <w:t xml:space="preserve">The Inquiry makes some specific recommendations in relation to existing laws and policies that affect the workforce participation of older Australians. </w:t>
      </w:r>
      <w:r w:rsidR="008C1E2E">
        <w:rPr>
          <w:rFonts w:cs="Arial"/>
        </w:rPr>
        <w:t xml:space="preserve">These include: </w:t>
      </w:r>
    </w:p>
    <w:p w:rsidR="00896A18" w:rsidRDefault="008C1E2E" w:rsidP="00896A18">
      <w:pPr>
        <w:pStyle w:val="ListParagraph"/>
        <w:numPr>
          <w:ilvl w:val="0"/>
          <w:numId w:val="36"/>
        </w:numPr>
        <w:rPr>
          <w:lang w:val="en"/>
        </w:rPr>
      </w:pPr>
      <w:r>
        <w:rPr>
          <w:lang w:val="en"/>
        </w:rPr>
        <w:t>A</w:t>
      </w:r>
      <w:r w:rsidR="00896A18">
        <w:rPr>
          <w:lang w:val="en"/>
        </w:rPr>
        <w:t xml:space="preserve"> range of measures to improve access to </w:t>
      </w:r>
      <w:r>
        <w:rPr>
          <w:lang w:val="en"/>
        </w:rPr>
        <w:t>skills training and retraining</w:t>
      </w:r>
      <w:r w:rsidR="00896A18">
        <w:rPr>
          <w:lang w:val="en"/>
        </w:rPr>
        <w:t xml:space="preserve"> opportunities</w:t>
      </w:r>
      <w:r w:rsidR="000F0CF4">
        <w:rPr>
          <w:lang w:val="en"/>
        </w:rPr>
        <w:t xml:space="preserve"> for older people</w:t>
      </w:r>
      <w:r w:rsidR="00896A18">
        <w:rPr>
          <w:lang w:val="en"/>
        </w:rPr>
        <w:t xml:space="preserve">. This is particularly important for people who </w:t>
      </w:r>
      <w:r w:rsidR="00896A18" w:rsidRPr="000E0D97">
        <w:rPr>
          <w:lang w:val="en"/>
        </w:rPr>
        <w:t xml:space="preserve">work in a sector in decline such as </w:t>
      </w:r>
      <w:r>
        <w:rPr>
          <w:lang w:val="en"/>
        </w:rPr>
        <w:t>manufacturing</w:t>
      </w:r>
      <w:r w:rsidR="00896A18" w:rsidRPr="000E0D97">
        <w:rPr>
          <w:lang w:val="en"/>
        </w:rPr>
        <w:t xml:space="preserve"> or </w:t>
      </w:r>
      <w:r w:rsidR="00896A18">
        <w:rPr>
          <w:lang w:val="en"/>
        </w:rPr>
        <w:t>whose</w:t>
      </w:r>
      <w:r w:rsidR="00896A18" w:rsidRPr="000E0D97">
        <w:rPr>
          <w:lang w:val="en"/>
        </w:rPr>
        <w:t xml:space="preserve"> physical strength has reduced,</w:t>
      </w:r>
      <w:r>
        <w:rPr>
          <w:lang w:val="en"/>
        </w:rPr>
        <w:t xml:space="preserve"> impacting on their capacity to do their job,</w:t>
      </w:r>
      <w:r w:rsidR="00896A18">
        <w:rPr>
          <w:lang w:val="en"/>
        </w:rPr>
        <w:t xml:space="preserve"> such as in mining or nursing. </w:t>
      </w:r>
      <w:bookmarkStart w:id="6" w:name="_Toc449425404"/>
    </w:p>
    <w:p w:rsidR="00896A18" w:rsidRPr="00896A18" w:rsidRDefault="00896A18" w:rsidP="00896A18">
      <w:pPr>
        <w:pStyle w:val="ListParagraph"/>
        <w:rPr>
          <w:lang w:val="en"/>
        </w:rPr>
      </w:pPr>
    </w:p>
    <w:bookmarkEnd w:id="6"/>
    <w:p w:rsidR="00FC3368" w:rsidRDefault="008C1E2E" w:rsidP="00896A18">
      <w:pPr>
        <w:pStyle w:val="ListParagraph"/>
        <w:numPr>
          <w:ilvl w:val="0"/>
          <w:numId w:val="36"/>
        </w:numPr>
        <w:rPr>
          <w:lang w:val="en"/>
        </w:rPr>
      </w:pPr>
      <w:r>
        <w:rPr>
          <w:lang w:val="en"/>
        </w:rPr>
        <w:t>A</w:t>
      </w:r>
      <w:r w:rsidR="00FC3368" w:rsidRPr="00896A18">
        <w:rPr>
          <w:lang w:val="en"/>
        </w:rPr>
        <w:t xml:space="preserve"> series of recommendations in recognition of extensive evidence of the s</w:t>
      </w:r>
      <w:r w:rsidR="00254B87">
        <w:rPr>
          <w:lang w:val="en"/>
        </w:rPr>
        <w:t>trong link between being health</w:t>
      </w:r>
      <w:r w:rsidR="007029B2">
        <w:rPr>
          <w:lang w:val="en"/>
        </w:rPr>
        <w:t>y</w:t>
      </w:r>
      <w:r w:rsidR="00FC3368" w:rsidRPr="00896A18">
        <w:rPr>
          <w:lang w:val="en"/>
        </w:rPr>
        <w:t xml:space="preserve"> and working longer. The Inquiry has established that there are many ways in which employers can support people to stay at work and remain productive. </w:t>
      </w:r>
    </w:p>
    <w:p w:rsidR="008C1E2E" w:rsidRPr="008C1E2E" w:rsidRDefault="008C1E2E" w:rsidP="008C1E2E">
      <w:pPr>
        <w:pStyle w:val="ListParagraph"/>
        <w:rPr>
          <w:lang w:val="en"/>
        </w:rPr>
      </w:pPr>
    </w:p>
    <w:p w:rsidR="00283364" w:rsidRDefault="009A4AC4" w:rsidP="000462F8">
      <w:pPr>
        <w:pStyle w:val="ListParagraph"/>
        <w:numPr>
          <w:ilvl w:val="0"/>
          <w:numId w:val="36"/>
        </w:numPr>
        <w:spacing w:before="0" w:after="0"/>
        <w:rPr>
          <w:lang w:val="en"/>
        </w:rPr>
      </w:pPr>
      <w:r w:rsidRPr="00283364">
        <w:rPr>
          <w:lang w:val="en"/>
        </w:rPr>
        <w:t>That the Australian Government consider</w:t>
      </w:r>
      <w:r w:rsidR="00283364">
        <w:rPr>
          <w:lang w:val="en"/>
        </w:rPr>
        <w:t>:</w:t>
      </w:r>
      <w:r w:rsidRPr="00283364">
        <w:rPr>
          <w:lang w:val="en"/>
        </w:rPr>
        <w:t xml:space="preserve"> </w:t>
      </w:r>
    </w:p>
    <w:p w:rsidR="00283364" w:rsidRPr="00283364" w:rsidRDefault="00283364" w:rsidP="00283364">
      <w:pPr>
        <w:pStyle w:val="ListParagraph"/>
        <w:rPr>
          <w:lang w:val="en"/>
        </w:rPr>
      </w:pPr>
    </w:p>
    <w:p w:rsidR="00283364" w:rsidRDefault="00283364" w:rsidP="00283364">
      <w:pPr>
        <w:pStyle w:val="ListParagraph"/>
        <w:numPr>
          <w:ilvl w:val="1"/>
          <w:numId w:val="36"/>
        </w:numPr>
        <w:spacing w:before="0" w:after="0"/>
        <w:rPr>
          <w:lang w:val="en"/>
        </w:rPr>
      </w:pPr>
      <w:r>
        <w:rPr>
          <w:lang w:val="en"/>
        </w:rPr>
        <w:t>A</w:t>
      </w:r>
      <w:r w:rsidR="009A4AC4" w:rsidRPr="00283364">
        <w:rPr>
          <w:lang w:val="en"/>
        </w:rPr>
        <w:t>ccess to insurance products, particularly income maintenance and travel insurance products, for older Australians.</w:t>
      </w:r>
    </w:p>
    <w:p w:rsidR="00283364" w:rsidRDefault="00283364" w:rsidP="00283364">
      <w:pPr>
        <w:pStyle w:val="ListParagraph"/>
        <w:spacing w:before="0" w:after="0"/>
        <w:ind w:left="1440"/>
        <w:rPr>
          <w:lang w:val="en"/>
        </w:rPr>
      </w:pPr>
    </w:p>
    <w:p w:rsidR="00283364" w:rsidRDefault="00283364" w:rsidP="00283364">
      <w:pPr>
        <w:pStyle w:val="ListParagraph"/>
        <w:numPr>
          <w:ilvl w:val="1"/>
          <w:numId w:val="36"/>
        </w:numPr>
        <w:spacing w:before="0" w:after="0"/>
        <w:rPr>
          <w:lang w:val="en"/>
        </w:rPr>
      </w:pPr>
      <w:r>
        <w:rPr>
          <w:lang w:val="en"/>
        </w:rPr>
        <w:t>T</w:t>
      </w:r>
      <w:r w:rsidRPr="00283364">
        <w:rPr>
          <w:lang w:val="en"/>
        </w:rPr>
        <w:t xml:space="preserve">he differential tax </w:t>
      </w:r>
      <w:r>
        <w:rPr>
          <w:lang w:val="en"/>
        </w:rPr>
        <w:t>treatment</w:t>
      </w:r>
      <w:r w:rsidRPr="00283364">
        <w:rPr>
          <w:lang w:val="en"/>
        </w:rPr>
        <w:t xml:space="preserve"> </w:t>
      </w:r>
      <w:r>
        <w:rPr>
          <w:lang w:val="en"/>
        </w:rPr>
        <w:t>app</w:t>
      </w:r>
      <w:r w:rsidR="000C635F">
        <w:rPr>
          <w:lang w:val="en"/>
        </w:rPr>
        <w:t xml:space="preserve">lied to </w:t>
      </w:r>
      <w:r w:rsidRPr="00283364">
        <w:rPr>
          <w:lang w:val="en"/>
        </w:rPr>
        <w:t>redundancy payments made to people over 65 years of age.</w:t>
      </w:r>
    </w:p>
    <w:p w:rsidR="00283364" w:rsidRPr="00283364" w:rsidRDefault="00283364" w:rsidP="00283364">
      <w:pPr>
        <w:pStyle w:val="ListParagraph"/>
        <w:rPr>
          <w:lang w:val="en"/>
        </w:rPr>
      </w:pPr>
    </w:p>
    <w:p w:rsidR="00283364" w:rsidRPr="00283364" w:rsidRDefault="00001887" w:rsidP="00283364">
      <w:pPr>
        <w:pStyle w:val="ListParagraph"/>
        <w:numPr>
          <w:ilvl w:val="1"/>
          <w:numId w:val="36"/>
        </w:numPr>
        <w:spacing w:before="0" w:after="0"/>
        <w:rPr>
          <w:lang w:val="en"/>
        </w:rPr>
      </w:pPr>
      <w:r>
        <w:rPr>
          <w:lang w:val="en"/>
        </w:rPr>
        <w:t xml:space="preserve">The removal of age-based limitations on </w:t>
      </w:r>
      <w:proofErr w:type="gramStart"/>
      <w:r w:rsidR="007029B2">
        <w:rPr>
          <w:lang w:val="en"/>
        </w:rPr>
        <w:t>workers</w:t>
      </w:r>
      <w:proofErr w:type="gramEnd"/>
      <w:r>
        <w:rPr>
          <w:lang w:val="en"/>
        </w:rPr>
        <w:t xml:space="preserve"> compensation schemes. </w:t>
      </w:r>
    </w:p>
    <w:p w:rsidR="00283364" w:rsidRPr="00283364" w:rsidRDefault="00283364" w:rsidP="00283364">
      <w:pPr>
        <w:spacing w:before="0" w:after="0"/>
        <w:rPr>
          <w:lang w:val="en"/>
        </w:rPr>
      </w:pPr>
    </w:p>
    <w:p w:rsidR="00930775" w:rsidRDefault="00001887" w:rsidP="00001887">
      <w:pPr>
        <w:numPr>
          <w:ilvl w:val="0"/>
          <w:numId w:val="34"/>
        </w:numPr>
        <w:spacing w:before="0" w:after="0"/>
        <w:contextualSpacing/>
        <w:rPr>
          <w:lang w:val="en"/>
        </w:rPr>
      </w:pPr>
      <w:r>
        <w:rPr>
          <w:lang w:val="en"/>
        </w:rPr>
        <w:t xml:space="preserve">The Inquiry also recommended changes to facilitate access to government assistance, such as </w:t>
      </w:r>
      <w:r w:rsidRPr="00001887">
        <w:rPr>
          <w:lang w:val="en"/>
        </w:rPr>
        <w:t>the Restart wage subsidy and to employment services</w:t>
      </w:r>
      <w:r>
        <w:rPr>
          <w:lang w:val="en"/>
        </w:rPr>
        <w:t>,</w:t>
      </w:r>
      <w:r w:rsidRPr="00001887">
        <w:rPr>
          <w:lang w:val="en"/>
        </w:rPr>
        <w:t xml:space="preserve"> for older Australians who are seeking employment.</w:t>
      </w:r>
    </w:p>
    <w:p w:rsidR="00930775" w:rsidRDefault="00930775" w:rsidP="00930775">
      <w:pPr>
        <w:spacing w:before="0" w:after="0"/>
        <w:ind w:left="720"/>
        <w:contextualSpacing/>
        <w:rPr>
          <w:lang w:val="en"/>
        </w:rPr>
      </w:pPr>
    </w:p>
    <w:p w:rsidR="00001887" w:rsidRPr="00001887" w:rsidRDefault="00930775" w:rsidP="00001887">
      <w:pPr>
        <w:numPr>
          <w:ilvl w:val="0"/>
          <w:numId w:val="34"/>
        </w:numPr>
        <w:spacing w:before="0" w:after="0"/>
        <w:contextualSpacing/>
        <w:rPr>
          <w:lang w:val="en"/>
        </w:rPr>
      </w:pPr>
      <w:r>
        <w:rPr>
          <w:lang w:val="en"/>
        </w:rPr>
        <w:t>The Inquiry makes</w:t>
      </w:r>
      <w:r w:rsidR="00001887" w:rsidRPr="00001887">
        <w:rPr>
          <w:lang w:val="en"/>
        </w:rPr>
        <w:t xml:space="preserve"> </w:t>
      </w:r>
      <w:r>
        <w:rPr>
          <w:lang w:val="en"/>
        </w:rPr>
        <w:t xml:space="preserve">recommendations for amendments to the federal discrimination laws and the </w:t>
      </w:r>
      <w:r>
        <w:rPr>
          <w:i/>
          <w:lang w:val="en"/>
        </w:rPr>
        <w:t>Fair Work Act 2009</w:t>
      </w:r>
      <w:r>
        <w:rPr>
          <w:lang w:val="en"/>
        </w:rPr>
        <w:t xml:space="preserve"> (</w:t>
      </w:r>
      <w:proofErr w:type="spellStart"/>
      <w:r>
        <w:rPr>
          <w:lang w:val="en"/>
        </w:rPr>
        <w:t>Cth</w:t>
      </w:r>
      <w:proofErr w:type="spellEnd"/>
      <w:r>
        <w:rPr>
          <w:lang w:val="en"/>
        </w:rPr>
        <w:t xml:space="preserve">) to facilitate access to justice for older people who do experience discrimination in employment. </w:t>
      </w:r>
    </w:p>
    <w:p w:rsidR="00001887" w:rsidRDefault="00F06794" w:rsidP="00001887">
      <w:pPr>
        <w:rPr>
          <w:rFonts w:cs="Arial"/>
          <w:i/>
        </w:rPr>
      </w:pPr>
      <w:r>
        <w:rPr>
          <w:rFonts w:cs="Arial"/>
          <w:i/>
        </w:rPr>
        <w:t xml:space="preserve">What employers and business can </w:t>
      </w:r>
      <w:proofErr w:type="gramStart"/>
      <w:r>
        <w:rPr>
          <w:rFonts w:cs="Arial"/>
          <w:i/>
        </w:rPr>
        <w:t>do</w:t>
      </w:r>
      <w:proofErr w:type="gramEnd"/>
      <w:r>
        <w:rPr>
          <w:rFonts w:cs="Arial"/>
          <w:i/>
        </w:rPr>
        <w:t xml:space="preserve"> </w:t>
      </w:r>
    </w:p>
    <w:p w:rsidR="00001887" w:rsidRDefault="00001887" w:rsidP="00001887">
      <w:pPr>
        <w:rPr>
          <w:rFonts w:cs="Arial"/>
        </w:rPr>
      </w:pPr>
      <w:r w:rsidRPr="000E0D97">
        <w:rPr>
          <w:bCs/>
          <w:lang w:val="en"/>
        </w:rPr>
        <w:t xml:space="preserve">Employers, businesses and the </w:t>
      </w:r>
      <w:proofErr w:type="spellStart"/>
      <w:r w:rsidRPr="000E0D97">
        <w:rPr>
          <w:bCs/>
          <w:lang w:val="en"/>
        </w:rPr>
        <w:t>organisations</w:t>
      </w:r>
      <w:proofErr w:type="spellEnd"/>
      <w:r w:rsidRPr="000E0D97">
        <w:rPr>
          <w:bCs/>
          <w:lang w:val="en"/>
        </w:rPr>
        <w:t xml:space="preserve"> that represent them, have a critical role to play in recruiting, retaining and training older people.</w:t>
      </w:r>
      <w:r>
        <w:rPr>
          <w:rFonts w:cs="Arial"/>
        </w:rPr>
        <w:t xml:space="preserve"> However, the Inquiry heard that e</w:t>
      </w:r>
      <w:r w:rsidR="00F06794" w:rsidRPr="000E0D97">
        <w:t xml:space="preserve">mployers may lack </w:t>
      </w:r>
      <w:r>
        <w:t xml:space="preserve">the </w:t>
      </w:r>
      <w:r w:rsidR="00F06794" w:rsidRPr="000E0D97">
        <w:t xml:space="preserve">knowledge, awareness and skills </w:t>
      </w:r>
      <w:r>
        <w:t xml:space="preserve">necessary for developing </w:t>
      </w:r>
      <w:r w:rsidR="00F06794" w:rsidRPr="000E0D97">
        <w:t>inclusive workplaces</w:t>
      </w:r>
      <w:r>
        <w:t xml:space="preserve"> which</w:t>
      </w:r>
      <w:r w:rsidR="00F06794" w:rsidRPr="000E0D97">
        <w:t xml:space="preserve"> support older </w:t>
      </w:r>
      <w:r>
        <w:t>employees</w:t>
      </w:r>
      <w:r w:rsidR="00F06794">
        <w:t>. They may also be</w:t>
      </w:r>
      <w:r w:rsidR="00F06794" w:rsidRPr="000E0D97">
        <w:t xml:space="preserve"> unaware of government pr</w:t>
      </w:r>
      <w:r w:rsidR="00F06794">
        <w:t>ograms and supports that can</w:t>
      </w:r>
      <w:r w:rsidR="00F06794" w:rsidRPr="000E0D97">
        <w:t xml:space="preserve"> assist them. </w:t>
      </w:r>
    </w:p>
    <w:p w:rsidR="00001887" w:rsidRDefault="00F06794" w:rsidP="00001887">
      <w:pPr>
        <w:rPr>
          <w:bCs/>
          <w:iCs/>
          <w:lang w:val="en"/>
        </w:rPr>
      </w:pPr>
      <w:r w:rsidRPr="000E0D97">
        <w:rPr>
          <w:bCs/>
          <w:lang w:val="en"/>
        </w:rPr>
        <w:t xml:space="preserve">The </w:t>
      </w:r>
      <w:r w:rsidR="00001887">
        <w:rPr>
          <w:bCs/>
          <w:i/>
          <w:lang w:val="en"/>
        </w:rPr>
        <w:t xml:space="preserve">Willing to Work </w:t>
      </w:r>
      <w:r w:rsidR="00001887">
        <w:rPr>
          <w:bCs/>
          <w:lang w:val="en"/>
        </w:rPr>
        <w:t>Report</w:t>
      </w:r>
      <w:r w:rsidRPr="000E0D97">
        <w:rPr>
          <w:bCs/>
          <w:lang w:val="en"/>
        </w:rPr>
        <w:t xml:space="preserve"> offers a suite of strategies </w:t>
      </w:r>
      <w:r w:rsidR="00001887">
        <w:rPr>
          <w:bCs/>
          <w:lang w:val="en"/>
        </w:rPr>
        <w:t xml:space="preserve">for employers to </w:t>
      </w:r>
      <w:r w:rsidRPr="000E0D97">
        <w:rPr>
          <w:bCs/>
          <w:lang w:val="en"/>
        </w:rPr>
        <w:t>lift representation and ensure non-discriminatory recruitment, retention and training practices while maintaining a</w:t>
      </w:r>
      <w:r>
        <w:rPr>
          <w:bCs/>
          <w:lang w:val="en"/>
        </w:rPr>
        <w:t xml:space="preserve">nd improving productivity. </w:t>
      </w:r>
      <w:r w:rsidRPr="000E0D97">
        <w:rPr>
          <w:bCs/>
          <w:iCs/>
          <w:lang w:val="en"/>
        </w:rPr>
        <w:t xml:space="preserve"> </w:t>
      </w:r>
    </w:p>
    <w:p w:rsidR="00001887" w:rsidRDefault="00001887" w:rsidP="00001887">
      <w:pPr>
        <w:pStyle w:val="ListParagraph"/>
        <w:numPr>
          <w:ilvl w:val="0"/>
          <w:numId w:val="43"/>
        </w:numPr>
        <w:spacing w:before="0"/>
      </w:pPr>
      <w:r w:rsidRPr="00156352">
        <w:rPr>
          <w:b/>
        </w:rPr>
        <w:lastRenderedPageBreak/>
        <w:t xml:space="preserve">Leadership commitment: </w:t>
      </w:r>
      <w:r>
        <w:t xml:space="preserve">CEOs and organisational leaders </w:t>
      </w:r>
      <w:r w:rsidR="003A29DF">
        <w:t>should</w:t>
      </w:r>
      <w:r w:rsidR="00E40E96">
        <w:t xml:space="preserve"> </w:t>
      </w:r>
      <w:r>
        <w:t>communicate their business’s commitment to inclusive and diverse workplaces to all staff. This should be supported by an organisational strategy which outlines the business case for a diverse workforce and could include goals such as:</w:t>
      </w:r>
    </w:p>
    <w:p w:rsidR="00001887" w:rsidRDefault="00001887" w:rsidP="00001887">
      <w:pPr>
        <w:pStyle w:val="ListParagraph"/>
        <w:spacing w:before="0"/>
      </w:pPr>
    </w:p>
    <w:p w:rsidR="00EA746B" w:rsidRDefault="00001887" w:rsidP="00001887">
      <w:pPr>
        <w:pStyle w:val="ListParagraph"/>
        <w:numPr>
          <w:ilvl w:val="1"/>
          <w:numId w:val="43"/>
        </w:numPr>
        <w:spacing w:before="0"/>
      </w:pPr>
      <w:r>
        <w:t>meeting voluntary targets for employment of older people</w:t>
      </w:r>
      <w:r w:rsidR="00EA746B">
        <w:t>;</w:t>
      </w:r>
    </w:p>
    <w:p w:rsidR="00EA746B" w:rsidRDefault="00001887" w:rsidP="00001887">
      <w:pPr>
        <w:pStyle w:val="ListParagraph"/>
        <w:numPr>
          <w:ilvl w:val="1"/>
          <w:numId w:val="43"/>
        </w:numPr>
        <w:spacing w:before="0"/>
      </w:pPr>
      <w:r>
        <w:t xml:space="preserve">monitoring and reporting on performance against these targets and ensuring inclusive practices in relation to </w:t>
      </w:r>
      <w:r w:rsidR="00EA746B">
        <w:t>recruitment;</w:t>
      </w:r>
    </w:p>
    <w:p w:rsidR="00001887" w:rsidRDefault="00001887" w:rsidP="00EA746B">
      <w:pPr>
        <w:pStyle w:val="ListParagraph"/>
        <w:numPr>
          <w:ilvl w:val="1"/>
          <w:numId w:val="43"/>
        </w:numPr>
        <w:spacing w:before="0"/>
      </w:pPr>
      <w:r>
        <w:t>networking and mentoring</w:t>
      </w:r>
      <w:r w:rsidR="00EA746B">
        <w:t xml:space="preserve"> by older employees</w:t>
      </w:r>
      <w:r>
        <w:t>.</w:t>
      </w:r>
    </w:p>
    <w:p w:rsidR="00EA746B" w:rsidRDefault="00EA746B" w:rsidP="00EA746B">
      <w:pPr>
        <w:pStyle w:val="ListParagraph"/>
        <w:spacing w:before="0"/>
        <w:ind w:left="1440"/>
      </w:pPr>
    </w:p>
    <w:p w:rsidR="00001887" w:rsidRDefault="00001887" w:rsidP="00001887">
      <w:pPr>
        <w:pStyle w:val="ListParagraph"/>
        <w:numPr>
          <w:ilvl w:val="0"/>
          <w:numId w:val="43"/>
        </w:numPr>
        <w:spacing w:before="0"/>
      </w:pPr>
      <w:r w:rsidRPr="00156352">
        <w:rPr>
          <w:b/>
        </w:rPr>
        <w:t>Ensuring non-discriminatory recruitment and retention practices</w:t>
      </w:r>
      <w:r w:rsidR="00EA746B" w:rsidRPr="00156352">
        <w:rPr>
          <w:b/>
        </w:rPr>
        <w:t xml:space="preserve">: </w:t>
      </w:r>
      <w:r w:rsidR="00513973">
        <w:t xml:space="preserve"> B</w:t>
      </w:r>
      <w:r>
        <w:t xml:space="preserve">usinesses </w:t>
      </w:r>
      <w:r w:rsidR="00E2028B">
        <w:t xml:space="preserve">should </w:t>
      </w:r>
      <w:r>
        <w:t xml:space="preserve">ensure that their recruitment and retention policies do not discriminate against older people. This could include reviewing recruitment processes to ensure that they are accessible and making promotional and training opportunities equally available to all employees, including older people. </w:t>
      </w:r>
    </w:p>
    <w:p w:rsidR="00EA746B" w:rsidRDefault="00EA746B" w:rsidP="00EA746B">
      <w:pPr>
        <w:pStyle w:val="ListParagraph"/>
        <w:spacing w:before="0"/>
      </w:pPr>
    </w:p>
    <w:p w:rsidR="00EA746B" w:rsidRPr="00EA746B" w:rsidRDefault="00001887" w:rsidP="00EA746B">
      <w:pPr>
        <w:pStyle w:val="ListParagraph"/>
        <w:numPr>
          <w:ilvl w:val="0"/>
          <w:numId w:val="43"/>
        </w:numPr>
        <w:spacing w:before="0"/>
      </w:pPr>
      <w:r w:rsidRPr="00156352">
        <w:rPr>
          <w:b/>
        </w:rPr>
        <w:t>Building workplace flexibility</w:t>
      </w:r>
      <w:r w:rsidR="00EA746B" w:rsidRPr="00156352">
        <w:rPr>
          <w:b/>
        </w:rPr>
        <w:t xml:space="preserve">: </w:t>
      </w:r>
      <w:r w:rsidRPr="00EA746B">
        <w:t xml:space="preserve">As a critical recruitment and retention tool, businesses normalise flexible work by making job design, work location and hours flexible for all, as far as the demands of the role allow. </w:t>
      </w:r>
    </w:p>
    <w:p w:rsidR="00EA746B" w:rsidRDefault="00EA746B" w:rsidP="00EA746B">
      <w:pPr>
        <w:pStyle w:val="ListParagraph"/>
        <w:spacing w:before="0"/>
        <w:rPr>
          <w:b/>
        </w:rPr>
      </w:pPr>
    </w:p>
    <w:p w:rsidR="00EA746B" w:rsidRDefault="00001887" w:rsidP="00EA746B">
      <w:pPr>
        <w:pStyle w:val="ListParagraph"/>
        <w:numPr>
          <w:ilvl w:val="0"/>
          <w:numId w:val="43"/>
        </w:numPr>
        <w:spacing w:before="0"/>
      </w:pPr>
      <w:r w:rsidRPr="00156352">
        <w:rPr>
          <w:b/>
        </w:rPr>
        <w:t>Facilitating transitions</w:t>
      </w:r>
      <w:r w:rsidR="00EA746B" w:rsidRPr="00156352">
        <w:rPr>
          <w:b/>
        </w:rPr>
        <w:t>:</w:t>
      </w:r>
      <w:r w:rsidR="00EA746B">
        <w:t xml:space="preserve"> </w:t>
      </w:r>
      <w:r w:rsidR="00513973">
        <w:t>E</w:t>
      </w:r>
      <w:r>
        <w:t xml:space="preserve">mployers </w:t>
      </w:r>
      <w:r w:rsidR="00E2028B">
        <w:t xml:space="preserve">should </w:t>
      </w:r>
      <w:r>
        <w:t xml:space="preserve">ensure that support is provided for older employees to transition to other industries or occupations by providing skills training and identifying transferable skills. </w:t>
      </w:r>
    </w:p>
    <w:p w:rsidR="00EA746B" w:rsidRDefault="00EA746B" w:rsidP="00EA746B">
      <w:pPr>
        <w:pStyle w:val="ListParagraph"/>
        <w:spacing w:before="0"/>
      </w:pPr>
    </w:p>
    <w:p w:rsidR="00536E59" w:rsidRDefault="00001887" w:rsidP="00536E59">
      <w:pPr>
        <w:pStyle w:val="ListParagraph"/>
        <w:numPr>
          <w:ilvl w:val="0"/>
          <w:numId w:val="43"/>
        </w:numPr>
        <w:spacing w:before="0"/>
      </w:pPr>
      <w:r w:rsidRPr="00156352">
        <w:rPr>
          <w:b/>
        </w:rPr>
        <w:t>Provide targeted education and training in the workplace</w:t>
      </w:r>
      <w:r w:rsidR="00EA746B" w:rsidRPr="00156352">
        <w:rPr>
          <w:b/>
        </w:rPr>
        <w:t>:</w:t>
      </w:r>
      <w:r w:rsidR="00EA746B">
        <w:t xml:space="preserve"> </w:t>
      </w:r>
      <w:r>
        <w:t xml:space="preserve">In order to build inclusive, respectful workplaces, employers </w:t>
      </w:r>
      <w:r w:rsidR="00E2028B">
        <w:t xml:space="preserve">should </w:t>
      </w:r>
      <w:r>
        <w:t xml:space="preserve">provide staff with support and training about their rights and responsibilities at work, internal grievance processes, flexible leave options, any employee driven networks and the nature and impact of discrimination. </w:t>
      </w:r>
    </w:p>
    <w:p w:rsidR="00536E59" w:rsidRDefault="00536E59" w:rsidP="00536E59">
      <w:pPr>
        <w:pStyle w:val="ListParagraph"/>
      </w:pPr>
    </w:p>
    <w:p w:rsidR="00001887" w:rsidRPr="00536E59" w:rsidRDefault="00E2028B" w:rsidP="00536E59">
      <w:pPr>
        <w:pStyle w:val="ListParagraph"/>
        <w:spacing w:before="0"/>
      </w:pPr>
      <w:r>
        <w:t>E</w:t>
      </w:r>
      <w:r w:rsidR="00001887">
        <w:t xml:space="preserve">mployers </w:t>
      </w:r>
      <w:r>
        <w:t xml:space="preserve">should </w:t>
      </w:r>
      <w:r w:rsidR="00001887" w:rsidRPr="00536E59">
        <w:rPr>
          <w:bCs/>
          <w:lang w:val="en"/>
        </w:rPr>
        <w:t>support managers and supervisors in creating and managing diverse teams and flexible workplaces by assisting with job redesign, building skills to manage employees</w:t>
      </w:r>
      <w:r w:rsidR="007258CE">
        <w:rPr>
          <w:bCs/>
          <w:lang w:val="en"/>
        </w:rPr>
        <w:t>’</w:t>
      </w:r>
      <w:r w:rsidR="00001887" w:rsidRPr="00536E59">
        <w:rPr>
          <w:bCs/>
          <w:lang w:val="en"/>
        </w:rPr>
        <w:t xml:space="preserve"> flexibly, providing information for managers for example mental health guidelines, manager support and training on the nature and impact of discrimination.</w:t>
      </w:r>
    </w:p>
    <w:p w:rsidR="00EA746B" w:rsidRPr="00EA746B" w:rsidRDefault="00EA746B" w:rsidP="00EA746B">
      <w:pPr>
        <w:pStyle w:val="ListParagraph"/>
        <w:spacing w:before="0"/>
      </w:pPr>
    </w:p>
    <w:p w:rsidR="00BB0523" w:rsidRPr="00EA746B" w:rsidRDefault="00001887" w:rsidP="00EA746B">
      <w:pPr>
        <w:pStyle w:val="ListParagraph"/>
        <w:numPr>
          <w:ilvl w:val="0"/>
          <w:numId w:val="43"/>
        </w:numPr>
        <w:spacing w:before="0"/>
        <w:rPr>
          <w:rStyle w:val="Hyperlink"/>
          <w:color w:val="auto"/>
          <w:u w:val="none"/>
        </w:rPr>
      </w:pPr>
      <w:r w:rsidRPr="00156352">
        <w:rPr>
          <w:b/>
        </w:rPr>
        <w:t>Build healthy workplaces</w:t>
      </w:r>
      <w:r w:rsidR="00EA746B" w:rsidRPr="00156352">
        <w:rPr>
          <w:b/>
        </w:rPr>
        <w:t>:</w:t>
      </w:r>
      <w:r w:rsidR="00EA746B" w:rsidRPr="00EA746B">
        <w:t xml:space="preserve"> </w:t>
      </w:r>
      <w:r w:rsidR="00513973">
        <w:t>B</w:t>
      </w:r>
      <w:bookmarkStart w:id="7" w:name="_GoBack"/>
      <w:bookmarkEnd w:id="7"/>
      <w:r w:rsidRPr="00EA746B">
        <w:t>usinesses</w:t>
      </w:r>
      <w:r w:rsidR="00E2028B">
        <w:t xml:space="preserve"> should</w:t>
      </w:r>
      <w:r w:rsidRPr="00EA746B">
        <w:t xml:space="preserve"> invest in health and wellbeing programs for staff. Implementing healthy work practices can be key to preventing chronic conditions and promoting good health. This could involve training of staff and managers about health, implementing ergonomic assessments or subsidising gym memberships. </w:t>
      </w:r>
    </w:p>
    <w:sectPr w:rsidR="00BB0523" w:rsidRPr="00EA746B"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BA" w:rsidRDefault="00773ABA" w:rsidP="00F14C6D">
      <w:r>
        <w:separator/>
      </w:r>
    </w:p>
  </w:endnote>
  <w:endnote w:type="continuationSeparator" w:id="0">
    <w:p w:rsidR="00773ABA" w:rsidRDefault="00773ABA" w:rsidP="00F14C6D">
      <w:r>
        <w:continuationSeparator/>
      </w:r>
    </w:p>
  </w:endnote>
  <w:endnote w:id="1">
    <w:p w:rsidR="00F76F5E" w:rsidRPr="00030C39" w:rsidRDefault="00F76F5E" w:rsidP="00F76F5E">
      <w:pPr>
        <w:pStyle w:val="EndnoteText"/>
        <w:rPr>
          <w:rFonts w:cs="Arial"/>
        </w:rPr>
      </w:pPr>
      <w:r w:rsidRPr="00030C39">
        <w:rPr>
          <w:rStyle w:val="EndnoteReference"/>
          <w:rFonts w:cs="Arial"/>
        </w:rPr>
        <w:endnoteRef/>
      </w:r>
      <w:r w:rsidRPr="00030C39">
        <w:rPr>
          <w:rFonts w:cs="Arial"/>
        </w:rPr>
        <w:t xml:space="preserve"> </w:t>
      </w:r>
      <w:r w:rsidRPr="00030C39">
        <w:rPr>
          <w:rFonts w:cs="Arial"/>
          <w:shd w:val="clear" w:color="auto" w:fill="FFFFFF"/>
        </w:rPr>
        <w:t xml:space="preserve">In 2009-10, there were around 5.5 million Australians aged 55 years and over, making up one quarter of the population. </w:t>
      </w:r>
      <w:r w:rsidRPr="00030C39">
        <w:rPr>
          <w:rFonts w:cs="Arial"/>
        </w:rPr>
        <w:t xml:space="preserve">Australian Bureau of Statistics, </w:t>
      </w:r>
      <w:r w:rsidRPr="00030C39">
        <w:rPr>
          <w:rFonts w:cs="Arial"/>
          <w:i/>
        </w:rPr>
        <w:t>Australian Social Trends, Sep 2010, cat 4102.0 — Older People and the Labour Market</w:t>
      </w:r>
      <w:r w:rsidRPr="00030C39">
        <w:rPr>
          <w:rFonts w:cs="Arial"/>
        </w:rPr>
        <w:t xml:space="preserve"> (2010). At </w:t>
      </w:r>
      <w:hyperlink r:id="rId1" w:history="1">
        <w:r w:rsidRPr="00030C39">
          <w:rPr>
            <w:rStyle w:val="Hyperlink"/>
            <w:rFonts w:cs="Arial"/>
          </w:rPr>
          <w:t>http://www.abs.gov.au/AUSSTATS/abs@.nsf/Lookup/4102.0Main+Features30Sep+2010</w:t>
        </w:r>
      </w:hyperlink>
      <w:r w:rsidRPr="00030C39">
        <w:rPr>
          <w:rFonts w:cs="Arial"/>
        </w:rPr>
        <w:t xml:space="preserve"> (viewed 26 April 2016).</w:t>
      </w:r>
    </w:p>
  </w:endnote>
  <w:endnote w:id="2">
    <w:p w:rsidR="00F76F5E" w:rsidRPr="00030C39" w:rsidRDefault="00F76F5E" w:rsidP="00F76F5E">
      <w:pPr>
        <w:pStyle w:val="EndnoteText"/>
        <w:rPr>
          <w:rFonts w:cs="Arial"/>
        </w:rPr>
      </w:pPr>
      <w:r w:rsidRPr="00030C39">
        <w:rPr>
          <w:rStyle w:val="EndnoteReference"/>
          <w:rFonts w:cs="Arial"/>
        </w:rPr>
        <w:endnoteRef/>
      </w:r>
      <w:r w:rsidRPr="00030C39">
        <w:rPr>
          <w:rFonts w:cs="Arial"/>
        </w:rPr>
        <w:t xml:space="preserve"> In 2009-10, p</w:t>
      </w:r>
      <w:r w:rsidRPr="00030C39">
        <w:rPr>
          <w:rFonts w:cs="Arial"/>
          <w:shd w:val="clear" w:color="auto" w:fill="FFFFFF"/>
        </w:rPr>
        <w:t xml:space="preserve">eople aged 55 years and over made up 16% of the total labour force, up from around 10% three decades earlier. </w:t>
      </w:r>
      <w:r w:rsidRPr="00030C39">
        <w:rPr>
          <w:rFonts w:cs="Arial"/>
        </w:rPr>
        <w:t xml:space="preserve">Australian Bureau of Statistics, </w:t>
      </w:r>
      <w:r w:rsidRPr="00030C39">
        <w:rPr>
          <w:rFonts w:cs="Arial"/>
          <w:i/>
        </w:rPr>
        <w:t>Australian Social Trends, Sep 2010, cat 4102.0 — Older People and the Labour Market</w:t>
      </w:r>
      <w:r w:rsidRPr="00030C39">
        <w:rPr>
          <w:rFonts w:cs="Arial"/>
        </w:rPr>
        <w:t xml:space="preserve"> (2010). At </w:t>
      </w:r>
      <w:hyperlink r:id="rId2" w:history="1">
        <w:r w:rsidRPr="00030C39">
          <w:rPr>
            <w:rStyle w:val="Hyperlink"/>
            <w:rFonts w:cs="Arial"/>
          </w:rPr>
          <w:t>http://www.abs.gov.au/AUSSTATS/abs@.nsf/Lookup/4102.0Main+Features30Sep+2010</w:t>
        </w:r>
      </w:hyperlink>
      <w:r w:rsidRPr="00030C39">
        <w:rPr>
          <w:rFonts w:cs="Arial"/>
        </w:rPr>
        <w:t xml:space="preserve"> (viewed 26 April 2016).</w:t>
      </w:r>
    </w:p>
  </w:endnote>
  <w:endnote w:id="3">
    <w:p w:rsidR="00F76F5E" w:rsidRPr="00030C39" w:rsidRDefault="00F76F5E" w:rsidP="00F76F5E">
      <w:pPr>
        <w:pStyle w:val="EndnoteText"/>
        <w:rPr>
          <w:rFonts w:cs="Arial"/>
        </w:rPr>
      </w:pPr>
      <w:r w:rsidRPr="00030C39">
        <w:rPr>
          <w:rStyle w:val="EndnoteReference"/>
          <w:rFonts w:cs="Arial"/>
        </w:rPr>
        <w:endnoteRef/>
      </w:r>
      <w:r w:rsidRPr="00030C39">
        <w:rPr>
          <w:rFonts w:cs="Arial"/>
        </w:rPr>
        <w:t xml:space="preserve"> Australian Bureau of Statistics, </w:t>
      </w:r>
      <w:r w:rsidRPr="00030C39">
        <w:rPr>
          <w:rFonts w:cs="Arial"/>
          <w:i/>
        </w:rPr>
        <w:t>Labour Force, Detailed — Electronic Delivery, November 2015</w:t>
      </w:r>
      <w:r w:rsidRPr="00030C39">
        <w:rPr>
          <w:rFonts w:cs="Arial"/>
        </w:rPr>
        <w:t xml:space="preserve"> (Cat. No. 6291.0.55.001).</w:t>
      </w:r>
    </w:p>
  </w:endnote>
  <w:endnote w:id="4">
    <w:p w:rsidR="00F76F5E" w:rsidRPr="00030C39" w:rsidRDefault="00F76F5E" w:rsidP="00F76F5E">
      <w:pPr>
        <w:pStyle w:val="EndnoteText"/>
        <w:rPr>
          <w:rFonts w:cs="Arial"/>
        </w:rPr>
      </w:pPr>
      <w:r w:rsidRPr="00030C39">
        <w:rPr>
          <w:rStyle w:val="EndnoteReference"/>
          <w:rFonts w:eastAsia="MS Mincho" w:cs="Arial"/>
        </w:rPr>
        <w:endnoteRef/>
      </w:r>
      <w:r w:rsidRPr="00030C39">
        <w:rPr>
          <w:rFonts w:cs="Arial"/>
        </w:rPr>
        <w:t xml:space="preserve"> Australian Bureau of Statistics, </w:t>
      </w:r>
      <w:r w:rsidRPr="00030C39">
        <w:rPr>
          <w:rFonts w:cs="Arial"/>
          <w:i/>
        </w:rPr>
        <w:t>Labour Force, Detailed – Electronic Delivery, November 2015 (Cat. No. 6291.0.55.001)</w:t>
      </w:r>
      <w:r w:rsidRPr="00030C39">
        <w:rPr>
          <w:rFonts w:cs="Arial"/>
        </w:rPr>
        <w:t>.</w:t>
      </w:r>
    </w:p>
  </w:endnote>
  <w:endnote w:id="5">
    <w:p w:rsidR="00F76F5E" w:rsidRPr="00030C39" w:rsidRDefault="00F76F5E" w:rsidP="00F76F5E">
      <w:pPr>
        <w:spacing w:before="0" w:after="0"/>
        <w:rPr>
          <w:rFonts w:cs="Arial"/>
          <w:sz w:val="20"/>
          <w:szCs w:val="20"/>
        </w:rPr>
      </w:pPr>
      <w:r w:rsidRPr="00030C39">
        <w:rPr>
          <w:rStyle w:val="EndnoteReference"/>
          <w:rFonts w:cs="Arial"/>
          <w:szCs w:val="20"/>
        </w:rPr>
        <w:endnoteRef/>
      </w:r>
      <w:r w:rsidRPr="00030C39">
        <w:rPr>
          <w:rFonts w:cs="Arial"/>
          <w:sz w:val="20"/>
          <w:szCs w:val="20"/>
        </w:rPr>
        <w:t xml:space="preserve"> Australian Human Rights Commission, </w:t>
      </w:r>
      <w:r w:rsidRPr="00030C39">
        <w:rPr>
          <w:rFonts w:cs="Arial"/>
          <w:i/>
          <w:sz w:val="20"/>
          <w:szCs w:val="20"/>
        </w:rPr>
        <w:t xml:space="preserve">National prevalence survey of age discrimination in the workplace </w:t>
      </w:r>
      <w:r w:rsidRPr="00030C39">
        <w:rPr>
          <w:rFonts w:cs="Arial"/>
          <w:sz w:val="20"/>
          <w:szCs w:val="20"/>
        </w:rPr>
        <w:t xml:space="preserve">(2015), 33. At </w:t>
      </w:r>
      <w:hyperlink r:id="rId3" w:history="1">
        <w:r w:rsidRPr="00030C39">
          <w:rPr>
            <w:rStyle w:val="Hyperlink"/>
            <w:rFonts w:cs="Arial"/>
            <w:sz w:val="20"/>
            <w:szCs w:val="20"/>
          </w:rPr>
          <w:t>https://www.humanrights.gov.au/our-work/age-discrimination/publications/national-prevalence-survey-age-discrimination-workplace</w:t>
        </w:r>
      </w:hyperlink>
      <w:r w:rsidRPr="00030C39">
        <w:rPr>
          <w:rFonts w:cs="Arial"/>
          <w:sz w:val="20"/>
          <w:szCs w:val="20"/>
        </w:rPr>
        <w:t xml:space="preserve"> (viewed 1 February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40" w:rsidRPr="0090165F" w:rsidRDefault="008D6140" w:rsidP="00162A8D">
    <w:pPr>
      <w:pStyle w:val="Footer"/>
      <w:jc w:val="right"/>
    </w:pPr>
    <w:r w:rsidRPr="0090165F">
      <w:fldChar w:fldCharType="begin"/>
    </w:r>
    <w:r w:rsidRPr="0090165F">
      <w:instrText xml:space="preserve"> PAGE   \* MERGEFORMAT </w:instrText>
    </w:r>
    <w:r w:rsidRPr="0090165F">
      <w:fldChar w:fldCharType="separate"/>
    </w:r>
    <w:r w:rsidR="00513973">
      <w:rPr>
        <w:noProof/>
      </w:rPr>
      <w:t>5</w:t>
    </w:r>
    <w:r w:rsidRPr="009016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40" w:rsidRPr="001B25B3" w:rsidRDefault="008D6140" w:rsidP="002D0C4F">
    <w:pPr>
      <w:pStyle w:val="Foote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BA" w:rsidRDefault="00773ABA" w:rsidP="00F14C6D">
      <w:r>
        <w:separator/>
      </w:r>
    </w:p>
  </w:footnote>
  <w:footnote w:type="continuationSeparator" w:id="0">
    <w:p w:rsidR="00773ABA" w:rsidRDefault="00773ABA"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40" w:rsidRDefault="008D6140" w:rsidP="00C71D32">
    <w:pPr>
      <w:pStyle w:val="Header"/>
      <w:spacing w:before="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85" w:type="dxa"/>
      <w:tblLayout w:type="fixed"/>
      <w:tblLook w:val="00A0" w:firstRow="1" w:lastRow="0" w:firstColumn="1" w:lastColumn="0" w:noHBand="0" w:noVBand="0"/>
    </w:tblPr>
    <w:tblGrid>
      <w:gridCol w:w="4077"/>
      <w:gridCol w:w="2688"/>
      <w:gridCol w:w="2302"/>
      <w:gridCol w:w="2130"/>
      <w:gridCol w:w="1988"/>
    </w:tblGrid>
    <w:tr w:rsidR="008D6140" w:rsidRPr="008D1634" w:rsidTr="005F03D1">
      <w:trPr>
        <w:trHeight w:val="1603"/>
      </w:trPr>
      <w:tc>
        <w:tcPr>
          <w:tcW w:w="4077" w:type="dxa"/>
        </w:tcPr>
        <w:p w:rsidR="008D6140" w:rsidRPr="008D1634" w:rsidRDefault="004545FD"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1092A828" wp14:editId="6549C133">
                <wp:extent cx="2143125" cy="733833"/>
                <wp:effectExtent l="0" t="0" r="0" b="9525"/>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18" cy="735577"/>
                        </a:xfrm>
                        <a:prstGeom prst="rect">
                          <a:avLst/>
                        </a:prstGeom>
                        <a:noFill/>
                        <a:ln>
                          <a:noFill/>
                        </a:ln>
                      </pic:spPr>
                    </pic:pic>
                  </a:graphicData>
                </a:graphic>
              </wp:inline>
            </w:drawing>
          </w:r>
        </w:p>
      </w:tc>
      <w:tc>
        <w:tcPr>
          <w:tcW w:w="2688" w:type="dxa"/>
          <w:vAlign w:val="center"/>
        </w:tcPr>
        <w:p w:rsidR="008D6140" w:rsidRPr="008D1634" w:rsidRDefault="008D6140" w:rsidP="00331013">
          <w:pPr>
            <w:spacing w:before="0" w:after="0" w:line="210" w:lineRule="exact"/>
            <w:rPr>
              <w:rFonts w:cs="ArialMT"/>
              <w:i/>
              <w:color w:val="808080"/>
              <w:sz w:val="17"/>
              <w:lang w:val="en-US" w:eastAsia="en-US" w:bidi="en-US"/>
            </w:rPr>
          </w:pPr>
        </w:p>
      </w:tc>
      <w:tc>
        <w:tcPr>
          <w:tcW w:w="2302" w:type="dxa"/>
        </w:tcPr>
        <w:p w:rsidR="008D6140" w:rsidRPr="008D1634" w:rsidRDefault="00EE1299" w:rsidP="00C87F1C">
          <w:pPr>
            <w:pStyle w:val="HeaderFooter"/>
            <w:spacing w:before="0" w:after="0"/>
            <w:jc w:val="both"/>
            <w:rPr>
              <w:b/>
              <w:color w:val="000000"/>
              <w:spacing w:val="-20"/>
              <w:sz w:val="40"/>
              <w:lang w:val="en-US" w:eastAsia="en-US" w:bidi="en-US"/>
            </w:rPr>
          </w:pPr>
          <w:r>
            <w:rPr>
              <w:b/>
              <w:noProof/>
              <w:color w:val="000000"/>
              <w:spacing w:val="-20"/>
              <w:sz w:val="40"/>
            </w:rPr>
            <w:drawing>
              <wp:anchor distT="0" distB="0" distL="114300" distR="114300" simplePos="0" relativeHeight="251657216" behindDoc="0" locked="0" layoutInCell="1" allowOverlap="1" wp14:anchorId="5985A3FB" wp14:editId="76F0C7F2">
                <wp:simplePos x="0" y="0"/>
                <wp:positionH relativeFrom="column">
                  <wp:posOffset>-302260</wp:posOffset>
                </wp:positionH>
                <wp:positionV relativeFrom="paragraph">
                  <wp:posOffset>146050</wp:posOffset>
                </wp:positionV>
                <wp:extent cx="1721560" cy="6717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560" cy="671788"/>
                        </a:xfrm>
                        <a:prstGeom prst="rect">
                          <a:avLst/>
                        </a:prstGeom>
                      </pic:spPr>
                    </pic:pic>
                  </a:graphicData>
                </a:graphic>
                <wp14:sizeRelH relativeFrom="margin">
                  <wp14:pctWidth>0</wp14:pctWidth>
                </wp14:sizeRelH>
                <wp14:sizeRelV relativeFrom="margin">
                  <wp14:pctHeight>0</wp14:pctHeight>
                </wp14:sizeRelV>
              </wp:anchor>
            </w:drawing>
          </w:r>
        </w:p>
      </w:tc>
      <w:tc>
        <w:tcPr>
          <w:tcW w:w="2130" w:type="dxa"/>
        </w:tcPr>
        <w:p w:rsidR="008D6140" w:rsidRPr="008D1634" w:rsidRDefault="008D6140" w:rsidP="00C87F1C">
          <w:pPr>
            <w:pStyle w:val="HeaderFooter"/>
            <w:spacing w:before="0" w:after="0"/>
            <w:jc w:val="both"/>
            <w:rPr>
              <w:b/>
              <w:color w:val="000000"/>
              <w:spacing w:val="-20"/>
              <w:sz w:val="40"/>
              <w:lang w:val="en-US" w:eastAsia="en-US" w:bidi="en-US"/>
            </w:rPr>
          </w:pPr>
        </w:p>
      </w:tc>
      <w:tc>
        <w:tcPr>
          <w:tcW w:w="1988" w:type="dxa"/>
        </w:tcPr>
        <w:p w:rsidR="008D6140" w:rsidRPr="008D1634" w:rsidRDefault="008D6140" w:rsidP="00C87F1C">
          <w:pPr>
            <w:pStyle w:val="HeaderFooter"/>
            <w:jc w:val="both"/>
            <w:rPr>
              <w:b/>
              <w:color w:val="000000"/>
              <w:spacing w:val="-20"/>
              <w:sz w:val="40"/>
              <w:lang w:val="en-US" w:eastAsia="en-US" w:bidi="en-US"/>
            </w:rPr>
          </w:pPr>
        </w:p>
      </w:tc>
    </w:tr>
  </w:tbl>
  <w:p w:rsidR="008D6140" w:rsidRDefault="008D6140" w:rsidP="00F22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08C17980"/>
    <w:multiLevelType w:val="hybridMultilevel"/>
    <w:tmpl w:val="DBE8F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D11723"/>
    <w:multiLevelType w:val="hybridMultilevel"/>
    <w:tmpl w:val="A892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546E86"/>
    <w:multiLevelType w:val="hybridMultilevel"/>
    <w:tmpl w:val="CBDA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54674F"/>
    <w:multiLevelType w:val="hybridMultilevel"/>
    <w:tmpl w:val="301AA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B42AAA"/>
    <w:multiLevelType w:val="hybridMultilevel"/>
    <w:tmpl w:val="EBBC1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7B17CD8"/>
    <w:multiLevelType w:val="hybridMultilevel"/>
    <w:tmpl w:val="34565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EC7448"/>
    <w:multiLevelType w:val="hybridMultilevel"/>
    <w:tmpl w:val="74EE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DB061F"/>
    <w:multiLevelType w:val="hybridMultilevel"/>
    <w:tmpl w:val="F900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345EC"/>
    <w:multiLevelType w:val="hybridMultilevel"/>
    <w:tmpl w:val="5032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A70F9"/>
    <w:multiLevelType w:val="hybridMultilevel"/>
    <w:tmpl w:val="93B4FE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4141399"/>
    <w:multiLevelType w:val="hybridMultilevel"/>
    <w:tmpl w:val="E97AA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0E4283"/>
    <w:multiLevelType w:val="hybridMultilevel"/>
    <w:tmpl w:val="9BEAE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4B5CB2"/>
    <w:multiLevelType w:val="hybridMultilevel"/>
    <w:tmpl w:val="0590A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4A1D66"/>
    <w:multiLevelType w:val="hybridMultilevel"/>
    <w:tmpl w:val="FEB05A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D524479"/>
    <w:multiLevelType w:val="hybridMultilevel"/>
    <w:tmpl w:val="3DB4B1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DD97C38"/>
    <w:multiLevelType w:val="hybridMultilevel"/>
    <w:tmpl w:val="A36E1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78557D"/>
    <w:multiLevelType w:val="hybridMultilevel"/>
    <w:tmpl w:val="AFEA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A526A7"/>
    <w:multiLevelType w:val="hybridMultilevel"/>
    <w:tmpl w:val="4314E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6D55E5"/>
    <w:multiLevelType w:val="hybridMultilevel"/>
    <w:tmpl w:val="D8F4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87231A"/>
    <w:multiLevelType w:val="hybridMultilevel"/>
    <w:tmpl w:val="A89C1B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9FF7A73"/>
    <w:multiLevelType w:val="multilevel"/>
    <w:tmpl w:val="75C8E294"/>
    <w:lvl w:ilvl="0">
      <w:start w:val="1"/>
      <w:numFmt w:val="decimal"/>
      <w:pStyle w:val="Heading1"/>
      <w:lvlText w:val="%1"/>
      <w:lvlJc w:val="left"/>
      <w:pPr>
        <w:tabs>
          <w:tab w:val="num" w:pos="5955"/>
        </w:tabs>
        <w:ind w:left="5955"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4" w15:restartNumberingAfterBreak="0">
    <w:nsid w:val="4A6A0E78"/>
    <w:multiLevelType w:val="hybridMultilevel"/>
    <w:tmpl w:val="6610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2412D1"/>
    <w:multiLevelType w:val="hybridMultilevel"/>
    <w:tmpl w:val="7D28E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57466F23"/>
    <w:multiLevelType w:val="hybridMultilevel"/>
    <w:tmpl w:val="68609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0478D0"/>
    <w:multiLevelType w:val="hybridMultilevel"/>
    <w:tmpl w:val="4AB0C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20CBA"/>
    <w:multiLevelType w:val="hybridMultilevel"/>
    <w:tmpl w:val="FA202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267C7E"/>
    <w:multiLevelType w:val="hybridMultilevel"/>
    <w:tmpl w:val="6F965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275BF7"/>
    <w:multiLevelType w:val="hybridMultilevel"/>
    <w:tmpl w:val="D9229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B769BC"/>
    <w:multiLevelType w:val="hybridMultilevel"/>
    <w:tmpl w:val="2AA67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6"/>
  </w:num>
  <w:num w:numId="13">
    <w:abstractNumId w:val="29"/>
  </w:num>
  <w:num w:numId="14">
    <w:abstractNumId w:val="16"/>
  </w:num>
  <w:num w:numId="15">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6">
    <w:abstractNumId w:val="37"/>
  </w:num>
  <w:num w:numId="17">
    <w:abstractNumId w:val="24"/>
  </w:num>
  <w:num w:numId="18">
    <w:abstractNumId w:val="38"/>
  </w:num>
  <w:num w:numId="19">
    <w:abstractNumId w:val="19"/>
  </w:num>
  <w:num w:numId="20">
    <w:abstractNumId w:val="15"/>
  </w:num>
  <w:num w:numId="21">
    <w:abstractNumId w:val="30"/>
  </w:num>
  <w:num w:numId="22">
    <w:abstractNumId w:val="34"/>
  </w:num>
  <w:num w:numId="23">
    <w:abstractNumId w:val="41"/>
  </w:num>
  <w:num w:numId="24">
    <w:abstractNumId w:val="28"/>
  </w:num>
  <w:num w:numId="25">
    <w:abstractNumId w:val="40"/>
  </w:num>
  <w:num w:numId="26">
    <w:abstractNumId w:val="12"/>
  </w:num>
  <w:num w:numId="27">
    <w:abstractNumId w:val="32"/>
  </w:num>
  <w:num w:numId="28">
    <w:abstractNumId w:val="22"/>
  </w:num>
  <w:num w:numId="29">
    <w:abstractNumId w:val="11"/>
  </w:num>
  <w:num w:numId="30">
    <w:abstractNumId w:val="14"/>
  </w:num>
  <w:num w:numId="31">
    <w:abstractNumId w:val="20"/>
  </w:num>
  <w:num w:numId="32">
    <w:abstractNumId w:val="18"/>
  </w:num>
  <w:num w:numId="33">
    <w:abstractNumId w:val="31"/>
  </w:num>
  <w:num w:numId="34">
    <w:abstractNumId w:val="35"/>
  </w:num>
  <w:num w:numId="35">
    <w:abstractNumId w:val="13"/>
  </w:num>
  <w:num w:numId="36">
    <w:abstractNumId w:val="27"/>
  </w:num>
  <w:num w:numId="37">
    <w:abstractNumId w:val="39"/>
  </w:num>
  <w:num w:numId="38">
    <w:abstractNumId w:val="21"/>
  </w:num>
  <w:num w:numId="39">
    <w:abstractNumId w:val="26"/>
  </w:num>
  <w:num w:numId="40">
    <w:abstractNumId w:val="42"/>
  </w:num>
  <w:num w:numId="41">
    <w:abstractNumId w:val="25"/>
  </w:num>
  <w:num w:numId="42">
    <w:abstractNumId w:val="23"/>
  </w:num>
  <w:num w:numId="4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F6"/>
    <w:rsid w:val="00000871"/>
    <w:rsid w:val="00001887"/>
    <w:rsid w:val="00041650"/>
    <w:rsid w:val="00045548"/>
    <w:rsid w:val="00045F0D"/>
    <w:rsid w:val="00053596"/>
    <w:rsid w:val="000579B1"/>
    <w:rsid w:val="00085A6B"/>
    <w:rsid w:val="00087F8C"/>
    <w:rsid w:val="000A6A86"/>
    <w:rsid w:val="000A6F80"/>
    <w:rsid w:val="000B0A5D"/>
    <w:rsid w:val="000B4274"/>
    <w:rsid w:val="000B53EE"/>
    <w:rsid w:val="000C635F"/>
    <w:rsid w:val="000C7C00"/>
    <w:rsid w:val="000E20F5"/>
    <w:rsid w:val="000E38FA"/>
    <w:rsid w:val="000F0CF4"/>
    <w:rsid w:val="000F3F3A"/>
    <w:rsid w:val="00123209"/>
    <w:rsid w:val="00123B25"/>
    <w:rsid w:val="001373D3"/>
    <w:rsid w:val="00144CEC"/>
    <w:rsid w:val="00147B9B"/>
    <w:rsid w:val="00156352"/>
    <w:rsid w:val="00162A8D"/>
    <w:rsid w:val="001630DE"/>
    <w:rsid w:val="00164DB2"/>
    <w:rsid w:val="001662B6"/>
    <w:rsid w:val="00166DB8"/>
    <w:rsid w:val="001760FB"/>
    <w:rsid w:val="00176220"/>
    <w:rsid w:val="00181378"/>
    <w:rsid w:val="001B0353"/>
    <w:rsid w:val="001B25B3"/>
    <w:rsid w:val="001B6B59"/>
    <w:rsid w:val="001C1993"/>
    <w:rsid w:val="001C7B11"/>
    <w:rsid w:val="001D6D76"/>
    <w:rsid w:val="001E195B"/>
    <w:rsid w:val="001E5264"/>
    <w:rsid w:val="001E73DB"/>
    <w:rsid w:val="001F005F"/>
    <w:rsid w:val="001F2BBB"/>
    <w:rsid w:val="001F2FB3"/>
    <w:rsid w:val="00201EFE"/>
    <w:rsid w:val="002029FF"/>
    <w:rsid w:val="00214DBF"/>
    <w:rsid w:val="00215015"/>
    <w:rsid w:val="00223C7A"/>
    <w:rsid w:val="00241C3B"/>
    <w:rsid w:val="0024557E"/>
    <w:rsid w:val="00254B87"/>
    <w:rsid w:val="00261CF5"/>
    <w:rsid w:val="002808B0"/>
    <w:rsid w:val="00280D0D"/>
    <w:rsid w:val="0028129F"/>
    <w:rsid w:val="00283364"/>
    <w:rsid w:val="002932DC"/>
    <w:rsid w:val="00295A67"/>
    <w:rsid w:val="002B72F1"/>
    <w:rsid w:val="002C225A"/>
    <w:rsid w:val="002D0C4F"/>
    <w:rsid w:val="002D1072"/>
    <w:rsid w:val="002D54E2"/>
    <w:rsid w:val="002E2497"/>
    <w:rsid w:val="002E47BD"/>
    <w:rsid w:val="002F40E7"/>
    <w:rsid w:val="00302531"/>
    <w:rsid w:val="00310ED4"/>
    <w:rsid w:val="0031492A"/>
    <w:rsid w:val="00316C1A"/>
    <w:rsid w:val="00331013"/>
    <w:rsid w:val="00332335"/>
    <w:rsid w:val="003341CA"/>
    <w:rsid w:val="00355B5C"/>
    <w:rsid w:val="00356356"/>
    <w:rsid w:val="0037020D"/>
    <w:rsid w:val="003731B3"/>
    <w:rsid w:val="0039439F"/>
    <w:rsid w:val="003A173F"/>
    <w:rsid w:val="003A29DF"/>
    <w:rsid w:val="003A60BF"/>
    <w:rsid w:val="003C378D"/>
    <w:rsid w:val="003C3D19"/>
    <w:rsid w:val="003D2DFE"/>
    <w:rsid w:val="003E3078"/>
    <w:rsid w:val="003E3EAA"/>
    <w:rsid w:val="003F611C"/>
    <w:rsid w:val="004071C3"/>
    <w:rsid w:val="00421D41"/>
    <w:rsid w:val="00421D45"/>
    <w:rsid w:val="00426E0A"/>
    <w:rsid w:val="00436828"/>
    <w:rsid w:val="00442CCD"/>
    <w:rsid w:val="00443DB2"/>
    <w:rsid w:val="0044690C"/>
    <w:rsid w:val="004510B9"/>
    <w:rsid w:val="004545FD"/>
    <w:rsid w:val="00474063"/>
    <w:rsid w:val="0049095D"/>
    <w:rsid w:val="004B3F64"/>
    <w:rsid w:val="004D6BC5"/>
    <w:rsid w:val="004E79E2"/>
    <w:rsid w:val="004F231F"/>
    <w:rsid w:val="004F4AF6"/>
    <w:rsid w:val="00501946"/>
    <w:rsid w:val="00513540"/>
    <w:rsid w:val="00513973"/>
    <w:rsid w:val="00515029"/>
    <w:rsid w:val="005279C1"/>
    <w:rsid w:val="00531C1A"/>
    <w:rsid w:val="00535872"/>
    <w:rsid w:val="00536E59"/>
    <w:rsid w:val="0054309C"/>
    <w:rsid w:val="00556F05"/>
    <w:rsid w:val="0057396F"/>
    <w:rsid w:val="005747B5"/>
    <w:rsid w:val="00590101"/>
    <w:rsid w:val="005A1618"/>
    <w:rsid w:val="005B50D7"/>
    <w:rsid w:val="005C3858"/>
    <w:rsid w:val="005C7196"/>
    <w:rsid w:val="005C7AD5"/>
    <w:rsid w:val="005D1F34"/>
    <w:rsid w:val="005F03D1"/>
    <w:rsid w:val="005F1E97"/>
    <w:rsid w:val="005F36BE"/>
    <w:rsid w:val="005F7015"/>
    <w:rsid w:val="00611E4B"/>
    <w:rsid w:val="0061324D"/>
    <w:rsid w:val="00614732"/>
    <w:rsid w:val="00617E88"/>
    <w:rsid w:val="00627DE3"/>
    <w:rsid w:val="00634E97"/>
    <w:rsid w:val="00650CCD"/>
    <w:rsid w:val="00651144"/>
    <w:rsid w:val="0065590C"/>
    <w:rsid w:val="006562BD"/>
    <w:rsid w:val="006837C2"/>
    <w:rsid w:val="006A6BB3"/>
    <w:rsid w:val="006B2544"/>
    <w:rsid w:val="006B5406"/>
    <w:rsid w:val="006C26CD"/>
    <w:rsid w:val="006C6741"/>
    <w:rsid w:val="006D5EE5"/>
    <w:rsid w:val="006F01D0"/>
    <w:rsid w:val="006F1063"/>
    <w:rsid w:val="006F7B14"/>
    <w:rsid w:val="007029B2"/>
    <w:rsid w:val="007216D6"/>
    <w:rsid w:val="007258CE"/>
    <w:rsid w:val="00733949"/>
    <w:rsid w:val="007341B9"/>
    <w:rsid w:val="00740E26"/>
    <w:rsid w:val="0074446C"/>
    <w:rsid w:val="00750CA6"/>
    <w:rsid w:val="0075213B"/>
    <w:rsid w:val="007606CC"/>
    <w:rsid w:val="00760B63"/>
    <w:rsid w:val="00763A8C"/>
    <w:rsid w:val="007661CA"/>
    <w:rsid w:val="00770DCB"/>
    <w:rsid w:val="00771036"/>
    <w:rsid w:val="00773ABA"/>
    <w:rsid w:val="00775485"/>
    <w:rsid w:val="007813A9"/>
    <w:rsid w:val="007A4BEB"/>
    <w:rsid w:val="007B06AF"/>
    <w:rsid w:val="007B29FE"/>
    <w:rsid w:val="007D302D"/>
    <w:rsid w:val="0080709D"/>
    <w:rsid w:val="00843708"/>
    <w:rsid w:val="008724DE"/>
    <w:rsid w:val="00872B47"/>
    <w:rsid w:val="00884C6C"/>
    <w:rsid w:val="008940CB"/>
    <w:rsid w:val="00896A18"/>
    <w:rsid w:val="008B3662"/>
    <w:rsid w:val="008B4C13"/>
    <w:rsid w:val="008C1E2E"/>
    <w:rsid w:val="008D50A3"/>
    <w:rsid w:val="008D6140"/>
    <w:rsid w:val="008E3D60"/>
    <w:rsid w:val="008E4142"/>
    <w:rsid w:val="008E675D"/>
    <w:rsid w:val="0090165F"/>
    <w:rsid w:val="00912750"/>
    <w:rsid w:val="00915494"/>
    <w:rsid w:val="00924538"/>
    <w:rsid w:val="00930775"/>
    <w:rsid w:val="009579BC"/>
    <w:rsid w:val="0096191F"/>
    <w:rsid w:val="009644AC"/>
    <w:rsid w:val="00966C2F"/>
    <w:rsid w:val="00990811"/>
    <w:rsid w:val="009A4AC4"/>
    <w:rsid w:val="009A6FDA"/>
    <w:rsid w:val="009C2117"/>
    <w:rsid w:val="009C3517"/>
    <w:rsid w:val="009F4EF5"/>
    <w:rsid w:val="009F5BF6"/>
    <w:rsid w:val="009F5DBF"/>
    <w:rsid w:val="00A0406E"/>
    <w:rsid w:val="00A055B8"/>
    <w:rsid w:val="00A32F15"/>
    <w:rsid w:val="00A41355"/>
    <w:rsid w:val="00A43B92"/>
    <w:rsid w:val="00A51B69"/>
    <w:rsid w:val="00A57BA6"/>
    <w:rsid w:val="00A6179E"/>
    <w:rsid w:val="00A8147A"/>
    <w:rsid w:val="00A839DA"/>
    <w:rsid w:val="00A90494"/>
    <w:rsid w:val="00A9225B"/>
    <w:rsid w:val="00A9761E"/>
    <w:rsid w:val="00AB0333"/>
    <w:rsid w:val="00AB19E3"/>
    <w:rsid w:val="00AF0B00"/>
    <w:rsid w:val="00AF5D96"/>
    <w:rsid w:val="00B00AA0"/>
    <w:rsid w:val="00B061A6"/>
    <w:rsid w:val="00B0666A"/>
    <w:rsid w:val="00B10447"/>
    <w:rsid w:val="00B15F40"/>
    <w:rsid w:val="00B17A2D"/>
    <w:rsid w:val="00B25753"/>
    <w:rsid w:val="00B277E0"/>
    <w:rsid w:val="00B53A65"/>
    <w:rsid w:val="00B741DA"/>
    <w:rsid w:val="00BA262D"/>
    <w:rsid w:val="00BB0523"/>
    <w:rsid w:val="00BC4867"/>
    <w:rsid w:val="00BC4967"/>
    <w:rsid w:val="00BD400C"/>
    <w:rsid w:val="00BD5D18"/>
    <w:rsid w:val="00BE0C5F"/>
    <w:rsid w:val="00BF1C1B"/>
    <w:rsid w:val="00C006BF"/>
    <w:rsid w:val="00C2170F"/>
    <w:rsid w:val="00C22CB2"/>
    <w:rsid w:val="00C25BDA"/>
    <w:rsid w:val="00C6586A"/>
    <w:rsid w:val="00C66C3E"/>
    <w:rsid w:val="00C71D32"/>
    <w:rsid w:val="00C87F1C"/>
    <w:rsid w:val="00CA0D78"/>
    <w:rsid w:val="00CB27C1"/>
    <w:rsid w:val="00CC0BF1"/>
    <w:rsid w:val="00CD0DC7"/>
    <w:rsid w:val="00CD5307"/>
    <w:rsid w:val="00CE6010"/>
    <w:rsid w:val="00CE789A"/>
    <w:rsid w:val="00CF0AE8"/>
    <w:rsid w:val="00CF1F27"/>
    <w:rsid w:val="00CF5338"/>
    <w:rsid w:val="00D1390E"/>
    <w:rsid w:val="00D174F6"/>
    <w:rsid w:val="00D17F4B"/>
    <w:rsid w:val="00D2089B"/>
    <w:rsid w:val="00D40140"/>
    <w:rsid w:val="00D41936"/>
    <w:rsid w:val="00D41C6C"/>
    <w:rsid w:val="00D435BB"/>
    <w:rsid w:val="00D50043"/>
    <w:rsid w:val="00D53B48"/>
    <w:rsid w:val="00D6343F"/>
    <w:rsid w:val="00D65207"/>
    <w:rsid w:val="00D65C76"/>
    <w:rsid w:val="00D82DF7"/>
    <w:rsid w:val="00D938FD"/>
    <w:rsid w:val="00DA2F73"/>
    <w:rsid w:val="00DB5526"/>
    <w:rsid w:val="00DC462F"/>
    <w:rsid w:val="00DD0897"/>
    <w:rsid w:val="00DD5494"/>
    <w:rsid w:val="00DE047A"/>
    <w:rsid w:val="00DE3578"/>
    <w:rsid w:val="00E00C31"/>
    <w:rsid w:val="00E02C97"/>
    <w:rsid w:val="00E14A38"/>
    <w:rsid w:val="00E2028B"/>
    <w:rsid w:val="00E20376"/>
    <w:rsid w:val="00E235D7"/>
    <w:rsid w:val="00E24FA3"/>
    <w:rsid w:val="00E358CA"/>
    <w:rsid w:val="00E36B41"/>
    <w:rsid w:val="00E3772A"/>
    <w:rsid w:val="00E37F61"/>
    <w:rsid w:val="00E40E96"/>
    <w:rsid w:val="00E42163"/>
    <w:rsid w:val="00E45954"/>
    <w:rsid w:val="00E61000"/>
    <w:rsid w:val="00E62AA9"/>
    <w:rsid w:val="00EA52F2"/>
    <w:rsid w:val="00EA746B"/>
    <w:rsid w:val="00EC12C2"/>
    <w:rsid w:val="00EC637E"/>
    <w:rsid w:val="00EE1299"/>
    <w:rsid w:val="00EE50BC"/>
    <w:rsid w:val="00EF48A1"/>
    <w:rsid w:val="00EF6E02"/>
    <w:rsid w:val="00F03EC0"/>
    <w:rsid w:val="00F06794"/>
    <w:rsid w:val="00F14C6D"/>
    <w:rsid w:val="00F227B4"/>
    <w:rsid w:val="00F2494C"/>
    <w:rsid w:val="00F35BC7"/>
    <w:rsid w:val="00F44038"/>
    <w:rsid w:val="00F531CF"/>
    <w:rsid w:val="00F76F5E"/>
    <w:rsid w:val="00F813C7"/>
    <w:rsid w:val="00FA6159"/>
    <w:rsid w:val="00FA7B63"/>
    <w:rsid w:val="00FB625D"/>
    <w:rsid w:val="00FC3368"/>
    <w:rsid w:val="00FD43D3"/>
    <w:rsid w:val="00FD72F0"/>
    <w:rsid w:val="00FF1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20E19"/>
  <w15:chartTrackingRefBased/>
  <w15:docId w15:val="{499CA722-2768-4295-AF18-3323D5A3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text" w:qFormat="1"/>
    <w:lsdException w:name="table of authorities" w:locked="1"/>
    <w:lsdException w:name="macro" w:locked="1"/>
    <w:lsdException w:name="toa heading" w:locked="1"/>
    <w:lsdException w:name="List" w:locked="1"/>
    <w:lsdException w:name="List Bullet" w:locked="1" w:qFormat="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rPr>
  </w:style>
  <w:style w:type="character" w:customStyle="1" w:styleId="Heading2Char">
    <w:name w:val="Heading 2 Char"/>
    <w:link w:val="Heading2"/>
    <w:rsid w:val="00D65207"/>
    <w:rPr>
      <w:rFonts w:ascii="Arial" w:hAnsi="Arial"/>
      <w:b/>
      <w:i/>
      <w:color w:val="000000"/>
      <w:sz w:val="28"/>
      <w:szCs w:val="26"/>
    </w:rPr>
  </w:style>
  <w:style w:type="character" w:customStyle="1" w:styleId="Heading3Char">
    <w:name w:val="Heading 3 Char"/>
    <w:link w:val="Heading3"/>
    <w:rsid w:val="00D65207"/>
    <w:rPr>
      <w:rFonts w:ascii="Arial" w:hAnsi="Arial"/>
      <w:bCs/>
      <w:i/>
      <w:sz w:val="24"/>
      <w:szCs w:val="26"/>
    </w:rPr>
  </w:style>
  <w:style w:type="character" w:customStyle="1" w:styleId="Heading4Char">
    <w:name w:val="Heading 4 Char"/>
    <w:link w:val="Heading4"/>
    <w:rsid w:val="00D65207"/>
    <w:rPr>
      <w:rFonts w:ascii="Arial"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D65207"/>
    <w:rPr>
      <w:rFonts w:ascii="Cambria" w:hAnsi="Cambria"/>
      <w:color w:val="243F60"/>
      <w:sz w:val="24"/>
      <w:szCs w:val="24"/>
    </w:rPr>
  </w:style>
  <w:style w:type="character" w:customStyle="1" w:styleId="Heading6Char">
    <w:name w:val="Heading 6 Char"/>
    <w:link w:val="Heading6"/>
    <w:rsid w:val="00D65207"/>
    <w:rPr>
      <w:rFonts w:ascii="Cambria" w:hAnsi="Cambria"/>
      <w:i/>
      <w:iCs/>
      <w:color w:val="243F60"/>
      <w:sz w:val="24"/>
      <w:szCs w:val="24"/>
    </w:rPr>
  </w:style>
  <w:style w:type="character" w:customStyle="1" w:styleId="Heading7Char">
    <w:name w:val="Heading 7 Char"/>
    <w:link w:val="Heading7"/>
    <w:rsid w:val="00D65207"/>
    <w:rPr>
      <w:rFonts w:ascii="Cambria" w:hAnsi="Cambria"/>
      <w:i/>
      <w:iCs/>
      <w:color w:val="404040"/>
      <w:sz w:val="24"/>
      <w:szCs w:val="24"/>
    </w:rPr>
  </w:style>
  <w:style w:type="character" w:customStyle="1" w:styleId="Heading8Char">
    <w:name w:val="Heading 8 Char"/>
    <w:link w:val="Heading8"/>
    <w:rsid w:val="00D65207"/>
    <w:rPr>
      <w:rFonts w:ascii="Cambria" w:hAnsi="Cambria"/>
      <w:color w:val="404040"/>
    </w:rPr>
  </w:style>
  <w:style w:type="character" w:customStyle="1" w:styleId="Heading9Char">
    <w:name w:val="Heading 9 Char"/>
    <w:link w:val="Heading9"/>
    <w:rsid w:val="00D65207"/>
    <w:rPr>
      <w:rFonts w:ascii="Cambria"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qFormat/>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rsid w:val="004510B9"/>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qFormat/>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15"/>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locked/>
    <w:rsid w:val="0061324D"/>
    <w:rPr>
      <w:rFonts w:ascii="Arial" w:hAnsi="Arial"/>
      <w:lang w:bidi="ar-SA"/>
    </w:rPr>
  </w:style>
  <w:style w:type="paragraph" w:styleId="ListParagraph">
    <w:name w:val="List Paragraph"/>
    <w:aliases w:val="L,List Paragraph1,List Paragraph11,Recommendation,EOT List Paragraph"/>
    <w:basedOn w:val="Normal"/>
    <w:link w:val="ListParagraphChar"/>
    <w:uiPriority w:val="34"/>
    <w:qFormat/>
    <w:rsid w:val="00FD43D3"/>
    <w:pPr>
      <w:ind w:left="720"/>
      <w:contextualSpacing/>
    </w:pPr>
  </w:style>
  <w:style w:type="paragraph" w:styleId="BalloonText">
    <w:name w:val="Balloon Text"/>
    <w:basedOn w:val="Normal"/>
    <w:link w:val="BalloonTextChar"/>
    <w:locked/>
    <w:rsid w:val="001D6D76"/>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1D6D76"/>
    <w:rPr>
      <w:rFonts w:ascii="Segoe UI" w:hAnsi="Segoe UI" w:cs="Segoe UI"/>
      <w:sz w:val="18"/>
      <w:szCs w:val="18"/>
    </w:rPr>
  </w:style>
  <w:style w:type="character" w:customStyle="1" w:styleId="ListParagraphChar">
    <w:name w:val="List Paragraph Char"/>
    <w:aliases w:val="L Char,List Paragraph1 Char,List Paragraph11 Char,Recommendation Char,EOT List Paragraph Char"/>
    <w:link w:val="ListParagraph"/>
    <w:uiPriority w:val="34"/>
    <w:locked/>
    <w:rsid w:val="00501946"/>
    <w:rPr>
      <w:rFonts w:ascii="Arial" w:hAnsi="Arial"/>
      <w:sz w:val="24"/>
      <w:szCs w:val="24"/>
    </w:rPr>
  </w:style>
  <w:style w:type="character" w:styleId="CommentReference">
    <w:name w:val="annotation reference"/>
    <w:basedOn w:val="DefaultParagraphFont"/>
    <w:locked/>
    <w:rsid w:val="00E358CA"/>
    <w:rPr>
      <w:sz w:val="16"/>
      <w:szCs w:val="16"/>
    </w:rPr>
  </w:style>
  <w:style w:type="paragraph" w:styleId="CommentText">
    <w:name w:val="annotation text"/>
    <w:basedOn w:val="Normal"/>
    <w:link w:val="CommentTextChar"/>
    <w:locked/>
    <w:rsid w:val="00E358CA"/>
    <w:rPr>
      <w:sz w:val="20"/>
      <w:szCs w:val="20"/>
    </w:rPr>
  </w:style>
  <w:style w:type="character" w:customStyle="1" w:styleId="CommentTextChar">
    <w:name w:val="Comment Text Char"/>
    <w:basedOn w:val="DefaultParagraphFont"/>
    <w:link w:val="CommentText"/>
    <w:rsid w:val="00E358CA"/>
    <w:rPr>
      <w:rFonts w:ascii="Arial" w:hAnsi="Arial"/>
    </w:rPr>
  </w:style>
  <w:style w:type="paragraph" w:styleId="CommentSubject">
    <w:name w:val="annotation subject"/>
    <w:basedOn w:val="CommentText"/>
    <w:next w:val="CommentText"/>
    <w:link w:val="CommentSubjectChar"/>
    <w:locked/>
    <w:rsid w:val="00E358CA"/>
    <w:rPr>
      <w:b/>
      <w:bCs/>
    </w:rPr>
  </w:style>
  <w:style w:type="character" w:customStyle="1" w:styleId="CommentSubjectChar">
    <w:name w:val="Comment Subject Char"/>
    <w:basedOn w:val="CommentTextChar"/>
    <w:link w:val="CommentSubject"/>
    <w:rsid w:val="00E358CA"/>
    <w:rPr>
      <w:rFonts w:ascii="Arial" w:hAnsi="Arial"/>
      <w:b/>
      <w:bCs/>
    </w:rPr>
  </w:style>
  <w:style w:type="numbering" w:customStyle="1" w:styleId="StyleNumbered1">
    <w:name w:val="Style Numbered1"/>
    <w:basedOn w:val="NoList"/>
    <w:semiHidden/>
    <w:rsid w:val="00F76F5E"/>
  </w:style>
  <w:style w:type="paragraph" w:customStyle="1" w:styleId="Normal1">
    <w:name w:val="Normal1"/>
    <w:basedOn w:val="Normal"/>
    <w:link w:val="Normal1Char"/>
    <w:qFormat/>
    <w:rsid w:val="00A57BA6"/>
    <w:pPr>
      <w:spacing w:before="0"/>
    </w:pPr>
    <w:rPr>
      <w:bCs/>
      <w:lang w:val="en"/>
    </w:rPr>
  </w:style>
  <w:style w:type="character" w:customStyle="1" w:styleId="Normal1Char">
    <w:name w:val="Normal1 Char"/>
    <w:basedOn w:val="DefaultParagraphFont"/>
    <w:link w:val="Normal1"/>
    <w:rsid w:val="00A57BA6"/>
    <w:rPr>
      <w:rFonts w:ascii="Arial" w:hAnsi="Arial"/>
      <w:bCs/>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332761442">
      <w:bodyDiv w:val="1"/>
      <w:marLeft w:val="0"/>
      <w:marRight w:val="0"/>
      <w:marTop w:val="0"/>
      <w:marBottom w:val="0"/>
      <w:divBdr>
        <w:top w:val="none" w:sz="0" w:space="0" w:color="auto"/>
        <w:left w:val="none" w:sz="0" w:space="0" w:color="auto"/>
        <w:bottom w:val="none" w:sz="0" w:space="0" w:color="auto"/>
        <w:right w:val="none" w:sz="0" w:space="0" w:color="auto"/>
      </w:divBdr>
    </w:div>
    <w:div w:id="1337608670">
      <w:bodyDiv w:val="1"/>
      <w:marLeft w:val="0"/>
      <w:marRight w:val="0"/>
      <w:marTop w:val="0"/>
      <w:marBottom w:val="0"/>
      <w:divBdr>
        <w:top w:val="none" w:sz="0" w:space="0" w:color="auto"/>
        <w:left w:val="none" w:sz="0" w:space="0" w:color="auto"/>
        <w:bottom w:val="none" w:sz="0" w:space="0" w:color="auto"/>
        <w:right w:val="none" w:sz="0" w:space="0" w:color="auto"/>
      </w:divBdr>
    </w:div>
    <w:div w:id="1801416029">
      <w:bodyDiv w:val="1"/>
      <w:marLeft w:val="0"/>
      <w:marRight w:val="0"/>
      <w:marTop w:val="0"/>
      <w:marBottom w:val="0"/>
      <w:divBdr>
        <w:top w:val="none" w:sz="0" w:space="0" w:color="auto"/>
        <w:left w:val="none" w:sz="0" w:space="0" w:color="auto"/>
        <w:bottom w:val="none" w:sz="0" w:space="0" w:color="auto"/>
        <w:right w:val="none" w:sz="0" w:space="0" w:color="auto"/>
      </w:divBdr>
      <w:divsChild>
        <w:div w:id="1168253457">
          <w:marLeft w:val="0"/>
          <w:marRight w:val="0"/>
          <w:marTop w:val="0"/>
          <w:marBottom w:val="0"/>
          <w:divBdr>
            <w:top w:val="none" w:sz="0" w:space="0" w:color="auto"/>
            <w:left w:val="none" w:sz="0" w:space="0" w:color="auto"/>
            <w:bottom w:val="none" w:sz="0" w:space="0" w:color="auto"/>
            <w:right w:val="none" w:sz="0" w:space="0" w:color="auto"/>
          </w:divBdr>
          <w:divsChild>
            <w:div w:id="1067150622">
              <w:marLeft w:val="0"/>
              <w:marRight w:val="0"/>
              <w:marTop w:val="0"/>
              <w:marBottom w:val="0"/>
              <w:divBdr>
                <w:top w:val="none" w:sz="0" w:space="0" w:color="auto"/>
                <w:left w:val="none" w:sz="0" w:space="0" w:color="auto"/>
                <w:bottom w:val="none" w:sz="0" w:space="0" w:color="auto"/>
                <w:right w:val="none" w:sz="0" w:space="0" w:color="auto"/>
              </w:divBdr>
              <w:divsChild>
                <w:div w:id="272984490">
                  <w:marLeft w:val="0"/>
                  <w:marRight w:val="0"/>
                  <w:marTop w:val="0"/>
                  <w:marBottom w:val="0"/>
                  <w:divBdr>
                    <w:top w:val="none" w:sz="0" w:space="0" w:color="auto"/>
                    <w:left w:val="none" w:sz="0" w:space="0" w:color="auto"/>
                    <w:bottom w:val="none" w:sz="0" w:space="0" w:color="auto"/>
                    <w:right w:val="none" w:sz="0" w:space="0" w:color="auto"/>
                  </w:divBdr>
                  <w:divsChild>
                    <w:div w:id="1881504994">
                      <w:marLeft w:val="0"/>
                      <w:marRight w:val="0"/>
                      <w:marTop w:val="0"/>
                      <w:marBottom w:val="0"/>
                      <w:divBdr>
                        <w:top w:val="none" w:sz="0" w:space="0" w:color="auto"/>
                        <w:left w:val="none" w:sz="0" w:space="0" w:color="auto"/>
                        <w:bottom w:val="none" w:sz="0" w:space="0" w:color="auto"/>
                        <w:right w:val="none" w:sz="0" w:space="0" w:color="auto"/>
                      </w:divBdr>
                      <w:divsChild>
                        <w:div w:id="2085449141">
                          <w:marLeft w:val="0"/>
                          <w:marRight w:val="0"/>
                          <w:marTop w:val="0"/>
                          <w:marBottom w:val="0"/>
                          <w:divBdr>
                            <w:top w:val="none" w:sz="0" w:space="0" w:color="auto"/>
                            <w:left w:val="none" w:sz="0" w:space="0" w:color="auto"/>
                            <w:bottom w:val="none" w:sz="0" w:space="0" w:color="auto"/>
                            <w:right w:val="none" w:sz="0" w:space="0" w:color="auto"/>
                          </w:divBdr>
                          <w:divsChild>
                            <w:div w:id="135879656">
                              <w:marLeft w:val="0"/>
                              <w:marRight w:val="0"/>
                              <w:marTop w:val="0"/>
                              <w:marBottom w:val="0"/>
                              <w:divBdr>
                                <w:top w:val="none" w:sz="0" w:space="0" w:color="auto"/>
                                <w:left w:val="none" w:sz="0" w:space="0" w:color="auto"/>
                                <w:bottom w:val="none" w:sz="0" w:space="0" w:color="auto"/>
                                <w:right w:val="none" w:sz="0" w:space="0" w:color="auto"/>
                              </w:divBdr>
                              <w:divsChild>
                                <w:div w:id="18967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52731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humanrights.gov.au/our-work/age-discrimination/publications/national-prevalence-survey-age-discrimination-workplace" TargetMode="External"/><Relationship Id="rId2" Type="http://schemas.openxmlformats.org/officeDocument/2006/relationships/hyperlink" Target="http://www.abs.gov.au/AUSSTATS/abs@.nsf/Lookup/4102.0Main+Features30Sep+2010" TargetMode="External"/><Relationship Id="rId1" Type="http://schemas.openxmlformats.org/officeDocument/2006/relationships/hyperlink" Target="http://www.abs.gov.au/AUSSTATS/abs@.nsf/Lookup/4102.0Main+Features30Sep+201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Blank%20Letterhead%20for%20Complaints%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BA2A6-6A3A-4DB6-8C9F-3BE2F534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Letterhead for Complaints .dot</Template>
  <TotalTime>4</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Carla Clement</dc:creator>
  <cp:keywords/>
  <cp:lastModifiedBy>Marlene Krasovitsky</cp:lastModifiedBy>
  <cp:revision>5</cp:revision>
  <cp:lastPrinted>2016-04-27T07:14:00Z</cp:lastPrinted>
  <dcterms:created xsi:type="dcterms:W3CDTF">2016-05-25T01:31:00Z</dcterms:created>
  <dcterms:modified xsi:type="dcterms:W3CDTF">2016-05-25T02:40:00Z</dcterms:modified>
</cp:coreProperties>
</file>