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494" w:rsidRPr="00223C7A" w:rsidRDefault="004F4AF6" w:rsidP="004F4AF6">
      <w:pPr>
        <w:spacing w:before="0" w:after="0"/>
        <w:jc w:val="center"/>
        <w:rPr>
          <w:rFonts w:cs="Arial"/>
          <w:b/>
          <w:sz w:val="28"/>
          <w:szCs w:val="28"/>
        </w:rPr>
      </w:pPr>
      <w:r w:rsidRPr="00223C7A">
        <w:rPr>
          <w:rFonts w:cs="Arial"/>
          <w:b/>
          <w:sz w:val="28"/>
          <w:szCs w:val="28"/>
        </w:rPr>
        <w:t>Willing to Work: National Inquiry into Employment Discrimination against Older Australians and Australians with Disability</w:t>
      </w:r>
    </w:p>
    <w:p w:rsidR="004F4AF6" w:rsidRPr="00223C7A" w:rsidRDefault="004F4AF6" w:rsidP="004F4AF6">
      <w:pPr>
        <w:spacing w:before="0" w:after="0"/>
        <w:jc w:val="center"/>
        <w:rPr>
          <w:rFonts w:cs="Arial"/>
          <w:b/>
          <w:sz w:val="28"/>
          <w:szCs w:val="28"/>
        </w:rPr>
      </w:pPr>
    </w:p>
    <w:p w:rsidR="004F4AF6" w:rsidRPr="00223C7A" w:rsidRDefault="00EE1299" w:rsidP="00AB0333">
      <w:pPr>
        <w:spacing w:before="0" w:after="0"/>
        <w:jc w:val="center"/>
        <w:rPr>
          <w:rFonts w:cs="Arial"/>
          <w:b/>
          <w:sz w:val="28"/>
          <w:szCs w:val="28"/>
        </w:rPr>
      </w:pPr>
      <w:r w:rsidRPr="00223C7A">
        <w:rPr>
          <w:rFonts w:cs="Arial"/>
          <w:b/>
          <w:sz w:val="28"/>
          <w:szCs w:val="28"/>
        </w:rPr>
        <w:t>Factsheet</w:t>
      </w:r>
      <w:r w:rsidR="000F5C85">
        <w:rPr>
          <w:rFonts w:cs="Arial"/>
          <w:b/>
          <w:sz w:val="28"/>
          <w:szCs w:val="28"/>
        </w:rPr>
        <w:t>: Australians with Disability</w:t>
      </w:r>
    </w:p>
    <w:p w:rsidR="0077193A" w:rsidRDefault="005D72EC" w:rsidP="0077193A">
      <w:pPr>
        <w:spacing w:after="0"/>
        <w:rPr>
          <w:rFonts w:cs="Arial"/>
          <w:color w:val="000000"/>
          <w:lang w:val="en-GB"/>
        </w:rPr>
      </w:pPr>
      <w:r>
        <w:rPr>
          <w:rFonts w:cs="Arial"/>
          <w:color w:val="000000"/>
          <w:lang w:val="en-GB"/>
        </w:rPr>
        <w:t>The Hon. Susan Ryan</w:t>
      </w:r>
      <w:r w:rsidR="0077193A" w:rsidRPr="00223C7A">
        <w:rPr>
          <w:rFonts w:cs="Arial"/>
          <w:color w:val="000000"/>
          <w:lang w:val="en-GB"/>
        </w:rPr>
        <w:t xml:space="preserve"> AO, Age and Disability Discrimination Commissioner, on behalf of the Australian Human Rights Commission, </w:t>
      </w:r>
      <w:r w:rsidR="0077193A">
        <w:rPr>
          <w:rFonts w:cs="Arial"/>
          <w:color w:val="000000"/>
          <w:lang w:val="en-GB"/>
        </w:rPr>
        <w:t xml:space="preserve">has </w:t>
      </w:r>
      <w:r w:rsidR="0077193A" w:rsidRPr="00223C7A">
        <w:rPr>
          <w:rFonts w:cs="Arial"/>
          <w:color w:val="000000"/>
          <w:lang w:val="en-GB"/>
        </w:rPr>
        <w:t xml:space="preserve">conducted a National Inquiry into employment discrimination against older Australians and Australians with disability. </w:t>
      </w:r>
    </w:p>
    <w:p w:rsidR="0077193A" w:rsidRDefault="0077193A" w:rsidP="0077193A">
      <w:pPr>
        <w:spacing w:after="0"/>
        <w:rPr>
          <w:rFonts w:cs="Arial"/>
          <w:color w:val="000000"/>
          <w:lang w:val="en-GB"/>
        </w:rPr>
      </w:pPr>
      <w:r>
        <w:rPr>
          <w:rFonts w:cs="Arial"/>
          <w:color w:val="000000"/>
          <w:lang w:val="en-GB"/>
        </w:rPr>
        <w:t xml:space="preserve">The terms of reference for the Inquiry were provided by </w:t>
      </w:r>
      <w:r w:rsidR="005D72EC">
        <w:rPr>
          <w:rFonts w:cs="Arial"/>
          <w:color w:val="000000"/>
          <w:lang w:val="en-GB"/>
        </w:rPr>
        <w:t xml:space="preserve">the </w:t>
      </w:r>
      <w:r>
        <w:rPr>
          <w:rFonts w:cs="Arial"/>
          <w:color w:val="000000"/>
          <w:lang w:val="en-GB"/>
        </w:rPr>
        <w:t>Attorney General, Senator the Hon</w:t>
      </w:r>
      <w:r w:rsidR="005D72EC">
        <w:rPr>
          <w:rFonts w:cs="Arial"/>
          <w:color w:val="000000"/>
          <w:lang w:val="en-GB"/>
        </w:rPr>
        <w:t>.</w:t>
      </w:r>
      <w:r>
        <w:rPr>
          <w:rFonts w:cs="Arial"/>
          <w:color w:val="000000"/>
          <w:lang w:val="en-GB"/>
        </w:rPr>
        <w:t xml:space="preserve"> George Brandis QC, and asked the </w:t>
      </w:r>
      <w:r w:rsidRPr="007B29FE">
        <w:rPr>
          <w:rFonts w:cs="Arial"/>
          <w:color w:val="000000"/>
          <w:lang w:val="en-GB"/>
        </w:rPr>
        <w:t>Australian Human Rights Commission</w:t>
      </w:r>
      <w:r>
        <w:rPr>
          <w:rFonts w:cs="Arial"/>
          <w:color w:val="000000"/>
          <w:lang w:val="en-GB"/>
        </w:rPr>
        <w:t xml:space="preserve"> to:  </w:t>
      </w:r>
    </w:p>
    <w:p w:rsidR="0077193A" w:rsidRPr="007A4BEB" w:rsidRDefault="0077193A" w:rsidP="0077193A">
      <w:pPr>
        <w:pStyle w:val="ListParagraph"/>
        <w:numPr>
          <w:ilvl w:val="0"/>
          <w:numId w:val="19"/>
        </w:numPr>
        <w:spacing w:after="0"/>
        <w:rPr>
          <w:rFonts w:cs="Arial"/>
          <w:color w:val="000000"/>
          <w:lang w:val="en-GB"/>
        </w:rPr>
      </w:pPr>
      <w:r w:rsidRPr="007A4BEB">
        <w:rPr>
          <w:rFonts w:cs="Arial"/>
          <w:color w:val="000000"/>
          <w:lang w:val="en-GB"/>
        </w:rPr>
        <w:t xml:space="preserve">examine the </w:t>
      </w:r>
      <w:r w:rsidRPr="007A4BEB">
        <w:rPr>
          <w:rFonts w:cs="Arial"/>
          <w:bCs/>
          <w:lang w:val="en"/>
        </w:rPr>
        <w:t xml:space="preserve">barriers to employment for people with </w:t>
      </w:r>
      <w:r>
        <w:rPr>
          <w:rFonts w:cs="Arial"/>
          <w:bCs/>
          <w:lang w:val="en"/>
        </w:rPr>
        <w:t>disability and older people; and</w:t>
      </w:r>
    </w:p>
    <w:p w:rsidR="0077193A" w:rsidRPr="0077193A" w:rsidRDefault="0077193A" w:rsidP="00045F0D">
      <w:pPr>
        <w:pStyle w:val="ListParagraph"/>
        <w:numPr>
          <w:ilvl w:val="0"/>
          <w:numId w:val="19"/>
        </w:numPr>
        <w:spacing w:after="0"/>
        <w:rPr>
          <w:rFonts w:cs="Arial"/>
          <w:color w:val="000000"/>
          <w:lang w:val="en-GB"/>
        </w:rPr>
      </w:pPr>
      <w:r w:rsidRPr="007A4BEB">
        <w:rPr>
          <w:rFonts w:cs="Arial"/>
          <w:bCs/>
          <w:lang w:val="en"/>
        </w:rPr>
        <w:t xml:space="preserve">make recommendations about practices, attitudes and Commonwealth laws that should be changed, and actions that should be taken in order to address employment discrimination. </w:t>
      </w:r>
    </w:p>
    <w:p w:rsidR="00045F0D" w:rsidRDefault="00045F0D" w:rsidP="00045F0D">
      <w:pPr>
        <w:rPr>
          <w:b/>
        </w:rPr>
      </w:pPr>
      <w:r>
        <w:rPr>
          <w:b/>
        </w:rPr>
        <w:t xml:space="preserve">Key data </w:t>
      </w:r>
    </w:p>
    <w:p w:rsidR="0077193A" w:rsidRPr="0077193A" w:rsidRDefault="0077193A" w:rsidP="0077193A">
      <w:pPr>
        <w:spacing w:after="0"/>
        <w:rPr>
          <w:rFonts w:cs="Arial"/>
          <w:color w:val="000000"/>
          <w:lang w:val="en-GB"/>
        </w:rPr>
      </w:pPr>
      <w:r>
        <w:rPr>
          <w:rFonts w:cs="Arial"/>
          <w:color w:val="000000"/>
          <w:lang w:val="en-GB"/>
        </w:rPr>
        <w:t xml:space="preserve">The data included in the </w:t>
      </w:r>
      <w:r>
        <w:rPr>
          <w:rFonts w:cs="Arial"/>
          <w:i/>
          <w:color w:val="000000"/>
          <w:lang w:val="en-GB"/>
        </w:rPr>
        <w:t>Willing to Work</w:t>
      </w:r>
      <w:r>
        <w:rPr>
          <w:rFonts w:cs="Arial"/>
          <w:color w:val="000000"/>
          <w:lang w:val="en-GB"/>
        </w:rPr>
        <w:t xml:space="preserve"> Report highlights the widespread nature of discrimination against people with disability in employment: </w:t>
      </w:r>
    </w:p>
    <w:p w:rsidR="00045F0D" w:rsidRPr="000F5C85" w:rsidRDefault="00045F0D" w:rsidP="002F40E7">
      <w:pPr>
        <w:pStyle w:val="ListParagraph"/>
        <w:numPr>
          <w:ilvl w:val="0"/>
          <w:numId w:val="18"/>
        </w:numPr>
      </w:pPr>
      <w:r w:rsidRPr="000F5C85">
        <w:t>In 2015, 53.4% of people with disability were participating in the labour force, compared with 83.2% of people without disability.</w:t>
      </w:r>
      <w:r w:rsidR="00DD0897" w:rsidRPr="000F5C85">
        <w:rPr>
          <w:bCs/>
          <w:sz w:val="20"/>
          <w:vertAlign w:val="superscript"/>
          <w:lang w:val="en"/>
        </w:rPr>
        <w:endnoteReference w:id="1"/>
      </w:r>
      <w:r w:rsidR="00DD0897" w:rsidRPr="000F5C85">
        <w:t xml:space="preserve"> This figure has changed very little over the past 20 years. </w:t>
      </w:r>
    </w:p>
    <w:p w:rsidR="00EC637E" w:rsidRPr="000F5C85" w:rsidRDefault="00EC637E" w:rsidP="00EC637E">
      <w:pPr>
        <w:pStyle w:val="ListParagraph"/>
      </w:pPr>
    </w:p>
    <w:p w:rsidR="00045F0D" w:rsidRPr="000F5C85" w:rsidRDefault="00DD0897" w:rsidP="002F40E7">
      <w:pPr>
        <w:pStyle w:val="ListParagraph"/>
        <w:numPr>
          <w:ilvl w:val="0"/>
          <w:numId w:val="18"/>
        </w:numPr>
        <w:autoSpaceDE w:val="0"/>
        <w:autoSpaceDN w:val="0"/>
        <w:adjustRightInd w:val="0"/>
        <w:spacing w:before="0" w:after="0"/>
        <w:rPr>
          <w:rFonts w:cs="Arial"/>
          <w:bCs/>
          <w:lang w:val="en"/>
        </w:rPr>
      </w:pPr>
      <w:r w:rsidRPr="000F5C85">
        <w:rPr>
          <w:rFonts w:cs="Arial"/>
        </w:rPr>
        <w:t xml:space="preserve">People with disability are less likely to be employed full-time </w:t>
      </w:r>
      <w:r w:rsidR="00045F0D" w:rsidRPr="000F5C85">
        <w:rPr>
          <w:rFonts w:cs="Arial"/>
        </w:rPr>
        <w:t xml:space="preserve">(27.0%) </w:t>
      </w:r>
      <w:r w:rsidRPr="000F5C85">
        <w:rPr>
          <w:rFonts w:cs="Arial"/>
        </w:rPr>
        <w:t xml:space="preserve">than people </w:t>
      </w:r>
      <w:r w:rsidR="00045F0D" w:rsidRPr="000F5C85">
        <w:rPr>
          <w:rFonts w:cs="Arial"/>
        </w:rPr>
        <w:t>without disability (53.8%).</w:t>
      </w:r>
      <w:r w:rsidR="00045F0D" w:rsidRPr="000F5C85">
        <w:rPr>
          <w:rFonts w:cs="Arial"/>
          <w:bCs/>
          <w:vertAlign w:val="superscript"/>
          <w:lang w:val="en"/>
        </w:rPr>
        <w:endnoteReference w:id="2"/>
      </w:r>
      <w:r w:rsidR="00045F0D" w:rsidRPr="000F5C85">
        <w:rPr>
          <w:rFonts w:cs="Arial"/>
        </w:rPr>
        <w:t xml:space="preserve"> </w:t>
      </w:r>
    </w:p>
    <w:p w:rsidR="00EC637E" w:rsidRPr="000F5C85" w:rsidRDefault="00EC637E" w:rsidP="00EC637E">
      <w:pPr>
        <w:pStyle w:val="ListParagraph"/>
        <w:rPr>
          <w:rFonts w:cs="Arial"/>
          <w:bCs/>
          <w:lang w:val="en"/>
        </w:rPr>
      </w:pPr>
    </w:p>
    <w:p w:rsidR="00045F0D" w:rsidRPr="000F5C85" w:rsidRDefault="00045F0D" w:rsidP="002F40E7">
      <w:pPr>
        <w:pStyle w:val="ListParagraph"/>
        <w:numPr>
          <w:ilvl w:val="0"/>
          <w:numId w:val="18"/>
        </w:numPr>
        <w:autoSpaceDE w:val="0"/>
        <w:autoSpaceDN w:val="0"/>
        <w:adjustRightInd w:val="0"/>
        <w:spacing w:before="0" w:after="0"/>
        <w:rPr>
          <w:rFonts w:cs="Arial"/>
        </w:rPr>
      </w:pPr>
      <w:r w:rsidRPr="000F5C85">
        <w:rPr>
          <w:rFonts w:cs="Arial"/>
        </w:rPr>
        <w:t>Australians with disability are more likely to be unemployed (10.0% compared with 5.3%</w:t>
      </w:r>
      <w:r w:rsidR="001630DE" w:rsidRPr="000F5C85">
        <w:rPr>
          <w:rFonts w:cs="Arial"/>
        </w:rPr>
        <w:t xml:space="preserve"> for those without disability</w:t>
      </w:r>
      <w:r w:rsidRPr="000F5C85">
        <w:rPr>
          <w:rFonts w:cs="Arial"/>
        </w:rPr>
        <w:t>)</w:t>
      </w:r>
      <w:r w:rsidRPr="000F5C85">
        <w:rPr>
          <w:rFonts w:eastAsia="MS Mincho" w:cs="Arial"/>
          <w:bCs/>
          <w:vertAlign w:val="superscript"/>
          <w:lang w:val="en"/>
        </w:rPr>
        <w:endnoteReference w:id="3"/>
      </w:r>
      <w:r w:rsidRPr="000F5C85">
        <w:rPr>
          <w:rFonts w:cs="Arial"/>
        </w:rPr>
        <w:t xml:space="preserve"> </w:t>
      </w:r>
      <w:r w:rsidR="001630DE" w:rsidRPr="000F5C85">
        <w:rPr>
          <w:rFonts w:cs="Arial"/>
        </w:rPr>
        <w:t xml:space="preserve">and face longer periods of unemployment </w:t>
      </w:r>
      <w:r w:rsidRPr="000F5C85">
        <w:rPr>
          <w:rFonts w:cs="Arial"/>
          <w:bCs/>
          <w:lang w:val="en"/>
        </w:rPr>
        <w:t>than people without disability.</w:t>
      </w:r>
      <w:r w:rsidRPr="000F5C85">
        <w:rPr>
          <w:rFonts w:cs="Arial"/>
          <w:bCs/>
          <w:vertAlign w:val="superscript"/>
          <w:lang w:val="en"/>
        </w:rPr>
        <w:t xml:space="preserve"> </w:t>
      </w:r>
      <w:r w:rsidRPr="000F5C85">
        <w:rPr>
          <w:rFonts w:cs="Arial"/>
          <w:bCs/>
          <w:vertAlign w:val="superscript"/>
          <w:lang w:val="en"/>
        </w:rPr>
        <w:endnoteReference w:id="4"/>
      </w:r>
      <w:r w:rsidRPr="000F5C85">
        <w:rPr>
          <w:rFonts w:cs="Arial"/>
          <w:bCs/>
          <w:lang w:val="en"/>
        </w:rPr>
        <w:t xml:space="preserve"> </w:t>
      </w:r>
    </w:p>
    <w:p w:rsidR="00085A6B" w:rsidRPr="004E79E2" w:rsidRDefault="00085A6B" w:rsidP="00AF5D96">
      <w:pPr>
        <w:autoSpaceDE w:val="0"/>
        <w:autoSpaceDN w:val="0"/>
        <w:adjustRightInd w:val="0"/>
        <w:spacing w:before="0" w:after="0"/>
        <w:rPr>
          <w:rFonts w:cs="Arial"/>
          <w:b/>
        </w:rPr>
      </w:pPr>
    </w:p>
    <w:p w:rsidR="00556F05" w:rsidRPr="000F5C85" w:rsidRDefault="00556F05" w:rsidP="002F40E7">
      <w:pPr>
        <w:pStyle w:val="ListParagraph"/>
        <w:numPr>
          <w:ilvl w:val="0"/>
          <w:numId w:val="18"/>
        </w:numPr>
        <w:autoSpaceDE w:val="0"/>
        <w:autoSpaceDN w:val="0"/>
        <w:adjustRightInd w:val="0"/>
        <w:spacing w:before="0" w:after="0"/>
        <w:rPr>
          <w:rFonts w:cs="Arial"/>
        </w:rPr>
      </w:pPr>
      <w:r w:rsidRPr="000F5C85">
        <w:rPr>
          <w:rFonts w:cs="Arial"/>
        </w:rPr>
        <w:t>A</w:t>
      </w:r>
      <w:r w:rsidR="00085A6B" w:rsidRPr="000F5C85">
        <w:rPr>
          <w:rFonts w:cs="Arial"/>
        </w:rPr>
        <w:t xml:space="preserve">lmost one in 12 Australians with disability (8.6%) reported </w:t>
      </w:r>
      <w:r w:rsidRPr="000F5C85">
        <w:rPr>
          <w:rFonts w:cs="Arial"/>
        </w:rPr>
        <w:t xml:space="preserve">that </w:t>
      </w:r>
      <w:r w:rsidR="00085A6B" w:rsidRPr="000F5C85">
        <w:rPr>
          <w:rFonts w:cs="Arial"/>
        </w:rPr>
        <w:t>they had experienced discrimination or unfair treatment because of their disability</w:t>
      </w:r>
      <w:r w:rsidRPr="000F5C85">
        <w:rPr>
          <w:rFonts w:cs="Arial"/>
        </w:rPr>
        <w:t xml:space="preserve"> in the past year</w:t>
      </w:r>
      <w:r w:rsidR="00085A6B" w:rsidRPr="000F5C85">
        <w:rPr>
          <w:rFonts w:cs="Arial"/>
        </w:rPr>
        <w:t xml:space="preserve">. </w:t>
      </w:r>
    </w:p>
    <w:p w:rsidR="00EC637E" w:rsidRPr="000F5C85" w:rsidRDefault="00EC637E" w:rsidP="00EC637E">
      <w:pPr>
        <w:pStyle w:val="ListParagraph"/>
        <w:autoSpaceDE w:val="0"/>
        <w:autoSpaceDN w:val="0"/>
        <w:adjustRightInd w:val="0"/>
        <w:spacing w:before="0" w:after="0"/>
        <w:rPr>
          <w:rFonts w:cs="Arial"/>
        </w:rPr>
      </w:pPr>
    </w:p>
    <w:p w:rsidR="00085A6B" w:rsidRPr="000F5C85" w:rsidRDefault="00556F05" w:rsidP="002F40E7">
      <w:pPr>
        <w:pStyle w:val="ListParagraph"/>
        <w:numPr>
          <w:ilvl w:val="0"/>
          <w:numId w:val="18"/>
        </w:numPr>
        <w:autoSpaceDE w:val="0"/>
        <w:autoSpaceDN w:val="0"/>
        <w:adjustRightInd w:val="0"/>
        <w:spacing w:before="0" w:after="0"/>
        <w:rPr>
          <w:rFonts w:cs="Arial"/>
        </w:rPr>
      </w:pPr>
      <w:r w:rsidRPr="000F5C85">
        <w:rPr>
          <w:rFonts w:cs="Arial"/>
        </w:rPr>
        <w:t>20.5% of y</w:t>
      </w:r>
      <w:r w:rsidR="00085A6B" w:rsidRPr="000F5C85">
        <w:rPr>
          <w:rFonts w:cs="Arial"/>
        </w:rPr>
        <w:t xml:space="preserve">oung people with disability (aged 15-24 years) </w:t>
      </w:r>
      <w:r w:rsidRPr="000F5C85">
        <w:rPr>
          <w:rFonts w:cs="Arial"/>
        </w:rPr>
        <w:t>reported</w:t>
      </w:r>
      <w:r w:rsidR="000922EF">
        <w:rPr>
          <w:rFonts w:cs="Arial"/>
        </w:rPr>
        <w:t xml:space="preserve"> experiencing discrimination.</w:t>
      </w:r>
    </w:p>
    <w:p w:rsidR="00EC637E" w:rsidRPr="000F5C85" w:rsidRDefault="00EC637E" w:rsidP="00EC637E">
      <w:pPr>
        <w:pStyle w:val="ListParagraph"/>
        <w:autoSpaceDE w:val="0"/>
        <w:autoSpaceDN w:val="0"/>
        <w:adjustRightInd w:val="0"/>
        <w:spacing w:before="0" w:after="0"/>
        <w:rPr>
          <w:rFonts w:cs="Arial"/>
          <w:bCs/>
          <w:lang w:val="en"/>
        </w:rPr>
      </w:pPr>
    </w:p>
    <w:p w:rsidR="00085A6B" w:rsidRPr="000F5C85" w:rsidRDefault="00556F05" w:rsidP="002F40E7">
      <w:pPr>
        <w:pStyle w:val="ListParagraph"/>
        <w:numPr>
          <w:ilvl w:val="0"/>
          <w:numId w:val="18"/>
        </w:numPr>
        <w:autoSpaceDE w:val="0"/>
        <w:autoSpaceDN w:val="0"/>
        <w:adjustRightInd w:val="0"/>
        <w:spacing w:before="0" w:after="0"/>
        <w:rPr>
          <w:rFonts w:cs="Arial"/>
          <w:bCs/>
          <w:lang w:val="en"/>
        </w:rPr>
      </w:pPr>
      <w:r w:rsidRPr="000F5C85">
        <w:rPr>
          <w:rFonts w:cs="Arial"/>
        </w:rPr>
        <w:lastRenderedPageBreak/>
        <w:t>A</w:t>
      </w:r>
      <w:r w:rsidR="00085A6B" w:rsidRPr="000F5C85">
        <w:rPr>
          <w:rFonts w:cs="Arial"/>
        </w:rPr>
        <w:t xml:space="preserve">lmost half of </w:t>
      </w:r>
      <w:r w:rsidRPr="000F5C85">
        <w:rPr>
          <w:rFonts w:cs="Arial"/>
        </w:rPr>
        <w:t>people with disability</w:t>
      </w:r>
      <w:r w:rsidR="00085A6B" w:rsidRPr="000F5C85">
        <w:rPr>
          <w:rFonts w:cs="Arial"/>
        </w:rPr>
        <w:t xml:space="preserve"> aged 15 to 64 years with disability who were unemployed (46.9%</w:t>
      </w:r>
      <w:r w:rsidRPr="000F5C85">
        <w:rPr>
          <w:rFonts w:cs="Arial"/>
        </w:rPr>
        <w:t>) or employed full-time (46.2%)</w:t>
      </w:r>
      <w:r w:rsidR="00D41936" w:rsidRPr="000F5C85">
        <w:rPr>
          <w:rFonts w:cs="Arial"/>
        </w:rPr>
        <w:t xml:space="preserve"> and over a third of those employed part-time (34.6%)</w:t>
      </w:r>
      <w:r w:rsidRPr="000F5C85">
        <w:rPr>
          <w:rFonts w:cs="Arial"/>
        </w:rPr>
        <w:t xml:space="preserve"> reported that the source of discrimination was an employer</w:t>
      </w:r>
      <w:r w:rsidR="00D41936" w:rsidRPr="000F5C85">
        <w:rPr>
          <w:rFonts w:cs="Arial"/>
        </w:rPr>
        <w:t>.</w:t>
      </w:r>
      <w:r w:rsidR="00085A6B" w:rsidRPr="000F5C85">
        <w:rPr>
          <w:rFonts w:cs="Arial"/>
        </w:rPr>
        <w:t xml:space="preserve"> </w:t>
      </w:r>
    </w:p>
    <w:p w:rsidR="00EC637E" w:rsidRPr="000F5C85" w:rsidRDefault="00EC637E" w:rsidP="00EC637E">
      <w:pPr>
        <w:pStyle w:val="ListParagraph"/>
        <w:autoSpaceDE w:val="0"/>
        <w:autoSpaceDN w:val="0"/>
        <w:adjustRightInd w:val="0"/>
        <w:spacing w:before="0" w:after="0"/>
        <w:rPr>
          <w:rFonts w:cs="Arial"/>
          <w:bCs/>
          <w:lang w:val="en"/>
        </w:rPr>
      </w:pPr>
    </w:p>
    <w:p w:rsidR="00C22CB2" w:rsidRPr="000F5C85" w:rsidRDefault="00C22CB2" w:rsidP="002F40E7">
      <w:pPr>
        <w:pStyle w:val="ListParagraph"/>
        <w:numPr>
          <w:ilvl w:val="0"/>
          <w:numId w:val="18"/>
        </w:numPr>
        <w:autoSpaceDE w:val="0"/>
        <w:autoSpaceDN w:val="0"/>
        <w:adjustRightInd w:val="0"/>
        <w:spacing w:before="0" w:after="0"/>
        <w:rPr>
          <w:rFonts w:cs="Arial"/>
          <w:bCs/>
          <w:lang w:val="en"/>
        </w:rPr>
      </w:pPr>
      <w:r w:rsidRPr="000F5C85">
        <w:rPr>
          <w:rFonts w:cs="Arial"/>
          <w:bCs/>
          <w:lang w:val="en"/>
        </w:rPr>
        <w:t xml:space="preserve">35.1% of women and 28.1% of men reported that they had avoided situations because of their disability in the past 12 months. </w:t>
      </w:r>
    </w:p>
    <w:p w:rsidR="00EC637E" w:rsidRPr="000F5C85" w:rsidRDefault="00EC637E" w:rsidP="00EC637E">
      <w:pPr>
        <w:pStyle w:val="ListParagraph"/>
        <w:autoSpaceDE w:val="0"/>
        <w:autoSpaceDN w:val="0"/>
        <w:adjustRightInd w:val="0"/>
        <w:spacing w:before="0" w:after="0"/>
        <w:rPr>
          <w:rFonts w:cs="Arial"/>
          <w:bCs/>
          <w:lang w:val="en"/>
        </w:rPr>
      </w:pPr>
    </w:p>
    <w:p w:rsidR="00085A6B" w:rsidRPr="00D101D7" w:rsidRDefault="00085A6B" w:rsidP="00AF5D96">
      <w:pPr>
        <w:pStyle w:val="ListParagraph"/>
        <w:numPr>
          <w:ilvl w:val="0"/>
          <w:numId w:val="18"/>
        </w:numPr>
        <w:autoSpaceDE w:val="0"/>
        <w:autoSpaceDN w:val="0"/>
        <w:adjustRightInd w:val="0"/>
        <w:spacing w:before="0" w:after="0"/>
        <w:rPr>
          <w:rFonts w:cs="Arial"/>
          <w:bCs/>
          <w:lang w:val="en"/>
        </w:rPr>
      </w:pPr>
      <w:r w:rsidRPr="000F5C85">
        <w:rPr>
          <w:rFonts w:cs="Arial"/>
          <w:bCs/>
          <w:lang w:val="en"/>
        </w:rPr>
        <w:t>In 2014–15 the Australian Human Rights Commission received 3,529 enquiries</w:t>
      </w:r>
      <w:r w:rsidR="00C22CB2" w:rsidRPr="000F5C85">
        <w:rPr>
          <w:rFonts w:cs="Arial"/>
          <w:bCs/>
          <w:lang w:val="en"/>
        </w:rPr>
        <w:t xml:space="preserve"> and 742 complaints</w:t>
      </w:r>
      <w:r w:rsidRPr="000F5C85">
        <w:rPr>
          <w:rFonts w:cs="Arial"/>
          <w:bCs/>
          <w:lang w:val="en"/>
        </w:rPr>
        <w:t xml:space="preserve"> about disability discrimination</w:t>
      </w:r>
      <w:r w:rsidR="00C22CB2" w:rsidRPr="000F5C85">
        <w:rPr>
          <w:rFonts w:cs="Arial"/>
          <w:bCs/>
          <w:lang w:val="en"/>
        </w:rPr>
        <w:t xml:space="preserve">. More than a third of enquiries (35.4%) and complaints (41.0%) were in the area of employment. </w:t>
      </w:r>
    </w:p>
    <w:p w:rsidR="0077193A" w:rsidRDefault="0077193A" w:rsidP="0077193A">
      <w:pPr>
        <w:rPr>
          <w:rFonts w:cs="Arial"/>
          <w:b/>
        </w:rPr>
      </w:pPr>
      <w:r>
        <w:rPr>
          <w:rFonts w:cs="Arial"/>
          <w:b/>
        </w:rPr>
        <w:t>The Inquiry’s findings and recommendations</w:t>
      </w:r>
    </w:p>
    <w:p w:rsidR="0077193A" w:rsidRDefault="0077193A" w:rsidP="0077193A">
      <w:pPr>
        <w:spacing w:before="0" w:after="0"/>
        <w:rPr>
          <w:bCs/>
          <w:lang w:val="en"/>
        </w:rPr>
      </w:pPr>
      <w:r w:rsidRPr="00896A18">
        <w:rPr>
          <w:rFonts w:cs="Arial"/>
        </w:rPr>
        <w:t>The</w:t>
      </w:r>
      <w:r w:rsidRPr="00896A18">
        <w:rPr>
          <w:rFonts w:cs="Arial"/>
          <w:i/>
        </w:rPr>
        <w:t xml:space="preserve"> Willing to Work</w:t>
      </w:r>
      <w:r w:rsidR="00B91491">
        <w:rPr>
          <w:rFonts w:cs="Arial"/>
        </w:rPr>
        <w:t xml:space="preserve"> R</w:t>
      </w:r>
      <w:r w:rsidRPr="00896A18">
        <w:rPr>
          <w:rFonts w:cs="Arial"/>
        </w:rPr>
        <w:t>eport contains 56 recommendations, 72 examples of good pra</w:t>
      </w:r>
      <w:r w:rsidR="005D72EC">
        <w:rPr>
          <w:rFonts w:cs="Arial"/>
        </w:rPr>
        <w:t>ctice from a range of employers,</w:t>
      </w:r>
      <w:r w:rsidRPr="00896A18">
        <w:rPr>
          <w:rFonts w:cs="Arial"/>
        </w:rPr>
        <w:t xml:space="preserve"> and 44 case studies outlining individual experiences. </w:t>
      </w:r>
      <w:r w:rsidRPr="000E0D97">
        <w:rPr>
          <w:bCs/>
          <w:lang w:val="en"/>
        </w:rPr>
        <w:t>The recommendations are grouped into three key themes:</w:t>
      </w:r>
    </w:p>
    <w:p w:rsidR="0077193A" w:rsidRPr="000E0D97" w:rsidRDefault="0077193A" w:rsidP="0077193A">
      <w:pPr>
        <w:spacing w:before="0" w:after="0"/>
        <w:rPr>
          <w:bCs/>
          <w:lang w:val="en"/>
        </w:rPr>
      </w:pPr>
    </w:p>
    <w:p w:rsidR="0077193A" w:rsidRPr="00D54EDB" w:rsidRDefault="0077193A" w:rsidP="0077193A">
      <w:pPr>
        <w:pStyle w:val="Normal1"/>
        <w:numPr>
          <w:ilvl w:val="0"/>
          <w:numId w:val="24"/>
        </w:numPr>
        <w:spacing w:after="0"/>
        <w:ind w:left="714" w:hanging="357"/>
      </w:pPr>
      <w:bookmarkStart w:id="0" w:name="_Toc449425393"/>
      <w:bookmarkStart w:id="1" w:name="_Toc449434858"/>
      <w:r>
        <w:t>Priority Government c</w:t>
      </w:r>
      <w:r w:rsidRPr="00D54EDB">
        <w:t>ommitments</w:t>
      </w:r>
      <w:bookmarkEnd w:id="0"/>
      <w:bookmarkEnd w:id="1"/>
    </w:p>
    <w:p w:rsidR="0077193A" w:rsidRPr="00D54EDB" w:rsidRDefault="0077193A" w:rsidP="0077193A">
      <w:pPr>
        <w:pStyle w:val="Normal1"/>
        <w:numPr>
          <w:ilvl w:val="0"/>
          <w:numId w:val="24"/>
        </w:numPr>
        <w:spacing w:after="0"/>
        <w:ind w:left="714" w:hanging="357"/>
      </w:pPr>
      <w:bookmarkStart w:id="2" w:name="_Toc449425394"/>
      <w:bookmarkStart w:id="3" w:name="_Toc449434859"/>
      <w:r w:rsidRPr="00D54EDB">
        <w:t>Improving existing systems</w:t>
      </w:r>
      <w:bookmarkEnd w:id="2"/>
      <w:bookmarkEnd w:id="3"/>
    </w:p>
    <w:p w:rsidR="0077193A" w:rsidRPr="00D54EDB" w:rsidRDefault="0077193A" w:rsidP="0077193A">
      <w:pPr>
        <w:pStyle w:val="Normal1"/>
        <w:numPr>
          <w:ilvl w:val="0"/>
          <w:numId w:val="24"/>
        </w:numPr>
        <w:spacing w:after="0"/>
        <w:ind w:left="714" w:hanging="357"/>
      </w:pPr>
      <w:bookmarkStart w:id="4" w:name="_Toc449425395"/>
      <w:bookmarkStart w:id="5" w:name="_Toc449434860"/>
      <w:r w:rsidRPr="00D54EDB">
        <w:t xml:space="preserve">What employers and business can </w:t>
      </w:r>
      <w:proofErr w:type="gramStart"/>
      <w:r w:rsidRPr="00D54EDB">
        <w:t>do</w:t>
      </w:r>
      <w:bookmarkEnd w:id="4"/>
      <w:bookmarkEnd w:id="5"/>
      <w:proofErr w:type="gramEnd"/>
    </w:p>
    <w:p w:rsidR="000F5C85" w:rsidRPr="000F5C85" w:rsidRDefault="000F5C85" w:rsidP="000F5C85">
      <w:pPr>
        <w:autoSpaceDE w:val="0"/>
        <w:autoSpaceDN w:val="0"/>
        <w:adjustRightInd w:val="0"/>
        <w:spacing w:before="0" w:after="0"/>
        <w:rPr>
          <w:rFonts w:cs="Arial"/>
          <w:bCs/>
          <w:lang w:val="en"/>
        </w:rPr>
      </w:pPr>
    </w:p>
    <w:p w:rsidR="0077193A" w:rsidRDefault="0077193A" w:rsidP="0077193A">
      <w:pPr>
        <w:autoSpaceDE w:val="0"/>
        <w:autoSpaceDN w:val="0"/>
        <w:adjustRightInd w:val="0"/>
        <w:spacing w:before="0" w:after="0"/>
        <w:rPr>
          <w:rFonts w:cs="Arial"/>
          <w:i/>
        </w:rPr>
      </w:pPr>
      <w:r>
        <w:rPr>
          <w:rFonts w:cs="Arial"/>
          <w:i/>
        </w:rPr>
        <w:t>Priority Government commitments</w:t>
      </w:r>
    </w:p>
    <w:p w:rsidR="00F227B4" w:rsidRDefault="00F227B4" w:rsidP="00F227B4">
      <w:pPr>
        <w:autoSpaceDE w:val="0"/>
        <w:autoSpaceDN w:val="0"/>
        <w:adjustRightInd w:val="0"/>
        <w:spacing w:before="0" w:after="0"/>
        <w:rPr>
          <w:rFonts w:cs="Arial"/>
          <w:b/>
          <w:bCs/>
          <w:lang w:val="en"/>
        </w:rPr>
      </w:pPr>
    </w:p>
    <w:p w:rsidR="0077193A" w:rsidRPr="00A230F6" w:rsidRDefault="0077193A" w:rsidP="00A230F6">
      <w:pPr>
        <w:spacing w:before="0" w:after="0"/>
      </w:pPr>
      <w:r w:rsidRPr="000E0D97">
        <w:t>Employment discrimination against p</w:t>
      </w:r>
      <w:r>
        <w:t>eople with disability is ongoing</w:t>
      </w:r>
      <w:r w:rsidRPr="000E0D97">
        <w:t xml:space="preserve"> and systemic. At the recruitment stage</w:t>
      </w:r>
      <w:r>
        <w:t>,</w:t>
      </w:r>
      <w:r w:rsidRPr="000E0D97">
        <w:t xml:space="preserve"> bias, inaccessibility and exclusion are recurring issues. People with disability face a conundrum regarding if, when and how to disclose their disability and can experience barriers in accessing necessary workplace adjustments and opportunities for career progression. Discrimination is underpinned by negative assumptions and attitudes that are held by many employers and throughout the community about the productivity and capability of people with disability and perceptions that they present a higher work health and safety risk.</w:t>
      </w:r>
    </w:p>
    <w:p w:rsidR="0077193A" w:rsidRPr="00A230F6" w:rsidRDefault="0077193A" w:rsidP="00A230F6">
      <w:pPr>
        <w:rPr>
          <w:rFonts w:cs="Arial"/>
        </w:rPr>
      </w:pPr>
      <w:r>
        <w:rPr>
          <w:rFonts w:cs="Arial"/>
        </w:rPr>
        <w:t>In order to address these negative assumptions and stereotypes</w:t>
      </w:r>
      <w:r w:rsidR="00A230F6">
        <w:rPr>
          <w:rFonts w:cs="Arial"/>
        </w:rPr>
        <w:t xml:space="preserve"> about people with disability</w:t>
      </w:r>
      <w:r>
        <w:rPr>
          <w:rFonts w:cs="Arial"/>
        </w:rPr>
        <w:t xml:space="preserve">, the Inquiry makes a number of recommendations, which include: </w:t>
      </w:r>
    </w:p>
    <w:p w:rsidR="0077193A" w:rsidRPr="00A57BA6" w:rsidRDefault="0077193A" w:rsidP="0077193A">
      <w:pPr>
        <w:pStyle w:val="ListParagraph"/>
        <w:numPr>
          <w:ilvl w:val="0"/>
          <w:numId w:val="25"/>
        </w:numPr>
        <w:rPr>
          <w:rFonts w:cs="Arial"/>
        </w:rPr>
      </w:pPr>
      <w:r>
        <w:rPr>
          <w:bCs/>
          <w:lang w:val="en"/>
        </w:rPr>
        <w:t xml:space="preserve">The development and implementation </w:t>
      </w:r>
      <w:r w:rsidRPr="00FC3368">
        <w:rPr>
          <w:bCs/>
          <w:lang w:val="en"/>
        </w:rPr>
        <w:t>of a national workforce strategy to lift the workforce par</w:t>
      </w:r>
      <w:r>
        <w:rPr>
          <w:bCs/>
          <w:lang w:val="en"/>
        </w:rPr>
        <w:t>ticipation of Australians</w:t>
      </w:r>
      <w:r w:rsidR="00A230F6">
        <w:rPr>
          <w:bCs/>
          <w:lang w:val="en"/>
        </w:rPr>
        <w:t xml:space="preserve"> with disability</w:t>
      </w:r>
      <w:r>
        <w:rPr>
          <w:bCs/>
          <w:lang w:val="en"/>
        </w:rPr>
        <w:t>.</w:t>
      </w:r>
    </w:p>
    <w:p w:rsidR="0077193A" w:rsidRPr="00A57BA6" w:rsidRDefault="0077193A" w:rsidP="0077193A">
      <w:pPr>
        <w:pStyle w:val="ListParagraph"/>
        <w:rPr>
          <w:rFonts w:cs="Arial"/>
        </w:rPr>
      </w:pPr>
    </w:p>
    <w:p w:rsidR="0077193A" w:rsidRPr="00A57BA6" w:rsidRDefault="0077193A" w:rsidP="0077193A">
      <w:pPr>
        <w:pStyle w:val="ListParagraph"/>
        <w:numPr>
          <w:ilvl w:val="0"/>
          <w:numId w:val="25"/>
        </w:numPr>
      </w:pPr>
      <w:r w:rsidRPr="00A57BA6">
        <w:rPr>
          <w:rFonts w:cs="Arial"/>
        </w:rPr>
        <w:t xml:space="preserve">The expansion of the </w:t>
      </w:r>
      <w:r w:rsidRPr="00A57BA6">
        <w:rPr>
          <w:lang w:val="en"/>
        </w:rPr>
        <w:t>the role of the Workplace Gender Equality Agency (WGEA) to become the Workplace Gender Equality and Diversity Agency, extending its</w:t>
      </w:r>
      <w:r>
        <w:rPr>
          <w:lang w:val="en"/>
        </w:rPr>
        <w:t xml:space="preserve"> current</w:t>
      </w:r>
      <w:r w:rsidRPr="00A57BA6">
        <w:rPr>
          <w:lang w:val="en"/>
        </w:rPr>
        <w:t xml:space="preserve"> functions to Australians</w:t>
      </w:r>
      <w:r w:rsidR="00A230F6">
        <w:rPr>
          <w:lang w:val="en"/>
        </w:rPr>
        <w:t xml:space="preserve"> with disability</w:t>
      </w:r>
      <w:r w:rsidRPr="00A57BA6">
        <w:rPr>
          <w:lang w:val="en"/>
        </w:rPr>
        <w:t xml:space="preserve">. </w:t>
      </w:r>
    </w:p>
    <w:p w:rsidR="0077193A" w:rsidRDefault="0077193A" w:rsidP="0077193A">
      <w:pPr>
        <w:pStyle w:val="ListParagraph"/>
      </w:pPr>
    </w:p>
    <w:p w:rsidR="0077193A" w:rsidRPr="00A57BA6" w:rsidRDefault="0077193A" w:rsidP="0077193A">
      <w:pPr>
        <w:pStyle w:val="ListParagraph"/>
        <w:numPr>
          <w:ilvl w:val="0"/>
          <w:numId w:val="25"/>
        </w:numPr>
      </w:pPr>
      <w:r>
        <w:t xml:space="preserve">The </w:t>
      </w:r>
      <w:r w:rsidRPr="00A57BA6">
        <w:rPr>
          <w:lang w:val="en"/>
        </w:rPr>
        <w:t>develop</w:t>
      </w:r>
      <w:r>
        <w:rPr>
          <w:lang w:val="en"/>
        </w:rPr>
        <w:t xml:space="preserve">ment and delivery of a </w:t>
      </w:r>
      <w:r w:rsidRPr="00A57BA6">
        <w:rPr>
          <w:lang w:val="en"/>
        </w:rPr>
        <w:t>sustained, focused national community edu</w:t>
      </w:r>
      <w:r>
        <w:rPr>
          <w:lang w:val="en"/>
        </w:rPr>
        <w:t>cation and information campaign</w:t>
      </w:r>
      <w:r w:rsidRPr="00A57BA6">
        <w:rPr>
          <w:lang w:val="en"/>
        </w:rPr>
        <w:t xml:space="preserve"> to </w:t>
      </w:r>
      <w:r w:rsidRPr="00A57BA6">
        <w:rPr>
          <w:rFonts w:cs="Arial"/>
        </w:rPr>
        <w:t xml:space="preserve">lift awareness </w:t>
      </w:r>
      <w:r>
        <w:rPr>
          <w:rFonts w:cs="Arial"/>
        </w:rPr>
        <w:t>of</w:t>
      </w:r>
      <w:r w:rsidRPr="00A57BA6">
        <w:rPr>
          <w:rFonts w:cs="Arial"/>
        </w:rPr>
        <w:t xml:space="preserve"> the economic benefits of employing people</w:t>
      </w:r>
      <w:r w:rsidR="00726B3A">
        <w:rPr>
          <w:rFonts w:cs="Arial"/>
        </w:rPr>
        <w:t xml:space="preserve"> with disability</w:t>
      </w:r>
      <w:r w:rsidRPr="00A57BA6">
        <w:rPr>
          <w:rFonts w:cs="Arial"/>
        </w:rPr>
        <w:t xml:space="preserve"> and</w:t>
      </w:r>
      <w:r>
        <w:rPr>
          <w:rFonts w:cs="Arial"/>
        </w:rPr>
        <w:t xml:space="preserve"> to</w:t>
      </w:r>
      <w:r w:rsidRPr="00A57BA6">
        <w:rPr>
          <w:rFonts w:cs="Arial"/>
        </w:rPr>
        <w:t xml:space="preserve"> dispel myths and stereotypes to change the way we value the contributions of people</w:t>
      </w:r>
      <w:r w:rsidR="00A230F6">
        <w:rPr>
          <w:rFonts w:cs="Arial"/>
        </w:rPr>
        <w:t xml:space="preserve"> with disability</w:t>
      </w:r>
      <w:r w:rsidRPr="00A57BA6">
        <w:rPr>
          <w:rFonts w:cs="Arial"/>
        </w:rPr>
        <w:t>.</w:t>
      </w:r>
    </w:p>
    <w:p w:rsidR="0077193A" w:rsidRDefault="0077193A" w:rsidP="0077193A">
      <w:pPr>
        <w:pStyle w:val="ListParagraph"/>
      </w:pPr>
    </w:p>
    <w:p w:rsidR="0077193A" w:rsidRPr="00D82DF7" w:rsidRDefault="0077193A" w:rsidP="0077193A">
      <w:pPr>
        <w:pStyle w:val="ListParagraph"/>
        <w:numPr>
          <w:ilvl w:val="0"/>
          <w:numId w:val="25"/>
        </w:numPr>
        <w:rPr>
          <w:rFonts w:cs="Arial"/>
        </w:rPr>
      </w:pPr>
      <w:r>
        <w:t xml:space="preserve">That the Australian </w:t>
      </w:r>
      <w:r w:rsidRPr="000E0D97">
        <w:t>Government</w:t>
      </w:r>
      <w:r>
        <w:t xml:space="preserve"> </w:t>
      </w:r>
      <w:r w:rsidRPr="000E0D97">
        <w:t xml:space="preserve">consider leveraging </w:t>
      </w:r>
      <w:r>
        <w:t>its position as</w:t>
      </w:r>
      <w:r w:rsidRPr="000E0D97">
        <w:t xml:space="preserve"> a major buyer of goods and services to encourage the labour force par</w:t>
      </w:r>
      <w:r>
        <w:t>ticipation of Australians</w:t>
      </w:r>
      <w:r w:rsidR="00A230F6">
        <w:t xml:space="preserve"> with disability</w:t>
      </w:r>
      <w:r>
        <w:t>.</w:t>
      </w:r>
    </w:p>
    <w:p w:rsidR="0077193A" w:rsidRPr="00D82DF7" w:rsidRDefault="0077193A" w:rsidP="0077193A">
      <w:pPr>
        <w:pStyle w:val="ListParagraph"/>
        <w:rPr>
          <w:rFonts w:cs="Arial"/>
        </w:rPr>
      </w:pPr>
    </w:p>
    <w:p w:rsidR="0077193A" w:rsidRPr="0077193A" w:rsidRDefault="0077193A" w:rsidP="0077193A">
      <w:pPr>
        <w:pStyle w:val="ListParagraph"/>
        <w:numPr>
          <w:ilvl w:val="0"/>
          <w:numId w:val="25"/>
        </w:numPr>
        <w:rPr>
          <w:rFonts w:cs="Arial"/>
        </w:rPr>
      </w:pPr>
      <w:r>
        <w:rPr>
          <w:rFonts w:cs="Arial"/>
        </w:rPr>
        <w:t>That Australian state</w:t>
      </w:r>
      <w:r w:rsidR="00B955EC">
        <w:rPr>
          <w:rFonts w:cs="Arial"/>
        </w:rPr>
        <w:t>, territory</w:t>
      </w:r>
      <w:r w:rsidR="00B91491">
        <w:rPr>
          <w:rFonts w:cs="Arial"/>
        </w:rPr>
        <w:t xml:space="preserve"> and federal g</w:t>
      </w:r>
      <w:r>
        <w:rPr>
          <w:rFonts w:cs="Arial"/>
        </w:rPr>
        <w:t>overnments take deliberate action to employ and retain more people</w:t>
      </w:r>
      <w:r w:rsidR="00A230F6">
        <w:rPr>
          <w:rFonts w:cs="Arial"/>
        </w:rPr>
        <w:t xml:space="preserve"> with disability</w:t>
      </w:r>
      <w:r>
        <w:rPr>
          <w:rFonts w:cs="Arial"/>
        </w:rPr>
        <w:t xml:space="preserve"> within their own respective workforces. </w:t>
      </w:r>
    </w:p>
    <w:p w:rsidR="0077193A" w:rsidRPr="008C1E2E" w:rsidRDefault="0077193A" w:rsidP="0077193A">
      <w:pPr>
        <w:rPr>
          <w:rFonts w:cs="Arial"/>
          <w:i/>
        </w:rPr>
      </w:pPr>
      <w:r>
        <w:rPr>
          <w:rFonts w:cs="Arial"/>
          <w:i/>
        </w:rPr>
        <w:t>Improving existing systems</w:t>
      </w:r>
    </w:p>
    <w:p w:rsidR="00726B3A" w:rsidRPr="000E0D97" w:rsidRDefault="00726B3A" w:rsidP="00726B3A">
      <w:pPr>
        <w:spacing w:before="0" w:after="0"/>
        <w:rPr>
          <w:lang w:val="en"/>
        </w:rPr>
      </w:pPr>
      <w:r w:rsidRPr="000E0D97">
        <w:rPr>
          <w:lang w:val="en"/>
        </w:rPr>
        <w:t>The Inquiry found that there are government policies</w:t>
      </w:r>
      <w:r w:rsidR="00ED63A6">
        <w:rPr>
          <w:lang w:val="en"/>
        </w:rPr>
        <w:t xml:space="preserve"> and programs</w:t>
      </w:r>
      <w:r w:rsidRPr="000E0D97">
        <w:rPr>
          <w:lang w:val="en"/>
        </w:rPr>
        <w:t xml:space="preserve"> in place which </w:t>
      </w:r>
      <w:r w:rsidR="00ED63A6">
        <w:rPr>
          <w:lang w:val="en"/>
        </w:rPr>
        <w:t>act as</w:t>
      </w:r>
      <w:r w:rsidRPr="000E0D97">
        <w:rPr>
          <w:lang w:val="en"/>
        </w:rPr>
        <w:t xml:space="preserve"> barriers to increasing workforce participation of people with disability and are </w:t>
      </w:r>
      <w:r w:rsidR="00ED63A6">
        <w:rPr>
          <w:lang w:val="en"/>
        </w:rPr>
        <w:t xml:space="preserve">therefore </w:t>
      </w:r>
      <w:r w:rsidRPr="000E0D97">
        <w:rPr>
          <w:lang w:val="en"/>
        </w:rPr>
        <w:t>in need of review</w:t>
      </w:r>
      <w:r w:rsidR="00ED63A6">
        <w:rPr>
          <w:lang w:val="en"/>
        </w:rPr>
        <w:t>. The</w:t>
      </w:r>
      <w:r w:rsidR="002838A5">
        <w:rPr>
          <w:lang w:val="en"/>
        </w:rPr>
        <w:t xml:space="preserve"> recommendations</w:t>
      </w:r>
      <w:r w:rsidR="00ED63A6">
        <w:rPr>
          <w:lang w:val="en"/>
        </w:rPr>
        <w:t xml:space="preserve"> to improve these existing systems</w:t>
      </w:r>
      <w:r w:rsidR="002838A5">
        <w:rPr>
          <w:lang w:val="en"/>
        </w:rPr>
        <w:t xml:space="preserve"> include: </w:t>
      </w:r>
      <w:r w:rsidRPr="000E0D97">
        <w:rPr>
          <w:lang w:val="en"/>
        </w:rPr>
        <w:t xml:space="preserve"> </w:t>
      </w:r>
    </w:p>
    <w:p w:rsidR="00726B3A" w:rsidRPr="000E0D97" w:rsidRDefault="00726B3A" w:rsidP="00726B3A">
      <w:pPr>
        <w:spacing w:before="0" w:after="0"/>
        <w:rPr>
          <w:b/>
          <w:lang w:val="en"/>
        </w:rPr>
      </w:pPr>
    </w:p>
    <w:p w:rsidR="002838A5" w:rsidRDefault="002838A5" w:rsidP="00726B3A">
      <w:pPr>
        <w:numPr>
          <w:ilvl w:val="0"/>
          <w:numId w:val="29"/>
        </w:numPr>
        <w:spacing w:before="0" w:after="0"/>
        <w:contextualSpacing/>
        <w:rPr>
          <w:lang w:val="en"/>
        </w:rPr>
      </w:pPr>
      <w:r>
        <w:rPr>
          <w:lang w:val="en"/>
        </w:rPr>
        <w:t xml:space="preserve">Amendments to the social security system to facilitate people’s transition from income support to work by providing clearer information and extending the period of </w:t>
      </w:r>
      <w:r w:rsidR="009B1FE8">
        <w:rPr>
          <w:lang w:val="en"/>
        </w:rPr>
        <w:t xml:space="preserve">eligibility to concession cards for individuals who obtain work. </w:t>
      </w:r>
    </w:p>
    <w:p w:rsidR="009B1FE8" w:rsidRDefault="009B1FE8" w:rsidP="009B1FE8">
      <w:pPr>
        <w:spacing w:before="0" w:after="0"/>
        <w:ind w:left="720"/>
        <w:contextualSpacing/>
        <w:rPr>
          <w:lang w:val="en"/>
        </w:rPr>
      </w:pPr>
    </w:p>
    <w:p w:rsidR="00B955EC" w:rsidRDefault="00D96CE1" w:rsidP="00B955EC">
      <w:pPr>
        <w:numPr>
          <w:ilvl w:val="0"/>
          <w:numId w:val="29"/>
        </w:numPr>
        <w:spacing w:before="0" w:after="0"/>
        <w:contextualSpacing/>
        <w:rPr>
          <w:lang w:val="en"/>
        </w:rPr>
      </w:pPr>
      <w:r>
        <w:rPr>
          <w:lang w:val="en"/>
        </w:rPr>
        <w:t xml:space="preserve">Measures to improve support for young people with disability to transition from school to work. For example, by </w:t>
      </w:r>
      <w:r w:rsidR="00B955EC">
        <w:rPr>
          <w:lang w:val="en"/>
        </w:rPr>
        <w:t xml:space="preserve">allowing all school leavers with disability to access employment services and by providing funding for the development of guidance materials for teachers about </w:t>
      </w:r>
      <w:r w:rsidR="00B955EC" w:rsidRPr="000E0D97">
        <w:rPr>
          <w:lang w:val="en"/>
        </w:rPr>
        <w:t>supporting students with disability to transition from school to work</w:t>
      </w:r>
      <w:r w:rsidR="00B955EC">
        <w:rPr>
          <w:lang w:val="en"/>
        </w:rPr>
        <w:t>.</w:t>
      </w:r>
    </w:p>
    <w:p w:rsidR="00B955EC" w:rsidRPr="00B955EC" w:rsidRDefault="00B955EC" w:rsidP="00B955EC">
      <w:pPr>
        <w:spacing w:before="0" w:after="0"/>
        <w:contextualSpacing/>
        <w:rPr>
          <w:lang w:val="en"/>
        </w:rPr>
      </w:pPr>
    </w:p>
    <w:p w:rsidR="00B955EC" w:rsidRDefault="000333CC" w:rsidP="00B955EC">
      <w:pPr>
        <w:numPr>
          <w:ilvl w:val="0"/>
          <w:numId w:val="29"/>
        </w:numPr>
        <w:spacing w:before="0" w:after="0"/>
        <w:contextualSpacing/>
        <w:rPr>
          <w:lang w:val="en"/>
        </w:rPr>
      </w:pPr>
      <w:r>
        <w:rPr>
          <w:lang w:val="en"/>
        </w:rPr>
        <w:t>R</w:t>
      </w:r>
      <w:r w:rsidR="00B955EC">
        <w:rPr>
          <w:lang w:val="en"/>
        </w:rPr>
        <w:t xml:space="preserve">eforms to the </w:t>
      </w:r>
      <w:r w:rsidR="00B955EC" w:rsidRPr="000E0D97">
        <w:rPr>
          <w:lang w:val="en"/>
        </w:rPr>
        <w:t>disability employment services framework should be based on the principles of choice and control which underpin the Nati</w:t>
      </w:r>
      <w:r w:rsidR="00B955EC">
        <w:rPr>
          <w:lang w:val="en"/>
        </w:rPr>
        <w:t>onal Disability Insurance Scheme.</w:t>
      </w:r>
    </w:p>
    <w:p w:rsidR="00B955EC" w:rsidRPr="00B955EC" w:rsidRDefault="00B955EC" w:rsidP="00B955EC">
      <w:pPr>
        <w:spacing w:before="0" w:after="0"/>
        <w:contextualSpacing/>
        <w:rPr>
          <w:lang w:val="en"/>
        </w:rPr>
      </w:pPr>
    </w:p>
    <w:p w:rsidR="00B955EC" w:rsidRDefault="00ED63A6" w:rsidP="00B955EC">
      <w:pPr>
        <w:numPr>
          <w:ilvl w:val="0"/>
          <w:numId w:val="29"/>
        </w:numPr>
        <w:spacing w:before="0" w:after="0"/>
        <w:contextualSpacing/>
        <w:rPr>
          <w:lang w:val="en"/>
        </w:rPr>
      </w:pPr>
      <w:r>
        <w:rPr>
          <w:lang w:val="en"/>
        </w:rPr>
        <w:t>T</w:t>
      </w:r>
      <w:r w:rsidR="00B955EC">
        <w:rPr>
          <w:lang w:val="en"/>
        </w:rPr>
        <w:t>he</w:t>
      </w:r>
      <w:r>
        <w:rPr>
          <w:lang w:val="en"/>
        </w:rPr>
        <w:t xml:space="preserve"> promotion of the range</w:t>
      </w:r>
      <w:r w:rsidR="00B955EC">
        <w:rPr>
          <w:lang w:val="en"/>
        </w:rPr>
        <w:t xml:space="preserve"> government supports available to employers </w:t>
      </w:r>
      <w:r>
        <w:rPr>
          <w:lang w:val="en"/>
        </w:rPr>
        <w:t>t</w:t>
      </w:r>
      <w:r w:rsidR="00B955EC">
        <w:rPr>
          <w:lang w:val="en"/>
        </w:rPr>
        <w:t>hrough</w:t>
      </w:r>
      <w:r w:rsidR="00B955EC" w:rsidRPr="00B955EC">
        <w:rPr>
          <w:lang w:val="en"/>
        </w:rPr>
        <w:t xml:space="preserve"> </w:t>
      </w:r>
      <w:r w:rsidR="00B955EC" w:rsidRPr="000E0D97">
        <w:rPr>
          <w:lang w:val="en"/>
        </w:rPr>
        <w:t xml:space="preserve">Disability Employment Services, </w:t>
      </w:r>
      <w:proofErr w:type="spellStart"/>
      <w:r w:rsidR="00B955EC" w:rsidRPr="0088282F">
        <w:rPr>
          <w:lang w:val="en"/>
        </w:rPr>
        <w:t>JobAccess</w:t>
      </w:r>
      <w:proofErr w:type="spellEnd"/>
      <w:r w:rsidR="00B955EC" w:rsidRPr="000E0D97">
        <w:rPr>
          <w:i/>
          <w:lang w:val="en"/>
        </w:rPr>
        <w:t>,</w:t>
      </w:r>
      <w:r w:rsidR="00B955EC" w:rsidRPr="000E0D97">
        <w:rPr>
          <w:lang w:val="en"/>
        </w:rPr>
        <w:t xml:space="preserve"> the </w:t>
      </w:r>
      <w:r w:rsidR="00B955EC" w:rsidRPr="0088282F">
        <w:rPr>
          <w:lang w:val="en"/>
        </w:rPr>
        <w:t>Employment Assistance Fund</w:t>
      </w:r>
      <w:r w:rsidR="00B955EC" w:rsidRPr="000E0D97">
        <w:rPr>
          <w:lang w:val="en"/>
        </w:rPr>
        <w:t xml:space="preserve"> and the </w:t>
      </w:r>
      <w:r w:rsidR="00B955EC" w:rsidRPr="0088282F">
        <w:rPr>
          <w:lang w:val="en"/>
        </w:rPr>
        <w:t>National Disability Resource Coordinator</w:t>
      </w:r>
      <w:r w:rsidR="00B955EC">
        <w:rPr>
          <w:lang w:val="en"/>
        </w:rPr>
        <w:t>.</w:t>
      </w:r>
    </w:p>
    <w:p w:rsidR="00B955EC" w:rsidRPr="00B955EC" w:rsidRDefault="00B955EC" w:rsidP="00B955EC">
      <w:pPr>
        <w:spacing w:before="0" w:after="0"/>
        <w:contextualSpacing/>
        <w:rPr>
          <w:lang w:val="en"/>
        </w:rPr>
      </w:pPr>
    </w:p>
    <w:p w:rsidR="00ED63A6" w:rsidRDefault="00B955EC" w:rsidP="00ED63A6">
      <w:pPr>
        <w:numPr>
          <w:ilvl w:val="0"/>
          <w:numId w:val="29"/>
        </w:numPr>
        <w:spacing w:before="0" w:after="0"/>
        <w:contextualSpacing/>
        <w:rPr>
          <w:lang w:val="en"/>
        </w:rPr>
      </w:pPr>
      <w:r>
        <w:rPr>
          <w:lang w:val="en"/>
        </w:rPr>
        <w:t>State, territory</w:t>
      </w:r>
      <w:r w:rsidR="00ED63A6">
        <w:rPr>
          <w:lang w:val="en"/>
        </w:rPr>
        <w:t xml:space="preserve"> and federal governments should work together to examine </w:t>
      </w:r>
      <w:r w:rsidR="00ED63A6" w:rsidRPr="000E0D97">
        <w:rPr>
          <w:rFonts w:cs="Arial"/>
        </w:rPr>
        <w:t xml:space="preserve">best practice injury prevention and return to work practices and embed these in </w:t>
      </w:r>
      <w:r w:rsidR="00ED63A6">
        <w:rPr>
          <w:rFonts w:cs="Arial"/>
        </w:rPr>
        <w:t xml:space="preserve">all Australian </w:t>
      </w:r>
      <w:proofErr w:type="gramStart"/>
      <w:r w:rsidR="00ED63A6" w:rsidRPr="000E0D97">
        <w:rPr>
          <w:rFonts w:cs="Arial"/>
        </w:rPr>
        <w:t>workers</w:t>
      </w:r>
      <w:proofErr w:type="gramEnd"/>
      <w:r w:rsidR="00ED63A6" w:rsidRPr="000E0D97">
        <w:rPr>
          <w:rFonts w:cs="Arial"/>
        </w:rPr>
        <w:t xml:space="preserve"> compensation schemes</w:t>
      </w:r>
      <w:r w:rsidR="00ED63A6">
        <w:rPr>
          <w:lang w:val="en"/>
        </w:rPr>
        <w:t>.</w:t>
      </w:r>
    </w:p>
    <w:p w:rsidR="00ED63A6" w:rsidRPr="00ED63A6" w:rsidRDefault="00ED63A6" w:rsidP="00ED63A6">
      <w:pPr>
        <w:spacing w:before="0" w:after="0"/>
        <w:contextualSpacing/>
        <w:rPr>
          <w:lang w:val="en"/>
        </w:rPr>
      </w:pPr>
    </w:p>
    <w:p w:rsidR="00ED63A6" w:rsidRDefault="00ED63A6" w:rsidP="00B955EC">
      <w:pPr>
        <w:numPr>
          <w:ilvl w:val="0"/>
          <w:numId w:val="29"/>
        </w:numPr>
        <w:spacing w:before="0" w:after="0"/>
        <w:contextualSpacing/>
        <w:rPr>
          <w:lang w:val="en"/>
        </w:rPr>
      </w:pPr>
      <w:r>
        <w:rPr>
          <w:lang w:val="en"/>
        </w:rPr>
        <w:t xml:space="preserve">Changes to the Employment Assistance Fund to improve access to </w:t>
      </w:r>
      <w:r w:rsidRPr="000E0D97">
        <w:rPr>
          <w:lang w:val="en"/>
        </w:rPr>
        <w:t>reasonable workplace adjustments for people with disability</w:t>
      </w:r>
      <w:r>
        <w:rPr>
          <w:lang w:val="en"/>
        </w:rPr>
        <w:t>, including:</w:t>
      </w:r>
    </w:p>
    <w:p w:rsidR="00B955EC" w:rsidRPr="00B955EC" w:rsidRDefault="00B955EC" w:rsidP="00B955EC">
      <w:pPr>
        <w:spacing w:before="0" w:after="0"/>
        <w:contextualSpacing/>
        <w:rPr>
          <w:lang w:val="en"/>
        </w:rPr>
      </w:pPr>
      <w:r>
        <w:rPr>
          <w:lang w:val="en"/>
        </w:rPr>
        <w:t xml:space="preserve"> </w:t>
      </w:r>
    </w:p>
    <w:p w:rsidR="00726B3A" w:rsidRPr="000E0D97" w:rsidRDefault="00726B3A" w:rsidP="00726B3A">
      <w:pPr>
        <w:numPr>
          <w:ilvl w:val="1"/>
          <w:numId w:val="29"/>
        </w:numPr>
        <w:spacing w:before="0" w:after="0"/>
        <w:contextualSpacing/>
        <w:rPr>
          <w:rFonts w:cs="Arial"/>
        </w:rPr>
      </w:pPr>
      <w:r w:rsidRPr="000E0D97">
        <w:rPr>
          <w:rFonts w:cs="Arial"/>
        </w:rPr>
        <w:t>expand</w:t>
      </w:r>
      <w:r w:rsidR="00ED63A6">
        <w:rPr>
          <w:rFonts w:cs="Arial"/>
        </w:rPr>
        <w:t>ing</w:t>
      </w:r>
      <w:r w:rsidRPr="000E0D97">
        <w:rPr>
          <w:rFonts w:cs="Arial"/>
        </w:rPr>
        <w:t xml:space="preserve"> the </w:t>
      </w:r>
      <w:r w:rsidRPr="0088282F">
        <w:rPr>
          <w:rFonts w:cs="Arial"/>
        </w:rPr>
        <w:t>Employment Assistance Fund</w:t>
      </w:r>
      <w:r w:rsidRPr="000E0D97">
        <w:rPr>
          <w:rFonts w:cs="Arial"/>
        </w:rPr>
        <w:t xml:space="preserve"> to support work experience and internships, in order to enable greater job readiness for people with disability</w:t>
      </w:r>
    </w:p>
    <w:p w:rsidR="00726B3A" w:rsidRPr="000E0D97" w:rsidRDefault="00ED63A6" w:rsidP="00726B3A">
      <w:pPr>
        <w:numPr>
          <w:ilvl w:val="1"/>
          <w:numId w:val="29"/>
        </w:numPr>
        <w:spacing w:before="0" w:after="0"/>
        <w:contextualSpacing/>
        <w:rPr>
          <w:rFonts w:cs="Arial"/>
        </w:rPr>
      </w:pPr>
      <w:r>
        <w:rPr>
          <w:rFonts w:cs="Arial"/>
        </w:rPr>
        <w:t>increasing</w:t>
      </w:r>
      <w:r w:rsidR="00726B3A" w:rsidRPr="000E0D97">
        <w:rPr>
          <w:rFonts w:cs="Arial"/>
        </w:rPr>
        <w:t xml:space="preserve"> the funding available through the </w:t>
      </w:r>
      <w:r w:rsidR="00726B3A" w:rsidRPr="0088282F">
        <w:rPr>
          <w:rFonts w:cs="Arial"/>
        </w:rPr>
        <w:t xml:space="preserve">Employment Assistance Fund </w:t>
      </w:r>
      <w:r w:rsidR="00726B3A" w:rsidRPr="000E0D97">
        <w:rPr>
          <w:rFonts w:cs="Arial"/>
        </w:rPr>
        <w:t xml:space="preserve">for </w:t>
      </w:r>
      <w:proofErr w:type="spellStart"/>
      <w:r w:rsidR="00726B3A" w:rsidRPr="000E0D97">
        <w:rPr>
          <w:rFonts w:cs="Arial"/>
        </w:rPr>
        <w:t>Auslan</w:t>
      </w:r>
      <w:proofErr w:type="spellEnd"/>
      <w:r w:rsidR="00726B3A" w:rsidRPr="000E0D97">
        <w:rPr>
          <w:rFonts w:cs="Arial"/>
        </w:rPr>
        <w:t xml:space="preserve"> interpreting and captioning </w:t>
      </w:r>
    </w:p>
    <w:p w:rsidR="00726B3A" w:rsidRPr="00A13BE7" w:rsidRDefault="00726B3A" w:rsidP="0077193A">
      <w:pPr>
        <w:numPr>
          <w:ilvl w:val="1"/>
          <w:numId w:val="29"/>
        </w:numPr>
        <w:spacing w:before="0" w:after="0"/>
        <w:contextualSpacing/>
        <w:rPr>
          <w:rFonts w:cs="Arial"/>
        </w:rPr>
      </w:pPr>
      <w:r w:rsidRPr="000E0D97">
        <w:rPr>
          <w:rFonts w:cs="Arial"/>
        </w:rPr>
        <w:t xml:space="preserve">change the process for obtaining funding for reasonable adjustments so that adjustments are paid for directly by </w:t>
      </w:r>
      <w:proofErr w:type="spellStart"/>
      <w:r w:rsidRPr="0088282F">
        <w:rPr>
          <w:rFonts w:cs="Arial"/>
        </w:rPr>
        <w:t>JobAccess</w:t>
      </w:r>
      <w:proofErr w:type="spellEnd"/>
      <w:r w:rsidRPr="000E0D97">
        <w:rPr>
          <w:rFonts w:cs="Arial"/>
        </w:rPr>
        <w:t>.</w:t>
      </w:r>
    </w:p>
    <w:p w:rsidR="00726B3A" w:rsidRDefault="00726B3A" w:rsidP="0077193A">
      <w:pPr>
        <w:spacing w:before="0" w:after="0"/>
      </w:pPr>
    </w:p>
    <w:p w:rsidR="0077193A" w:rsidRPr="00726B3A" w:rsidRDefault="00726B3A" w:rsidP="00726B3A">
      <w:pPr>
        <w:numPr>
          <w:ilvl w:val="0"/>
          <w:numId w:val="28"/>
        </w:numPr>
        <w:spacing w:before="0" w:after="0"/>
        <w:contextualSpacing/>
        <w:rPr>
          <w:lang w:val="en"/>
        </w:rPr>
      </w:pPr>
      <w:r>
        <w:rPr>
          <w:lang w:val="en"/>
        </w:rPr>
        <w:t>The Inquiry makes</w:t>
      </w:r>
      <w:r w:rsidRPr="00001887">
        <w:rPr>
          <w:lang w:val="en"/>
        </w:rPr>
        <w:t xml:space="preserve"> </w:t>
      </w:r>
      <w:r>
        <w:rPr>
          <w:lang w:val="en"/>
        </w:rPr>
        <w:t xml:space="preserve">recommendations for amendments to the federal discrimination laws and the </w:t>
      </w:r>
      <w:r>
        <w:rPr>
          <w:i/>
          <w:lang w:val="en"/>
        </w:rPr>
        <w:t>Fair Work Act 2009</w:t>
      </w:r>
      <w:r>
        <w:rPr>
          <w:lang w:val="en"/>
        </w:rPr>
        <w:t xml:space="preserve"> (</w:t>
      </w:r>
      <w:proofErr w:type="spellStart"/>
      <w:r>
        <w:rPr>
          <w:lang w:val="en"/>
        </w:rPr>
        <w:t>Cth</w:t>
      </w:r>
      <w:proofErr w:type="spellEnd"/>
      <w:r>
        <w:rPr>
          <w:lang w:val="en"/>
        </w:rPr>
        <w:t xml:space="preserve">) to facilitate access to justice for people with disability who do experience discrimination in employment. </w:t>
      </w:r>
    </w:p>
    <w:p w:rsidR="00A13BE7" w:rsidRDefault="00A13BE7" w:rsidP="0009684C">
      <w:pPr>
        <w:rPr>
          <w:rFonts w:cs="Arial"/>
          <w:i/>
        </w:rPr>
      </w:pPr>
    </w:p>
    <w:p w:rsidR="0009684C" w:rsidRDefault="0009684C" w:rsidP="0009684C">
      <w:pPr>
        <w:rPr>
          <w:rFonts w:cs="Arial"/>
          <w:i/>
        </w:rPr>
      </w:pPr>
      <w:r>
        <w:rPr>
          <w:rFonts w:cs="Arial"/>
          <w:i/>
        </w:rPr>
        <w:lastRenderedPageBreak/>
        <w:t xml:space="preserve">What employers and business can </w:t>
      </w:r>
      <w:proofErr w:type="gramStart"/>
      <w:r>
        <w:rPr>
          <w:rFonts w:cs="Arial"/>
          <w:i/>
        </w:rPr>
        <w:t>do</w:t>
      </w:r>
      <w:proofErr w:type="gramEnd"/>
      <w:r>
        <w:rPr>
          <w:rFonts w:cs="Arial"/>
          <w:i/>
        </w:rPr>
        <w:t xml:space="preserve"> </w:t>
      </w:r>
    </w:p>
    <w:p w:rsidR="0009684C" w:rsidRDefault="0009684C" w:rsidP="0009684C">
      <w:pPr>
        <w:rPr>
          <w:rFonts w:cs="Arial"/>
        </w:rPr>
      </w:pPr>
      <w:r w:rsidRPr="000E0D97">
        <w:rPr>
          <w:bCs/>
          <w:lang w:val="en"/>
        </w:rPr>
        <w:t xml:space="preserve">Employers, businesses and the </w:t>
      </w:r>
      <w:proofErr w:type="spellStart"/>
      <w:r w:rsidRPr="000E0D97">
        <w:rPr>
          <w:bCs/>
          <w:lang w:val="en"/>
        </w:rPr>
        <w:t>organisations</w:t>
      </w:r>
      <w:proofErr w:type="spellEnd"/>
      <w:r w:rsidRPr="000E0D97">
        <w:rPr>
          <w:bCs/>
          <w:lang w:val="en"/>
        </w:rPr>
        <w:t xml:space="preserve"> that represent them, have a critical role to play in recruiting, retaining and training people with disability.</w:t>
      </w:r>
      <w:r>
        <w:rPr>
          <w:rFonts w:cs="Arial"/>
        </w:rPr>
        <w:t xml:space="preserve"> However, the Inquiry heard that e</w:t>
      </w:r>
      <w:r w:rsidRPr="000E0D97">
        <w:t xml:space="preserve">mployers may lack </w:t>
      </w:r>
      <w:r>
        <w:t xml:space="preserve">the </w:t>
      </w:r>
      <w:r w:rsidRPr="000E0D97">
        <w:t xml:space="preserve">knowledge, awareness and skills </w:t>
      </w:r>
      <w:r>
        <w:t xml:space="preserve">necessary for developing </w:t>
      </w:r>
      <w:r w:rsidRPr="000E0D97">
        <w:t>inclusive workplaces</w:t>
      </w:r>
      <w:r>
        <w:t xml:space="preserve"> which</w:t>
      </w:r>
      <w:r w:rsidRPr="000E0D97">
        <w:t xml:space="preserve"> support </w:t>
      </w:r>
      <w:r>
        <w:t>employees</w:t>
      </w:r>
      <w:r w:rsidR="00726B3A">
        <w:t xml:space="preserve"> with disability</w:t>
      </w:r>
      <w:r>
        <w:t>. They may also be</w:t>
      </w:r>
      <w:r w:rsidRPr="000E0D97">
        <w:t xml:space="preserve"> unaware of government pr</w:t>
      </w:r>
      <w:r>
        <w:t>ograms and supports that can</w:t>
      </w:r>
      <w:r w:rsidRPr="000E0D97">
        <w:t xml:space="preserve"> assist them. </w:t>
      </w:r>
    </w:p>
    <w:p w:rsidR="0009684C" w:rsidRDefault="0009684C" w:rsidP="0009684C">
      <w:pPr>
        <w:rPr>
          <w:bCs/>
          <w:iCs/>
          <w:lang w:val="en"/>
        </w:rPr>
      </w:pPr>
      <w:r w:rsidRPr="000E0D97">
        <w:rPr>
          <w:bCs/>
          <w:lang w:val="en"/>
        </w:rPr>
        <w:t xml:space="preserve">The </w:t>
      </w:r>
      <w:r>
        <w:rPr>
          <w:bCs/>
          <w:i/>
          <w:lang w:val="en"/>
        </w:rPr>
        <w:t xml:space="preserve">Willing to Work </w:t>
      </w:r>
      <w:r>
        <w:rPr>
          <w:bCs/>
          <w:lang w:val="en"/>
        </w:rPr>
        <w:t>Report</w:t>
      </w:r>
      <w:r w:rsidRPr="000E0D97">
        <w:rPr>
          <w:bCs/>
          <w:lang w:val="en"/>
        </w:rPr>
        <w:t xml:space="preserve"> offers a suite of strategies </w:t>
      </w:r>
      <w:r>
        <w:rPr>
          <w:bCs/>
          <w:lang w:val="en"/>
        </w:rPr>
        <w:t xml:space="preserve">for employers to </w:t>
      </w:r>
      <w:r w:rsidRPr="000E0D97">
        <w:rPr>
          <w:bCs/>
          <w:lang w:val="en"/>
        </w:rPr>
        <w:t>lift representation and ensure non-discriminatory recruitment, retention and training practices while maintaining a</w:t>
      </w:r>
      <w:r>
        <w:rPr>
          <w:bCs/>
          <w:lang w:val="en"/>
        </w:rPr>
        <w:t xml:space="preserve">nd improving productivity. </w:t>
      </w:r>
      <w:r w:rsidRPr="000E0D97">
        <w:rPr>
          <w:bCs/>
          <w:iCs/>
          <w:lang w:val="en"/>
        </w:rPr>
        <w:t xml:space="preserve"> </w:t>
      </w:r>
    </w:p>
    <w:p w:rsidR="0009684C" w:rsidRDefault="0009684C" w:rsidP="0009684C">
      <w:pPr>
        <w:pStyle w:val="ListParagraph"/>
        <w:numPr>
          <w:ilvl w:val="0"/>
          <w:numId w:val="27"/>
        </w:numPr>
        <w:spacing w:before="0"/>
      </w:pPr>
      <w:r w:rsidRPr="00F969AD">
        <w:rPr>
          <w:b/>
        </w:rPr>
        <w:t>Leadership commitment:</w:t>
      </w:r>
      <w:r>
        <w:t xml:space="preserve"> CEOs and organisational leaders </w:t>
      </w:r>
      <w:r w:rsidR="00F956FD">
        <w:t xml:space="preserve">should </w:t>
      </w:r>
      <w:r>
        <w:t>communicate their business’s commitment to inclusive and diverse workplaces to all staff. This should be supported by an organisational strategy which outlines the business case for a diverse workforce and could include goals such as:</w:t>
      </w:r>
    </w:p>
    <w:p w:rsidR="0009684C" w:rsidRDefault="0009684C" w:rsidP="0009684C">
      <w:pPr>
        <w:pStyle w:val="ListParagraph"/>
        <w:spacing w:before="0"/>
      </w:pPr>
    </w:p>
    <w:p w:rsidR="0009684C" w:rsidRDefault="0009684C" w:rsidP="0009684C">
      <w:pPr>
        <w:pStyle w:val="ListParagraph"/>
        <w:numPr>
          <w:ilvl w:val="1"/>
          <w:numId w:val="27"/>
        </w:numPr>
        <w:spacing w:before="0"/>
      </w:pPr>
      <w:r>
        <w:t>meeting voluntary targets for employment of people with disability;</w:t>
      </w:r>
    </w:p>
    <w:p w:rsidR="0009684C" w:rsidRDefault="0009684C" w:rsidP="0009684C">
      <w:pPr>
        <w:pStyle w:val="ListParagraph"/>
        <w:numPr>
          <w:ilvl w:val="1"/>
          <w:numId w:val="27"/>
        </w:numPr>
        <w:spacing w:before="0"/>
      </w:pPr>
      <w:r>
        <w:t>monitoring and reporting on performance against these targets and ensuring inclusive practices in relation to recruitment;</w:t>
      </w:r>
    </w:p>
    <w:p w:rsidR="0009684C" w:rsidRDefault="0009684C" w:rsidP="0009684C">
      <w:pPr>
        <w:pStyle w:val="ListParagraph"/>
        <w:numPr>
          <w:ilvl w:val="1"/>
          <w:numId w:val="27"/>
        </w:numPr>
        <w:spacing w:before="0"/>
      </w:pPr>
      <w:r>
        <w:t>networking and mentoring for and of employees with disability.</w:t>
      </w:r>
    </w:p>
    <w:p w:rsidR="0009684C" w:rsidRDefault="0009684C" w:rsidP="0009684C">
      <w:pPr>
        <w:pStyle w:val="ListParagraph"/>
        <w:spacing w:before="0"/>
        <w:ind w:left="1440"/>
      </w:pPr>
    </w:p>
    <w:p w:rsidR="0009684C" w:rsidRDefault="0009684C" w:rsidP="0009684C">
      <w:pPr>
        <w:pStyle w:val="ListParagraph"/>
        <w:numPr>
          <w:ilvl w:val="0"/>
          <w:numId w:val="27"/>
        </w:numPr>
        <w:spacing w:before="0"/>
      </w:pPr>
      <w:r w:rsidRPr="00F969AD">
        <w:rPr>
          <w:b/>
        </w:rPr>
        <w:t>Ensuring non-discriminatory recruitment and retention practices:</w:t>
      </w:r>
      <w:r>
        <w:t xml:space="preserve"> </w:t>
      </w:r>
      <w:r w:rsidR="00E531A5">
        <w:t>B</w:t>
      </w:r>
      <w:r>
        <w:t xml:space="preserve">usinesses </w:t>
      </w:r>
      <w:r w:rsidR="00F956FD">
        <w:t xml:space="preserve">should </w:t>
      </w:r>
      <w:r>
        <w:t>ensure that their recruitment and retention policies do not discriminate against people</w:t>
      </w:r>
      <w:r w:rsidR="000D21ED">
        <w:t xml:space="preserve"> with disability</w:t>
      </w:r>
      <w:r>
        <w:t xml:space="preserve">. This could include reviewing recruitment processes to ensure that they are accessible and making promotional and training opportunities equally available to all employees, including </w:t>
      </w:r>
      <w:r w:rsidR="000D21ED">
        <w:t>those with disability</w:t>
      </w:r>
      <w:r>
        <w:t xml:space="preserve">. </w:t>
      </w:r>
    </w:p>
    <w:p w:rsidR="0009684C" w:rsidRDefault="0009684C" w:rsidP="0009684C">
      <w:pPr>
        <w:pStyle w:val="ListParagraph"/>
        <w:spacing w:before="0"/>
      </w:pPr>
    </w:p>
    <w:p w:rsidR="00A230F6" w:rsidRDefault="0009684C" w:rsidP="00A230F6">
      <w:pPr>
        <w:pStyle w:val="ListParagraph"/>
        <w:numPr>
          <w:ilvl w:val="0"/>
          <w:numId w:val="27"/>
        </w:numPr>
        <w:spacing w:before="0"/>
      </w:pPr>
      <w:r w:rsidRPr="00F969AD">
        <w:rPr>
          <w:b/>
        </w:rPr>
        <w:t>Building workplace flexibility:</w:t>
      </w:r>
      <w:r w:rsidRPr="00EA746B">
        <w:t xml:space="preserve"> As a critical recruitment and retention tool, businesses normalise flexible work by making job design, work location and hours flexible for all, as far as the demands of the role allow. </w:t>
      </w:r>
    </w:p>
    <w:p w:rsidR="00A230F6" w:rsidRDefault="00A230F6" w:rsidP="00A230F6">
      <w:pPr>
        <w:pStyle w:val="ListParagraph"/>
        <w:spacing w:before="0"/>
      </w:pPr>
    </w:p>
    <w:p w:rsidR="0009684C" w:rsidRDefault="0009684C" w:rsidP="0009684C">
      <w:pPr>
        <w:pStyle w:val="ListParagraph"/>
        <w:numPr>
          <w:ilvl w:val="0"/>
          <w:numId w:val="27"/>
        </w:numPr>
        <w:spacing w:before="0"/>
      </w:pPr>
      <w:r w:rsidRPr="00F969AD">
        <w:rPr>
          <w:b/>
        </w:rPr>
        <w:t>Provide targeted education and training in the workplace:</w:t>
      </w:r>
      <w:r>
        <w:t xml:space="preserve"> In order to build inclusive, respectful workplaces employers provide staff with support and training about their rights and responsibilities at work, internal grievance processes, flexible leave options, any employee driven networks and the nature and impact of discrimination. </w:t>
      </w:r>
    </w:p>
    <w:p w:rsidR="0009684C" w:rsidRDefault="0009684C" w:rsidP="0009684C">
      <w:pPr>
        <w:pStyle w:val="ListParagraph"/>
        <w:spacing w:before="0"/>
      </w:pPr>
    </w:p>
    <w:p w:rsidR="0009684C" w:rsidRDefault="00F956FD" w:rsidP="0009684C">
      <w:pPr>
        <w:pStyle w:val="ListParagraph"/>
        <w:spacing w:before="0"/>
        <w:rPr>
          <w:bCs/>
          <w:lang w:val="en"/>
        </w:rPr>
      </w:pPr>
      <w:r>
        <w:t>E</w:t>
      </w:r>
      <w:r w:rsidR="0009684C">
        <w:t xml:space="preserve">mployers </w:t>
      </w:r>
      <w:r>
        <w:t xml:space="preserve">should </w:t>
      </w:r>
      <w:r w:rsidR="0009684C" w:rsidRPr="00EA746B">
        <w:rPr>
          <w:bCs/>
          <w:lang w:val="en"/>
        </w:rPr>
        <w:t>support managers and supervisors in creating and managing diverse teams and flexible workplaces by assisting with job redesign, building skills to manage employees flexibly, providing information for managers for example mental health guidelines, manager support and training on the nature and impact of discrimination.</w:t>
      </w:r>
    </w:p>
    <w:p w:rsidR="0009684C" w:rsidRPr="00EA746B" w:rsidRDefault="0009684C" w:rsidP="0009684C">
      <w:pPr>
        <w:pStyle w:val="ListParagraph"/>
        <w:spacing w:before="0"/>
      </w:pPr>
    </w:p>
    <w:p w:rsidR="0009684C" w:rsidRPr="00EA746B" w:rsidRDefault="0009684C" w:rsidP="0009684C">
      <w:pPr>
        <w:pStyle w:val="ListParagraph"/>
        <w:numPr>
          <w:ilvl w:val="0"/>
          <w:numId w:val="27"/>
        </w:numPr>
        <w:spacing w:before="0"/>
        <w:rPr>
          <w:rStyle w:val="Hyperlink"/>
          <w:color w:val="auto"/>
          <w:u w:val="none"/>
        </w:rPr>
      </w:pPr>
      <w:r w:rsidRPr="00F969AD">
        <w:rPr>
          <w:b/>
        </w:rPr>
        <w:t>Build healthy workplaces:</w:t>
      </w:r>
      <w:r w:rsidRPr="00EA746B">
        <w:t xml:space="preserve"> </w:t>
      </w:r>
      <w:r w:rsidR="002A7FDF">
        <w:t>B</w:t>
      </w:r>
      <w:r w:rsidRPr="00EA746B">
        <w:t xml:space="preserve">usinesses </w:t>
      </w:r>
      <w:r w:rsidR="00F956FD">
        <w:t>s</w:t>
      </w:r>
      <w:bookmarkStart w:id="6" w:name="_GoBack"/>
      <w:bookmarkEnd w:id="6"/>
      <w:r w:rsidR="00F956FD">
        <w:t xml:space="preserve">hould </w:t>
      </w:r>
      <w:r w:rsidRPr="00EA746B">
        <w:t xml:space="preserve">invest in health and wellbeing programs for staff. Implementing healthy work practices can be key to preventing chronic conditions and promoting good health. This could involve training of staff and managers about health, implementing ergonomic assessments or subsidising gym memberships. </w:t>
      </w:r>
    </w:p>
    <w:p w:rsidR="00045F0D" w:rsidRDefault="00045F0D" w:rsidP="00045F0D">
      <w:pPr>
        <w:rPr>
          <w:b/>
        </w:rPr>
      </w:pPr>
    </w:p>
    <w:p w:rsidR="00BB0523" w:rsidRPr="00223C7A" w:rsidRDefault="00BB0523" w:rsidP="004F4AF6">
      <w:pPr>
        <w:spacing w:before="0" w:after="0"/>
        <w:rPr>
          <w:rStyle w:val="Hyperlink"/>
          <w:rFonts w:cs="Arial"/>
        </w:rPr>
      </w:pPr>
    </w:p>
    <w:sectPr w:rsidR="00BB0523" w:rsidRPr="00223C7A" w:rsidSect="002932DC">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78C" w:rsidRDefault="00FE378C" w:rsidP="00F14C6D">
      <w:r>
        <w:separator/>
      </w:r>
    </w:p>
  </w:endnote>
  <w:endnote w:type="continuationSeparator" w:id="0">
    <w:p w:rsidR="00FE378C" w:rsidRDefault="00FE378C" w:rsidP="00F14C6D">
      <w:r>
        <w:continuationSeparator/>
      </w:r>
    </w:p>
  </w:endnote>
  <w:endnote w:id="1">
    <w:p w:rsidR="00DD0897" w:rsidRPr="00030C39" w:rsidRDefault="00DD0897" w:rsidP="00DD0897">
      <w:pPr>
        <w:spacing w:before="0" w:after="0"/>
        <w:rPr>
          <w:rFonts w:cs="Arial"/>
          <w:sz w:val="20"/>
          <w:szCs w:val="20"/>
          <w:lang w:eastAsia="en-US"/>
        </w:rPr>
      </w:pPr>
      <w:r w:rsidRPr="00030C39">
        <w:rPr>
          <w:rStyle w:val="EndnoteReference"/>
          <w:rFonts w:cs="Arial"/>
          <w:szCs w:val="20"/>
        </w:rPr>
        <w:endnoteRef/>
      </w:r>
      <w:r w:rsidRPr="00030C39">
        <w:rPr>
          <w:rFonts w:cs="Arial"/>
          <w:sz w:val="20"/>
          <w:szCs w:val="20"/>
        </w:rPr>
        <w:t xml:space="preserve"> Australian Bureau of Statistics, </w:t>
      </w:r>
      <w:r w:rsidRPr="00030C39">
        <w:rPr>
          <w:rFonts w:cs="Arial"/>
          <w:i/>
          <w:iCs/>
          <w:sz w:val="20"/>
          <w:szCs w:val="20"/>
        </w:rPr>
        <w:t>Disability, Ageing and Carers, Australia: First Results, 2015</w:t>
      </w:r>
      <w:r w:rsidRPr="00030C39">
        <w:rPr>
          <w:rFonts w:cs="Arial"/>
          <w:sz w:val="20"/>
          <w:szCs w:val="20"/>
        </w:rPr>
        <w:t xml:space="preserve"> (Cat. No. 4430.0.10.001). At </w:t>
      </w:r>
      <w:hyperlink r:id="rId1" w:history="1">
        <w:r w:rsidRPr="00030C39">
          <w:rPr>
            <w:rStyle w:val="Hyperlink"/>
            <w:rFonts w:cs="Arial"/>
            <w:sz w:val="20"/>
            <w:szCs w:val="20"/>
          </w:rPr>
          <w:t>http://www.abs.gov.au/ausstats/abs@.nsf/mf/4430.0.10.001</w:t>
        </w:r>
      </w:hyperlink>
      <w:r w:rsidRPr="00030C39">
        <w:rPr>
          <w:rFonts w:cs="Arial"/>
          <w:sz w:val="20"/>
          <w:szCs w:val="20"/>
        </w:rPr>
        <w:t>.</w:t>
      </w:r>
    </w:p>
  </w:endnote>
  <w:endnote w:id="2">
    <w:p w:rsidR="00045F0D" w:rsidRPr="00030C39" w:rsidRDefault="00045F0D" w:rsidP="00045F0D">
      <w:pPr>
        <w:spacing w:before="0" w:after="0"/>
        <w:rPr>
          <w:rFonts w:cs="Arial"/>
          <w:sz w:val="20"/>
          <w:szCs w:val="20"/>
          <w:lang w:eastAsia="en-US"/>
        </w:rPr>
      </w:pPr>
      <w:r w:rsidRPr="00030C39">
        <w:rPr>
          <w:rStyle w:val="EndnoteReference"/>
          <w:rFonts w:cs="Arial"/>
          <w:szCs w:val="20"/>
        </w:rPr>
        <w:endnoteRef/>
      </w:r>
      <w:r w:rsidRPr="00030C39">
        <w:rPr>
          <w:rFonts w:cs="Arial"/>
          <w:sz w:val="20"/>
          <w:szCs w:val="20"/>
        </w:rPr>
        <w:t xml:space="preserve"> Australian Bureau of Statistics, </w:t>
      </w:r>
      <w:r w:rsidRPr="00030C39">
        <w:rPr>
          <w:rFonts w:cs="Arial"/>
          <w:i/>
          <w:iCs/>
          <w:sz w:val="20"/>
          <w:szCs w:val="20"/>
        </w:rPr>
        <w:t>Disability, Ageing and Carers, Australia: First Results, 2015</w:t>
      </w:r>
      <w:r w:rsidRPr="00030C39">
        <w:rPr>
          <w:rFonts w:cs="Arial"/>
          <w:sz w:val="20"/>
          <w:szCs w:val="20"/>
        </w:rPr>
        <w:t xml:space="preserve"> (Cat. No. 4430.0.10.001). At </w:t>
      </w:r>
      <w:hyperlink r:id="rId2" w:history="1">
        <w:r w:rsidRPr="00030C39">
          <w:rPr>
            <w:rStyle w:val="Hyperlink"/>
            <w:rFonts w:cs="Arial"/>
            <w:sz w:val="20"/>
            <w:szCs w:val="20"/>
          </w:rPr>
          <w:t>http://www.abs.gov.au/ausstats/abs@.nsf/mf/4430.0.10.001</w:t>
        </w:r>
      </w:hyperlink>
      <w:r w:rsidRPr="00030C39">
        <w:rPr>
          <w:rFonts w:cs="Arial"/>
          <w:sz w:val="20"/>
          <w:szCs w:val="20"/>
        </w:rPr>
        <w:t>.</w:t>
      </w:r>
    </w:p>
  </w:endnote>
  <w:endnote w:id="3">
    <w:p w:rsidR="00045F0D" w:rsidRPr="00030C39" w:rsidRDefault="00045F0D" w:rsidP="00045F0D">
      <w:pPr>
        <w:pStyle w:val="EndnoteText"/>
        <w:rPr>
          <w:rFonts w:cs="Arial"/>
        </w:rPr>
      </w:pPr>
      <w:r w:rsidRPr="00030C39">
        <w:rPr>
          <w:rStyle w:val="EndnoteReference"/>
          <w:rFonts w:cs="Arial"/>
        </w:rPr>
        <w:endnoteRef/>
      </w:r>
      <w:r w:rsidRPr="00030C39">
        <w:rPr>
          <w:rFonts w:cs="Arial"/>
        </w:rPr>
        <w:t xml:space="preserve"> Australian Bureau of Statistics, </w:t>
      </w:r>
      <w:r w:rsidRPr="00030C39">
        <w:rPr>
          <w:rFonts w:cs="Arial"/>
          <w:i/>
          <w:iCs/>
        </w:rPr>
        <w:t>Disability, Ageing and Carers, Australia: First Results, 2015</w:t>
      </w:r>
      <w:r w:rsidRPr="00030C39">
        <w:rPr>
          <w:rFonts w:cs="Arial"/>
        </w:rPr>
        <w:t xml:space="preserve"> (Cat. No. 4430.0.10.001). At </w:t>
      </w:r>
      <w:hyperlink r:id="rId3" w:history="1">
        <w:r w:rsidRPr="00030C39">
          <w:rPr>
            <w:rStyle w:val="Hyperlink"/>
            <w:rFonts w:cs="Arial"/>
          </w:rPr>
          <w:t>http://www.abs.gov.au/ausstats/abs@.nsf/mf/4430.0.10.001</w:t>
        </w:r>
      </w:hyperlink>
      <w:r w:rsidRPr="00030C39">
        <w:rPr>
          <w:rFonts w:cs="Arial"/>
        </w:rPr>
        <w:t xml:space="preserve">. </w:t>
      </w:r>
    </w:p>
  </w:endnote>
  <w:endnote w:id="4">
    <w:p w:rsidR="00045F0D" w:rsidRPr="00030C39" w:rsidRDefault="00045F0D" w:rsidP="00045F0D">
      <w:pPr>
        <w:pStyle w:val="EndnoteText"/>
        <w:rPr>
          <w:rFonts w:cs="Arial"/>
        </w:rPr>
      </w:pPr>
      <w:r w:rsidRPr="00030C39">
        <w:rPr>
          <w:rStyle w:val="EndnoteReference"/>
          <w:rFonts w:cs="Arial"/>
        </w:rPr>
        <w:endnoteRef/>
      </w:r>
      <w:r w:rsidRPr="00030C39">
        <w:rPr>
          <w:rFonts w:cs="Arial"/>
        </w:rPr>
        <w:t xml:space="preserve"> People with disability were significantly more likely to still be looking for a job 13 weeks or longer after they first started (65.5%) compared with those without disability (56.1%), Australian Bureau of Statistics, </w:t>
      </w:r>
      <w:r w:rsidRPr="00030C39">
        <w:rPr>
          <w:rFonts w:cs="Arial"/>
          <w:i/>
        </w:rPr>
        <w:t>Disability and Labour Force Participation, 2012</w:t>
      </w:r>
      <w:r w:rsidRPr="00030C39">
        <w:rPr>
          <w:rFonts w:cs="Arial"/>
        </w:rPr>
        <w:t xml:space="preserve"> (2015). At </w:t>
      </w:r>
      <w:hyperlink r:id="rId4" w:history="1">
        <w:r w:rsidRPr="00030C39">
          <w:rPr>
            <w:rStyle w:val="Hyperlink"/>
            <w:rFonts w:cs="Arial"/>
          </w:rPr>
          <w:t>http://www.abs.gov.au/ausstats/abs@.nsf/mf/4433.0.55.006</w:t>
        </w:r>
      </w:hyperlink>
      <w:r w:rsidRPr="00030C39">
        <w:rPr>
          <w:rFonts w:cs="Arial"/>
        </w:rPr>
        <w:t xml:space="preserve"> (viewed 17 March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40" w:rsidRPr="0090165F" w:rsidRDefault="008D6140" w:rsidP="00162A8D">
    <w:pPr>
      <w:pStyle w:val="Footer"/>
      <w:jc w:val="right"/>
    </w:pPr>
    <w:r w:rsidRPr="0090165F">
      <w:fldChar w:fldCharType="begin"/>
    </w:r>
    <w:r w:rsidRPr="0090165F">
      <w:instrText xml:space="preserve"> PAGE   \* MERGEFORMAT </w:instrText>
    </w:r>
    <w:r w:rsidRPr="0090165F">
      <w:fldChar w:fldCharType="separate"/>
    </w:r>
    <w:r w:rsidR="00E531A5">
      <w:rPr>
        <w:noProof/>
      </w:rPr>
      <w:t>3</w:t>
    </w:r>
    <w:r w:rsidRPr="0090165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40" w:rsidRPr="001B25B3" w:rsidRDefault="008D6140" w:rsidP="002D0C4F">
    <w:pPr>
      <w:pStyle w:val="Foote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78C" w:rsidRDefault="00FE378C" w:rsidP="00F14C6D">
      <w:r>
        <w:separator/>
      </w:r>
    </w:p>
  </w:footnote>
  <w:footnote w:type="continuationSeparator" w:id="0">
    <w:p w:rsidR="00FE378C" w:rsidRDefault="00FE378C"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140" w:rsidRDefault="008D6140" w:rsidP="00C71D32">
    <w:pPr>
      <w:pStyle w:val="Header"/>
      <w:spacing w:before="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85" w:type="dxa"/>
      <w:tblLayout w:type="fixed"/>
      <w:tblLook w:val="00A0" w:firstRow="1" w:lastRow="0" w:firstColumn="1" w:lastColumn="0" w:noHBand="0" w:noVBand="0"/>
    </w:tblPr>
    <w:tblGrid>
      <w:gridCol w:w="4077"/>
      <w:gridCol w:w="2688"/>
      <w:gridCol w:w="2302"/>
      <w:gridCol w:w="2130"/>
      <w:gridCol w:w="1988"/>
    </w:tblGrid>
    <w:tr w:rsidR="008D6140" w:rsidRPr="008D1634" w:rsidTr="005F03D1">
      <w:trPr>
        <w:trHeight w:val="1603"/>
      </w:trPr>
      <w:tc>
        <w:tcPr>
          <w:tcW w:w="4077" w:type="dxa"/>
        </w:tcPr>
        <w:p w:rsidR="008D6140" w:rsidRPr="008D1634" w:rsidRDefault="004545FD" w:rsidP="00331013">
          <w:pPr>
            <w:pStyle w:val="Header"/>
            <w:tabs>
              <w:tab w:val="left" w:pos="4686"/>
              <w:tab w:val="left" w:pos="7088"/>
              <w:tab w:val="left" w:pos="7242"/>
            </w:tabs>
            <w:jc w:val="center"/>
            <w:rPr>
              <w:rFonts w:cs="ArialMT"/>
              <w:b/>
              <w:color w:val="000000"/>
              <w:spacing w:val="-20"/>
              <w:sz w:val="32"/>
              <w:lang w:val="en-US" w:eastAsia="en-US" w:bidi="en-US"/>
            </w:rPr>
          </w:pPr>
          <w:r>
            <w:rPr>
              <w:rFonts w:cs="ArialMT"/>
              <w:b/>
              <w:noProof/>
              <w:color w:val="000000"/>
              <w:spacing w:val="-20"/>
              <w:sz w:val="32"/>
            </w:rPr>
            <w:drawing>
              <wp:inline distT="0" distB="0" distL="0" distR="0" wp14:anchorId="4BE95167" wp14:editId="50E4CA0A">
                <wp:extent cx="2143125" cy="733833"/>
                <wp:effectExtent l="0" t="0" r="0" b="9525"/>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218" cy="735577"/>
                        </a:xfrm>
                        <a:prstGeom prst="rect">
                          <a:avLst/>
                        </a:prstGeom>
                        <a:noFill/>
                        <a:ln>
                          <a:noFill/>
                        </a:ln>
                      </pic:spPr>
                    </pic:pic>
                  </a:graphicData>
                </a:graphic>
              </wp:inline>
            </w:drawing>
          </w:r>
        </w:p>
      </w:tc>
      <w:tc>
        <w:tcPr>
          <w:tcW w:w="2688" w:type="dxa"/>
          <w:vAlign w:val="center"/>
        </w:tcPr>
        <w:p w:rsidR="008D6140" w:rsidRPr="008D1634" w:rsidRDefault="008D6140" w:rsidP="00331013">
          <w:pPr>
            <w:spacing w:before="0" w:after="0" w:line="210" w:lineRule="exact"/>
            <w:rPr>
              <w:rFonts w:cs="ArialMT"/>
              <w:i/>
              <w:color w:val="808080"/>
              <w:sz w:val="17"/>
              <w:lang w:val="en-US" w:eastAsia="en-US" w:bidi="en-US"/>
            </w:rPr>
          </w:pPr>
        </w:p>
      </w:tc>
      <w:tc>
        <w:tcPr>
          <w:tcW w:w="2302" w:type="dxa"/>
        </w:tcPr>
        <w:p w:rsidR="008D6140" w:rsidRPr="008D1634" w:rsidRDefault="00EE1299" w:rsidP="00C87F1C">
          <w:pPr>
            <w:pStyle w:val="HeaderFooter"/>
            <w:spacing w:before="0" w:after="0"/>
            <w:jc w:val="both"/>
            <w:rPr>
              <w:b/>
              <w:color w:val="000000"/>
              <w:spacing w:val="-20"/>
              <w:sz w:val="40"/>
              <w:lang w:val="en-US" w:eastAsia="en-US" w:bidi="en-US"/>
            </w:rPr>
          </w:pPr>
          <w:r>
            <w:rPr>
              <w:b/>
              <w:noProof/>
              <w:color w:val="000000"/>
              <w:spacing w:val="-20"/>
              <w:sz w:val="40"/>
            </w:rPr>
            <w:drawing>
              <wp:anchor distT="0" distB="0" distL="114300" distR="114300" simplePos="0" relativeHeight="251657216" behindDoc="0" locked="0" layoutInCell="1" allowOverlap="1" wp14:anchorId="7427B181" wp14:editId="31D193D5">
                <wp:simplePos x="0" y="0"/>
                <wp:positionH relativeFrom="column">
                  <wp:posOffset>-302260</wp:posOffset>
                </wp:positionH>
                <wp:positionV relativeFrom="paragraph">
                  <wp:posOffset>146050</wp:posOffset>
                </wp:positionV>
                <wp:extent cx="1721560" cy="67178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lling to Work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560" cy="671788"/>
                        </a:xfrm>
                        <a:prstGeom prst="rect">
                          <a:avLst/>
                        </a:prstGeom>
                      </pic:spPr>
                    </pic:pic>
                  </a:graphicData>
                </a:graphic>
                <wp14:sizeRelH relativeFrom="margin">
                  <wp14:pctWidth>0</wp14:pctWidth>
                </wp14:sizeRelH>
                <wp14:sizeRelV relativeFrom="margin">
                  <wp14:pctHeight>0</wp14:pctHeight>
                </wp14:sizeRelV>
              </wp:anchor>
            </w:drawing>
          </w:r>
        </w:p>
      </w:tc>
      <w:tc>
        <w:tcPr>
          <w:tcW w:w="2130" w:type="dxa"/>
        </w:tcPr>
        <w:p w:rsidR="008D6140" w:rsidRPr="008D1634" w:rsidRDefault="008D6140" w:rsidP="00C87F1C">
          <w:pPr>
            <w:pStyle w:val="HeaderFooter"/>
            <w:spacing w:before="0" w:after="0"/>
            <w:jc w:val="both"/>
            <w:rPr>
              <w:b/>
              <w:color w:val="000000"/>
              <w:spacing w:val="-20"/>
              <w:sz w:val="40"/>
              <w:lang w:val="en-US" w:eastAsia="en-US" w:bidi="en-US"/>
            </w:rPr>
          </w:pPr>
        </w:p>
      </w:tc>
      <w:tc>
        <w:tcPr>
          <w:tcW w:w="1988" w:type="dxa"/>
        </w:tcPr>
        <w:p w:rsidR="008D6140" w:rsidRPr="008D1634" w:rsidRDefault="008D6140" w:rsidP="00C87F1C">
          <w:pPr>
            <w:pStyle w:val="HeaderFooter"/>
            <w:jc w:val="both"/>
            <w:rPr>
              <w:b/>
              <w:color w:val="000000"/>
              <w:spacing w:val="-20"/>
              <w:sz w:val="40"/>
              <w:lang w:val="en-US" w:eastAsia="en-US" w:bidi="en-US"/>
            </w:rPr>
          </w:pPr>
        </w:p>
      </w:tc>
    </w:tr>
  </w:tbl>
  <w:p w:rsidR="008D6140" w:rsidRDefault="008D6140" w:rsidP="00F22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19546E86"/>
    <w:multiLevelType w:val="hybridMultilevel"/>
    <w:tmpl w:val="CBDA1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B42AAA"/>
    <w:multiLevelType w:val="hybridMultilevel"/>
    <w:tmpl w:val="EBBC1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7B17CD8"/>
    <w:multiLevelType w:val="hybridMultilevel"/>
    <w:tmpl w:val="345651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DB061F"/>
    <w:multiLevelType w:val="hybridMultilevel"/>
    <w:tmpl w:val="F9001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4B5CB2"/>
    <w:multiLevelType w:val="hybridMultilevel"/>
    <w:tmpl w:val="0590A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A526A7"/>
    <w:multiLevelType w:val="hybridMultilevel"/>
    <w:tmpl w:val="4314EA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FF7A73"/>
    <w:multiLevelType w:val="multilevel"/>
    <w:tmpl w:val="75C8E294"/>
    <w:lvl w:ilvl="0">
      <w:start w:val="1"/>
      <w:numFmt w:val="decimal"/>
      <w:pStyle w:val="Heading1"/>
      <w:lvlText w:val="%1"/>
      <w:lvlJc w:val="left"/>
      <w:pPr>
        <w:tabs>
          <w:tab w:val="num" w:pos="5955"/>
        </w:tabs>
        <w:ind w:left="5955"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0" w15:restartNumberingAfterBreak="0">
    <w:nsid w:val="4A6A0E78"/>
    <w:multiLevelType w:val="hybridMultilevel"/>
    <w:tmpl w:val="6610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2412D1"/>
    <w:multiLevelType w:val="hybridMultilevel"/>
    <w:tmpl w:val="7D28E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4FDC5DEA"/>
    <w:multiLevelType w:val="hybridMultilevel"/>
    <w:tmpl w:val="35BA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466F23"/>
    <w:multiLevelType w:val="hybridMultilevel"/>
    <w:tmpl w:val="68609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0478D0"/>
    <w:multiLevelType w:val="hybridMultilevel"/>
    <w:tmpl w:val="4AB0C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1122FC"/>
    <w:multiLevelType w:val="hybridMultilevel"/>
    <w:tmpl w:val="FA202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C20CBA"/>
    <w:multiLevelType w:val="hybridMultilevel"/>
    <w:tmpl w:val="FA2025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275BF7"/>
    <w:multiLevelType w:val="hybridMultilevel"/>
    <w:tmpl w:val="D9229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2"/>
  </w:num>
  <w:num w:numId="13">
    <w:abstractNumId w:val="17"/>
  </w:num>
  <w:num w:numId="14">
    <w:abstractNumId w:val="13"/>
  </w:num>
  <w:num w:numId="15">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16">
    <w:abstractNumId w:val="24"/>
  </w:num>
  <w:num w:numId="17">
    <w:abstractNumId w:val="16"/>
  </w:num>
  <w:num w:numId="18">
    <w:abstractNumId w:val="25"/>
  </w:num>
  <w:num w:numId="19">
    <w:abstractNumId w:val="15"/>
  </w:num>
  <w:num w:numId="20">
    <w:abstractNumId w:val="12"/>
  </w:num>
  <w:num w:numId="21">
    <w:abstractNumId w:val="18"/>
  </w:num>
  <w:num w:numId="22">
    <w:abstractNumId w:val="20"/>
  </w:num>
  <w:num w:numId="23">
    <w:abstractNumId w:val="28"/>
  </w:num>
  <w:num w:numId="24">
    <w:abstractNumId w:val="27"/>
  </w:num>
  <w:num w:numId="25">
    <w:abstractNumId w:val="11"/>
  </w:num>
  <w:num w:numId="26">
    <w:abstractNumId w:val="26"/>
  </w:num>
  <w:num w:numId="27">
    <w:abstractNumId w:val="14"/>
  </w:num>
  <w:num w:numId="28">
    <w:abstractNumId w:val="21"/>
  </w:num>
  <w:num w:numId="2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AF6"/>
    <w:rsid w:val="00000871"/>
    <w:rsid w:val="0000587D"/>
    <w:rsid w:val="000333CC"/>
    <w:rsid w:val="00041650"/>
    <w:rsid w:val="00045548"/>
    <w:rsid w:val="00045F0D"/>
    <w:rsid w:val="00053596"/>
    <w:rsid w:val="000579B1"/>
    <w:rsid w:val="00085A6B"/>
    <w:rsid w:val="00087F8C"/>
    <w:rsid w:val="000922EF"/>
    <w:rsid w:val="0009684C"/>
    <w:rsid w:val="000A6A86"/>
    <w:rsid w:val="000A6F80"/>
    <w:rsid w:val="000B0A5D"/>
    <w:rsid w:val="000B53EE"/>
    <w:rsid w:val="000C7C00"/>
    <w:rsid w:val="000D21ED"/>
    <w:rsid w:val="000E20F5"/>
    <w:rsid w:val="000E38FA"/>
    <w:rsid w:val="000F3F3A"/>
    <w:rsid w:val="000F5C85"/>
    <w:rsid w:val="00123209"/>
    <w:rsid w:val="00123B25"/>
    <w:rsid w:val="001373D3"/>
    <w:rsid w:val="00144CEC"/>
    <w:rsid w:val="00147B9B"/>
    <w:rsid w:val="00162A8D"/>
    <w:rsid w:val="001630DE"/>
    <w:rsid w:val="00164DB2"/>
    <w:rsid w:val="001662B6"/>
    <w:rsid w:val="00166DB8"/>
    <w:rsid w:val="001760FB"/>
    <w:rsid w:val="00176220"/>
    <w:rsid w:val="00181378"/>
    <w:rsid w:val="001B0353"/>
    <w:rsid w:val="001B25B3"/>
    <w:rsid w:val="001C1993"/>
    <w:rsid w:val="001D6D76"/>
    <w:rsid w:val="001E195B"/>
    <w:rsid w:val="001E5264"/>
    <w:rsid w:val="001F005F"/>
    <w:rsid w:val="001F2BBB"/>
    <w:rsid w:val="001F2FB3"/>
    <w:rsid w:val="00201EFE"/>
    <w:rsid w:val="002029FF"/>
    <w:rsid w:val="00214DBF"/>
    <w:rsid w:val="00215015"/>
    <w:rsid w:val="00223C7A"/>
    <w:rsid w:val="00241C3B"/>
    <w:rsid w:val="0024557E"/>
    <w:rsid w:val="00261CF5"/>
    <w:rsid w:val="002808B0"/>
    <w:rsid w:val="00280D0D"/>
    <w:rsid w:val="0028129F"/>
    <w:rsid w:val="002838A5"/>
    <w:rsid w:val="002932DC"/>
    <w:rsid w:val="00295A67"/>
    <w:rsid w:val="002A7FDF"/>
    <w:rsid w:val="002B72F1"/>
    <w:rsid w:val="002D0C4F"/>
    <w:rsid w:val="002D54E2"/>
    <w:rsid w:val="002E2497"/>
    <w:rsid w:val="002E47BD"/>
    <w:rsid w:val="002F40E7"/>
    <w:rsid w:val="00302531"/>
    <w:rsid w:val="00310ED4"/>
    <w:rsid w:val="0031492A"/>
    <w:rsid w:val="00316C1A"/>
    <w:rsid w:val="00331013"/>
    <w:rsid w:val="003341CA"/>
    <w:rsid w:val="00356356"/>
    <w:rsid w:val="0037020D"/>
    <w:rsid w:val="003731B3"/>
    <w:rsid w:val="0039439F"/>
    <w:rsid w:val="003A173F"/>
    <w:rsid w:val="003A60BF"/>
    <w:rsid w:val="003C378D"/>
    <w:rsid w:val="003C3D19"/>
    <w:rsid w:val="003E3078"/>
    <w:rsid w:val="003E3EAA"/>
    <w:rsid w:val="003E767F"/>
    <w:rsid w:val="003F611C"/>
    <w:rsid w:val="004071C3"/>
    <w:rsid w:val="00421D41"/>
    <w:rsid w:val="00421D45"/>
    <w:rsid w:val="00426E0A"/>
    <w:rsid w:val="00436828"/>
    <w:rsid w:val="00443DB2"/>
    <w:rsid w:val="0044690C"/>
    <w:rsid w:val="004510B9"/>
    <w:rsid w:val="004545FD"/>
    <w:rsid w:val="00474063"/>
    <w:rsid w:val="0049095D"/>
    <w:rsid w:val="004B3F64"/>
    <w:rsid w:val="004D6BC5"/>
    <w:rsid w:val="004E79E2"/>
    <w:rsid w:val="004F231F"/>
    <w:rsid w:val="004F4AF6"/>
    <w:rsid w:val="00501946"/>
    <w:rsid w:val="00513540"/>
    <w:rsid w:val="005279C1"/>
    <w:rsid w:val="00531C1A"/>
    <w:rsid w:val="00535872"/>
    <w:rsid w:val="0054309C"/>
    <w:rsid w:val="00556F05"/>
    <w:rsid w:val="0057396F"/>
    <w:rsid w:val="005747B5"/>
    <w:rsid w:val="00590101"/>
    <w:rsid w:val="005A1618"/>
    <w:rsid w:val="005B50D7"/>
    <w:rsid w:val="005C3858"/>
    <w:rsid w:val="005C7196"/>
    <w:rsid w:val="005C7AD5"/>
    <w:rsid w:val="005D1F34"/>
    <w:rsid w:val="005D72EC"/>
    <w:rsid w:val="005F03D1"/>
    <w:rsid w:val="005F1E97"/>
    <w:rsid w:val="005F36BE"/>
    <w:rsid w:val="005F7015"/>
    <w:rsid w:val="0060149C"/>
    <w:rsid w:val="00611E4B"/>
    <w:rsid w:val="0061324D"/>
    <w:rsid w:val="00614732"/>
    <w:rsid w:val="00617E88"/>
    <w:rsid w:val="00627DE3"/>
    <w:rsid w:val="00634E97"/>
    <w:rsid w:val="00650CCD"/>
    <w:rsid w:val="00651144"/>
    <w:rsid w:val="0065590C"/>
    <w:rsid w:val="006562BD"/>
    <w:rsid w:val="006837C2"/>
    <w:rsid w:val="006A6BB3"/>
    <w:rsid w:val="006B2544"/>
    <w:rsid w:val="006B5406"/>
    <w:rsid w:val="006C26CD"/>
    <w:rsid w:val="006C6741"/>
    <w:rsid w:val="006D5EE5"/>
    <w:rsid w:val="006F01D0"/>
    <w:rsid w:val="006F1063"/>
    <w:rsid w:val="006F7B14"/>
    <w:rsid w:val="00726B3A"/>
    <w:rsid w:val="00733949"/>
    <w:rsid w:val="007341B9"/>
    <w:rsid w:val="00740E26"/>
    <w:rsid w:val="00750CA6"/>
    <w:rsid w:val="0075213B"/>
    <w:rsid w:val="007606CC"/>
    <w:rsid w:val="00760B63"/>
    <w:rsid w:val="00763789"/>
    <w:rsid w:val="00763A8C"/>
    <w:rsid w:val="007661CA"/>
    <w:rsid w:val="00770DCB"/>
    <w:rsid w:val="00771036"/>
    <w:rsid w:val="0077193A"/>
    <w:rsid w:val="00775485"/>
    <w:rsid w:val="007813A9"/>
    <w:rsid w:val="007A4BEB"/>
    <w:rsid w:val="007B29FE"/>
    <w:rsid w:val="007D302D"/>
    <w:rsid w:val="0080709D"/>
    <w:rsid w:val="00843708"/>
    <w:rsid w:val="008724DE"/>
    <w:rsid w:val="00872B47"/>
    <w:rsid w:val="00884C6C"/>
    <w:rsid w:val="008940CB"/>
    <w:rsid w:val="008B3662"/>
    <w:rsid w:val="008B4C13"/>
    <w:rsid w:val="008C76A5"/>
    <w:rsid w:val="008D50A3"/>
    <w:rsid w:val="008D6140"/>
    <w:rsid w:val="008E3D60"/>
    <w:rsid w:val="008E4142"/>
    <w:rsid w:val="008E675D"/>
    <w:rsid w:val="0090165F"/>
    <w:rsid w:val="00915494"/>
    <w:rsid w:val="00924538"/>
    <w:rsid w:val="009579BC"/>
    <w:rsid w:val="0096191F"/>
    <w:rsid w:val="00966C2F"/>
    <w:rsid w:val="00990811"/>
    <w:rsid w:val="009A6FDA"/>
    <w:rsid w:val="009B1FE8"/>
    <w:rsid w:val="009C2117"/>
    <w:rsid w:val="009C3517"/>
    <w:rsid w:val="009F4EF5"/>
    <w:rsid w:val="009F5BF6"/>
    <w:rsid w:val="009F5DBF"/>
    <w:rsid w:val="00A0406E"/>
    <w:rsid w:val="00A055B8"/>
    <w:rsid w:val="00A13BE7"/>
    <w:rsid w:val="00A230F6"/>
    <w:rsid w:val="00A32F15"/>
    <w:rsid w:val="00A41355"/>
    <w:rsid w:val="00A43B92"/>
    <w:rsid w:val="00A51B69"/>
    <w:rsid w:val="00A6179E"/>
    <w:rsid w:val="00A8147A"/>
    <w:rsid w:val="00A839DA"/>
    <w:rsid w:val="00A90494"/>
    <w:rsid w:val="00A9225B"/>
    <w:rsid w:val="00A9761E"/>
    <w:rsid w:val="00AB0333"/>
    <w:rsid w:val="00AB19E3"/>
    <w:rsid w:val="00AF0B00"/>
    <w:rsid w:val="00AF5D96"/>
    <w:rsid w:val="00B061A6"/>
    <w:rsid w:val="00B0666A"/>
    <w:rsid w:val="00B10447"/>
    <w:rsid w:val="00B15F40"/>
    <w:rsid w:val="00B17A2D"/>
    <w:rsid w:val="00B25753"/>
    <w:rsid w:val="00B277E0"/>
    <w:rsid w:val="00B53A65"/>
    <w:rsid w:val="00B741DA"/>
    <w:rsid w:val="00B91491"/>
    <w:rsid w:val="00B955EC"/>
    <w:rsid w:val="00BA262D"/>
    <w:rsid w:val="00BB0523"/>
    <w:rsid w:val="00BD400C"/>
    <w:rsid w:val="00BD5D18"/>
    <w:rsid w:val="00BE0C5F"/>
    <w:rsid w:val="00BF1C1B"/>
    <w:rsid w:val="00C006BF"/>
    <w:rsid w:val="00C2170F"/>
    <w:rsid w:val="00C22CB2"/>
    <w:rsid w:val="00C25BDA"/>
    <w:rsid w:val="00C51FC1"/>
    <w:rsid w:val="00C6586A"/>
    <w:rsid w:val="00C66C3E"/>
    <w:rsid w:val="00C71D32"/>
    <w:rsid w:val="00C87F1C"/>
    <w:rsid w:val="00CA0D78"/>
    <w:rsid w:val="00CB27C1"/>
    <w:rsid w:val="00CC0BF1"/>
    <w:rsid w:val="00CD0DC7"/>
    <w:rsid w:val="00CD5307"/>
    <w:rsid w:val="00CE6010"/>
    <w:rsid w:val="00CE789A"/>
    <w:rsid w:val="00CF0AE8"/>
    <w:rsid w:val="00CF1F27"/>
    <w:rsid w:val="00CF5338"/>
    <w:rsid w:val="00D101D7"/>
    <w:rsid w:val="00D1390E"/>
    <w:rsid w:val="00D174F6"/>
    <w:rsid w:val="00D17F4B"/>
    <w:rsid w:val="00D2089B"/>
    <w:rsid w:val="00D40140"/>
    <w:rsid w:val="00D41936"/>
    <w:rsid w:val="00D41C6C"/>
    <w:rsid w:val="00D50043"/>
    <w:rsid w:val="00D53B48"/>
    <w:rsid w:val="00D555E6"/>
    <w:rsid w:val="00D65207"/>
    <w:rsid w:val="00D65C76"/>
    <w:rsid w:val="00D938FD"/>
    <w:rsid w:val="00D96CE1"/>
    <w:rsid w:val="00DA2F73"/>
    <w:rsid w:val="00DB5526"/>
    <w:rsid w:val="00DC462F"/>
    <w:rsid w:val="00DD0897"/>
    <w:rsid w:val="00DD5494"/>
    <w:rsid w:val="00DE047A"/>
    <w:rsid w:val="00DE3578"/>
    <w:rsid w:val="00E003AB"/>
    <w:rsid w:val="00E02C97"/>
    <w:rsid w:val="00E14A38"/>
    <w:rsid w:val="00E20376"/>
    <w:rsid w:val="00E203E1"/>
    <w:rsid w:val="00E235D7"/>
    <w:rsid w:val="00E24FA3"/>
    <w:rsid w:val="00E358CA"/>
    <w:rsid w:val="00E36B41"/>
    <w:rsid w:val="00E3772A"/>
    <w:rsid w:val="00E37F61"/>
    <w:rsid w:val="00E45954"/>
    <w:rsid w:val="00E531A5"/>
    <w:rsid w:val="00E61000"/>
    <w:rsid w:val="00E62AA9"/>
    <w:rsid w:val="00EA52F2"/>
    <w:rsid w:val="00EC637E"/>
    <w:rsid w:val="00ED63A6"/>
    <w:rsid w:val="00EE1299"/>
    <w:rsid w:val="00EE50BC"/>
    <w:rsid w:val="00EF6E02"/>
    <w:rsid w:val="00F03EC0"/>
    <w:rsid w:val="00F14C6D"/>
    <w:rsid w:val="00F227B4"/>
    <w:rsid w:val="00F2494C"/>
    <w:rsid w:val="00F35BC7"/>
    <w:rsid w:val="00F44038"/>
    <w:rsid w:val="00F531CF"/>
    <w:rsid w:val="00F813C7"/>
    <w:rsid w:val="00F956FD"/>
    <w:rsid w:val="00F969AD"/>
    <w:rsid w:val="00FA6159"/>
    <w:rsid w:val="00FA7B63"/>
    <w:rsid w:val="00FB625D"/>
    <w:rsid w:val="00FD43D3"/>
    <w:rsid w:val="00FD72F0"/>
    <w:rsid w:val="00FE3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7EF188"/>
  <w15:chartTrackingRefBased/>
  <w15:docId w15:val="{499CA722-2768-4295-AF18-3323D5A3D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text" w:qFormat="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0B9"/>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rPr>
  </w:style>
  <w:style w:type="character" w:customStyle="1" w:styleId="Heading2Char">
    <w:name w:val="Heading 2 Char"/>
    <w:link w:val="Heading2"/>
    <w:rsid w:val="00D65207"/>
    <w:rPr>
      <w:rFonts w:ascii="Arial" w:hAnsi="Arial"/>
      <w:b/>
      <w:i/>
      <w:color w:val="000000"/>
      <w:sz w:val="28"/>
      <w:szCs w:val="26"/>
    </w:rPr>
  </w:style>
  <w:style w:type="character" w:customStyle="1" w:styleId="Heading3Char">
    <w:name w:val="Heading 3 Char"/>
    <w:link w:val="Heading3"/>
    <w:rsid w:val="00D65207"/>
    <w:rPr>
      <w:rFonts w:ascii="Arial" w:hAnsi="Arial"/>
      <w:bCs/>
      <w:i/>
      <w:sz w:val="24"/>
      <w:szCs w:val="26"/>
    </w:rPr>
  </w:style>
  <w:style w:type="character" w:customStyle="1" w:styleId="Heading4Char">
    <w:name w:val="Heading 4 Char"/>
    <w:link w:val="Heading4"/>
    <w:rsid w:val="00D65207"/>
    <w:rPr>
      <w:rFonts w:ascii="Arial" w:hAnsi="Arial"/>
      <w:iCs/>
      <w:sz w:val="24"/>
      <w:szCs w:val="26"/>
    </w:rPr>
  </w:style>
  <w:style w:type="character" w:styleId="Strong">
    <w:name w:val="Strong"/>
    <w:qFormat/>
    <w:locked/>
    <w:rsid w:val="000B0A5D"/>
    <w:rPr>
      <w:b/>
      <w:bCs/>
    </w:rPr>
  </w:style>
  <w:style w:type="character" w:customStyle="1" w:styleId="Heading5Char">
    <w:name w:val="Heading 5 Char"/>
    <w:link w:val="Heading5"/>
    <w:rsid w:val="00D65207"/>
    <w:rPr>
      <w:rFonts w:ascii="Cambria" w:hAnsi="Cambria"/>
      <w:color w:val="243F60"/>
      <w:sz w:val="24"/>
      <w:szCs w:val="24"/>
    </w:rPr>
  </w:style>
  <w:style w:type="character" w:customStyle="1" w:styleId="Heading6Char">
    <w:name w:val="Heading 6 Char"/>
    <w:link w:val="Heading6"/>
    <w:rsid w:val="00D65207"/>
    <w:rPr>
      <w:rFonts w:ascii="Cambria" w:hAnsi="Cambria"/>
      <w:i/>
      <w:iCs/>
      <w:color w:val="243F60"/>
      <w:sz w:val="24"/>
      <w:szCs w:val="24"/>
    </w:rPr>
  </w:style>
  <w:style w:type="character" w:customStyle="1" w:styleId="Heading7Char">
    <w:name w:val="Heading 7 Char"/>
    <w:link w:val="Heading7"/>
    <w:rsid w:val="00D65207"/>
    <w:rPr>
      <w:rFonts w:ascii="Cambria" w:hAnsi="Cambria"/>
      <w:i/>
      <w:iCs/>
      <w:color w:val="404040"/>
      <w:sz w:val="24"/>
      <w:szCs w:val="24"/>
    </w:rPr>
  </w:style>
  <w:style w:type="character" w:customStyle="1" w:styleId="Heading8Char">
    <w:name w:val="Heading 8 Char"/>
    <w:link w:val="Heading8"/>
    <w:rsid w:val="00D65207"/>
    <w:rPr>
      <w:rFonts w:ascii="Cambria" w:hAnsi="Cambria"/>
      <w:color w:val="404040"/>
    </w:rPr>
  </w:style>
  <w:style w:type="character" w:customStyle="1" w:styleId="Heading9Char">
    <w:name w:val="Heading 9 Char"/>
    <w:link w:val="Heading9"/>
    <w:rsid w:val="00D65207"/>
    <w:rPr>
      <w:rFonts w:ascii="Cambria" w:hAnsi="Cambria"/>
      <w:i/>
      <w:iCs/>
      <w:color w:val="404040"/>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2"/>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qFormat/>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rsid w:val="004510B9"/>
    <w:rPr>
      <w:rFonts w:ascii="Arial" w:hAnsi="Arial"/>
      <w:sz w:val="20"/>
      <w:vertAlign w:val="superscript"/>
    </w:rPr>
  </w:style>
  <w:style w:type="numbering" w:styleId="1ai">
    <w:name w:val="Outline List 1"/>
    <w:basedOn w:val="NoList"/>
    <w:semiHidden/>
    <w:locked/>
    <w:rsid w:val="00E45954"/>
    <w:pPr>
      <w:numPr>
        <w:numId w:val="13"/>
      </w:numPr>
    </w:pPr>
  </w:style>
  <w:style w:type="numbering" w:styleId="ArticleSection">
    <w:name w:val="Outline List 3"/>
    <w:basedOn w:val="NoList"/>
    <w:semiHidden/>
    <w:locked/>
    <w:rsid w:val="00E45954"/>
    <w:pPr>
      <w:numPr>
        <w:numId w:val="14"/>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2"/>
      </w:numPr>
    </w:pPr>
  </w:style>
  <w:style w:type="paragraph" w:styleId="ListBullet2">
    <w:name w:val="List Bullet 2"/>
    <w:basedOn w:val="Normal"/>
    <w:semiHidden/>
    <w:locked/>
    <w:rsid w:val="00E45954"/>
    <w:pPr>
      <w:numPr>
        <w:numId w:val="3"/>
      </w:numPr>
    </w:pPr>
  </w:style>
  <w:style w:type="paragraph" w:styleId="ListBullet3">
    <w:name w:val="List Bullet 3"/>
    <w:basedOn w:val="Normal"/>
    <w:semiHidden/>
    <w:locked/>
    <w:rsid w:val="00E45954"/>
    <w:pPr>
      <w:numPr>
        <w:numId w:val="4"/>
      </w:numPr>
    </w:pPr>
  </w:style>
  <w:style w:type="paragraph" w:styleId="ListBullet4">
    <w:name w:val="List Bullet 4"/>
    <w:basedOn w:val="Normal"/>
    <w:semiHidden/>
    <w:locked/>
    <w:rsid w:val="00E45954"/>
    <w:pPr>
      <w:numPr>
        <w:numId w:val="5"/>
      </w:numPr>
    </w:pPr>
  </w:style>
  <w:style w:type="paragraph" w:styleId="ListBullet5">
    <w:name w:val="List Bullet 5"/>
    <w:basedOn w:val="Normal"/>
    <w:semiHidden/>
    <w:locked/>
    <w:rsid w:val="00E45954"/>
    <w:pPr>
      <w:numPr>
        <w:numId w:val="6"/>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7"/>
      </w:numPr>
    </w:pPr>
  </w:style>
  <w:style w:type="paragraph" w:styleId="ListNumber2">
    <w:name w:val="List Number 2"/>
    <w:basedOn w:val="Normal"/>
    <w:semiHidden/>
    <w:locked/>
    <w:rsid w:val="00E45954"/>
    <w:pPr>
      <w:numPr>
        <w:numId w:val="10"/>
      </w:numPr>
    </w:pPr>
  </w:style>
  <w:style w:type="paragraph" w:styleId="ListNumber3">
    <w:name w:val="List Number 3"/>
    <w:basedOn w:val="Normal"/>
    <w:semiHidden/>
    <w:locked/>
    <w:rsid w:val="00E45954"/>
    <w:pPr>
      <w:numPr>
        <w:numId w:val="11"/>
      </w:numPr>
    </w:pPr>
  </w:style>
  <w:style w:type="paragraph" w:styleId="ListNumber4">
    <w:name w:val="List Number 4"/>
    <w:basedOn w:val="Normal"/>
    <w:semiHidden/>
    <w:locked/>
    <w:rsid w:val="00E45954"/>
    <w:pPr>
      <w:numPr>
        <w:numId w:val="8"/>
      </w:numPr>
    </w:pPr>
  </w:style>
  <w:style w:type="paragraph" w:styleId="ListNumber5">
    <w:name w:val="List Number 5"/>
    <w:basedOn w:val="Normal"/>
    <w:semiHidden/>
    <w:locked/>
    <w:rsid w:val="00E45954"/>
    <w:pPr>
      <w:numPr>
        <w:numId w:val="9"/>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15"/>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locked/>
    <w:rsid w:val="0061324D"/>
    <w:rPr>
      <w:rFonts w:ascii="Arial" w:hAnsi="Arial"/>
      <w:lang w:bidi="ar-SA"/>
    </w:rPr>
  </w:style>
  <w:style w:type="paragraph" w:styleId="ListParagraph">
    <w:name w:val="List Paragraph"/>
    <w:aliases w:val="L,List Paragraph1,List Paragraph11,Recommendation,EOT List Paragraph"/>
    <w:basedOn w:val="Normal"/>
    <w:link w:val="ListParagraphChar"/>
    <w:uiPriority w:val="34"/>
    <w:qFormat/>
    <w:rsid w:val="00FD43D3"/>
    <w:pPr>
      <w:ind w:left="720"/>
      <w:contextualSpacing/>
    </w:pPr>
  </w:style>
  <w:style w:type="paragraph" w:styleId="BalloonText">
    <w:name w:val="Balloon Text"/>
    <w:basedOn w:val="Normal"/>
    <w:link w:val="BalloonTextChar"/>
    <w:locked/>
    <w:rsid w:val="001D6D76"/>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1D6D76"/>
    <w:rPr>
      <w:rFonts w:ascii="Segoe UI" w:hAnsi="Segoe UI" w:cs="Segoe UI"/>
      <w:sz w:val="18"/>
      <w:szCs w:val="18"/>
    </w:rPr>
  </w:style>
  <w:style w:type="character" w:customStyle="1" w:styleId="ListParagraphChar">
    <w:name w:val="List Paragraph Char"/>
    <w:aliases w:val="L Char,List Paragraph1 Char,List Paragraph11 Char,Recommendation Char,EOT List Paragraph Char"/>
    <w:link w:val="ListParagraph"/>
    <w:uiPriority w:val="34"/>
    <w:locked/>
    <w:rsid w:val="00501946"/>
    <w:rPr>
      <w:rFonts w:ascii="Arial" w:hAnsi="Arial"/>
      <w:sz w:val="24"/>
      <w:szCs w:val="24"/>
    </w:rPr>
  </w:style>
  <w:style w:type="character" w:styleId="CommentReference">
    <w:name w:val="annotation reference"/>
    <w:basedOn w:val="DefaultParagraphFont"/>
    <w:locked/>
    <w:rsid w:val="00E358CA"/>
    <w:rPr>
      <w:sz w:val="16"/>
      <w:szCs w:val="16"/>
    </w:rPr>
  </w:style>
  <w:style w:type="paragraph" w:styleId="CommentText">
    <w:name w:val="annotation text"/>
    <w:basedOn w:val="Normal"/>
    <w:link w:val="CommentTextChar"/>
    <w:locked/>
    <w:rsid w:val="00E358CA"/>
    <w:rPr>
      <w:sz w:val="20"/>
      <w:szCs w:val="20"/>
    </w:rPr>
  </w:style>
  <w:style w:type="character" w:customStyle="1" w:styleId="CommentTextChar">
    <w:name w:val="Comment Text Char"/>
    <w:basedOn w:val="DefaultParagraphFont"/>
    <w:link w:val="CommentText"/>
    <w:rsid w:val="00E358CA"/>
    <w:rPr>
      <w:rFonts w:ascii="Arial" w:hAnsi="Arial"/>
    </w:rPr>
  </w:style>
  <w:style w:type="paragraph" w:styleId="CommentSubject">
    <w:name w:val="annotation subject"/>
    <w:basedOn w:val="CommentText"/>
    <w:next w:val="CommentText"/>
    <w:link w:val="CommentSubjectChar"/>
    <w:locked/>
    <w:rsid w:val="00E358CA"/>
    <w:rPr>
      <w:b/>
      <w:bCs/>
    </w:rPr>
  </w:style>
  <w:style w:type="character" w:customStyle="1" w:styleId="CommentSubjectChar">
    <w:name w:val="Comment Subject Char"/>
    <w:basedOn w:val="CommentTextChar"/>
    <w:link w:val="CommentSubject"/>
    <w:rsid w:val="00E358CA"/>
    <w:rPr>
      <w:rFonts w:ascii="Arial" w:hAnsi="Arial"/>
      <w:b/>
      <w:bCs/>
    </w:rPr>
  </w:style>
  <w:style w:type="paragraph" w:customStyle="1" w:styleId="Normal1">
    <w:name w:val="Normal1"/>
    <w:basedOn w:val="Normal"/>
    <w:link w:val="Normal1Char"/>
    <w:qFormat/>
    <w:rsid w:val="0077193A"/>
    <w:pPr>
      <w:spacing w:before="0"/>
    </w:pPr>
    <w:rPr>
      <w:bCs/>
      <w:lang w:val="en"/>
    </w:rPr>
  </w:style>
  <w:style w:type="character" w:customStyle="1" w:styleId="Normal1Char">
    <w:name w:val="Normal1 Char"/>
    <w:basedOn w:val="DefaultParagraphFont"/>
    <w:link w:val="Normal1"/>
    <w:rsid w:val="0077193A"/>
    <w:rPr>
      <w:rFonts w:ascii="Arial" w:hAnsi="Arial"/>
      <w:bCs/>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1332761442">
      <w:bodyDiv w:val="1"/>
      <w:marLeft w:val="0"/>
      <w:marRight w:val="0"/>
      <w:marTop w:val="0"/>
      <w:marBottom w:val="0"/>
      <w:divBdr>
        <w:top w:val="none" w:sz="0" w:space="0" w:color="auto"/>
        <w:left w:val="none" w:sz="0" w:space="0" w:color="auto"/>
        <w:bottom w:val="none" w:sz="0" w:space="0" w:color="auto"/>
        <w:right w:val="none" w:sz="0" w:space="0" w:color="auto"/>
      </w:divBdr>
    </w:div>
    <w:div w:id="1337608670">
      <w:bodyDiv w:val="1"/>
      <w:marLeft w:val="0"/>
      <w:marRight w:val="0"/>
      <w:marTop w:val="0"/>
      <w:marBottom w:val="0"/>
      <w:divBdr>
        <w:top w:val="none" w:sz="0" w:space="0" w:color="auto"/>
        <w:left w:val="none" w:sz="0" w:space="0" w:color="auto"/>
        <w:bottom w:val="none" w:sz="0" w:space="0" w:color="auto"/>
        <w:right w:val="none" w:sz="0" w:space="0" w:color="auto"/>
      </w:divBdr>
    </w:div>
    <w:div w:id="1801416029">
      <w:bodyDiv w:val="1"/>
      <w:marLeft w:val="0"/>
      <w:marRight w:val="0"/>
      <w:marTop w:val="0"/>
      <w:marBottom w:val="0"/>
      <w:divBdr>
        <w:top w:val="none" w:sz="0" w:space="0" w:color="auto"/>
        <w:left w:val="none" w:sz="0" w:space="0" w:color="auto"/>
        <w:bottom w:val="none" w:sz="0" w:space="0" w:color="auto"/>
        <w:right w:val="none" w:sz="0" w:space="0" w:color="auto"/>
      </w:divBdr>
      <w:divsChild>
        <w:div w:id="1168253457">
          <w:marLeft w:val="0"/>
          <w:marRight w:val="0"/>
          <w:marTop w:val="0"/>
          <w:marBottom w:val="0"/>
          <w:divBdr>
            <w:top w:val="none" w:sz="0" w:space="0" w:color="auto"/>
            <w:left w:val="none" w:sz="0" w:space="0" w:color="auto"/>
            <w:bottom w:val="none" w:sz="0" w:space="0" w:color="auto"/>
            <w:right w:val="none" w:sz="0" w:space="0" w:color="auto"/>
          </w:divBdr>
          <w:divsChild>
            <w:div w:id="1067150622">
              <w:marLeft w:val="0"/>
              <w:marRight w:val="0"/>
              <w:marTop w:val="0"/>
              <w:marBottom w:val="0"/>
              <w:divBdr>
                <w:top w:val="none" w:sz="0" w:space="0" w:color="auto"/>
                <w:left w:val="none" w:sz="0" w:space="0" w:color="auto"/>
                <w:bottom w:val="none" w:sz="0" w:space="0" w:color="auto"/>
                <w:right w:val="none" w:sz="0" w:space="0" w:color="auto"/>
              </w:divBdr>
              <w:divsChild>
                <w:div w:id="272984490">
                  <w:marLeft w:val="0"/>
                  <w:marRight w:val="0"/>
                  <w:marTop w:val="0"/>
                  <w:marBottom w:val="0"/>
                  <w:divBdr>
                    <w:top w:val="none" w:sz="0" w:space="0" w:color="auto"/>
                    <w:left w:val="none" w:sz="0" w:space="0" w:color="auto"/>
                    <w:bottom w:val="none" w:sz="0" w:space="0" w:color="auto"/>
                    <w:right w:val="none" w:sz="0" w:space="0" w:color="auto"/>
                  </w:divBdr>
                  <w:divsChild>
                    <w:div w:id="1881504994">
                      <w:marLeft w:val="0"/>
                      <w:marRight w:val="0"/>
                      <w:marTop w:val="0"/>
                      <w:marBottom w:val="0"/>
                      <w:divBdr>
                        <w:top w:val="none" w:sz="0" w:space="0" w:color="auto"/>
                        <w:left w:val="none" w:sz="0" w:space="0" w:color="auto"/>
                        <w:bottom w:val="none" w:sz="0" w:space="0" w:color="auto"/>
                        <w:right w:val="none" w:sz="0" w:space="0" w:color="auto"/>
                      </w:divBdr>
                      <w:divsChild>
                        <w:div w:id="2085449141">
                          <w:marLeft w:val="0"/>
                          <w:marRight w:val="0"/>
                          <w:marTop w:val="0"/>
                          <w:marBottom w:val="0"/>
                          <w:divBdr>
                            <w:top w:val="none" w:sz="0" w:space="0" w:color="auto"/>
                            <w:left w:val="none" w:sz="0" w:space="0" w:color="auto"/>
                            <w:bottom w:val="none" w:sz="0" w:space="0" w:color="auto"/>
                            <w:right w:val="none" w:sz="0" w:space="0" w:color="auto"/>
                          </w:divBdr>
                          <w:divsChild>
                            <w:div w:id="135879656">
                              <w:marLeft w:val="0"/>
                              <w:marRight w:val="0"/>
                              <w:marTop w:val="0"/>
                              <w:marBottom w:val="0"/>
                              <w:divBdr>
                                <w:top w:val="none" w:sz="0" w:space="0" w:color="auto"/>
                                <w:left w:val="none" w:sz="0" w:space="0" w:color="auto"/>
                                <w:bottom w:val="none" w:sz="0" w:space="0" w:color="auto"/>
                                <w:right w:val="none" w:sz="0" w:space="0" w:color="auto"/>
                              </w:divBdr>
                              <w:divsChild>
                                <w:div w:id="189674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52731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abs.gov.au/ausstats/abs@.nsf/mf/4430.0.10.001" TargetMode="External"/><Relationship Id="rId2" Type="http://schemas.openxmlformats.org/officeDocument/2006/relationships/hyperlink" Target="http://www.abs.gov.au/ausstats/abs@.nsf/mf/4430.0.10.001" TargetMode="External"/><Relationship Id="rId1" Type="http://schemas.openxmlformats.org/officeDocument/2006/relationships/hyperlink" Target="http://www.abs.gov.au/ausstats/abs@.nsf/mf/4430.0.10.001" TargetMode="External"/><Relationship Id="rId4" Type="http://schemas.openxmlformats.org/officeDocument/2006/relationships/hyperlink" Target="http://www.abs.gov.au/ausstats/abs@.nsf/mf/4433.0.55.006"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Blank%20Letterhead%20for%20Complaints%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DE3A-FB12-4951-B2F4-53DA729C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Letterhead for Complaints .dot</Template>
  <TotalTime>5</TotalTime>
  <Pages>5</Pages>
  <Words>1355</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Carla Clement</dc:creator>
  <cp:keywords/>
  <cp:lastModifiedBy>Marlene Krasovitsky</cp:lastModifiedBy>
  <cp:revision>9</cp:revision>
  <cp:lastPrinted>2016-04-27T07:14:00Z</cp:lastPrinted>
  <dcterms:created xsi:type="dcterms:W3CDTF">2016-05-25T01:36:00Z</dcterms:created>
  <dcterms:modified xsi:type="dcterms:W3CDTF">2016-05-25T02:38:00Z</dcterms:modified>
</cp:coreProperties>
</file>