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3F9" w:rsidR="008F5215" w:rsidP="006D2041" w:rsidRDefault="005D4E63" w14:paraId="51ADFC19" w14:textId="6E522019">
      <w:pPr>
        <w:pStyle w:val="MainTitle"/>
        <w:spacing w:line="276" w:lineRule="auto"/>
        <w:rPr>
          <w:lang w:val="en-GB"/>
        </w:rPr>
      </w:pPr>
      <w:r w:rsidRPr="002A63F9">
        <w:rPr>
          <w:lang w:val="en-GB"/>
        </w:rPr>
        <w:t>People</w:t>
      </w:r>
      <w:r w:rsidRPr="002A63F9" w:rsidR="00F25E30">
        <w:rPr>
          <w:lang w:val="en-GB"/>
        </w:rPr>
        <w:t xml:space="preserve"> </w:t>
      </w:r>
      <w:r w:rsidRPr="002A63F9">
        <w:rPr>
          <w:lang w:val="en-GB"/>
        </w:rPr>
        <w:t>with Disability</w:t>
      </w:r>
      <w:r w:rsidRPr="002A63F9" w:rsidR="008F5215">
        <w:rPr>
          <w:lang w:val="en-GB"/>
        </w:rPr>
        <w:t xml:space="preserve"> and</w:t>
      </w:r>
    </w:p>
    <w:p w:rsidRPr="002A63F9" w:rsidR="00A355F9" w:rsidP="006D2041" w:rsidRDefault="008F5215" w14:paraId="0C0EFF24" w14:textId="6E8DD194">
      <w:pPr>
        <w:pStyle w:val="MainTitle"/>
        <w:spacing w:line="276" w:lineRule="auto"/>
        <w:rPr>
          <w:lang w:val="en-GB"/>
        </w:rPr>
      </w:pPr>
      <w:r w:rsidRPr="002A63F9">
        <w:rPr>
          <w:lang w:val="en-GB"/>
        </w:rPr>
        <w:t>the Criminal Justice System</w:t>
      </w:r>
    </w:p>
    <w:p w:rsidRPr="002A63F9" w:rsidR="00647048" w:rsidP="00861DD9" w:rsidRDefault="00C86324" w14:paraId="25291B03" w14:textId="77777777">
      <w:pPr>
        <w:pStyle w:val="Date"/>
        <w:spacing w:line="276" w:lineRule="auto"/>
        <w:rPr>
          <w:color w:val="2E74B5" w:themeColor="accent1" w:themeShade="BF"/>
          <w:sz w:val="28"/>
        </w:rPr>
      </w:pPr>
      <w:bookmarkStart w:name="_Toc525894097" w:id="0"/>
      <w:r w:rsidRPr="002A63F9">
        <w:rPr>
          <w:color w:val="2E74B5" w:themeColor="accent1" w:themeShade="BF"/>
          <w:sz w:val="28"/>
        </w:rPr>
        <w:t>Submission to the</w:t>
      </w:r>
      <w:r w:rsidRPr="002A63F9" w:rsidR="00647048">
        <w:t xml:space="preserve"> </w:t>
      </w:r>
      <w:r w:rsidRPr="002A63F9" w:rsidR="00647048">
        <w:rPr>
          <w:color w:val="2E74B5" w:themeColor="accent1" w:themeShade="BF"/>
          <w:sz w:val="28"/>
        </w:rPr>
        <w:t>Royal Commission into Violence, Abuse,</w:t>
      </w:r>
    </w:p>
    <w:p w:rsidRPr="002A63F9" w:rsidR="00817C73" w:rsidP="00861DD9" w:rsidRDefault="00647048" w14:paraId="365EC286" w14:textId="256169EB">
      <w:pPr>
        <w:pStyle w:val="Date"/>
        <w:spacing w:line="276" w:lineRule="auto"/>
        <w:rPr>
          <w:color w:val="2E74B5" w:themeColor="accent1" w:themeShade="BF"/>
          <w:sz w:val="28"/>
        </w:rPr>
      </w:pPr>
      <w:r w:rsidRPr="002A63F9">
        <w:rPr>
          <w:color w:val="2E74B5" w:themeColor="accent1" w:themeShade="BF"/>
          <w:sz w:val="28"/>
        </w:rPr>
        <w:t>Neglect and Exploitation of People with Disability</w:t>
      </w:r>
      <w:bookmarkEnd w:id="0"/>
    </w:p>
    <w:p w:rsidRPr="002A63F9" w:rsidR="00AC636D" w:rsidP="00861DD9" w:rsidRDefault="00EE1F4F" w14:paraId="3B341D33" w14:textId="4D43BCC2">
      <w:pPr>
        <w:pStyle w:val="Date"/>
        <w:spacing w:line="276" w:lineRule="auto"/>
      </w:pPr>
      <w:r w:rsidR="065AA377">
        <w:rPr/>
        <w:t>20 March 2020</w:t>
      </w:r>
    </w:p>
    <w:p w:rsidRPr="002A63F9" w:rsidR="009E4BD0" w:rsidP="00861DD9" w:rsidRDefault="009E4BD0" w14:paraId="5950F861" w14:textId="77777777">
      <w:pPr>
        <w:pStyle w:val="Subtitle"/>
        <w:spacing w:line="276" w:lineRule="auto"/>
        <w:sectPr w:rsidRPr="002A63F9" w:rsidR="009E4BD0" w:rsidSect="00AC636D">
          <w:headerReference w:type="even" r:id="rId14"/>
          <w:headerReference w:type="default" r:id="rId15"/>
          <w:headerReference w:type="first" r:id="rId16"/>
          <w:footerReference w:type="first" r:id="rId17"/>
          <w:type w:val="continuous"/>
          <w:pgSz w:w="11906" w:h="16838" w:orient="portrait" w:code="9"/>
          <w:pgMar w:top="228" w:right="1700" w:bottom="1134" w:left="1418" w:header="277" w:footer="1361" w:gutter="0"/>
          <w:pgNumType w:start="2"/>
          <w:cols w:space="708"/>
          <w:titlePg/>
          <w:docGrid w:linePitch="360"/>
        </w:sectPr>
      </w:pPr>
    </w:p>
    <w:bookmarkStart w:name="_Toc209316062" w:id="1"/>
    <w:bookmarkEnd w:id="1"/>
    <w:p w:rsidR="009D221C" w:rsidRDefault="000E4837" w14:paraId="30B0226C" w14:textId="273A93C9">
      <w:pPr>
        <w:pStyle w:val="TOC1"/>
        <w:rPr>
          <w:rFonts w:asciiTheme="minorHAnsi" w:hAnsiTheme="minorHAnsi" w:eastAsiaTheme="minorEastAsia" w:cstheme="minorBidi"/>
          <w:b w:val="0"/>
          <w:sz w:val="22"/>
          <w:szCs w:val="22"/>
          <w:lang w:val="en-AU"/>
        </w:rPr>
      </w:pPr>
      <w:r w:rsidRPr="002A63F9">
        <w:lastRenderedPageBreak/>
        <w:fldChar w:fldCharType="begin"/>
      </w:r>
      <w:r w:rsidRPr="002A63F9">
        <w:instrText xml:space="preserve"> TOC \o "1-3" \h \z \u </w:instrText>
      </w:r>
      <w:r w:rsidRPr="002A63F9">
        <w:fldChar w:fldCharType="separate"/>
      </w:r>
      <w:hyperlink w:history="1" w:anchor="_Toc35535473">
        <w:r w:rsidRPr="00A854DC" w:rsidR="009D221C">
          <w:rPr>
            <w:rStyle w:val="Hyperlink"/>
          </w:rPr>
          <w:t>1</w:t>
        </w:r>
        <w:r w:rsidR="009D221C">
          <w:rPr>
            <w:rFonts w:asciiTheme="minorHAnsi" w:hAnsiTheme="minorHAnsi" w:eastAsiaTheme="minorEastAsia" w:cstheme="minorBidi"/>
            <w:b w:val="0"/>
            <w:sz w:val="22"/>
            <w:szCs w:val="22"/>
            <w:lang w:val="en-AU"/>
          </w:rPr>
          <w:tab/>
        </w:r>
        <w:r w:rsidRPr="00A854DC" w:rsidR="009D221C">
          <w:rPr>
            <w:rStyle w:val="Hyperlink"/>
          </w:rPr>
          <w:t>Introduction</w:t>
        </w:r>
        <w:r w:rsidR="009D221C">
          <w:rPr>
            <w:webHidden/>
          </w:rPr>
          <w:tab/>
        </w:r>
        <w:r w:rsidR="009D221C">
          <w:rPr>
            <w:webHidden/>
          </w:rPr>
          <w:fldChar w:fldCharType="begin"/>
        </w:r>
        <w:r w:rsidR="009D221C">
          <w:rPr>
            <w:webHidden/>
          </w:rPr>
          <w:instrText xml:space="preserve"> PAGEREF _Toc35535473 \h </w:instrText>
        </w:r>
        <w:r w:rsidR="009D221C">
          <w:rPr>
            <w:webHidden/>
          </w:rPr>
        </w:r>
        <w:r w:rsidR="009D221C">
          <w:rPr>
            <w:webHidden/>
          </w:rPr>
          <w:fldChar w:fldCharType="separate"/>
        </w:r>
        <w:r w:rsidR="009D221C">
          <w:rPr>
            <w:webHidden/>
          </w:rPr>
          <w:t>3</w:t>
        </w:r>
        <w:r w:rsidR="009D221C">
          <w:rPr>
            <w:webHidden/>
          </w:rPr>
          <w:fldChar w:fldCharType="end"/>
        </w:r>
      </w:hyperlink>
    </w:p>
    <w:p w:rsidR="009D221C" w:rsidRDefault="00BD1590" w14:paraId="70255A28" w14:textId="35CE04DC">
      <w:pPr>
        <w:pStyle w:val="TOC1"/>
        <w:rPr>
          <w:rFonts w:asciiTheme="minorHAnsi" w:hAnsiTheme="minorHAnsi" w:eastAsiaTheme="minorEastAsia" w:cstheme="minorBidi"/>
          <w:b w:val="0"/>
          <w:sz w:val="22"/>
          <w:szCs w:val="22"/>
          <w:lang w:val="en-AU"/>
        </w:rPr>
      </w:pPr>
      <w:hyperlink w:history="1" w:anchor="_Toc35535474">
        <w:r w:rsidRPr="00A854DC" w:rsidR="009D221C">
          <w:rPr>
            <w:rStyle w:val="Hyperlink"/>
          </w:rPr>
          <w:t>2</w:t>
        </w:r>
        <w:r w:rsidR="009D221C">
          <w:rPr>
            <w:rFonts w:asciiTheme="minorHAnsi" w:hAnsiTheme="minorHAnsi" w:eastAsiaTheme="minorEastAsia" w:cstheme="minorBidi"/>
            <w:b w:val="0"/>
            <w:sz w:val="22"/>
            <w:szCs w:val="22"/>
            <w:lang w:val="en-AU"/>
          </w:rPr>
          <w:tab/>
        </w:r>
        <w:r w:rsidRPr="00A854DC" w:rsidR="009D221C">
          <w:rPr>
            <w:rStyle w:val="Hyperlink"/>
          </w:rPr>
          <w:t>Summary of recommendations</w:t>
        </w:r>
        <w:r w:rsidR="009D221C">
          <w:rPr>
            <w:webHidden/>
          </w:rPr>
          <w:tab/>
        </w:r>
        <w:r w:rsidR="009D221C">
          <w:rPr>
            <w:webHidden/>
          </w:rPr>
          <w:fldChar w:fldCharType="begin"/>
        </w:r>
        <w:r w:rsidR="009D221C">
          <w:rPr>
            <w:webHidden/>
          </w:rPr>
          <w:instrText xml:space="preserve"> PAGEREF _Toc35535474 \h </w:instrText>
        </w:r>
        <w:r w:rsidR="009D221C">
          <w:rPr>
            <w:webHidden/>
          </w:rPr>
        </w:r>
        <w:r w:rsidR="009D221C">
          <w:rPr>
            <w:webHidden/>
          </w:rPr>
          <w:fldChar w:fldCharType="separate"/>
        </w:r>
        <w:r w:rsidR="009D221C">
          <w:rPr>
            <w:webHidden/>
          </w:rPr>
          <w:t>4</w:t>
        </w:r>
        <w:r w:rsidR="009D221C">
          <w:rPr>
            <w:webHidden/>
          </w:rPr>
          <w:fldChar w:fldCharType="end"/>
        </w:r>
      </w:hyperlink>
    </w:p>
    <w:p w:rsidR="009D221C" w:rsidRDefault="00BD1590" w14:paraId="640090F6" w14:textId="32D4199C">
      <w:pPr>
        <w:pStyle w:val="TOC1"/>
        <w:rPr>
          <w:rFonts w:asciiTheme="minorHAnsi" w:hAnsiTheme="minorHAnsi" w:eastAsiaTheme="minorEastAsia" w:cstheme="minorBidi"/>
          <w:b w:val="0"/>
          <w:sz w:val="22"/>
          <w:szCs w:val="22"/>
          <w:lang w:val="en-AU"/>
        </w:rPr>
      </w:pPr>
      <w:hyperlink w:history="1" w:anchor="_Toc35535475">
        <w:r w:rsidRPr="00A854DC" w:rsidR="009D221C">
          <w:rPr>
            <w:rStyle w:val="Hyperlink"/>
          </w:rPr>
          <w:t>3</w:t>
        </w:r>
        <w:r w:rsidR="009D221C">
          <w:rPr>
            <w:rFonts w:asciiTheme="minorHAnsi" w:hAnsiTheme="minorHAnsi" w:eastAsiaTheme="minorEastAsia" w:cstheme="minorBidi"/>
            <w:b w:val="0"/>
            <w:sz w:val="22"/>
            <w:szCs w:val="22"/>
            <w:lang w:val="en-AU"/>
          </w:rPr>
          <w:tab/>
        </w:r>
        <w:r w:rsidRPr="00A854DC" w:rsidR="009D221C">
          <w:rPr>
            <w:rStyle w:val="Hyperlink"/>
          </w:rPr>
          <w:t>International &amp; domestic human rights framework</w:t>
        </w:r>
        <w:r w:rsidR="009D221C">
          <w:rPr>
            <w:webHidden/>
          </w:rPr>
          <w:tab/>
        </w:r>
        <w:r w:rsidR="009D221C">
          <w:rPr>
            <w:webHidden/>
          </w:rPr>
          <w:fldChar w:fldCharType="begin"/>
        </w:r>
        <w:r w:rsidR="009D221C">
          <w:rPr>
            <w:webHidden/>
          </w:rPr>
          <w:instrText xml:space="preserve"> PAGEREF _Toc35535475 \h </w:instrText>
        </w:r>
        <w:r w:rsidR="009D221C">
          <w:rPr>
            <w:webHidden/>
          </w:rPr>
        </w:r>
        <w:r w:rsidR="009D221C">
          <w:rPr>
            <w:webHidden/>
          </w:rPr>
          <w:fldChar w:fldCharType="separate"/>
        </w:r>
        <w:r w:rsidR="009D221C">
          <w:rPr>
            <w:webHidden/>
          </w:rPr>
          <w:t>7</w:t>
        </w:r>
        <w:r w:rsidR="009D221C">
          <w:rPr>
            <w:webHidden/>
          </w:rPr>
          <w:fldChar w:fldCharType="end"/>
        </w:r>
      </w:hyperlink>
    </w:p>
    <w:p w:rsidR="009D221C" w:rsidRDefault="00BD1590" w14:paraId="04C624E2" w14:textId="212C83CA">
      <w:pPr>
        <w:pStyle w:val="TOC2"/>
        <w:rPr>
          <w:rFonts w:asciiTheme="minorHAnsi" w:hAnsiTheme="minorHAnsi" w:eastAsiaTheme="minorEastAsia" w:cstheme="minorBidi"/>
          <w:b w:val="0"/>
          <w:i w:val="0"/>
          <w:sz w:val="22"/>
          <w:szCs w:val="22"/>
          <w:lang w:val="en-AU"/>
        </w:rPr>
      </w:pPr>
      <w:hyperlink w:history="1" w:anchor="_Toc35535476">
        <w:r w:rsidRPr="00A854DC" w:rsidR="009D221C">
          <w:rPr>
            <w:rStyle w:val="Hyperlink"/>
          </w:rPr>
          <w:t>3.1</w:t>
        </w:r>
        <w:r w:rsidR="009D221C">
          <w:rPr>
            <w:rFonts w:asciiTheme="minorHAnsi" w:hAnsiTheme="minorHAnsi" w:eastAsiaTheme="minorEastAsia" w:cstheme="minorBidi"/>
            <w:b w:val="0"/>
            <w:i w:val="0"/>
            <w:sz w:val="22"/>
            <w:szCs w:val="22"/>
            <w:lang w:val="en-AU"/>
          </w:rPr>
          <w:tab/>
        </w:r>
        <w:r w:rsidRPr="00A854DC" w:rsidR="009D221C">
          <w:rPr>
            <w:rStyle w:val="Hyperlink"/>
          </w:rPr>
          <w:t>Convention on the Rights of Persons with Disabilities</w:t>
        </w:r>
        <w:r w:rsidR="009D221C">
          <w:rPr>
            <w:webHidden/>
          </w:rPr>
          <w:tab/>
        </w:r>
        <w:r w:rsidR="009D221C">
          <w:rPr>
            <w:webHidden/>
          </w:rPr>
          <w:fldChar w:fldCharType="begin"/>
        </w:r>
        <w:r w:rsidR="009D221C">
          <w:rPr>
            <w:webHidden/>
          </w:rPr>
          <w:instrText xml:space="preserve"> PAGEREF _Toc35535476 \h </w:instrText>
        </w:r>
        <w:r w:rsidR="009D221C">
          <w:rPr>
            <w:webHidden/>
          </w:rPr>
        </w:r>
        <w:r w:rsidR="009D221C">
          <w:rPr>
            <w:webHidden/>
          </w:rPr>
          <w:fldChar w:fldCharType="separate"/>
        </w:r>
        <w:r w:rsidR="009D221C">
          <w:rPr>
            <w:webHidden/>
          </w:rPr>
          <w:t>7</w:t>
        </w:r>
        <w:r w:rsidR="009D221C">
          <w:rPr>
            <w:webHidden/>
          </w:rPr>
          <w:fldChar w:fldCharType="end"/>
        </w:r>
      </w:hyperlink>
    </w:p>
    <w:p w:rsidR="009D221C" w:rsidRDefault="00BD1590" w14:paraId="40819AB7" w14:textId="15DFEF4F">
      <w:pPr>
        <w:pStyle w:val="TOC2"/>
        <w:rPr>
          <w:rFonts w:asciiTheme="minorHAnsi" w:hAnsiTheme="minorHAnsi" w:eastAsiaTheme="minorEastAsia" w:cstheme="minorBidi"/>
          <w:b w:val="0"/>
          <w:i w:val="0"/>
          <w:sz w:val="22"/>
          <w:szCs w:val="22"/>
          <w:lang w:val="en-AU"/>
        </w:rPr>
      </w:pPr>
      <w:hyperlink w:history="1" w:anchor="_Toc35535477">
        <w:r w:rsidRPr="00A854DC" w:rsidR="009D221C">
          <w:rPr>
            <w:rStyle w:val="Hyperlink"/>
          </w:rPr>
          <w:t>3.2</w:t>
        </w:r>
        <w:r w:rsidR="009D221C">
          <w:rPr>
            <w:rFonts w:asciiTheme="minorHAnsi" w:hAnsiTheme="minorHAnsi" w:eastAsiaTheme="minorEastAsia" w:cstheme="minorBidi"/>
            <w:b w:val="0"/>
            <w:i w:val="0"/>
            <w:sz w:val="22"/>
            <w:szCs w:val="22"/>
            <w:lang w:val="en-AU"/>
          </w:rPr>
          <w:tab/>
        </w:r>
        <w:r w:rsidRPr="00A854DC" w:rsidR="009D221C">
          <w:rPr>
            <w:rStyle w:val="Hyperlink"/>
          </w:rPr>
          <w:t>International Covenant on Civil and Political Rights</w:t>
        </w:r>
        <w:r w:rsidR="009D221C">
          <w:rPr>
            <w:webHidden/>
          </w:rPr>
          <w:tab/>
        </w:r>
        <w:r w:rsidR="009D221C">
          <w:rPr>
            <w:webHidden/>
          </w:rPr>
          <w:fldChar w:fldCharType="begin"/>
        </w:r>
        <w:r w:rsidR="009D221C">
          <w:rPr>
            <w:webHidden/>
          </w:rPr>
          <w:instrText xml:space="preserve"> PAGEREF _Toc35535477 \h </w:instrText>
        </w:r>
        <w:r w:rsidR="009D221C">
          <w:rPr>
            <w:webHidden/>
          </w:rPr>
        </w:r>
        <w:r w:rsidR="009D221C">
          <w:rPr>
            <w:webHidden/>
          </w:rPr>
          <w:fldChar w:fldCharType="separate"/>
        </w:r>
        <w:r w:rsidR="009D221C">
          <w:rPr>
            <w:webHidden/>
          </w:rPr>
          <w:t>8</w:t>
        </w:r>
        <w:r w:rsidR="009D221C">
          <w:rPr>
            <w:webHidden/>
          </w:rPr>
          <w:fldChar w:fldCharType="end"/>
        </w:r>
      </w:hyperlink>
    </w:p>
    <w:p w:rsidR="009D221C" w:rsidRDefault="00BD1590" w14:paraId="47192331" w14:textId="518DE227">
      <w:pPr>
        <w:pStyle w:val="TOC2"/>
        <w:rPr>
          <w:rFonts w:asciiTheme="minorHAnsi" w:hAnsiTheme="minorHAnsi" w:eastAsiaTheme="minorEastAsia" w:cstheme="minorBidi"/>
          <w:b w:val="0"/>
          <w:i w:val="0"/>
          <w:sz w:val="22"/>
          <w:szCs w:val="22"/>
          <w:lang w:val="en-AU"/>
        </w:rPr>
      </w:pPr>
      <w:hyperlink w:history="1" w:anchor="_Toc35535478">
        <w:r w:rsidRPr="00A854DC" w:rsidR="009D221C">
          <w:rPr>
            <w:rStyle w:val="Hyperlink"/>
          </w:rPr>
          <w:t>3.3</w:t>
        </w:r>
        <w:r w:rsidR="009D221C">
          <w:rPr>
            <w:rFonts w:asciiTheme="minorHAnsi" w:hAnsiTheme="minorHAnsi" w:eastAsiaTheme="minorEastAsia" w:cstheme="minorBidi"/>
            <w:b w:val="0"/>
            <w:i w:val="0"/>
            <w:sz w:val="22"/>
            <w:szCs w:val="22"/>
            <w:lang w:val="en-AU"/>
          </w:rPr>
          <w:tab/>
        </w:r>
        <w:r w:rsidRPr="00A854DC" w:rsidR="009D221C">
          <w:rPr>
            <w:rStyle w:val="Hyperlink"/>
            <w:bCs/>
          </w:rPr>
          <w:t>Optional Protocol to the Convention against Torture, Cruel, Inhuman and Degrading Treatment</w:t>
        </w:r>
        <w:r w:rsidR="009D221C">
          <w:rPr>
            <w:webHidden/>
          </w:rPr>
          <w:tab/>
        </w:r>
        <w:r w:rsidR="009D221C">
          <w:rPr>
            <w:webHidden/>
          </w:rPr>
          <w:fldChar w:fldCharType="begin"/>
        </w:r>
        <w:r w:rsidR="009D221C">
          <w:rPr>
            <w:webHidden/>
          </w:rPr>
          <w:instrText xml:space="preserve"> PAGEREF _Toc35535478 \h </w:instrText>
        </w:r>
        <w:r w:rsidR="009D221C">
          <w:rPr>
            <w:webHidden/>
          </w:rPr>
        </w:r>
        <w:r w:rsidR="009D221C">
          <w:rPr>
            <w:webHidden/>
          </w:rPr>
          <w:fldChar w:fldCharType="separate"/>
        </w:r>
        <w:r w:rsidR="009D221C">
          <w:rPr>
            <w:webHidden/>
          </w:rPr>
          <w:t>8</w:t>
        </w:r>
        <w:r w:rsidR="009D221C">
          <w:rPr>
            <w:webHidden/>
          </w:rPr>
          <w:fldChar w:fldCharType="end"/>
        </w:r>
      </w:hyperlink>
    </w:p>
    <w:p w:rsidR="009D221C" w:rsidRDefault="00BD1590" w14:paraId="2A67D7EF" w14:textId="6277A714">
      <w:pPr>
        <w:pStyle w:val="TOC2"/>
        <w:rPr>
          <w:rFonts w:asciiTheme="minorHAnsi" w:hAnsiTheme="minorHAnsi" w:eastAsiaTheme="minorEastAsia" w:cstheme="minorBidi"/>
          <w:b w:val="0"/>
          <w:i w:val="0"/>
          <w:sz w:val="22"/>
          <w:szCs w:val="22"/>
          <w:lang w:val="en-AU"/>
        </w:rPr>
      </w:pPr>
      <w:hyperlink w:history="1" w:anchor="_Toc35535479">
        <w:r w:rsidRPr="00A854DC" w:rsidR="009D221C">
          <w:rPr>
            <w:rStyle w:val="Hyperlink"/>
          </w:rPr>
          <w:t>3.4</w:t>
        </w:r>
        <w:r w:rsidR="009D221C">
          <w:rPr>
            <w:rFonts w:asciiTheme="minorHAnsi" w:hAnsiTheme="minorHAnsi" w:eastAsiaTheme="minorEastAsia" w:cstheme="minorBidi"/>
            <w:b w:val="0"/>
            <w:i w:val="0"/>
            <w:sz w:val="22"/>
            <w:szCs w:val="22"/>
            <w:lang w:val="en-AU"/>
          </w:rPr>
          <w:tab/>
        </w:r>
        <w:r w:rsidRPr="00A854DC" w:rsidR="009D221C">
          <w:rPr>
            <w:rStyle w:val="Hyperlink"/>
          </w:rPr>
          <w:t>Standard Minimum Rules for the Treatment of Prisoners</w:t>
        </w:r>
        <w:r w:rsidR="009D221C">
          <w:rPr>
            <w:webHidden/>
          </w:rPr>
          <w:tab/>
        </w:r>
        <w:r w:rsidR="009D221C">
          <w:rPr>
            <w:webHidden/>
          </w:rPr>
          <w:fldChar w:fldCharType="begin"/>
        </w:r>
        <w:r w:rsidR="009D221C">
          <w:rPr>
            <w:webHidden/>
          </w:rPr>
          <w:instrText xml:space="preserve"> PAGEREF _Toc35535479 \h </w:instrText>
        </w:r>
        <w:r w:rsidR="009D221C">
          <w:rPr>
            <w:webHidden/>
          </w:rPr>
        </w:r>
        <w:r w:rsidR="009D221C">
          <w:rPr>
            <w:webHidden/>
          </w:rPr>
          <w:fldChar w:fldCharType="separate"/>
        </w:r>
        <w:r w:rsidR="009D221C">
          <w:rPr>
            <w:webHidden/>
          </w:rPr>
          <w:t>9</w:t>
        </w:r>
        <w:r w:rsidR="009D221C">
          <w:rPr>
            <w:webHidden/>
          </w:rPr>
          <w:fldChar w:fldCharType="end"/>
        </w:r>
      </w:hyperlink>
    </w:p>
    <w:p w:rsidR="009D221C" w:rsidRDefault="00BD1590" w14:paraId="6CD3AA16" w14:textId="0CD4448B">
      <w:pPr>
        <w:pStyle w:val="TOC2"/>
        <w:rPr>
          <w:rFonts w:asciiTheme="minorHAnsi" w:hAnsiTheme="minorHAnsi" w:eastAsiaTheme="minorEastAsia" w:cstheme="minorBidi"/>
          <w:b w:val="0"/>
          <w:i w:val="0"/>
          <w:sz w:val="22"/>
          <w:szCs w:val="22"/>
          <w:lang w:val="en-AU"/>
        </w:rPr>
      </w:pPr>
      <w:hyperlink w:history="1" w:anchor="_Toc35535480">
        <w:r w:rsidRPr="00A854DC" w:rsidR="009D221C">
          <w:rPr>
            <w:rStyle w:val="Hyperlink"/>
          </w:rPr>
          <w:t>3.5</w:t>
        </w:r>
        <w:r w:rsidR="009D221C">
          <w:rPr>
            <w:rFonts w:asciiTheme="minorHAnsi" w:hAnsiTheme="minorHAnsi" w:eastAsiaTheme="minorEastAsia" w:cstheme="minorBidi"/>
            <w:b w:val="0"/>
            <w:i w:val="0"/>
            <w:sz w:val="22"/>
            <w:szCs w:val="22"/>
            <w:lang w:val="en-AU"/>
          </w:rPr>
          <w:tab/>
        </w:r>
        <w:r w:rsidRPr="00A854DC" w:rsidR="009D221C">
          <w:rPr>
            <w:rStyle w:val="Hyperlink"/>
          </w:rPr>
          <w:t>Other international human rights instruments</w:t>
        </w:r>
        <w:r w:rsidR="009D221C">
          <w:rPr>
            <w:webHidden/>
          </w:rPr>
          <w:tab/>
        </w:r>
        <w:r w:rsidR="009D221C">
          <w:rPr>
            <w:webHidden/>
          </w:rPr>
          <w:fldChar w:fldCharType="begin"/>
        </w:r>
        <w:r w:rsidR="009D221C">
          <w:rPr>
            <w:webHidden/>
          </w:rPr>
          <w:instrText xml:space="preserve"> PAGEREF _Toc35535480 \h </w:instrText>
        </w:r>
        <w:r w:rsidR="009D221C">
          <w:rPr>
            <w:webHidden/>
          </w:rPr>
        </w:r>
        <w:r w:rsidR="009D221C">
          <w:rPr>
            <w:webHidden/>
          </w:rPr>
          <w:fldChar w:fldCharType="separate"/>
        </w:r>
        <w:r w:rsidR="009D221C">
          <w:rPr>
            <w:webHidden/>
          </w:rPr>
          <w:t>10</w:t>
        </w:r>
        <w:r w:rsidR="009D221C">
          <w:rPr>
            <w:webHidden/>
          </w:rPr>
          <w:fldChar w:fldCharType="end"/>
        </w:r>
      </w:hyperlink>
    </w:p>
    <w:p w:rsidR="009D221C" w:rsidRDefault="00BD1590" w14:paraId="0F310C06" w14:textId="1E6EA064">
      <w:pPr>
        <w:pStyle w:val="TOC2"/>
        <w:rPr>
          <w:rFonts w:asciiTheme="minorHAnsi" w:hAnsiTheme="minorHAnsi" w:eastAsiaTheme="minorEastAsia" w:cstheme="minorBidi"/>
          <w:b w:val="0"/>
          <w:i w:val="0"/>
          <w:sz w:val="22"/>
          <w:szCs w:val="22"/>
          <w:lang w:val="en-AU"/>
        </w:rPr>
      </w:pPr>
      <w:hyperlink w:history="1" w:anchor="_Toc35535481">
        <w:r w:rsidRPr="00A854DC" w:rsidR="009D221C">
          <w:rPr>
            <w:rStyle w:val="Hyperlink"/>
          </w:rPr>
          <w:t>3.6</w:t>
        </w:r>
        <w:r w:rsidR="009D221C">
          <w:rPr>
            <w:rFonts w:asciiTheme="minorHAnsi" w:hAnsiTheme="minorHAnsi" w:eastAsiaTheme="minorEastAsia" w:cstheme="minorBidi"/>
            <w:b w:val="0"/>
            <w:i w:val="0"/>
            <w:sz w:val="22"/>
            <w:szCs w:val="22"/>
            <w:lang w:val="en-AU"/>
          </w:rPr>
          <w:tab/>
        </w:r>
        <w:r w:rsidRPr="00A854DC" w:rsidR="009D221C">
          <w:rPr>
            <w:rStyle w:val="Hyperlink"/>
            <w:iCs/>
          </w:rPr>
          <w:t xml:space="preserve">Disability Discrimination Act 1992 </w:t>
        </w:r>
        <w:r w:rsidRPr="00A854DC" w:rsidR="009D221C">
          <w:rPr>
            <w:rStyle w:val="Hyperlink"/>
          </w:rPr>
          <w:t>(Cth)</w:t>
        </w:r>
        <w:r w:rsidR="009D221C">
          <w:rPr>
            <w:webHidden/>
          </w:rPr>
          <w:tab/>
        </w:r>
        <w:r w:rsidR="009D221C">
          <w:rPr>
            <w:webHidden/>
          </w:rPr>
          <w:fldChar w:fldCharType="begin"/>
        </w:r>
        <w:r w:rsidR="009D221C">
          <w:rPr>
            <w:webHidden/>
          </w:rPr>
          <w:instrText xml:space="preserve"> PAGEREF _Toc35535481 \h </w:instrText>
        </w:r>
        <w:r w:rsidR="009D221C">
          <w:rPr>
            <w:webHidden/>
          </w:rPr>
        </w:r>
        <w:r w:rsidR="009D221C">
          <w:rPr>
            <w:webHidden/>
          </w:rPr>
          <w:fldChar w:fldCharType="separate"/>
        </w:r>
        <w:r w:rsidR="009D221C">
          <w:rPr>
            <w:webHidden/>
          </w:rPr>
          <w:t>10</w:t>
        </w:r>
        <w:r w:rsidR="009D221C">
          <w:rPr>
            <w:webHidden/>
          </w:rPr>
          <w:fldChar w:fldCharType="end"/>
        </w:r>
      </w:hyperlink>
    </w:p>
    <w:p w:rsidR="009D221C" w:rsidRDefault="00BD1590" w14:paraId="67A709BC" w14:textId="1CAFDF25">
      <w:pPr>
        <w:pStyle w:val="TOC2"/>
        <w:rPr>
          <w:rFonts w:asciiTheme="minorHAnsi" w:hAnsiTheme="minorHAnsi" w:eastAsiaTheme="minorEastAsia" w:cstheme="minorBidi"/>
          <w:b w:val="0"/>
          <w:i w:val="0"/>
          <w:sz w:val="22"/>
          <w:szCs w:val="22"/>
          <w:lang w:val="en-AU"/>
        </w:rPr>
      </w:pPr>
      <w:hyperlink w:history="1" w:anchor="_Toc35535482">
        <w:r w:rsidRPr="00A854DC" w:rsidR="009D221C">
          <w:rPr>
            <w:rStyle w:val="Hyperlink"/>
          </w:rPr>
          <w:t>3.7</w:t>
        </w:r>
        <w:r w:rsidR="009D221C">
          <w:rPr>
            <w:rFonts w:asciiTheme="minorHAnsi" w:hAnsiTheme="minorHAnsi" w:eastAsiaTheme="minorEastAsia" w:cstheme="minorBidi"/>
            <w:b w:val="0"/>
            <w:i w:val="0"/>
            <w:sz w:val="22"/>
            <w:szCs w:val="22"/>
            <w:lang w:val="en-AU"/>
          </w:rPr>
          <w:tab/>
        </w:r>
        <w:r w:rsidRPr="00A854DC" w:rsidR="009D221C">
          <w:rPr>
            <w:rStyle w:val="Hyperlink"/>
            <w:iCs/>
          </w:rPr>
          <w:t xml:space="preserve">Australian Human Rights Commission Act 1986 </w:t>
        </w:r>
        <w:r w:rsidRPr="00A854DC" w:rsidR="009D221C">
          <w:rPr>
            <w:rStyle w:val="Hyperlink"/>
          </w:rPr>
          <w:t>(Cth)</w:t>
        </w:r>
        <w:r w:rsidR="009D221C">
          <w:rPr>
            <w:webHidden/>
          </w:rPr>
          <w:tab/>
        </w:r>
        <w:r w:rsidR="009D221C">
          <w:rPr>
            <w:webHidden/>
          </w:rPr>
          <w:fldChar w:fldCharType="begin"/>
        </w:r>
        <w:r w:rsidR="009D221C">
          <w:rPr>
            <w:webHidden/>
          </w:rPr>
          <w:instrText xml:space="preserve"> PAGEREF _Toc35535482 \h </w:instrText>
        </w:r>
        <w:r w:rsidR="009D221C">
          <w:rPr>
            <w:webHidden/>
          </w:rPr>
        </w:r>
        <w:r w:rsidR="009D221C">
          <w:rPr>
            <w:webHidden/>
          </w:rPr>
          <w:fldChar w:fldCharType="separate"/>
        </w:r>
        <w:r w:rsidR="009D221C">
          <w:rPr>
            <w:webHidden/>
          </w:rPr>
          <w:t>11</w:t>
        </w:r>
        <w:r w:rsidR="009D221C">
          <w:rPr>
            <w:webHidden/>
          </w:rPr>
          <w:fldChar w:fldCharType="end"/>
        </w:r>
      </w:hyperlink>
    </w:p>
    <w:p w:rsidR="009D221C" w:rsidRDefault="00BD1590" w14:paraId="0E2D5D0C" w14:textId="6179812A">
      <w:pPr>
        <w:pStyle w:val="TOC2"/>
        <w:rPr>
          <w:rFonts w:asciiTheme="minorHAnsi" w:hAnsiTheme="minorHAnsi" w:eastAsiaTheme="minorEastAsia" w:cstheme="minorBidi"/>
          <w:b w:val="0"/>
          <w:i w:val="0"/>
          <w:sz w:val="22"/>
          <w:szCs w:val="22"/>
          <w:lang w:val="en-AU"/>
        </w:rPr>
      </w:pPr>
      <w:hyperlink w:history="1" w:anchor="_Toc35535483">
        <w:r w:rsidRPr="00A854DC" w:rsidR="009D221C">
          <w:rPr>
            <w:rStyle w:val="Hyperlink"/>
          </w:rPr>
          <w:t>3.8</w:t>
        </w:r>
        <w:r w:rsidR="009D221C">
          <w:rPr>
            <w:rFonts w:asciiTheme="minorHAnsi" w:hAnsiTheme="minorHAnsi" w:eastAsiaTheme="minorEastAsia" w:cstheme="minorBidi"/>
            <w:b w:val="0"/>
            <w:i w:val="0"/>
            <w:sz w:val="22"/>
            <w:szCs w:val="22"/>
            <w:lang w:val="en-AU"/>
          </w:rPr>
          <w:tab/>
        </w:r>
        <w:r w:rsidRPr="00A854DC" w:rsidR="009D221C">
          <w:rPr>
            <w:rStyle w:val="Hyperlink"/>
          </w:rPr>
          <w:t>National Disability Strategy</w:t>
        </w:r>
        <w:r w:rsidR="009D221C">
          <w:rPr>
            <w:webHidden/>
          </w:rPr>
          <w:tab/>
        </w:r>
        <w:r w:rsidR="009D221C">
          <w:rPr>
            <w:webHidden/>
          </w:rPr>
          <w:fldChar w:fldCharType="begin"/>
        </w:r>
        <w:r w:rsidR="009D221C">
          <w:rPr>
            <w:webHidden/>
          </w:rPr>
          <w:instrText xml:space="preserve"> PAGEREF _Toc35535483 \h </w:instrText>
        </w:r>
        <w:r w:rsidR="009D221C">
          <w:rPr>
            <w:webHidden/>
          </w:rPr>
        </w:r>
        <w:r w:rsidR="009D221C">
          <w:rPr>
            <w:webHidden/>
          </w:rPr>
          <w:fldChar w:fldCharType="separate"/>
        </w:r>
        <w:r w:rsidR="009D221C">
          <w:rPr>
            <w:webHidden/>
          </w:rPr>
          <w:t>11</w:t>
        </w:r>
        <w:r w:rsidR="009D221C">
          <w:rPr>
            <w:webHidden/>
          </w:rPr>
          <w:fldChar w:fldCharType="end"/>
        </w:r>
      </w:hyperlink>
    </w:p>
    <w:p w:rsidR="009D221C" w:rsidRDefault="00BD1590" w14:paraId="7D575079" w14:textId="7C2B9FD5">
      <w:pPr>
        <w:pStyle w:val="TOC1"/>
        <w:rPr>
          <w:rFonts w:asciiTheme="minorHAnsi" w:hAnsiTheme="minorHAnsi" w:eastAsiaTheme="minorEastAsia" w:cstheme="minorBidi"/>
          <w:b w:val="0"/>
          <w:sz w:val="22"/>
          <w:szCs w:val="22"/>
          <w:lang w:val="en-AU"/>
        </w:rPr>
      </w:pPr>
      <w:hyperlink w:history="1" w:anchor="_Toc35535484">
        <w:r w:rsidRPr="00A854DC" w:rsidR="009D221C">
          <w:rPr>
            <w:rStyle w:val="Hyperlink"/>
          </w:rPr>
          <w:t>4</w:t>
        </w:r>
        <w:r w:rsidR="009D221C">
          <w:rPr>
            <w:rFonts w:asciiTheme="minorHAnsi" w:hAnsiTheme="minorHAnsi" w:eastAsiaTheme="minorEastAsia" w:cstheme="minorBidi"/>
            <w:b w:val="0"/>
            <w:sz w:val="22"/>
            <w:szCs w:val="22"/>
            <w:lang w:val="en-AU"/>
          </w:rPr>
          <w:tab/>
        </w:r>
        <w:r w:rsidRPr="00A854DC" w:rsidR="009D221C">
          <w:rPr>
            <w:rStyle w:val="Hyperlink"/>
          </w:rPr>
          <w:t>Australia’s obligations under Articles 12, 13 and 14 of the CRPD</w:t>
        </w:r>
        <w:r w:rsidR="009D221C">
          <w:rPr>
            <w:webHidden/>
          </w:rPr>
          <w:tab/>
        </w:r>
        <w:r w:rsidR="009D221C">
          <w:rPr>
            <w:webHidden/>
          </w:rPr>
          <w:fldChar w:fldCharType="begin"/>
        </w:r>
        <w:r w:rsidR="009D221C">
          <w:rPr>
            <w:webHidden/>
          </w:rPr>
          <w:instrText xml:space="preserve"> PAGEREF _Toc35535484 \h </w:instrText>
        </w:r>
        <w:r w:rsidR="009D221C">
          <w:rPr>
            <w:webHidden/>
          </w:rPr>
        </w:r>
        <w:r w:rsidR="009D221C">
          <w:rPr>
            <w:webHidden/>
          </w:rPr>
          <w:fldChar w:fldCharType="separate"/>
        </w:r>
        <w:r w:rsidR="009D221C">
          <w:rPr>
            <w:webHidden/>
          </w:rPr>
          <w:t>13</w:t>
        </w:r>
        <w:r w:rsidR="009D221C">
          <w:rPr>
            <w:webHidden/>
          </w:rPr>
          <w:fldChar w:fldCharType="end"/>
        </w:r>
      </w:hyperlink>
    </w:p>
    <w:p w:rsidR="009D221C" w:rsidRDefault="00BD1590" w14:paraId="19B73E3A" w14:textId="74D43CF0">
      <w:pPr>
        <w:pStyle w:val="TOC2"/>
        <w:rPr>
          <w:rFonts w:asciiTheme="minorHAnsi" w:hAnsiTheme="minorHAnsi" w:eastAsiaTheme="minorEastAsia" w:cstheme="minorBidi"/>
          <w:b w:val="0"/>
          <w:i w:val="0"/>
          <w:sz w:val="22"/>
          <w:szCs w:val="22"/>
          <w:lang w:val="en-AU"/>
        </w:rPr>
      </w:pPr>
      <w:hyperlink w:history="1" w:anchor="_Toc35535485">
        <w:r w:rsidRPr="00A854DC" w:rsidR="009D221C">
          <w:rPr>
            <w:rStyle w:val="Hyperlink"/>
          </w:rPr>
          <w:t>4.1</w:t>
        </w:r>
        <w:r w:rsidR="009D221C">
          <w:rPr>
            <w:rFonts w:asciiTheme="minorHAnsi" w:hAnsiTheme="minorHAnsi" w:eastAsiaTheme="minorEastAsia" w:cstheme="minorBidi"/>
            <w:b w:val="0"/>
            <w:i w:val="0"/>
            <w:sz w:val="22"/>
            <w:szCs w:val="22"/>
            <w:lang w:val="en-AU"/>
          </w:rPr>
          <w:tab/>
        </w:r>
        <w:r w:rsidRPr="00A854DC" w:rsidR="009D221C">
          <w:rPr>
            <w:rStyle w:val="Hyperlink"/>
          </w:rPr>
          <w:t>Equal recognition before the law</w:t>
        </w:r>
        <w:r w:rsidR="009D221C">
          <w:rPr>
            <w:webHidden/>
          </w:rPr>
          <w:tab/>
        </w:r>
        <w:r w:rsidR="009D221C">
          <w:rPr>
            <w:webHidden/>
          </w:rPr>
          <w:fldChar w:fldCharType="begin"/>
        </w:r>
        <w:r w:rsidR="009D221C">
          <w:rPr>
            <w:webHidden/>
          </w:rPr>
          <w:instrText xml:space="preserve"> PAGEREF _Toc35535485 \h </w:instrText>
        </w:r>
        <w:r w:rsidR="009D221C">
          <w:rPr>
            <w:webHidden/>
          </w:rPr>
        </w:r>
        <w:r w:rsidR="009D221C">
          <w:rPr>
            <w:webHidden/>
          </w:rPr>
          <w:fldChar w:fldCharType="separate"/>
        </w:r>
        <w:r w:rsidR="009D221C">
          <w:rPr>
            <w:webHidden/>
          </w:rPr>
          <w:t>13</w:t>
        </w:r>
        <w:r w:rsidR="009D221C">
          <w:rPr>
            <w:webHidden/>
          </w:rPr>
          <w:fldChar w:fldCharType="end"/>
        </w:r>
      </w:hyperlink>
    </w:p>
    <w:p w:rsidR="009D221C" w:rsidRDefault="00BD1590" w14:paraId="25DAEBBF" w14:textId="1B9D90F4">
      <w:pPr>
        <w:pStyle w:val="TOC2"/>
        <w:rPr>
          <w:rFonts w:asciiTheme="minorHAnsi" w:hAnsiTheme="minorHAnsi" w:eastAsiaTheme="minorEastAsia" w:cstheme="minorBidi"/>
          <w:b w:val="0"/>
          <w:i w:val="0"/>
          <w:sz w:val="22"/>
          <w:szCs w:val="22"/>
          <w:lang w:val="en-AU"/>
        </w:rPr>
      </w:pPr>
      <w:hyperlink w:history="1" w:anchor="_Toc35535486">
        <w:r w:rsidRPr="00A854DC" w:rsidR="009D221C">
          <w:rPr>
            <w:rStyle w:val="Hyperlink"/>
          </w:rPr>
          <w:t>4.2</w:t>
        </w:r>
        <w:r w:rsidR="009D221C">
          <w:rPr>
            <w:rFonts w:asciiTheme="minorHAnsi" w:hAnsiTheme="minorHAnsi" w:eastAsiaTheme="minorEastAsia" w:cstheme="minorBidi"/>
            <w:b w:val="0"/>
            <w:i w:val="0"/>
            <w:sz w:val="22"/>
            <w:szCs w:val="22"/>
            <w:lang w:val="en-AU"/>
          </w:rPr>
          <w:tab/>
        </w:r>
        <w:r w:rsidRPr="00A854DC" w:rsidR="009D221C">
          <w:rPr>
            <w:rStyle w:val="Hyperlink"/>
          </w:rPr>
          <w:t>Access to justice</w:t>
        </w:r>
        <w:r w:rsidR="009D221C">
          <w:rPr>
            <w:webHidden/>
          </w:rPr>
          <w:tab/>
        </w:r>
        <w:r w:rsidR="009D221C">
          <w:rPr>
            <w:webHidden/>
          </w:rPr>
          <w:fldChar w:fldCharType="begin"/>
        </w:r>
        <w:r w:rsidR="009D221C">
          <w:rPr>
            <w:webHidden/>
          </w:rPr>
          <w:instrText xml:space="preserve"> PAGEREF _Toc35535486 \h </w:instrText>
        </w:r>
        <w:r w:rsidR="009D221C">
          <w:rPr>
            <w:webHidden/>
          </w:rPr>
        </w:r>
        <w:r w:rsidR="009D221C">
          <w:rPr>
            <w:webHidden/>
          </w:rPr>
          <w:fldChar w:fldCharType="separate"/>
        </w:r>
        <w:r w:rsidR="009D221C">
          <w:rPr>
            <w:webHidden/>
          </w:rPr>
          <w:t>15</w:t>
        </w:r>
        <w:r w:rsidR="009D221C">
          <w:rPr>
            <w:webHidden/>
          </w:rPr>
          <w:fldChar w:fldCharType="end"/>
        </w:r>
      </w:hyperlink>
    </w:p>
    <w:p w:rsidR="009D221C" w:rsidRDefault="00BD1590" w14:paraId="5A92CC76" w14:textId="1AB3254D">
      <w:pPr>
        <w:pStyle w:val="TOC2"/>
        <w:rPr>
          <w:rFonts w:asciiTheme="minorHAnsi" w:hAnsiTheme="minorHAnsi" w:eastAsiaTheme="minorEastAsia" w:cstheme="minorBidi"/>
          <w:b w:val="0"/>
          <w:i w:val="0"/>
          <w:sz w:val="22"/>
          <w:szCs w:val="22"/>
          <w:lang w:val="en-AU"/>
        </w:rPr>
      </w:pPr>
      <w:hyperlink w:history="1" w:anchor="_Toc35535487">
        <w:r w:rsidRPr="00A854DC" w:rsidR="009D221C">
          <w:rPr>
            <w:rStyle w:val="Hyperlink"/>
          </w:rPr>
          <w:t>4.3</w:t>
        </w:r>
        <w:r w:rsidR="009D221C">
          <w:rPr>
            <w:rFonts w:asciiTheme="minorHAnsi" w:hAnsiTheme="minorHAnsi" w:eastAsiaTheme="minorEastAsia" w:cstheme="minorBidi"/>
            <w:b w:val="0"/>
            <w:i w:val="0"/>
            <w:sz w:val="22"/>
            <w:szCs w:val="22"/>
            <w:lang w:val="en-AU"/>
          </w:rPr>
          <w:tab/>
        </w:r>
        <w:r w:rsidRPr="00A854DC" w:rsidR="009D221C">
          <w:rPr>
            <w:rStyle w:val="Hyperlink"/>
          </w:rPr>
          <w:t>Liberty and security of person</w:t>
        </w:r>
        <w:r w:rsidR="009D221C">
          <w:rPr>
            <w:webHidden/>
          </w:rPr>
          <w:tab/>
        </w:r>
        <w:r w:rsidR="009D221C">
          <w:rPr>
            <w:webHidden/>
          </w:rPr>
          <w:fldChar w:fldCharType="begin"/>
        </w:r>
        <w:r w:rsidR="009D221C">
          <w:rPr>
            <w:webHidden/>
          </w:rPr>
          <w:instrText xml:space="preserve"> PAGEREF _Toc35535487 \h </w:instrText>
        </w:r>
        <w:r w:rsidR="009D221C">
          <w:rPr>
            <w:webHidden/>
          </w:rPr>
        </w:r>
        <w:r w:rsidR="009D221C">
          <w:rPr>
            <w:webHidden/>
          </w:rPr>
          <w:fldChar w:fldCharType="separate"/>
        </w:r>
        <w:r w:rsidR="009D221C">
          <w:rPr>
            <w:webHidden/>
          </w:rPr>
          <w:t>16</w:t>
        </w:r>
        <w:r w:rsidR="009D221C">
          <w:rPr>
            <w:webHidden/>
          </w:rPr>
          <w:fldChar w:fldCharType="end"/>
        </w:r>
      </w:hyperlink>
    </w:p>
    <w:p w:rsidR="009D221C" w:rsidRDefault="00BD1590" w14:paraId="4CBAAF0C" w14:textId="67DA39A6">
      <w:pPr>
        <w:pStyle w:val="TOC1"/>
        <w:rPr>
          <w:rFonts w:asciiTheme="minorHAnsi" w:hAnsiTheme="minorHAnsi" w:eastAsiaTheme="minorEastAsia" w:cstheme="minorBidi"/>
          <w:b w:val="0"/>
          <w:sz w:val="22"/>
          <w:szCs w:val="22"/>
          <w:lang w:val="en-AU"/>
        </w:rPr>
      </w:pPr>
      <w:hyperlink w:history="1" w:anchor="_Toc35535488">
        <w:r w:rsidRPr="00A854DC" w:rsidR="009D221C">
          <w:rPr>
            <w:rStyle w:val="Hyperlink"/>
          </w:rPr>
          <w:t>5</w:t>
        </w:r>
        <w:r w:rsidR="009D221C">
          <w:rPr>
            <w:rFonts w:asciiTheme="minorHAnsi" w:hAnsiTheme="minorHAnsi" w:eastAsiaTheme="minorEastAsia" w:cstheme="minorBidi"/>
            <w:b w:val="0"/>
            <w:sz w:val="22"/>
            <w:szCs w:val="22"/>
            <w:lang w:val="en-AU"/>
          </w:rPr>
          <w:tab/>
        </w:r>
        <w:r w:rsidRPr="00A854DC" w:rsidR="009D221C">
          <w:rPr>
            <w:rStyle w:val="Hyperlink"/>
          </w:rPr>
          <w:t>Implementation of CRPD Articles 12, 13 and 14 in Australia</w:t>
        </w:r>
        <w:r w:rsidR="009D221C">
          <w:rPr>
            <w:webHidden/>
          </w:rPr>
          <w:tab/>
        </w:r>
        <w:r w:rsidR="009D221C">
          <w:rPr>
            <w:webHidden/>
          </w:rPr>
          <w:fldChar w:fldCharType="begin"/>
        </w:r>
        <w:r w:rsidR="009D221C">
          <w:rPr>
            <w:webHidden/>
          </w:rPr>
          <w:instrText xml:space="preserve"> PAGEREF _Toc35535488 \h </w:instrText>
        </w:r>
        <w:r w:rsidR="009D221C">
          <w:rPr>
            <w:webHidden/>
          </w:rPr>
        </w:r>
        <w:r w:rsidR="009D221C">
          <w:rPr>
            <w:webHidden/>
          </w:rPr>
          <w:fldChar w:fldCharType="separate"/>
        </w:r>
        <w:r w:rsidR="009D221C">
          <w:rPr>
            <w:webHidden/>
          </w:rPr>
          <w:t>17</w:t>
        </w:r>
        <w:r w:rsidR="009D221C">
          <w:rPr>
            <w:webHidden/>
          </w:rPr>
          <w:fldChar w:fldCharType="end"/>
        </w:r>
      </w:hyperlink>
    </w:p>
    <w:p w:rsidR="009D221C" w:rsidRDefault="00BD1590" w14:paraId="30DA3394" w14:textId="43AA35ED">
      <w:pPr>
        <w:pStyle w:val="TOC2"/>
        <w:rPr>
          <w:rFonts w:asciiTheme="minorHAnsi" w:hAnsiTheme="minorHAnsi" w:eastAsiaTheme="minorEastAsia" w:cstheme="minorBidi"/>
          <w:b w:val="0"/>
          <w:i w:val="0"/>
          <w:sz w:val="22"/>
          <w:szCs w:val="22"/>
          <w:lang w:val="en-AU"/>
        </w:rPr>
      </w:pPr>
      <w:hyperlink w:history="1" w:anchor="_Toc35535489">
        <w:r w:rsidRPr="00A854DC" w:rsidR="009D221C">
          <w:rPr>
            <w:rStyle w:val="Hyperlink"/>
          </w:rPr>
          <w:t>5.1</w:t>
        </w:r>
        <w:r w:rsidR="009D221C">
          <w:rPr>
            <w:rFonts w:asciiTheme="minorHAnsi" w:hAnsiTheme="minorHAnsi" w:eastAsiaTheme="minorEastAsia" w:cstheme="minorBidi"/>
            <w:b w:val="0"/>
            <w:i w:val="0"/>
            <w:sz w:val="22"/>
            <w:szCs w:val="22"/>
            <w:lang w:val="en-AU"/>
          </w:rPr>
          <w:tab/>
        </w:r>
        <w:r w:rsidRPr="00A854DC" w:rsidR="009D221C">
          <w:rPr>
            <w:rStyle w:val="Hyperlink"/>
          </w:rPr>
          <w:t>Inclusion of criminal justice statistics in the National Disability Data Asset</w:t>
        </w:r>
        <w:r w:rsidR="009D221C">
          <w:rPr>
            <w:webHidden/>
          </w:rPr>
          <w:tab/>
        </w:r>
        <w:r w:rsidR="009D221C">
          <w:rPr>
            <w:webHidden/>
          </w:rPr>
          <w:fldChar w:fldCharType="begin"/>
        </w:r>
        <w:r w:rsidR="009D221C">
          <w:rPr>
            <w:webHidden/>
          </w:rPr>
          <w:instrText xml:space="preserve"> PAGEREF _Toc35535489 \h </w:instrText>
        </w:r>
        <w:r w:rsidR="009D221C">
          <w:rPr>
            <w:webHidden/>
          </w:rPr>
        </w:r>
        <w:r w:rsidR="009D221C">
          <w:rPr>
            <w:webHidden/>
          </w:rPr>
          <w:fldChar w:fldCharType="separate"/>
        </w:r>
        <w:r w:rsidR="009D221C">
          <w:rPr>
            <w:webHidden/>
          </w:rPr>
          <w:t>17</w:t>
        </w:r>
        <w:r w:rsidR="009D221C">
          <w:rPr>
            <w:webHidden/>
          </w:rPr>
          <w:fldChar w:fldCharType="end"/>
        </w:r>
      </w:hyperlink>
    </w:p>
    <w:p w:rsidR="009D221C" w:rsidRDefault="00BD1590" w14:paraId="3DF994E6" w14:textId="2B29074F">
      <w:pPr>
        <w:pStyle w:val="TOC2"/>
        <w:rPr>
          <w:rFonts w:asciiTheme="minorHAnsi" w:hAnsiTheme="minorHAnsi" w:eastAsiaTheme="minorEastAsia" w:cstheme="minorBidi"/>
          <w:b w:val="0"/>
          <w:i w:val="0"/>
          <w:sz w:val="22"/>
          <w:szCs w:val="22"/>
          <w:lang w:val="en-AU"/>
        </w:rPr>
      </w:pPr>
      <w:hyperlink w:history="1" w:anchor="_Toc35535490">
        <w:r w:rsidRPr="00A854DC" w:rsidR="009D221C">
          <w:rPr>
            <w:rStyle w:val="Hyperlink"/>
          </w:rPr>
          <w:t>5.2</w:t>
        </w:r>
        <w:r w:rsidR="009D221C">
          <w:rPr>
            <w:rFonts w:asciiTheme="minorHAnsi" w:hAnsiTheme="minorHAnsi" w:eastAsiaTheme="minorEastAsia" w:cstheme="minorBidi"/>
            <w:b w:val="0"/>
            <w:i w:val="0"/>
            <w:sz w:val="22"/>
            <w:szCs w:val="22"/>
            <w:lang w:val="en-AU"/>
          </w:rPr>
          <w:tab/>
        </w:r>
        <w:r w:rsidRPr="00A854DC" w:rsidR="009D221C">
          <w:rPr>
            <w:rStyle w:val="Hyperlink"/>
          </w:rPr>
          <w:t>Overrepresentation of people with disability in the criminal justice system</w:t>
        </w:r>
        <w:r w:rsidR="009D221C">
          <w:rPr>
            <w:webHidden/>
          </w:rPr>
          <w:tab/>
        </w:r>
        <w:r w:rsidR="009D221C">
          <w:rPr>
            <w:webHidden/>
          </w:rPr>
          <w:fldChar w:fldCharType="begin"/>
        </w:r>
        <w:r w:rsidR="009D221C">
          <w:rPr>
            <w:webHidden/>
          </w:rPr>
          <w:instrText xml:space="preserve"> PAGEREF _Toc35535490 \h </w:instrText>
        </w:r>
        <w:r w:rsidR="009D221C">
          <w:rPr>
            <w:webHidden/>
          </w:rPr>
        </w:r>
        <w:r w:rsidR="009D221C">
          <w:rPr>
            <w:webHidden/>
          </w:rPr>
          <w:fldChar w:fldCharType="separate"/>
        </w:r>
        <w:r w:rsidR="009D221C">
          <w:rPr>
            <w:webHidden/>
          </w:rPr>
          <w:t>19</w:t>
        </w:r>
        <w:r w:rsidR="009D221C">
          <w:rPr>
            <w:webHidden/>
          </w:rPr>
          <w:fldChar w:fldCharType="end"/>
        </w:r>
      </w:hyperlink>
    </w:p>
    <w:p w:rsidR="009D221C" w:rsidRDefault="00BD1590" w14:paraId="2AD2171E" w14:textId="5441F504">
      <w:pPr>
        <w:pStyle w:val="TOC2"/>
        <w:rPr>
          <w:rFonts w:asciiTheme="minorHAnsi" w:hAnsiTheme="minorHAnsi" w:eastAsiaTheme="minorEastAsia" w:cstheme="minorBidi"/>
          <w:b w:val="0"/>
          <w:i w:val="0"/>
          <w:sz w:val="22"/>
          <w:szCs w:val="22"/>
          <w:lang w:val="en-AU"/>
        </w:rPr>
      </w:pPr>
      <w:hyperlink w:history="1" w:anchor="_Toc35535491">
        <w:r w:rsidRPr="00A854DC" w:rsidR="009D221C">
          <w:rPr>
            <w:rStyle w:val="Hyperlink"/>
          </w:rPr>
          <w:t>5.3</w:t>
        </w:r>
        <w:r w:rsidR="009D221C">
          <w:rPr>
            <w:rFonts w:asciiTheme="minorHAnsi" w:hAnsiTheme="minorHAnsi" w:eastAsiaTheme="minorEastAsia" w:cstheme="minorBidi"/>
            <w:b w:val="0"/>
            <w:i w:val="0"/>
            <w:sz w:val="22"/>
            <w:szCs w:val="22"/>
            <w:lang w:val="en-AU"/>
          </w:rPr>
          <w:tab/>
        </w:r>
        <w:r w:rsidRPr="00A854DC" w:rsidR="009D221C">
          <w:rPr>
            <w:rStyle w:val="Hyperlink"/>
          </w:rPr>
          <w:t>Supported decision-making</w:t>
        </w:r>
        <w:r w:rsidR="009D221C">
          <w:rPr>
            <w:webHidden/>
          </w:rPr>
          <w:tab/>
        </w:r>
        <w:r w:rsidR="009D221C">
          <w:rPr>
            <w:webHidden/>
          </w:rPr>
          <w:fldChar w:fldCharType="begin"/>
        </w:r>
        <w:r w:rsidR="009D221C">
          <w:rPr>
            <w:webHidden/>
          </w:rPr>
          <w:instrText xml:space="preserve"> PAGEREF _Toc35535491 \h </w:instrText>
        </w:r>
        <w:r w:rsidR="009D221C">
          <w:rPr>
            <w:webHidden/>
          </w:rPr>
        </w:r>
        <w:r w:rsidR="009D221C">
          <w:rPr>
            <w:webHidden/>
          </w:rPr>
          <w:fldChar w:fldCharType="separate"/>
        </w:r>
        <w:r w:rsidR="009D221C">
          <w:rPr>
            <w:webHidden/>
          </w:rPr>
          <w:t>22</w:t>
        </w:r>
        <w:r w:rsidR="009D221C">
          <w:rPr>
            <w:webHidden/>
          </w:rPr>
          <w:fldChar w:fldCharType="end"/>
        </w:r>
      </w:hyperlink>
    </w:p>
    <w:p w:rsidR="009D221C" w:rsidRDefault="00BD1590" w14:paraId="58CDB263" w14:textId="2066C1CB">
      <w:pPr>
        <w:pStyle w:val="TOC2"/>
        <w:rPr>
          <w:rFonts w:asciiTheme="minorHAnsi" w:hAnsiTheme="minorHAnsi" w:eastAsiaTheme="minorEastAsia" w:cstheme="minorBidi"/>
          <w:b w:val="0"/>
          <w:i w:val="0"/>
          <w:sz w:val="22"/>
          <w:szCs w:val="22"/>
          <w:lang w:val="en-AU"/>
        </w:rPr>
      </w:pPr>
      <w:hyperlink w:history="1" w:anchor="_Toc35535492">
        <w:r w:rsidRPr="00A854DC" w:rsidR="009D221C">
          <w:rPr>
            <w:rStyle w:val="Hyperlink"/>
          </w:rPr>
          <w:t>5.4</w:t>
        </w:r>
        <w:r w:rsidR="009D221C">
          <w:rPr>
            <w:rFonts w:asciiTheme="minorHAnsi" w:hAnsiTheme="minorHAnsi" w:eastAsiaTheme="minorEastAsia" w:cstheme="minorBidi"/>
            <w:b w:val="0"/>
            <w:i w:val="0"/>
            <w:sz w:val="22"/>
            <w:szCs w:val="22"/>
            <w:lang w:val="en-AU"/>
          </w:rPr>
          <w:tab/>
        </w:r>
        <w:r w:rsidRPr="00A854DC" w:rsidR="009D221C">
          <w:rPr>
            <w:rStyle w:val="Hyperlink"/>
          </w:rPr>
          <w:t>Fitness to plead and indefinite detention</w:t>
        </w:r>
        <w:r w:rsidR="009D221C">
          <w:rPr>
            <w:webHidden/>
          </w:rPr>
          <w:tab/>
        </w:r>
        <w:r w:rsidR="009D221C">
          <w:rPr>
            <w:webHidden/>
          </w:rPr>
          <w:fldChar w:fldCharType="begin"/>
        </w:r>
        <w:r w:rsidR="009D221C">
          <w:rPr>
            <w:webHidden/>
          </w:rPr>
          <w:instrText xml:space="preserve"> PAGEREF _Toc35535492 \h </w:instrText>
        </w:r>
        <w:r w:rsidR="009D221C">
          <w:rPr>
            <w:webHidden/>
          </w:rPr>
        </w:r>
        <w:r w:rsidR="009D221C">
          <w:rPr>
            <w:webHidden/>
          </w:rPr>
          <w:fldChar w:fldCharType="separate"/>
        </w:r>
        <w:r w:rsidR="009D221C">
          <w:rPr>
            <w:webHidden/>
          </w:rPr>
          <w:t>23</w:t>
        </w:r>
        <w:r w:rsidR="009D221C">
          <w:rPr>
            <w:webHidden/>
          </w:rPr>
          <w:fldChar w:fldCharType="end"/>
        </w:r>
      </w:hyperlink>
    </w:p>
    <w:p w:rsidR="009D221C" w:rsidRDefault="00BD1590" w14:paraId="66416DA8" w14:textId="14C2E645">
      <w:pPr>
        <w:pStyle w:val="TOC2"/>
        <w:rPr>
          <w:rFonts w:asciiTheme="minorHAnsi" w:hAnsiTheme="minorHAnsi" w:eastAsiaTheme="minorEastAsia" w:cstheme="minorBidi"/>
          <w:b w:val="0"/>
          <w:i w:val="0"/>
          <w:sz w:val="22"/>
          <w:szCs w:val="22"/>
          <w:lang w:val="en-AU"/>
        </w:rPr>
      </w:pPr>
      <w:hyperlink w:history="1" w:anchor="_Toc35535493">
        <w:r w:rsidRPr="00A854DC" w:rsidR="009D221C">
          <w:rPr>
            <w:rStyle w:val="Hyperlink"/>
          </w:rPr>
          <w:t>5.5</w:t>
        </w:r>
        <w:r w:rsidR="009D221C">
          <w:rPr>
            <w:rFonts w:asciiTheme="minorHAnsi" w:hAnsiTheme="minorHAnsi" w:eastAsiaTheme="minorEastAsia" w:cstheme="minorBidi"/>
            <w:b w:val="0"/>
            <w:i w:val="0"/>
            <w:sz w:val="22"/>
            <w:szCs w:val="22"/>
            <w:lang w:val="en-AU"/>
          </w:rPr>
          <w:tab/>
        </w:r>
        <w:r w:rsidRPr="00A854DC" w:rsidR="009D221C">
          <w:rPr>
            <w:rStyle w:val="Hyperlink"/>
          </w:rPr>
          <w:t>The use of seclusion and restraint on people with disability in detention</w:t>
        </w:r>
        <w:r w:rsidR="009D221C">
          <w:rPr>
            <w:webHidden/>
          </w:rPr>
          <w:tab/>
        </w:r>
        <w:r w:rsidR="009D221C">
          <w:rPr>
            <w:webHidden/>
          </w:rPr>
          <w:fldChar w:fldCharType="begin"/>
        </w:r>
        <w:r w:rsidR="009D221C">
          <w:rPr>
            <w:webHidden/>
          </w:rPr>
          <w:instrText xml:space="preserve"> PAGEREF _Toc35535493 \h </w:instrText>
        </w:r>
        <w:r w:rsidR="009D221C">
          <w:rPr>
            <w:webHidden/>
          </w:rPr>
        </w:r>
        <w:r w:rsidR="009D221C">
          <w:rPr>
            <w:webHidden/>
          </w:rPr>
          <w:fldChar w:fldCharType="separate"/>
        </w:r>
        <w:r w:rsidR="009D221C">
          <w:rPr>
            <w:webHidden/>
          </w:rPr>
          <w:t>26</w:t>
        </w:r>
        <w:r w:rsidR="009D221C">
          <w:rPr>
            <w:webHidden/>
          </w:rPr>
          <w:fldChar w:fldCharType="end"/>
        </w:r>
      </w:hyperlink>
    </w:p>
    <w:p w:rsidR="009D221C" w:rsidRDefault="00BD1590" w14:paraId="7718C33C" w14:textId="672A87DC">
      <w:pPr>
        <w:pStyle w:val="TOC2"/>
        <w:rPr>
          <w:rFonts w:asciiTheme="minorHAnsi" w:hAnsiTheme="minorHAnsi" w:eastAsiaTheme="minorEastAsia" w:cstheme="minorBidi"/>
          <w:b w:val="0"/>
          <w:i w:val="0"/>
          <w:sz w:val="22"/>
          <w:szCs w:val="22"/>
          <w:lang w:val="en-AU"/>
        </w:rPr>
      </w:pPr>
      <w:hyperlink w:history="1" w:anchor="_Toc35535494">
        <w:r w:rsidRPr="00A854DC" w:rsidR="009D221C">
          <w:rPr>
            <w:rStyle w:val="Hyperlink"/>
          </w:rPr>
          <w:t>5.6</w:t>
        </w:r>
        <w:r w:rsidR="009D221C">
          <w:rPr>
            <w:rFonts w:asciiTheme="minorHAnsi" w:hAnsiTheme="minorHAnsi" w:eastAsiaTheme="minorEastAsia" w:cstheme="minorBidi"/>
            <w:b w:val="0"/>
            <w:i w:val="0"/>
            <w:sz w:val="22"/>
            <w:szCs w:val="22"/>
            <w:lang w:val="en-AU"/>
          </w:rPr>
          <w:tab/>
        </w:r>
        <w:r w:rsidRPr="00A854DC" w:rsidR="009D221C">
          <w:rPr>
            <w:rStyle w:val="Hyperlink"/>
          </w:rPr>
          <w:t>Fetal Alcohol Spectrum Disorder and other commonly undiagnosed disabilities</w:t>
        </w:r>
        <w:r w:rsidR="009D221C">
          <w:rPr>
            <w:webHidden/>
          </w:rPr>
          <w:tab/>
        </w:r>
        <w:r w:rsidR="009D221C">
          <w:rPr>
            <w:webHidden/>
          </w:rPr>
          <w:fldChar w:fldCharType="begin"/>
        </w:r>
        <w:r w:rsidR="009D221C">
          <w:rPr>
            <w:webHidden/>
          </w:rPr>
          <w:instrText xml:space="preserve"> PAGEREF _Toc35535494 \h </w:instrText>
        </w:r>
        <w:r w:rsidR="009D221C">
          <w:rPr>
            <w:webHidden/>
          </w:rPr>
        </w:r>
        <w:r w:rsidR="009D221C">
          <w:rPr>
            <w:webHidden/>
          </w:rPr>
          <w:fldChar w:fldCharType="separate"/>
        </w:r>
        <w:r w:rsidR="009D221C">
          <w:rPr>
            <w:webHidden/>
          </w:rPr>
          <w:t>29</w:t>
        </w:r>
        <w:r w:rsidR="009D221C">
          <w:rPr>
            <w:webHidden/>
          </w:rPr>
          <w:fldChar w:fldCharType="end"/>
        </w:r>
      </w:hyperlink>
    </w:p>
    <w:p w:rsidR="009D221C" w:rsidRDefault="00BD1590" w14:paraId="0C06C2A5" w14:textId="0084BF13">
      <w:pPr>
        <w:pStyle w:val="TOC2"/>
        <w:rPr>
          <w:rFonts w:asciiTheme="minorHAnsi" w:hAnsiTheme="minorHAnsi" w:eastAsiaTheme="minorEastAsia" w:cstheme="minorBidi"/>
          <w:b w:val="0"/>
          <w:i w:val="0"/>
          <w:sz w:val="22"/>
          <w:szCs w:val="22"/>
          <w:lang w:val="en-AU"/>
        </w:rPr>
      </w:pPr>
      <w:hyperlink w:history="1" w:anchor="_Toc35535495">
        <w:r w:rsidRPr="00A854DC" w:rsidR="009D221C">
          <w:rPr>
            <w:rStyle w:val="Hyperlink"/>
          </w:rPr>
          <w:t>5.7</w:t>
        </w:r>
        <w:r w:rsidR="009D221C">
          <w:rPr>
            <w:rFonts w:asciiTheme="minorHAnsi" w:hAnsiTheme="minorHAnsi" w:eastAsiaTheme="minorEastAsia" w:cstheme="minorBidi"/>
            <w:b w:val="0"/>
            <w:i w:val="0"/>
            <w:sz w:val="22"/>
            <w:szCs w:val="22"/>
            <w:lang w:val="en-AU"/>
          </w:rPr>
          <w:tab/>
        </w:r>
        <w:r w:rsidRPr="00A854DC" w:rsidR="009D221C">
          <w:rPr>
            <w:rStyle w:val="Hyperlink"/>
          </w:rPr>
          <w:t>People with disability as victims of crime</w:t>
        </w:r>
        <w:r w:rsidR="009D221C">
          <w:rPr>
            <w:webHidden/>
          </w:rPr>
          <w:tab/>
        </w:r>
        <w:r w:rsidR="009D221C">
          <w:rPr>
            <w:webHidden/>
          </w:rPr>
          <w:fldChar w:fldCharType="begin"/>
        </w:r>
        <w:r w:rsidR="009D221C">
          <w:rPr>
            <w:webHidden/>
          </w:rPr>
          <w:instrText xml:space="preserve"> PAGEREF _Toc35535495 \h </w:instrText>
        </w:r>
        <w:r w:rsidR="009D221C">
          <w:rPr>
            <w:webHidden/>
          </w:rPr>
        </w:r>
        <w:r w:rsidR="009D221C">
          <w:rPr>
            <w:webHidden/>
          </w:rPr>
          <w:fldChar w:fldCharType="separate"/>
        </w:r>
        <w:r w:rsidR="009D221C">
          <w:rPr>
            <w:webHidden/>
          </w:rPr>
          <w:t>30</w:t>
        </w:r>
        <w:r w:rsidR="009D221C">
          <w:rPr>
            <w:webHidden/>
          </w:rPr>
          <w:fldChar w:fldCharType="end"/>
        </w:r>
      </w:hyperlink>
    </w:p>
    <w:p w:rsidR="009D221C" w:rsidRDefault="00BD1590" w14:paraId="7A65F281" w14:textId="18E5D579">
      <w:pPr>
        <w:pStyle w:val="TOC1"/>
        <w:rPr>
          <w:rFonts w:asciiTheme="minorHAnsi" w:hAnsiTheme="minorHAnsi" w:eastAsiaTheme="minorEastAsia" w:cstheme="minorBidi"/>
          <w:b w:val="0"/>
          <w:sz w:val="22"/>
          <w:szCs w:val="22"/>
          <w:lang w:val="en-AU"/>
        </w:rPr>
      </w:pPr>
      <w:hyperlink w:history="1" w:anchor="_Toc35535496">
        <w:r w:rsidRPr="00A854DC" w:rsidR="009D221C">
          <w:rPr>
            <w:rStyle w:val="Hyperlink"/>
            <w:lang w:eastAsia="en-US"/>
          </w:rPr>
          <w:t>6</w:t>
        </w:r>
        <w:r w:rsidR="009D221C">
          <w:rPr>
            <w:rFonts w:asciiTheme="minorHAnsi" w:hAnsiTheme="minorHAnsi" w:eastAsiaTheme="minorEastAsia" w:cstheme="minorBidi"/>
            <w:b w:val="0"/>
            <w:sz w:val="22"/>
            <w:szCs w:val="22"/>
            <w:lang w:val="en-AU"/>
          </w:rPr>
          <w:tab/>
        </w:r>
        <w:r w:rsidRPr="00A854DC" w:rsidR="009D221C">
          <w:rPr>
            <w:rStyle w:val="Hyperlink"/>
            <w:lang w:eastAsia="en-US"/>
          </w:rPr>
          <w:t>Appendix A: Case studies</w:t>
        </w:r>
        <w:r w:rsidR="009D221C">
          <w:rPr>
            <w:webHidden/>
          </w:rPr>
          <w:tab/>
        </w:r>
        <w:r w:rsidR="009D221C">
          <w:rPr>
            <w:webHidden/>
          </w:rPr>
          <w:fldChar w:fldCharType="begin"/>
        </w:r>
        <w:r w:rsidR="009D221C">
          <w:rPr>
            <w:webHidden/>
          </w:rPr>
          <w:instrText xml:space="preserve"> PAGEREF _Toc35535496 \h </w:instrText>
        </w:r>
        <w:r w:rsidR="009D221C">
          <w:rPr>
            <w:webHidden/>
          </w:rPr>
        </w:r>
        <w:r w:rsidR="009D221C">
          <w:rPr>
            <w:webHidden/>
          </w:rPr>
          <w:fldChar w:fldCharType="separate"/>
        </w:r>
        <w:r w:rsidR="009D221C">
          <w:rPr>
            <w:webHidden/>
          </w:rPr>
          <w:t>35</w:t>
        </w:r>
        <w:r w:rsidR="009D221C">
          <w:rPr>
            <w:webHidden/>
          </w:rPr>
          <w:fldChar w:fldCharType="end"/>
        </w:r>
      </w:hyperlink>
    </w:p>
    <w:p w:rsidR="009D221C" w:rsidRDefault="00BD1590" w14:paraId="34153267" w14:textId="3E56AD1F">
      <w:pPr>
        <w:pStyle w:val="TOC2"/>
        <w:rPr>
          <w:rFonts w:asciiTheme="minorHAnsi" w:hAnsiTheme="minorHAnsi" w:eastAsiaTheme="minorEastAsia" w:cstheme="minorBidi"/>
          <w:b w:val="0"/>
          <w:i w:val="0"/>
          <w:sz w:val="22"/>
          <w:szCs w:val="22"/>
          <w:lang w:val="en-AU"/>
        </w:rPr>
      </w:pPr>
      <w:hyperlink w:history="1" w:anchor="_Toc35535497">
        <w:r w:rsidRPr="00A854DC" w:rsidR="009D221C">
          <w:rPr>
            <w:rStyle w:val="Hyperlink"/>
          </w:rPr>
          <w:t>6.1</w:t>
        </w:r>
        <w:r w:rsidR="009D221C">
          <w:rPr>
            <w:rFonts w:asciiTheme="minorHAnsi" w:hAnsiTheme="minorHAnsi" w:eastAsiaTheme="minorEastAsia" w:cstheme="minorBidi"/>
            <w:b w:val="0"/>
            <w:i w:val="0"/>
            <w:sz w:val="22"/>
            <w:szCs w:val="22"/>
            <w:lang w:val="en-AU"/>
          </w:rPr>
          <w:tab/>
        </w:r>
        <w:r w:rsidRPr="00A854DC" w:rsidR="009D221C">
          <w:rPr>
            <w:rStyle w:val="Hyperlink"/>
          </w:rPr>
          <w:t>Fitness to plead and indefinite detention</w:t>
        </w:r>
        <w:r w:rsidR="009D221C">
          <w:rPr>
            <w:webHidden/>
          </w:rPr>
          <w:tab/>
        </w:r>
        <w:r w:rsidR="009D221C">
          <w:rPr>
            <w:webHidden/>
          </w:rPr>
          <w:fldChar w:fldCharType="begin"/>
        </w:r>
        <w:r w:rsidR="009D221C">
          <w:rPr>
            <w:webHidden/>
          </w:rPr>
          <w:instrText xml:space="preserve"> PAGEREF _Toc35535497 \h </w:instrText>
        </w:r>
        <w:r w:rsidR="009D221C">
          <w:rPr>
            <w:webHidden/>
          </w:rPr>
        </w:r>
        <w:r w:rsidR="009D221C">
          <w:rPr>
            <w:webHidden/>
          </w:rPr>
          <w:fldChar w:fldCharType="separate"/>
        </w:r>
        <w:r w:rsidR="009D221C">
          <w:rPr>
            <w:webHidden/>
          </w:rPr>
          <w:t>35</w:t>
        </w:r>
        <w:r w:rsidR="009D221C">
          <w:rPr>
            <w:webHidden/>
          </w:rPr>
          <w:fldChar w:fldCharType="end"/>
        </w:r>
      </w:hyperlink>
    </w:p>
    <w:p w:rsidR="009D221C" w:rsidRDefault="00BD1590" w14:paraId="2C3B76DB" w14:textId="16691B20">
      <w:pPr>
        <w:pStyle w:val="TOC2"/>
        <w:rPr>
          <w:rFonts w:asciiTheme="minorHAnsi" w:hAnsiTheme="minorHAnsi" w:eastAsiaTheme="minorEastAsia" w:cstheme="minorBidi"/>
          <w:b w:val="0"/>
          <w:i w:val="0"/>
          <w:sz w:val="22"/>
          <w:szCs w:val="22"/>
          <w:lang w:val="en-AU"/>
        </w:rPr>
      </w:pPr>
      <w:hyperlink w:history="1" w:anchor="_Toc35535498">
        <w:r w:rsidRPr="00A854DC" w:rsidR="009D221C">
          <w:rPr>
            <w:rStyle w:val="Hyperlink"/>
          </w:rPr>
          <w:t>6.2</w:t>
        </w:r>
        <w:r w:rsidR="009D221C">
          <w:rPr>
            <w:rFonts w:asciiTheme="minorHAnsi" w:hAnsiTheme="minorHAnsi" w:eastAsiaTheme="minorEastAsia" w:cstheme="minorBidi"/>
            <w:b w:val="0"/>
            <w:i w:val="0"/>
            <w:sz w:val="22"/>
            <w:szCs w:val="22"/>
            <w:lang w:val="en-AU"/>
          </w:rPr>
          <w:tab/>
        </w:r>
        <w:r w:rsidRPr="00A854DC" w:rsidR="009D221C">
          <w:rPr>
            <w:rStyle w:val="Hyperlink"/>
          </w:rPr>
          <w:t>The use of seclusion and restraint on people with disability in detention</w:t>
        </w:r>
        <w:r w:rsidR="009D221C">
          <w:rPr>
            <w:webHidden/>
          </w:rPr>
          <w:tab/>
        </w:r>
        <w:r w:rsidR="009D221C">
          <w:rPr>
            <w:webHidden/>
          </w:rPr>
          <w:fldChar w:fldCharType="begin"/>
        </w:r>
        <w:r w:rsidR="009D221C">
          <w:rPr>
            <w:webHidden/>
          </w:rPr>
          <w:instrText xml:space="preserve"> PAGEREF _Toc35535498 \h </w:instrText>
        </w:r>
        <w:r w:rsidR="009D221C">
          <w:rPr>
            <w:webHidden/>
          </w:rPr>
        </w:r>
        <w:r w:rsidR="009D221C">
          <w:rPr>
            <w:webHidden/>
          </w:rPr>
          <w:fldChar w:fldCharType="separate"/>
        </w:r>
        <w:r w:rsidR="009D221C">
          <w:rPr>
            <w:webHidden/>
          </w:rPr>
          <w:t>36</w:t>
        </w:r>
        <w:r w:rsidR="009D221C">
          <w:rPr>
            <w:webHidden/>
          </w:rPr>
          <w:fldChar w:fldCharType="end"/>
        </w:r>
      </w:hyperlink>
    </w:p>
    <w:p w:rsidRPr="002A63F9" w:rsidR="00C86324" w:rsidP="00861DD9" w:rsidRDefault="000E4837" w14:paraId="4E590189" w14:textId="653EAE43">
      <w:pPr>
        <w:spacing w:before="0" w:after="0" w:line="276" w:lineRule="auto"/>
        <w:rPr>
          <w:b/>
          <w:noProof/>
        </w:rPr>
      </w:pPr>
      <w:r w:rsidRPr="002A63F9">
        <w:rPr>
          <w:b/>
          <w:noProof/>
        </w:rPr>
        <w:fldChar w:fldCharType="end"/>
      </w:r>
      <w:r w:rsidRPr="002A63F9" w:rsidR="00C86324">
        <w:br w:type="page"/>
      </w:r>
    </w:p>
    <w:p w:rsidRPr="002A63F9" w:rsidR="00510390" w:rsidP="00861DD9" w:rsidRDefault="009F2764" w14:paraId="479CB17F" w14:textId="315C67B6">
      <w:pPr>
        <w:pStyle w:val="Heading1"/>
        <w:spacing w:line="276" w:lineRule="auto"/>
      </w:pPr>
      <w:bookmarkStart w:name="_Toc207761830" w:id="2"/>
      <w:bookmarkStart w:name="_Toc209578266" w:id="3"/>
      <w:bookmarkStart w:name="_Toc209941766" w:id="4"/>
      <w:bookmarkStart w:name="_Toc525894098" w:id="5"/>
      <w:bookmarkStart w:name="_Toc27730938" w:id="6"/>
      <w:bookmarkStart w:name="_Toc35535473" w:id="7"/>
      <w:r w:rsidRPr="002A63F9">
        <w:lastRenderedPageBreak/>
        <w:t>Introduction</w:t>
      </w:r>
      <w:bookmarkEnd w:id="2"/>
      <w:bookmarkEnd w:id="3"/>
      <w:bookmarkEnd w:id="4"/>
      <w:bookmarkEnd w:id="5"/>
      <w:bookmarkEnd w:id="6"/>
      <w:bookmarkEnd w:id="7"/>
    </w:p>
    <w:p w:rsidRPr="002A63F9" w:rsidR="00A3220A" w:rsidP="00D5779A" w:rsidRDefault="00A3220A" w14:paraId="58F9DFA5" w14:textId="77777777">
      <w:pPr>
        <w:pStyle w:val="ListNumber"/>
      </w:pPr>
      <w:r w:rsidRPr="002A63F9">
        <w:t xml:space="preserve">The Australian Human Rights Commission (the Commission) welcomes the opportunity to provide this submission to the Royal Commission into Violence, Abuse, Neglect and Exploitation of People with Disability (the Royal Commission). </w:t>
      </w:r>
    </w:p>
    <w:p w:rsidRPr="002A63F9" w:rsidR="00A3220A" w:rsidP="00D5779A" w:rsidRDefault="00A3220A" w14:paraId="43E07808" w14:textId="62811201">
      <w:pPr>
        <w:pStyle w:val="ListNumber"/>
      </w:pPr>
      <w:r w:rsidRPr="002A63F9">
        <w:t>The Commission is Australia’s National Human Rights Institution, with recognised independent status and roles in United Nations human rights fora. The Commission’s purpose is to provide independent and impartial services to promote and protect human rights and fundamental freedoms. The Commission undertakes a range of policy development and research tasks that aim to promote compliance with Australia's human rights obligations, while also investigating and conciliating complaints of unlawful discrimination and breaches of human rights.</w:t>
      </w:r>
    </w:p>
    <w:p w:rsidRPr="002A63F9" w:rsidR="00A3220A" w:rsidP="00D5779A" w:rsidRDefault="00A3220A" w14:paraId="137CE70F" w14:textId="6FCEE049">
      <w:pPr>
        <w:pStyle w:val="ListNumber"/>
      </w:pPr>
      <w:r w:rsidRPr="002A63F9">
        <w:t xml:space="preserve">The Royal Commission provides an important opportunity to prevent and redress violence, abuse, neglect and exploitation of people with disability. </w:t>
      </w:r>
      <w:r w:rsidRPr="002A63F9" w:rsidR="006012D7">
        <w:t>More generally, t</w:t>
      </w:r>
      <w:r w:rsidRPr="002A63F9">
        <w:t>he Royal Commission has the potential to play a key role in upholding the equality, dignity and autonomy of people with disability and ensuring their full participation and inclusion in Australian society. Ultimately this will benefit all Australians, with and without disabilit</w:t>
      </w:r>
      <w:r w:rsidRPr="002A63F9" w:rsidR="00EF7B94">
        <w:t>y</w:t>
      </w:r>
      <w:r w:rsidRPr="002A63F9">
        <w:t>.</w:t>
      </w:r>
    </w:p>
    <w:p w:rsidRPr="002A63F9" w:rsidR="00A3220A" w:rsidP="00D5779A" w:rsidRDefault="00A3220A" w14:paraId="04885A60" w14:textId="77777777">
      <w:pPr>
        <w:pStyle w:val="ListNumber"/>
      </w:pPr>
      <w:r w:rsidRPr="002A63F9">
        <w:t xml:space="preserve">The Commission emphasises the need to ensure that people with disability are at the centre of all aspects of the Royal Commission’s work and that they are provided with adequate support services throughout the process. Particular efforts are needed to ensure that the Royal Commission is accessible to Aboriginal and Torres Strait Islander people with disability, culturally and linguistically diverse (CALD) people with disability, and those from rural, regional and remote areas of Australia. In this regard, the Commission welcomes the development and publication of the Royal Commission’s </w:t>
      </w:r>
      <w:r w:rsidRPr="002A63F9">
        <w:rPr>
          <w:i/>
        </w:rPr>
        <w:t>Accessibility and Inclusion Strategy.</w:t>
      </w:r>
      <w:r w:rsidRPr="002A63F9">
        <w:rPr>
          <w:rStyle w:val="EndnoteReference"/>
          <w:rFonts w:eastAsia="Open Sans" w:cs="Open Sans"/>
        </w:rPr>
        <w:endnoteReference w:id="2"/>
      </w:r>
    </w:p>
    <w:p w:rsidRPr="002A63F9" w:rsidR="00A3220A" w:rsidP="00D5779A" w:rsidRDefault="00A3220A" w14:paraId="5AA4601F" w14:textId="4EAE852A">
      <w:pPr>
        <w:pStyle w:val="ListNumber"/>
      </w:pPr>
      <w:r w:rsidRPr="002A63F9">
        <w:t xml:space="preserve">The Commission welcomes the endorsement of a human rights-based approach in the Royal Commission’s Terms of Reference. The Commission also welcomes the recognition in the Terms of Reference of the intersectional nature of discrimination and disadvantage, noting that the specific experiences of people with disability are </w:t>
      </w:r>
      <w:r w:rsidRPr="002A63F9" w:rsidR="00933CD1">
        <w:t>multi-layered</w:t>
      </w:r>
      <w:r w:rsidRPr="002A63F9">
        <w:t xml:space="preserve"> and can be influenced by experiences associated with age, sex, gender, gender identity, sexual orientation, intersex status, ethnic origin and race. </w:t>
      </w:r>
    </w:p>
    <w:p w:rsidRPr="002A63F9" w:rsidR="00A3220A" w:rsidP="00D5779A" w:rsidRDefault="00A3220A" w14:paraId="322C17FA" w14:textId="77777777">
      <w:pPr>
        <w:pStyle w:val="ListNumber"/>
      </w:pPr>
      <w:r w:rsidRPr="002A63F9">
        <w:t xml:space="preserve">The Commission is well placed to assist the Royal Commission by providing a human rights framework to guide the development of findings and recommendations within the Terms of Reference. The Commission will provide a number of written submissions on </w:t>
      </w:r>
      <w:r w:rsidRPr="002A63F9">
        <w:lastRenderedPageBreak/>
        <w:t>specific issues raised by the Royal Commission in the course of its work. In addition, the Commission would be happy to appear before the Royal Commission and to provide further clarification on its submissions or other issues of interest to the Royal Commission.</w:t>
      </w:r>
    </w:p>
    <w:p w:rsidRPr="002A63F9" w:rsidR="00951F56" w:rsidP="00D5779A" w:rsidRDefault="00A3220A" w14:paraId="3072EBF4" w14:textId="769042D8">
      <w:pPr>
        <w:pStyle w:val="ListNumber"/>
      </w:pPr>
      <w:r w:rsidRPr="002A63F9">
        <w:t xml:space="preserve">This submission addresses the </w:t>
      </w:r>
      <w:r w:rsidRPr="002A63F9" w:rsidR="0063735C">
        <w:t>interaction of people with disability with the criminal justice system</w:t>
      </w:r>
      <w:r w:rsidRPr="002A63F9">
        <w:t xml:space="preserve"> in Australia, which was the focus of the Royal Commission’s </w:t>
      </w:r>
      <w:r w:rsidRPr="002A63F9" w:rsidR="00C74F87">
        <w:rPr>
          <w:i/>
        </w:rPr>
        <w:t>Criminal Justice System</w:t>
      </w:r>
      <w:r w:rsidRPr="002A63F9">
        <w:rPr>
          <w:i/>
        </w:rPr>
        <w:t xml:space="preserve"> Issues Paper</w:t>
      </w:r>
      <w:r w:rsidRPr="002A63F9">
        <w:rPr>
          <w:rStyle w:val="EndnoteReference"/>
          <w:rFonts w:eastAsia="Open Sans" w:cs="Open Sans"/>
        </w:rPr>
        <w:endnoteReference w:id="3"/>
      </w:r>
      <w:r w:rsidRPr="002A63F9">
        <w:rPr>
          <w:i/>
        </w:rPr>
        <w:t xml:space="preserve"> </w:t>
      </w:r>
      <w:r w:rsidRPr="002A63F9">
        <w:t xml:space="preserve">(Issues Paper) released in </w:t>
      </w:r>
      <w:r w:rsidRPr="002A63F9" w:rsidR="00C74F87">
        <w:t>January 2020</w:t>
      </w:r>
      <w:r w:rsidRPr="002A63F9">
        <w:t xml:space="preserve">. </w:t>
      </w:r>
      <w:r w:rsidRPr="002A63F9" w:rsidR="00951F56">
        <w:t xml:space="preserve">This submission focuses on issues raised by questions two, </w:t>
      </w:r>
      <w:r w:rsidRPr="002A63F9" w:rsidR="00BD0F79">
        <w:t xml:space="preserve">three, </w:t>
      </w:r>
      <w:r w:rsidRPr="002A63F9" w:rsidR="00951F56">
        <w:t xml:space="preserve">seven and eight of the Issues Paper. </w:t>
      </w:r>
    </w:p>
    <w:p w:rsidRPr="002A63F9" w:rsidR="00F025DC" w:rsidP="00D5779A" w:rsidRDefault="004B46AE" w14:paraId="0AE5C1F9" w14:textId="6A91E7E5">
      <w:pPr>
        <w:pStyle w:val="ListNumber"/>
      </w:pPr>
      <w:r w:rsidRPr="002A63F9">
        <w:t xml:space="preserve">The Commission welcomes the selection of criminal justice as the fourth topic of consideration for the Royal Commission. </w:t>
      </w:r>
      <w:r w:rsidRPr="002A63F9" w:rsidR="00B865A3">
        <w:t>To ensure equality before the law and access to justice</w:t>
      </w:r>
      <w:r w:rsidRPr="002A63F9" w:rsidR="003E371A">
        <w:t xml:space="preserve"> for all</w:t>
      </w:r>
      <w:r w:rsidRPr="002A63F9" w:rsidR="00B865A3">
        <w:t>, the criminal justice system must seek to better understand the lived experience of people with disability. This requires participants across the criminal justice system</w:t>
      </w:r>
      <w:r w:rsidRPr="002A63F9" w:rsidR="004F1021">
        <w:t>, from police to judges, prosecutors to prison staff,</w:t>
      </w:r>
      <w:r w:rsidRPr="002A63F9" w:rsidR="00D2170A">
        <w:t xml:space="preserve"> </w:t>
      </w:r>
      <w:r w:rsidRPr="002A63F9" w:rsidR="00B865A3">
        <w:t xml:space="preserve">to be better educated </w:t>
      </w:r>
      <w:r w:rsidRPr="002A63F9" w:rsidR="00076FFB">
        <w:t>about disability</w:t>
      </w:r>
      <w:r w:rsidRPr="002A63F9" w:rsidR="00B865A3">
        <w:t xml:space="preserve"> </w:t>
      </w:r>
      <w:r w:rsidRPr="002A63F9" w:rsidR="005E03BA">
        <w:t>(</w:t>
      </w:r>
      <w:r w:rsidRPr="002A63F9" w:rsidR="00B865A3">
        <w:t>particularly intellectual and psychosocial disabilit</w:t>
      </w:r>
      <w:r w:rsidR="008F5B09">
        <w:t>y</w:t>
      </w:r>
      <w:r w:rsidRPr="002A63F9" w:rsidR="005E03BA">
        <w:t>)</w:t>
      </w:r>
      <w:r w:rsidRPr="002A63F9" w:rsidR="00B865A3">
        <w:t xml:space="preserve"> and to have options available </w:t>
      </w:r>
      <w:r w:rsidR="008F5B09">
        <w:t>to</w:t>
      </w:r>
      <w:r w:rsidRPr="002A63F9" w:rsidR="00B865A3">
        <w:t xml:space="preserve"> accommodate the needs of people with disabilit</w:t>
      </w:r>
      <w:r w:rsidRPr="002A63F9" w:rsidR="00395B4E">
        <w:t>y</w:t>
      </w:r>
      <w:r w:rsidRPr="002A63F9" w:rsidR="00B865A3">
        <w:t>.</w:t>
      </w:r>
      <w:r w:rsidRPr="002A63F9" w:rsidR="00AE2536">
        <w:t xml:space="preserve"> Making accessibility and inclusion a central tenet of justice </w:t>
      </w:r>
      <w:r w:rsidRPr="002A63F9" w:rsidR="00885B6A">
        <w:t>w</w:t>
      </w:r>
      <w:r w:rsidR="00060714">
        <w:t>ill</w:t>
      </w:r>
      <w:r w:rsidRPr="002A63F9" w:rsidR="00AE2536">
        <w:t xml:space="preserve"> have a significant impact on the treatment and prevalence of people with disability </w:t>
      </w:r>
      <w:r w:rsidRPr="002A63F9" w:rsidR="005E7583">
        <w:t xml:space="preserve">in </w:t>
      </w:r>
      <w:r w:rsidRPr="002A63F9" w:rsidR="00AE2536">
        <w:t>the criminal justice system.</w:t>
      </w:r>
    </w:p>
    <w:p w:rsidRPr="002A63F9" w:rsidR="00A3220A" w:rsidP="00D5779A" w:rsidRDefault="00A3220A" w14:paraId="0CC9DC62" w14:textId="4A605272">
      <w:pPr>
        <w:pStyle w:val="ListNumber"/>
      </w:pPr>
      <w:r w:rsidRPr="002A63F9">
        <w:t xml:space="preserve">This submission provides: an overview of the international and domestic frameworks relevant to </w:t>
      </w:r>
      <w:r w:rsidRPr="002A63F9" w:rsidR="00A52D60">
        <w:t>the criminal justice system and its interaction with</w:t>
      </w:r>
      <w:r w:rsidRPr="002A63F9">
        <w:t xml:space="preserve"> people with disability; an analysis of the right</w:t>
      </w:r>
      <w:r w:rsidRPr="002A63F9" w:rsidR="000A6C2F">
        <w:t>s</w:t>
      </w:r>
      <w:r w:rsidRPr="002A63F9">
        <w:t xml:space="preserve"> to </w:t>
      </w:r>
      <w:r w:rsidRPr="002A63F9" w:rsidR="00A52D60">
        <w:t>equal</w:t>
      </w:r>
      <w:r w:rsidRPr="002A63F9" w:rsidR="00D05E12">
        <w:t xml:space="preserve"> recognition </w:t>
      </w:r>
      <w:r w:rsidRPr="002A63F9" w:rsidR="00A52D60">
        <w:t>before the law</w:t>
      </w:r>
      <w:r w:rsidR="00FD779C">
        <w:t>,</w:t>
      </w:r>
      <w:r w:rsidRPr="002A63F9">
        <w:t xml:space="preserve"> </w:t>
      </w:r>
      <w:r w:rsidRPr="002A63F9" w:rsidR="00F364D9">
        <w:t xml:space="preserve">access to justice </w:t>
      </w:r>
      <w:r w:rsidR="00FD779C">
        <w:t xml:space="preserve">and liberty and security </w:t>
      </w:r>
      <w:r w:rsidR="006050CE">
        <w:t>of</w:t>
      </w:r>
      <w:r w:rsidR="00C461D1">
        <w:t xml:space="preserve"> </w:t>
      </w:r>
      <w:r w:rsidR="006050CE">
        <w:t xml:space="preserve">person </w:t>
      </w:r>
      <w:r w:rsidRPr="002A63F9" w:rsidR="00D05E12">
        <w:t>for people with disability</w:t>
      </w:r>
      <w:r w:rsidRPr="002A63F9" w:rsidR="00F364D9">
        <w:t xml:space="preserve"> </w:t>
      </w:r>
      <w:r w:rsidRPr="002A63F9">
        <w:t xml:space="preserve">in Australia; and a number of concrete recommendations to improve </w:t>
      </w:r>
      <w:r w:rsidRPr="002A63F9" w:rsidR="00C97C16">
        <w:t xml:space="preserve">Australia’s compliance with its </w:t>
      </w:r>
      <w:r w:rsidRPr="002A63F9" w:rsidR="00E4781A">
        <w:t xml:space="preserve">international </w:t>
      </w:r>
      <w:r w:rsidRPr="002A63F9" w:rsidR="00C97C16">
        <w:t xml:space="preserve">obligations and </w:t>
      </w:r>
      <w:r w:rsidRPr="002A63F9" w:rsidR="007D3804">
        <w:t>protect the rights of people with disability who interact with</w:t>
      </w:r>
      <w:r w:rsidRPr="002A63F9" w:rsidR="00C97C16">
        <w:t xml:space="preserve"> </w:t>
      </w:r>
      <w:r w:rsidRPr="002A63F9" w:rsidR="00E23CA3">
        <w:t xml:space="preserve">the </w:t>
      </w:r>
      <w:r w:rsidRPr="002A63F9" w:rsidR="007D3804">
        <w:t>criminal justice system</w:t>
      </w:r>
      <w:r w:rsidRPr="002A63F9" w:rsidR="00BA1A2B">
        <w:t xml:space="preserve"> in Australia</w:t>
      </w:r>
      <w:r w:rsidRPr="002A63F9">
        <w:t>.</w:t>
      </w:r>
    </w:p>
    <w:p w:rsidRPr="002A63F9" w:rsidR="009F2764" w:rsidP="00861DD9" w:rsidRDefault="003423F4" w14:paraId="61522EF9" w14:textId="06ED77E6">
      <w:pPr>
        <w:pStyle w:val="Heading1"/>
        <w:spacing w:line="276" w:lineRule="auto"/>
      </w:pPr>
      <w:bookmarkStart w:name="_Toc34145308" w:id="8"/>
      <w:bookmarkStart w:name="_Toc525894099" w:id="9"/>
      <w:bookmarkStart w:name="_Toc27730939" w:id="10"/>
      <w:bookmarkStart w:name="_Toc35535474" w:id="11"/>
      <w:bookmarkEnd w:id="8"/>
      <w:r w:rsidRPr="002A63F9">
        <w:t>Summary</w:t>
      </w:r>
      <w:bookmarkEnd w:id="9"/>
      <w:r w:rsidRPr="002A63F9" w:rsidR="00596A95">
        <w:t xml:space="preserve"> of </w:t>
      </w:r>
      <w:r w:rsidRPr="002A63F9" w:rsidR="004855B7">
        <w:t>r</w:t>
      </w:r>
      <w:r w:rsidRPr="002A63F9" w:rsidR="00596A95">
        <w:t>ecommendations</w:t>
      </w:r>
      <w:bookmarkEnd w:id="10"/>
      <w:bookmarkEnd w:id="11"/>
    </w:p>
    <w:p w:rsidRPr="002A63F9" w:rsidR="00D07574" w:rsidP="00D5779A" w:rsidRDefault="00D07574" w14:paraId="63DC95E8" w14:textId="5EE99E67">
      <w:pPr>
        <w:pStyle w:val="ListNumber"/>
        <w:rPr>
          <w:b/>
          <w:bCs/>
        </w:rPr>
      </w:pPr>
      <w:r w:rsidRPr="002A63F9">
        <w:rPr>
          <w:b/>
          <w:bCs/>
        </w:rPr>
        <w:t xml:space="preserve">Recommendation 1: The Royal Commission closely consider the CRPD, ICCPR and other relevant </w:t>
      </w:r>
      <w:r w:rsidR="004706C9">
        <w:rPr>
          <w:b/>
          <w:bCs/>
        </w:rPr>
        <w:t xml:space="preserve">international </w:t>
      </w:r>
      <w:r w:rsidRPr="002A63F9">
        <w:rPr>
          <w:b/>
          <w:bCs/>
        </w:rPr>
        <w:t>human rights instruments and ensure</w:t>
      </w:r>
      <w:r w:rsidRPr="002A63F9" w:rsidR="00272A3A">
        <w:rPr>
          <w:b/>
          <w:bCs/>
        </w:rPr>
        <w:t xml:space="preserve"> that</w:t>
      </w:r>
      <w:r w:rsidRPr="002A63F9">
        <w:rPr>
          <w:b/>
          <w:bCs/>
        </w:rPr>
        <w:t xml:space="preserve"> its recommendations regarding </w:t>
      </w:r>
      <w:r w:rsidRPr="002A63F9" w:rsidR="007F20A8">
        <w:rPr>
          <w:b/>
          <w:bCs/>
        </w:rPr>
        <w:t>the criminal justice system</w:t>
      </w:r>
      <w:r w:rsidRPr="002A63F9">
        <w:rPr>
          <w:b/>
          <w:bCs/>
        </w:rPr>
        <w:t xml:space="preserve"> align with the Australian Government’s obligations under those instruments.</w:t>
      </w:r>
    </w:p>
    <w:p w:rsidRPr="002A63F9" w:rsidR="00D07574" w:rsidP="00D5779A" w:rsidRDefault="00D07574" w14:paraId="206FD18E" w14:textId="4204F0CA">
      <w:pPr>
        <w:pStyle w:val="ListNumber"/>
        <w:rPr>
          <w:b/>
          <w:bCs/>
        </w:rPr>
      </w:pPr>
      <w:r w:rsidRPr="002A63F9">
        <w:rPr>
          <w:b/>
          <w:bCs/>
        </w:rPr>
        <w:t xml:space="preserve">Recommendation 2: The Royal Commission identify key issues and appropriate recommendations to be addressed in the </w:t>
      </w:r>
      <w:r w:rsidRPr="002A63F9" w:rsidR="00DA5D69">
        <w:rPr>
          <w:b/>
          <w:bCs/>
        </w:rPr>
        <w:t xml:space="preserve">implementation </w:t>
      </w:r>
      <w:r w:rsidRPr="002A63F9">
        <w:rPr>
          <w:b/>
          <w:bCs/>
        </w:rPr>
        <w:t xml:space="preserve">of the </w:t>
      </w:r>
      <w:r w:rsidRPr="002A63F9" w:rsidR="00DA5D69">
        <w:rPr>
          <w:b/>
          <w:bCs/>
        </w:rPr>
        <w:t xml:space="preserve">new </w:t>
      </w:r>
      <w:r w:rsidRPr="002A63F9">
        <w:rPr>
          <w:b/>
          <w:bCs/>
        </w:rPr>
        <w:t xml:space="preserve">National Disability Strategy </w:t>
      </w:r>
      <w:r w:rsidRPr="002A63F9" w:rsidR="00DA5D69">
        <w:rPr>
          <w:b/>
          <w:bCs/>
        </w:rPr>
        <w:t xml:space="preserve">for beyond 2020 </w:t>
      </w:r>
      <w:r w:rsidRPr="002A63F9">
        <w:rPr>
          <w:b/>
          <w:bCs/>
        </w:rPr>
        <w:t>to assist the Australian Government to implement its obligations under international human rights law.</w:t>
      </w:r>
    </w:p>
    <w:p w:rsidRPr="002A63F9" w:rsidR="00D07574" w:rsidP="00D5779A" w:rsidRDefault="00D07574" w14:paraId="3BCA3D86" w14:textId="5A636F3E">
      <w:pPr>
        <w:pStyle w:val="ListNumber"/>
        <w:rPr>
          <w:b/>
          <w:bCs/>
          <w:lang w:eastAsia="en-US"/>
        </w:rPr>
      </w:pPr>
      <w:r w:rsidRPr="002A63F9">
        <w:rPr>
          <w:b/>
          <w:bCs/>
          <w:lang w:eastAsia="en-US"/>
        </w:rPr>
        <w:lastRenderedPageBreak/>
        <w:t xml:space="preserve">Recommendation 3: The Australian Government include in the National Disability Data Asset </w:t>
      </w:r>
      <w:r w:rsidRPr="002A63F9" w:rsidR="00E12C18">
        <w:rPr>
          <w:b/>
          <w:bCs/>
          <w:lang w:eastAsia="en-US"/>
        </w:rPr>
        <w:t>(ND</w:t>
      </w:r>
      <w:r w:rsidRPr="002A63F9" w:rsidR="00A630A5">
        <w:rPr>
          <w:b/>
          <w:bCs/>
          <w:lang w:eastAsia="en-US"/>
        </w:rPr>
        <w:t>D</w:t>
      </w:r>
      <w:r w:rsidRPr="002A63F9" w:rsidR="00E12C18">
        <w:rPr>
          <w:b/>
          <w:bCs/>
          <w:lang w:eastAsia="en-US"/>
        </w:rPr>
        <w:t xml:space="preserve">A) </w:t>
      </w:r>
      <w:r w:rsidRPr="002A63F9">
        <w:rPr>
          <w:b/>
          <w:bCs/>
          <w:lang w:eastAsia="en-US"/>
        </w:rPr>
        <w:t xml:space="preserve">data relating to the disability, age, gender, location and ethnicity of participants </w:t>
      </w:r>
      <w:r w:rsidRPr="002A63F9" w:rsidR="006F3533">
        <w:rPr>
          <w:b/>
          <w:bCs/>
          <w:lang w:eastAsia="en-US"/>
        </w:rPr>
        <w:t>at</w:t>
      </w:r>
      <w:r w:rsidRPr="002A63F9">
        <w:rPr>
          <w:b/>
          <w:bCs/>
          <w:lang w:eastAsia="en-US"/>
        </w:rPr>
        <w:t xml:space="preserve"> all stages of the criminal justice system.</w:t>
      </w:r>
    </w:p>
    <w:p w:rsidR="000004CA" w:rsidP="000004CA" w:rsidRDefault="000004CA" w14:paraId="67B06883" w14:textId="0E68EDAB">
      <w:pPr>
        <w:pStyle w:val="ListNumber"/>
        <w:rPr>
          <w:b/>
          <w:bCs/>
          <w:lang w:eastAsia="en-US"/>
        </w:rPr>
      </w:pPr>
      <w:r w:rsidRPr="002A63F9">
        <w:rPr>
          <w:b/>
          <w:bCs/>
          <w:lang w:eastAsia="en-US"/>
        </w:rPr>
        <w:t>Recommendation 4: The Australian Government include in the NDDA data on the number of people detained indefinitely, disaggregated by the nature of the offence, length of detention, jurisdiction, disability, sex, age, jurisdiction, and Aboriginal or Torres Strait Islander origin.</w:t>
      </w:r>
    </w:p>
    <w:p w:rsidRPr="002A63F9" w:rsidR="004B52F7" w:rsidP="004B52F7" w:rsidRDefault="004B52F7" w14:paraId="071E633F" w14:textId="3EB49B91">
      <w:pPr>
        <w:pStyle w:val="ListNumber"/>
        <w:rPr>
          <w:b/>
          <w:bCs/>
          <w:lang w:eastAsia="en-US"/>
        </w:rPr>
      </w:pPr>
      <w:r w:rsidRPr="002A63F9">
        <w:rPr>
          <w:b/>
          <w:bCs/>
          <w:lang w:eastAsia="en-US"/>
        </w:rPr>
        <w:t xml:space="preserve">Recommendation </w:t>
      </w:r>
      <w:r>
        <w:rPr>
          <w:b/>
          <w:bCs/>
          <w:lang w:eastAsia="en-US"/>
        </w:rPr>
        <w:t>5</w:t>
      </w:r>
      <w:r w:rsidRPr="002A63F9">
        <w:rPr>
          <w:b/>
          <w:bCs/>
          <w:lang w:eastAsia="en-US"/>
        </w:rPr>
        <w:t>: The Australian Government work with state and territory governments to develop and improve disability-specific training for police, lawyers, judicial officers, court staff and prison staff with a view to enhancing understanding of disability, improving supports and diverting people with disability away from the criminal justice system.</w:t>
      </w:r>
    </w:p>
    <w:p w:rsidRPr="002A63F9" w:rsidR="004B52F7" w:rsidP="004B52F7" w:rsidRDefault="004B52F7" w14:paraId="33D22567" w14:textId="5339BAD2">
      <w:pPr>
        <w:pStyle w:val="ListNumber"/>
        <w:rPr>
          <w:b/>
          <w:bCs/>
          <w:lang w:eastAsia="en-US"/>
        </w:rPr>
      </w:pPr>
      <w:r w:rsidRPr="002A63F9">
        <w:rPr>
          <w:b/>
          <w:bCs/>
          <w:lang w:eastAsia="en-US"/>
        </w:rPr>
        <w:t xml:space="preserve">Recommendation </w:t>
      </w:r>
      <w:r>
        <w:rPr>
          <w:b/>
          <w:bCs/>
          <w:lang w:eastAsia="en-US"/>
        </w:rPr>
        <w:t>6</w:t>
      </w:r>
      <w:r w:rsidRPr="002A63F9">
        <w:rPr>
          <w:b/>
          <w:bCs/>
          <w:lang w:eastAsia="en-US"/>
        </w:rPr>
        <w:t>: The Australian Government work with state and territory governments to develop effective disability identification and support programs throughout the criminal justice process and ensure that such programs are culturally appropriate for Aboriginal and Torres Strait Islander people with disability.</w:t>
      </w:r>
    </w:p>
    <w:p w:rsidRPr="002A63F9" w:rsidR="008F10BB" w:rsidP="00D5779A" w:rsidRDefault="008F10BB" w14:paraId="18879D62" w14:textId="4CE261CE">
      <w:pPr>
        <w:pStyle w:val="ListNumber"/>
        <w:rPr>
          <w:b/>
          <w:bCs/>
        </w:rPr>
      </w:pPr>
      <w:r w:rsidRPr="002A63F9">
        <w:rPr>
          <w:b/>
          <w:bCs/>
          <w:lang w:eastAsia="en-US"/>
        </w:rPr>
        <w:t xml:space="preserve"> Recommendation </w:t>
      </w:r>
      <w:r w:rsidR="004B52F7">
        <w:rPr>
          <w:b/>
          <w:bCs/>
          <w:lang w:eastAsia="en-US"/>
        </w:rPr>
        <w:t>7</w:t>
      </w:r>
      <w:r w:rsidRPr="002A63F9">
        <w:rPr>
          <w:b/>
          <w:bCs/>
          <w:lang w:eastAsia="en-US"/>
        </w:rPr>
        <w:t>: The Australian Government work with state and territory governments to develop a nationally consistent supported decision-making framework.</w:t>
      </w:r>
      <w:r w:rsidRPr="002A63F9">
        <w:rPr>
          <w:b/>
          <w:bCs/>
        </w:rPr>
        <w:t xml:space="preserve"> </w:t>
      </w:r>
    </w:p>
    <w:p w:rsidRPr="002A63F9" w:rsidR="008F10BB" w:rsidP="00D5779A" w:rsidRDefault="008F10BB" w14:paraId="25AD7825" w14:textId="288979D0">
      <w:pPr>
        <w:pStyle w:val="ListNumber"/>
        <w:rPr>
          <w:b/>
          <w:bCs/>
          <w:lang w:eastAsia="en-US"/>
        </w:rPr>
      </w:pPr>
      <w:r w:rsidRPr="002A63F9">
        <w:rPr>
          <w:b/>
          <w:bCs/>
          <w:lang w:eastAsia="en-US"/>
        </w:rPr>
        <w:t xml:space="preserve">Recommendation </w:t>
      </w:r>
      <w:r w:rsidR="004B52F7">
        <w:rPr>
          <w:b/>
          <w:bCs/>
          <w:lang w:eastAsia="en-US"/>
        </w:rPr>
        <w:t>8</w:t>
      </w:r>
      <w:r w:rsidRPr="002A63F9">
        <w:rPr>
          <w:b/>
          <w:bCs/>
          <w:lang w:eastAsia="en-US"/>
        </w:rPr>
        <w:t xml:space="preserve">: The Australian Government </w:t>
      </w:r>
      <w:r w:rsidRPr="002A63F9" w:rsidR="00985CFB">
        <w:rPr>
          <w:b/>
          <w:bCs/>
          <w:lang w:eastAsia="en-US"/>
        </w:rPr>
        <w:t xml:space="preserve">work with state and territory governments to </w:t>
      </w:r>
      <w:r w:rsidRPr="002A63F9">
        <w:rPr>
          <w:b/>
          <w:bCs/>
          <w:lang w:eastAsia="en-US"/>
        </w:rPr>
        <w:t>eliminate substituted decision-making and provide gender and culture-specific individuali</w:t>
      </w:r>
      <w:r w:rsidRPr="002A63F9" w:rsidR="001E7903">
        <w:rPr>
          <w:b/>
          <w:bCs/>
          <w:lang w:eastAsia="en-US"/>
        </w:rPr>
        <w:t>s</w:t>
      </w:r>
      <w:r w:rsidRPr="002A63F9">
        <w:rPr>
          <w:b/>
          <w:bCs/>
          <w:lang w:eastAsia="en-US"/>
        </w:rPr>
        <w:t>ed support, including psychosocial support, for people with disability in the criminal justice system.</w:t>
      </w:r>
    </w:p>
    <w:p w:rsidRPr="002A63F9" w:rsidR="00510EF6" w:rsidP="00D5779A" w:rsidRDefault="00510EF6" w14:paraId="19B10909" w14:textId="5F023B1E">
      <w:pPr>
        <w:pStyle w:val="ListNumber"/>
        <w:rPr>
          <w:b/>
          <w:bCs/>
          <w:lang w:eastAsia="en-US"/>
        </w:rPr>
      </w:pPr>
      <w:r w:rsidRPr="002A63F9">
        <w:rPr>
          <w:b/>
          <w:bCs/>
          <w:lang w:eastAsia="en-US"/>
        </w:rPr>
        <w:t xml:space="preserve">Recommendation </w:t>
      </w:r>
      <w:r w:rsidR="004B52F7">
        <w:rPr>
          <w:b/>
          <w:bCs/>
          <w:lang w:eastAsia="en-US"/>
        </w:rPr>
        <w:t>9</w:t>
      </w:r>
      <w:r w:rsidRPr="002A63F9">
        <w:rPr>
          <w:b/>
          <w:bCs/>
          <w:lang w:eastAsia="en-US"/>
        </w:rPr>
        <w:t xml:space="preserve">: The Australian Government </w:t>
      </w:r>
      <w:r w:rsidRPr="002A63F9" w:rsidR="00985CFB">
        <w:rPr>
          <w:b/>
          <w:bCs/>
          <w:lang w:eastAsia="en-US"/>
        </w:rPr>
        <w:t xml:space="preserve">work with state and territory governments to </w:t>
      </w:r>
      <w:r w:rsidRPr="002A63F9">
        <w:rPr>
          <w:b/>
          <w:bCs/>
          <w:lang w:eastAsia="en-US"/>
        </w:rPr>
        <w:t>implement the recommendations of the Senate Community Affairs References Committee in the Inquiry into indefinite detention of people with cognitive and psychiatric impairment in Australia.</w:t>
      </w:r>
    </w:p>
    <w:p w:rsidRPr="002A63F9" w:rsidR="005520D3" w:rsidP="00D5779A" w:rsidRDefault="00F61126" w14:paraId="1D6AED76" w14:textId="57C9F17C">
      <w:pPr>
        <w:pStyle w:val="ListNumber"/>
        <w:rPr>
          <w:b/>
          <w:bCs/>
          <w:lang w:eastAsia="en-US"/>
        </w:rPr>
      </w:pPr>
      <w:r w:rsidRPr="002A63F9">
        <w:rPr>
          <w:b/>
          <w:bCs/>
          <w:lang w:eastAsia="en-US"/>
        </w:rPr>
        <w:t xml:space="preserve">Recommendation </w:t>
      </w:r>
      <w:r w:rsidR="004B52F7">
        <w:rPr>
          <w:b/>
          <w:bCs/>
          <w:lang w:eastAsia="en-US"/>
        </w:rPr>
        <w:t>10</w:t>
      </w:r>
      <w:r w:rsidRPr="002A63F9">
        <w:rPr>
          <w:b/>
          <w:bCs/>
          <w:lang w:eastAsia="en-US"/>
        </w:rPr>
        <w:t xml:space="preserve">: The Australian Government </w:t>
      </w:r>
      <w:r w:rsidRPr="002A63F9" w:rsidR="008E76CD">
        <w:rPr>
          <w:b/>
          <w:bCs/>
          <w:lang w:eastAsia="en-US"/>
        </w:rPr>
        <w:t xml:space="preserve">work with state and territory governments </w:t>
      </w:r>
      <w:r w:rsidRPr="002A63F9" w:rsidR="00985CFB">
        <w:rPr>
          <w:b/>
          <w:bCs/>
          <w:lang w:eastAsia="en-US"/>
        </w:rPr>
        <w:t xml:space="preserve">to </w:t>
      </w:r>
      <w:r w:rsidRPr="002A63F9" w:rsidR="008E76CD">
        <w:rPr>
          <w:b/>
          <w:bCs/>
          <w:lang w:eastAsia="en-US"/>
        </w:rPr>
        <w:t xml:space="preserve">implement initiatives </w:t>
      </w:r>
      <w:r w:rsidRPr="002A63F9" w:rsidR="00985CFB">
        <w:rPr>
          <w:b/>
          <w:bCs/>
          <w:lang w:eastAsia="en-US"/>
        </w:rPr>
        <w:t xml:space="preserve">aimed at </w:t>
      </w:r>
      <w:r w:rsidRPr="002A63F9" w:rsidR="008E76CD">
        <w:rPr>
          <w:b/>
          <w:bCs/>
          <w:lang w:eastAsia="en-US"/>
        </w:rPr>
        <w:t>end</w:t>
      </w:r>
      <w:r w:rsidRPr="002A63F9" w:rsidR="00985CFB">
        <w:rPr>
          <w:b/>
          <w:bCs/>
          <w:lang w:eastAsia="en-US"/>
        </w:rPr>
        <w:t>ing</w:t>
      </w:r>
      <w:r w:rsidRPr="002A63F9" w:rsidR="008E76CD">
        <w:rPr>
          <w:b/>
          <w:bCs/>
          <w:lang w:eastAsia="en-US"/>
        </w:rPr>
        <w:t xml:space="preserve"> the indefinite detention of people with disability deemed unfit to plead, including</w:t>
      </w:r>
      <w:r w:rsidRPr="002A63F9" w:rsidR="005520D3">
        <w:rPr>
          <w:b/>
          <w:bCs/>
          <w:lang w:eastAsia="en-US"/>
        </w:rPr>
        <w:t>:</w:t>
      </w:r>
    </w:p>
    <w:p w:rsidRPr="002A63F9" w:rsidR="005520D3" w:rsidP="00D5779A" w:rsidRDefault="005520D3" w14:paraId="61D8F86E" w14:textId="2777F275">
      <w:pPr>
        <w:pStyle w:val="ListNumber"/>
        <w:numPr>
          <w:ilvl w:val="0"/>
          <w:numId w:val="0"/>
        </w:numPr>
        <w:ind w:left="794"/>
        <w:rPr>
          <w:b/>
          <w:bCs/>
          <w:lang w:eastAsia="en-US"/>
        </w:rPr>
      </w:pPr>
      <w:r w:rsidRPr="002A63F9">
        <w:rPr>
          <w:b/>
          <w:bCs/>
          <w:lang w:eastAsia="en-US"/>
        </w:rPr>
        <w:t>(a)</w:t>
      </w:r>
      <w:r w:rsidRPr="002A63F9" w:rsidR="00EF697D">
        <w:rPr>
          <w:b/>
          <w:bCs/>
        </w:rPr>
        <w:t xml:space="preserve"> s</w:t>
      </w:r>
      <w:r w:rsidRPr="002A63F9" w:rsidR="00EF697D">
        <w:rPr>
          <w:b/>
          <w:bCs/>
          <w:lang w:eastAsia="en-US"/>
        </w:rPr>
        <w:t>top</w:t>
      </w:r>
      <w:r w:rsidRPr="002A63F9" w:rsidR="0026365F">
        <w:rPr>
          <w:b/>
          <w:bCs/>
          <w:lang w:eastAsia="en-US"/>
        </w:rPr>
        <w:t>ping the incarceration of</w:t>
      </w:r>
      <w:r w:rsidRPr="002A63F9" w:rsidR="00EF697D">
        <w:rPr>
          <w:b/>
          <w:bCs/>
          <w:lang w:eastAsia="en-US"/>
        </w:rPr>
        <w:t xml:space="preserve"> people with disability </w:t>
      </w:r>
      <w:r w:rsidRPr="002A63F9" w:rsidR="004C0223">
        <w:rPr>
          <w:b/>
          <w:bCs/>
          <w:lang w:eastAsia="en-US"/>
        </w:rPr>
        <w:t>in</w:t>
      </w:r>
      <w:r w:rsidRPr="002A63F9" w:rsidR="00EF697D">
        <w:rPr>
          <w:b/>
          <w:bCs/>
          <w:lang w:eastAsia="en-US"/>
        </w:rPr>
        <w:t xml:space="preserve"> custody for indefinite terms or for terms longer than those imposed in criminal convictions</w:t>
      </w:r>
      <w:r w:rsidR="00EA377A">
        <w:rPr>
          <w:b/>
          <w:bCs/>
          <w:lang w:eastAsia="en-US"/>
        </w:rPr>
        <w:t xml:space="preserve"> for the relevant offences</w:t>
      </w:r>
    </w:p>
    <w:p w:rsidRPr="002A63F9" w:rsidR="00DA6FE7" w:rsidP="00D5779A" w:rsidRDefault="00F951C5" w14:paraId="1D88CBE3" w14:textId="669AD391">
      <w:pPr>
        <w:pStyle w:val="ListNumber"/>
        <w:numPr>
          <w:ilvl w:val="0"/>
          <w:numId w:val="0"/>
        </w:numPr>
        <w:ind w:left="794"/>
        <w:rPr>
          <w:b/>
          <w:bCs/>
          <w:lang w:eastAsia="en-US"/>
        </w:rPr>
      </w:pPr>
      <w:r w:rsidRPr="002A63F9">
        <w:rPr>
          <w:b/>
          <w:bCs/>
        </w:rPr>
        <w:lastRenderedPageBreak/>
        <w:t>(</w:t>
      </w:r>
      <w:r w:rsidRPr="002A63F9" w:rsidR="00023F38">
        <w:rPr>
          <w:b/>
          <w:bCs/>
        </w:rPr>
        <w:t>b</w:t>
      </w:r>
      <w:r w:rsidRPr="002A63F9">
        <w:rPr>
          <w:b/>
          <w:bCs/>
        </w:rPr>
        <w:t xml:space="preserve">) </w:t>
      </w:r>
      <w:r w:rsidRPr="002A63F9">
        <w:rPr>
          <w:b/>
          <w:bCs/>
          <w:lang w:eastAsia="en-US"/>
        </w:rPr>
        <w:t>provid</w:t>
      </w:r>
      <w:r w:rsidRPr="002A63F9" w:rsidR="004C0223">
        <w:rPr>
          <w:b/>
          <w:bCs/>
          <w:lang w:eastAsia="en-US"/>
        </w:rPr>
        <w:t>ing</w:t>
      </w:r>
      <w:r w:rsidRPr="002A63F9">
        <w:rPr>
          <w:b/>
          <w:bCs/>
          <w:lang w:eastAsia="en-US"/>
        </w:rPr>
        <w:t xml:space="preserve"> for </w:t>
      </w:r>
      <w:r w:rsidRPr="002A63F9" w:rsidR="007F76A2">
        <w:rPr>
          <w:b/>
          <w:bCs/>
          <w:lang w:eastAsia="en-US"/>
        </w:rPr>
        <w:t>time limitations</w:t>
      </w:r>
      <w:r w:rsidRPr="002A63F9">
        <w:rPr>
          <w:b/>
          <w:bCs/>
          <w:lang w:eastAsia="en-US"/>
        </w:rPr>
        <w:t xml:space="preserve"> on all liberty-restricting orders </w:t>
      </w:r>
      <w:r w:rsidRPr="002A63F9" w:rsidR="0041278C">
        <w:rPr>
          <w:b/>
          <w:bCs/>
          <w:lang w:eastAsia="en-US"/>
        </w:rPr>
        <w:t xml:space="preserve">imposed on people deemed unfit to plead </w:t>
      </w:r>
      <w:r w:rsidRPr="002A63F9">
        <w:rPr>
          <w:b/>
          <w:bCs/>
          <w:lang w:eastAsia="en-US"/>
        </w:rPr>
        <w:t>and creat</w:t>
      </w:r>
      <w:r w:rsidRPr="002A63F9" w:rsidR="004C0223">
        <w:rPr>
          <w:b/>
          <w:bCs/>
          <w:lang w:eastAsia="en-US"/>
        </w:rPr>
        <w:t>ing</w:t>
      </w:r>
      <w:r w:rsidRPr="002A63F9">
        <w:rPr>
          <w:b/>
          <w:bCs/>
          <w:lang w:eastAsia="en-US"/>
        </w:rPr>
        <w:t xml:space="preserve"> a body to regularly review the position of all </w:t>
      </w:r>
      <w:r w:rsidRPr="002A63F9" w:rsidR="00FB16A1">
        <w:rPr>
          <w:b/>
          <w:bCs/>
          <w:lang w:eastAsia="en-US"/>
        </w:rPr>
        <w:t>people</w:t>
      </w:r>
      <w:r w:rsidRPr="002A63F9">
        <w:rPr>
          <w:b/>
          <w:bCs/>
          <w:lang w:eastAsia="en-US"/>
        </w:rPr>
        <w:t xml:space="preserve"> detained under such orders</w:t>
      </w:r>
      <w:r w:rsidRPr="002A63F9" w:rsidR="00AD221A">
        <w:rPr>
          <w:b/>
          <w:bCs/>
          <w:lang w:eastAsia="en-US"/>
        </w:rPr>
        <w:t>.</w:t>
      </w:r>
    </w:p>
    <w:p w:rsidRPr="002A63F9" w:rsidR="0099035B" w:rsidP="00D5779A" w:rsidRDefault="007637FF" w14:paraId="058710C2" w14:textId="074A6CAB">
      <w:pPr>
        <w:pStyle w:val="ListNumber"/>
        <w:rPr>
          <w:b/>
          <w:bCs/>
          <w:lang w:eastAsia="en-US"/>
        </w:rPr>
      </w:pPr>
      <w:r w:rsidRPr="002A63F9">
        <w:rPr>
          <w:b/>
          <w:bCs/>
          <w:lang w:eastAsia="en-US"/>
        </w:rPr>
        <w:t xml:space="preserve">Recommendation </w:t>
      </w:r>
      <w:r w:rsidR="004B52F7">
        <w:rPr>
          <w:b/>
          <w:bCs/>
          <w:lang w:eastAsia="en-US"/>
        </w:rPr>
        <w:t>11</w:t>
      </w:r>
      <w:r w:rsidRPr="002A63F9">
        <w:rPr>
          <w:b/>
          <w:bCs/>
          <w:lang w:eastAsia="en-US"/>
        </w:rPr>
        <w:t xml:space="preserve">: The Australian Government </w:t>
      </w:r>
      <w:r w:rsidRPr="002A63F9" w:rsidR="00AD221A">
        <w:rPr>
          <w:b/>
          <w:bCs/>
          <w:lang w:eastAsia="en-US"/>
        </w:rPr>
        <w:t xml:space="preserve">work with state and territory governments to </w:t>
      </w:r>
      <w:r w:rsidRPr="002A63F9">
        <w:rPr>
          <w:b/>
          <w:bCs/>
          <w:lang w:eastAsia="en-US"/>
        </w:rPr>
        <w:t>develop</w:t>
      </w:r>
      <w:r w:rsidRPr="002A63F9" w:rsidR="00F951C5">
        <w:rPr>
          <w:b/>
          <w:bCs/>
          <w:lang w:eastAsia="en-US"/>
        </w:rPr>
        <w:t>, in consultation with people with disability,</w:t>
      </w:r>
      <w:r w:rsidRPr="002A63F9" w:rsidR="0099035B">
        <w:rPr>
          <w:b/>
          <w:bCs/>
          <w:lang w:eastAsia="en-US"/>
        </w:rPr>
        <w:t xml:space="preserve"> nationally consistent disability justice plans to ensure that </w:t>
      </w:r>
      <w:r w:rsidRPr="002A63F9" w:rsidR="00F951C5">
        <w:rPr>
          <w:b/>
          <w:bCs/>
          <w:lang w:eastAsia="en-US"/>
        </w:rPr>
        <w:t>people with disability</w:t>
      </w:r>
      <w:r w:rsidRPr="002A63F9" w:rsidR="0099035B">
        <w:rPr>
          <w:b/>
          <w:bCs/>
          <w:lang w:eastAsia="en-US"/>
        </w:rPr>
        <w:t xml:space="preserve"> are supported in accessing the same legal protections and redress as the rest of the community</w:t>
      </w:r>
      <w:r w:rsidRPr="002A63F9" w:rsidR="00F951C5">
        <w:rPr>
          <w:b/>
          <w:bCs/>
          <w:lang w:eastAsia="en-US"/>
        </w:rPr>
        <w:t>.</w:t>
      </w:r>
    </w:p>
    <w:p w:rsidRPr="002A63F9" w:rsidR="00ED13A1" w:rsidP="00D5779A" w:rsidRDefault="00ED13A1" w14:paraId="600F7034" w14:textId="6827EB45">
      <w:pPr>
        <w:pStyle w:val="ListNumber"/>
        <w:rPr>
          <w:b/>
          <w:bCs/>
          <w:lang w:eastAsia="en-US"/>
        </w:rPr>
      </w:pPr>
      <w:r w:rsidRPr="002A63F9">
        <w:rPr>
          <w:b/>
          <w:bCs/>
          <w:lang w:eastAsia="en-US"/>
        </w:rPr>
        <w:t xml:space="preserve">Recommendation </w:t>
      </w:r>
      <w:r w:rsidRPr="002A63F9" w:rsidR="00F84A43">
        <w:rPr>
          <w:b/>
          <w:bCs/>
          <w:lang w:eastAsia="en-US"/>
        </w:rPr>
        <w:t>1</w:t>
      </w:r>
      <w:r w:rsidR="004B52F7">
        <w:rPr>
          <w:b/>
          <w:bCs/>
          <w:lang w:eastAsia="en-US"/>
        </w:rPr>
        <w:t>2</w:t>
      </w:r>
      <w:r w:rsidRPr="002A63F9">
        <w:rPr>
          <w:b/>
          <w:bCs/>
          <w:lang w:eastAsia="en-US"/>
        </w:rPr>
        <w:t xml:space="preserve">: The Australian Government </w:t>
      </w:r>
      <w:r w:rsidRPr="002A63F9" w:rsidR="001D20F8">
        <w:rPr>
          <w:b/>
          <w:bCs/>
          <w:lang w:eastAsia="en-US"/>
        </w:rPr>
        <w:t xml:space="preserve">work with state and territory governments to </w:t>
      </w:r>
      <w:r w:rsidRPr="002A63F9" w:rsidR="006E2BB6">
        <w:rPr>
          <w:b/>
          <w:bCs/>
          <w:lang w:eastAsia="en-US"/>
        </w:rPr>
        <w:t xml:space="preserve">amend laws, policies and guidelines </w:t>
      </w:r>
      <w:r w:rsidRPr="002A63F9">
        <w:rPr>
          <w:b/>
          <w:bCs/>
          <w:lang w:eastAsia="en-US"/>
        </w:rPr>
        <w:t xml:space="preserve">to prohibit the use of solitary confinement </w:t>
      </w:r>
      <w:r w:rsidRPr="002A63F9" w:rsidR="004A3FF6">
        <w:rPr>
          <w:b/>
          <w:bCs/>
          <w:lang w:eastAsia="en-US"/>
        </w:rPr>
        <w:t xml:space="preserve">for </w:t>
      </w:r>
      <w:r w:rsidRPr="002A63F9">
        <w:rPr>
          <w:b/>
          <w:bCs/>
          <w:lang w:eastAsia="en-US"/>
        </w:rPr>
        <w:t xml:space="preserve">people with disability in </w:t>
      </w:r>
      <w:r w:rsidR="00C57283">
        <w:rPr>
          <w:b/>
          <w:bCs/>
          <w:lang w:eastAsia="en-US"/>
        </w:rPr>
        <w:t>detention</w:t>
      </w:r>
      <w:r w:rsidRPr="002A63F9">
        <w:rPr>
          <w:b/>
          <w:bCs/>
          <w:lang w:eastAsia="en-US"/>
        </w:rPr>
        <w:t>.</w:t>
      </w:r>
    </w:p>
    <w:p w:rsidRPr="002A63F9" w:rsidR="00C865B9" w:rsidP="00D5779A" w:rsidRDefault="002A311F" w14:paraId="26E7D460" w14:textId="6076276D">
      <w:pPr>
        <w:pStyle w:val="ListNumber"/>
        <w:rPr>
          <w:b/>
          <w:bCs/>
        </w:rPr>
      </w:pPr>
      <w:r w:rsidRPr="002A63F9">
        <w:rPr>
          <w:b/>
          <w:bCs/>
          <w:lang w:eastAsia="en-US"/>
        </w:rPr>
        <w:t xml:space="preserve">Recommendation </w:t>
      </w:r>
      <w:r w:rsidRPr="002A63F9" w:rsidR="00AA7CDA">
        <w:rPr>
          <w:b/>
          <w:bCs/>
          <w:lang w:eastAsia="en-US"/>
        </w:rPr>
        <w:t>1</w:t>
      </w:r>
      <w:r w:rsidR="004B52F7">
        <w:rPr>
          <w:b/>
          <w:bCs/>
          <w:lang w:eastAsia="en-US"/>
        </w:rPr>
        <w:t>3</w:t>
      </w:r>
      <w:r w:rsidRPr="002A63F9">
        <w:rPr>
          <w:b/>
          <w:bCs/>
          <w:lang w:eastAsia="en-US"/>
        </w:rPr>
        <w:t xml:space="preserve">: The Australian Government work with state and territory governments to develop a national framework to monitor and regulate the use of restrictive practices </w:t>
      </w:r>
      <w:r w:rsidR="005C7772">
        <w:rPr>
          <w:b/>
          <w:bCs/>
          <w:lang w:eastAsia="en-US"/>
        </w:rPr>
        <w:t>on</w:t>
      </w:r>
      <w:r w:rsidRPr="002A63F9">
        <w:rPr>
          <w:b/>
          <w:bCs/>
          <w:lang w:eastAsia="en-US"/>
        </w:rPr>
        <w:t xml:space="preserve"> people with disability in places of detention. </w:t>
      </w:r>
    </w:p>
    <w:p w:rsidRPr="002A63F9" w:rsidR="006B0AD0" w:rsidP="006B0AD0" w:rsidRDefault="006B0AD0" w14:paraId="206983DC" w14:textId="5FD05EAC">
      <w:pPr>
        <w:pStyle w:val="ListNumber"/>
        <w:rPr>
          <w:b/>
          <w:bCs/>
        </w:rPr>
      </w:pPr>
      <w:r w:rsidRPr="002A63F9">
        <w:rPr>
          <w:b/>
          <w:bCs/>
          <w:lang w:eastAsia="en-US"/>
        </w:rPr>
        <w:t>Recommendation 1</w:t>
      </w:r>
      <w:r w:rsidR="004B52F7">
        <w:rPr>
          <w:b/>
          <w:bCs/>
          <w:lang w:eastAsia="en-US"/>
        </w:rPr>
        <w:t>4</w:t>
      </w:r>
      <w:r w:rsidRPr="002A63F9">
        <w:rPr>
          <w:b/>
          <w:bCs/>
          <w:lang w:eastAsia="en-US"/>
        </w:rPr>
        <w:t xml:space="preserve">: The Australian Government work with state and territory governments to implement OPCAT as a matter of urgency. </w:t>
      </w:r>
    </w:p>
    <w:p w:rsidRPr="002A63F9" w:rsidR="002263AE" w:rsidP="002263AE" w:rsidRDefault="002263AE" w14:paraId="5692B5DC" w14:textId="37768652">
      <w:pPr>
        <w:pStyle w:val="ListNumber"/>
        <w:rPr>
          <w:b/>
          <w:bCs/>
          <w:lang w:eastAsia="en-US"/>
        </w:rPr>
      </w:pPr>
      <w:r w:rsidRPr="002A63F9">
        <w:rPr>
          <w:b/>
          <w:bCs/>
          <w:lang w:eastAsia="en-US"/>
        </w:rPr>
        <w:t>Recommendation 1</w:t>
      </w:r>
      <w:r w:rsidRPr="002A63F9" w:rsidR="006B0AD0">
        <w:rPr>
          <w:b/>
          <w:bCs/>
          <w:lang w:eastAsia="en-US"/>
        </w:rPr>
        <w:t>5</w:t>
      </w:r>
      <w:r w:rsidRPr="002A63F9">
        <w:rPr>
          <w:b/>
          <w:bCs/>
          <w:lang w:eastAsia="en-US"/>
        </w:rPr>
        <w:t>: The Australian Government include Fetal Alcohol Spectrum Disorder (FASD) on the List of Recognised Disabilities.</w:t>
      </w:r>
    </w:p>
    <w:p w:rsidRPr="002A63F9" w:rsidR="00B34568" w:rsidP="002263AE" w:rsidRDefault="00A73388" w14:paraId="3BA9B384" w14:textId="62920408">
      <w:pPr>
        <w:pStyle w:val="ListNumber"/>
        <w:rPr>
          <w:b/>
          <w:bCs/>
          <w:lang w:eastAsia="en-US"/>
        </w:rPr>
      </w:pPr>
      <w:r w:rsidRPr="002A63F9">
        <w:rPr>
          <w:b/>
          <w:bCs/>
          <w:lang w:eastAsia="en-US"/>
        </w:rPr>
        <w:t>Recommendation 1</w:t>
      </w:r>
      <w:r w:rsidRPr="002A63F9" w:rsidR="006B0AD0">
        <w:rPr>
          <w:b/>
          <w:bCs/>
          <w:lang w:eastAsia="en-US"/>
        </w:rPr>
        <w:t>6</w:t>
      </w:r>
      <w:r w:rsidRPr="002A63F9">
        <w:rPr>
          <w:b/>
          <w:bCs/>
          <w:lang w:eastAsia="en-US"/>
        </w:rPr>
        <w:t xml:space="preserve">: The Australian Government work with state and territory governments to systematically screen </w:t>
      </w:r>
      <w:r w:rsidRPr="002A63F9" w:rsidR="00325940">
        <w:rPr>
          <w:b/>
          <w:bCs/>
          <w:lang w:eastAsia="en-US"/>
        </w:rPr>
        <w:t xml:space="preserve">children and </w:t>
      </w:r>
      <w:r w:rsidRPr="002A63F9" w:rsidR="00732F3F">
        <w:rPr>
          <w:b/>
          <w:bCs/>
          <w:lang w:eastAsia="en-US"/>
        </w:rPr>
        <w:t xml:space="preserve">young </w:t>
      </w:r>
      <w:r w:rsidRPr="002A63F9">
        <w:rPr>
          <w:b/>
          <w:bCs/>
          <w:lang w:eastAsia="en-US"/>
        </w:rPr>
        <w:t xml:space="preserve">people </w:t>
      </w:r>
      <w:r w:rsidRPr="002A63F9" w:rsidR="00FC4AB5">
        <w:rPr>
          <w:b/>
          <w:bCs/>
          <w:lang w:eastAsia="en-US"/>
        </w:rPr>
        <w:t xml:space="preserve">upon </w:t>
      </w:r>
      <w:r w:rsidRPr="002A63F9">
        <w:rPr>
          <w:b/>
          <w:bCs/>
          <w:lang w:eastAsia="en-US"/>
        </w:rPr>
        <w:t>entering detention</w:t>
      </w:r>
      <w:r w:rsidR="00EA377A">
        <w:rPr>
          <w:b/>
          <w:bCs/>
          <w:lang w:eastAsia="en-US"/>
        </w:rPr>
        <w:t>,</w:t>
      </w:r>
      <w:r w:rsidRPr="002A63F9">
        <w:rPr>
          <w:b/>
          <w:bCs/>
          <w:lang w:eastAsia="en-US"/>
        </w:rPr>
        <w:t xml:space="preserve"> for all types of disability</w:t>
      </w:r>
      <w:r w:rsidRPr="002A63F9" w:rsidR="00A53A9C">
        <w:rPr>
          <w:b/>
          <w:bCs/>
          <w:lang w:eastAsia="en-US"/>
        </w:rPr>
        <w:t>, including FASD,</w:t>
      </w:r>
      <w:r w:rsidRPr="002A63F9">
        <w:rPr>
          <w:b/>
          <w:bCs/>
          <w:lang w:eastAsia="en-US"/>
        </w:rPr>
        <w:t xml:space="preserve"> and to </w:t>
      </w:r>
      <w:r w:rsidRPr="002A63F9" w:rsidR="00226BCE">
        <w:rPr>
          <w:b/>
          <w:bCs/>
          <w:lang w:eastAsia="en-US"/>
        </w:rPr>
        <w:t xml:space="preserve">encourage </w:t>
      </w:r>
      <w:r w:rsidRPr="002A63F9" w:rsidR="007F7208">
        <w:rPr>
          <w:b/>
          <w:bCs/>
          <w:lang w:eastAsia="en-US"/>
        </w:rPr>
        <w:t>the</w:t>
      </w:r>
      <w:r w:rsidRPr="002A63F9" w:rsidR="00325940">
        <w:rPr>
          <w:b/>
          <w:bCs/>
          <w:lang w:eastAsia="en-US"/>
        </w:rPr>
        <w:t>ir</w:t>
      </w:r>
      <w:r w:rsidRPr="002A63F9" w:rsidR="007F7208">
        <w:rPr>
          <w:b/>
          <w:bCs/>
          <w:lang w:eastAsia="en-US"/>
        </w:rPr>
        <w:t xml:space="preserve"> </w:t>
      </w:r>
      <w:r w:rsidRPr="002A63F9">
        <w:rPr>
          <w:b/>
          <w:bCs/>
          <w:lang w:eastAsia="en-US"/>
        </w:rPr>
        <w:t>diversion from a custodial setting to appropriate community</w:t>
      </w:r>
      <w:r w:rsidRPr="002A63F9" w:rsidR="00C02725">
        <w:rPr>
          <w:b/>
          <w:bCs/>
          <w:lang w:eastAsia="en-US"/>
        </w:rPr>
        <w:t>-</w:t>
      </w:r>
      <w:r w:rsidRPr="002A63F9">
        <w:rPr>
          <w:b/>
          <w:bCs/>
          <w:lang w:eastAsia="en-US"/>
        </w:rPr>
        <w:t xml:space="preserve">based services. </w:t>
      </w:r>
    </w:p>
    <w:p w:rsidRPr="002A63F9" w:rsidR="00EA3D11" w:rsidP="00DA5B31" w:rsidRDefault="00EA3D11" w14:paraId="05C70ABF" w14:textId="0C965AE6">
      <w:pPr>
        <w:pStyle w:val="ListNumber"/>
        <w:rPr>
          <w:b/>
          <w:bCs/>
          <w:lang w:eastAsia="en-US"/>
        </w:rPr>
      </w:pPr>
      <w:r w:rsidRPr="002A63F9">
        <w:rPr>
          <w:b/>
          <w:bCs/>
          <w:lang w:eastAsia="en-US"/>
        </w:rPr>
        <w:t>Recommendation 1</w:t>
      </w:r>
      <w:r w:rsidRPr="002A63F9" w:rsidR="006B0AD0">
        <w:rPr>
          <w:b/>
          <w:bCs/>
          <w:lang w:eastAsia="en-US"/>
        </w:rPr>
        <w:t>7</w:t>
      </w:r>
      <w:r w:rsidRPr="002A63F9">
        <w:rPr>
          <w:b/>
          <w:bCs/>
          <w:lang w:eastAsia="en-US"/>
        </w:rPr>
        <w:t>: The Royal Commission explore the effectiveness of existing independent support person programs and consider their roll out throughout Australia.</w:t>
      </w:r>
    </w:p>
    <w:p w:rsidRPr="002A63F9" w:rsidR="00EA3D11" w:rsidP="00D5779A" w:rsidRDefault="00EA3D11" w14:paraId="0FA075F5" w14:textId="06F6EC37">
      <w:pPr>
        <w:pStyle w:val="ListNumber"/>
        <w:rPr>
          <w:b/>
          <w:bCs/>
          <w:lang w:eastAsia="en-US"/>
        </w:rPr>
      </w:pPr>
      <w:r w:rsidRPr="002A63F9">
        <w:rPr>
          <w:b/>
          <w:bCs/>
          <w:lang w:eastAsia="en-US"/>
        </w:rPr>
        <w:t>Recommendation 1</w:t>
      </w:r>
      <w:r w:rsidRPr="002A63F9" w:rsidR="006B0AD0">
        <w:rPr>
          <w:b/>
          <w:bCs/>
          <w:lang w:eastAsia="en-US"/>
        </w:rPr>
        <w:t>8</w:t>
      </w:r>
      <w:r w:rsidRPr="002A63F9">
        <w:rPr>
          <w:b/>
          <w:bCs/>
          <w:lang w:eastAsia="en-US"/>
        </w:rPr>
        <w:t>: The Royal Commission inquire into the effectiveness of the current NDIS Quality and Safeguards Framework in ensuring a criminal justice pathway for reportable conduct.</w:t>
      </w:r>
    </w:p>
    <w:p w:rsidRPr="002A63F9" w:rsidR="00EA3D11" w:rsidP="00D5779A" w:rsidRDefault="00EA3D11" w14:paraId="19D9EE08" w14:textId="672DA111">
      <w:pPr>
        <w:pStyle w:val="ListNumber"/>
        <w:rPr>
          <w:b/>
          <w:bCs/>
          <w:lang w:eastAsia="en-US"/>
        </w:rPr>
      </w:pPr>
      <w:r w:rsidRPr="002A63F9">
        <w:rPr>
          <w:b/>
          <w:bCs/>
          <w:lang w:eastAsia="en-US"/>
        </w:rPr>
        <w:t>Recommendation 1</w:t>
      </w:r>
      <w:r w:rsidRPr="002A63F9" w:rsidR="006B0AD0">
        <w:rPr>
          <w:b/>
          <w:bCs/>
          <w:lang w:eastAsia="en-US"/>
        </w:rPr>
        <w:t>9</w:t>
      </w:r>
      <w:r w:rsidRPr="002A63F9">
        <w:rPr>
          <w:b/>
          <w:bCs/>
          <w:lang w:eastAsia="en-US"/>
        </w:rPr>
        <w:t xml:space="preserve">: The Australian Government consider the rollout of mandatory rights-based training for </w:t>
      </w:r>
      <w:r w:rsidRPr="002A63F9" w:rsidR="00F26F0C">
        <w:rPr>
          <w:b/>
          <w:bCs/>
          <w:lang w:eastAsia="en-US"/>
        </w:rPr>
        <w:t xml:space="preserve">disability support </w:t>
      </w:r>
      <w:r w:rsidRPr="002A63F9" w:rsidR="006328E5">
        <w:rPr>
          <w:b/>
          <w:bCs/>
          <w:lang w:eastAsia="en-US"/>
        </w:rPr>
        <w:t xml:space="preserve">staff and other </w:t>
      </w:r>
      <w:r w:rsidRPr="002A63F9">
        <w:rPr>
          <w:b/>
          <w:bCs/>
          <w:lang w:eastAsia="en-US"/>
        </w:rPr>
        <w:t>workers employed under and through the NDIS.</w:t>
      </w:r>
    </w:p>
    <w:p w:rsidRPr="002A63F9" w:rsidR="00EA3D11" w:rsidP="00D5779A" w:rsidRDefault="00EA3D11" w14:paraId="588D5AF5" w14:textId="25610D3A">
      <w:pPr>
        <w:pStyle w:val="ListNumber"/>
        <w:rPr>
          <w:b/>
          <w:bCs/>
          <w:lang w:eastAsia="en-US"/>
        </w:rPr>
      </w:pPr>
      <w:r w:rsidRPr="002A63F9">
        <w:rPr>
          <w:b/>
          <w:bCs/>
          <w:lang w:eastAsia="en-US"/>
        </w:rPr>
        <w:t xml:space="preserve">Recommendation </w:t>
      </w:r>
      <w:r w:rsidRPr="002A63F9" w:rsidR="006B0AD0">
        <w:rPr>
          <w:b/>
          <w:bCs/>
          <w:lang w:eastAsia="en-US"/>
        </w:rPr>
        <w:t>20</w:t>
      </w:r>
      <w:r w:rsidRPr="002A63F9">
        <w:rPr>
          <w:b/>
          <w:bCs/>
          <w:lang w:eastAsia="en-US"/>
        </w:rPr>
        <w:t xml:space="preserve">: The Australian Government continue to fund and support Community Visitor Schemes throughout Australian states and territories. </w:t>
      </w:r>
    </w:p>
    <w:p w:rsidRPr="002A63F9" w:rsidR="00EA3D11" w:rsidP="00D5779A" w:rsidRDefault="00EA3D11" w14:paraId="564D7235" w14:textId="51A8143D">
      <w:pPr>
        <w:pStyle w:val="ListNumber"/>
        <w:rPr>
          <w:b/>
          <w:bCs/>
          <w:lang w:eastAsia="en-US"/>
        </w:rPr>
      </w:pPr>
      <w:r w:rsidRPr="002A63F9">
        <w:rPr>
          <w:b/>
          <w:bCs/>
          <w:lang w:eastAsia="en-US"/>
        </w:rPr>
        <w:lastRenderedPageBreak/>
        <w:t xml:space="preserve">Recommendation </w:t>
      </w:r>
      <w:r w:rsidRPr="002A63F9" w:rsidR="00F21E5B">
        <w:rPr>
          <w:b/>
          <w:bCs/>
          <w:lang w:eastAsia="en-US"/>
        </w:rPr>
        <w:t>2</w:t>
      </w:r>
      <w:r w:rsidRPr="002A63F9" w:rsidR="006B0AD0">
        <w:rPr>
          <w:b/>
          <w:bCs/>
          <w:lang w:eastAsia="en-US"/>
        </w:rPr>
        <w:t>1</w:t>
      </w:r>
      <w:r w:rsidRPr="002A63F9">
        <w:rPr>
          <w:b/>
          <w:bCs/>
          <w:lang w:eastAsia="en-US"/>
        </w:rPr>
        <w:t xml:space="preserve">: The Royal Commission inquire further into the information, resources and supports available to people with disability, in all settings, to report crimes. </w:t>
      </w:r>
    </w:p>
    <w:p w:rsidRPr="002A63F9" w:rsidR="00DF23B9" w:rsidP="00861DD9" w:rsidRDefault="00DF23B9" w14:paraId="050FA515" w14:textId="0D962CE4">
      <w:pPr>
        <w:pStyle w:val="Heading1"/>
        <w:spacing w:line="276" w:lineRule="auto"/>
      </w:pPr>
      <w:bookmarkStart w:name="_Toc35535475" w:id="12"/>
      <w:r w:rsidRPr="002A63F9">
        <w:t>International &amp; domestic human rights framework</w:t>
      </w:r>
      <w:bookmarkEnd w:id="12"/>
    </w:p>
    <w:p w:rsidRPr="002A63F9" w:rsidR="00DF23B9" w:rsidP="004070C8" w:rsidRDefault="00DF23B9" w14:paraId="5544CC97" w14:textId="3DDF1BDE">
      <w:pPr>
        <w:pStyle w:val="ListNumber"/>
      </w:pPr>
      <w:r w:rsidRPr="002A63F9">
        <w:t xml:space="preserve">Australia has ratified a range of international human rights instruments that include clear rights and obligations relating to </w:t>
      </w:r>
      <w:r w:rsidR="00AD583F">
        <w:t>people with disability who interact with the criminal justice system</w:t>
      </w:r>
      <w:r w:rsidRPr="002A63F9">
        <w:t xml:space="preserve">, most notably the </w:t>
      </w:r>
      <w:r w:rsidRPr="00230327">
        <w:rPr>
          <w:i/>
          <w:iCs/>
        </w:rPr>
        <w:t xml:space="preserve">Convention on the Rights of Persons with Disabilities </w:t>
      </w:r>
      <w:r w:rsidRPr="002A63F9">
        <w:t>(CRPD)</w:t>
      </w:r>
      <w:r w:rsidR="00694434">
        <w:t>,</w:t>
      </w:r>
      <w:r w:rsidRPr="002A63F9" w:rsidR="006478C9">
        <w:rPr>
          <w:rStyle w:val="EndnoteReference"/>
        </w:rPr>
        <w:endnoteReference w:id="4"/>
      </w:r>
      <w:r w:rsidRPr="002A63F9">
        <w:t xml:space="preserve"> </w:t>
      </w:r>
      <w:r w:rsidRPr="002A63F9" w:rsidR="00B17A48">
        <w:t xml:space="preserve">the </w:t>
      </w:r>
      <w:r w:rsidRPr="00230327" w:rsidR="00B17A48">
        <w:rPr>
          <w:i/>
          <w:iCs/>
        </w:rPr>
        <w:t xml:space="preserve">International Covenant on Civil and Political Rights </w:t>
      </w:r>
      <w:r w:rsidRPr="002A63F9" w:rsidR="00B17A48">
        <w:t>(ICCPR)</w:t>
      </w:r>
      <w:r w:rsidRPr="002A63F9" w:rsidR="006478C9">
        <w:rPr>
          <w:rStyle w:val="EndnoteReference"/>
        </w:rPr>
        <w:endnoteReference w:id="5"/>
      </w:r>
      <w:r w:rsidR="00694434">
        <w:t xml:space="preserve"> and the</w:t>
      </w:r>
      <w:r w:rsidRPr="002A63F9" w:rsidR="00B17A48">
        <w:t xml:space="preserve"> </w:t>
      </w:r>
      <w:r w:rsidRPr="002A63F9" w:rsidR="00694434">
        <w:rPr>
          <w:i/>
          <w:iCs/>
        </w:rPr>
        <w:t>Optional Protocol to the Convention against Torture and Other Cruel, Inhuman or Degrading Treatment or Punishment</w:t>
      </w:r>
      <w:r w:rsidRPr="002A63F9" w:rsidR="00694434">
        <w:t xml:space="preserve"> (OPCAT).</w:t>
      </w:r>
      <w:r w:rsidRPr="002A63F9" w:rsidR="00694434">
        <w:rPr>
          <w:rStyle w:val="EndnoteReference"/>
        </w:rPr>
        <w:endnoteReference w:id="6"/>
      </w:r>
      <w:r w:rsidR="00694434">
        <w:t xml:space="preserve"> </w:t>
      </w:r>
      <w:r w:rsidRPr="002A63F9" w:rsidR="00B17A48">
        <w:t xml:space="preserve">At the domestic level, the </w:t>
      </w:r>
      <w:r w:rsidRPr="00230327" w:rsidR="00B17A48">
        <w:rPr>
          <w:i/>
          <w:iCs/>
        </w:rPr>
        <w:t xml:space="preserve">Disability Discrimination Act 1992 </w:t>
      </w:r>
      <w:r w:rsidRPr="002A63F9" w:rsidR="00B17A48">
        <w:t xml:space="preserve">(Cth) </w:t>
      </w:r>
      <w:r w:rsidRPr="002A63F9" w:rsidR="009A539B">
        <w:t xml:space="preserve">(DDA) </w:t>
      </w:r>
      <w:r w:rsidRPr="002A63F9" w:rsidR="00B17A48">
        <w:t xml:space="preserve">works alongside </w:t>
      </w:r>
      <w:r w:rsidRPr="002A63F9" w:rsidR="00087DB4">
        <w:t xml:space="preserve">the </w:t>
      </w:r>
      <w:r w:rsidRPr="00230327" w:rsidR="00087DB4">
        <w:rPr>
          <w:i/>
          <w:iCs/>
        </w:rPr>
        <w:t>National Disability Strategy</w:t>
      </w:r>
      <w:r w:rsidRPr="002A63F9" w:rsidR="00087DB4">
        <w:t xml:space="preserve"> to protect the rights of people with disability </w:t>
      </w:r>
      <w:r w:rsidRPr="002A63F9" w:rsidR="006E7608">
        <w:t>in the criminal justice system</w:t>
      </w:r>
      <w:r w:rsidRPr="002A63F9" w:rsidR="00087DB4">
        <w:t>.</w:t>
      </w:r>
      <w:r w:rsidRPr="002A63F9" w:rsidR="00087DB4">
        <w:rPr>
          <w:rStyle w:val="EndnoteReference"/>
        </w:rPr>
        <w:endnoteReference w:id="7"/>
      </w:r>
    </w:p>
    <w:p w:rsidRPr="002A63F9" w:rsidR="00CB5CAD" w:rsidP="00861DD9" w:rsidRDefault="00CB5CAD" w14:paraId="09BC9CB7" w14:textId="6B4B735D">
      <w:pPr>
        <w:pStyle w:val="Heading2"/>
        <w:spacing w:line="276" w:lineRule="auto"/>
      </w:pPr>
      <w:bookmarkStart w:name="_Toc35535476" w:id="13"/>
      <w:r w:rsidRPr="002A63F9">
        <w:t>Convention on the Rights of Persons with Disabilities</w:t>
      </w:r>
      <w:bookmarkEnd w:id="13"/>
    </w:p>
    <w:p w:rsidRPr="002A63F9" w:rsidR="00CB5CAD" w:rsidP="00D5779A" w:rsidRDefault="00CB5CAD" w14:paraId="489599B1" w14:textId="11388095">
      <w:pPr>
        <w:pStyle w:val="ListNumber"/>
      </w:pPr>
      <w:r w:rsidRPr="002A63F9">
        <w:t>Australia ratified the CRPD in July 2008 and its accompanying Optional Protocol</w:t>
      </w:r>
      <w:r w:rsidRPr="002A63F9" w:rsidR="00254D9C">
        <w:rPr>
          <w:rStyle w:val="EndnoteReference"/>
        </w:rPr>
        <w:endnoteReference w:id="8"/>
      </w:r>
      <w:r w:rsidRPr="002A63F9">
        <w:t xml:space="preserve"> in July 2009. The CRPD requires Australia to promote, protect and ensure the full and equal enjoyment of all human rights and fundamental freedoms by all people with disability, and to promote respect for their inherent dignity.</w:t>
      </w:r>
    </w:p>
    <w:p w:rsidRPr="002A63F9" w:rsidR="00CB5CAD" w:rsidP="00D5779A" w:rsidRDefault="00CB5CAD" w14:paraId="0FB6F3E9" w14:textId="554B6446">
      <w:pPr>
        <w:pStyle w:val="ListNumber"/>
      </w:pPr>
      <w:r w:rsidRPr="002A63F9">
        <w:t xml:space="preserve">The CRPD </w:t>
      </w:r>
      <w:r w:rsidRPr="002A63F9" w:rsidR="00F41068">
        <w:t>supports the social model of disability. Article 1 defines ‘persons with disabilities’ as ‘those who have long-term physical, mental, intellectual or sensory impairments which in interaction with various barriers may hinder their full and effective participation in society on an equal basis with others’. The CRPD encompasses a broad understanding of disability and recognises that disability is an ‘evolving concept’ resulting from interaction with ‘attitudinal and environmental barriers’.</w:t>
      </w:r>
      <w:r w:rsidRPr="002A63F9" w:rsidR="00745E4A">
        <w:rPr>
          <w:rStyle w:val="EndnoteReference"/>
        </w:rPr>
        <w:endnoteReference w:id="9"/>
      </w:r>
    </w:p>
    <w:p w:rsidRPr="002A63F9" w:rsidR="00F41068" w:rsidP="00D5779A" w:rsidRDefault="00F41068" w14:paraId="32A346DC" w14:textId="31426120">
      <w:pPr>
        <w:pStyle w:val="ListNumber"/>
      </w:pPr>
      <w:r w:rsidRPr="002A63F9">
        <w:t xml:space="preserve">As the CRPD is the most recent international human rights convention and the first international convention to exclusively </w:t>
      </w:r>
      <w:r w:rsidR="00F038D9">
        <w:t xml:space="preserve">address </w:t>
      </w:r>
      <w:r w:rsidRPr="002A63F9">
        <w:t>the rights of people with disability, it offers valuable guidance for realising the human rights of people with disability in Australia. The CRPD requires State</w:t>
      </w:r>
      <w:r w:rsidRPr="002A63F9" w:rsidR="0061193A">
        <w:t>s</w:t>
      </w:r>
      <w:r w:rsidRPr="002A63F9">
        <w:t xml:space="preserve"> Parties to take positive action, including significant law reform, to implement the underlying principles of the Convention and protect the rights contained within it. </w:t>
      </w:r>
    </w:p>
    <w:p w:rsidRPr="002A63F9" w:rsidR="00F41068" w:rsidP="00C43480" w:rsidRDefault="00F41068" w14:paraId="0E375F03" w14:textId="4182190A">
      <w:pPr>
        <w:pStyle w:val="ListNumber"/>
        <w:spacing w:after="120"/>
      </w:pPr>
      <w:r w:rsidRPr="002A63F9">
        <w:t>The</w:t>
      </w:r>
      <w:r w:rsidRPr="002A63F9" w:rsidR="004976B7">
        <w:t xml:space="preserve"> CRPD </w:t>
      </w:r>
      <w:r w:rsidRPr="002A63F9" w:rsidR="00286FBE">
        <w:t xml:space="preserve">rights </w:t>
      </w:r>
      <w:r w:rsidRPr="002A63F9" w:rsidR="00BC7B55">
        <w:t xml:space="preserve">most relevant </w:t>
      </w:r>
      <w:r w:rsidRPr="002A63F9">
        <w:t xml:space="preserve">to </w:t>
      </w:r>
      <w:r w:rsidRPr="002A63F9" w:rsidR="00A84C7C">
        <w:t>the interaction of people with disability and the criminal justice system</w:t>
      </w:r>
      <w:r w:rsidRPr="002A63F9">
        <w:t xml:space="preserve"> include:</w:t>
      </w:r>
    </w:p>
    <w:p w:rsidRPr="002A63F9" w:rsidR="00F41068" w:rsidP="00C43480" w:rsidRDefault="004976B7" w14:paraId="0BA9D995" w14:textId="0B469260">
      <w:pPr>
        <w:pStyle w:val="ListNumber"/>
        <w:numPr>
          <w:ilvl w:val="0"/>
          <w:numId w:val="28"/>
        </w:numPr>
        <w:spacing w:before="120" w:after="120"/>
        <w:ind w:left="1434" w:hanging="357"/>
      </w:pPr>
      <w:r w:rsidRPr="002A63F9">
        <w:t>Article 9 – the right to accessibility</w:t>
      </w:r>
    </w:p>
    <w:p w:rsidRPr="002A63F9" w:rsidR="004976B7" w:rsidP="00C43480" w:rsidRDefault="004976B7" w14:paraId="7FF3D598" w14:textId="69EB834D">
      <w:pPr>
        <w:pStyle w:val="ListNumber"/>
        <w:numPr>
          <w:ilvl w:val="0"/>
          <w:numId w:val="28"/>
        </w:numPr>
        <w:spacing w:before="120" w:after="120"/>
        <w:ind w:left="1434" w:hanging="357"/>
      </w:pPr>
      <w:r w:rsidRPr="002A63F9">
        <w:lastRenderedPageBreak/>
        <w:t>Article 12 – the right to equal recognition before the law</w:t>
      </w:r>
    </w:p>
    <w:p w:rsidRPr="002A63F9" w:rsidR="004976B7" w:rsidP="00C43480" w:rsidRDefault="004976B7" w14:paraId="0B191C88" w14:textId="4F056BEC">
      <w:pPr>
        <w:pStyle w:val="ListNumber"/>
        <w:numPr>
          <w:ilvl w:val="0"/>
          <w:numId w:val="28"/>
        </w:numPr>
        <w:spacing w:before="120" w:after="120"/>
        <w:ind w:left="1434" w:hanging="357"/>
      </w:pPr>
      <w:r w:rsidRPr="002A63F9">
        <w:t>Article 13 – the right to access justice</w:t>
      </w:r>
    </w:p>
    <w:p w:rsidRPr="002A63F9" w:rsidR="004976B7" w:rsidP="00C43480" w:rsidRDefault="004976B7" w14:paraId="1E0A142E" w14:textId="1CDC7FDD">
      <w:pPr>
        <w:pStyle w:val="ListNumber"/>
        <w:numPr>
          <w:ilvl w:val="0"/>
          <w:numId w:val="28"/>
        </w:numPr>
        <w:spacing w:before="120" w:after="120"/>
        <w:ind w:left="1434" w:hanging="357"/>
      </w:pPr>
      <w:r w:rsidRPr="002A63F9">
        <w:t>Article 14 – the right to liberty and security of person</w:t>
      </w:r>
    </w:p>
    <w:p w:rsidRPr="002A63F9" w:rsidR="004976B7" w:rsidP="00C43480" w:rsidRDefault="004976B7" w14:paraId="5221F92E" w14:textId="508717EF">
      <w:pPr>
        <w:pStyle w:val="ListNumber"/>
        <w:numPr>
          <w:ilvl w:val="0"/>
          <w:numId w:val="28"/>
        </w:numPr>
        <w:spacing w:before="120" w:after="120"/>
        <w:ind w:left="1434" w:hanging="357"/>
      </w:pPr>
      <w:r w:rsidRPr="002A63F9">
        <w:t>Article 15 – the right to freedom of torture or cruel, inhuman or degrading treatment or punishment</w:t>
      </w:r>
    </w:p>
    <w:p w:rsidRPr="002A63F9" w:rsidR="004976B7" w:rsidP="00C43480" w:rsidRDefault="004976B7" w14:paraId="69ADF973" w14:textId="1258DB38">
      <w:pPr>
        <w:pStyle w:val="ListNumber"/>
        <w:numPr>
          <w:ilvl w:val="0"/>
          <w:numId w:val="28"/>
        </w:numPr>
        <w:spacing w:before="120" w:after="120"/>
        <w:ind w:left="1434" w:hanging="357"/>
      </w:pPr>
      <w:r w:rsidRPr="002A63F9">
        <w:t>Article 16 – the right to freedom from exploitation, violence and abuse</w:t>
      </w:r>
    </w:p>
    <w:p w:rsidRPr="002A63F9" w:rsidR="00286FBE" w:rsidP="00861DD9" w:rsidRDefault="00286FBE" w14:paraId="75DEAD56" w14:textId="19D9EA4F">
      <w:pPr>
        <w:pStyle w:val="Heading2"/>
        <w:spacing w:line="276" w:lineRule="auto"/>
      </w:pPr>
      <w:bookmarkStart w:name="_Toc35535477" w:id="14"/>
      <w:r w:rsidRPr="002A63F9">
        <w:t>International Covenant on Civil and Political Rights</w:t>
      </w:r>
      <w:bookmarkEnd w:id="14"/>
    </w:p>
    <w:p w:rsidRPr="002A63F9" w:rsidR="00286FBE" w:rsidP="00D5779A" w:rsidRDefault="00286FBE" w14:paraId="57FEAA4C" w14:textId="4207ABDD">
      <w:pPr>
        <w:pStyle w:val="ListNumber"/>
      </w:pPr>
      <w:r w:rsidRPr="002A63F9">
        <w:t>Articles 9,</w:t>
      </w:r>
      <w:r w:rsidRPr="002A63F9" w:rsidR="00414856">
        <w:t xml:space="preserve"> 10,</w:t>
      </w:r>
      <w:r w:rsidRPr="002A63F9">
        <w:t xml:space="preserve"> 14, 15 and 26 of the ICCPR protect rights pertinent to people with disability engaged with the criminal justice system. In combination, these articles ensure that people with disability are treated fairly and without discrimination </w:t>
      </w:r>
      <w:r w:rsidRPr="002A63F9" w:rsidR="009E1DCD">
        <w:t>by courts, legal practitioners, and law enforcement.</w:t>
      </w:r>
    </w:p>
    <w:p w:rsidRPr="002A63F9" w:rsidR="0024018F" w:rsidP="00D5779A" w:rsidRDefault="0024018F" w14:paraId="01103C30" w14:textId="5D50D3BE">
      <w:pPr>
        <w:pStyle w:val="ListNumber"/>
      </w:pPr>
      <w:r w:rsidRPr="002A63F9">
        <w:t>Article 26 ensures equality before the law for people with disability.</w:t>
      </w:r>
      <w:r w:rsidRPr="002A63F9" w:rsidR="00724E6D">
        <w:t xml:space="preserve"> Equality before the law includes both uninhibited access to the law and equal protection by the law.</w:t>
      </w:r>
    </w:p>
    <w:p w:rsidRPr="002A63F9" w:rsidR="00414856" w:rsidP="00D5779A" w:rsidRDefault="00763A88" w14:paraId="02962206" w14:textId="3F6AD8E9">
      <w:pPr>
        <w:pStyle w:val="ListNumber"/>
      </w:pPr>
      <w:r w:rsidRPr="002A63F9">
        <w:t xml:space="preserve">Article 9 ensures the right to liberty and security of person. This right protects people with disability from arbitrary arrest and detention and </w:t>
      </w:r>
      <w:r w:rsidRPr="002A63F9" w:rsidR="00414856">
        <w:t xml:space="preserve">compels the prompt trial and resolution of criminal proceedings. </w:t>
      </w:r>
    </w:p>
    <w:p w:rsidRPr="002A63F9" w:rsidR="00763A88" w:rsidP="00D5779A" w:rsidRDefault="00414856" w14:paraId="5C6234C6" w14:textId="642D783E">
      <w:pPr>
        <w:pStyle w:val="ListNumber"/>
      </w:pPr>
      <w:r w:rsidRPr="002A63F9">
        <w:t xml:space="preserve">Further, Article 10 requires those awaiting trial to be detained separately from those who have been convicted, and for the former to be treated </w:t>
      </w:r>
      <w:r w:rsidRPr="002A63F9" w:rsidR="0024018F">
        <w:t xml:space="preserve">humanely and </w:t>
      </w:r>
      <w:r w:rsidRPr="002A63F9">
        <w:t>in a manner appropriate to their status as unconvicted persons.</w:t>
      </w:r>
    </w:p>
    <w:p w:rsidRPr="002A63F9" w:rsidR="00414856" w:rsidP="00D5779A" w:rsidRDefault="00414856" w14:paraId="29D57433" w14:textId="00D80D20">
      <w:pPr>
        <w:pStyle w:val="ListNumber"/>
      </w:pPr>
      <w:r w:rsidRPr="002A63F9">
        <w:t xml:space="preserve">Article 14 </w:t>
      </w:r>
      <w:r w:rsidRPr="002A63F9" w:rsidR="00B13947">
        <w:t xml:space="preserve">safeguards the basic principles of justice, including equality before the law, fair and public trial by a competent and impartial tribunal, and the presumption of innocence. Article 14 </w:t>
      </w:r>
      <w:r w:rsidRPr="002A63F9" w:rsidR="0024018F">
        <w:t xml:space="preserve">could also be understood as </w:t>
      </w:r>
      <w:r w:rsidRPr="002A63F9" w:rsidR="00B13947">
        <w:t>contain</w:t>
      </w:r>
      <w:r w:rsidRPr="002A63F9" w:rsidR="0024018F">
        <w:t>ing</w:t>
      </w:r>
      <w:r w:rsidRPr="002A63F9" w:rsidR="00B13947">
        <w:t xml:space="preserve"> a right to legal aid for people who cannot afford representation. </w:t>
      </w:r>
    </w:p>
    <w:p w:rsidRPr="002A63F9" w:rsidR="0024018F" w:rsidP="00D5779A" w:rsidRDefault="0024018F" w14:paraId="042D1800" w14:textId="337C25C0">
      <w:pPr>
        <w:pStyle w:val="ListNumber"/>
      </w:pPr>
      <w:r w:rsidRPr="002A63F9">
        <w:t>Article 15 protects people from unjust, arbitrary, or indefinite imprisonment.</w:t>
      </w:r>
    </w:p>
    <w:p w:rsidRPr="002A63F9" w:rsidR="000F0D03" w:rsidP="000F0D03" w:rsidRDefault="000F0D03" w14:paraId="3F476C9E" w14:textId="77777777">
      <w:pPr>
        <w:pStyle w:val="Heading2"/>
        <w:spacing w:line="276" w:lineRule="auto"/>
        <w:rPr>
          <w:bCs/>
        </w:rPr>
      </w:pPr>
      <w:bookmarkStart w:name="_Toc35535478" w:id="15"/>
      <w:r w:rsidRPr="002A63F9">
        <w:rPr>
          <w:bCs/>
        </w:rPr>
        <w:t>Optional Protocol to the Convention against Torture, Cruel, Inhuman and Degrading Treatment</w:t>
      </w:r>
      <w:bookmarkEnd w:id="15"/>
    </w:p>
    <w:p w:rsidRPr="002A63F9" w:rsidR="000A40FC" w:rsidP="001253FD" w:rsidRDefault="000A40FC" w14:paraId="5BB79933" w14:textId="4F611E2C">
      <w:pPr>
        <w:pStyle w:val="ListNumber"/>
      </w:pPr>
      <w:r w:rsidRPr="002A63F9">
        <w:t>Australia is a party to the Convention against Torture and other Cruel, Inhuman and Degrading Treatment or Punishment (CAT).</w:t>
      </w:r>
      <w:r w:rsidRPr="002A63F9">
        <w:rPr>
          <w:sz w:val="20"/>
          <w:szCs w:val="20"/>
          <w:vertAlign w:val="superscript"/>
        </w:rPr>
        <w:endnoteReference w:id="10"/>
      </w:r>
      <w:r w:rsidRPr="002A63F9">
        <w:rPr>
          <w:sz w:val="20"/>
          <w:szCs w:val="20"/>
          <w:vertAlign w:val="superscript"/>
        </w:rPr>
        <w:t xml:space="preserve"> </w:t>
      </w:r>
      <w:r w:rsidR="00EA377A">
        <w:rPr>
          <w:sz w:val="20"/>
          <w:szCs w:val="20"/>
          <w:vertAlign w:val="superscript"/>
        </w:rPr>
        <w:t xml:space="preserve"> </w:t>
      </w:r>
      <w:r w:rsidR="00EA377A">
        <w:t xml:space="preserve">The </w:t>
      </w:r>
      <w:r w:rsidRPr="002A63F9">
        <w:t xml:space="preserve">CAT sets out substantive rules prohibiting torture and other forms of mistreatment. </w:t>
      </w:r>
    </w:p>
    <w:p w:rsidRPr="002A63F9" w:rsidR="000A40FC" w:rsidP="001253FD" w:rsidRDefault="000A40FC" w14:paraId="1FDB4C28" w14:textId="2FCF8ED1">
      <w:pPr>
        <w:pStyle w:val="ListNumber"/>
      </w:pPr>
      <w:r w:rsidRPr="002A63F9">
        <w:lastRenderedPageBreak/>
        <w:t>On 21 December 2017, the Australian Government ratified the</w:t>
      </w:r>
      <w:r w:rsidRPr="002A63F9">
        <w:rPr>
          <w:i/>
          <w:iCs/>
        </w:rPr>
        <w:t xml:space="preserve"> Optional Protocol to the Convention against Torture and Other Cruel, Inhuman or Degrading Treatment or Punishment</w:t>
      </w:r>
      <w:r w:rsidRPr="002A63F9">
        <w:t xml:space="preserve"> (OPCAT).</w:t>
      </w:r>
      <w:r w:rsidRPr="002A63F9">
        <w:rPr>
          <w:rStyle w:val="EndnoteReference"/>
        </w:rPr>
        <w:endnoteReference w:id="11"/>
      </w:r>
      <w:r w:rsidRPr="002A63F9">
        <w:t xml:space="preserve"> OPCAT provides a means of monitoring how a state is complying with the substantive rules in </w:t>
      </w:r>
      <w:r w:rsidR="00EA377A">
        <w:t xml:space="preserve">the </w:t>
      </w:r>
      <w:r w:rsidRPr="002A63F9">
        <w:t>CAT in the specific context of places of detention. The treaty aims to prevent torture and other forms of ill treatment by establishing a regime for independent visits of places of detention.</w:t>
      </w:r>
      <w:r w:rsidRPr="002A63F9">
        <w:rPr>
          <w:rStyle w:val="EndnoteReference"/>
        </w:rPr>
        <w:endnoteReference w:id="12"/>
      </w:r>
      <w:r w:rsidRPr="002A63F9">
        <w:t xml:space="preserve"> </w:t>
      </w:r>
    </w:p>
    <w:p w:rsidRPr="002A63F9" w:rsidR="000A40FC" w:rsidP="00C43480" w:rsidRDefault="000A40FC" w14:paraId="5762FF51" w14:textId="2A5C064E">
      <w:pPr>
        <w:pStyle w:val="ListNumber"/>
        <w:spacing w:before="120" w:after="120"/>
      </w:pPr>
      <w:r w:rsidRPr="002A63F9">
        <w:t xml:space="preserve">OPCAT requires places of detention to be monitored through two complementary types of independent body: </w:t>
      </w:r>
    </w:p>
    <w:p w:rsidRPr="002A63F9" w:rsidR="000A40FC" w:rsidP="00C43480" w:rsidRDefault="000A40FC" w14:paraId="0BE9B2A0" w14:textId="48A6A6A4">
      <w:pPr>
        <w:numPr>
          <w:ilvl w:val="0"/>
          <w:numId w:val="2"/>
        </w:numPr>
        <w:tabs>
          <w:tab w:val="clear" w:pos="360"/>
        </w:tabs>
        <w:spacing w:before="120" w:after="120"/>
        <w:ind w:left="786" w:hanging="426"/>
      </w:pPr>
      <w:r w:rsidRPr="002A63F9">
        <w:rPr>
          <w:iCs/>
        </w:rPr>
        <w:t>one or more</w:t>
      </w:r>
      <w:r w:rsidRPr="002A63F9">
        <w:rPr>
          <w:b/>
          <w:iCs/>
        </w:rPr>
        <w:t xml:space="preserve"> </w:t>
      </w:r>
      <w:r w:rsidRPr="002A63F9">
        <w:rPr>
          <w:iCs/>
        </w:rPr>
        <w:t xml:space="preserve">National </w:t>
      </w:r>
      <w:r w:rsidRPr="002A63F9">
        <w:t>Preventive</w:t>
      </w:r>
      <w:r w:rsidRPr="002A63F9">
        <w:rPr>
          <w:iCs/>
        </w:rPr>
        <w:t xml:space="preserve"> Mechanisms (NPM</w:t>
      </w:r>
      <w:r w:rsidR="00EA377A">
        <w:rPr>
          <w:iCs/>
        </w:rPr>
        <w:t>s</w:t>
      </w:r>
      <w:r w:rsidRPr="002A63F9">
        <w:rPr>
          <w:iCs/>
        </w:rPr>
        <w:t>)</w:t>
      </w:r>
      <w:r w:rsidRPr="002A63F9">
        <w:t>, which would be the Australian entity or network of entities responsible for inspections and oversight</w:t>
      </w:r>
      <w:r w:rsidRPr="002A63F9">
        <w:rPr>
          <w:rStyle w:val="EndnoteReference"/>
        </w:rPr>
        <w:endnoteReference w:id="13"/>
      </w:r>
      <w:r w:rsidRPr="002A63F9">
        <w:t xml:space="preserve"> </w:t>
      </w:r>
    </w:p>
    <w:p w:rsidRPr="002A63F9" w:rsidR="000A40FC" w:rsidP="00C43480" w:rsidRDefault="000A40FC" w14:paraId="1F7662B1" w14:textId="58266B23">
      <w:pPr>
        <w:numPr>
          <w:ilvl w:val="0"/>
          <w:numId w:val="2"/>
        </w:numPr>
        <w:tabs>
          <w:tab w:val="clear" w:pos="360"/>
        </w:tabs>
        <w:spacing w:before="120" w:after="120"/>
        <w:ind w:left="786" w:hanging="426"/>
      </w:pPr>
      <w:r w:rsidRPr="002A63F9">
        <w:t>the U</w:t>
      </w:r>
      <w:r w:rsidRPr="002A63F9" w:rsidR="001253FD">
        <w:t>nited Nations</w:t>
      </w:r>
      <w:r w:rsidRPr="002A63F9">
        <w:t xml:space="preserve"> Sub-committee on the Prevention of Torture</w:t>
      </w:r>
      <w:r w:rsidRPr="002A63F9">
        <w:rPr>
          <w:b/>
        </w:rPr>
        <w:t>,</w:t>
      </w:r>
      <w:r w:rsidRPr="002A63F9">
        <w:t xml:space="preserve"> which is the United Nations body of independent experts responsible for conducting visits to places of detention in jurisdictions that have ratified OPCAT and providing guidance to NPMs to assist in the performance of their duties.</w:t>
      </w:r>
      <w:r w:rsidRPr="002A63F9">
        <w:rPr>
          <w:rStyle w:val="EndnoteReference"/>
        </w:rPr>
        <w:endnoteReference w:id="14"/>
      </w:r>
    </w:p>
    <w:p w:rsidRPr="002A63F9" w:rsidR="00A87C24" w:rsidRDefault="00A87C24" w14:paraId="4C57133F" w14:textId="161D2746">
      <w:pPr>
        <w:pStyle w:val="ListNumber"/>
      </w:pPr>
      <w:r w:rsidRPr="002A63F9">
        <w:t>OPCAT has broad application, applying where ‘people are deprived of their liberty’, in a place that falls within the jurisdiction and control of the state, and where the deprivation occurs by virtue of an order of a public authority, or with its consent.</w:t>
      </w:r>
      <w:r w:rsidRPr="002A63F9">
        <w:rPr>
          <w:sz w:val="20"/>
          <w:szCs w:val="20"/>
          <w:vertAlign w:val="superscript"/>
        </w:rPr>
        <w:endnoteReference w:id="15"/>
      </w:r>
      <w:r w:rsidRPr="002A63F9">
        <w:t xml:space="preserve"> It appl</w:t>
      </w:r>
      <w:r w:rsidRPr="002A63F9" w:rsidR="00111CCA">
        <w:t>ies</w:t>
      </w:r>
      <w:r w:rsidRPr="002A63F9">
        <w:t xml:space="preserve"> to both traditional and non-traditional settings where people with disability may be deprived of their liberty. </w:t>
      </w:r>
    </w:p>
    <w:p w:rsidRPr="002A63F9" w:rsidR="00A87C24" w:rsidP="001253FD" w:rsidRDefault="00A87C24" w14:paraId="5DC8804C" w14:textId="5A14C5A9">
      <w:pPr>
        <w:pStyle w:val="ListNumber"/>
      </w:pPr>
      <w:r w:rsidRPr="002A63F9">
        <w:t>The Commonwealth Ombudsman has been designated as the NPM for federal places of detention. The Ombudsman will also perform various functions as the NPM co-ordinator for NPMs across all Australian jurisdictions.</w:t>
      </w:r>
      <w:r w:rsidRPr="002A63F9">
        <w:rPr>
          <w:rStyle w:val="EndnoteReference"/>
        </w:rPr>
        <w:endnoteReference w:id="16"/>
      </w:r>
      <w:r w:rsidRPr="002A63F9">
        <w:t xml:space="preserve"> </w:t>
      </w:r>
      <w:r w:rsidRPr="002A63F9" w:rsidR="000A40FC">
        <w:t xml:space="preserve">Under Article 24, upon ratification, </w:t>
      </w:r>
      <w:r w:rsidRPr="002A63F9" w:rsidR="00111CCA">
        <w:t>S</w:t>
      </w:r>
      <w:r w:rsidRPr="002A63F9" w:rsidR="000A40FC">
        <w:t xml:space="preserve">tates </w:t>
      </w:r>
      <w:r w:rsidRPr="002A63F9" w:rsidR="00111CCA">
        <w:t>P</w:t>
      </w:r>
      <w:r w:rsidRPr="002A63F9" w:rsidR="000A40FC">
        <w:t xml:space="preserve">arties are permitted to make a declaration postponing the implementation of their obligations for a maximum of three years. When Australia ratified OPCAT on 21 December 2017, it also made a declaration invoking </w:t>
      </w:r>
      <w:r w:rsidRPr="002A63F9" w:rsidR="00111CCA">
        <w:t>A</w:t>
      </w:r>
      <w:r w:rsidRPr="002A63F9" w:rsidR="000A40FC">
        <w:t>rticle 24 in relation to its obligations to establish an NPM.</w:t>
      </w:r>
      <w:r w:rsidRPr="002A63F9">
        <w:t xml:space="preserve"> </w:t>
      </w:r>
      <w:r w:rsidRPr="002A63F9" w:rsidR="00485D48">
        <w:t>The government has recently indicated that it expects the NPM network</w:t>
      </w:r>
      <w:r w:rsidRPr="002A63F9" w:rsidR="00111CCA">
        <w:t xml:space="preserve"> to</w:t>
      </w:r>
      <w:r w:rsidRPr="002A63F9" w:rsidR="00485D48">
        <w:t xml:space="preserve"> be established from January 2022.</w:t>
      </w:r>
      <w:r w:rsidRPr="002A63F9" w:rsidR="00D70CFF">
        <w:rPr>
          <w:rStyle w:val="EndnoteReference"/>
        </w:rPr>
        <w:endnoteReference w:id="17"/>
      </w:r>
    </w:p>
    <w:p w:rsidRPr="002A63F9" w:rsidR="005E4826" w:rsidP="001253FD" w:rsidRDefault="005E4826" w14:paraId="40F97D99" w14:textId="5DE2643F">
      <w:pPr>
        <w:pStyle w:val="ListNumber"/>
      </w:pPr>
      <w:r w:rsidRPr="002A63F9">
        <w:t xml:space="preserve">OPCAT, </w:t>
      </w:r>
      <w:r w:rsidRPr="002A63F9" w:rsidR="006E068C">
        <w:t xml:space="preserve">if </w:t>
      </w:r>
      <w:r w:rsidRPr="002A63F9">
        <w:t>implemented</w:t>
      </w:r>
      <w:r w:rsidRPr="002A63F9" w:rsidR="00C45578">
        <w:t xml:space="preserve"> effectively</w:t>
      </w:r>
      <w:r w:rsidRPr="002A63F9">
        <w:t xml:space="preserve">, has the potential to identify </w:t>
      </w:r>
      <w:r w:rsidRPr="002A63F9" w:rsidR="00485D48">
        <w:t xml:space="preserve">and prevent </w:t>
      </w:r>
      <w:r w:rsidRPr="002A63F9">
        <w:t>mistreatment amount</w:t>
      </w:r>
      <w:r w:rsidRPr="002A63F9" w:rsidR="00111CCA">
        <w:t>ing</w:t>
      </w:r>
      <w:r w:rsidRPr="002A63F9">
        <w:t xml:space="preserve"> to torture, cruel, inhuman or degrading treatment</w:t>
      </w:r>
      <w:r w:rsidRPr="002A63F9" w:rsidR="00111CCA">
        <w:t xml:space="preserve"> that is</w:t>
      </w:r>
      <w:r w:rsidRPr="002A63F9">
        <w:t xml:space="preserve"> experienced by people with disability in places of detention.</w:t>
      </w:r>
      <w:r w:rsidRPr="002A63F9" w:rsidR="006E068C">
        <w:rPr>
          <w:rStyle w:val="EndnoteReference"/>
        </w:rPr>
        <w:endnoteReference w:id="18"/>
      </w:r>
      <w:r w:rsidRPr="002A63F9">
        <w:t xml:space="preserve"> </w:t>
      </w:r>
    </w:p>
    <w:p w:rsidRPr="002A63F9" w:rsidR="00211AF0" w:rsidP="00861DD9" w:rsidRDefault="00211AF0" w14:paraId="6900D38C" w14:textId="40486936">
      <w:pPr>
        <w:pStyle w:val="Heading2"/>
        <w:spacing w:line="276" w:lineRule="auto"/>
        <w:rPr>
          <w:b w:val="0"/>
          <w:bCs/>
        </w:rPr>
      </w:pPr>
      <w:bookmarkStart w:name="_Toc35535479" w:id="16"/>
      <w:r w:rsidRPr="002A63F9">
        <w:t>Standard Minimum Rules for the Treatment of Prisoners</w:t>
      </w:r>
      <w:bookmarkEnd w:id="16"/>
    </w:p>
    <w:p w:rsidRPr="002A63F9" w:rsidR="00211AF0" w:rsidP="00D5779A" w:rsidRDefault="00211AF0" w14:paraId="5BBDEBFF" w14:textId="0480AE51">
      <w:pPr>
        <w:pStyle w:val="ListNumber"/>
      </w:pPr>
      <w:r w:rsidRPr="002A63F9">
        <w:t>The Standard Minimum Rules for the Treatment of Prisoners, also known as the ‘Nelson Mandela Rules’, set a base level requirement for the treatment of all prisoners.</w:t>
      </w:r>
      <w:r w:rsidRPr="002A63F9" w:rsidR="003A0024">
        <w:rPr>
          <w:rStyle w:val="EndnoteReference"/>
        </w:rPr>
        <w:endnoteReference w:id="19"/>
      </w:r>
      <w:r w:rsidRPr="002A63F9">
        <w:t xml:space="preserve"> First </w:t>
      </w:r>
      <w:r w:rsidRPr="002A63F9">
        <w:lastRenderedPageBreak/>
        <w:t>adopted in 1955 and revised in 2015, the Nelson Mandela Rules cover not only the treatment of prisoners once imprisoned, but also the sentencing process.</w:t>
      </w:r>
    </w:p>
    <w:p w:rsidRPr="002A63F9" w:rsidR="00211AF0" w:rsidP="00D5779A" w:rsidRDefault="00211AF0" w14:paraId="570941EA" w14:textId="57AC00E9">
      <w:pPr>
        <w:pStyle w:val="ListNumber"/>
      </w:pPr>
      <w:r w:rsidRPr="002A63F9">
        <w:t>Of particular relevance to people with disability are th</w:t>
      </w:r>
      <w:r w:rsidRPr="002A63F9" w:rsidR="003A0024">
        <w:t>ose</w:t>
      </w:r>
      <w:r w:rsidRPr="002A63F9">
        <w:t xml:space="preserve"> rules concerned with the provision of healthcare</w:t>
      </w:r>
      <w:r w:rsidRPr="002A63F9" w:rsidR="003A0024">
        <w:t xml:space="preserve"> supports in prison</w:t>
      </w:r>
      <w:r w:rsidRPr="002A63F9">
        <w:t>,</w:t>
      </w:r>
      <w:r w:rsidRPr="002A63F9" w:rsidR="003A0024">
        <w:rPr>
          <w:rStyle w:val="EndnoteReference"/>
        </w:rPr>
        <w:endnoteReference w:id="20"/>
      </w:r>
      <w:r w:rsidRPr="002A63F9">
        <w:t xml:space="preserve"> the consideration of disability in the conviction and sentencing process</w:t>
      </w:r>
      <w:r w:rsidRPr="002A63F9" w:rsidR="003A0024">
        <w:t>,</w:t>
      </w:r>
      <w:r w:rsidRPr="002A63F9" w:rsidR="00C150A8">
        <w:rPr>
          <w:rStyle w:val="EndnoteReference"/>
        </w:rPr>
        <w:endnoteReference w:id="21"/>
      </w:r>
      <w:r w:rsidRPr="002A63F9" w:rsidR="003A0024">
        <w:t xml:space="preserve"> and the exacerbation of disability caused by solitary confinement.</w:t>
      </w:r>
      <w:r w:rsidRPr="002A63F9" w:rsidR="00C150A8">
        <w:rPr>
          <w:rStyle w:val="EndnoteReference"/>
        </w:rPr>
        <w:endnoteReference w:id="22"/>
      </w:r>
    </w:p>
    <w:p w:rsidRPr="002A63F9" w:rsidR="00483B59" w:rsidP="00861DD9" w:rsidRDefault="00483B59" w14:paraId="03C19278" w14:textId="77D2B1ED">
      <w:pPr>
        <w:pStyle w:val="Heading2"/>
        <w:spacing w:line="276" w:lineRule="auto"/>
      </w:pPr>
      <w:bookmarkStart w:name="_Toc35535480" w:id="17"/>
      <w:r w:rsidRPr="002A63F9">
        <w:t>Other international human rights instruments</w:t>
      </w:r>
      <w:bookmarkEnd w:id="17"/>
    </w:p>
    <w:p w:rsidRPr="002A63F9" w:rsidR="00483B59" w:rsidP="00C43480" w:rsidRDefault="00483B59" w14:paraId="17DA7BE2" w14:textId="7CABE047">
      <w:pPr>
        <w:pStyle w:val="ListNumber"/>
        <w:spacing w:before="120" w:after="120"/>
        <w:ind w:hanging="357"/>
      </w:pPr>
      <w:r w:rsidRPr="002A63F9">
        <w:t>Australia has also ratified a range of other international human rights instruments that contain important provisions relevant to people with disability. These include:</w:t>
      </w:r>
    </w:p>
    <w:p w:rsidRPr="002A63F9" w:rsidR="006D06FD" w:rsidP="00C43480" w:rsidRDefault="006D06FD" w14:paraId="6DCA7093" w14:textId="7401B63D">
      <w:pPr>
        <w:pStyle w:val="ListNumber"/>
        <w:numPr>
          <w:ilvl w:val="0"/>
          <w:numId w:val="29"/>
        </w:numPr>
        <w:spacing w:before="120" w:after="120"/>
        <w:ind w:hanging="357"/>
      </w:pPr>
      <w:r w:rsidRPr="002A63F9">
        <w:t>the Convention on the Rights of the Child</w:t>
      </w:r>
      <w:r w:rsidRPr="002A63F9" w:rsidR="00F9041D">
        <w:rPr>
          <w:rStyle w:val="EndnoteReference"/>
        </w:rPr>
        <w:endnoteReference w:id="23"/>
      </w:r>
    </w:p>
    <w:p w:rsidRPr="002A63F9" w:rsidR="006D06FD" w:rsidP="00C43480" w:rsidRDefault="006D06FD" w14:paraId="6C195512" w14:textId="75FA8BDE">
      <w:pPr>
        <w:pStyle w:val="ListNumber"/>
        <w:numPr>
          <w:ilvl w:val="0"/>
          <w:numId w:val="29"/>
        </w:numPr>
        <w:spacing w:before="120" w:after="120"/>
        <w:ind w:hanging="357"/>
      </w:pPr>
      <w:r w:rsidRPr="002A63F9">
        <w:t>the Convention on the Elimination of All Forms of Discrimination Against Women (CEDAW)</w:t>
      </w:r>
      <w:r w:rsidRPr="002A63F9" w:rsidR="00F9041D">
        <w:rPr>
          <w:rStyle w:val="EndnoteReference"/>
        </w:rPr>
        <w:endnoteReference w:id="24"/>
      </w:r>
    </w:p>
    <w:p w:rsidRPr="002A63F9" w:rsidR="00F9041D" w:rsidP="00C43480" w:rsidRDefault="006D06FD" w14:paraId="16A93F1C" w14:textId="54D4AF45">
      <w:pPr>
        <w:pStyle w:val="ListNumber"/>
        <w:numPr>
          <w:ilvl w:val="0"/>
          <w:numId w:val="29"/>
        </w:numPr>
        <w:spacing w:before="120" w:after="120"/>
        <w:ind w:hanging="357"/>
      </w:pPr>
      <w:r w:rsidRPr="002A63F9">
        <w:t>the International Covenant on the Elimination of All Forms of Racial Discrimination.</w:t>
      </w:r>
      <w:r w:rsidRPr="002A63F9" w:rsidR="00F9041D">
        <w:rPr>
          <w:rStyle w:val="EndnoteReference"/>
        </w:rPr>
        <w:endnoteReference w:id="25"/>
      </w:r>
    </w:p>
    <w:p w:rsidRPr="002A63F9" w:rsidR="00F9041D" w:rsidP="00D5779A" w:rsidRDefault="00F9041D" w14:paraId="1980ECA1" w14:textId="6244CD31">
      <w:pPr>
        <w:pStyle w:val="ListNumber"/>
      </w:pPr>
      <w:r w:rsidRPr="002A63F9">
        <w:t>Australia has agreed to be subject to United Nations complaint mechanisms associated with a number of the abovementioned treaties. These complaint mechanisms, which relate to the ICCPR, ICERD, CEDAW, CRPD and CAT</w:t>
      </w:r>
      <w:r w:rsidRPr="002A63F9" w:rsidR="009A539B">
        <w:t>, are distinct from the complaint mechanisms under domestic human rights and anti-discrimination laws.</w:t>
      </w:r>
    </w:p>
    <w:p w:rsidRPr="002A63F9" w:rsidR="009A539B" w:rsidP="00D5779A" w:rsidRDefault="009A539B" w14:paraId="238ADD25" w14:textId="6FCCB863">
      <w:pPr>
        <w:pStyle w:val="ListNumber"/>
      </w:pPr>
      <w:r w:rsidRPr="002A63F9">
        <w:t>In addition to the above, Australia has endorsed the United National Declaration on the Rights of Indigenous Peoples (UNDRIP).</w:t>
      </w:r>
      <w:r w:rsidRPr="002A63F9">
        <w:rPr>
          <w:rStyle w:val="EndnoteReference"/>
        </w:rPr>
        <w:endnoteReference w:id="26"/>
      </w:r>
    </w:p>
    <w:p w:rsidRPr="002A63F9" w:rsidR="009A539B" w:rsidP="00861DD9" w:rsidRDefault="009A539B" w14:paraId="7AFA0D75" w14:textId="5A5EADA3">
      <w:pPr>
        <w:pStyle w:val="Heading2"/>
        <w:spacing w:line="276" w:lineRule="auto"/>
      </w:pPr>
      <w:bookmarkStart w:name="_Toc35535481" w:id="18"/>
      <w:r w:rsidRPr="002A63F9">
        <w:rPr>
          <w:i/>
          <w:iCs/>
        </w:rPr>
        <w:t xml:space="preserve">Disability Discrimination Act 1992 </w:t>
      </w:r>
      <w:r w:rsidRPr="002A63F9">
        <w:t>(Cth)</w:t>
      </w:r>
      <w:bookmarkEnd w:id="18"/>
    </w:p>
    <w:p w:rsidRPr="002A63F9" w:rsidR="009A539B" w:rsidP="00D5779A" w:rsidRDefault="009A539B" w14:paraId="7D383927" w14:textId="15CBB22A">
      <w:pPr>
        <w:pStyle w:val="ListNumber"/>
      </w:pPr>
      <w:r w:rsidRPr="002A63F9">
        <w:t xml:space="preserve">At the domestic level, the </w:t>
      </w:r>
      <w:r w:rsidRPr="002A63F9">
        <w:rPr>
          <w:i/>
          <w:iCs/>
        </w:rPr>
        <w:t xml:space="preserve">Disability Discrimination Act 1992 </w:t>
      </w:r>
      <w:r w:rsidRPr="002A63F9">
        <w:t xml:space="preserve">(Cth) (DDA) works alongside other </w:t>
      </w:r>
      <w:r w:rsidR="00EE1F4F">
        <w:t>laws and policies</w:t>
      </w:r>
      <w:bookmarkStart w:name="_GoBack" w:id="19"/>
      <w:bookmarkEnd w:id="19"/>
      <w:r w:rsidRPr="002A63F9">
        <w:t xml:space="preserve"> to protect the rights of people with disability before the law. </w:t>
      </w:r>
    </w:p>
    <w:p w:rsidRPr="002A63F9" w:rsidR="009A539B" w:rsidP="00D5779A" w:rsidRDefault="009A539B" w14:paraId="5E2CA552" w14:textId="13282501">
      <w:pPr>
        <w:pStyle w:val="ListNumber"/>
      </w:pPr>
      <w:r w:rsidRPr="002A63F9">
        <w:t xml:space="preserve">The DDA makes disability discrimination unlawful and promotes equal rights, equal opportunity and equal access for people with </w:t>
      </w:r>
      <w:r w:rsidRPr="002A63F9" w:rsidR="00D80DA6">
        <w:t>disability, including with respect to criminal justice. The DDA makes clear that people with disability have a right to access justice and be treated equally before the law.</w:t>
      </w:r>
      <w:r w:rsidRPr="002A63F9" w:rsidR="00D80DA6">
        <w:rPr>
          <w:rStyle w:val="EndnoteReference"/>
        </w:rPr>
        <w:endnoteReference w:id="27"/>
      </w:r>
    </w:p>
    <w:p w:rsidRPr="002A63F9" w:rsidR="00D80DA6" w:rsidP="00D5779A" w:rsidRDefault="00D80DA6" w14:paraId="062051BC" w14:textId="4832C04F">
      <w:pPr>
        <w:pStyle w:val="ListNumber"/>
      </w:pPr>
      <w:r w:rsidRPr="002A63F9">
        <w:t>The DDA requires courts, chambers and legal offices to be accessible for people with disability.</w:t>
      </w:r>
      <w:r w:rsidRPr="002A63F9">
        <w:rPr>
          <w:rStyle w:val="EndnoteReference"/>
        </w:rPr>
        <w:endnoteReference w:id="28"/>
      </w:r>
      <w:r w:rsidRPr="002A63F9">
        <w:t xml:space="preserve"> </w:t>
      </w:r>
      <w:r w:rsidRPr="002A63F9" w:rsidR="00047D4E">
        <w:t>It also requires the provision of legal services to be performed without discrimination.</w:t>
      </w:r>
      <w:r w:rsidRPr="002A63F9" w:rsidR="00047D4E">
        <w:rPr>
          <w:rStyle w:val="EndnoteReference"/>
        </w:rPr>
        <w:endnoteReference w:id="29"/>
      </w:r>
      <w:r w:rsidRPr="002A63F9" w:rsidR="00F86CD9">
        <w:t xml:space="preserve"> This may require practitioners and judicial officers to provide relevant </w:t>
      </w:r>
      <w:r w:rsidRPr="002A63F9" w:rsidR="00F86CD9">
        <w:lastRenderedPageBreak/>
        <w:t xml:space="preserve">documents in appropriate formats, ensure </w:t>
      </w:r>
      <w:r w:rsidRPr="002A63F9" w:rsidR="00656DF7">
        <w:t xml:space="preserve">that </w:t>
      </w:r>
      <w:r w:rsidRPr="002A63F9" w:rsidR="00F86CD9">
        <w:t xml:space="preserve">necessary interpreters and support staff are available, and </w:t>
      </w:r>
      <w:r w:rsidRPr="002A63F9" w:rsidR="00B73E8E">
        <w:t>offe</w:t>
      </w:r>
      <w:r w:rsidRPr="002A63F9" w:rsidR="009A3A1B">
        <w:t>r</w:t>
      </w:r>
      <w:r w:rsidRPr="002A63F9" w:rsidR="00B73E8E">
        <w:t xml:space="preserve"> more flexible scheduling to accommodate a person with disability. The DDA also prohibits harassment on the basis of a </w:t>
      </w:r>
      <w:r w:rsidRPr="002A63F9" w:rsidR="007F1B9F">
        <w:t>person’s</w:t>
      </w:r>
      <w:r w:rsidRPr="002A63F9" w:rsidR="00B73E8E">
        <w:t xml:space="preserve"> disability in the course of the provision of legal services.</w:t>
      </w:r>
      <w:r w:rsidRPr="002A63F9" w:rsidR="00B73E8E">
        <w:rPr>
          <w:rStyle w:val="EndnoteReference"/>
        </w:rPr>
        <w:endnoteReference w:id="30"/>
      </w:r>
    </w:p>
    <w:p w:rsidRPr="002A63F9" w:rsidR="000E5AEA" w:rsidP="00D5779A" w:rsidRDefault="009A3A1B" w14:paraId="704B8BFE" w14:textId="1889F9B8">
      <w:pPr>
        <w:pStyle w:val="ListNumber"/>
      </w:pPr>
      <w:r w:rsidRPr="002A63F9">
        <w:t>Further, t</w:t>
      </w:r>
      <w:r w:rsidRPr="002A63F9" w:rsidR="000E5AEA">
        <w:t>he DDA prohibits discrimination on the ground of disability in the course of administrating a Commonwealth law.</w:t>
      </w:r>
      <w:r w:rsidRPr="002A63F9" w:rsidR="000E5AEA">
        <w:rPr>
          <w:rStyle w:val="EndnoteReference"/>
        </w:rPr>
        <w:endnoteReference w:id="31"/>
      </w:r>
      <w:r w:rsidRPr="002A63F9" w:rsidR="000E5AEA">
        <w:t xml:space="preserve"> This is of particular application to </w:t>
      </w:r>
      <w:r w:rsidRPr="002A63F9" w:rsidR="0066769C">
        <w:t xml:space="preserve">public officers such as </w:t>
      </w:r>
      <w:r w:rsidRPr="002A63F9" w:rsidR="0005132C">
        <w:t>police,</w:t>
      </w:r>
      <w:r w:rsidRPr="002A63F9" w:rsidR="000E5AEA">
        <w:t xml:space="preserve"> judicial officers, magistrates</w:t>
      </w:r>
      <w:r w:rsidRPr="002A63F9" w:rsidR="0066769C">
        <w:t xml:space="preserve"> and</w:t>
      </w:r>
      <w:r w:rsidRPr="002A63F9" w:rsidR="000E5AEA">
        <w:t xml:space="preserve"> registrars.</w:t>
      </w:r>
    </w:p>
    <w:p w:rsidRPr="002A63F9" w:rsidR="009A3A1B" w:rsidP="00D5779A" w:rsidRDefault="009A3A1B" w14:paraId="4D703923" w14:textId="333CFB46">
      <w:pPr>
        <w:pStyle w:val="ListNumber"/>
      </w:pPr>
      <w:r w:rsidRPr="002A63F9">
        <w:t>Under the DDA, courts, chambers and legal officers may be required to make reasonable adjustments to accommodate a party or client</w:t>
      </w:r>
      <w:r w:rsidRPr="002A63F9" w:rsidR="001C7A46">
        <w:t>,</w:t>
      </w:r>
      <w:r w:rsidRPr="002A63F9">
        <w:rPr>
          <w:rStyle w:val="EndnoteReference"/>
        </w:rPr>
        <w:endnoteReference w:id="32"/>
      </w:r>
      <w:r w:rsidRPr="002A63F9" w:rsidR="001C7A46">
        <w:t xml:space="preserve"> subject to the defence of unjustifiable hardship.</w:t>
      </w:r>
      <w:r w:rsidRPr="002A63F9" w:rsidR="001C7A46">
        <w:rPr>
          <w:rStyle w:val="EndnoteReference"/>
        </w:rPr>
        <w:endnoteReference w:id="33"/>
      </w:r>
      <w:r w:rsidRPr="002A63F9" w:rsidR="00C57EBD">
        <w:t xml:space="preserve"> This may include making structural changes to the built environment (e.g</w:t>
      </w:r>
      <w:r w:rsidRPr="002A63F9" w:rsidR="00AE3816">
        <w:t>.</w:t>
      </w:r>
      <w:r w:rsidR="00AE3816">
        <w:t> </w:t>
      </w:r>
      <w:r w:rsidRPr="002A63F9" w:rsidR="00C57EBD">
        <w:t xml:space="preserve">providing ramps, modifying toilets and ensuring courtrooms and offices are accessible); providing or modifying equipment used for the purposes of giving legal advice or conducting a trial (e.g. providing easy-read documentation, ensuring the presence of an AUSLAN interpreter); or offering more flexible scheduling (e.g. allowing for more frequent breaks in the giving of oral evidence, </w:t>
      </w:r>
      <w:r w:rsidRPr="002A63F9" w:rsidR="00295350">
        <w:t>allowing longer meeting times for briefing and consultation).</w:t>
      </w:r>
    </w:p>
    <w:p w:rsidRPr="002A63F9" w:rsidR="00AC3A7B" w:rsidP="00D5779A" w:rsidRDefault="00AC3A7B" w14:paraId="0C40B25E" w14:textId="6253BE79">
      <w:pPr>
        <w:pStyle w:val="ListNumber"/>
      </w:pPr>
      <w:r w:rsidRPr="002A63F9">
        <w:t xml:space="preserve">The DDA also provides people with the right to make a complaint to the Commission about unlawful discrimination on the ground of disability. Where the complaint cannot be resolved by conciliation, the DDA provides the </w:t>
      </w:r>
      <w:r w:rsidR="00586943">
        <w:t>option</w:t>
      </w:r>
      <w:r w:rsidRPr="002A63F9">
        <w:t xml:space="preserve"> of pursuing the matter in the Federal Court of Australia, where an enforceable remedy may be granted.</w:t>
      </w:r>
      <w:r w:rsidRPr="002A63F9">
        <w:rPr>
          <w:rStyle w:val="EndnoteReference"/>
        </w:rPr>
        <w:endnoteReference w:id="34"/>
      </w:r>
    </w:p>
    <w:p w:rsidRPr="002A63F9" w:rsidR="005A68B1" w:rsidP="00861DD9" w:rsidRDefault="00642E08" w14:paraId="7E8F3464" w14:textId="4964CC47">
      <w:pPr>
        <w:pStyle w:val="Heading2"/>
        <w:spacing w:line="276" w:lineRule="auto"/>
      </w:pPr>
      <w:bookmarkStart w:name="_Toc35535482" w:id="20"/>
      <w:r w:rsidRPr="002A63F9">
        <w:rPr>
          <w:i/>
          <w:iCs/>
        </w:rPr>
        <w:t xml:space="preserve">Australian Human Rights Commission Act 1986 </w:t>
      </w:r>
      <w:r w:rsidRPr="002A63F9">
        <w:t>(Cth)</w:t>
      </w:r>
      <w:bookmarkEnd w:id="20"/>
    </w:p>
    <w:p w:rsidRPr="002A63F9" w:rsidR="00642E08" w:rsidP="00D5779A" w:rsidRDefault="00F21D96" w14:paraId="3AFDA146" w14:textId="34500A06">
      <w:pPr>
        <w:pStyle w:val="ListNumber"/>
      </w:pPr>
      <w:r w:rsidRPr="002A63F9">
        <w:t xml:space="preserve">The </w:t>
      </w:r>
      <w:r w:rsidRPr="002A63F9">
        <w:rPr>
          <w:i/>
          <w:iCs/>
        </w:rPr>
        <w:t xml:space="preserve">Australian Human Rights Commission Act 1986 </w:t>
      </w:r>
      <w:r w:rsidRPr="002A63F9">
        <w:t>(Cth) provides limited rights in relation to specific international instruments, including the CRPD and the ICCPR.</w:t>
      </w:r>
    </w:p>
    <w:p w:rsidRPr="002A63F9" w:rsidR="00F21D96" w:rsidP="00861DD9" w:rsidRDefault="00F21D96" w14:paraId="2688598E" w14:textId="382DC6C1">
      <w:pPr>
        <w:pStyle w:val="Heading2"/>
        <w:spacing w:line="276" w:lineRule="auto"/>
      </w:pPr>
      <w:bookmarkStart w:name="_Toc35535483" w:id="21"/>
      <w:r w:rsidRPr="002A63F9">
        <w:t>National Disability Strategy</w:t>
      </w:r>
      <w:bookmarkEnd w:id="21"/>
    </w:p>
    <w:p w:rsidRPr="002A63F9" w:rsidR="00F21D96" w:rsidP="00D5779A" w:rsidRDefault="00F21D96" w14:paraId="4F2E9D79" w14:textId="210ABF0D">
      <w:pPr>
        <w:pStyle w:val="ListNumber"/>
      </w:pPr>
      <w:r w:rsidRPr="002A63F9">
        <w:t xml:space="preserve">Following Australia’s ratification of the CRPD in 2008, the Commonwealth, state and territory governments developed the </w:t>
      </w:r>
      <w:r w:rsidRPr="002A63F9">
        <w:rPr>
          <w:i/>
          <w:iCs/>
        </w:rPr>
        <w:t>National Disability Strategy</w:t>
      </w:r>
      <w:r w:rsidRPr="002A63F9">
        <w:t xml:space="preserve"> (NDS), a ten-year (2010-2020) national strategic plan to implement the CRPD. The NDS aims to ‘ensure that the principles underpinning the Convention are incorporated into policies and programs affecting people with disability, their families and carers’.</w:t>
      </w:r>
      <w:r w:rsidRPr="002A63F9">
        <w:rPr>
          <w:rStyle w:val="EndnoteReference"/>
        </w:rPr>
        <w:endnoteReference w:id="35"/>
      </w:r>
    </w:p>
    <w:p w:rsidRPr="002A63F9" w:rsidR="00F21D96" w:rsidP="00C43480" w:rsidRDefault="00F21D96" w14:paraId="251ABD85" w14:textId="7D9D59C6">
      <w:pPr>
        <w:pStyle w:val="ListNumber"/>
        <w:spacing w:before="120" w:after="120"/>
        <w:ind w:hanging="357"/>
      </w:pPr>
      <w:r w:rsidRPr="002A63F9">
        <w:t xml:space="preserve">The NDS was launched in 2011 and has six foundational elements or policy areas: </w:t>
      </w:r>
    </w:p>
    <w:p w:rsidRPr="002A63F9" w:rsidR="00F21D96" w:rsidP="00C43480" w:rsidRDefault="00F21D96" w14:paraId="0DE55223" w14:textId="77777777">
      <w:pPr>
        <w:pStyle w:val="ListParagraph"/>
        <w:numPr>
          <w:ilvl w:val="0"/>
          <w:numId w:val="18"/>
        </w:numPr>
        <w:pBdr>
          <w:top w:val="nil"/>
          <w:left w:val="nil"/>
          <w:bottom w:val="nil"/>
          <w:right w:val="nil"/>
          <w:between w:val="nil"/>
          <w:bar w:val="nil"/>
        </w:pBdr>
        <w:spacing w:before="120" w:after="120" w:line="276" w:lineRule="auto"/>
        <w:ind w:left="1080" w:hanging="357"/>
        <w:rPr>
          <w:rFonts w:eastAsia="Open Sans" w:cs="Open Sans"/>
        </w:rPr>
      </w:pPr>
      <w:r w:rsidRPr="002A63F9">
        <w:rPr>
          <w:rFonts w:eastAsia="Open Sans" w:cs="Open Sans"/>
          <w:b/>
        </w:rPr>
        <w:lastRenderedPageBreak/>
        <w:t xml:space="preserve">Inclusive and accessible communities: </w:t>
      </w:r>
      <w:r w:rsidRPr="002A63F9">
        <w:rPr>
          <w:rFonts w:eastAsia="Open Sans" w:cs="Open Sans"/>
        </w:rPr>
        <w:t>the physical environment including public transport; parks, buildings and housing; digital information and communications technologies; civic life including social, sporting, recreational and cultural life</w:t>
      </w:r>
    </w:p>
    <w:p w:rsidRPr="002A63F9" w:rsidR="00F21D96" w:rsidP="00C43480" w:rsidRDefault="00F21D96" w14:paraId="318CD2BF" w14:textId="77777777">
      <w:pPr>
        <w:pStyle w:val="ListParagraph"/>
        <w:numPr>
          <w:ilvl w:val="0"/>
          <w:numId w:val="18"/>
        </w:numPr>
        <w:pBdr>
          <w:top w:val="nil"/>
          <w:left w:val="nil"/>
          <w:bottom w:val="nil"/>
          <w:right w:val="nil"/>
          <w:between w:val="nil"/>
          <w:bar w:val="nil"/>
        </w:pBdr>
        <w:spacing w:before="120" w:after="120" w:line="276" w:lineRule="auto"/>
        <w:ind w:left="1080" w:hanging="357"/>
        <w:rPr>
          <w:rFonts w:eastAsia="Open Sans" w:cs="Open Sans"/>
        </w:rPr>
      </w:pPr>
      <w:r w:rsidRPr="002A63F9">
        <w:rPr>
          <w:rFonts w:eastAsia="Open Sans" w:cs="Open Sans"/>
          <w:b/>
        </w:rPr>
        <w:t xml:space="preserve">Rights protection, justice and legislation: </w:t>
      </w:r>
      <w:r w:rsidRPr="002A63F9">
        <w:rPr>
          <w:rFonts w:eastAsia="Open Sans" w:cs="Open Sans"/>
        </w:rPr>
        <w:t>statutory protections such as anti-discrimination measures, complaints mechanisms, advocacy, the electoral and justice systems</w:t>
      </w:r>
    </w:p>
    <w:p w:rsidRPr="002A63F9" w:rsidR="00F21D96" w:rsidP="00C43480" w:rsidRDefault="00F21D96" w14:paraId="027DAE8D" w14:textId="77777777">
      <w:pPr>
        <w:pStyle w:val="ListParagraph"/>
        <w:numPr>
          <w:ilvl w:val="0"/>
          <w:numId w:val="18"/>
        </w:numPr>
        <w:pBdr>
          <w:top w:val="nil"/>
          <w:left w:val="nil"/>
          <w:bottom w:val="nil"/>
          <w:right w:val="nil"/>
          <w:between w:val="nil"/>
          <w:bar w:val="nil"/>
        </w:pBdr>
        <w:spacing w:before="120" w:after="120" w:line="276" w:lineRule="auto"/>
        <w:ind w:left="1080" w:hanging="357"/>
        <w:rPr>
          <w:rFonts w:eastAsia="Open Sans" w:cs="Open Sans"/>
        </w:rPr>
      </w:pPr>
      <w:r w:rsidRPr="002A63F9">
        <w:rPr>
          <w:rFonts w:eastAsia="Open Sans" w:cs="Open Sans"/>
          <w:b/>
        </w:rPr>
        <w:t xml:space="preserve">Economic security: </w:t>
      </w:r>
      <w:r w:rsidRPr="002A63F9">
        <w:rPr>
          <w:rFonts w:eastAsia="Open Sans" w:cs="Open Sans"/>
        </w:rPr>
        <w:t>jobs, business opportunities, financial independence, adequate income support for those not able to work, and housing</w:t>
      </w:r>
    </w:p>
    <w:p w:rsidRPr="002A63F9" w:rsidR="00F21D96" w:rsidP="00C43480" w:rsidRDefault="00F21D96" w14:paraId="2A9DFD70" w14:textId="77777777">
      <w:pPr>
        <w:pStyle w:val="ListParagraph"/>
        <w:numPr>
          <w:ilvl w:val="0"/>
          <w:numId w:val="18"/>
        </w:numPr>
        <w:pBdr>
          <w:top w:val="nil"/>
          <w:left w:val="nil"/>
          <w:bottom w:val="nil"/>
          <w:right w:val="nil"/>
          <w:between w:val="nil"/>
          <w:bar w:val="nil"/>
        </w:pBdr>
        <w:spacing w:before="120" w:after="120" w:line="276" w:lineRule="auto"/>
        <w:ind w:left="1080" w:hanging="357"/>
        <w:rPr>
          <w:rFonts w:eastAsia="Open Sans" w:cs="Open Sans"/>
        </w:rPr>
      </w:pPr>
      <w:r w:rsidRPr="002A63F9">
        <w:rPr>
          <w:rFonts w:eastAsia="Open Sans" w:cs="Open Sans"/>
          <w:b/>
        </w:rPr>
        <w:t xml:space="preserve">Personal and community support: </w:t>
      </w:r>
      <w:r w:rsidRPr="002A63F9">
        <w:rPr>
          <w:rFonts w:eastAsia="Open Sans" w:cs="Open Sans"/>
        </w:rPr>
        <w:t>inclusion and participation in the community, person-centred care and support provided by specialist disability services and mainstream services; informal care and support</w:t>
      </w:r>
    </w:p>
    <w:p w:rsidRPr="002A63F9" w:rsidR="00F21D96" w:rsidP="00C43480" w:rsidRDefault="00F21D96" w14:paraId="0A107D99" w14:textId="77777777">
      <w:pPr>
        <w:pStyle w:val="ListParagraph"/>
        <w:numPr>
          <w:ilvl w:val="0"/>
          <w:numId w:val="18"/>
        </w:numPr>
        <w:pBdr>
          <w:top w:val="nil"/>
          <w:left w:val="nil"/>
          <w:bottom w:val="nil"/>
          <w:right w:val="nil"/>
          <w:between w:val="nil"/>
          <w:bar w:val="nil"/>
        </w:pBdr>
        <w:spacing w:before="120" w:after="120" w:line="276" w:lineRule="auto"/>
        <w:ind w:left="1080" w:hanging="357"/>
        <w:rPr>
          <w:rFonts w:eastAsia="Open Sans" w:cs="Open Sans"/>
        </w:rPr>
      </w:pPr>
      <w:r w:rsidRPr="002A63F9">
        <w:rPr>
          <w:rFonts w:eastAsia="Open Sans" w:cs="Open Sans"/>
          <w:b/>
        </w:rPr>
        <w:t xml:space="preserve">Learning and skills: </w:t>
      </w:r>
      <w:r w:rsidRPr="002A63F9">
        <w:rPr>
          <w:rFonts w:eastAsia="Open Sans" w:cs="Open Sans"/>
        </w:rPr>
        <w:t>early childhood education and care, schools, further education, vocational education; transitions from education to employment; life-long learning</w:t>
      </w:r>
    </w:p>
    <w:p w:rsidRPr="002A63F9" w:rsidR="00F21D96" w:rsidP="00C43480" w:rsidRDefault="00F21D96" w14:paraId="35AEFAC6" w14:textId="2969E4AF">
      <w:pPr>
        <w:pStyle w:val="ListParagraph"/>
        <w:numPr>
          <w:ilvl w:val="0"/>
          <w:numId w:val="18"/>
        </w:numPr>
        <w:pBdr>
          <w:top w:val="nil"/>
          <w:left w:val="nil"/>
          <w:bottom w:val="nil"/>
          <w:right w:val="nil"/>
          <w:between w:val="nil"/>
          <w:bar w:val="nil"/>
        </w:pBdr>
        <w:spacing w:before="120" w:after="120" w:line="276" w:lineRule="auto"/>
        <w:ind w:left="1080" w:hanging="357"/>
        <w:rPr>
          <w:rFonts w:eastAsia="Open Sans" w:cs="Open Sans"/>
        </w:rPr>
      </w:pPr>
      <w:r w:rsidRPr="002A63F9">
        <w:rPr>
          <w:rFonts w:eastAsia="Open Sans" w:cs="Open Sans"/>
          <w:b/>
        </w:rPr>
        <w:t xml:space="preserve">Health and wellbeing: </w:t>
      </w:r>
      <w:r w:rsidRPr="002A63F9">
        <w:rPr>
          <w:rFonts w:eastAsia="Open Sans" w:cs="Open Sans"/>
        </w:rPr>
        <w:t>health services, health promotion and the interaction between health and disability systems; wellbeing and enjoyment of life.</w:t>
      </w:r>
      <w:r w:rsidR="00DE0920">
        <w:rPr>
          <w:rStyle w:val="EndnoteReference"/>
          <w:rFonts w:eastAsia="Open Sans" w:cs="Open Sans"/>
        </w:rPr>
        <w:endnoteReference w:id="36"/>
      </w:r>
    </w:p>
    <w:p w:rsidRPr="002A63F9" w:rsidR="005D10D4" w:rsidP="00D5779A" w:rsidRDefault="00F21D96" w14:paraId="2658E208" w14:textId="45808E49">
      <w:pPr>
        <w:pStyle w:val="ListNumber"/>
      </w:pPr>
      <w:r w:rsidRPr="002A63F9">
        <w:t xml:space="preserve">Regarding the </w:t>
      </w:r>
      <w:r w:rsidRPr="002A63F9" w:rsidR="005D10D4">
        <w:t>second policy area of the NDS listed above, ‘rights protection, justice and legislation’, the desired outcome has been identified as:</w:t>
      </w:r>
      <w:r w:rsidRPr="002A63F9" w:rsidR="005D6CA7">
        <w:t xml:space="preserve"> ‘</w:t>
      </w:r>
      <w:r w:rsidRPr="002A63F9" w:rsidR="005D10D4">
        <w:t>People with disability have their rights promoted, upheld and protected</w:t>
      </w:r>
      <w:r w:rsidR="00AE3816">
        <w:t>’</w:t>
      </w:r>
      <w:r w:rsidRPr="002A63F9" w:rsidR="005D10D4">
        <w:t>.</w:t>
      </w:r>
      <w:r w:rsidRPr="002A63F9" w:rsidR="005D10D4">
        <w:rPr>
          <w:rStyle w:val="EndnoteReference"/>
        </w:rPr>
        <w:endnoteReference w:id="37"/>
      </w:r>
    </w:p>
    <w:p w:rsidRPr="002A63F9" w:rsidR="005D10D4" w:rsidP="00D5779A" w:rsidRDefault="005D10D4" w14:paraId="03FAA3AF" w14:textId="507D538A">
      <w:pPr>
        <w:pStyle w:val="ListNumber"/>
      </w:pPr>
      <w:r w:rsidRPr="002A63F9">
        <w:t xml:space="preserve">The Commission notes that a comprehensive review of the NDS </w:t>
      </w:r>
      <w:r w:rsidRPr="002A63F9" w:rsidR="00EC2F54">
        <w:t xml:space="preserve">is currently being </w:t>
      </w:r>
      <w:r w:rsidRPr="002A63F9">
        <w:t xml:space="preserve">undertaken </w:t>
      </w:r>
      <w:r w:rsidRPr="002A63F9" w:rsidR="00EC2F54">
        <w:t xml:space="preserve">and a new </w:t>
      </w:r>
      <w:r w:rsidRPr="002A63F9" w:rsidR="0002286B">
        <w:t xml:space="preserve">disability framework </w:t>
      </w:r>
      <w:r w:rsidRPr="002A63F9" w:rsidR="00EC2F54">
        <w:t xml:space="preserve">is </w:t>
      </w:r>
      <w:r w:rsidRPr="002A63F9" w:rsidR="0002286B">
        <w:t>being developed for beyond</w:t>
      </w:r>
      <w:r w:rsidRPr="002A63F9" w:rsidR="00EC2F54">
        <w:t xml:space="preserve"> 2020</w:t>
      </w:r>
      <w:r w:rsidRPr="002A63F9">
        <w:t>.</w:t>
      </w:r>
    </w:p>
    <w:p w:rsidRPr="002A63F9" w:rsidR="00F50B89" w:rsidP="00D5779A" w:rsidRDefault="00F50B89" w14:paraId="5F7FA668" w14:textId="142A13D1">
      <w:pPr>
        <w:pStyle w:val="ListNumber"/>
        <w:rPr>
          <w:b/>
          <w:bCs/>
        </w:rPr>
      </w:pPr>
      <w:r w:rsidRPr="002A63F9">
        <w:rPr>
          <w:b/>
          <w:bCs/>
        </w:rPr>
        <w:t xml:space="preserve">Recommendation 1: The Royal Commission closely consider the CRPD, </w:t>
      </w:r>
      <w:r w:rsidRPr="002A63F9" w:rsidR="003C60D8">
        <w:rPr>
          <w:b/>
          <w:bCs/>
        </w:rPr>
        <w:t xml:space="preserve">ICCPR and other relevant </w:t>
      </w:r>
      <w:r w:rsidR="004706C9">
        <w:rPr>
          <w:b/>
          <w:bCs/>
        </w:rPr>
        <w:t xml:space="preserve">international </w:t>
      </w:r>
      <w:r w:rsidRPr="002A63F9" w:rsidR="003C60D8">
        <w:rPr>
          <w:b/>
          <w:bCs/>
        </w:rPr>
        <w:t>human rights instruments and ensure</w:t>
      </w:r>
      <w:r w:rsidRPr="002A63F9" w:rsidR="000D74B7">
        <w:rPr>
          <w:b/>
          <w:bCs/>
        </w:rPr>
        <w:t xml:space="preserve"> that</w:t>
      </w:r>
      <w:r w:rsidRPr="002A63F9" w:rsidR="003C60D8">
        <w:rPr>
          <w:b/>
          <w:bCs/>
        </w:rPr>
        <w:t xml:space="preserve"> its recommendations regarding </w:t>
      </w:r>
      <w:r w:rsidRPr="002A63F9" w:rsidR="00B936FD">
        <w:rPr>
          <w:b/>
          <w:bCs/>
        </w:rPr>
        <w:t>the criminal justice system</w:t>
      </w:r>
      <w:r w:rsidRPr="002A63F9" w:rsidR="003C60D8">
        <w:rPr>
          <w:b/>
          <w:bCs/>
        </w:rPr>
        <w:t xml:space="preserve"> align with the Australian Government’s obligations under those instruments.</w:t>
      </w:r>
    </w:p>
    <w:p w:rsidRPr="002A63F9" w:rsidR="003C60D8" w:rsidP="00D5779A" w:rsidRDefault="003C60D8" w14:paraId="241108D5" w14:textId="72509400">
      <w:pPr>
        <w:pStyle w:val="ListNumber"/>
        <w:rPr>
          <w:b/>
          <w:bCs/>
        </w:rPr>
      </w:pPr>
      <w:r w:rsidRPr="002A63F9">
        <w:rPr>
          <w:b/>
          <w:bCs/>
        </w:rPr>
        <w:t xml:space="preserve">Recommendation 2: The Royal Commission identify key issues and appropriate recommendations to be addressed in the </w:t>
      </w:r>
      <w:r w:rsidRPr="002A63F9" w:rsidR="008B77B7">
        <w:rPr>
          <w:b/>
          <w:bCs/>
        </w:rPr>
        <w:t xml:space="preserve">implementation </w:t>
      </w:r>
      <w:r w:rsidRPr="002A63F9">
        <w:rPr>
          <w:b/>
          <w:bCs/>
        </w:rPr>
        <w:t xml:space="preserve">of the </w:t>
      </w:r>
      <w:r w:rsidRPr="002A63F9" w:rsidR="008B77B7">
        <w:rPr>
          <w:b/>
          <w:bCs/>
        </w:rPr>
        <w:t xml:space="preserve">new </w:t>
      </w:r>
      <w:r w:rsidRPr="002A63F9">
        <w:rPr>
          <w:b/>
          <w:bCs/>
        </w:rPr>
        <w:t xml:space="preserve">National Disability Strategy </w:t>
      </w:r>
      <w:r w:rsidRPr="002A63F9" w:rsidR="008B77B7">
        <w:rPr>
          <w:b/>
          <w:bCs/>
        </w:rPr>
        <w:t xml:space="preserve">for beyond 2020 </w:t>
      </w:r>
      <w:r w:rsidRPr="002A63F9">
        <w:rPr>
          <w:b/>
          <w:bCs/>
        </w:rPr>
        <w:t>to assist the Australian Government to implement its obligations under international human rights law.</w:t>
      </w:r>
    </w:p>
    <w:p w:rsidRPr="002A63F9" w:rsidR="002C7317" w:rsidP="00861DD9" w:rsidRDefault="002C7317" w14:paraId="3B9D0F9F" w14:textId="0B0C0304">
      <w:pPr>
        <w:pStyle w:val="Heading1"/>
        <w:spacing w:line="276" w:lineRule="auto"/>
      </w:pPr>
      <w:bookmarkStart w:name="_Toc35535484" w:id="22"/>
      <w:r w:rsidRPr="002A63F9">
        <w:lastRenderedPageBreak/>
        <w:t xml:space="preserve">Australia’s obligations </w:t>
      </w:r>
      <w:r w:rsidRPr="002A63F9" w:rsidR="009C1E34">
        <w:t>under Articles 12, 1</w:t>
      </w:r>
      <w:r w:rsidRPr="002A63F9" w:rsidR="000F10BB">
        <w:t>3</w:t>
      </w:r>
      <w:r w:rsidRPr="002A63F9" w:rsidR="009C1E34">
        <w:t xml:space="preserve"> and 14 of the CRPD</w:t>
      </w:r>
      <w:bookmarkEnd w:id="22"/>
    </w:p>
    <w:p w:rsidRPr="002A63F9" w:rsidR="002C7317" w:rsidP="00D5779A" w:rsidRDefault="002C7317" w14:paraId="323774B8" w14:textId="1FE40178">
      <w:pPr>
        <w:pStyle w:val="ListNumber"/>
      </w:pPr>
      <w:r w:rsidRPr="002A63F9">
        <w:t xml:space="preserve">This section discusses Australia’s </w:t>
      </w:r>
      <w:r w:rsidRPr="002A63F9" w:rsidR="00F65E38">
        <w:t xml:space="preserve">CRPD </w:t>
      </w:r>
      <w:r w:rsidRPr="002A63F9">
        <w:t>obligations to ensure equal</w:t>
      </w:r>
      <w:r w:rsidRPr="002A63F9" w:rsidR="00F65E38">
        <w:t xml:space="preserve"> recognition</w:t>
      </w:r>
      <w:r w:rsidRPr="002A63F9">
        <w:t xml:space="preserve"> before the law</w:t>
      </w:r>
      <w:r w:rsidRPr="002A63F9" w:rsidR="005F6666">
        <w:t xml:space="preserve"> </w:t>
      </w:r>
      <w:r w:rsidRPr="002A63F9" w:rsidR="00F65E38">
        <w:t xml:space="preserve">(Article 12), </w:t>
      </w:r>
      <w:r w:rsidRPr="002A63F9" w:rsidR="00B936FD">
        <w:t xml:space="preserve">access to justice </w:t>
      </w:r>
      <w:r w:rsidRPr="002A63F9" w:rsidR="00F65E38">
        <w:t xml:space="preserve">(Article 13) and liberty and security of person (Article 14) </w:t>
      </w:r>
      <w:r w:rsidRPr="002A63F9" w:rsidR="00B936FD">
        <w:t>for people with disability</w:t>
      </w:r>
      <w:r w:rsidRPr="002A63F9" w:rsidR="00F65E38">
        <w:t xml:space="preserve"> who interact with</w:t>
      </w:r>
      <w:r w:rsidRPr="002A63F9" w:rsidR="00B936FD">
        <w:t xml:space="preserve"> </w:t>
      </w:r>
      <w:r w:rsidRPr="002A63F9" w:rsidR="005F6666">
        <w:t xml:space="preserve">the criminal justice system. This helps to identify not only what is </w:t>
      </w:r>
      <w:r w:rsidRPr="002A63F9" w:rsidR="00586A84">
        <w:t xml:space="preserve">required </w:t>
      </w:r>
      <w:r w:rsidRPr="002A63F9" w:rsidR="005F6666">
        <w:t xml:space="preserve">of Australia </w:t>
      </w:r>
      <w:r w:rsidRPr="002A63F9" w:rsidR="00586A84">
        <w:t xml:space="preserve">under international law, </w:t>
      </w:r>
      <w:r w:rsidRPr="002A63F9" w:rsidR="005F6666">
        <w:t xml:space="preserve">but also what strategies could be adopted to fulfil these obligations. </w:t>
      </w:r>
    </w:p>
    <w:p w:rsidRPr="002A63F9" w:rsidR="005F6666" w:rsidP="00861DD9" w:rsidRDefault="004B6CA1" w14:paraId="14448130" w14:textId="4E3FECEA">
      <w:pPr>
        <w:pStyle w:val="Heading2"/>
        <w:spacing w:line="276" w:lineRule="auto"/>
      </w:pPr>
      <w:bookmarkStart w:name="_Toc35535485" w:id="23"/>
      <w:r w:rsidRPr="002A63F9">
        <w:t>E</w:t>
      </w:r>
      <w:r w:rsidRPr="002A63F9" w:rsidR="005F6666">
        <w:t>qual</w:t>
      </w:r>
      <w:r w:rsidRPr="002A63F9" w:rsidR="007C286A">
        <w:t xml:space="preserve"> recognition</w:t>
      </w:r>
      <w:r w:rsidRPr="002A63F9" w:rsidR="005F6666">
        <w:t xml:space="preserve"> before the law</w:t>
      </w:r>
      <w:bookmarkEnd w:id="23"/>
    </w:p>
    <w:p w:rsidRPr="002A63F9" w:rsidR="008B377B" w:rsidP="00D5779A" w:rsidRDefault="005F6666" w14:paraId="21DE0D4C" w14:textId="06A2FB20">
      <w:pPr>
        <w:pStyle w:val="ListNumber"/>
      </w:pPr>
      <w:r w:rsidRPr="002A63F9">
        <w:t>Article 12 of the CRPD recognises that people with disabilit</w:t>
      </w:r>
      <w:r w:rsidRPr="002A63F9" w:rsidR="00AE48D9">
        <w:t>y</w:t>
      </w:r>
      <w:r w:rsidRPr="002A63F9">
        <w:t xml:space="preserve"> enjoy</w:t>
      </w:r>
      <w:r w:rsidRPr="002A63F9" w:rsidR="00110C9F">
        <w:t xml:space="preserve"> the same</w:t>
      </w:r>
      <w:r w:rsidRPr="002A63F9">
        <w:t xml:space="preserve"> legal capacity </w:t>
      </w:r>
      <w:r w:rsidRPr="002A63F9" w:rsidR="00110C9F">
        <w:t>and agency as people without disability, and that State</w:t>
      </w:r>
      <w:r w:rsidRPr="002A63F9" w:rsidR="0061193A">
        <w:t>s</w:t>
      </w:r>
      <w:r w:rsidRPr="002A63F9" w:rsidR="00110C9F">
        <w:t xml:space="preserve"> Parties must provide all necessary support to ensure people with disability can exercise that capacity. As such, Australia is obliged to provide appropriate and effective systems by which people with disability are supported </w:t>
      </w:r>
      <w:r w:rsidR="004B6018">
        <w:t>to</w:t>
      </w:r>
      <w:r w:rsidRPr="002A63F9" w:rsidR="00110C9F">
        <w:t xml:space="preserve"> exercis</w:t>
      </w:r>
      <w:r w:rsidR="004B6018">
        <w:t>e</w:t>
      </w:r>
      <w:r w:rsidRPr="002A63F9" w:rsidR="00110C9F">
        <w:t xml:space="preserve"> their legal capacity. These systems must be accompanied by safeguards to ensure that the rights, will and preferences of </w:t>
      </w:r>
      <w:r w:rsidRPr="002A63F9" w:rsidR="004A2092">
        <w:t xml:space="preserve">people with disability </w:t>
      </w:r>
      <w:r w:rsidRPr="002A63F9" w:rsidR="00110C9F">
        <w:t xml:space="preserve">are carried out accurately, efficiently and respectfully. </w:t>
      </w:r>
    </w:p>
    <w:p w:rsidRPr="002A63F9" w:rsidR="0077365F" w:rsidP="00C43480" w:rsidRDefault="0077365F" w14:paraId="752457D2" w14:textId="0B6F4A50">
      <w:pPr>
        <w:pStyle w:val="ListNumber"/>
        <w:spacing w:before="120" w:after="120"/>
        <w:ind w:hanging="357"/>
      </w:pPr>
      <w:r w:rsidRPr="002A63F9">
        <w:t xml:space="preserve">Equality before the law is a basic requirement for the exercise of many other human rights. The United Nations Committee </w:t>
      </w:r>
      <w:bookmarkStart w:name="_Hlk34130601" w:id="24"/>
      <w:r w:rsidRPr="002A63F9">
        <w:t>on the Rights of Persons with Disabilities</w:t>
      </w:r>
      <w:bookmarkEnd w:id="24"/>
      <w:r w:rsidRPr="002A63F9">
        <w:t xml:space="preserve"> (CRPD Committee)</w:t>
      </w:r>
      <w:r w:rsidRPr="002A63F9" w:rsidR="00912FD5">
        <w:t xml:space="preserve"> stated</w:t>
      </w:r>
      <w:r w:rsidRPr="002A63F9" w:rsidR="003E6A3A">
        <w:t xml:space="preserve"> in its </w:t>
      </w:r>
      <w:r w:rsidRPr="002A63F9" w:rsidR="003E6A3A">
        <w:rPr>
          <w:i/>
          <w:iCs/>
        </w:rPr>
        <w:t xml:space="preserve">General Comment </w:t>
      </w:r>
      <w:r w:rsidRPr="002A63F9" w:rsidR="00AA4FE5">
        <w:rPr>
          <w:i/>
          <w:iCs/>
        </w:rPr>
        <w:t>No 1 (2014) on Equal Recognition before the Law</w:t>
      </w:r>
      <w:r w:rsidRPr="002A63F9">
        <w:t xml:space="preserve"> that equality before the law is:</w:t>
      </w:r>
    </w:p>
    <w:p w:rsidRPr="002A63F9" w:rsidR="0077365F" w:rsidP="00C43480" w:rsidRDefault="007761DC" w14:paraId="0E49FFF0" w14:textId="12AE25AE">
      <w:pPr>
        <w:pStyle w:val="ListNumber"/>
        <w:numPr>
          <w:ilvl w:val="0"/>
          <w:numId w:val="47"/>
        </w:numPr>
        <w:spacing w:before="120" w:after="120"/>
        <w:ind w:hanging="357"/>
      </w:pPr>
      <w:r w:rsidRPr="002A63F9">
        <w:t>A</w:t>
      </w:r>
      <w:r w:rsidRPr="002A63F9" w:rsidR="0077365F">
        <w:t xml:space="preserve"> basic general principle of human rights protection that is indispensable for the exercise of other human rights. Equality before the law enables people with disability to enforce and safeguard their civil, political, economic, social and cultural rights.</w:t>
      </w:r>
    </w:p>
    <w:p w:rsidRPr="002A63F9" w:rsidR="0077365F" w:rsidP="00C43480" w:rsidRDefault="007761DC" w14:paraId="47EC5C59" w14:textId="1170A3D1">
      <w:pPr>
        <w:pStyle w:val="ListNumber"/>
        <w:numPr>
          <w:ilvl w:val="0"/>
          <w:numId w:val="47"/>
        </w:numPr>
        <w:spacing w:before="120" w:after="120"/>
        <w:ind w:hanging="357"/>
      </w:pPr>
      <w:r w:rsidRPr="002A63F9">
        <w:t>O</w:t>
      </w:r>
      <w:r w:rsidRPr="002A63F9" w:rsidR="0077365F">
        <w:t>f particular significance to people with intellectual or psychosocial disabilities, especially in relation to substitute decision-making schemes and the denial of legal capacity.</w:t>
      </w:r>
    </w:p>
    <w:p w:rsidRPr="002A63F9" w:rsidR="0077365F" w:rsidP="00C43480" w:rsidRDefault="007761DC" w14:paraId="519FAB15" w14:textId="07B8B712">
      <w:pPr>
        <w:pStyle w:val="ListNumber"/>
        <w:numPr>
          <w:ilvl w:val="0"/>
          <w:numId w:val="47"/>
        </w:numPr>
        <w:spacing w:before="120" w:after="120"/>
        <w:ind w:hanging="357"/>
      </w:pPr>
      <w:r w:rsidRPr="002A63F9">
        <w:t>P</w:t>
      </w:r>
      <w:r w:rsidRPr="002A63F9" w:rsidR="0077365F">
        <w:t>rotected only where both legal standing and legal agency are ensured. Where perceived mental incapacity is used to justify the removal of a person’s legal capacity, that person is being unlawfully discriminated against.</w:t>
      </w:r>
    </w:p>
    <w:p w:rsidRPr="002A63F9" w:rsidR="0077365F" w:rsidP="00C43480" w:rsidRDefault="007761DC" w14:paraId="75731BEB" w14:textId="7B0688A7">
      <w:pPr>
        <w:pStyle w:val="ListNumber"/>
        <w:numPr>
          <w:ilvl w:val="0"/>
          <w:numId w:val="47"/>
        </w:numPr>
        <w:spacing w:before="120" w:after="120"/>
        <w:ind w:hanging="357"/>
      </w:pPr>
      <w:r w:rsidRPr="002A63F9">
        <w:t>E</w:t>
      </w:r>
      <w:r w:rsidRPr="002A63F9" w:rsidR="0077365F">
        <w:t>ssential to ensure effective access to justice for people with disability. In order to seek enforcement of their rights and obligations on an equal basis with others, people with disability must be recognised as persons before the law with equal standing in courts and tribunals.</w:t>
      </w:r>
      <w:r w:rsidRPr="002A63F9" w:rsidR="0077365F">
        <w:rPr>
          <w:rStyle w:val="EndnoteReference"/>
        </w:rPr>
        <w:endnoteReference w:id="38"/>
      </w:r>
    </w:p>
    <w:p w:rsidRPr="002A63F9" w:rsidR="004D0B27" w:rsidP="00D5779A" w:rsidRDefault="007960C4" w14:paraId="453359BF" w14:textId="417C230B">
      <w:pPr>
        <w:pStyle w:val="ListNumber"/>
      </w:pPr>
      <w:r w:rsidRPr="002A63F9">
        <w:lastRenderedPageBreak/>
        <w:t xml:space="preserve">The CRPD Committee </w:t>
      </w:r>
      <w:r w:rsidRPr="002A63F9" w:rsidR="00912FD5">
        <w:t xml:space="preserve">explained </w:t>
      </w:r>
      <w:r w:rsidRPr="002A63F9">
        <w:t>that equal</w:t>
      </w:r>
      <w:r w:rsidRPr="002A63F9" w:rsidR="00100239">
        <w:t xml:space="preserve"> recognition</w:t>
      </w:r>
      <w:r w:rsidRPr="002A63F9">
        <w:t xml:space="preserve"> before the law </w:t>
      </w:r>
      <w:r w:rsidRPr="002A63F9" w:rsidR="00C43480">
        <w:t xml:space="preserve">comprises </w:t>
      </w:r>
      <w:r w:rsidRPr="002A63F9" w:rsidR="002F237F">
        <w:t>two capacities:</w:t>
      </w:r>
      <w:r w:rsidRPr="002A63F9" w:rsidR="008273F4">
        <w:t xml:space="preserve"> (i) </w:t>
      </w:r>
      <w:r w:rsidRPr="002A63F9">
        <w:t>the capacity to be a holder of rights</w:t>
      </w:r>
      <w:r w:rsidRPr="002A63F9" w:rsidR="002F237F">
        <w:t>;</w:t>
      </w:r>
      <w:r w:rsidRPr="002A63F9">
        <w:t xml:space="preserve"> and </w:t>
      </w:r>
      <w:r w:rsidRPr="002A63F9" w:rsidR="008273F4">
        <w:t xml:space="preserve">(ii) </w:t>
      </w:r>
      <w:r w:rsidRPr="002A63F9">
        <w:t>the capacity to be an actor under the law.</w:t>
      </w:r>
      <w:r w:rsidRPr="002A63F9" w:rsidR="004C2E21">
        <w:t xml:space="preserve"> In the drafting of Article 12, there was intense debate over whether the capacity to be an actor under the law would be protected and ensured. Some </w:t>
      </w:r>
      <w:r w:rsidRPr="002A63F9" w:rsidR="00C43480">
        <w:t>States</w:t>
      </w:r>
      <w:r w:rsidRPr="002A63F9" w:rsidR="004C2E21">
        <w:t xml:space="preserve"> argued that certain people with disability (such as those reliant on substituted decision-making schemes) were not qualified to exercise their legal rights on an equal basis with others. Other States (including Australia) and advocacy bodies strongly objected to this notion, arguing that even where a person is under guardianship, they should still maintain a degree of capacity as a basic human right.</w:t>
      </w:r>
      <w:r w:rsidRPr="002A63F9" w:rsidR="004C2E21">
        <w:rPr>
          <w:rStyle w:val="EndnoteReference"/>
        </w:rPr>
        <w:endnoteReference w:id="39"/>
      </w:r>
    </w:p>
    <w:p w:rsidRPr="002A63F9" w:rsidR="00FC283C" w:rsidP="00D5779A" w:rsidRDefault="00FC283C" w14:paraId="047E355B" w14:textId="468E9205">
      <w:pPr>
        <w:pStyle w:val="ListNumber"/>
      </w:pPr>
      <w:r w:rsidRPr="002A63F9">
        <w:t xml:space="preserve">The CRPD Committee </w:t>
      </w:r>
      <w:r w:rsidRPr="002A63F9" w:rsidR="00347D7D">
        <w:t xml:space="preserve">also </w:t>
      </w:r>
      <w:r w:rsidRPr="002A63F9">
        <w:t>distinguished between legal capacity and mental capacity. Legal capacity is the ability to hold and exercise legal rights and duties, while mental capacity</w:t>
      </w:r>
      <w:r w:rsidRPr="002A63F9" w:rsidR="008B428E">
        <w:t xml:space="preserve"> refers to</w:t>
      </w:r>
      <w:r w:rsidRPr="002A63F9">
        <w:t xml:space="preserve"> the decision-making skills of a person.</w:t>
      </w:r>
      <w:r w:rsidR="0013014A">
        <w:rPr>
          <w:rStyle w:val="EndnoteReference"/>
        </w:rPr>
        <w:endnoteReference w:id="40"/>
      </w:r>
      <w:r w:rsidRPr="002A63F9">
        <w:t xml:space="preserve"> </w:t>
      </w:r>
      <w:r w:rsidRPr="002A63F9" w:rsidR="006B2473">
        <w:t xml:space="preserve">The Committee </w:t>
      </w:r>
      <w:r w:rsidRPr="002A63F9" w:rsidR="007B1FB5">
        <w:t xml:space="preserve">suggested that the two </w:t>
      </w:r>
      <w:r w:rsidRPr="002A63F9" w:rsidR="00080F5B">
        <w:t>are often</w:t>
      </w:r>
      <w:r w:rsidRPr="002A63F9" w:rsidR="007B1FB5">
        <w:t xml:space="preserve"> conflated such that where a person is considered to have impaired decision-making skills as a result of their disability, their legal capacity is automatically</w:t>
      </w:r>
      <w:r w:rsidRPr="002A63F9" w:rsidR="00080F5B">
        <w:t xml:space="preserve"> and wrongfully</w:t>
      </w:r>
      <w:r w:rsidRPr="002A63F9" w:rsidR="007B1FB5">
        <w:t xml:space="preserve"> removed. </w:t>
      </w:r>
      <w:r w:rsidRPr="002A63F9" w:rsidR="00596532">
        <w:t xml:space="preserve">Legal capacity, according to the CRPD Committee, is an inherent right accorded to all people that is </w:t>
      </w:r>
      <w:r w:rsidRPr="002A63F9" w:rsidR="000B1BF4">
        <w:t>‘</w:t>
      </w:r>
      <w:r w:rsidRPr="002A63F9" w:rsidR="00596532">
        <w:t>the key to accessing meaningful participation in society</w:t>
      </w:r>
      <w:r w:rsidRPr="002A63F9" w:rsidR="000B1BF4">
        <w:t>’</w:t>
      </w:r>
      <w:r w:rsidRPr="002A63F9" w:rsidR="00596532">
        <w:t>.</w:t>
      </w:r>
      <w:r w:rsidRPr="002A63F9" w:rsidR="00596532">
        <w:rPr>
          <w:rStyle w:val="EndnoteReference"/>
        </w:rPr>
        <w:endnoteReference w:id="41"/>
      </w:r>
    </w:p>
    <w:p w:rsidRPr="002A63F9" w:rsidR="00686133" w:rsidP="00B72BCA" w:rsidRDefault="00063B43" w14:paraId="381CF632" w14:textId="5548DEE5">
      <w:pPr>
        <w:pStyle w:val="ListNumber"/>
        <w:spacing w:before="120" w:after="120"/>
        <w:ind w:hanging="357"/>
      </w:pPr>
      <w:r w:rsidRPr="002A63F9">
        <w:t>In the context of the criminal justice system, the right to equal recognition before the law enables defendants, witnesses and jurors with disability to enforce their rights and carry out their</w:t>
      </w:r>
      <w:r w:rsidR="00D16EA6">
        <w:t xml:space="preserve"> respective</w:t>
      </w:r>
      <w:r w:rsidRPr="002A63F9">
        <w:t xml:space="preserve"> roles without restriction. </w:t>
      </w:r>
      <w:r w:rsidRPr="002A63F9" w:rsidR="00CD203B">
        <w:t xml:space="preserve">In </w:t>
      </w:r>
      <w:r w:rsidRPr="002A63F9" w:rsidR="00FC1D2F">
        <w:t>its</w:t>
      </w:r>
      <w:r w:rsidRPr="002A63F9" w:rsidR="00CD203B">
        <w:t xml:space="preserve"> </w:t>
      </w:r>
      <w:r w:rsidRPr="002A63F9" w:rsidR="00CD203B">
        <w:rPr>
          <w:i/>
          <w:iCs/>
        </w:rPr>
        <w:t>General Comment No 1</w:t>
      </w:r>
      <w:r w:rsidRPr="002A63F9" w:rsidR="00CD203B">
        <w:t>, the CRPD Committee</w:t>
      </w:r>
      <w:r w:rsidRPr="002A63F9" w:rsidR="002A6422">
        <w:t xml:space="preserve"> </w:t>
      </w:r>
      <w:r w:rsidRPr="002A63F9" w:rsidR="00FC1D2F">
        <w:t xml:space="preserve">stated </w:t>
      </w:r>
      <w:r w:rsidRPr="002A63F9" w:rsidR="002A6422">
        <w:t>that:</w:t>
      </w:r>
    </w:p>
    <w:p w:rsidRPr="002A63F9" w:rsidR="008D600E" w:rsidP="00B72BCA" w:rsidRDefault="00037195" w14:paraId="50CB4837" w14:textId="0253AA3E">
      <w:pPr>
        <w:pStyle w:val="ListNumber"/>
        <w:numPr>
          <w:ilvl w:val="0"/>
          <w:numId w:val="40"/>
        </w:numPr>
        <w:spacing w:before="120" w:after="120"/>
        <w:ind w:hanging="357"/>
      </w:pPr>
      <w:r w:rsidRPr="002A63F9">
        <w:t>State</w:t>
      </w:r>
      <w:r w:rsidRPr="002A63F9" w:rsidR="006C74D4">
        <w:t>s</w:t>
      </w:r>
      <w:r w:rsidRPr="002A63F9">
        <w:t xml:space="preserve"> </w:t>
      </w:r>
      <w:r w:rsidR="00B011C2">
        <w:t>P</w:t>
      </w:r>
      <w:r w:rsidRPr="002A63F9">
        <w:t>arties must ensure that people with disability have access to legal representation</w:t>
      </w:r>
      <w:r w:rsidRPr="002A63F9" w:rsidR="00BF562C">
        <w:t xml:space="preserve"> such that they can </w:t>
      </w:r>
      <w:r w:rsidRPr="002A63F9" w:rsidR="00AF7593">
        <w:t xml:space="preserve">pursue </w:t>
      </w:r>
      <w:r w:rsidRPr="002A63F9" w:rsidR="00E9099E">
        <w:t>the protection of their rights in court.</w:t>
      </w:r>
      <w:r w:rsidRPr="002A63F9" w:rsidR="00B775DB">
        <w:rPr>
          <w:rStyle w:val="EndnoteReference"/>
        </w:rPr>
        <w:endnoteReference w:id="42"/>
      </w:r>
    </w:p>
    <w:p w:rsidRPr="002A63F9" w:rsidR="00457A98" w:rsidP="00B72BCA" w:rsidRDefault="00AF0A72" w14:paraId="035ED810" w14:textId="46E67992">
      <w:pPr>
        <w:pStyle w:val="ListNumber"/>
        <w:numPr>
          <w:ilvl w:val="0"/>
          <w:numId w:val="40"/>
        </w:numPr>
        <w:spacing w:before="120" w:after="120"/>
        <w:ind w:hanging="357"/>
      </w:pPr>
      <w:r w:rsidRPr="002A63F9">
        <w:t xml:space="preserve">People with disability have often been excluded from certain roles in the justice system, including </w:t>
      </w:r>
      <w:r w:rsidRPr="002A63F9" w:rsidR="009D21C6">
        <w:t>as judges, lawyers, witnesses and members of a jury.</w:t>
      </w:r>
      <w:r w:rsidRPr="002A63F9" w:rsidR="00702DB8">
        <w:rPr>
          <w:rStyle w:val="EndnoteReference"/>
        </w:rPr>
        <w:endnoteReference w:id="43"/>
      </w:r>
    </w:p>
    <w:p w:rsidRPr="002A63F9" w:rsidR="0080277B" w:rsidP="00B72BCA" w:rsidRDefault="00400BB1" w14:paraId="41B8A4DB" w14:textId="3DC27D87">
      <w:pPr>
        <w:pStyle w:val="ListNumber"/>
        <w:numPr>
          <w:ilvl w:val="0"/>
          <w:numId w:val="40"/>
        </w:numPr>
        <w:spacing w:before="120" w:after="120"/>
        <w:ind w:hanging="357"/>
      </w:pPr>
      <w:r w:rsidRPr="002A63F9">
        <w:t>T</w:t>
      </w:r>
      <w:r w:rsidRPr="002A63F9" w:rsidR="008F4402">
        <w:t xml:space="preserve">o ensure that equal weight is given to </w:t>
      </w:r>
      <w:r w:rsidRPr="002A63F9" w:rsidR="00070068">
        <w:t>complaints</w:t>
      </w:r>
      <w:r w:rsidRPr="002A63F9" w:rsidR="00141196">
        <w:t xml:space="preserve"> and statements made by people with disability, t</w:t>
      </w:r>
      <w:r w:rsidRPr="002A63F9" w:rsidR="009C1A13">
        <w:t xml:space="preserve">raining must be administered to police officers, social workers and other first responders to assist them in recognising people with disability as </w:t>
      </w:r>
      <w:r w:rsidRPr="002A63F9" w:rsidR="00663BF6">
        <w:t xml:space="preserve">full </w:t>
      </w:r>
      <w:r w:rsidRPr="002A63F9" w:rsidR="009E6695">
        <w:t>persons before the law</w:t>
      </w:r>
      <w:r w:rsidRPr="002A63F9" w:rsidR="00F219C2">
        <w:t>.</w:t>
      </w:r>
      <w:r w:rsidRPr="002A63F9" w:rsidR="00234A10">
        <w:rPr>
          <w:rStyle w:val="EndnoteReference"/>
        </w:rPr>
        <w:endnoteReference w:id="44"/>
      </w:r>
      <w:r w:rsidRPr="002A63F9" w:rsidR="008652C2">
        <w:t xml:space="preserve"> Similar training should also be provided to the judiciary</w:t>
      </w:r>
      <w:r w:rsidRPr="002A63F9" w:rsidR="00B07DD2">
        <w:t xml:space="preserve"> </w:t>
      </w:r>
      <w:r w:rsidRPr="002A63F9" w:rsidR="007233E1">
        <w:t xml:space="preserve">to ensure that </w:t>
      </w:r>
      <w:r w:rsidRPr="002A63F9" w:rsidR="00741BC4">
        <w:t>judicial officers are aware of their obligation to respect the legal capacity of people with disability.</w:t>
      </w:r>
      <w:r w:rsidRPr="002A63F9" w:rsidR="00741BC4">
        <w:rPr>
          <w:rStyle w:val="EndnoteReference"/>
        </w:rPr>
        <w:endnoteReference w:id="45"/>
      </w:r>
    </w:p>
    <w:p w:rsidRPr="002A63F9" w:rsidR="00F71760" w:rsidP="00B72BCA" w:rsidRDefault="00F71760" w14:paraId="222773CA" w14:textId="5DD425D7">
      <w:pPr>
        <w:pStyle w:val="ListNumber"/>
        <w:numPr>
          <w:ilvl w:val="0"/>
          <w:numId w:val="40"/>
        </w:numPr>
        <w:spacing w:before="120" w:after="120"/>
        <w:ind w:hanging="357"/>
      </w:pPr>
      <w:r w:rsidRPr="002A63F9">
        <w:t xml:space="preserve">The exercise of legal </w:t>
      </w:r>
      <w:r w:rsidRPr="002A63F9" w:rsidR="00815672">
        <w:t xml:space="preserve">capacity includes the capacity to testify in </w:t>
      </w:r>
      <w:r w:rsidRPr="002A63F9" w:rsidR="006000F8">
        <w:t>judicial proceedings</w:t>
      </w:r>
      <w:r w:rsidRPr="002A63F9" w:rsidR="00825E16">
        <w:t xml:space="preserve">. As such, </w:t>
      </w:r>
      <w:r w:rsidRPr="002A63F9" w:rsidR="00A623F5">
        <w:t xml:space="preserve">alternative </w:t>
      </w:r>
      <w:r w:rsidRPr="002A63F9" w:rsidR="00156707">
        <w:t xml:space="preserve">communication methods </w:t>
      </w:r>
      <w:r w:rsidRPr="002A63F9" w:rsidR="00825E16">
        <w:t>(including v</w:t>
      </w:r>
      <w:r w:rsidRPr="002A63F9" w:rsidR="00BA5F9D">
        <w:t xml:space="preserve">ideo testimony, </w:t>
      </w:r>
      <w:r w:rsidRPr="002A63F9" w:rsidR="00274BA8">
        <w:t xml:space="preserve">professional sign language interpretation and </w:t>
      </w:r>
      <w:r w:rsidRPr="002A63F9" w:rsidR="0013627B">
        <w:t xml:space="preserve">other assistive methods) </w:t>
      </w:r>
      <w:r w:rsidRPr="002A63F9" w:rsidR="00156707">
        <w:t>should be provided</w:t>
      </w:r>
      <w:r w:rsidRPr="002A63F9" w:rsidR="0013627B">
        <w:t>.</w:t>
      </w:r>
      <w:r w:rsidRPr="002A63F9" w:rsidR="00CB01E2">
        <w:rPr>
          <w:rStyle w:val="EndnoteReference"/>
        </w:rPr>
        <w:endnoteReference w:id="46"/>
      </w:r>
    </w:p>
    <w:p w:rsidRPr="002A63F9" w:rsidR="00AB4ABA" w:rsidP="00B72BCA" w:rsidRDefault="00AB4ABA" w14:paraId="4A921265" w14:textId="598910B6">
      <w:pPr>
        <w:pStyle w:val="ListNumber"/>
        <w:numPr>
          <w:ilvl w:val="0"/>
          <w:numId w:val="40"/>
        </w:numPr>
        <w:spacing w:before="120" w:after="120"/>
        <w:ind w:hanging="357"/>
      </w:pPr>
      <w:r w:rsidRPr="002A63F9">
        <w:lastRenderedPageBreak/>
        <w:t>State</w:t>
      </w:r>
      <w:r w:rsidRPr="002A63F9" w:rsidR="006C74D4">
        <w:t>s</w:t>
      </w:r>
      <w:r w:rsidRPr="002A63F9">
        <w:t xml:space="preserve"> </w:t>
      </w:r>
      <w:r w:rsidR="00B011C2">
        <w:t>P</w:t>
      </w:r>
      <w:r w:rsidRPr="002A63F9" w:rsidR="006C74D4">
        <w:t xml:space="preserve">arties must refrain from </w:t>
      </w:r>
      <w:r w:rsidRPr="002A63F9" w:rsidR="007B6EE4">
        <w:t>detaining people with disability</w:t>
      </w:r>
      <w:r w:rsidRPr="002A63F9" w:rsidR="000F170C">
        <w:t xml:space="preserve"> on the basis of a denial of legal capacity </w:t>
      </w:r>
      <w:r w:rsidRPr="002A63F9" w:rsidR="003638A3">
        <w:t xml:space="preserve">and </w:t>
      </w:r>
      <w:r w:rsidRPr="002A63F9" w:rsidR="00B04BB6">
        <w:t xml:space="preserve">must </w:t>
      </w:r>
      <w:r w:rsidRPr="002A63F9" w:rsidR="003638A3">
        <w:t xml:space="preserve">establish a mechanism </w:t>
      </w:r>
      <w:r w:rsidRPr="002A63F9" w:rsidR="00AF06AF">
        <w:t xml:space="preserve">to review </w:t>
      </w:r>
      <w:r w:rsidRPr="002A63F9" w:rsidR="00347BEF">
        <w:t>the circumstances of people with disability who have been detained on that basis.</w:t>
      </w:r>
      <w:r w:rsidRPr="002A63F9" w:rsidR="007F513D">
        <w:rPr>
          <w:rStyle w:val="EndnoteReference"/>
        </w:rPr>
        <w:endnoteReference w:id="47"/>
      </w:r>
    </w:p>
    <w:p w:rsidRPr="002A63F9" w:rsidR="00FC283C" w:rsidP="00861DD9" w:rsidRDefault="004B6CA1" w14:paraId="3245FC03" w14:textId="5D9B2AD9">
      <w:pPr>
        <w:pStyle w:val="Heading2"/>
        <w:spacing w:line="276" w:lineRule="auto"/>
      </w:pPr>
      <w:bookmarkStart w:name="_Toc35535486" w:id="25"/>
      <w:r w:rsidRPr="002A63F9">
        <w:t>A</w:t>
      </w:r>
      <w:r w:rsidRPr="002A63F9" w:rsidR="00FC283C">
        <w:t xml:space="preserve">ccess </w:t>
      </w:r>
      <w:r w:rsidRPr="002A63F9">
        <w:t>to</w:t>
      </w:r>
      <w:r w:rsidRPr="002A63F9" w:rsidR="00FC283C">
        <w:t xml:space="preserve"> justice</w:t>
      </w:r>
      <w:bookmarkEnd w:id="25"/>
    </w:p>
    <w:p w:rsidRPr="002A63F9" w:rsidR="00261DBE" w:rsidP="00D5779A" w:rsidRDefault="00596532" w14:paraId="7CD7542B" w14:textId="55271605">
      <w:pPr>
        <w:pStyle w:val="ListNumber"/>
      </w:pPr>
      <w:r w:rsidRPr="002A63F9">
        <w:t xml:space="preserve">Article 13 of the CRPD </w:t>
      </w:r>
      <w:r w:rsidRPr="002A63F9" w:rsidR="001437AF">
        <w:t>requires State</w:t>
      </w:r>
      <w:r w:rsidRPr="002A63F9" w:rsidR="0061193A">
        <w:t>s</w:t>
      </w:r>
      <w:r w:rsidRPr="002A63F9" w:rsidR="001437AF">
        <w:t xml:space="preserve"> Parties to accommodate the active participation of people with disability </w:t>
      </w:r>
      <w:r w:rsidRPr="002A63F9" w:rsidR="00512BBC">
        <w:t xml:space="preserve">in the criminal justice system. Access to justice must be ensured for people with disability in all interactions with </w:t>
      </w:r>
      <w:r w:rsidR="00511968">
        <w:t xml:space="preserve">the </w:t>
      </w:r>
      <w:r w:rsidRPr="002A63F9" w:rsidR="00512BBC">
        <w:t>criminal justice</w:t>
      </w:r>
      <w:r w:rsidR="00511968">
        <w:t xml:space="preserve"> system</w:t>
      </w:r>
      <w:r w:rsidRPr="002A63F9" w:rsidR="00512BBC">
        <w:t xml:space="preserve">, whether </w:t>
      </w:r>
      <w:r w:rsidRPr="002A63F9" w:rsidR="008E2688">
        <w:t>as a</w:t>
      </w:r>
      <w:r w:rsidRPr="002A63F9" w:rsidR="00512BBC">
        <w:t xml:space="preserve"> complainant</w:t>
      </w:r>
      <w:r w:rsidRPr="002A63F9" w:rsidR="008E2688">
        <w:t>,</w:t>
      </w:r>
      <w:r w:rsidRPr="002A63F9" w:rsidR="00512BBC">
        <w:t xml:space="preserve"> witness</w:t>
      </w:r>
      <w:r w:rsidRPr="002A63F9" w:rsidR="00877BE2">
        <w:t>, juror</w:t>
      </w:r>
      <w:r w:rsidRPr="002A63F9" w:rsidR="008E2688">
        <w:t xml:space="preserve"> or defendant</w:t>
      </w:r>
      <w:r w:rsidRPr="002A63F9" w:rsidR="00512BBC">
        <w:t>.</w:t>
      </w:r>
      <w:r w:rsidRPr="002A63F9" w:rsidR="00261DBE">
        <w:t xml:space="preserve"> </w:t>
      </w:r>
    </w:p>
    <w:p w:rsidRPr="002A63F9" w:rsidR="00632CD0" w:rsidP="00B72BCA" w:rsidRDefault="00512BBC" w14:paraId="751BA77B" w14:textId="7994BF7E">
      <w:pPr>
        <w:pStyle w:val="ListNumber"/>
        <w:spacing w:after="120"/>
        <w:ind w:left="357" w:hanging="357"/>
      </w:pPr>
      <w:r w:rsidRPr="002A63F9">
        <w:t>In 2016, the Commonwealth Senate Community Affairs Committee concluded that</w:t>
      </w:r>
      <w:r w:rsidRPr="002A63F9" w:rsidR="00632CD0">
        <w:t>:</w:t>
      </w:r>
    </w:p>
    <w:p w:rsidRPr="002A63F9" w:rsidR="00512BBC" w:rsidP="00B72BCA" w:rsidRDefault="00512BBC" w14:paraId="2AF09292" w14:textId="00B02749">
      <w:pPr>
        <w:pStyle w:val="Quote"/>
        <w:spacing w:before="120" w:after="240"/>
      </w:pPr>
      <w:r w:rsidRPr="002A63F9">
        <w:t>access to justice for people with a disability … is more than simply providing a wheelchair ramp into a courtroom. It is about fully supporting a person with a disability to appropriately intersect with all aspects of criminal justice systems, including identifying disability, provision of supported decision making and providing appropriate exit mechanisms.</w:t>
      </w:r>
      <w:r w:rsidRPr="002A63F9">
        <w:rPr>
          <w:rStyle w:val="EndnoteReference"/>
        </w:rPr>
        <w:endnoteReference w:id="48"/>
      </w:r>
    </w:p>
    <w:p w:rsidRPr="002A63F9" w:rsidR="00512BBC" w:rsidP="00B72BCA" w:rsidRDefault="00BF1CE2" w14:paraId="6DD9F79C" w14:textId="54F29423">
      <w:pPr>
        <w:pStyle w:val="ListNumber"/>
        <w:spacing w:after="120"/>
        <w:ind w:left="363" w:hanging="357"/>
      </w:pPr>
      <w:r w:rsidRPr="002A63F9">
        <w:t xml:space="preserve"> In particular, Article 13 requires Australia to:</w:t>
      </w:r>
    </w:p>
    <w:p w:rsidRPr="002A63F9" w:rsidR="00BF1CE2" w:rsidP="00B72BCA" w:rsidRDefault="002C683D" w14:paraId="73090B69" w14:textId="679E182A">
      <w:pPr>
        <w:pStyle w:val="ListNumber"/>
        <w:numPr>
          <w:ilvl w:val="0"/>
          <w:numId w:val="31"/>
        </w:numPr>
        <w:spacing w:before="120" w:after="120"/>
        <w:ind w:hanging="357"/>
      </w:pPr>
      <w:r w:rsidRPr="002A63F9">
        <w:t>P</w:t>
      </w:r>
      <w:r w:rsidRPr="002A63F9" w:rsidR="00BF1CE2">
        <w:t>rovide procedural and age-appropriate accommodations to facilitate the effective participation of people with disability in all legal proceedings</w:t>
      </w:r>
      <w:r w:rsidRPr="002A63F9" w:rsidR="00995F18">
        <w:t>, including preliminary processes</w:t>
      </w:r>
      <w:r w:rsidRPr="002A63F9">
        <w:t xml:space="preserve">. This </w:t>
      </w:r>
      <w:r w:rsidR="00BF16C7">
        <w:t xml:space="preserve">may </w:t>
      </w:r>
      <w:r w:rsidRPr="002A63F9">
        <w:t>require not only physical access to courts and offices,</w:t>
      </w:r>
      <w:r w:rsidR="00A86F46">
        <w:rPr>
          <w:rStyle w:val="EndnoteReference"/>
        </w:rPr>
        <w:endnoteReference w:id="49"/>
      </w:r>
      <w:r w:rsidRPr="002A63F9">
        <w:t xml:space="preserve"> but also access to documents and information, such as the provision of AUSLAN translation or easy-read formatting.</w:t>
      </w:r>
      <w:r w:rsidR="00D72129">
        <w:rPr>
          <w:rStyle w:val="EndnoteReference"/>
        </w:rPr>
        <w:endnoteReference w:id="50"/>
      </w:r>
    </w:p>
    <w:p w:rsidRPr="002A63F9" w:rsidR="00995F18" w:rsidP="00B72BCA" w:rsidRDefault="002C683D" w14:paraId="52116834" w14:textId="127EE25D">
      <w:pPr>
        <w:pStyle w:val="ListNumber"/>
        <w:numPr>
          <w:ilvl w:val="0"/>
          <w:numId w:val="31"/>
        </w:numPr>
        <w:spacing w:before="120" w:after="120"/>
        <w:ind w:hanging="357"/>
      </w:pPr>
      <w:r w:rsidRPr="002A63F9">
        <w:t>P</w:t>
      </w:r>
      <w:r w:rsidRPr="002A63F9" w:rsidR="00995F18">
        <w:t>romote appropriate training for those involved in the administration of justice, including judicial officers,</w:t>
      </w:r>
      <w:r w:rsidR="00656944">
        <w:t xml:space="preserve"> lawyers, court staff</w:t>
      </w:r>
      <w:r w:rsidRPr="002A63F9" w:rsidR="00995F18">
        <w:t>, police</w:t>
      </w:r>
      <w:r w:rsidR="00DC695F">
        <w:t xml:space="preserve"> </w:t>
      </w:r>
      <w:r w:rsidRPr="002A63F9" w:rsidR="00995F18">
        <w:t>and prison staff</w:t>
      </w:r>
      <w:r w:rsidRPr="002A63F9">
        <w:t>.</w:t>
      </w:r>
      <w:r w:rsidR="000531A0">
        <w:rPr>
          <w:rStyle w:val="EndnoteReference"/>
        </w:rPr>
        <w:endnoteReference w:id="51"/>
      </w:r>
    </w:p>
    <w:p w:rsidRPr="002A63F9" w:rsidR="002C683D" w:rsidP="002C683D" w:rsidRDefault="002C683D" w14:paraId="0E9F1AC2" w14:textId="77777777">
      <w:pPr>
        <w:pStyle w:val="ListNumber"/>
      </w:pPr>
      <w:r w:rsidRPr="002A63F9">
        <w:t>The language of Article 13 is broad, referring to any ‘procedural and age-appropriate accommodations’. This was a deliberate decision made in the drafting process to ensure that the provision would encompass the requirements of all people with disability, not only those with common or more straightforward support needs.</w:t>
      </w:r>
      <w:r w:rsidRPr="002A63F9">
        <w:rPr>
          <w:rStyle w:val="EndnoteReference"/>
        </w:rPr>
        <w:endnoteReference w:id="52"/>
      </w:r>
      <w:r w:rsidRPr="002A63F9">
        <w:t xml:space="preserve"> </w:t>
      </w:r>
    </w:p>
    <w:p w:rsidRPr="002A63F9" w:rsidR="00F15A58" w:rsidP="00D5779A" w:rsidRDefault="00F15A58" w14:paraId="1025800D" w14:textId="11E42592">
      <w:pPr>
        <w:pStyle w:val="ListNumber"/>
      </w:pPr>
      <w:r w:rsidRPr="002A63F9">
        <w:t>Importantly, Article 13 places a positive duty on State</w:t>
      </w:r>
      <w:r w:rsidRPr="002A63F9" w:rsidR="00E9207E">
        <w:t>s</w:t>
      </w:r>
      <w:r w:rsidRPr="002A63F9">
        <w:t xml:space="preserve"> Parties to provide the requisite accommodations to ensure access to justice for people with disability. Unlike reasonable adjustment obligations under the DDA, this duty is not limited by the concept of unjustifiable hardship and, as such, it is owed to all people with disability, even those who require complex and intensive supports.</w:t>
      </w:r>
      <w:r w:rsidRPr="002A63F9" w:rsidR="00FD2EC2">
        <w:rPr>
          <w:rStyle w:val="EndnoteReference"/>
        </w:rPr>
        <w:endnoteReference w:id="53"/>
      </w:r>
    </w:p>
    <w:p w:rsidRPr="002A63F9" w:rsidR="00BB071D" w:rsidP="00D5779A" w:rsidRDefault="00FD2EC2" w14:paraId="02032646" w14:textId="11F654AD">
      <w:pPr>
        <w:pStyle w:val="ListNumber"/>
      </w:pPr>
      <w:r w:rsidRPr="002A63F9">
        <w:t>Like Article 12, Article 13 is a ‘threshold right’</w:t>
      </w:r>
      <w:r w:rsidRPr="002A63F9" w:rsidR="00D16D46">
        <w:t xml:space="preserve"> as it provides the means by which a person with disability can claim or protect their other rights and interests.</w:t>
      </w:r>
      <w:r w:rsidRPr="002A63F9" w:rsidR="00D16D46">
        <w:rPr>
          <w:rStyle w:val="EndnoteReference"/>
        </w:rPr>
        <w:endnoteReference w:id="54"/>
      </w:r>
      <w:r w:rsidRPr="002A63F9" w:rsidR="00BB071D">
        <w:t xml:space="preserve"> As such, conformity </w:t>
      </w:r>
      <w:r w:rsidRPr="002A63F9" w:rsidR="00BB071D">
        <w:lastRenderedPageBreak/>
        <w:t xml:space="preserve">with Articles 12 and 13 is fundamental to effective compliance with all of the other obligations under the CRPD. </w:t>
      </w:r>
    </w:p>
    <w:p w:rsidRPr="002A63F9" w:rsidR="00EF3C76" w:rsidP="00A460BC" w:rsidRDefault="00A460BC" w14:paraId="03A7F4C4" w14:textId="2C0014C4">
      <w:pPr>
        <w:pStyle w:val="Heading2"/>
      </w:pPr>
      <w:bookmarkStart w:name="_Toc35535487" w:id="26"/>
      <w:r w:rsidRPr="002A63F9">
        <w:t>Liberty and security of person</w:t>
      </w:r>
      <w:bookmarkEnd w:id="26"/>
    </w:p>
    <w:p w:rsidRPr="002A63F9" w:rsidR="00DC65C9" w:rsidP="00D5779A" w:rsidRDefault="00E63161" w14:paraId="557B9748" w14:textId="6F0B4DCD">
      <w:pPr>
        <w:pStyle w:val="ListNumber"/>
      </w:pPr>
      <w:r w:rsidRPr="002A63F9">
        <w:t>Article 14 of the CRPD</w:t>
      </w:r>
      <w:r w:rsidRPr="002A63F9" w:rsidR="00984D51">
        <w:t xml:space="preserve"> </w:t>
      </w:r>
      <w:r w:rsidRPr="002A63F9" w:rsidR="00143EBC">
        <w:t>re</w:t>
      </w:r>
      <w:r w:rsidRPr="002A63F9" w:rsidR="00C325F1">
        <w:t>quires States Parties to</w:t>
      </w:r>
      <w:r w:rsidRPr="002A63F9" w:rsidR="00A078F6">
        <w:t xml:space="preserve"> </w:t>
      </w:r>
      <w:r w:rsidRPr="002A63F9" w:rsidR="00C325F1">
        <w:t xml:space="preserve">ensure </w:t>
      </w:r>
      <w:r w:rsidRPr="002A63F9" w:rsidR="00EB5E35">
        <w:t xml:space="preserve">that </w:t>
      </w:r>
      <w:r w:rsidRPr="002A63F9" w:rsidR="00C325F1">
        <w:t xml:space="preserve">people with </w:t>
      </w:r>
      <w:r w:rsidRPr="002A63F9" w:rsidR="00E737AC">
        <w:t>disability enjoy the right to liberty and security of the person</w:t>
      </w:r>
      <w:r w:rsidRPr="002A63F9" w:rsidR="008119D5">
        <w:t xml:space="preserve"> on an equal basis with others</w:t>
      </w:r>
      <w:r w:rsidRPr="002A63F9" w:rsidR="0058269E">
        <w:t>.</w:t>
      </w:r>
      <w:r w:rsidRPr="002A63F9" w:rsidR="00D91EBE">
        <w:t xml:space="preserve"> </w:t>
      </w:r>
      <w:r w:rsidRPr="002A63F9" w:rsidR="0058269E">
        <w:t>W</w:t>
      </w:r>
      <w:r w:rsidRPr="002A63F9" w:rsidR="00D91EBE">
        <w:t>here people with disability are deprived of their liberty, this must be lawful</w:t>
      </w:r>
      <w:r w:rsidR="000A2550">
        <w:t>,</w:t>
      </w:r>
      <w:r w:rsidRPr="002A63F9" w:rsidR="00D91EBE">
        <w:t xml:space="preserve"> non-discriminatory</w:t>
      </w:r>
      <w:r w:rsidR="000A2550">
        <w:t xml:space="preserve"> and</w:t>
      </w:r>
      <w:r w:rsidRPr="002A63F9" w:rsidR="00BF5D18">
        <w:t xml:space="preserve"> in </w:t>
      </w:r>
      <w:r w:rsidR="00FE325D">
        <w:t xml:space="preserve">full </w:t>
      </w:r>
      <w:r w:rsidRPr="002A63F9" w:rsidR="00BF5D18">
        <w:t>compliance with</w:t>
      </w:r>
      <w:r w:rsidRPr="002A63F9" w:rsidR="00DA1039">
        <w:t xml:space="preserve"> the CRPD</w:t>
      </w:r>
      <w:r w:rsidRPr="002A63F9" w:rsidR="00DD3FA5">
        <w:t xml:space="preserve">, including </w:t>
      </w:r>
      <w:r w:rsidRPr="002A63F9" w:rsidR="00357AFC">
        <w:t xml:space="preserve">through </w:t>
      </w:r>
      <w:r w:rsidRPr="002A63F9" w:rsidR="00DD3FA5">
        <w:t xml:space="preserve">the provision of any reasonable accommodation that </w:t>
      </w:r>
      <w:r w:rsidRPr="002A63F9" w:rsidR="000F26CB">
        <w:t xml:space="preserve">the person </w:t>
      </w:r>
      <w:r w:rsidRPr="002A63F9" w:rsidR="00DD3FA5">
        <w:t>require</w:t>
      </w:r>
      <w:r w:rsidRPr="002A63F9" w:rsidR="000F26CB">
        <w:t>s</w:t>
      </w:r>
      <w:r w:rsidRPr="002A63F9" w:rsidR="00DD3FA5">
        <w:t xml:space="preserve">. </w:t>
      </w:r>
    </w:p>
    <w:p w:rsidRPr="002A63F9" w:rsidR="00DF4604" w:rsidP="00AC75E9" w:rsidRDefault="00182BB7" w14:paraId="700652E4" w14:textId="2DEBB891">
      <w:pPr>
        <w:pStyle w:val="ListNumber"/>
      </w:pPr>
      <w:r w:rsidRPr="002A63F9">
        <w:t>Article 14 has been described as ‘one of the most controversial articles in the CRPD’.</w:t>
      </w:r>
      <w:r w:rsidRPr="002A63F9" w:rsidR="00D53D86">
        <w:rPr>
          <w:rStyle w:val="EndnoteReference"/>
        </w:rPr>
        <w:endnoteReference w:id="55"/>
      </w:r>
      <w:r w:rsidRPr="002A63F9">
        <w:t xml:space="preserve"> In part, </w:t>
      </w:r>
      <w:r w:rsidRPr="002A63F9" w:rsidR="00E76FEA">
        <w:t xml:space="preserve">this can be attributed to the breadth of </w:t>
      </w:r>
      <w:r w:rsidRPr="002A63F9" w:rsidR="00D62B90">
        <w:t>the provision</w:t>
      </w:r>
      <w:r w:rsidR="00F6331B">
        <w:t>, which</w:t>
      </w:r>
      <w:r w:rsidRPr="002A63F9" w:rsidR="00DF4604">
        <w:t xml:space="preserve"> was the subject of considerable debate during the drafting of the CRPD.</w:t>
      </w:r>
      <w:r w:rsidRPr="002A63F9" w:rsidR="00DF4604">
        <w:rPr>
          <w:rStyle w:val="EndnoteReference"/>
        </w:rPr>
        <w:endnoteReference w:id="56"/>
      </w:r>
      <w:r w:rsidRPr="002A63F9" w:rsidR="00DF4604">
        <w:t xml:space="preserve"> A number of States Parties, including Australia, campaigned for a narrow construction of the article, whereby only detention solely on the basis of disability would be forbidden.</w:t>
      </w:r>
      <w:r w:rsidRPr="002A63F9" w:rsidR="00DF4604">
        <w:rPr>
          <w:rStyle w:val="EndnoteReference"/>
        </w:rPr>
        <w:endnoteReference w:id="57"/>
      </w:r>
      <w:r w:rsidRPr="002A63F9" w:rsidR="00DF4604">
        <w:t xml:space="preserve"> Ultimately, however, the CRPD Committee adopted a broader interpretation, meaning that even where disability is just one of many justifications, the detention will be unlawful.</w:t>
      </w:r>
      <w:r w:rsidRPr="002A63F9" w:rsidR="00DF4604">
        <w:rPr>
          <w:rStyle w:val="EndnoteReference"/>
        </w:rPr>
        <w:endnoteReference w:id="58"/>
      </w:r>
    </w:p>
    <w:p w:rsidRPr="002A63F9" w:rsidR="00B7658D" w:rsidP="00B7658D" w:rsidRDefault="00B7658D" w14:paraId="3D71DD2C" w14:textId="7C320DC6">
      <w:pPr>
        <w:pStyle w:val="ListNumber"/>
      </w:pPr>
      <w:r w:rsidRPr="002A63F9">
        <w:t>Notably, the CRPD Committee has stated that a denial of legal capacity, such as through substituted decision-making schemes</w:t>
      </w:r>
      <w:r w:rsidR="00274F54">
        <w:t xml:space="preserve"> which replace a person’s judgment with that of another</w:t>
      </w:r>
      <w:r w:rsidRPr="002A63F9">
        <w:t>, amounts to a ‘deprivation of liberty’ and a violation of Article 14.</w:t>
      </w:r>
      <w:r w:rsidRPr="002A63F9">
        <w:rPr>
          <w:rStyle w:val="EndnoteReference"/>
        </w:rPr>
        <w:endnoteReference w:id="59"/>
      </w:r>
      <w:r w:rsidRPr="002A63F9">
        <w:t xml:space="preserve"> </w:t>
      </w:r>
    </w:p>
    <w:p w:rsidRPr="002A63F9" w:rsidR="004466B6" w:rsidP="00B72BCA" w:rsidRDefault="001D5852" w14:paraId="3F0BB1E2" w14:textId="2BAB876F">
      <w:pPr>
        <w:pStyle w:val="ListNumber"/>
        <w:spacing w:before="120" w:after="120"/>
        <w:ind w:hanging="357"/>
      </w:pPr>
      <w:r w:rsidRPr="002A63F9">
        <w:t>In 201</w:t>
      </w:r>
      <w:r w:rsidRPr="002A63F9" w:rsidR="002C2A8B">
        <w:t>7</w:t>
      </w:r>
      <w:r w:rsidRPr="002A63F9">
        <w:t xml:space="preserve">, the CRPD Committee </w:t>
      </w:r>
      <w:r w:rsidRPr="002A63F9" w:rsidR="00F521CD">
        <w:t xml:space="preserve">released the </w:t>
      </w:r>
      <w:r w:rsidRPr="002A63F9" w:rsidR="00F521CD">
        <w:rPr>
          <w:i/>
          <w:iCs/>
        </w:rPr>
        <w:t>Guidelines on the right to liberty and security of persons with disabilities.</w:t>
      </w:r>
      <w:r w:rsidRPr="002A63F9" w:rsidR="00F521CD">
        <w:rPr>
          <w:rStyle w:val="EndnoteReference"/>
        </w:rPr>
        <w:t xml:space="preserve"> </w:t>
      </w:r>
      <w:r w:rsidRPr="002A63F9" w:rsidR="00F521CD">
        <w:rPr>
          <w:rStyle w:val="EndnoteReference"/>
        </w:rPr>
        <w:endnoteReference w:id="60"/>
      </w:r>
      <w:r w:rsidRPr="002A63F9" w:rsidR="00F521CD">
        <w:t xml:space="preserve"> The guidelines </w:t>
      </w:r>
      <w:r w:rsidRPr="002A63F9" w:rsidR="000D5EFB">
        <w:t>were intended to provide S</w:t>
      </w:r>
      <w:r w:rsidRPr="002A63F9" w:rsidR="00A1422C">
        <w:t xml:space="preserve">tates Parties with </w:t>
      </w:r>
      <w:r w:rsidRPr="002A63F9" w:rsidR="003C24FD">
        <w:t xml:space="preserve">further </w:t>
      </w:r>
      <w:r w:rsidRPr="002A63F9" w:rsidR="00A1422C">
        <w:t xml:space="preserve">clarification as to their obligations in relation to </w:t>
      </w:r>
      <w:r w:rsidRPr="002A63F9">
        <w:t>Article 14</w:t>
      </w:r>
      <w:r w:rsidRPr="002A63F9" w:rsidR="00F521CD">
        <w:t xml:space="preserve">. </w:t>
      </w:r>
      <w:r w:rsidRPr="002A63F9" w:rsidR="00F74590">
        <w:t xml:space="preserve">The following </w:t>
      </w:r>
      <w:r w:rsidRPr="002A63F9" w:rsidR="002C4F3D">
        <w:t xml:space="preserve">excerpts from the </w:t>
      </w:r>
      <w:r w:rsidRPr="002A63F9" w:rsidR="00F74590">
        <w:t xml:space="preserve">guidelines </w:t>
      </w:r>
      <w:r w:rsidRPr="002A63F9" w:rsidR="004466B6">
        <w:t xml:space="preserve">are relevant to </w:t>
      </w:r>
      <w:r w:rsidRPr="002A63F9" w:rsidR="003926F0">
        <w:t xml:space="preserve">the </w:t>
      </w:r>
      <w:r w:rsidRPr="002A63F9" w:rsidR="004466B6">
        <w:t>criminal justice system and th</w:t>
      </w:r>
      <w:r w:rsidRPr="002A63F9" w:rsidR="00DA4270">
        <w:t>e present</w:t>
      </w:r>
      <w:r w:rsidRPr="002A63F9" w:rsidR="004466B6">
        <w:t xml:space="preserve"> submission:</w:t>
      </w:r>
    </w:p>
    <w:p w:rsidRPr="002A63F9" w:rsidR="001D5852" w:rsidP="00B72BCA" w:rsidRDefault="003206E3" w14:paraId="5B31A103" w14:textId="42D5B337">
      <w:pPr>
        <w:pStyle w:val="ListNumber"/>
        <w:numPr>
          <w:ilvl w:val="0"/>
          <w:numId w:val="38"/>
        </w:numPr>
        <w:spacing w:before="120" w:after="120"/>
        <w:ind w:hanging="357"/>
      </w:pPr>
      <w:r w:rsidRPr="002A63F9">
        <w:rPr>
          <w:b/>
          <w:bCs/>
        </w:rPr>
        <w:t>Absolute prohibition of detention on the basis of impairment:</w:t>
      </w:r>
      <w:r w:rsidRPr="002A63F9" w:rsidR="00094C2A">
        <w:t xml:space="preserve"> </w:t>
      </w:r>
      <w:r w:rsidRPr="002A63F9" w:rsidR="004466B6">
        <w:t xml:space="preserve">States </w:t>
      </w:r>
      <w:r w:rsidRPr="002A63F9">
        <w:t>Parties must e</w:t>
      </w:r>
      <w:r w:rsidRPr="002A63F9" w:rsidR="00E27B54">
        <w:t xml:space="preserve">nsure </w:t>
      </w:r>
      <w:r w:rsidRPr="002A63F9" w:rsidR="0024611A">
        <w:t xml:space="preserve">that </w:t>
      </w:r>
      <w:r w:rsidRPr="002A63F9" w:rsidR="00E27B54">
        <w:t>p</w:t>
      </w:r>
      <w:r w:rsidRPr="002A63F9" w:rsidR="00AB0466">
        <w:t xml:space="preserve">eople with disability </w:t>
      </w:r>
      <w:r w:rsidRPr="002A63F9" w:rsidR="006870CE">
        <w:t>are</w:t>
      </w:r>
      <w:r w:rsidRPr="002A63F9" w:rsidR="00AB0466">
        <w:t xml:space="preserve"> not</w:t>
      </w:r>
      <w:r w:rsidRPr="002A63F9" w:rsidR="001D5852">
        <w:t xml:space="preserve"> detained on the grounds of actual or perceived </w:t>
      </w:r>
      <w:r w:rsidRPr="002A63F9" w:rsidR="00B72C6B">
        <w:t>impairment</w:t>
      </w:r>
      <w:r w:rsidRPr="002A63F9" w:rsidR="001D5852">
        <w:t>.</w:t>
      </w:r>
      <w:r w:rsidRPr="002A63F9" w:rsidR="001D5852">
        <w:rPr>
          <w:rStyle w:val="EndnoteReference"/>
        </w:rPr>
        <w:endnoteReference w:id="61"/>
      </w:r>
    </w:p>
    <w:p w:rsidRPr="002A63F9" w:rsidR="00806AB8" w:rsidP="00B72BCA" w:rsidRDefault="00806AB8" w14:paraId="1E1ED9F1" w14:textId="26783EA7">
      <w:pPr>
        <w:pStyle w:val="ListNumber"/>
        <w:numPr>
          <w:ilvl w:val="0"/>
          <w:numId w:val="38"/>
        </w:numPr>
        <w:spacing w:before="120" w:after="120"/>
        <w:ind w:hanging="357"/>
      </w:pPr>
      <w:r w:rsidRPr="002A63F9">
        <w:rPr>
          <w:b/>
          <w:bCs/>
        </w:rPr>
        <w:t xml:space="preserve">Protection of </w:t>
      </w:r>
      <w:r w:rsidRPr="002A63F9" w:rsidR="00AE48D9">
        <w:rPr>
          <w:b/>
          <w:bCs/>
        </w:rPr>
        <w:t>people</w:t>
      </w:r>
      <w:r w:rsidRPr="002A63F9">
        <w:rPr>
          <w:b/>
          <w:bCs/>
        </w:rPr>
        <w:t xml:space="preserve"> with disabilit</w:t>
      </w:r>
      <w:r w:rsidRPr="002A63F9" w:rsidR="00AE48D9">
        <w:rPr>
          <w:b/>
          <w:bCs/>
        </w:rPr>
        <w:t>y</w:t>
      </w:r>
      <w:r w:rsidRPr="002A63F9">
        <w:rPr>
          <w:b/>
          <w:bCs/>
        </w:rPr>
        <w:t xml:space="preserve"> who are deprived of their liberty from violence, abuse and ill-treatment:</w:t>
      </w:r>
      <w:r w:rsidRPr="002A63F9" w:rsidR="009515AF">
        <w:t xml:space="preserve"> States Parties must protect the security and personal integrity of </w:t>
      </w:r>
      <w:r w:rsidRPr="002A63F9" w:rsidR="00AE48D9">
        <w:t xml:space="preserve">people with disability </w:t>
      </w:r>
      <w:r w:rsidRPr="002A63F9" w:rsidR="009515AF">
        <w:t>who are deprived of their liberty, including by eliminating the use of</w:t>
      </w:r>
      <w:r w:rsidRPr="002A63F9" w:rsidR="00B0383B">
        <w:t xml:space="preserve"> forced treatment, seclusion and various methods of restraint.</w:t>
      </w:r>
      <w:r w:rsidRPr="002A63F9" w:rsidR="00B0383B">
        <w:rPr>
          <w:rStyle w:val="EndnoteReference"/>
        </w:rPr>
        <w:endnoteReference w:id="62"/>
      </w:r>
    </w:p>
    <w:p w:rsidRPr="002A63F9" w:rsidR="001D5852" w:rsidP="00B72BCA" w:rsidRDefault="007C40A9" w14:paraId="19FACC2E" w14:textId="7E089ED9">
      <w:pPr>
        <w:pStyle w:val="ListNumber"/>
        <w:numPr>
          <w:ilvl w:val="0"/>
          <w:numId w:val="38"/>
        </w:numPr>
        <w:spacing w:before="120" w:after="120"/>
      </w:pPr>
      <w:r w:rsidRPr="002A63F9">
        <w:rPr>
          <w:b/>
          <w:bCs/>
        </w:rPr>
        <w:t xml:space="preserve">Detention of </w:t>
      </w:r>
      <w:r w:rsidRPr="002A63F9" w:rsidR="006E5A95">
        <w:rPr>
          <w:b/>
          <w:bCs/>
        </w:rPr>
        <w:t xml:space="preserve">people </w:t>
      </w:r>
      <w:r w:rsidRPr="002A63F9">
        <w:rPr>
          <w:b/>
          <w:bCs/>
        </w:rPr>
        <w:t>who are unfit to stand trial in criminal justice systems or incapable of criminal liability:</w:t>
      </w:r>
      <w:r w:rsidRPr="002A63F9">
        <w:t xml:space="preserve"> </w:t>
      </w:r>
      <w:r w:rsidRPr="002A63F9" w:rsidR="001D5852">
        <w:t xml:space="preserve">Declarations of unfitness to stand trial and the </w:t>
      </w:r>
      <w:r w:rsidRPr="002A63F9" w:rsidR="001D5852">
        <w:lastRenderedPageBreak/>
        <w:t xml:space="preserve">detention of </w:t>
      </w:r>
      <w:r w:rsidRPr="002A63F9" w:rsidR="0029216E">
        <w:t>people</w:t>
      </w:r>
      <w:r w:rsidRPr="002A63F9" w:rsidR="001D5852">
        <w:t xml:space="preserve"> based on </w:t>
      </w:r>
      <w:r w:rsidRPr="002A63F9" w:rsidR="00A64DF8">
        <w:t>such</w:t>
      </w:r>
      <w:r w:rsidRPr="002A63F9" w:rsidR="001D5852">
        <w:t xml:space="preserve"> declaration</w:t>
      </w:r>
      <w:r w:rsidRPr="002A63F9" w:rsidR="00A64DF8">
        <w:t>s</w:t>
      </w:r>
      <w:r w:rsidRPr="002A63F9" w:rsidR="001D5852">
        <w:t xml:space="preserve"> </w:t>
      </w:r>
      <w:r w:rsidRPr="002A63F9" w:rsidR="005D504E">
        <w:t>are</w:t>
      </w:r>
      <w:r w:rsidRPr="002A63F9" w:rsidR="001D5852">
        <w:t xml:space="preserve"> contrary to Article 14 as </w:t>
      </w:r>
      <w:r w:rsidRPr="002A63F9" w:rsidR="005D504E">
        <w:t>they</w:t>
      </w:r>
      <w:r w:rsidRPr="002A63F9" w:rsidR="001D5852">
        <w:t xml:space="preserve"> deprive the person of their right to due process and safeguards.</w:t>
      </w:r>
      <w:r w:rsidRPr="002A63F9" w:rsidR="001D5852">
        <w:rPr>
          <w:rStyle w:val="EndnoteReference"/>
        </w:rPr>
        <w:endnoteReference w:id="63"/>
      </w:r>
    </w:p>
    <w:p w:rsidRPr="002A63F9" w:rsidR="001637BE" w:rsidP="001637BE" w:rsidRDefault="00B02C73" w14:paraId="6F15264D" w14:textId="1C0680C4">
      <w:pPr>
        <w:pStyle w:val="ListNumber"/>
        <w:numPr>
          <w:ilvl w:val="0"/>
          <w:numId w:val="38"/>
        </w:numPr>
        <w:spacing w:before="120" w:after="120"/>
      </w:pPr>
      <w:r w:rsidRPr="002A63F9">
        <w:rPr>
          <w:b/>
          <w:bCs/>
        </w:rPr>
        <w:t xml:space="preserve">Conditions of detention of </w:t>
      </w:r>
      <w:r w:rsidRPr="002A63F9" w:rsidR="00AE48D9">
        <w:rPr>
          <w:b/>
          <w:bCs/>
        </w:rPr>
        <w:t xml:space="preserve">people </w:t>
      </w:r>
      <w:r w:rsidRPr="002A63F9">
        <w:rPr>
          <w:b/>
          <w:bCs/>
        </w:rPr>
        <w:t>with disabilit</w:t>
      </w:r>
      <w:r w:rsidRPr="002A63F9" w:rsidR="00AE48D9">
        <w:rPr>
          <w:b/>
          <w:bCs/>
        </w:rPr>
        <w:t>y</w:t>
      </w:r>
      <w:r w:rsidRPr="002A63F9">
        <w:rPr>
          <w:b/>
          <w:bCs/>
        </w:rPr>
        <w:t xml:space="preserve">: </w:t>
      </w:r>
      <w:r w:rsidRPr="002A63F9" w:rsidR="009C62A1">
        <w:t>States Parties must ensure</w:t>
      </w:r>
      <w:r w:rsidRPr="002A63F9" w:rsidR="0024611A">
        <w:t xml:space="preserve"> that</w:t>
      </w:r>
      <w:r w:rsidRPr="002A63F9" w:rsidR="009C62A1">
        <w:t xml:space="preserve"> places of detention are </w:t>
      </w:r>
      <w:r w:rsidRPr="002A63F9" w:rsidR="00AE5818">
        <w:t>accessible</w:t>
      </w:r>
      <w:r w:rsidRPr="002A63F9" w:rsidR="006D5D19">
        <w:t xml:space="preserve"> and </w:t>
      </w:r>
      <w:r w:rsidRPr="002A63F9" w:rsidR="00495FC9">
        <w:t>must provide humane living conditions</w:t>
      </w:r>
      <w:r w:rsidRPr="002A63F9" w:rsidR="002017A8">
        <w:t xml:space="preserve">. </w:t>
      </w:r>
      <w:r w:rsidRPr="002A63F9" w:rsidR="00AE48D9">
        <w:t xml:space="preserve">People with disability </w:t>
      </w:r>
      <w:r w:rsidRPr="002A63F9" w:rsidR="001D5852">
        <w:t>who are sentenced to imprisonment should be entitled to reasonable accommodation</w:t>
      </w:r>
      <w:r w:rsidRPr="002A63F9" w:rsidR="004F6F3E">
        <w:t>.</w:t>
      </w:r>
      <w:r w:rsidRPr="002A63F9" w:rsidR="001D5852">
        <w:rPr>
          <w:rStyle w:val="EndnoteReference"/>
        </w:rPr>
        <w:endnoteReference w:id="64"/>
      </w:r>
      <w:r w:rsidRPr="002A63F9" w:rsidR="001637BE">
        <w:t xml:space="preserve"> This guideline should be considered in conjunction with OPCAT, particularly the requirement that States Parties introduce systems of monitoring in places of detention.</w:t>
      </w:r>
      <w:r w:rsidRPr="002A63F9" w:rsidR="001637BE">
        <w:rPr>
          <w:rStyle w:val="EndnoteReference"/>
        </w:rPr>
        <w:endnoteReference w:id="65"/>
      </w:r>
    </w:p>
    <w:p w:rsidRPr="002A63F9" w:rsidR="000348B2" w:rsidP="00B72BCA" w:rsidRDefault="00E428C8" w14:paraId="16D7F601" w14:textId="1F020342">
      <w:pPr>
        <w:pStyle w:val="ListNumber"/>
        <w:numPr>
          <w:ilvl w:val="0"/>
          <w:numId w:val="38"/>
        </w:numPr>
        <w:spacing w:before="120" w:after="120"/>
      </w:pPr>
      <w:r w:rsidRPr="002A63F9">
        <w:rPr>
          <w:b/>
          <w:bCs/>
        </w:rPr>
        <w:t>Diversion mechanisms and restorative justice schemes:</w:t>
      </w:r>
      <w:r w:rsidRPr="002A63F9">
        <w:t xml:space="preserve"> </w:t>
      </w:r>
      <w:r w:rsidRPr="002A63F9" w:rsidR="00197FAF">
        <w:t>Deprivation of liberty in criminal proceedings should apply only as a matter of last re</w:t>
      </w:r>
      <w:r w:rsidRPr="002A63F9" w:rsidR="001D6C07">
        <w:t>sort</w:t>
      </w:r>
      <w:r w:rsidRPr="002A63F9" w:rsidR="00C44E1F">
        <w:t xml:space="preserve">. Diversion programmes </w:t>
      </w:r>
      <w:r w:rsidRPr="002A63F9" w:rsidR="002A5299">
        <w:t xml:space="preserve">must not involve a transfer to mental health commitment regimes; </w:t>
      </w:r>
      <w:r w:rsidRPr="002A63F9" w:rsidR="0034758F">
        <w:t>such services should only be provided on the basis of an individual’s free and informed consent.</w:t>
      </w:r>
      <w:r w:rsidRPr="002A63F9" w:rsidR="0034758F">
        <w:rPr>
          <w:rStyle w:val="EndnoteReference"/>
        </w:rPr>
        <w:endnoteReference w:id="66"/>
      </w:r>
    </w:p>
    <w:p w:rsidRPr="002A63F9" w:rsidR="008B377B" w:rsidP="00861DD9" w:rsidRDefault="008B377B" w14:paraId="3E0D69CF" w14:textId="1F1E7E32">
      <w:pPr>
        <w:pStyle w:val="Heading1"/>
        <w:spacing w:line="276" w:lineRule="auto"/>
      </w:pPr>
      <w:bookmarkStart w:name="_Toc35535488" w:id="27"/>
      <w:r w:rsidRPr="002A63F9">
        <w:t xml:space="preserve">Implementation of </w:t>
      </w:r>
      <w:r w:rsidRPr="002A63F9" w:rsidR="00B71B3F">
        <w:t>CRPD Articles 12, 13 and 14</w:t>
      </w:r>
      <w:r w:rsidRPr="002A63F9" w:rsidR="00E93D8A">
        <w:t xml:space="preserve"> </w:t>
      </w:r>
      <w:r w:rsidRPr="002A63F9">
        <w:t>in Australia</w:t>
      </w:r>
      <w:bookmarkEnd w:id="27"/>
    </w:p>
    <w:p w:rsidR="00DD3323" w:rsidP="00DD3323" w:rsidRDefault="007D17C0" w14:paraId="7B7ADDC2" w14:textId="6FDF68E6">
      <w:pPr>
        <w:pStyle w:val="ListNumber"/>
      </w:pPr>
      <w:r w:rsidRPr="002A63F9">
        <w:t xml:space="preserve">The Commission is concerned that Australia still has </w:t>
      </w:r>
      <w:r w:rsidR="00274F54">
        <w:t>a considerable</w:t>
      </w:r>
      <w:r w:rsidRPr="002A63F9">
        <w:t xml:space="preserve"> way to go in fulfilling its obligations </w:t>
      </w:r>
      <w:r w:rsidRPr="002A63F9" w:rsidR="006F48CF">
        <w:t xml:space="preserve">in regard </w:t>
      </w:r>
      <w:r w:rsidRPr="002A63F9">
        <w:t xml:space="preserve">to </w:t>
      </w:r>
      <w:r w:rsidRPr="002A63F9" w:rsidR="00E93D8A">
        <w:t>people with disability who interact with the criminal justice system</w:t>
      </w:r>
      <w:r w:rsidRPr="002A63F9">
        <w:t>.</w:t>
      </w:r>
      <w:r w:rsidRPr="002A63F9" w:rsidR="00D2377F">
        <w:t xml:space="preserve"> </w:t>
      </w:r>
      <w:r w:rsidRPr="002A63F9">
        <w:t xml:space="preserve">This section identifies some of the key areas in which the implementation of </w:t>
      </w:r>
      <w:r w:rsidRPr="002A63F9" w:rsidR="009C1283">
        <w:t>Articles 12, 13 and 14</w:t>
      </w:r>
      <w:r w:rsidRPr="002A63F9">
        <w:t xml:space="preserve"> </w:t>
      </w:r>
      <w:r w:rsidRPr="002A63F9" w:rsidR="00D2377F">
        <w:t>is</w:t>
      </w:r>
      <w:r w:rsidRPr="002A63F9" w:rsidR="00E51488">
        <w:t xml:space="preserve"> </w:t>
      </w:r>
      <w:r w:rsidRPr="002A63F9">
        <w:t>being challenged</w:t>
      </w:r>
      <w:r w:rsidRPr="002A63F9" w:rsidR="00D06E9D">
        <w:t xml:space="preserve"> and makes recommendations for change</w:t>
      </w:r>
      <w:r w:rsidRPr="002A63F9" w:rsidR="003D7E19">
        <w:t>.</w:t>
      </w:r>
    </w:p>
    <w:p w:rsidRPr="002A63F9" w:rsidR="00010FA2" w:rsidP="00DD3323" w:rsidRDefault="00B84F3D" w14:paraId="1EA1317A" w14:textId="091F9DB2">
      <w:pPr>
        <w:pStyle w:val="ListNumber"/>
      </w:pPr>
      <w:r w:rsidRPr="00DD3323">
        <w:rPr>
          <w:rFonts w:eastAsia="Open Sans" w:cs="Open Sans"/>
        </w:rPr>
        <w:t>In all areas discussed in this submission, t</w:t>
      </w:r>
      <w:r w:rsidRPr="00DD3323" w:rsidR="00272DB1">
        <w:rPr>
          <w:rFonts w:eastAsia="Open Sans" w:cs="Open Sans"/>
        </w:rPr>
        <w:t>he Commission emphasises the need to consult people with disability</w:t>
      </w:r>
      <w:r w:rsidRPr="00DD3323" w:rsidR="00010FA2">
        <w:rPr>
          <w:rFonts w:eastAsia="Open Sans" w:cs="Open Sans"/>
        </w:rPr>
        <w:t xml:space="preserve">, including </w:t>
      </w:r>
      <w:r w:rsidRPr="00DD3323" w:rsidR="003F1C15">
        <w:rPr>
          <w:rFonts w:eastAsia="Open Sans" w:cs="Open Sans"/>
        </w:rPr>
        <w:t xml:space="preserve">Aboriginal and Torres Strait Islander people with disability, </w:t>
      </w:r>
      <w:r w:rsidRPr="00DD3323" w:rsidR="005D4E55">
        <w:rPr>
          <w:rFonts w:eastAsia="Open Sans" w:cs="Open Sans"/>
        </w:rPr>
        <w:t>CALD</w:t>
      </w:r>
      <w:r w:rsidRPr="00DD3323" w:rsidR="0043057F">
        <w:rPr>
          <w:rFonts w:eastAsia="Open Sans" w:cs="Open Sans"/>
        </w:rPr>
        <w:t xml:space="preserve"> </w:t>
      </w:r>
      <w:r w:rsidRPr="00DD3323" w:rsidR="00071107">
        <w:rPr>
          <w:rFonts w:eastAsia="Open Sans" w:cs="Open Sans"/>
        </w:rPr>
        <w:t>people with disability, and those from rural, regional and remote areas of Australia</w:t>
      </w:r>
      <w:r w:rsidRPr="00DD3323" w:rsidR="0043057F">
        <w:rPr>
          <w:rFonts w:eastAsia="Open Sans" w:cs="Open Sans"/>
        </w:rPr>
        <w:t>.</w:t>
      </w:r>
      <w:r w:rsidRPr="00DD3323" w:rsidR="00010FA2">
        <w:rPr>
          <w:rFonts w:eastAsia="Open Sans" w:cs="Open Sans"/>
        </w:rPr>
        <w:t xml:space="preserve"> </w:t>
      </w:r>
      <w:r w:rsidRPr="00DD3323" w:rsidR="00685C56">
        <w:rPr>
          <w:rFonts w:eastAsia="Open Sans" w:cs="Open Sans"/>
        </w:rPr>
        <w:t>This includes regular e</w:t>
      </w:r>
      <w:r w:rsidRPr="00DD3323" w:rsidR="00AA4EEA">
        <w:rPr>
          <w:rFonts w:eastAsia="Open Sans" w:cs="Open Sans"/>
        </w:rPr>
        <w:t xml:space="preserve">ngagement </w:t>
      </w:r>
      <w:r w:rsidRPr="00DD3323" w:rsidR="00685C56">
        <w:rPr>
          <w:rFonts w:eastAsia="Open Sans" w:cs="Open Sans"/>
        </w:rPr>
        <w:t>with</w:t>
      </w:r>
      <w:r w:rsidRPr="00DD3323" w:rsidR="00AA4EEA">
        <w:rPr>
          <w:rFonts w:eastAsia="Open Sans" w:cs="Open Sans"/>
        </w:rPr>
        <w:t xml:space="preserve"> </w:t>
      </w:r>
      <w:r w:rsidRPr="00DD3323" w:rsidR="004772BB">
        <w:rPr>
          <w:rFonts w:eastAsia="Open Sans" w:cs="Open Sans"/>
        </w:rPr>
        <w:t>peak civil society organisations</w:t>
      </w:r>
      <w:r w:rsidRPr="00DD3323" w:rsidR="004A2B0A">
        <w:rPr>
          <w:rFonts w:eastAsia="Open Sans" w:cs="Open Sans"/>
        </w:rPr>
        <w:t xml:space="preserve">, such as </w:t>
      </w:r>
      <w:r w:rsidR="00BD30B8">
        <w:rPr>
          <w:rFonts w:eastAsia="Open Sans" w:cs="Open Sans"/>
        </w:rPr>
        <w:t xml:space="preserve">the </w:t>
      </w:r>
      <w:r w:rsidRPr="00DD3323" w:rsidR="004A2B0A">
        <w:rPr>
          <w:rFonts w:eastAsia="Open Sans" w:cs="Open Sans"/>
        </w:rPr>
        <w:t>First People</w:t>
      </w:r>
      <w:r w:rsidRPr="00DD3323" w:rsidR="00D01BF7">
        <w:rPr>
          <w:rFonts w:eastAsia="Open Sans" w:cs="Open Sans"/>
        </w:rPr>
        <w:t>s Disability Network</w:t>
      </w:r>
      <w:r w:rsidRPr="00DD3323" w:rsidR="00470782">
        <w:rPr>
          <w:rFonts w:eastAsia="Open Sans" w:cs="Open Sans"/>
        </w:rPr>
        <w:t>.</w:t>
      </w:r>
      <w:r w:rsidRPr="00DD3323" w:rsidR="004772BB">
        <w:rPr>
          <w:rFonts w:eastAsia="Open Sans" w:cs="Open Sans"/>
        </w:rPr>
        <w:t xml:space="preserve"> </w:t>
      </w:r>
      <w:r w:rsidRPr="00DD3323" w:rsidR="00010FA2">
        <w:rPr>
          <w:rFonts w:eastAsia="Open Sans" w:cs="Open Sans"/>
        </w:rPr>
        <w:t>In this regard, Article 4(3) of the CRPD provides:</w:t>
      </w:r>
    </w:p>
    <w:p w:rsidRPr="002A63F9" w:rsidR="00010FA2" w:rsidP="00FE4A4A" w:rsidRDefault="00010FA2" w14:paraId="42930E87" w14:textId="354DA320">
      <w:pPr>
        <w:pStyle w:val="Quote"/>
      </w:pPr>
      <w:r w:rsidRPr="002A63F9">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rsidRPr="002A63F9" w:rsidR="00D369E1" w:rsidP="000E04DA" w:rsidRDefault="00D369E1" w14:paraId="3CAE6355" w14:textId="54B70FF1">
      <w:pPr>
        <w:pStyle w:val="Heading2"/>
      </w:pPr>
      <w:bookmarkStart w:name="_Toc35535489" w:id="28"/>
      <w:r w:rsidRPr="002A63F9">
        <w:t>Inclu</w:t>
      </w:r>
      <w:r w:rsidRPr="002A63F9" w:rsidR="00D2377F">
        <w:t>sion of</w:t>
      </w:r>
      <w:r w:rsidRPr="002A63F9">
        <w:t xml:space="preserve"> criminal justice</w:t>
      </w:r>
      <w:r w:rsidRPr="002A63F9" w:rsidR="000742B8">
        <w:t xml:space="preserve"> </w:t>
      </w:r>
      <w:r w:rsidRPr="002A63F9" w:rsidR="00A64ADD">
        <w:t xml:space="preserve">statistics </w:t>
      </w:r>
      <w:r w:rsidRPr="002A63F9">
        <w:t>in the National Disability Data Asset</w:t>
      </w:r>
      <w:bookmarkEnd w:id="28"/>
    </w:p>
    <w:p w:rsidRPr="002A63F9" w:rsidR="0028791B" w:rsidP="00D5779A" w:rsidRDefault="006D5D08" w14:paraId="68AD390A" w14:textId="5C3B2D5D">
      <w:pPr>
        <w:pStyle w:val="ListNumber"/>
      </w:pPr>
      <w:r w:rsidRPr="002A63F9">
        <w:t xml:space="preserve">This section </w:t>
      </w:r>
      <w:r w:rsidRPr="002A63F9" w:rsidR="000C5212">
        <w:t xml:space="preserve">addresses </w:t>
      </w:r>
      <w:r w:rsidRPr="002A63F9" w:rsidR="00F93061">
        <w:t xml:space="preserve">the absence of </w:t>
      </w:r>
      <w:r w:rsidRPr="002A63F9" w:rsidR="00FE4432">
        <w:t>national data relating to the involvement of people with disability in the criminal justice system and discusses the need for the inclusion of criminal justice statistics in the National Disability Data Asset (ND</w:t>
      </w:r>
      <w:r w:rsidRPr="002A63F9" w:rsidR="00D2377F">
        <w:t>D</w:t>
      </w:r>
      <w:r w:rsidRPr="002A63F9" w:rsidR="00FE4432">
        <w:t>A).</w:t>
      </w:r>
      <w:r w:rsidRPr="002A63F9" w:rsidR="00C17C41">
        <w:t xml:space="preserve"> </w:t>
      </w:r>
      <w:r w:rsidRPr="002A63F9" w:rsidR="0056121A">
        <w:t xml:space="preserve">This </w:t>
      </w:r>
      <w:r w:rsidRPr="002A63F9" w:rsidR="004040E6">
        <w:t xml:space="preserve">discussion </w:t>
      </w:r>
      <w:r w:rsidRPr="002A63F9" w:rsidR="0056121A">
        <w:t xml:space="preserve">will </w:t>
      </w:r>
      <w:r w:rsidRPr="002A63F9" w:rsidR="006D4100">
        <w:lastRenderedPageBreak/>
        <w:t>address the Issues Paper at large and</w:t>
      </w:r>
      <w:r w:rsidRPr="002A63F9" w:rsidR="009F6089">
        <w:t>,</w:t>
      </w:r>
      <w:r w:rsidRPr="002A63F9" w:rsidR="006D4100">
        <w:t xml:space="preserve"> </w:t>
      </w:r>
      <w:r w:rsidRPr="002A63F9" w:rsidR="004040E6">
        <w:t xml:space="preserve">more specifically, will </w:t>
      </w:r>
      <w:r w:rsidRPr="002A63F9" w:rsidR="00E76967">
        <w:t xml:space="preserve">seek </w:t>
      </w:r>
      <w:r w:rsidRPr="002A63F9" w:rsidR="009F6089">
        <w:t xml:space="preserve">to </w:t>
      </w:r>
      <w:r w:rsidRPr="002A63F9" w:rsidR="004040E6">
        <w:t xml:space="preserve">answer </w:t>
      </w:r>
      <w:r w:rsidRPr="002A63F9" w:rsidR="006D4100">
        <w:t>question</w:t>
      </w:r>
      <w:r w:rsidRPr="002A63F9" w:rsidR="004040E6">
        <w:t>s</w:t>
      </w:r>
      <w:r w:rsidRPr="002A63F9" w:rsidR="006D4100">
        <w:t xml:space="preserve"> 2</w:t>
      </w:r>
      <w:r w:rsidRPr="002A63F9" w:rsidR="00DE7AFD">
        <w:t>A and 2B</w:t>
      </w:r>
      <w:r w:rsidRPr="002A63F9" w:rsidR="006D4100">
        <w:t>.</w:t>
      </w:r>
      <w:r w:rsidRPr="002A63F9" w:rsidR="006D4100">
        <w:rPr>
          <w:rStyle w:val="EndnoteReference"/>
        </w:rPr>
        <w:endnoteReference w:id="67"/>
      </w:r>
    </w:p>
    <w:p w:rsidRPr="002A63F9" w:rsidR="00EB3D25" w:rsidP="00D5779A" w:rsidRDefault="00EB3D25" w14:paraId="12783267" w14:textId="4F50C548">
      <w:pPr>
        <w:pStyle w:val="ListNumber"/>
      </w:pPr>
      <w:r w:rsidRPr="002A63F9">
        <w:t xml:space="preserve">Article 31 of the CRPD requires </w:t>
      </w:r>
      <w:r w:rsidRPr="002A63F9" w:rsidR="001644D6">
        <w:t>Australia</w:t>
      </w:r>
      <w:r w:rsidRPr="002A63F9">
        <w:t xml:space="preserve"> to collect all appropriate data required to give effect to the Convention.</w:t>
      </w:r>
    </w:p>
    <w:p w:rsidRPr="002A63F9" w:rsidR="00177817" w:rsidP="00D5779A" w:rsidRDefault="00177817" w14:paraId="13905872" w14:textId="6DD9F605">
      <w:pPr>
        <w:pStyle w:val="ListNumber"/>
      </w:pPr>
      <w:r w:rsidRPr="002A63F9">
        <w:t>In its submission to the CRPD Committee in July 2019, the Commission recommended</w:t>
      </w:r>
      <w:r w:rsidRPr="002A63F9" w:rsidR="00DE44BA">
        <w:t xml:space="preserve"> that the Australian Government, in conjunction with the Office of the National Data Commissioner, develop a national disability data framework to ensure appropriate, nationally consistent measures for the collection and public reporting of disaggregated data across the full range of obligations contained in the CRPD.</w:t>
      </w:r>
      <w:r w:rsidRPr="002A63F9">
        <w:rPr>
          <w:rStyle w:val="EndnoteReference"/>
        </w:rPr>
        <w:endnoteReference w:id="68"/>
      </w:r>
    </w:p>
    <w:p w:rsidRPr="002A63F9" w:rsidR="009A533B" w:rsidP="00D5779A" w:rsidRDefault="009A533B" w14:paraId="6BEBAB0D" w14:textId="57144FD7">
      <w:pPr>
        <w:pStyle w:val="ListNumber"/>
      </w:pPr>
      <w:r w:rsidRPr="002A63F9">
        <w:t xml:space="preserve">In September 2019, the Australian Government announced the establishment of a new </w:t>
      </w:r>
      <w:r w:rsidRPr="002A63F9" w:rsidR="00FE4432">
        <w:t>ND</w:t>
      </w:r>
      <w:r w:rsidRPr="002A63F9" w:rsidR="00D2377F">
        <w:t>D</w:t>
      </w:r>
      <w:r w:rsidRPr="002A63F9" w:rsidR="00FE4432">
        <w:t>A</w:t>
      </w:r>
      <w:r w:rsidRPr="002A63F9">
        <w:t>, a body of statistics that aims to provide a holistic view of the lived experience of Australians with disability.</w:t>
      </w:r>
      <w:r w:rsidRPr="002A63F9">
        <w:rPr>
          <w:rStyle w:val="EndnoteReference"/>
        </w:rPr>
        <w:endnoteReference w:id="69"/>
      </w:r>
      <w:r w:rsidRPr="002A63F9">
        <w:t xml:space="preserve"> </w:t>
      </w:r>
      <w:r w:rsidRPr="002A63F9" w:rsidR="00200C24">
        <w:t>The Commission welcomes th</w:t>
      </w:r>
      <w:r w:rsidRPr="002A63F9" w:rsidR="0089301A">
        <w:t xml:space="preserve">is initiative and </w:t>
      </w:r>
      <w:r w:rsidR="00564067">
        <w:t>reiterates</w:t>
      </w:r>
      <w:r w:rsidR="0096658A">
        <w:t xml:space="preserve"> </w:t>
      </w:r>
      <w:r w:rsidRPr="002A63F9" w:rsidR="0089301A">
        <w:t xml:space="preserve">the importance of </w:t>
      </w:r>
      <w:r w:rsidRPr="002A63F9" w:rsidR="00DE51D4">
        <w:t xml:space="preserve">national data collection and reporting </w:t>
      </w:r>
      <w:r w:rsidRPr="002A63F9" w:rsidR="00154670">
        <w:t xml:space="preserve">in </w:t>
      </w:r>
      <w:r w:rsidRPr="002A63F9" w:rsidR="00F429CD">
        <w:t>protecting the rights of people with disability</w:t>
      </w:r>
      <w:r w:rsidRPr="002A63F9" w:rsidR="00154670">
        <w:t>.</w:t>
      </w:r>
    </w:p>
    <w:p w:rsidRPr="002A63F9" w:rsidR="00325AEB" w:rsidP="005D7A3F" w:rsidRDefault="00EB2EDB" w14:paraId="56F3CA0D" w14:textId="1AF6CFD8">
      <w:pPr>
        <w:pStyle w:val="ListNumber"/>
        <w:spacing w:after="120"/>
        <w:ind w:left="357" w:hanging="357"/>
      </w:pPr>
      <w:r>
        <w:t>In t</w:t>
      </w:r>
      <w:r w:rsidRPr="002A63F9" w:rsidR="009F2D8F">
        <w:t xml:space="preserve">he CRPD Committee’s Concluding Observations on the combined second and third periodic reports of Australia in October 2019 (2019 Concluding Observations), </w:t>
      </w:r>
      <w:r w:rsidRPr="002A63F9" w:rsidR="00325AEB">
        <w:t xml:space="preserve">the CRPD Committee expressed its appreciation for </w:t>
      </w:r>
    </w:p>
    <w:p w:rsidRPr="002A63F9" w:rsidR="009A3149" w:rsidP="005D7A3F" w:rsidRDefault="009A3149" w14:paraId="4800B85C" w14:textId="3712F8CD">
      <w:pPr>
        <w:pStyle w:val="Quote"/>
        <w:spacing w:before="120" w:after="240"/>
      </w:pPr>
      <w:r w:rsidRPr="002A63F9">
        <w:t>The endorsement of a new national disability data set bringing together Commonwealth, state and territory data from across multiple sources and systems to provide a more complete picture of the requirements of persons with disabilities.</w:t>
      </w:r>
      <w:r w:rsidRPr="002A63F9" w:rsidR="00D40891">
        <w:rPr>
          <w:rStyle w:val="EndnoteReference"/>
          <w:sz w:val="22"/>
          <w:szCs w:val="22"/>
        </w:rPr>
        <w:endnoteReference w:id="70"/>
      </w:r>
    </w:p>
    <w:p w:rsidRPr="002A63F9" w:rsidR="00C035AA" w:rsidP="0060411A" w:rsidRDefault="00325AEB" w14:paraId="61BC5171" w14:textId="6B25BF40">
      <w:pPr>
        <w:pStyle w:val="ListNumber"/>
        <w:spacing w:before="120" w:after="120"/>
        <w:ind w:hanging="357"/>
      </w:pPr>
      <w:r w:rsidRPr="002A63F9">
        <w:t>However</w:t>
      </w:r>
      <w:r w:rsidRPr="002A63F9" w:rsidR="002F4977">
        <w:t>, the CRPD Committee expressed concern over the absence of national data</w:t>
      </w:r>
      <w:r w:rsidRPr="002A63F9" w:rsidR="00127BBE">
        <w:t xml:space="preserve"> relating to the involvement of people with disability in the criminal justice system.</w:t>
      </w:r>
      <w:r w:rsidRPr="002A63F9" w:rsidR="00127BBE">
        <w:rPr>
          <w:rStyle w:val="EndnoteReference"/>
        </w:rPr>
        <w:endnoteReference w:id="71"/>
      </w:r>
      <w:r w:rsidRPr="002A63F9" w:rsidR="00F703ED">
        <w:t xml:space="preserve"> The Committee subsequently recommended that Australia collect data disaggregate</w:t>
      </w:r>
      <w:r w:rsidRPr="002A63F9" w:rsidR="00C035AA">
        <w:t>d</w:t>
      </w:r>
      <w:r w:rsidRPr="002A63F9" w:rsidR="00F703ED">
        <w:t xml:space="preserve"> by</w:t>
      </w:r>
      <w:r w:rsidRPr="002A63F9" w:rsidR="00C035AA">
        <w:t>:</w:t>
      </w:r>
    </w:p>
    <w:p w:rsidRPr="002A63F9" w:rsidR="00C035AA" w:rsidP="0060411A" w:rsidRDefault="00C035AA" w14:paraId="2E6DE1EA" w14:textId="4B1DA9D5">
      <w:pPr>
        <w:pStyle w:val="ListNumber"/>
        <w:numPr>
          <w:ilvl w:val="0"/>
          <w:numId w:val="44"/>
        </w:numPr>
        <w:spacing w:before="120" w:after="120" w:line="240" w:lineRule="auto"/>
        <w:ind w:hanging="357"/>
      </w:pPr>
      <w:r w:rsidRPr="002A63F9">
        <w:t>d</w:t>
      </w:r>
      <w:r w:rsidRPr="002A63F9" w:rsidR="00F703ED">
        <w:t xml:space="preserve">isability </w:t>
      </w:r>
    </w:p>
    <w:p w:rsidRPr="002A63F9" w:rsidR="00C035AA" w:rsidP="0060411A" w:rsidRDefault="00C035AA" w14:paraId="6A9ACEFF" w14:textId="15E7C08E">
      <w:pPr>
        <w:pStyle w:val="ListNumber"/>
        <w:numPr>
          <w:ilvl w:val="0"/>
          <w:numId w:val="44"/>
        </w:numPr>
        <w:spacing w:before="120" w:after="120" w:line="240" w:lineRule="auto"/>
        <w:ind w:hanging="357"/>
      </w:pPr>
      <w:r w:rsidRPr="002A63F9">
        <w:t>a</w:t>
      </w:r>
      <w:r w:rsidRPr="002A63F9" w:rsidR="00F703ED">
        <w:t>ge</w:t>
      </w:r>
    </w:p>
    <w:p w:rsidRPr="002A63F9" w:rsidR="00C035AA" w:rsidP="0060411A" w:rsidRDefault="00F703ED" w14:paraId="123DE0F7" w14:textId="76D2BE0E">
      <w:pPr>
        <w:pStyle w:val="ListNumber"/>
        <w:numPr>
          <w:ilvl w:val="0"/>
          <w:numId w:val="44"/>
        </w:numPr>
        <w:spacing w:before="120" w:after="120" w:line="240" w:lineRule="auto"/>
        <w:ind w:hanging="357"/>
      </w:pPr>
      <w:r w:rsidRPr="002A63F9">
        <w:t>gender</w:t>
      </w:r>
    </w:p>
    <w:p w:rsidRPr="002A63F9" w:rsidR="00C035AA" w:rsidP="0060411A" w:rsidRDefault="00C035AA" w14:paraId="2E53371D" w14:textId="4C703CC6">
      <w:pPr>
        <w:pStyle w:val="ListNumber"/>
        <w:numPr>
          <w:ilvl w:val="0"/>
          <w:numId w:val="44"/>
        </w:numPr>
        <w:spacing w:before="120" w:after="120" w:line="240" w:lineRule="auto"/>
        <w:ind w:hanging="357"/>
      </w:pPr>
      <w:r w:rsidRPr="002A63F9">
        <w:t>l</w:t>
      </w:r>
      <w:r w:rsidRPr="002A63F9" w:rsidR="00F703ED">
        <w:t xml:space="preserve">ocation </w:t>
      </w:r>
    </w:p>
    <w:p w:rsidRPr="002A63F9" w:rsidR="00C035AA" w:rsidP="0060411A" w:rsidRDefault="00F703ED" w14:paraId="514260E3" w14:textId="364D365B">
      <w:pPr>
        <w:pStyle w:val="ListNumber"/>
        <w:numPr>
          <w:ilvl w:val="0"/>
          <w:numId w:val="44"/>
        </w:numPr>
        <w:spacing w:before="120" w:after="120" w:line="240" w:lineRule="auto"/>
        <w:ind w:hanging="357"/>
      </w:pPr>
      <w:r w:rsidRPr="002A63F9">
        <w:t>ethnicity</w:t>
      </w:r>
      <w:r w:rsidRPr="002A63F9" w:rsidR="00401F68">
        <w:t>,</w:t>
      </w:r>
      <w:r w:rsidRPr="002A63F9">
        <w:t xml:space="preserve"> </w:t>
      </w:r>
    </w:p>
    <w:p w:rsidRPr="002A63F9" w:rsidR="002F4977" w:rsidP="00D5779A" w:rsidRDefault="00CB1E61" w14:paraId="25174729" w14:textId="27FB43C1">
      <w:pPr>
        <w:pStyle w:val="ListNumber"/>
        <w:numPr>
          <w:ilvl w:val="0"/>
          <w:numId w:val="0"/>
        </w:numPr>
        <w:ind w:left="360"/>
      </w:pPr>
      <w:r>
        <w:t>‘</w:t>
      </w:r>
      <w:r w:rsidRPr="002A63F9" w:rsidR="00F703ED">
        <w:t>at all stages of the criminal just</w:t>
      </w:r>
      <w:r w:rsidRPr="002A63F9" w:rsidR="00C035AA">
        <w:t>ice system</w:t>
      </w:r>
      <w:r>
        <w:t>’</w:t>
      </w:r>
      <w:r w:rsidRPr="002A63F9" w:rsidR="00F703ED">
        <w:t>.</w:t>
      </w:r>
      <w:r w:rsidRPr="002A63F9" w:rsidR="00F703ED">
        <w:rPr>
          <w:rStyle w:val="EndnoteReference"/>
        </w:rPr>
        <w:endnoteReference w:id="72"/>
      </w:r>
    </w:p>
    <w:p w:rsidRPr="002A63F9" w:rsidR="00C035AA" w:rsidP="0060411A" w:rsidRDefault="00C035AA" w14:paraId="4904CA72" w14:textId="1610003E">
      <w:pPr>
        <w:pStyle w:val="ListNumber"/>
        <w:spacing w:before="120" w:after="120"/>
        <w:ind w:hanging="357"/>
      </w:pPr>
      <w:r w:rsidRPr="002A63F9">
        <w:t xml:space="preserve"> The CRPD Committee also recommended that Australia collect data on the number of </w:t>
      </w:r>
      <w:r w:rsidRPr="002A63F9" w:rsidR="00805170">
        <w:t xml:space="preserve">people </w:t>
      </w:r>
      <w:r w:rsidRPr="002A63F9">
        <w:t>detained indefinitely on an annual basis, disaggregated by</w:t>
      </w:r>
      <w:r w:rsidRPr="002A63F9" w:rsidR="006D45A2">
        <w:t>:</w:t>
      </w:r>
    </w:p>
    <w:p w:rsidRPr="002A63F9" w:rsidR="006D45A2" w:rsidP="0060411A" w:rsidRDefault="006D45A2" w14:paraId="3618E41C" w14:textId="12DF3B37">
      <w:pPr>
        <w:pStyle w:val="ListNumber"/>
        <w:numPr>
          <w:ilvl w:val="0"/>
          <w:numId w:val="45"/>
        </w:numPr>
        <w:spacing w:before="120" w:after="120" w:line="240" w:lineRule="auto"/>
        <w:ind w:hanging="357"/>
      </w:pPr>
      <w:r w:rsidRPr="002A63F9">
        <w:t>the nature of the offence</w:t>
      </w:r>
    </w:p>
    <w:p w:rsidRPr="002A63F9" w:rsidR="006D45A2" w:rsidP="0060411A" w:rsidRDefault="006D45A2" w14:paraId="34268E73" w14:textId="18EF7A16">
      <w:pPr>
        <w:pStyle w:val="ListNumber"/>
        <w:numPr>
          <w:ilvl w:val="0"/>
          <w:numId w:val="45"/>
        </w:numPr>
        <w:spacing w:before="120" w:after="120" w:line="240" w:lineRule="auto"/>
        <w:ind w:hanging="357"/>
      </w:pPr>
      <w:r w:rsidRPr="002A63F9">
        <w:lastRenderedPageBreak/>
        <w:t>the length of the detention</w:t>
      </w:r>
    </w:p>
    <w:p w:rsidRPr="002A63F9" w:rsidR="006D45A2" w:rsidP="0060411A" w:rsidRDefault="006D45A2" w14:paraId="409BF439" w14:textId="362B4DF2">
      <w:pPr>
        <w:pStyle w:val="ListNumber"/>
        <w:numPr>
          <w:ilvl w:val="0"/>
          <w:numId w:val="45"/>
        </w:numPr>
        <w:spacing w:before="120" w:after="120" w:line="240" w:lineRule="auto"/>
        <w:ind w:hanging="357"/>
      </w:pPr>
      <w:r w:rsidRPr="002A63F9">
        <w:t>disability</w:t>
      </w:r>
    </w:p>
    <w:p w:rsidRPr="002A63F9" w:rsidR="006D45A2" w:rsidP="0060411A" w:rsidRDefault="006D45A2" w14:paraId="407A04F1" w14:textId="365A2058">
      <w:pPr>
        <w:pStyle w:val="ListNumber"/>
        <w:numPr>
          <w:ilvl w:val="0"/>
          <w:numId w:val="45"/>
        </w:numPr>
        <w:spacing w:before="120" w:after="120" w:line="240" w:lineRule="auto"/>
        <w:ind w:hanging="357"/>
      </w:pPr>
      <w:r w:rsidRPr="002A63F9">
        <w:t>Aboriginal and other origin</w:t>
      </w:r>
    </w:p>
    <w:p w:rsidRPr="002A63F9" w:rsidR="006D45A2" w:rsidP="0060411A" w:rsidRDefault="006D45A2" w14:paraId="57EDD390" w14:textId="3A97AB3B">
      <w:pPr>
        <w:pStyle w:val="ListNumber"/>
        <w:numPr>
          <w:ilvl w:val="0"/>
          <w:numId w:val="45"/>
        </w:numPr>
        <w:spacing w:before="120" w:after="120" w:line="240" w:lineRule="auto"/>
        <w:ind w:hanging="357"/>
      </w:pPr>
      <w:r w:rsidRPr="002A63F9">
        <w:t>sex</w:t>
      </w:r>
    </w:p>
    <w:p w:rsidRPr="002A63F9" w:rsidR="006D45A2" w:rsidP="0060411A" w:rsidRDefault="006D45A2" w14:paraId="42707D04" w14:textId="3AF18F53">
      <w:pPr>
        <w:pStyle w:val="ListNumber"/>
        <w:numPr>
          <w:ilvl w:val="0"/>
          <w:numId w:val="45"/>
        </w:numPr>
        <w:spacing w:before="120" w:after="120" w:line="240" w:lineRule="auto"/>
        <w:ind w:hanging="357"/>
      </w:pPr>
      <w:r w:rsidRPr="002A63F9">
        <w:t>age</w:t>
      </w:r>
    </w:p>
    <w:p w:rsidRPr="002A63F9" w:rsidR="006D45A2" w:rsidP="0060411A" w:rsidRDefault="006D45A2" w14:paraId="18ABD034" w14:textId="362F265B">
      <w:pPr>
        <w:pStyle w:val="ListNumber"/>
        <w:numPr>
          <w:ilvl w:val="0"/>
          <w:numId w:val="45"/>
        </w:numPr>
        <w:spacing w:before="120" w:after="120" w:line="240" w:lineRule="auto"/>
        <w:ind w:hanging="357"/>
      </w:pPr>
      <w:r w:rsidRPr="002A63F9">
        <w:t>jurisdiction</w:t>
      </w:r>
      <w:r w:rsidRPr="002A63F9" w:rsidR="00401F68">
        <w:t>,</w:t>
      </w:r>
    </w:p>
    <w:p w:rsidRPr="002A63F9" w:rsidR="00401F68" w:rsidP="00401F68" w:rsidRDefault="00401F68" w14:paraId="4BD9C796" w14:textId="70BD68FC">
      <w:pPr>
        <w:pStyle w:val="ListNumber"/>
        <w:numPr>
          <w:ilvl w:val="0"/>
          <w:numId w:val="0"/>
        </w:numPr>
        <w:spacing w:before="120" w:after="120" w:line="240" w:lineRule="auto"/>
        <w:ind w:left="360" w:hanging="360"/>
      </w:pPr>
      <w:r w:rsidRPr="002A63F9">
        <w:tab/>
      </w:r>
      <w:r w:rsidR="00CB1E61">
        <w:t>‘</w:t>
      </w:r>
      <w:r w:rsidRPr="002A63F9" w:rsidR="00EE6BDD">
        <w:t>with the aim of reviewing their detention</w:t>
      </w:r>
      <w:r w:rsidR="00CB1E61">
        <w:t>’</w:t>
      </w:r>
      <w:r w:rsidRPr="002A63F9" w:rsidR="00EE6BDD">
        <w:t>.</w:t>
      </w:r>
      <w:r w:rsidRPr="002A63F9" w:rsidR="00766F81">
        <w:rPr>
          <w:rStyle w:val="EndnoteReference"/>
        </w:rPr>
        <w:endnoteReference w:id="73"/>
      </w:r>
    </w:p>
    <w:p w:rsidRPr="002A63F9" w:rsidR="00D369E1" w:rsidP="00D5779A" w:rsidRDefault="00E07DD7" w14:paraId="14B33541" w14:textId="76B2C5C3">
      <w:pPr>
        <w:pStyle w:val="ListNumber"/>
      </w:pPr>
      <w:r w:rsidRPr="002A63F9">
        <w:t xml:space="preserve">The Commission </w:t>
      </w:r>
      <w:r w:rsidRPr="002A63F9" w:rsidR="00B45F98">
        <w:t xml:space="preserve">reiterates </w:t>
      </w:r>
      <w:r w:rsidRPr="002A63F9" w:rsidR="000A25D9">
        <w:t>this recommendation and encourages the Australian Government to implement it as a matter of priority.</w:t>
      </w:r>
      <w:r w:rsidRPr="002A63F9">
        <w:t xml:space="preserve"> </w:t>
      </w:r>
      <w:r w:rsidRPr="002A63F9" w:rsidR="000B57A9">
        <w:t>This would</w:t>
      </w:r>
      <w:r w:rsidRPr="002A63F9" w:rsidR="009A2D0B">
        <w:t xml:space="preserve"> </w:t>
      </w:r>
      <w:r w:rsidRPr="002A63F9" w:rsidR="00745573">
        <w:t xml:space="preserve">assist governments at all levels to </w:t>
      </w:r>
      <w:r w:rsidRPr="002A63F9" w:rsidR="001E0F20">
        <w:t>introduce measures</w:t>
      </w:r>
      <w:r w:rsidRPr="002A63F9" w:rsidR="00574F3F">
        <w:t xml:space="preserve"> </w:t>
      </w:r>
      <w:r w:rsidRPr="002A63F9" w:rsidR="009A2D0B">
        <w:t xml:space="preserve">aimed at </w:t>
      </w:r>
      <w:r w:rsidRPr="002A63F9" w:rsidR="002A3D3C">
        <w:t>prevent</w:t>
      </w:r>
      <w:r w:rsidRPr="002A63F9" w:rsidR="009A2D0B">
        <w:t>ing</w:t>
      </w:r>
      <w:r w:rsidRPr="002A63F9" w:rsidR="002A3D3C">
        <w:t xml:space="preserve"> violence, abuse, neglect and exploitation from occurring in the criminal justice system</w:t>
      </w:r>
      <w:r w:rsidRPr="002A63F9" w:rsidR="00915955">
        <w:t>,</w:t>
      </w:r>
      <w:r w:rsidRPr="002A63F9" w:rsidR="00A67756">
        <w:rPr>
          <w:rStyle w:val="EndnoteReference"/>
        </w:rPr>
        <w:endnoteReference w:id="74"/>
      </w:r>
      <w:r w:rsidRPr="002A63F9" w:rsidR="002A3D3C">
        <w:t xml:space="preserve"> </w:t>
      </w:r>
      <w:r w:rsidRPr="002A63F9" w:rsidR="009A2D0B">
        <w:t xml:space="preserve">as well as </w:t>
      </w:r>
      <w:r w:rsidRPr="002A63F9" w:rsidR="00915955">
        <w:t>prevent</w:t>
      </w:r>
      <w:r w:rsidRPr="002A63F9" w:rsidR="009A2D0B">
        <w:t>ing</w:t>
      </w:r>
      <w:r w:rsidRPr="002A63F9" w:rsidR="00915955">
        <w:t xml:space="preserve"> </w:t>
      </w:r>
      <w:r w:rsidRPr="002A63F9" w:rsidR="001F1538">
        <w:t>people with disability from coming in contact with the criminal justice system in the first place</w:t>
      </w:r>
      <w:r w:rsidRPr="002A63F9" w:rsidR="009A620C">
        <w:t>.</w:t>
      </w:r>
      <w:r w:rsidRPr="002A63F9" w:rsidR="00754F4F">
        <w:rPr>
          <w:rStyle w:val="EndnoteReference"/>
        </w:rPr>
        <w:endnoteReference w:id="75"/>
      </w:r>
      <w:r w:rsidRPr="002A63F9" w:rsidR="009E7432">
        <w:t xml:space="preserve"> </w:t>
      </w:r>
    </w:p>
    <w:p w:rsidRPr="002A63F9" w:rsidR="0082251B" w:rsidP="0082251B" w:rsidRDefault="0082251B" w14:paraId="04FFEACF" w14:textId="294BDD42">
      <w:pPr>
        <w:pStyle w:val="ListNumber"/>
        <w:rPr>
          <w:b/>
          <w:bCs/>
          <w:lang w:eastAsia="en-US"/>
        </w:rPr>
      </w:pPr>
      <w:r w:rsidRPr="002A63F9">
        <w:rPr>
          <w:b/>
          <w:bCs/>
          <w:lang w:eastAsia="en-US"/>
        </w:rPr>
        <w:t xml:space="preserve">Recommendation 3: The Australian Government include in the </w:t>
      </w:r>
      <w:r w:rsidRPr="002A63F9" w:rsidR="00D804C9">
        <w:rPr>
          <w:b/>
          <w:bCs/>
          <w:lang w:eastAsia="en-US"/>
        </w:rPr>
        <w:t>NDDA</w:t>
      </w:r>
      <w:r w:rsidRPr="002A63F9">
        <w:rPr>
          <w:b/>
          <w:bCs/>
          <w:lang w:eastAsia="en-US"/>
        </w:rPr>
        <w:t xml:space="preserve"> data relating to the disability, age, gender, location and ethnicity of participants at all stages of the criminal justice system.</w:t>
      </w:r>
    </w:p>
    <w:p w:rsidR="0082251B" w:rsidP="0082251B" w:rsidRDefault="0082251B" w14:paraId="14D686D9" w14:textId="6D631D53">
      <w:pPr>
        <w:pStyle w:val="ListNumber"/>
        <w:rPr>
          <w:b/>
          <w:bCs/>
          <w:lang w:eastAsia="en-US"/>
        </w:rPr>
      </w:pPr>
      <w:r w:rsidRPr="002A63F9">
        <w:rPr>
          <w:b/>
          <w:bCs/>
          <w:lang w:eastAsia="en-US"/>
        </w:rPr>
        <w:t xml:space="preserve">Recommendation 4: The Australian Government include in the </w:t>
      </w:r>
      <w:r w:rsidRPr="002A63F9" w:rsidR="00D804C9">
        <w:rPr>
          <w:b/>
          <w:bCs/>
          <w:lang w:eastAsia="en-US"/>
        </w:rPr>
        <w:t>NDDA</w:t>
      </w:r>
      <w:r w:rsidRPr="002A63F9">
        <w:rPr>
          <w:b/>
          <w:bCs/>
          <w:lang w:eastAsia="en-US"/>
        </w:rPr>
        <w:t xml:space="preserve"> data on the number of people detained indefinitely, disaggregated by the nature of the offence, length of detention, </w:t>
      </w:r>
      <w:r w:rsidRPr="002A63F9" w:rsidR="00EB1E8D">
        <w:rPr>
          <w:b/>
          <w:bCs/>
          <w:lang w:eastAsia="en-US"/>
        </w:rPr>
        <w:t xml:space="preserve">jurisdiction, </w:t>
      </w:r>
      <w:r w:rsidRPr="002A63F9">
        <w:rPr>
          <w:b/>
          <w:bCs/>
          <w:lang w:eastAsia="en-US"/>
        </w:rPr>
        <w:t xml:space="preserve">disability, </w:t>
      </w:r>
      <w:r w:rsidRPr="002A63F9" w:rsidR="00846064">
        <w:rPr>
          <w:b/>
          <w:bCs/>
          <w:lang w:eastAsia="en-US"/>
        </w:rPr>
        <w:t>sex</w:t>
      </w:r>
      <w:r w:rsidRPr="002A63F9">
        <w:rPr>
          <w:b/>
          <w:bCs/>
          <w:lang w:eastAsia="en-US"/>
        </w:rPr>
        <w:t xml:space="preserve">, </w:t>
      </w:r>
      <w:r w:rsidRPr="002A63F9" w:rsidR="00846064">
        <w:rPr>
          <w:b/>
          <w:bCs/>
          <w:lang w:eastAsia="en-US"/>
        </w:rPr>
        <w:t>age</w:t>
      </w:r>
      <w:r w:rsidRPr="002A63F9" w:rsidR="00C835C0">
        <w:rPr>
          <w:b/>
          <w:bCs/>
          <w:lang w:eastAsia="en-US"/>
        </w:rPr>
        <w:t>,</w:t>
      </w:r>
      <w:r w:rsidRPr="002A63F9" w:rsidR="00846064">
        <w:rPr>
          <w:b/>
          <w:bCs/>
          <w:lang w:eastAsia="en-US"/>
        </w:rPr>
        <w:t xml:space="preserve"> </w:t>
      </w:r>
      <w:r w:rsidRPr="002A63F9" w:rsidR="00212D5C">
        <w:rPr>
          <w:b/>
          <w:bCs/>
          <w:lang w:eastAsia="en-US"/>
        </w:rPr>
        <w:t>jurisdiction</w:t>
      </w:r>
      <w:r w:rsidRPr="002A63F9" w:rsidR="00FB1EC8">
        <w:rPr>
          <w:b/>
          <w:bCs/>
          <w:lang w:eastAsia="en-US"/>
        </w:rPr>
        <w:t>,</w:t>
      </w:r>
      <w:r w:rsidRPr="002A63F9">
        <w:rPr>
          <w:b/>
          <w:bCs/>
          <w:lang w:eastAsia="en-US"/>
        </w:rPr>
        <w:t xml:space="preserve"> </w:t>
      </w:r>
      <w:r w:rsidRPr="002A63F9" w:rsidR="00C835C0">
        <w:rPr>
          <w:b/>
          <w:bCs/>
          <w:lang w:eastAsia="en-US"/>
        </w:rPr>
        <w:t>and Aboriginal or Torres Strait Islander origin</w:t>
      </w:r>
      <w:r w:rsidRPr="002A63F9">
        <w:rPr>
          <w:b/>
          <w:bCs/>
          <w:lang w:eastAsia="en-US"/>
        </w:rPr>
        <w:t>.</w:t>
      </w:r>
    </w:p>
    <w:p w:rsidRPr="002A63F9" w:rsidR="00AF567A" w:rsidP="00AF567A" w:rsidRDefault="00AF567A" w14:paraId="19931814" w14:textId="77777777">
      <w:pPr>
        <w:pStyle w:val="Heading2"/>
        <w:spacing w:line="276" w:lineRule="auto"/>
      </w:pPr>
      <w:bookmarkStart w:name="_Toc35535490" w:id="29"/>
      <w:r w:rsidRPr="002A63F9">
        <w:t>Overrepresentation of people with disability in the criminal justice system</w:t>
      </w:r>
      <w:bookmarkEnd w:id="29"/>
      <w:r w:rsidRPr="002A63F9">
        <w:t xml:space="preserve"> </w:t>
      </w:r>
    </w:p>
    <w:p w:rsidRPr="002A63F9" w:rsidR="00AF567A" w:rsidP="00AF567A" w:rsidRDefault="00AF567A" w14:paraId="3B0F70E3" w14:textId="5487BACF">
      <w:pPr>
        <w:pStyle w:val="ListNumber"/>
        <w:rPr>
          <w:lang w:eastAsia="en-US"/>
        </w:rPr>
      </w:pPr>
      <w:r w:rsidRPr="002A63F9">
        <w:t>This section addresses the overrepresentation of people with disability in the criminal justice system and discusses the need for increased knowledge, training and awareness of disability among those who work in this field. This discussion will address the Issues Paper at large and, more specifically, will seek to answer questions 2B and 3A.</w:t>
      </w:r>
      <w:r w:rsidRPr="002A63F9">
        <w:rPr>
          <w:rStyle w:val="EndnoteReference"/>
        </w:rPr>
        <w:endnoteReference w:id="76"/>
      </w:r>
    </w:p>
    <w:p w:rsidRPr="002A63F9" w:rsidR="00AF567A" w:rsidP="00AF567A" w:rsidRDefault="00AF567A" w14:paraId="5A6A8217" w14:textId="3CA1B483">
      <w:pPr>
        <w:pStyle w:val="ListNumber"/>
        <w:rPr>
          <w:lang w:eastAsia="en-US"/>
        </w:rPr>
      </w:pPr>
      <w:r w:rsidRPr="002A63F9">
        <w:t>People with disability, particularly Aboriginal and Torres Strait Islander people with disability, are overrepresented in the criminal justice system in Australia.</w:t>
      </w:r>
      <w:r w:rsidRPr="002A63F9">
        <w:rPr>
          <w:rStyle w:val="EndnoteReference"/>
          <w:rFonts w:cs="Open Sans"/>
          <w:sz w:val="24"/>
        </w:rPr>
        <w:endnoteReference w:id="77"/>
      </w:r>
      <w:r w:rsidRPr="002A63F9">
        <w:rPr>
          <w:vertAlign w:val="superscript"/>
        </w:rPr>
        <w:t xml:space="preserve"> </w:t>
      </w:r>
      <w:r w:rsidRPr="002A63F9">
        <w:rPr>
          <w:lang w:eastAsia="en-US"/>
        </w:rPr>
        <w:t>According to a study conducted by the Australian Institute of Health and Welfare (AIHW), people with disability make up 29% of Australia’s prison population, despite forming only 18% of the general population.</w:t>
      </w:r>
      <w:r w:rsidRPr="002A63F9">
        <w:rPr>
          <w:rStyle w:val="EndnoteReference"/>
          <w:lang w:eastAsia="en-US"/>
        </w:rPr>
        <w:endnoteReference w:id="78"/>
      </w:r>
      <w:r w:rsidRPr="002A63F9">
        <w:rPr>
          <w:lang w:eastAsia="en-US"/>
        </w:rPr>
        <w:t xml:space="preserve"> While most prison entrants with disability rated their level of restriction as ‘moderate’ (46%), almost 40% said their disability was ‘profound or severe’.</w:t>
      </w:r>
      <w:r w:rsidRPr="002A63F9">
        <w:rPr>
          <w:rStyle w:val="EndnoteReference"/>
          <w:lang w:eastAsia="en-US"/>
        </w:rPr>
        <w:endnoteReference w:id="79"/>
      </w:r>
      <w:r w:rsidRPr="002A63F9">
        <w:rPr>
          <w:lang w:eastAsia="en-US"/>
        </w:rPr>
        <w:t xml:space="preserve"> The likelihood of ‘profound or severe’ disability was particularly high among prisoners aged 35</w:t>
      </w:r>
      <w:r w:rsidR="00034381">
        <w:rPr>
          <w:rFonts w:ascii="Calibri" w:hAnsi="Calibri" w:cs="Calibri"/>
          <w:lang w:eastAsia="en-US"/>
        </w:rPr>
        <w:t>─</w:t>
      </w:r>
      <w:r w:rsidRPr="002A63F9">
        <w:rPr>
          <w:lang w:eastAsia="en-US"/>
        </w:rPr>
        <w:t xml:space="preserve">44 (45%) and </w:t>
      </w:r>
      <w:r w:rsidR="00034381">
        <w:rPr>
          <w:lang w:eastAsia="en-US"/>
        </w:rPr>
        <w:t>I</w:t>
      </w:r>
      <w:r w:rsidRPr="002A63F9" w:rsidR="00034381">
        <w:rPr>
          <w:lang w:eastAsia="en-US"/>
        </w:rPr>
        <w:t xml:space="preserve">ndigenous </w:t>
      </w:r>
      <w:r w:rsidRPr="002A63F9">
        <w:rPr>
          <w:lang w:eastAsia="en-US"/>
        </w:rPr>
        <w:t>prisoners (48%).</w:t>
      </w:r>
      <w:r w:rsidRPr="002A63F9">
        <w:rPr>
          <w:rStyle w:val="EndnoteReference"/>
          <w:lang w:eastAsia="en-US"/>
        </w:rPr>
        <w:endnoteReference w:id="80"/>
      </w:r>
    </w:p>
    <w:p w:rsidR="00AF567A" w:rsidP="00AF567A" w:rsidRDefault="00AF567A" w14:paraId="430D8D17" w14:textId="56405B33">
      <w:pPr>
        <w:pStyle w:val="ListNumber"/>
        <w:rPr>
          <w:lang w:eastAsia="en-US"/>
        </w:rPr>
      </w:pPr>
      <w:r w:rsidRPr="002A63F9">
        <w:lastRenderedPageBreak/>
        <w:t>Children with disability are similarly overrepresented in the juvenile justice system, most notably children with intellectual or psychosocial disability.</w:t>
      </w:r>
      <w:r w:rsidRPr="002A63F9">
        <w:rPr>
          <w:rStyle w:val="EndnoteReference"/>
          <w:rFonts w:cs="Open Sans"/>
          <w:sz w:val="24"/>
        </w:rPr>
        <w:endnoteReference w:id="81"/>
      </w:r>
      <w:r w:rsidRPr="002A63F9">
        <w:t xml:space="preserve"> Children with</w:t>
      </w:r>
      <w:r w:rsidRPr="00924A7F" w:rsidR="00924A7F">
        <w:t xml:space="preserve"> </w:t>
      </w:r>
      <w:r w:rsidRPr="002A63F9" w:rsidR="00924A7F">
        <w:t>F</w:t>
      </w:r>
      <w:r w:rsidRPr="002A63F9" w:rsidR="00924A7F">
        <w:rPr>
          <w:lang w:eastAsia="en-US"/>
        </w:rPr>
        <w:t>etal Alcohol Spectrum Disorder (FASD)</w:t>
      </w:r>
      <w:r w:rsidRPr="002A63F9">
        <w:t xml:space="preserve"> are particularly prevalent in the juvenile justice system.</w:t>
      </w:r>
      <w:r w:rsidRPr="002A63F9">
        <w:rPr>
          <w:rStyle w:val="EndnoteReference"/>
          <w:rFonts w:cs="Open Sans"/>
          <w:sz w:val="24"/>
        </w:rPr>
        <w:endnoteReference w:id="82"/>
      </w:r>
      <w:r w:rsidRPr="002A63F9">
        <w:t xml:space="preserve"> </w:t>
      </w:r>
      <w:r w:rsidRPr="002A63F9">
        <w:rPr>
          <w:lang w:eastAsia="en-US"/>
        </w:rPr>
        <w:t>A study conducted by NSW Health and NSW Juvenile Justice in 2016 found that 83% of young people in penal custody in NSW exhibit symptoms consistent with a psychological disorder.</w:t>
      </w:r>
      <w:r w:rsidRPr="002A63F9">
        <w:rPr>
          <w:rStyle w:val="EndnoteReference"/>
          <w:lang w:eastAsia="en-US"/>
        </w:rPr>
        <w:endnoteReference w:id="83"/>
      </w:r>
      <w:r w:rsidRPr="002A63F9">
        <w:rPr>
          <w:lang w:eastAsia="en-US"/>
        </w:rPr>
        <w:t xml:space="preserve"> That number is even higher (87%) among young Aboriginal people in custody.</w:t>
      </w:r>
      <w:r w:rsidRPr="002A63F9">
        <w:rPr>
          <w:rStyle w:val="EndnoteReference"/>
          <w:lang w:eastAsia="en-US"/>
        </w:rPr>
        <w:endnoteReference w:id="84"/>
      </w:r>
      <w:r w:rsidRPr="002A63F9">
        <w:rPr>
          <w:lang w:eastAsia="en-US"/>
        </w:rPr>
        <w:t xml:space="preserve"> Further, 18% of young people in custody in NSW have an intellectual disability (IQ &lt;70) and between 39</w:t>
      </w:r>
      <w:r w:rsidR="00034381">
        <w:rPr>
          <w:rFonts w:ascii="Calibri" w:hAnsi="Calibri" w:cs="Calibri"/>
          <w:lang w:eastAsia="en-US"/>
        </w:rPr>
        <w:t>─</w:t>
      </w:r>
      <w:r w:rsidRPr="002A63F9">
        <w:rPr>
          <w:lang w:eastAsia="en-US"/>
        </w:rPr>
        <w:t>46% have borderline intellectual disability (IQ 70</w:t>
      </w:r>
      <w:r w:rsidR="00034381">
        <w:rPr>
          <w:rFonts w:ascii="Calibri" w:hAnsi="Calibri" w:cs="Calibri"/>
          <w:lang w:eastAsia="en-US"/>
        </w:rPr>
        <w:t>─</w:t>
      </w:r>
      <w:r w:rsidRPr="002A63F9">
        <w:rPr>
          <w:lang w:eastAsia="en-US"/>
        </w:rPr>
        <w:t>79).</w:t>
      </w:r>
      <w:r w:rsidRPr="002A63F9">
        <w:rPr>
          <w:rStyle w:val="EndnoteReference"/>
          <w:lang w:eastAsia="en-US"/>
        </w:rPr>
        <w:endnoteReference w:id="85"/>
      </w:r>
    </w:p>
    <w:p w:rsidR="00AF567A" w:rsidP="00AF567A" w:rsidRDefault="00AF567A" w14:paraId="79EA71EF" w14:textId="06652C1F">
      <w:pPr>
        <w:pStyle w:val="ListNumber"/>
        <w:rPr>
          <w:lang w:eastAsia="en-US"/>
        </w:rPr>
      </w:pPr>
      <w:r w:rsidRPr="00DC39CE">
        <w:rPr>
          <w:lang w:eastAsia="en-US"/>
        </w:rPr>
        <w:t xml:space="preserve">Aboriginal and Torres Strait Islander children with cognitive disability are also more likely to be charged with a first offence at a younger age than those without cognitive </w:t>
      </w:r>
      <w:r w:rsidR="002333F0">
        <w:rPr>
          <w:lang w:eastAsia="en-US"/>
        </w:rPr>
        <w:t>disability</w:t>
      </w:r>
      <w:r w:rsidRPr="00DC39CE">
        <w:rPr>
          <w:lang w:eastAsia="en-US"/>
        </w:rPr>
        <w:t>. A study conducted in 2012 found that the median age of first police contact for Aboriginal and Torres Strait Islander youth with cognitive disability was 13.8 years of age, which was significantly lower than Aboriginal and Torres Strait Islander youth without disability.</w:t>
      </w:r>
      <w:r>
        <w:rPr>
          <w:rStyle w:val="EndnoteReference"/>
          <w:lang w:eastAsia="en-US"/>
        </w:rPr>
        <w:endnoteReference w:id="86"/>
      </w:r>
      <w:r w:rsidRPr="00DC39CE">
        <w:rPr>
          <w:lang w:eastAsia="en-US"/>
        </w:rPr>
        <w:t xml:space="preserve"> A number of factors increase the likelihood of early police contact for these children, such as ‘having complex needs, being unaware of legal processes and exhibiting behaviour that may come to the attention of or be misinterpreted by law enforcement’.</w:t>
      </w:r>
      <w:r>
        <w:rPr>
          <w:rStyle w:val="EndnoteReference"/>
          <w:lang w:eastAsia="en-US"/>
        </w:rPr>
        <w:endnoteReference w:id="87"/>
      </w:r>
    </w:p>
    <w:p w:rsidR="00AF567A" w:rsidP="00AF567A" w:rsidRDefault="00AF567A" w14:paraId="3221E213" w14:textId="598B6289">
      <w:pPr>
        <w:pStyle w:val="ListNumber"/>
      </w:pPr>
      <w:r w:rsidRPr="002A63F9">
        <w:t>The Commission’s research has found that notwithstanding the high number of people with disability in the criminal justice system, the necessary procedural accommodations are frequently not provided.</w:t>
      </w:r>
      <w:r w:rsidRPr="002A63F9">
        <w:rPr>
          <w:rStyle w:val="EndnoteReference"/>
          <w:rFonts w:cs="Open Sans"/>
          <w:sz w:val="24"/>
        </w:rPr>
        <w:endnoteReference w:id="88"/>
      </w:r>
      <w:r w:rsidRPr="002A63F9">
        <w:rPr>
          <w:rStyle w:val="EndnoteReference"/>
          <w:rFonts w:cs="Open Sans"/>
          <w:sz w:val="24"/>
        </w:rPr>
        <w:t xml:space="preserve"> </w:t>
      </w:r>
      <w:r w:rsidRPr="002A63F9">
        <w:t>It also found that negative attitudes and a lack of awareness about disability pose a significant barrier to people with disability accessing justice.</w:t>
      </w:r>
      <w:r w:rsidRPr="002A63F9">
        <w:rPr>
          <w:rStyle w:val="EndnoteReference"/>
          <w:rFonts w:cs="Open Sans"/>
          <w:sz w:val="24"/>
        </w:rPr>
        <w:endnoteReference w:id="89"/>
      </w:r>
      <w:r w:rsidRPr="002A63F9">
        <w:t xml:space="preserve"> The failure to provide procedural accommodations, in combination with negative attitudes, can prevent people with disability from accessing protection from police and courts.</w:t>
      </w:r>
      <w:r w:rsidRPr="002A63F9">
        <w:rPr>
          <w:rStyle w:val="EndnoteReference"/>
        </w:rPr>
        <w:endnoteReference w:id="90"/>
      </w:r>
    </w:p>
    <w:p w:rsidR="00FE3756" w:rsidP="00FE3756" w:rsidRDefault="00FE3756" w14:paraId="489D61C7" w14:textId="1CADDD64">
      <w:pPr>
        <w:pStyle w:val="ListNumber"/>
        <w:rPr>
          <w:lang w:eastAsia="en-US"/>
        </w:rPr>
      </w:pPr>
      <w:r w:rsidRPr="00A53B00">
        <w:rPr>
          <w:lang w:eastAsia="en-US"/>
        </w:rPr>
        <w:t>Once incarcerated, people with disability lose access to many of the support systems that serve, in part, to reduce the risk of harm posed to themselves and others.</w:t>
      </w:r>
      <w:r>
        <w:rPr>
          <w:rStyle w:val="EndnoteReference"/>
          <w:lang w:eastAsia="en-US"/>
        </w:rPr>
        <w:endnoteReference w:id="91"/>
      </w:r>
      <w:r w:rsidRPr="00A53B00">
        <w:rPr>
          <w:lang w:eastAsia="en-US"/>
        </w:rPr>
        <w:t xml:space="preserve"> This may lead to the deterioration of the person’s condition</w:t>
      </w:r>
      <w:r w:rsidR="00EE6885">
        <w:rPr>
          <w:lang w:eastAsia="en-US"/>
        </w:rPr>
        <w:t xml:space="preserve"> and </w:t>
      </w:r>
      <w:r w:rsidRPr="00A53B00" w:rsidR="00EE6885">
        <w:rPr>
          <w:lang w:eastAsia="en-US"/>
        </w:rPr>
        <w:t>a higher risk of recidivism</w:t>
      </w:r>
      <w:r w:rsidR="00EE6885">
        <w:rPr>
          <w:lang w:eastAsia="en-US"/>
        </w:rPr>
        <w:t>.</w:t>
      </w:r>
      <w:r>
        <w:rPr>
          <w:lang w:eastAsia="en-US"/>
        </w:rPr>
        <w:t xml:space="preserve"> Research conducted in Victoria indicates that people with intellectual disability return to prison at more than twice the rate of people without such disability.</w:t>
      </w:r>
      <w:r w:rsidR="00274292">
        <w:rPr>
          <w:rStyle w:val="EndnoteReference"/>
          <w:lang w:eastAsia="en-US"/>
        </w:rPr>
        <w:endnoteReference w:id="92"/>
      </w:r>
      <w:r>
        <w:rPr>
          <w:lang w:eastAsia="en-US"/>
        </w:rPr>
        <w:t xml:space="preserve"> A study conducted in NSW revealed similar results, with the rate of recidivism for prisoners with intellectual disability 2.4 times higher for prisoners without prior conviction and 1.48 times higher for prisoners who had previously been convicted.</w:t>
      </w:r>
      <w:r w:rsidR="00C43D31">
        <w:rPr>
          <w:rStyle w:val="EndnoteReference"/>
          <w:lang w:eastAsia="en-US"/>
        </w:rPr>
        <w:endnoteReference w:id="93"/>
      </w:r>
    </w:p>
    <w:p w:rsidRPr="002A63F9" w:rsidR="00AF567A" w:rsidP="00796326" w:rsidRDefault="00AF567A" w14:paraId="58EABD4E" w14:textId="77777777">
      <w:pPr>
        <w:pStyle w:val="ListNumber"/>
      </w:pPr>
      <w:r w:rsidRPr="002A63F9">
        <w:t>The Commission considers that improved disability-specific training for police, lawyers, judicial officers, court staff and prison staff would enhance understanding of disability, improve supports, and help to divert people with disability away from the criminal justice system.</w:t>
      </w:r>
      <w:r w:rsidRPr="002A63F9">
        <w:rPr>
          <w:rStyle w:val="EndnoteReference"/>
        </w:rPr>
        <w:endnoteReference w:id="94"/>
      </w:r>
    </w:p>
    <w:p w:rsidRPr="002A63F9" w:rsidR="00AF567A" w:rsidP="00AF567A" w:rsidRDefault="00AF567A" w14:paraId="406D4156" w14:textId="2A07A0FE">
      <w:pPr>
        <w:pStyle w:val="ListNumber"/>
      </w:pPr>
      <w:r w:rsidRPr="002A63F9">
        <w:lastRenderedPageBreak/>
        <w:t xml:space="preserve">In particular, the Commission notes the crucial role played by police as the first point of contact for people with disability who interact with the criminal justice system. </w:t>
      </w:r>
      <w:r w:rsidRPr="002A63F9">
        <w:rPr>
          <w:lang w:eastAsia="en-US"/>
        </w:rPr>
        <w:t>Research indicates that appropriate training of police can divert people with disability away from custody and towards appropriate supports.</w:t>
      </w:r>
      <w:r w:rsidRPr="002A63F9">
        <w:rPr>
          <w:rStyle w:val="EndnoteReference"/>
          <w:lang w:eastAsia="en-US"/>
        </w:rPr>
        <w:endnoteReference w:id="95"/>
      </w:r>
      <w:r w:rsidRPr="002A63F9">
        <w:rPr>
          <w:lang w:eastAsia="en-US"/>
        </w:rPr>
        <w:t xml:space="preserve"> Without adequate training, however, police may interpret behaviours associated with disability as being dangerous or disruptive,</w:t>
      </w:r>
      <w:r w:rsidRPr="002A63F9">
        <w:rPr>
          <w:rStyle w:val="EndnoteReference"/>
          <w:lang w:eastAsia="en-US"/>
        </w:rPr>
        <w:endnoteReference w:id="96"/>
      </w:r>
      <w:r w:rsidRPr="002A63F9">
        <w:rPr>
          <w:lang w:eastAsia="en-US"/>
        </w:rPr>
        <w:t xml:space="preserve"> and this may have the effect of propelling people with a disability deeper into the criminal justice system.</w:t>
      </w:r>
      <w:r w:rsidRPr="002A63F9">
        <w:rPr>
          <w:rStyle w:val="EndnoteReference"/>
          <w:lang w:eastAsia="en-US"/>
        </w:rPr>
        <w:endnoteReference w:id="97"/>
      </w:r>
      <w:r w:rsidRPr="002A63F9">
        <w:t xml:space="preserve"> </w:t>
      </w:r>
    </w:p>
    <w:p w:rsidR="00AF567A" w:rsidP="00AF567A" w:rsidRDefault="00AF567A" w14:paraId="3A705E94" w14:textId="77777777">
      <w:pPr>
        <w:pStyle w:val="ListNumber"/>
      </w:pPr>
      <w:r w:rsidRPr="002A63F9">
        <w:rPr>
          <w:lang w:eastAsia="en-US"/>
        </w:rPr>
        <w:t>Police in every Australian state currently receive some form of training or information relating to disability.</w:t>
      </w:r>
      <w:r w:rsidRPr="002A63F9">
        <w:rPr>
          <w:rStyle w:val="EndnoteReference"/>
          <w:lang w:eastAsia="en-US"/>
        </w:rPr>
        <w:endnoteReference w:id="98"/>
      </w:r>
      <w:r w:rsidRPr="002A63F9">
        <w:rPr>
          <w:lang w:eastAsia="en-US"/>
        </w:rPr>
        <w:t xml:space="preserve"> The Commission recommends that this disability training be further developed </w:t>
      </w:r>
      <w:bookmarkStart w:name="_Hlk34749235" w:id="30"/>
      <w:r w:rsidRPr="002A63F9">
        <w:rPr>
          <w:lang w:eastAsia="en-US"/>
        </w:rPr>
        <w:t>with a focus on cautioning and diversionary alternatives to custody, cultural awareness, the impact of cognitive and intellectual disabilities, including FASD, and the effects of trauma, including intergenerational trauma</w:t>
      </w:r>
      <w:bookmarkEnd w:id="30"/>
      <w:r w:rsidRPr="002A63F9">
        <w:rPr>
          <w:lang w:eastAsia="en-US"/>
        </w:rPr>
        <w:t>.</w:t>
      </w:r>
    </w:p>
    <w:p w:rsidRPr="000149BD" w:rsidR="00AF567A" w:rsidP="00AF567A" w:rsidRDefault="00E13F69" w14:paraId="03E9218C" w14:textId="76BBE2E3">
      <w:pPr>
        <w:pStyle w:val="ListNumber"/>
        <w:rPr>
          <w:lang w:val="en-AU"/>
        </w:rPr>
      </w:pPr>
      <w:r>
        <w:t>Further, t</w:t>
      </w:r>
      <w:r w:rsidR="00AF567A">
        <w:t xml:space="preserve">he Commission considers that </w:t>
      </w:r>
      <w:r w:rsidRPr="00DD05E7" w:rsidR="00AF567A">
        <w:t>Aboriginal and Torres Strait Islander offenders</w:t>
      </w:r>
      <w:r w:rsidR="00AF567A">
        <w:t xml:space="preserve"> with cognitive disability require improved access to a wide range of services</w:t>
      </w:r>
      <w:r w:rsidR="00A932AB">
        <w:t xml:space="preserve"> and cultural supports</w:t>
      </w:r>
      <w:r w:rsidR="00AF567A">
        <w:t xml:space="preserve"> </w:t>
      </w:r>
      <w:r w:rsidR="00A30E7C">
        <w:t>throughout their time</w:t>
      </w:r>
      <w:r w:rsidR="00AF567A">
        <w:t xml:space="preserve"> in custody. Diversionary programs that are disability</w:t>
      </w:r>
      <w:r w:rsidR="00334608">
        <w:t xml:space="preserve"> </w:t>
      </w:r>
      <w:r w:rsidR="00AF567A">
        <w:t>specific</w:t>
      </w:r>
      <w:r w:rsidR="00F4482E">
        <w:t xml:space="preserve"> and culturally appropriate</w:t>
      </w:r>
      <w:r w:rsidR="00AF567A">
        <w:t xml:space="preserve"> should also be made available to Aboriginal and Torres Strait Islander children and young people.</w:t>
      </w:r>
      <w:r w:rsidR="00AF567A">
        <w:rPr>
          <w:rStyle w:val="EndnoteReference"/>
        </w:rPr>
        <w:endnoteReference w:id="99"/>
      </w:r>
    </w:p>
    <w:p w:rsidRPr="0031693A" w:rsidR="0031693A" w:rsidP="0031693A" w:rsidRDefault="004070C8" w14:paraId="64182B04" w14:textId="745A0F04">
      <w:pPr>
        <w:pStyle w:val="ListNumber"/>
        <w:rPr>
          <w:lang w:val="en-AU"/>
        </w:rPr>
      </w:pPr>
      <w:r>
        <w:t xml:space="preserve">For people with disability who are </w:t>
      </w:r>
      <w:r w:rsidR="008D7B4F">
        <w:t xml:space="preserve">participants in the National Disability Insurance Scheme (NDIS), </w:t>
      </w:r>
      <w:r>
        <w:t xml:space="preserve">coordination between the justice system and the NDIS is crucial to facilitate diversion away from custodial settings. </w:t>
      </w:r>
      <w:r w:rsidR="00E13F69">
        <w:t xml:space="preserve">A lack of coordination can result in </w:t>
      </w:r>
      <w:r w:rsidR="0031693A">
        <w:t>NDIS participants</w:t>
      </w:r>
      <w:r w:rsidR="00E13F69">
        <w:t xml:space="preserve"> remaining in prison for longer than necessary.</w:t>
      </w:r>
      <w:r w:rsidR="00075EF5">
        <w:rPr>
          <w:rStyle w:val="EndnoteReference"/>
        </w:rPr>
        <w:endnoteReference w:id="100"/>
      </w:r>
      <w:r w:rsidR="00E13F69">
        <w:t xml:space="preserve"> </w:t>
      </w:r>
      <w:r w:rsidR="00E52286">
        <w:t>T</w:t>
      </w:r>
      <w:r w:rsidR="000149BD">
        <w:t xml:space="preserve">he Commission welcomes the </w:t>
      </w:r>
      <w:r w:rsidR="009F7EC0">
        <w:t xml:space="preserve">announcement </w:t>
      </w:r>
      <w:r w:rsidR="004F285C">
        <w:t xml:space="preserve">by </w:t>
      </w:r>
      <w:r w:rsidR="009B2091">
        <w:t>the Council of Australian Governments (COAG) in October 2019</w:t>
      </w:r>
      <w:r w:rsidR="00CF313B">
        <w:t xml:space="preserve"> </w:t>
      </w:r>
      <w:r w:rsidR="00AD042C">
        <w:t xml:space="preserve">that </w:t>
      </w:r>
      <w:r w:rsidR="0031693A">
        <w:t xml:space="preserve">NDIS </w:t>
      </w:r>
      <w:r w:rsidR="00AD042C">
        <w:t>Justice Liaison Officers</w:t>
      </w:r>
      <w:r w:rsidR="00E52286">
        <w:t xml:space="preserve"> </w:t>
      </w:r>
      <w:r w:rsidR="0031693A">
        <w:t>would</w:t>
      </w:r>
      <w:r w:rsidR="00AD042C">
        <w:t xml:space="preserve"> be </w:t>
      </w:r>
      <w:r w:rsidR="00883882">
        <w:t>introduced</w:t>
      </w:r>
      <w:r w:rsidR="008D7B4F">
        <w:t xml:space="preserve"> </w:t>
      </w:r>
      <w:r w:rsidRPr="008D7B4F" w:rsidR="00E609B4">
        <w:rPr>
          <w:lang w:val="en-AU"/>
        </w:rPr>
        <w:t xml:space="preserve">in each state and territory </w:t>
      </w:r>
      <w:r w:rsidR="0031693A">
        <w:rPr>
          <w:lang w:val="en-AU"/>
        </w:rPr>
        <w:t>in an effort to improve coordination</w:t>
      </w:r>
      <w:r w:rsidR="00E52286">
        <w:rPr>
          <w:lang w:val="en-AU"/>
        </w:rPr>
        <w:t xml:space="preserve"> and </w:t>
      </w:r>
      <w:r w:rsidRPr="0031693A" w:rsidR="0031693A">
        <w:rPr>
          <w:lang w:val="en-AU"/>
        </w:rPr>
        <w:t>support NDIS</w:t>
      </w:r>
      <w:r w:rsidR="0031693A">
        <w:rPr>
          <w:lang w:val="en-AU"/>
        </w:rPr>
        <w:t xml:space="preserve"> p</w:t>
      </w:r>
      <w:r w:rsidRPr="0031693A" w:rsidR="0031693A">
        <w:rPr>
          <w:lang w:val="en-AU"/>
        </w:rPr>
        <w:t xml:space="preserve">articipants who are in the criminal justice system. </w:t>
      </w:r>
      <w:r w:rsidR="0031693A">
        <w:rPr>
          <w:lang w:val="en-AU"/>
        </w:rPr>
        <w:t>COAG</w:t>
      </w:r>
      <w:r w:rsidRPr="0031693A" w:rsidR="0031693A">
        <w:rPr>
          <w:lang w:val="en-AU"/>
        </w:rPr>
        <w:t xml:space="preserve"> also agreed to create targeted resources and training to support the new roles.</w:t>
      </w:r>
      <w:r w:rsidR="001A7E81">
        <w:rPr>
          <w:rStyle w:val="EndnoteReference"/>
          <w:lang w:val="en-AU"/>
        </w:rPr>
        <w:endnoteReference w:id="101"/>
      </w:r>
    </w:p>
    <w:p w:rsidRPr="002A63F9" w:rsidR="00AF567A" w:rsidP="00AF567A" w:rsidRDefault="00AF567A" w14:paraId="21B899CE" w14:textId="108D4E33">
      <w:pPr>
        <w:pStyle w:val="ListNumber"/>
        <w:rPr>
          <w:b/>
          <w:bCs/>
          <w:lang w:eastAsia="en-US"/>
        </w:rPr>
      </w:pPr>
      <w:r w:rsidRPr="002A63F9">
        <w:rPr>
          <w:b/>
          <w:bCs/>
          <w:lang w:eastAsia="en-US"/>
        </w:rPr>
        <w:t xml:space="preserve">Recommendation </w:t>
      </w:r>
      <w:r>
        <w:rPr>
          <w:b/>
          <w:bCs/>
          <w:lang w:eastAsia="en-US"/>
        </w:rPr>
        <w:t>5</w:t>
      </w:r>
      <w:r w:rsidRPr="002A63F9">
        <w:rPr>
          <w:b/>
          <w:bCs/>
          <w:lang w:eastAsia="en-US"/>
        </w:rPr>
        <w:t>: The Australian Government work with state and territory governments to develop and improve disability-specific training for police, lawyers, judicial officers, court staff and prison staff with a view to enhancing understanding of disability, improving supports and diverting people with disability away from the criminal justice system.</w:t>
      </w:r>
    </w:p>
    <w:p w:rsidRPr="002A63F9" w:rsidR="00AF567A" w:rsidP="00AF567A" w:rsidRDefault="00AF567A" w14:paraId="41F1322D" w14:textId="6C41BB37">
      <w:pPr>
        <w:pStyle w:val="ListNumber"/>
        <w:rPr>
          <w:b/>
          <w:bCs/>
          <w:lang w:eastAsia="en-US"/>
        </w:rPr>
      </w:pPr>
      <w:r w:rsidRPr="002A63F9">
        <w:rPr>
          <w:b/>
          <w:bCs/>
          <w:lang w:eastAsia="en-US"/>
        </w:rPr>
        <w:t xml:space="preserve">Recommendation </w:t>
      </w:r>
      <w:r>
        <w:rPr>
          <w:b/>
          <w:bCs/>
          <w:lang w:eastAsia="en-US"/>
        </w:rPr>
        <w:t>6</w:t>
      </w:r>
      <w:r w:rsidRPr="002A63F9">
        <w:rPr>
          <w:b/>
          <w:bCs/>
          <w:lang w:eastAsia="en-US"/>
        </w:rPr>
        <w:t>: The Australian Government work with state and territory governments to develop effective disability identification and support programs throughout the criminal justice process and ensure that such programs are culturally appropriate for Aboriginal and Torres Strait Islander people with disability.</w:t>
      </w:r>
    </w:p>
    <w:p w:rsidRPr="002A63F9" w:rsidR="007B2038" w:rsidP="00861DD9" w:rsidRDefault="007B2038" w14:paraId="5DE37E65" w14:textId="35CB96CA">
      <w:pPr>
        <w:pStyle w:val="Heading2"/>
        <w:spacing w:line="276" w:lineRule="auto"/>
      </w:pPr>
      <w:bookmarkStart w:name="_Toc35535491" w:id="31"/>
      <w:r w:rsidRPr="002A63F9">
        <w:lastRenderedPageBreak/>
        <w:t>Supported decision-making</w:t>
      </w:r>
      <w:bookmarkEnd w:id="31"/>
    </w:p>
    <w:p w:rsidRPr="002A63F9" w:rsidR="004C2BAD" w:rsidP="00D5779A" w:rsidRDefault="004C2BAD" w14:paraId="0EB3F77B" w14:textId="3FFE52E7">
      <w:pPr>
        <w:pStyle w:val="ListNumber"/>
      </w:pPr>
      <w:r w:rsidRPr="002A63F9">
        <w:t xml:space="preserve">This section </w:t>
      </w:r>
      <w:r w:rsidRPr="002A63F9" w:rsidR="00EF75BE">
        <w:t>addresses the absence of a nationally consistent supported decision-making framework</w:t>
      </w:r>
      <w:r w:rsidRPr="002A63F9" w:rsidR="004F5221">
        <w:t xml:space="preserve"> and discusses the need </w:t>
      </w:r>
      <w:r w:rsidRPr="002A63F9" w:rsidR="00262207">
        <w:t>for the Australian Government to eliminate substituted decision-making</w:t>
      </w:r>
      <w:r w:rsidR="001F4287">
        <w:t xml:space="preserve"> based on ‘best interests’ models</w:t>
      </w:r>
      <w:r w:rsidRPr="002A63F9" w:rsidR="00262207">
        <w:t xml:space="preserve">. </w:t>
      </w:r>
      <w:r w:rsidRPr="002A63F9" w:rsidR="004040E6">
        <w:t>This discussion will address the Issues Paper at large and</w:t>
      </w:r>
      <w:r w:rsidRPr="002A63F9" w:rsidR="009421BD">
        <w:t>,</w:t>
      </w:r>
      <w:r w:rsidRPr="002A63F9" w:rsidR="004040E6">
        <w:t xml:space="preserve"> more specifically, will </w:t>
      </w:r>
      <w:r w:rsidRPr="002A63F9" w:rsidR="00E76967">
        <w:t xml:space="preserve">seek to </w:t>
      </w:r>
      <w:r w:rsidRPr="002A63F9" w:rsidR="004040E6">
        <w:t xml:space="preserve">answer questions </w:t>
      </w:r>
      <w:r w:rsidRPr="002A63F9" w:rsidR="0004038B">
        <w:t>3A</w:t>
      </w:r>
      <w:r w:rsidRPr="002A63F9" w:rsidR="00115A06">
        <w:t xml:space="preserve"> </w:t>
      </w:r>
      <w:r w:rsidRPr="002A63F9" w:rsidR="0004038B">
        <w:t xml:space="preserve">and </w:t>
      </w:r>
      <w:r w:rsidRPr="002A63F9" w:rsidR="004040E6">
        <w:t>7A.</w:t>
      </w:r>
      <w:r w:rsidRPr="002A63F9" w:rsidR="00F934B0">
        <w:rPr>
          <w:rStyle w:val="EndnoteReference"/>
        </w:rPr>
        <w:endnoteReference w:id="102"/>
      </w:r>
    </w:p>
    <w:p w:rsidRPr="002A63F9" w:rsidR="007B2038" w:rsidP="00CE64AE" w:rsidRDefault="007B2038" w14:paraId="21A04B81" w14:textId="551C758E">
      <w:pPr>
        <w:pStyle w:val="ListNumber"/>
        <w:spacing w:before="120" w:after="120"/>
        <w:ind w:hanging="357"/>
      </w:pPr>
      <w:r w:rsidRPr="002A63F9">
        <w:t>The CRPD requires State</w:t>
      </w:r>
      <w:r w:rsidRPr="002A63F9" w:rsidR="00E9207E">
        <w:t>s</w:t>
      </w:r>
      <w:r w:rsidRPr="002A63F9">
        <w:t xml:space="preserve"> Parties to develop systems of supported decision-making in order to allow people with disability to exercise their legal capacity.</w:t>
      </w:r>
      <w:r w:rsidRPr="002A63F9">
        <w:rPr>
          <w:rStyle w:val="EndnoteReference"/>
        </w:rPr>
        <w:endnoteReference w:id="103"/>
      </w:r>
      <w:r w:rsidRPr="002A63F9">
        <w:t xml:space="preserve"> In practice, this requires Australia to ensure that:</w:t>
      </w:r>
    </w:p>
    <w:p w:rsidRPr="002A63F9" w:rsidR="007B2038" w:rsidP="00CE64AE" w:rsidRDefault="001F4287" w14:paraId="1D7D471E" w14:textId="7D75A031">
      <w:pPr>
        <w:pStyle w:val="ListNumber"/>
        <w:numPr>
          <w:ilvl w:val="0"/>
          <w:numId w:val="30"/>
        </w:numPr>
        <w:spacing w:before="120" w:after="120"/>
        <w:ind w:hanging="357"/>
      </w:pPr>
      <w:r>
        <w:t>A</w:t>
      </w:r>
      <w:r w:rsidRPr="002A63F9">
        <w:t xml:space="preserve">ppropriate </w:t>
      </w:r>
      <w:r w:rsidRPr="002A63F9" w:rsidR="007B2038">
        <w:t>and effective supports are provided to enable people with disability to exercise their legal capacity. Supports must be proportional, respectful and subject to regular review by a competent and impartial authority</w:t>
      </w:r>
      <w:r>
        <w:t>.</w:t>
      </w:r>
      <w:r w:rsidRPr="002A63F9" w:rsidR="007B2038">
        <w:rPr>
          <w:rStyle w:val="EndnoteReference"/>
        </w:rPr>
        <w:endnoteReference w:id="104"/>
      </w:r>
    </w:p>
    <w:p w:rsidRPr="002A63F9" w:rsidR="007B2038" w:rsidP="00CE64AE" w:rsidRDefault="001F4287" w14:paraId="6A1E06AA" w14:textId="248F80C6">
      <w:pPr>
        <w:pStyle w:val="ListNumber"/>
        <w:numPr>
          <w:ilvl w:val="0"/>
          <w:numId w:val="30"/>
        </w:numPr>
        <w:spacing w:before="120" w:after="120"/>
        <w:ind w:hanging="357"/>
      </w:pPr>
      <w:r>
        <w:t>C</w:t>
      </w:r>
      <w:r w:rsidRPr="002A63F9">
        <w:t xml:space="preserve">apacity </w:t>
      </w:r>
      <w:r w:rsidRPr="002A63F9" w:rsidR="007B2038">
        <w:t>supports are accompanied by safeguards that prevent abuse in the form of undue influence or conflict of interest</w:t>
      </w:r>
      <w:r>
        <w:t>.</w:t>
      </w:r>
      <w:r w:rsidRPr="002A63F9" w:rsidR="007B2038">
        <w:rPr>
          <w:rStyle w:val="EndnoteReference"/>
        </w:rPr>
        <w:endnoteReference w:id="105"/>
      </w:r>
    </w:p>
    <w:p w:rsidRPr="002A63F9" w:rsidR="007B2038" w:rsidP="00CE64AE" w:rsidRDefault="001F4287" w14:paraId="1CF28D83" w14:textId="304BE0E8">
      <w:pPr>
        <w:pStyle w:val="ListNumber"/>
        <w:numPr>
          <w:ilvl w:val="0"/>
          <w:numId w:val="30"/>
        </w:numPr>
        <w:spacing w:before="120" w:after="120"/>
        <w:ind w:hanging="357"/>
      </w:pPr>
      <w:r>
        <w:t>P</w:t>
      </w:r>
      <w:r w:rsidRPr="002A63F9">
        <w:t xml:space="preserve">eople </w:t>
      </w:r>
      <w:r w:rsidRPr="002A63F9" w:rsidR="007B2038">
        <w:t>with disability are equally capable of owning or inheriting property, controlling their own financial affairs, and taking out bank loans, mortgages and other forms of financial credit. People with disability must also be protected from any arbitrary deprivation of their property.</w:t>
      </w:r>
      <w:r w:rsidRPr="002A63F9" w:rsidR="007B2038">
        <w:rPr>
          <w:rStyle w:val="EndnoteReference"/>
        </w:rPr>
        <w:endnoteReference w:id="106"/>
      </w:r>
    </w:p>
    <w:p w:rsidRPr="002A63F9" w:rsidR="007B2038" w:rsidP="00D5779A" w:rsidRDefault="007B2038" w14:paraId="202BA7B1" w14:textId="77777777">
      <w:pPr>
        <w:pStyle w:val="ListNumber"/>
      </w:pPr>
      <w:r w:rsidRPr="002A63F9">
        <w:t>This approach is consistent with the social model of disability and affords people with disability greater legal and social autonomy.</w:t>
      </w:r>
      <w:r w:rsidRPr="002A63F9">
        <w:rPr>
          <w:rStyle w:val="EndnoteReference"/>
        </w:rPr>
        <w:endnoteReference w:id="107"/>
      </w:r>
      <w:r w:rsidRPr="002A63F9">
        <w:t xml:space="preserve"> Further, from a social perspective, supported decision-making has been shown to improve confidence, grow support networks, increase engagement with the community, and give rise to a greater sense of control for people with disability.</w:t>
      </w:r>
      <w:r w:rsidRPr="002A63F9">
        <w:rPr>
          <w:rStyle w:val="EndnoteReference"/>
        </w:rPr>
        <w:endnoteReference w:id="108"/>
      </w:r>
    </w:p>
    <w:p w:rsidRPr="002A63F9" w:rsidR="007B2038" w:rsidP="00D5779A" w:rsidRDefault="007B2038" w14:paraId="45CD079E" w14:textId="266EAEA7">
      <w:pPr>
        <w:pStyle w:val="ListNumber"/>
      </w:pPr>
      <w:r w:rsidRPr="002A63F9">
        <w:t xml:space="preserve">The development of supported decision-making frameworks is particularly important in the context of the historical and continuing denial of the right to legal capacity through substituted decision-making schemes such as </w:t>
      </w:r>
      <w:r w:rsidR="001F4287">
        <w:t xml:space="preserve">plenary </w:t>
      </w:r>
      <w:r w:rsidRPr="002A63F9">
        <w:t>guardianship.</w:t>
      </w:r>
      <w:r w:rsidRPr="002A63F9">
        <w:rPr>
          <w:rStyle w:val="EndnoteReference"/>
        </w:rPr>
        <w:endnoteReference w:id="109"/>
      </w:r>
      <w:r w:rsidRPr="002A63F9">
        <w:t xml:space="preserve"> These schemes authorise one person to make decisions for another person who has been deemed unable to make that decision for themselves. In cases of plenary guardianship, guardians may not even need to consult their ward before making a decision on their behalf.</w:t>
      </w:r>
      <w:r w:rsidRPr="002A63F9">
        <w:rPr>
          <w:rStyle w:val="EndnoteReference"/>
        </w:rPr>
        <w:endnoteReference w:id="110"/>
      </w:r>
    </w:p>
    <w:p w:rsidRPr="002A63F9" w:rsidR="007B2038" w:rsidP="00D5779A" w:rsidRDefault="007B2038" w14:paraId="65AA1BD4" w14:textId="7B765772">
      <w:pPr>
        <w:pStyle w:val="ListNumber"/>
      </w:pPr>
      <w:r w:rsidRPr="002A63F9">
        <w:t>The National Decision-Making Principles, outlined by the Australian Law Reform Commission (ALRC) in their</w:t>
      </w:r>
      <w:r w:rsidRPr="002A63F9" w:rsidR="00DD5C24">
        <w:t xml:space="preserve"> 2014 report,</w:t>
      </w:r>
      <w:r w:rsidRPr="002A63F9">
        <w:t xml:space="preserve"> </w:t>
      </w:r>
      <w:r w:rsidRPr="002A63F9">
        <w:rPr>
          <w:i/>
        </w:rPr>
        <w:t>Equality, Capacity and Disability in Commonwealth Laws</w:t>
      </w:r>
      <w:r w:rsidRPr="002A63F9">
        <w:t xml:space="preserve">, also support the notion of supported decision-making as a mechanism by which people with disability can exercise their right to make choices for </w:t>
      </w:r>
      <w:r w:rsidRPr="002A63F9">
        <w:lastRenderedPageBreak/>
        <w:t>themselves.</w:t>
      </w:r>
      <w:r w:rsidRPr="002A63F9">
        <w:rPr>
          <w:rStyle w:val="EndnoteReference"/>
        </w:rPr>
        <w:endnoteReference w:id="111"/>
      </w:r>
      <w:r w:rsidRPr="002A63F9">
        <w:t xml:space="preserve"> Principle 2, in particular, requires people with disability to have </w:t>
      </w:r>
      <w:r w:rsidRPr="002A63F9" w:rsidR="00134937">
        <w:t>‘</w:t>
      </w:r>
      <w:r w:rsidRPr="002A63F9">
        <w:t>access to the support necessary for them to make, communicate and participate in decisions that affect their lives</w:t>
      </w:r>
      <w:r w:rsidRPr="002A63F9" w:rsidR="00134937">
        <w:t>’</w:t>
      </w:r>
      <w:r w:rsidRPr="002A63F9">
        <w:t>.</w:t>
      </w:r>
      <w:r w:rsidRPr="002A63F9">
        <w:rPr>
          <w:rStyle w:val="EndnoteReference"/>
        </w:rPr>
        <w:endnoteReference w:id="112"/>
      </w:r>
    </w:p>
    <w:p w:rsidRPr="002A63F9" w:rsidR="007B2038" w:rsidP="00D5779A" w:rsidRDefault="00622DD6" w14:paraId="49FA6F47" w14:textId="696A68D2">
      <w:pPr>
        <w:pStyle w:val="ListNumber"/>
      </w:pPr>
      <w:r w:rsidRPr="002A63F9">
        <w:t xml:space="preserve">In </w:t>
      </w:r>
      <w:r w:rsidRPr="002A63F9" w:rsidR="00534043">
        <w:t xml:space="preserve">its 2019 Concluding Observations, the CRPD Committee expressed concern </w:t>
      </w:r>
      <w:r w:rsidRPr="002A63F9" w:rsidR="00687D16">
        <w:t xml:space="preserve">about the </w:t>
      </w:r>
      <w:r w:rsidRPr="002A63F9" w:rsidR="00CF53C2">
        <w:t>lack of progress made to abolish Australia’s guardianship and substituted decision-making regime</w:t>
      </w:r>
      <w:r w:rsidRPr="002A63F9" w:rsidR="001409C8">
        <w:t xml:space="preserve">, particularly in relation </w:t>
      </w:r>
      <w:r w:rsidRPr="002A63F9" w:rsidR="001717BF">
        <w:t>to forced psychiatric treatment.</w:t>
      </w:r>
      <w:r w:rsidRPr="002A63F9" w:rsidR="001717BF">
        <w:rPr>
          <w:rStyle w:val="EndnoteReference"/>
        </w:rPr>
        <w:endnoteReference w:id="113"/>
      </w:r>
      <w:r w:rsidRPr="002A63F9" w:rsidR="001717BF">
        <w:t xml:space="preserve"> The CRPD Committee recommended that Australia implement </w:t>
      </w:r>
      <w:r w:rsidRPr="002A63F9" w:rsidR="00233303">
        <w:t>a nationally consistent supported decision-making framework</w:t>
      </w:r>
      <w:r w:rsidRPr="002A63F9" w:rsidR="00CB7B94">
        <w:t xml:space="preserve"> in accordance with that recommended in the </w:t>
      </w:r>
      <w:r w:rsidRPr="002A63F9" w:rsidR="00164326">
        <w:t>ALRC’s</w:t>
      </w:r>
      <w:r w:rsidRPr="002A63F9" w:rsidR="00CB7B94">
        <w:t xml:space="preserve"> </w:t>
      </w:r>
      <w:r w:rsidRPr="002A63F9" w:rsidR="003070E4">
        <w:rPr>
          <w:i/>
          <w:iCs/>
        </w:rPr>
        <w:t>Equality, Capacity and Disability in Commonwealth Laws</w:t>
      </w:r>
      <w:r w:rsidRPr="002A63F9" w:rsidR="00DD5C24">
        <w:rPr>
          <w:i/>
          <w:iCs/>
        </w:rPr>
        <w:t xml:space="preserve"> </w:t>
      </w:r>
      <w:r w:rsidRPr="002A63F9" w:rsidR="00DD5C24">
        <w:t>report</w:t>
      </w:r>
      <w:r w:rsidRPr="002A63F9" w:rsidR="003070E4">
        <w:t>.</w:t>
      </w:r>
      <w:r w:rsidRPr="002A63F9" w:rsidR="009D7263">
        <w:rPr>
          <w:rStyle w:val="EndnoteReference"/>
        </w:rPr>
        <w:endnoteReference w:id="114"/>
      </w:r>
    </w:p>
    <w:p w:rsidRPr="002A63F9" w:rsidR="009421BD" w:rsidP="00D5779A" w:rsidRDefault="003771A8" w14:paraId="66DF7953" w14:textId="77777777">
      <w:pPr>
        <w:pStyle w:val="ListNumber"/>
      </w:pPr>
      <w:r w:rsidRPr="002A63F9">
        <w:t xml:space="preserve">The CRPD Committee also expressed concern about the ongoing use of substituted decision-making </w:t>
      </w:r>
      <w:r w:rsidRPr="002A63F9" w:rsidR="0078470C">
        <w:t xml:space="preserve">in the criminal justice system </w:t>
      </w:r>
      <w:r w:rsidRPr="002A63F9">
        <w:t>to assist people with disability who are otherwise unable to navigate the system by themselves.</w:t>
      </w:r>
      <w:r w:rsidRPr="002A63F9">
        <w:rPr>
          <w:rStyle w:val="EndnoteReference"/>
        </w:rPr>
        <w:endnoteReference w:id="115"/>
      </w:r>
      <w:r w:rsidRPr="002A63F9">
        <w:t xml:space="preserve"> To this end, the Committee recommended that Australia eliminate substituted decision-making and provide gender and culture-specific individualised support, including psychosocial support, for people with disability in the justice system.</w:t>
      </w:r>
      <w:r w:rsidRPr="002A63F9">
        <w:rPr>
          <w:rStyle w:val="EndnoteReference"/>
        </w:rPr>
        <w:endnoteReference w:id="116"/>
      </w:r>
      <w:r w:rsidRPr="002A63F9" w:rsidR="00A7207B">
        <w:t xml:space="preserve"> </w:t>
      </w:r>
    </w:p>
    <w:p w:rsidRPr="002A63F9" w:rsidR="003771A8" w:rsidP="00D5779A" w:rsidRDefault="00201975" w14:paraId="6AD16B78" w14:textId="767040D5">
      <w:pPr>
        <w:pStyle w:val="ListNumber"/>
      </w:pPr>
      <w:r w:rsidRPr="002A63F9">
        <w:t xml:space="preserve">The Commission </w:t>
      </w:r>
      <w:r w:rsidRPr="002A63F9" w:rsidR="009647BE">
        <w:t>considers that s</w:t>
      </w:r>
      <w:r w:rsidRPr="002A63F9" w:rsidR="0064192B">
        <w:t xml:space="preserve">upported decision making could </w:t>
      </w:r>
      <w:r w:rsidRPr="002A63F9" w:rsidR="00532DD5">
        <w:t>assist people</w:t>
      </w:r>
      <w:r w:rsidRPr="002A63F9" w:rsidR="00136535">
        <w:t xml:space="preserve"> </w:t>
      </w:r>
      <w:r w:rsidRPr="002A63F9" w:rsidR="0064192B">
        <w:t xml:space="preserve">with disability </w:t>
      </w:r>
      <w:r w:rsidRPr="002A63F9" w:rsidR="00136535">
        <w:t>in</w:t>
      </w:r>
      <w:r w:rsidRPr="002A63F9" w:rsidR="00926482">
        <w:t xml:space="preserve"> accessing </w:t>
      </w:r>
      <w:r w:rsidRPr="002A63F9" w:rsidR="00BB19C9">
        <w:t>protection or justice from the police or the courts</w:t>
      </w:r>
      <w:r w:rsidRPr="002A63F9" w:rsidR="006A49C2">
        <w:rPr>
          <w:rStyle w:val="EndnoteReference"/>
        </w:rPr>
        <w:endnoteReference w:id="117"/>
      </w:r>
      <w:r w:rsidRPr="002A63F9" w:rsidR="00BB19C9">
        <w:t xml:space="preserve"> and</w:t>
      </w:r>
      <w:r w:rsidRPr="002A63F9" w:rsidR="00136535">
        <w:t xml:space="preserve"> </w:t>
      </w:r>
      <w:r w:rsidRPr="002A63F9" w:rsidR="006A49C2">
        <w:t xml:space="preserve">in </w:t>
      </w:r>
      <w:r w:rsidRPr="002A63F9" w:rsidR="00136535">
        <w:t>identifying, disclosing and reporting instances o</w:t>
      </w:r>
      <w:r w:rsidRPr="002A63F9" w:rsidR="00E72197">
        <w:t xml:space="preserve">f </w:t>
      </w:r>
      <w:r w:rsidRPr="002A63F9" w:rsidR="009626B2">
        <w:t>violence, abuse, neglect or exploitation in the criminal justice system</w:t>
      </w:r>
      <w:r w:rsidRPr="002A63F9" w:rsidR="006A49C2">
        <w:t>.</w:t>
      </w:r>
      <w:r w:rsidRPr="002A63F9" w:rsidR="006A49C2">
        <w:rPr>
          <w:rStyle w:val="EndnoteReference"/>
        </w:rPr>
        <w:endnoteReference w:id="118"/>
      </w:r>
      <w:r w:rsidRPr="002A63F9" w:rsidR="009647BE">
        <w:t xml:space="preserve"> Accordingly, the Commission urges the Australian Government to implement the CRPD Committee’s recommendations</w:t>
      </w:r>
      <w:r w:rsidRPr="002A63F9" w:rsidR="001148B9">
        <w:t xml:space="preserve"> without delay.</w:t>
      </w:r>
    </w:p>
    <w:p w:rsidRPr="002A63F9" w:rsidR="00EA12A3" w:rsidP="00EA12A3" w:rsidRDefault="00EA12A3" w14:paraId="456B17EC" w14:textId="1FC4EE36">
      <w:pPr>
        <w:pStyle w:val="ListNumber"/>
        <w:rPr>
          <w:b/>
          <w:bCs/>
        </w:rPr>
      </w:pPr>
      <w:r w:rsidRPr="002A63F9">
        <w:rPr>
          <w:b/>
          <w:bCs/>
          <w:lang w:eastAsia="en-US"/>
        </w:rPr>
        <w:t xml:space="preserve">Recommendation </w:t>
      </w:r>
      <w:r w:rsidR="00AF567A">
        <w:rPr>
          <w:b/>
          <w:bCs/>
          <w:lang w:eastAsia="en-US"/>
        </w:rPr>
        <w:t>7</w:t>
      </w:r>
      <w:r w:rsidRPr="002A63F9">
        <w:rPr>
          <w:b/>
          <w:bCs/>
          <w:lang w:eastAsia="en-US"/>
        </w:rPr>
        <w:t>: The Australian Government work with state and territory governments to develop a nationally consistent supported decision-making framework.</w:t>
      </w:r>
      <w:r w:rsidRPr="002A63F9">
        <w:rPr>
          <w:b/>
          <w:bCs/>
        </w:rPr>
        <w:t xml:space="preserve"> </w:t>
      </w:r>
    </w:p>
    <w:p w:rsidRPr="002A63F9" w:rsidR="00EA12A3" w:rsidP="00EA12A3" w:rsidRDefault="00EA12A3" w14:paraId="528B4F39" w14:textId="6F1DA700">
      <w:pPr>
        <w:pStyle w:val="ListNumber"/>
        <w:rPr>
          <w:b/>
          <w:bCs/>
          <w:lang w:eastAsia="en-US"/>
        </w:rPr>
      </w:pPr>
      <w:r w:rsidRPr="002A63F9">
        <w:rPr>
          <w:b/>
          <w:bCs/>
          <w:lang w:eastAsia="en-US"/>
        </w:rPr>
        <w:t xml:space="preserve">Recommendation </w:t>
      </w:r>
      <w:r w:rsidR="00AF567A">
        <w:rPr>
          <w:b/>
          <w:bCs/>
          <w:lang w:eastAsia="en-US"/>
        </w:rPr>
        <w:t>8</w:t>
      </w:r>
      <w:r w:rsidRPr="002A63F9">
        <w:rPr>
          <w:b/>
          <w:bCs/>
          <w:lang w:eastAsia="en-US"/>
        </w:rPr>
        <w:t>: The Australian Government work with state and territory governments to eliminate substituted decision-making and provide gender and culture-specific individualised support, including psychosocial support, for people with disability in the criminal justice system.</w:t>
      </w:r>
    </w:p>
    <w:p w:rsidRPr="002A63F9" w:rsidR="00507CFD" w:rsidP="00507CFD" w:rsidRDefault="006137BB" w14:paraId="4BD24454" w14:textId="70B23818">
      <w:pPr>
        <w:pStyle w:val="Heading2"/>
        <w:spacing w:line="276" w:lineRule="auto"/>
      </w:pPr>
      <w:bookmarkStart w:name="_Toc35535492" w:id="32"/>
      <w:r w:rsidRPr="002A63F9">
        <w:t xml:space="preserve">Fitness to plead </w:t>
      </w:r>
      <w:r w:rsidRPr="002A63F9" w:rsidR="007D17C0">
        <w:t>and indefinite detention</w:t>
      </w:r>
      <w:bookmarkEnd w:id="32"/>
    </w:p>
    <w:p w:rsidRPr="002A63F9" w:rsidR="009736B2" w:rsidP="009736B2" w:rsidRDefault="001E74BE" w14:paraId="2B61EB70" w14:textId="469FCA94">
      <w:pPr>
        <w:pStyle w:val="ListNumber"/>
      </w:pPr>
      <w:r w:rsidRPr="002A63F9">
        <w:t xml:space="preserve">This section addresses the </w:t>
      </w:r>
      <w:r w:rsidRPr="002A63F9" w:rsidR="00BB2DB0">
        <w:t xml:space="preserve">capacity </w:t>
      </w:r>
      <w:r w:rsidRPr="002A63F9" w:rsidR="00C90663">
        <w:t>barriers</w:t>
      </w:r>
      <w:r w:rsidRPr="002A63F9" w:rsidR="00BD02B2">
        <w:t xml:space="preserve"> </w:t>
      </w:r>
      <w:r w:rsidRPr="002A63F9" w:rsidR="00C90663">
        <w:t xml:space="preserve">that people with disability </w:t>
      </w:r>
      <w:r w:rsidRPr="002A63F9" w:rsidR="00A50829">
        <w:t xml:space="preserve">face </w:t>
      </w:r>
      <w:r w:rsidRPr="002A63F9" w:rsidR="00C90663">
        <w:t>in accessing justice</w:t>
      </w:r>
      <w:r w:rsidRPr="002A63F9" w:rsidR="008F6F96">
        <w:t xml:space="preserve"> and the </w:t>
      </w:r>
      <w:r w:rsidRPr="002A63F9" w:rsidR="00A50829">
        <w:t>indefinite detention of people with disability</w:t>
      </w:r>
      <w:r w:rsidRPr="002A63F9" w:rsidR="00B757F3">
        <w:t xml:space="preserve">. </w:t>
      </w:r>
      <w:r w:rsidRPr="002A63F9">
        <w:t>This discussion will address the Issues Paper at large and</w:t>
      </w:r>
      <w:r w:rsidRPr="002A63F9" w:rsidR="009421BD">
        <w:t>,</w:t>
      </w:r>
      <w:r w:rsidRPr="002A63F9">
        <w:t xml:space="preserve"> more specifically, will </w:t>
      </w:r>
      <w:r w:rsidRPr="002A63F9" w:rsidR="00C76926">
        <w:t xml:space="preserve">seek to </w:t>
      </w:r>
      <w:r w:rsidRPr="002A63F9">
        <w:t>answer question</w:t>
      </w:r>
      <w:r w:rsidRPr="002A63F9" w:rsidR="00817C49">
        <w:t>s 2A and</w:t>
      </w:r>
      <w:r w:rsidRPr="002A63F9">
        <w:t xml:space="preserve"> </w:t>
      </w:r>
      <w:r w:rsidRPr="002A63F9" w:rsidR="00BB034B">
        <w:t>3A</w:t>
      </w:r>
      <w:r w:rsidRPr="002A63F9" w:rsidR="00146477">
        <w:t>.</w:t>
      </w:r>
      <w:r w:rsidRPr="002A63F9" w:rsidR="00146477">
        <w:rPr>
          <w:rStyle w:val="EndnoteReference"/>
        </w:rPr>
        <w:endnoteReference w:id="119"/>
      </w:r>
    </w:p>
    <w:p w:rsidRPr="002A63F9" w:rsidR="00AE16F7" w:rsidP="003D109A" w:rsidRDefault="00690C4D" w14:paraId="041CFEAF" w14:textId="18BD11C8">
      <w:pPr>
        <w:pStyle w:val="ListNumber"/>
      </w:pPr>
      <w:r w:rsidRPr="002A63F9">
        <w:lastRenderedPageBreak/>
        <w:t xml:space="preserve">The Commission </w:t>
      </w:r>
      <w:r w:rsidRPr="002A63F9" w:rsidR="003D0C2C">
        <w:t>is</w:t>
      </w:r>
      <w:r w:rsidRPr="002A63F9">
        <w:t xml:space="preserve"> concern</w:t>
      </w:r>
      <w:r w:rsidRPr="002A63F9" w:rsidR="00E85EC5">
        <w:t>ed</w:t>
      </w:r>
      <w:r w:rsidRPr="002A63F9">
        <w:t xml:space="preserve"> that</w:t>
      </w:r>
      <w:r w:rsidR="000A49E9">
        <w:t>,</w:t>
      </w:r>
      <w:r w:rsidRPr="002A63F9">
        <w:t xml:space="preserve"> in some jurisdictions</w:t>
      </w:r>
      <w:r w:rsidR="000A49E9">
        <w:t>,</w:t>
      </w:r>
      <w:r w:rsidRPr="002A63F9">
        <w:t xml:space="preserve"> </w:t>
      </w:r>
      <w:r w:rsidRPr="002A63F9">
        <w:rPr>
          <w:shd w:val="clear" w:color="auto" w:fill="FFFFFF"/>
        </w:rPr>
        <w:t xml:space="preserve">declarations of unfitness </w:t>
      </w:r>
      <w:r w:rsidRPr="002A63F9">
        <w:t xml:space="preserve">to stand trial </w:t>
      </w:r>
      <w:r w:rsidRPr="002A63F9">
        <w:rPr>
          <w:shd w:val="clear" w:color="auto" w:fill="FFFFFF"/>
        </w:rPr>
        <w:t>may lead to the indefinite detention of people with disability, including children with disability</w:t>
      </w:r>
      <w:r w:rsidR="001F4287">
        <w:rPr>
          <w:shd w:val="clear" w:color="auto" w:fill="FFFFFF"/>
        </w:rPr>
        <w:t>, who have not been convicted of an offence</w:t>
      </w:r>
      <w:r w:rsidRPr="002A63F9">
        <w:rPr>
          <w:shd w:val="clear" w:color="auto" w:fill="FFFFFF"/>
        </w:rPr>
        <w:t>.</w:t>
      </w:r>
      <w:r w:rsidRPr="002A63F9">
        <w:rPr>
          <w:rStyle w:val="EndnoteReference"/>
          <w:rFonts w:cs="Open Sans"/>
          <w:sz w:val="24"/>
        </w:rPr>
        <w:endnoteReference w:id="120"/>
      </w:r>
      <w:r w:rsidRPr="002A63F9">
        <w:rPr>
          <w:rStyle w:val="EndnoteReference"/>
          <w:rFonts w:cs="Open Sans"/>
          <w:sz w:val="24"/>
        </w:rPr>
        <w:t xml:space="preserve"> </w:t>
      </w:r>
      <w:r w:rsidRPr="002A63F9">
        <w:rPr>
          <w:shd w:val="clear" w:color="auto" w:fill="FFFFFF"/>
        </w:rPr>
        <w:t xml:space="preserve">For example, </w:t>
      </w:r>
      <w:r w:rsidRPr="002A63F9">
        <w:t>in Western Australia</w:t>
      </w:r>
      <w:r w:rsidRPr="002A63F9">
        <w:rPr>
          <w:i/>
          <w:iCs/>
        </w:rPr>
        <w:t xml:space="preserve"> </w:t>
      </w:r>
      <w:r w:rsidRPr="002A63F9">
        <w:t>a person can be indefinitely detained in a custodial setting without trial</w:t>
      </w:r>
      <w:r w:rsidR="001F4287">
        <w:t>,</w:t>
      </w:r>
      <w:r w:rsidRPr="002A63F9">
        <w:t xml:space="preserve"> if found unfit to </w:t>
      </w:r>
      <w:r w:rsidRPr="002A63F9" w:rsidR="0028536E">
        <w:t>plead</w:t>
      </w:r>
      <w:r w:rsidRPr="002A63F9">
        <w:t>.</w:t>
      </w:r>
      <w:r w:rsidRPr="002A63F9">
        <w:rPr>
          <w:rStyle w:val="EndnoteReference"/>
          <w:rFonts w:cs="Open Sans"/>
          <w:sz w:val="24"/>
        </w:rPr>
        <w:endnoteReference w:id="121"/>
      </w:r>
      <w:r w:rsidRPr="002A63F9">
        <w:t xml:space="preserve"> </w:t>
      </w:r>
      <w:r w:rsidRPr="002A63F9" w:rsidR="0028536E">
        <w:t>Such a</w:t>
      </w:r>
      <w:r w:rsidRPr="002A63F9">
        <w:t xml:space="preserve"> person </w:t>
      </w:r>
      <w:r w:rsidRPr="002A63F9" w:rsidR="0028536E">
        <w:t>may</w:t>
      </w:r>
      <w:r w:rsidRPr="002A63F9">
        <w:t xml:space="preserve"> spend a longer time in detention than if they </w:t>
      </w:r>
      <w:r w:rsidRPr="002A63F9" w:rsidR="00800674">
        <w:t xml:space="preserve">had </w:t>
      </w:r>
      <w:r w:rsidRPr="002A63F9">
        <w:t>pleaded guilty and were sentenced to imprisonment for the offence.</w:t>
      </w:r>
      <w:r w:rsidRPr="002A63F9">
        <w:rPr>
          <w:rStyle w:val="EndnoteReference"/>
          <w:rFonts w:cs="Open Sans"/>
          <w:sz w:val="24"/>
        </w:rPr>
        <w:endnoteReference w:id="122"/>
      </w:r>
      <w:r w:rsidRPr="002A63F9">
        <w:t xml:space="preserve"> </w:t>
      </w:r>
      <w:r w:rsidRPr="002A63F9" w:rsidR="00E27C66">
        <w:t>Similar issues arise in other jurisdictions</w:t>
      </w:r>
      <w:r w:rsidRPr="002A63F9" w:rsidR="00D86828">
        <w:t>.</w:t>
      </w:r>
    </w:p>
    <w:p w:rsidRPr="002A63F9" w:rsidR="00D9095C" w:rsidP="00D86828" w:rsidRDefault="00EB6A95" w14:paraId="6BAA93E4" w14:textId="77777777">
      <w:pPr>
        <w:pStyle w:val="ListNumber"/>
        <w:rPr>
          <w:lang w:eastAsia="en-US"/>
        </w:rPr>
      </w:pPr>
      <w:r w:rsidRPr="002A63F9">
        <w:rPr>
          <w:lang w:eastAsia="en-US"/>
        </w:rPr>
        <w:t>There is no uniform approach to fitness to plead as it relates to people with disability in Australia, and the effect of a finding of permanent unfitness to plead varies from jurisdiction to jurisdiction.</w:t>
      </w:r>
      <w:r w:rsidRPr="002A63F9" w:rsidR="00AA09B2">
        <w:rPr>
          <w:rStyle w:val="EndnoteReference"/>
          <w:lang w:eastAsia="en-US"/>
        </w:rPr>
        <w:endnoteReference w:id="123"/>
      </w:r>
      <w:r w:rsidRPr="002A63F9">
        <w:rPr>
          <w:lang w:eastAsia="en-US"/>
        </w:rPr>
        <w:t xml:space="preserve"> </w:t>
      </w:r>
      <w:r w:rsidRPr="002A63F9" w:rsidR="00D86828">
        <w:rPr>
          <w:lang w:eastAsia="en-US"/>
        </w:rPr>
        <w:t>Th</w:t>
      </w:r>
      <w:r w:rsidRPr="002A63F9" w:rsidR="00C30B77">
        <w:rPr>
          <w:lang w:eastAsia="en-US"/>
        </w:rPr>
        <w:t>e</w:t>
      </w:r>
      <w:r w:rsidRPr="002A63F9" w:rsidR="00D86828">
        <w:rPr>
          <w:lang w:eastAsia="en-US"/>
        </w:rPr>
        <w:t xml:space="preserve"> </w:t>
      </w:r>
      <w:r w:rsidRPr="002A63F9" w:rsidR="00D41B9F">
        <w:rPr>
          <w:lang w:eastAsia="en-US"/>
        </w:rPr>
        <w:t xml:space="preserve">considerable </w:t>
      </w:r>
      <w:r w:rsidRPr="002A63F9" w:rsidR="00D86828">
        <w:rPr>
          <w:lang w:eastAsia="en-US"/>
        </w:rPr>
        <w:t>variation between jurisdictions has been noted as a point of concern by the CRPD Committee, which proposed the development of a nationally consistent disability justice plan to ensure that people with disability receive the same support across every jurisdiction.</w:t>
      </w:r>
      <w:r w:rsidRPr="002A63F9" w:rsidR="00D86828">
        <w:rPr>
          <w:rStyle w:val="EndnoteReference"/>
          <w:lang w:eastAsia="en-US"/>
        </w:rPr>
        <w:endnoteReference w:id="124"/>
      </w:r>
      <w:r w:rsidRPr="002A63F9" w:rsidR="008D02AE">
        <w:rPr>
          <w:lang w:eastAsia="en-US"/>
        </w:rPr>
        <w:t xml:space="preserve"> </w:t>
      </w:r>
    </w:p>
    <w:p w:rsidRPr="002A63F9" w:rsidR="00A45B88" w:rsidP="005F1CC3" w:rsidRDefault="00A45B88" w14:paraId="1641D4D5" w14:textId="45F7C2D7">
      <w:pPr>
        <w:pStyle w:val="ListNumber"/>
        <w:rPr>
          <w:lang w:eastAsia="en-US"/>
        </w:rPr>
      </w:pPr>
      <w:r w:rsidRPr="002A63F9">
        <w:rPr>
          <w:lang w:eastAsia="en-US"/>
        </w:rPr>
        <w:t>T</w:t>
      </w:r>
      <w:r w:rsidRPr="002A63F9" w:rsidR="008D02AE">
        <w:rPr>
          <w:lang w:eastAsia="en-US"/>
        </w:rPr>
        <w:t xml:space="preserve">he </w:t>
      </w:r>
      <w:r w:rsidRPr="002A63F9">
        <w:rPr>
          <w:lang w:eastAsia="en-US"/>
        </w:rPr>
        <w:t>ALRC</w:t>
      </w:r>
      <w:r w:rsidRPr="002A63F9" w:rsidR="008D02AE">
        <w:rPr>
          <w:lang w:eastAsia="en-US"/>
        </w:rPr>
        <w:t xml:space="preserve"> has recommended that </w:t>
      </w:r>
      <w:r w:rsidRPr="002A63F9" w:rsidR="00ED3889">
        <w:rPr>
          <w:lang w:eastAsia="en-US"/>
        </w:rPr>
        <w:t xml:space="preserve">all </w:t>
      </w:r>
      <w:r w:rsidRPr="002A63F9" w:rsidR="008D02AE">
        <w:rPr>
          <w:lang w:eastAsia="en-US"/>
        </w:rPr>
        <w:t xml:space="preserve">state and territory governments provide for limits on the period of detention without conviction that </w:t>
      </w:r>
      <w:r w:rsidRPr="002A63F9">
        <w:rPr>
          <w:lang w:eastAsia="en-US"/>
        </w:rPr>
        <w:t>may</w:t>
      </w:r>
      <w:r w:rsidRPr="002A63F9" w:rsidR="008D02AE">
        <w:rPr>
          <w:lang w:eastAsia="en-US"/>
        </w:rPr>
        <w:t xml:space="preserve"> be imposed</w:t>
      </w:r>
      <w:r w:rsidRPr="002A63F9" w:rsidR="00ED3889">
        <w:rPr>
          <w:lang w:eastAsia="en-US"/>
        </w:rPr>
        <w:t xml:space="preserve"> and ensure that detention orders are subject to regular periodic review.</w:t>
      </w:r>
      <w:r w:rsidRPr="002A63F9" w:rsidR="00382ACF">
        <w:rPr>
          <w:rStyle w:val="EndnoteReference"/>
          <w:lang w:eastAsia="en-US"/>
        </w:rPr>
        <w:endnoteReference w:id="125"/>
      </w:r>
      <w:r w:rsidRPr="002A63F9">
        <w:rPr>
          <w:lang w:eastAsia="en-US"/>
        </w:rPr>
        <w:t xml:space="preserve"> </w:t>
      </w:r>
      <w:r w:rsidRPr="002A63F9" w:rsidR="00E02D1D">
        <w:rPr>
          <w:lang w:eastAsia="en-US"/>
        </w:rPr>
        <w:t>S</w:t>
      </w:r>
      <w:r w:rsidRPr="002A63F9">
        <w:rPr>
          <w:lang w:eastAsia="en-US"/>
        </w:rPr>
        <w:t>uch limits should be set by reference to the period of imprisonment likely to have been imposed if the person had been convicted of the offence.</w:t>
      </w:r>
      <w:r w:rsidRPr="002A63F9">
        <w:rPr>
          <w:rStyle w:val="EndnoteReference"/>
          <w:lang w:eastAsia="en-US"/>
        </w:rPr>
        <w:endnoteReference w:id="126"/>
      </w:r>
      <w:r w:rsidRPr="002A63F9">
        <w:rPr>
          <w:lang w:eastAsia="en-US"/>
        </w:rPr>
        <w:t xml:space="preserve"> </w:t>
      </w:r>
      <w:r w:rsidRPr="002A63F9" w:rsidR="007B04A5">
        <w:rPr>
          <w:lang w:eastAsia="en-US"/>
        </w:rPr>
        <w:t>Legislation in t</w:t>
      </w:r>
      <w:r w:rsidRPr="002A63F9">
        <w:rPr>
          <w:lang w:eastAsia="en-US"/>
        </w:rPr>
        <w:t>he ACT,</w:t>
      </w:r>
      <w:r w:rsidRPr="002A63F9">
        <w:rPr>
          <w:rStyle w:val="EndnoteReference"/>
          <w:lang w:eastAsia="en-US"/>
        </w:rPr>
        <w:endnoteReference w:id="127"/>
      </w:r>
      <w:r w:rsidRPr="002A63F9">
        <w:rPr>
          <w:lang w:eastAsia="en-US"/>
        </w:rPr>
        <w:t xml:space="preserve"> NSW</w:t>
      </w:r>
      <w:r w:rsidRPr="002A63F9">
        <w:rPr>
          <w:rStyle w:val="EndnoteReference"/>
          <w:lang w:eastAsia="en-US"/>
        </w:rPr>
        <w:endnoteReference w:id="128"/>
      </w:r>
      <w:r w:rsidRPr="002A63F9">
        <w:rPr>
          <w:lang w:eastAsia="en-US"/>
        </w:rPr>
        <w:t xml:space="preserve"> and SA</w:t>
      </w:r>
      <w:r w:rsidRPr="002A63F9">
        <w:rPr>
          <w:rStyle w:val="EndnoteReference"/>
          <w:lang w:eastAsia="en-US"/>
        </w:rPr>
        <w:endnoteReference w:id="129"/>
      </w:r>
      <w:r w:rsidRPr="002A63F9">
        <w:rPr>
          <w:lang w:eastAsia="en-US"/>
        </w:rPr>
        <w:t xml:space="preserve"> provide</w:t>
      </w:r>
      <w:r w:rsidRPr="002A63F9" w:rsidR="007B04A5">
        <w:rPr>
          <w:lang w:eastAsia="en-US"/>
        </w:rPr>
        <w:t>s</w:t>
      </w:r>
      <w:r w:rsidRPr="002A63F9">
        <w:rPr>
          <w:lang w:eastAsia="en-US"/>
        </w:rPr>
        <w:t xml:space="preserve"> that where a person is found unfit to plead and there is a finding of guilt, the court may impose a limit</w:t>
      </w:r>
      <w:r w:rsidR="002C4CBD">
        <w:rPr>
          <w:lang w:eastAsia="en-US"/>
        </w:rPr>
        <w:t>ing</w:t>
      </w:r>
      <w:r w:rsidRPr="002A63F9">
        <w:rPr>
          <w:lang w:eastAsia="en-US"/>
        </w:rPr>
        <w:t xml:space="preserve"> term represent</w:t>
      </w:r>
      <w:r w:rsidRPr="002A63F9" w:rsidR="007B04A5">
        <w:rPr>
          <w:lang w:eastAsia="en-US"/>
        </w:rPr>
        <w:t>ing</w:t>
      </w:r>
      <w:r w:rsidRPr="002A63F9">
        <w:rPr>
          <w:lang w:eastAsia="en-US"/>
        </w:rPr>
        <w:t xml:space="preserve"> the time the person must spend in forensic custody. The limit</w:t>
      </w:r>
      <w:r w:rsidR="002C4CBD">
        <w:rPr>
          <w:lang w:eastAsia="en-US"/>
        </w:rPr>
        <w:t>ing</w:t>
      </w:r>
      <w:r w:rsidRPr="002A63F9">
        <w:rPr>
          <w:lang w:eastAsia="en-US"/>
        </w:rPr>
        <w:t xml:space="preserve"> term generally mirrors the sentence a court would have imposed for the offending conduct.</w:t>
      </w:r>
      <w:r w:rsidRPr="002A63F9">
        <w:rPr>
          <w:rStyle w:val="EndnoteReference"/>
          <w:lang w:eastAsia="en-US"/>
        </w:rPr>
        <w:endnoteReference w:id="130"/>
      </w:r>
      <w:r w:rsidRPr="002A63F9">
        <w:rPr>
          <w:lang w:eastAsia="en-US"/>
        </w:rPr>
        <w:t xml:space="preserve"> Similarly, t</w:t>
      </w:r>
      <w:r w:rsidRPr="002A63F9" w:rsidR="007B04A5">
        <w:rPr>
          <w:lang w:eastAsia="en-US"/>
        </w:rPr>
        <w:t>he</w:t>
      </w:r>
      <w:r w:rsidRPr="002A63F9">
        <w:rPr>
          <w:lang w:eastAsia="en-US"/>
        </w:rPr>
        <w:t xml:space="preserve"> </w:t>
      </w:r>
      <w:r w:rsidRPr="002A63F9">
        <w:rPr>
          <w:i/>
          <w:iCs/>
          <w:lang w:eastAsia="en-US"/>
        </w:rPr>
        <w:t xml:space="preserve">Crimes Act 1914 </w:t>
      </w:r>
      <w:r w:rsidRPr="002A63F9" w:rsidR="007B04A5">
        <w:rPr>
          <w:lang w:eastAsia="en-US"/>
        </w:rPr>
        <w:t>(Cth)</w:t>
      </w:r>
      <w:r w:rsidRPr="002A63F9" w:rsidR="007B04A5">
        <w:rPr>
          <w:i/>
          <w:iCs/>
          <w:lang w:eastAsia="en-US"/>
        </w:rPr>
        <w:t xml:space="preserve"> </w:t>
      </w:r>
      <w:r w:rsidRPr="002A63F9">
        <w:rPr>
          <w:lang w:eastAsia="en-US"/>
        </w:rPr>
        <w:t>provides for a maximum limit on detention.</w:t>
      </w:r>
      <w:r w:rsidRPr="002A63F9">
        <w:rPr>
          <w:rStyle w:val="EndnoteReference"/>
          <w:lang w:eastAsia="en-US"/>
        </w:rPr>
        <w:endnoteReference w:id="131"/>
      </w:r>
      <w:r w:rsidRPr="002A63F9">
        <w:rPr>
          <w:lang w:eastAsia="en-US"/>
        </w:rPr>
        <w:t xml:space="preserve"> </w:t>
      </w:r>
      <w:r w:rsidRPr="002A63F9" w:rsidR="00E02D1D">
        <w:rPr>
          <w:lang w:eastAsia="en-US"/>
        </w:rPr>
        <w:t>The Commission endorses the ALRC’s recommendation and calls for its implementation across jurisdictions.</w:t>
      </w:r>
    </w:p>
    <w:p w:rsidRPr="002A63F9" w:rsidR="003E0DDA" w:rsidP="003E0DDA" w:rsidRDefault="00AA40E1" w14:paraId="6FD0434C" w14:textId="285FEDD0">
      <w:pPr>
        <w:pStyle w:val="ListNumber"/>
      </w:pPr>
      <w:r w:rsidRPr="002A63F9">
        <w:t>Declarations of unfitness to stand trial effectively prevent people with disability</w:t>
      </w:r>
      <w:r w:rsidRPr="002A63F9" w:rsidR="00354666">
        <w:t xml:space="preserve"> from accessing protection or justice</w:t>
      </w:r>
      <w:r w:rsidRPr="002A63F9" w:rsidR="00E63607">
        <w:t xml:space="preserve"> from the courts</w:t>
      </w:r>
      <w:r w:rsidRPr="002A63F9" w:rsidR="00155999">
        <w:t xml:space="preserve"> on the same footing as others without a disability.</w:t>
      </w:r>
      <w:r w:rsidRPr="002A63F9" w:rsidR="00155999">
        <w:rPr>
          <w:rStyle w:val="EndnoteReference"/>
        </w:rPr>
        <w:endnoteReference w:id="132"/>
      </w:r>
      <w:r w:rsidRPr="002A63F9" w:rsidR="00155999">
        <w:t xml:space="preserve"> </w:t>
      </w:r>
      <w:r w:rsidRPr="002A63F9" w:rsidR="00690C4D">
        <w:t>There are no special procedures for children.</w:t>
      </w:r>
      <w:r w:rsidRPr="002A63F9" w:rsidR="00690C4D">
        <w:rPr>
          <w:rStyle w:val="EndnoteReference"/>
          <w:rFonts w:cs="Open Sans"/>
          <w:sz w:val="24"/>
        </w:rPr>
        <w:endnoteReference w:id="133"/>
      </w:r>
      <w:r w:rsidRPr="002A63F9" w:rsidR="00690C4D">
        <w:t xml:space="preserve"> Children with </w:t>
      </w:r>
      <w:r w:rsidRPr="002A63F9" w:rsidR="006B28BE">
        <w:rPr>
          <w:lang w:eastAsia="en-US"/>
        </w:rPr>
        <w:t>FASD</w:t>
      </w:r>
      <w:r w:rsidRPr="002A63F9" w:rsidR="003D064F">
        <w:rPr>
          <w:rStyle w:val="EndnoteReference"/>
          <w:rFonts w:cs="Open Sans"/>
          <w:sz w:val="24"/>
        </w:rPr>
        <w:endnoteReference w:id="134"/>
      </w:r>
      <w:r w:rsidRPr="002A63F9" w:rsidR="00AE16F7">
        <w:rPr>
          <w:lang w:eastAsia="en-US"/>
        </w:rPr>
        <w:t xml:space="preserve"> and those with</w:t>
      </w:r>
      <w:r w:rsidRPr="002A63F9" w:rsidR="003D064F">
        <w:t xml:space="preserve"> </w:t>
      </w:r>
      <w:r w:rsidRPr="002A63F9" w:rsidR="00F60A4C">
        <w:rPr>
          <w:lang w:eastAsia="en-US"/>
        </w:rPr>
        <w:t>intellectual</w:t>
      </w:r>
      <w:r w:rsidRPr="002A63F9" w:rsidR="008F22BF">
        <w:rPr>
          <w:rStyle w:val="EndnoteReference"/>
          <w:lang w:eastAsia="en-US"/>
        </w:rPr>
        <w:endnoteReference w:id="135"/>
      </w:r>
      <w:r w:rsidRPr="002A63F9" w:rsidR="00F60A4C">
        <w:rPr>
          <w:lang w:eastAsia="en-US"/>
        </w:rPr>
        <w:t xml:space="preserve"> </w:t>
      </w:r>
      <w:r w:rsidRPr="002A63F9" w:rsidR="00AE16F7">
        <w:rPr>
          <w:lang w:eastAsia="en-US"/>
        </w:rPr>
        <w:t>or</w:t>
      </w:r>
      <w:r w:rsidRPr="002A63F9" w:rsidR="003D064F">
        <w:rPr>
          <w:lang w:eastAsia="en-US"/>
        </w:rPr>
        <w:t xml:space="preserve"> psychosocial disabilities</w:t>
      </w:r>
      <w:r w:rsidRPr="002A63F9" w:rsidR="007C6706">
        <w:rPr>
          <w:rStyle w:val="EndnoteReference"/>
          <w:lang w:eastAsia="en-US"/>
        </w:rPr>
        <w:endnoteReference w:id="136"/>
      </w:r>
      <w:r w:rsidRPr="002A63F9" w:rsidR="006B28BE">
        <w:rPr>
          <w:lang w:eastAsia="en-US"/>
        </w:rPr>
        <w:t xml:space="preserve"> </w:t>
      </w:r>
      <w:r w:rsidRPr="002A63F9" w:rsidR="00690C4D">
        <w:t xml:space="preserve">are at particular risk of being held in indefinite detention and are </w:t>
      </w:r>
      <w:r w:rsidRPr="002A63F9" w:rsidR="009F6B76">
        <w:t xml:space="preserve">generally </w:t>
      </w:r>
      <w:r w:rsidRPr="002A63F9" w:rsidR="00690C4D">
        <w:t>overrepresented in the juvenile justice system.</w:t>
      </w:r>
    </w:p>
    <w:p w:rsidRPr="002A63F9" w:rsidR="00B52C16" w:rsidP="003833A9" w:rsidRDefault="008C58FA" w14:paraId="773129B3" w14:textId="5F7299A4">
      <w:pPr>
        <w:pStyle w:val="ListNumber"/>
      </w:pPr>
      <w:r w:rsidRPr="002A63F9">
        <w:t xml:space="preserve">The Commission </w:t>
      </w:r>
      <w:r w:rsidR="002361BB">
        <w:t xml:space="preserve">remains </w:t>
      </w:r>
      <w:r w:rsidRPr="002A63F9">
        <w:t>concerned by the</w:t>
      </w:r>
      <w:r w:rsidR="003F7635">
        <w:t xml:space="preserve"> existence of</w:t>
      </w:r>
      <w:r w:rsidRPr="002A63F9">
        <w:t xml:space="preserve"> legislation</w:t>
      </w:r>
      <w:r w:rsidR="003F7635">
        <w:t>,</w:t>
      </w:r>
      <w:r w:rsidRPr="002A63F9">
        <w:t xml:space="preserve"> policies and practices</w:t>
      </w:r>
      <w:r w:rsidR="00926916">
        <w:t xml:space="preserve"> in several jurisdictions</w:t>
      </w:r>
      <w:r w:rsidRPr="002A63F9">
        <w:t xml:space="preserve"> that can lead to the indefinite detention of unconvicted people with disability.</w:t>
      </w:r>
      <w:r w:rsidRPr="002A63F9" w:rsidR="004218DD">
        <w:t xml:space="preserve"> </w:t>
      </w:r>
      <w:r w:rsidRPr="002A63F9" w:rsidR="00DB7A6D">
        <w:t xml:space="preserve">The Government is yet to respond to the </w:t>
      </w:r>
      <w:r w:rsidRPr="002A63F9" w:rsidR="00DB7A6D">
        <w:rPr>
          <w:i/>
          <w:iCs/>
        </w:rPr>
        <w:t>Senate Community Affairs References Committee’s report Inquiry into indefinite detention of people with cognitive and psychiatric impairment in Australia.</w:t>
      </w:r>
      <w:r w:rsidRPr="002A63F9" w:rsidR="00B52C16">
        <w:rPr>
          <w:i/>
          <w:iCs/>
        </w:rPr>
        <w:t xml:space="preserve"> </w:t>
      </w:r>
    </w:p>
    <w:p w:rsidRPr="002A63F9" w:rsidR="008C58FA" w:rsidP="00D5779A" w:rsidRDefault="000D31DE" w14:paraId="70FE7BE5" w14:textId="03331B55">
      <w:pPr>
        <w:pStyle w:val="ListNumber"/>
      </w:pPr>
      <w:r w:rsidRPr="002A63F9">
        <w:lastRenderedPageBreak/>
        <w:t>T</w:t>
      </w:r>
      <w:r w:rsidRPr="002A63F9" w:rsidR="008C58FA">
        <w:t xml:space="preserve">he Commission welcomes the endorsement in August 2019 of the </w:t>
      </w:r>
      <w:r w:rsidRPr="002A63F9" w:rsidR="008C58FA">
        <w:rPr>
          <w:i/>
          <w:iCs/>
        </w:rPr>
        <w:t>National Statement of Principles Relating to Persons Unfit to Plead or Found Not Guilty By Reason of Cognitive or Mental Health Impairment</w:t>
      </w:r>
      <w:r w:rsidRPr="002A63F9" w:rsidR="008C58FA">
        <w:t xml:space="preserve"> (National Statement) by Australian states and territories, with the exception of South Australia</w:t>
      </w:r>
      <w:r w:rsidRPr="002A63F9" w:rsidR="00511A2C">
        <w:t>. However</w:t>
      </w:r>
      <w:r w:rsidRPr="002A63F9" w:rsidR="008C58FA">
        <w:t xml:space="preserve">, the Commission is concerned that the National Statement has not </w:t>
      </w:r>
      <w:r w:rsidRPr="002A63F9" w:rsidR="00AE536D">
        <w:t xml:space="preserve">yet </w:t>
      </w:r>
      <w:r w:rsidRPr="002A63F9" w:rsidR="008C58FA">
        <w:t>been implemented in state and territory legislation, polic</w:t>
      </w:r>
      <w:r w:rsidR="002A6A24">
        <w:t>ies</w:t>
      </w:r>
      <w:r w:rsidRPr="002A63F9" w:rsidR="008C58FA">
        <w:t xml:space="preserve"> and procedures.</w:t>
      </w:r>
      <w:r w:rsidRPr="002A63F9" w:rsidR="00A078CE">
        <w:rPr>
          <w:rStyle w:val="EndnoteReference"/>
        </w:rPr>
        <w:endnoteReference w:id="137"/>
      </w:r>
    </w:p>
    <w:p w:rsidRPr="002A63F9" w:rsidR="00201932" w:rsidP="00D5779A" w:rsidRDefault="00201932" w14:paraId="3D7C8B73" w14:textId="7E2F3530">
      <w:pPr>
        <w:pStyle w:val="ListNumber"/>
      </w:pPr>
      <w:r w:rsidRPr="002A63F9">
        <w:t xml:space="preserve">In the CRPD Committee’s Concluding Observations on the combined second and third periodic reports of Australia in October 2019 (2019 Concluding Observations), the Committee expressed serious concern in relation to Australian legislative frameworks, policies and practices that result in the arbitrary and indefinite detention of </w:t>
      </w:r>
      <w:r w:rsidRPr="002A63F9" w:rsidR="005A3AEE">
        <w:t xml:space="preserve">people </w:t>
      </w:r>
      <w:r w:rsidRPr="002A63F9">
        <w:t>with disabilit</w:t>
      </w:r>
      <w:r w:rsidRPr="002A63F9" w:rsidR="005A3AEE">
        <w:t>y</w:t>
      </w:r>
      <w:r w:rsidRPr="002A63F9">
        <w:t>.</w:t>
      </w:r>
      <w:r w:rsidRPr="002A63F9">
        <w:rPr>
          <w:rStyle w:val="EndnoteReference"/>
        </w:rPr>
        <w:endnoteReference w:id="138"/>
      </w:r>
      <w:r w:rsidRPr="002A63F9">
        <w:t xml:space="preserve"> Further, the Committee urged Australia to stop committing </w:t>
      </w:r>
      <w:r w:rsidRPr="002A63F9" w:rsidR="005A3AEE">
        <w:t xml:space="preserve">people </w:t>
      </w:r>
      <w:r w:rsidRPr="002A63F9">
        <w:t>with disabilit</w:t>
      </w:r>
      <w:r w:rsidRPr="002A63F9" w:rsidR="005A3AEE">
        <w:t>y</w:t>
      </w:r>
      <w:r w:rsidRPr="002A63F9">
        <w:t xml:space="preserve">, in particular </w:t>
      </w:r>
      <w:r w:rsidRPr="002A63F9" w:rsidR="005A3AEE">
        <w:t xml:space="preserve">people </w:t>
      </w:r>
      <w:r w:rsidRPr="002A63F9">
        <w:t>with intellectual or psychosocial disabilit</w:t>
      </w:r>
      <w:r w:rsidRPr="002A63F9" w:rsidR="005A3AEE">
        <w:t>y</w:t>
      </w:r>
      <w:r w:rsidRPr="002A63F9">
        <w:t>, to custody for indefinite terms.</w:t>
      </w:r>
      <w:r w:rsidRPr="002A63F9">
        <w:rPr>
          <w:rStyle w:val="EndnoteReference"/>
        </w:rPr>
        <w:endnoteReference w:id="139"/>
      </w:r>
      <w:r w:rsidRPr="002A63F9">
        <w:t xml:space="preserve"> </w:t>
      </w:r>
      <w:r w:rsidRPr="002A63F9" w:rsidR="00941E46">
        <w:t xml:space="preserve">The Commission </w:t>
      </w:r>
      <w:r w:rsidRPr="002A63F9" w:rsidR="00802E75">
        <w:t>encourages the Government to implement this recommendation as a priority.</w:t>
      </w:r>
    </w:p>
    <w:p w:rsidRPr="002A63F9" w:rsidR="00CB51F1" w:rsidP="00D5779A" w:rsidRDefault="003410B0" w14:paraId="7CD221C1" w14:textId="6B7ACBA7">
      <w:pPr>
        <w:pStyle w:val="ListNumber"/>
        <w:rPr>
          <w:lang w:eastAsia="en-US"/>
        </w:rPr>
      </w:pPr>
      <w:r w:rsidRPr="002A63F9">
        <w:rPr>
          <w:lang w:eastAsia="en-US"/>
        </w:rPr>
        <w:t>In the absence of more appropriate support services,</w:t>
      </w:r>
      <w:r w:rsidRPr="002A63F9" w:rsidR="000756C6">
        <w:rPr>
          <w:rStyle w:val="EndnoteReference"/>
          <w:lang w:eastAsia="en-US"/>
        </w:rPr>
        <w:endnoteReference w:id="140"/>
      </w:r>
      <w:r w:rsidRPr="002A63F9">
        <w:rPr>
          <w:lang w:eastAsia="en-US"/>
        </w:rPr>
        <w:t xml:space="preserve"> people with disability who are found unfit to plead may be detained indefinitely in prison.</w:t>
      </w:r>
      <w:r w:rsidRPr="002A63F9" w:rsidR="00470C33">
        <w:rPr>
          <w:rStyle w:val="EndnoteReference"/>
          <w:lang w:eastAsia="en-US"/>
        </w:rPr>
        <w:endnoteReference w:id="141"/>
      </w:r>
      <w:r w:rsidRPr="002A63F9">
        <w:rPr>
          <w:lang w:eastAsia="en-US"/>
        </w:rPr>
        <w:t xml:space="preserve"> </w:t>
      </w:r>
      <w:r w:rsidRPr="002A63F9" w:rsidR="00CB51F1">
        <w:rPr>
          <w:lang w:eastAsia="en-US"/>
        </w:rPr>
        <w:t>Prisons are</w:t>
      </w:r>
      <w:r w:rsidRPr="002A63F9" w:rsidR="0084476F">
        <w:rPr>
          <w:lang w:eastAsia="en-US"/>
        </w:rPr>
        <w:t xml:space="preserve"> generally</w:t>
      </w:r>
      <w:r w:rsidRPr="002A63F9" w:rsidR="00CB51F1">
        <w:rPr>
          <w:lang w:eastAsia="en-US"/>
        </w:rPr>
        <w:t xml:space="preserve"> ill-equipped to accommodate people with disability, particular</w:t>
      </w:r>
      <w:r w:rsidRPr="002A63F9" w:rsidR="00BF14DC">
        <w:rPr>
          <w:lang w:eastAsia="en-US"/>
        </w:rPr>
        <w:t>ly</w:t>
      </w:r>
      <w:r w:rsidRPr="002A63F9" w:rsidR="00CB51F1">
        <w:rPr>
          <w:lang w:eastAsia="en-US"/>
        </w:rPr>
        <w:t xml:space="preserve"> those who have complex or </w:t>
      </w:r>
      <w:r w:rsidRPr="002A63F9" w:rsidR="000756C6">
        <w:rPr>
          <w:lang w:eastAsia="en-US"/>
        </w:rPr>
        <w:t>intensive support needs.</w:t>
      </w:r>
      <w:r w:rsidRPr="002A63F9" w:rsidR="008B034D">
        <w:rPr>
          <w:rStyle w:val="EndnoteReference"/>
          <w:lang w:eastAsia="en-US"/>
        </w:rPr>
        <w:endnoteReference w:id="142"/>
      </w:r>
    </w:p>
    <w:p w:rsidRPr="002A63F9" w:rsidR="0007523E" w:rsidP="0026365F" w:rsidRDefault="0007523E" w14:paraId="58255567" w14:textId="1F588568">
      <w:pPr>
        <w:pStyle w:val="ListNumber"/>
        <w:rPr>
          <w:lang w:eastAsia="en-US"/>
        </w:rPr>
      </w:pPr>
      <w:r w:rsidRPr="002A63F9">
        <w:rPr>
          <w:lang w:eastAsia="en-US"/>
        </w:rPr>
        <w:t>Concerningly, knowledge of th</w:t>
      </w:r>
      <w:r w:rsidRPr="002A63F9" w:rsidR="00C23184">
        <w:rPr>
          <w:lang w:eastAsia="en-US"/>
        </w:rPr>
        <w:t>e</w:t>
      </w:r>
      <w:r w:rsidRPr="002A63F9">
        <w:rPr>
          <w:lang w:eastAsia="en-US"/>
        </w:rPr>
        <w:t xml:space="preserve"> risk </w:t>
      </w:r>
      <w:r w:rsidRPr="002A63F9" w:rsidR="00C23184">
        <w:rPr>
          <w:lang w:eastAsia="en-US"/>
        </w:rPr>
        <w:t xml:space="preserve">of indefinite detention </w:t>
      </w:r>
      <w:r w:rsidRPr="002A63F9">
        <w:rPr>
          <w:lang w:eastAsia="en-US"/>
        </w:rPr>
        <w:t xml:space="preserve">among defendants and legal representatives appears to have led </w:t>
      </w:r>
      <w:r w:rsidRPr="002A63F9" w:rsidR="0041030D">
        <w:rPr>
          <w:lang w:eastAsia="en-US"/>
        </w:rPr>
        <w:t xml:space="preserve">some </w:t>
      </w:r>
      <w:r w:rsidRPr="002A63F9">
        <w:rPr>
          <w:lang w:eastAsia="en-US"/>
        </w:rPr>
        <w:t>people with disability to plead guilty to crimes they have not committed so as to avoid being detained for an indefinite period.</w:t>
      </w:r>
      <w:r w:rsidRPr="002A63F9">
        <w:rPr>
          <w:rStyle w:val="EndnoteReference"/>
          <w:lang w:eastAsia="en-US"/>
        </w:rPr>
        <w:endnoteReference w:id="143"/>
      </w:r>
      <w:r w:rsidRPr="002A63F9">
        <w:rPr>
          <w:lang w:eastAsia="en-US"/>
        </w:rPr>
        <w:t xml:space="preserve"> There is at least anecdotal evidence of this practice occurring in the Northern Territory,</w:t>
      </w:r>
      <w:r w:rsidRPr="002A63F9">
        <w:rPr>
          <w:rStyle w:val="EndnoteReference"/>
          <w:lang w:eastAsia="en-US"/>
        </w:rPr>
        <w:endnoteReference w:id="144"/>
      </w:r>
      <w:r w:rsidRPr="002A63F9">
        <w:rPr>
          <w:lang w:eastAsia="en-US"/>
        </w:rPr>
        <w:t xml:space="preserve"> Western Australia</w:t>
      </w:r>
      <w:r w:rsidRPr="002A63F9">
        <w:rPr>
          <w:rStyle w:val="EndnoteReference"/>
          <w:lang w:eastAsia="en-US"/>
        </w:rPr>
        <w:endnoteReference w:id="145"/>
      </w:r>
      <w:r w:rsidRPr="002A63F9">
        <w:rPr>
          <w:lang w:eastAsia="en-US"/>
        </w:rPr>
        <w:t xml:space="preserve"> and Queensland.</w:t>
      </w:r>
      <w:r w:rsidRPr="002A63F9">
        <w:rPr>
          <w:rStyle w:val="EndnoteReference"/>
          <w:lang w:eastAsia="en-US"/>
        </w:rPr>
        <w:endnoteReference w:id="146"/>
      </w:r>
      <w:r w:rsidRPr="002A63F9">
        <w:rPr>
          <w:lang w:eastAsia="en-US"/>
        </w:rPr>
        <w:t xml:space="preserve"> To some extent this is not surprising, given the many examples of cases where the time spent in detention by someone deemed unfit to plead is more than double that of a custodial sentence.</w:t>
      </w:r>
      <w:r w:rsidRPr="002A63F9">
        <w:rPr>
          <w:rStyle w:val="EndnoteReference"/>
          <w:lang w:eastAsia="en-US"/>
        </w:rPr>
        <w:endnoteReference w:id="147"/>
      </w:r>
    </w:p>
    <w:p w:rsidR="00EE414F" w:rsidP="00EE414F" w:rsidRDefault="00EE414F" w14:paraId="4049BABF" w14:textId="167531AE">
      <w:pPr>
        <w:pStyle w:val="ListNumber"/>
        <w:rPr>
          <w:b/>
          <w:bCs/>
          <w:lang w:eastAsia="en-US"/>
        </w:rPr>
      </w:pPr>
      <w:r w:rsidRPr="002A63F9">
        <w:rPr>
          <w:b/>
          <w:bCs/>
          <w:lang w:eastAsia="en-US"/>
        </w:rPr>
        <w:t xml:space="preserve">Recommendation </w:t>
      </w:r>
      <w:r w:rsidR="00AF567A">
        <w:rPr>
          <w:b/>
          <w:bCs/>
          <w:lang w:eastAsia="en-US"/>
        </w:rPr>
        <w:t>9</w:t>
      </w:r>
      <w:r w:rsidRPr="002A63F9">
        <w:rPr>
          <w:b/>
          <w:bCs/>
          <w:lang w:eastAsia="en-US"/>
        </w:rPr>
        <w:t>: The Australian Government work with state and territory governments to implement the recommendations of the Senate Community Affairs References Committee in the Inquiry into indefinite detention of people with cognitive and psychiatric impairment in Australia.</w:t>
      </w:r>
    </w:p>
    <w:p w:rsidRPr="002A63F9" w:rsidR="00133086" w:rsidP="00133086" w:rsidRDefault="00133086" w14:paraId="03933E9B" w14:textId="2B2E240E">
      <w:pPr>
        <w:pStyle w:val="ListNumber"/>
        <w:rPr>
          <w:b/>
          <w:bCs/>
          <w:lang w:eastAsia="en-US"/>
        </w:rPr>
      </w:pPr>
      <w:r w:rsidRPr="002A63F9">
        <w:rPr>
          <w:b/>
          <w:bCs/>
          <w:lang w:eastAsia="en-US"/>
        </w:rPr>
        <w:t xml:space="preserve">Recommendation </w:t>
      </w:r>
      <w:r w:rsidR="00AF567A">
        <w:rPr>
          <w:b/>
          <w:bCs/>
          <w:lang w:eastAsia="en-US"/>
        </w:rPr>
        <w:t>10</w:t>
      </w:r>
      <w:r w:rsidRPr="002A63F9">
        <w:rPr>
          <w:b/>
          <w:bCs/>
          <w:lang w:eastAsia="en-US"/>
        </w:rPr>
        <w:t>: The Australian Government work with state and territory governments to implement initiatives aimed at ending the indefinite detention of people with disability deemed unfit to plead, including:</w:t>
      </w:r>
    </w:p>
    <w:p w:rsidRPr="002A63F9" w:rsidR="00133086" w:rsidP="00133086" w:rsidRDefault="00133086" w14:paraId="42D567A5" w14:textId="2658AE23">
      <w:pPr>
        <w:pStyle w:val="ListNumber"/>
        <w:numPr>
          <w:ilvl w:val="0"/>
          <w:numId w:val="0"/>
        </w:numPr>
        <w:ind w:left="794"/>
        <w:rPr>
          <w:b/>
          <w:bCs/>
          <w:lang w:eastAsia="en-US"/>
        </w:rPr>
      </w:pPr>
      <w:r w:rsidRPr="002A63F9">
        <w:rPr>
          <w:b/>
          <w:bCs/>
          <w:lang w:eastAsia="en-US"/>
        </w:rPr>
        <w:t>(a)</w:t>
      </w:r>
      <w:r w:rsidRPr="002A63F9">
        <w:rPr>
          <w:b/>
          <w:bCs/>
        </w:rPr>
        <w:t xml:space="preserve"> s</w:t>
      </w:r>
      <w:r w:rsidRPr="002A63F9">
        <w:rPr>
          <w:b/>
          <w:bCs/>
          <w:lang w:eastAsia="en-US"/>
        </w:rPr>
        <w:t>topping the incarceration of people with disability in custody for indefinite terms or for terms longer than those imposed in criminal convictions</w:t>
      </w:r>
      <w:r w:rsidR="00A35A7D">
        <w:rPr>
          <w:b/>
          <w:bCs/>
          <w:lang w:eastAsia="en-US"/>
        </w:rPr>
        <w:t xml:space="preserve"> for the relevant offences</w:t>
      </w:r>
    </w:p>
    <w:p w:rsidRPr="002A63F9" w:rsidR="00133086" w:rsidP="00133086" w:rsidRDefault="00133086" w14:paraId="0FF60CA5" w14:textId="77777777">
      <w:pPr>
        <w:pStyle w:val="ListNumber"/>
        <w:numPr>
          <w:ilvl w:val="0"/>
          <w:numId w:val="0"/>
        </w:numPr>
        <w:ind w:left="794"/>
        <w:rPr>
          <w:b/>
          <w:bCs/>
          <w:lang w:eastAsia="en-US"/>
        </w:rPr>
      </w:pPr>
      <w:r w:rsidRPr="002A63F9">
        <w:rPr>
          <w:b/>
          <w:bCs/>
        </w:rPr>
        <w:lastRenderedPageBreak/>
        <w:t xml:space="preserve">(b) </w:t>
      </w:r>
      <w:r w:rsidRPr="002A63F9">
        <w:rPr>
          <w:b/>
          <w:bCs/>
          <w:lang w:eastAsia="en-US"/>
        </w:rPr>
        <w:t>providing for time limitations on all liberty-restricting orders imposed on people deemed unfit to plead and creating a body to regularly review the position of all people detained under such orders.</w:t>
      </w:r>
    </w:p>
    <w:p w:rsidRPr="002A63F9" w:rsidR="00EE414F" w:rsidP="00EE414F" w:rsidRDefault="00EE414F" w14:paraId="11B420D7" w14:textId="5526C2D2">
      <w:pPr>
        <w:pStyle w:val="ListNumber"/>
        <w:rPr>
          <w:b/>
          <w:bCs/>
          <w:lang w:eastAsia="en-US"/>
        </w:rPr>
      </w:pPr>
      <w:r w:rsidRPr="002A63F9">
        <w:rPr>
          <w:b/>
          <w:bCs/>
          <w:lang w:eastAsia="en-US"/>
        </w:rPr>
        <w:t xml:space="preserve">Recommendation </w:t>
      </w:r>
      <w:r w:rsidR="00AF567A">
        <w:rPr>
          <w:b/>
          <w:bCs/>
          <w:lang w:eastAsia="en-US"/>
        </w:rPr>
        <w:t>11</w:t>
      </w:r>
      <w:r w:rsidRPr="002A63F9">
        <w:rPr>
          <w:b/>
          <w:bCs/>
          <w:lang w:eastAsia="en-US"/>
        </w:rPr>
        <w:t>: The Australian Government work with state and territory governments to develop, in consultation with people with disability, nationally consistent disability justice plans to ensure that people with disability are supported in accessing the same legal protections and redress as the rest of the community.</w:t>
      </w:r>
    </w:p>
    <w:p w:rsidRPr="002A63F9" w:rsidR="0099708C" w:rsidP="0099708C" w:rsidRDefault="0099708C" w14:paraId="3EA89706" w14:textId="3DCE9DB4">
      <w:pPr>
        <w:pStyle w:val="Heading2"/>
        <w:spacing w:line="276" w:lineRule="auto"/>
      </w:pPr>
      <w:bookmarkStart w:name="_Toc35535493" w:id="33"/>
      <w:r w:rsidRPr="002A63F9">
        <w:t xml:space="preserve">The use of </w:t>
      </w:r>
      <w:r w:rsidRPr="002A63F9" w:rsidR="007C0A45">
        <w:t xml:space="preserve">seclusion and </w:t>
      </w:r>
      <w:r w:rsidRPr="002A63F9" w:rsidR="007A5526">
        <w:t>restr</w:t>
      </w:r>
      <w:r w:rsidRPr="002A63F9" w:rsidR="00E407B7">
        <w:t xml:space="preserve">aint </w:t>
      </w:r>
      <w:r w:rsidRPr="002A63F9" w:rsidR="00C66DBF">
        <w:t xml:space="preserve">on people with disability </w:t>
      </w:r>
      <w:r w:rsidRPr="002A63F9">
        <w:t xml:space="preserve">in </w:t>
      </w:r>
      <w:r w:rsidRPr="002A63F9" w:rsidR="00F43126">
        <w:t>detention</w:t>
      </w:r>
      <w:bookmarkEnd w:id="33"/>
    </w:p>
    <w:p w:rsidRPr="002A63F9" w:rsidR="00376132" w:rsidP="00376132" w:rsidRDefault="00EE414F" w14:paraId="1F013DB1" w14:textId="06EC8029">
      <w:pPr>
        <w:pStyle w:val="ListNumber"/>
      </w:pPr>
      <w:r w:rsidRPr="002A63F9">
        <w:t xml:space="preserve">This section addresses the use of </w:t>
      </w:r>
      <w:r w:rsidRPr="002A63F9" w:rsidR="007A5526">
        <w:t xml:space="preserve">restrictive practices </w:t>
      </w:r>
      <w:r w:rsidRPr="002A63F9" w:rsidR="00EF01F5">
        <w:t xml:space="preserve">on people with disability </w:t>
      </w:r>
      <w:r w:rsidRPr="002A63F9" w:rsidR="00F64CF1">
        <w:t>in detention</w:t>
      </w:r>
      <w:r w:rsidRPr="002A63F9" w:rsidR="00172835">
        <w:t xml:space="preserve"> and considers appropriate mechanisms to preventing </w:t>
      </w:r>
      <w:r w:rsidRPr="002A63F9" w:rsidR="00C70496">
        <w:t>such</w:t>
      </w:r>
      <w:r w:rsidRPr="002A63F9" w:rsidR="00172835">
        <w:t xml:space="preserve"> </w:t>
      </w:r>
      <w:r w:rsidRPr="002A63F9" w:rsidR="008476FB">
        <w:t>practice</w:t>
      </w:r>
      <w:r w:rsidRPr="002A63F9" w:rsidR="00621CE9">
        <w:t>s</w:t>
      </w:r>
      <w:r w:rsidRPr="002A63F9">
        <w:t>. This discussion will address the Issues Paper at large and, more specifically, will seek to answer questions</w:t>
      </w:r>
      <w:r w:rsidRPr="002A63F9" w:rsidR="00F35FDF">
        <w:t xml:space="preserve"> </w:t>
      </w:r>
      <w:r w:rsidRPr="002A63F9" w:rsidR="00400377">
        <w:t>2A</w:t>
      </w:r>
      <w:r w:rsidRPr="002A63F9" w:rsidR="00BD0F79">
        <w:t>, 7A, 8A and 8B</w:t>
      </w:r>
      <w:r w:rsidRPr="002A63F9">
        <w:t>.</w:t>
      </w:r>
      <w:r w:rsidRPr="002A63F9">
        <w:rPr>
          <w:rStyle w:val="EndnoteReference"/>
        </w:rPr>
        <w:endnoteReference w:id="148"/>
      </w:r>
    </w:p>
    <w:p w:rsidRPr="002A63F9" w:rsidR="00FB3207" w:rsidP="00376132" w:rsidRDefault="00FB3207" w14:paraId="10624514" w14:textId="61E23D1A">
      <w:pPr>
        <w:pStyle w:val="ListNumber"/>
      </w:pPr>
      <w:r w:rsidRPr="002A63F9">
        <w:rPr>
          <w:rFonts w:eastAsia="Open Sans" w:cs="Open Sans"/>
        </w:rPr>
        <w:t>‘Restrictive practices’ are understood as any practice or intervention that has the effect of restricting the rights or freedom of movement of a person with disability. These primarily include restraint (chemical, mechanical, social or physical) and seclusion.</w:t>
      </w:r>
      <w:r w:rsidRPr="002A63F9">
        <w:rPr>
          <w:sz w:val="20"/>
          <w:szCs w:val="20"/>
          <w:vertAlign w:val="superscript"/>
        </w:rPr>
        <w:endnoteReference w:id="149"/>
      </w:r>
      <w:r w:rsidRPr="002A63F9">
        <w:rPr>
          <w:rFonts w:eastAsia="Open Sans" w:cs="Open Sans"/>
          <w:sz w:val="20"/>
          <w:szCs w:val="20"/>
        </w:rPr>
        <w:t xml:space="preserve"> </w:t>
      </w:r>
      <w:r w:rsidRPr="002A63F9">
        <w:rPr>
          <w:rFonts w:eastAsia="Open Sans" w:cs="Open Sans"/>
        </w:rPr>
        <w:t xml:space="preserve">The ALRC noted that: </w:t>
      </w:r>
    </w:p>
    <w:p w:rsidRPr="002A63F9" w:rsidR="00273BE9" w:rsidP="00111E3E" w:rsidRDefault="00FB3207" w14:paraId="142A1122" w14:textId="4CFA7A30">
      <w:pPr>
        <w:pStyle w:val="Quote"/>
        <w:spacing w:after="240"/>
      </w:pPr>
      <w:r w:rsidRPr="002A63F9">
        <w:t>while restrictive practices are used in circumstances to protect from harm the person with disability or others around them, there are concerns that such practices can also be imposed as a ‘means of coercion, discipline, convenience, or retaliation by staff, family members or others providing support</w:t>
      </w:r>
      <w:r w:rsidR="008A68C8">
        <w:t>’</w:t>
      </w:r>
      <w:r w:rsidRPr="002A63F9">
        <w:t>.</w:t>
      </w:r>
      <w:r w:rsidRPr="002A63F9">
        <w:rPr>
          <w:szCs w:val="22"/>
          <w:vertAlign w:val="superscript"/>
        </w:rPr>
        <w:endnoteReference w:id="150"/>
      </w:r>
      <w:r w:rsidRPr="002A63F9">
        <w:t xml:space="preserve"> </w:t>
      </w:r>
    </w:p>
    <w:p w:rsidRPr="002A63F9" w:rsidR="005743B7" w:rsidP="00111E3E" w:rsidRDefault="00E81B54" w14:paraId="279CD51D" w14:textId="39B62E2C">
      <w:pPr>
        <w:pStyle w:val="ListNumber"/>
        <w:spacing w:before="120" w:after="120"/>
        <w:ind w:hanging="357"/>
        <w:rPr>
          <w:lang w:eastAsia="en-US"/>
        </w:rPr>
      </w:pPr>
      <w:r w:rsidRPr="002A63F9">
        <w:rPr>
          <w:lang w:eastAsia="en-US"/>
        </w:rPr>
        <w:t>In the prison context, ‘seclusion’ primarily refers to the use of solitary confinement</w:t>
      </w:r>
      <w:r w:rsidRPr="002A63F9" w:rsidR="006123B7">
        <w:rPr>
          <w:lang w:eastAsia="en-US"/>
        </w:rPr>
        <w:t xml:space="preserve">, meaning </w:t>
      </w:r>
      <w:r w:rsidRPr="002A63F9" w:rsidR="001002EF">
        <w:rPr>
          <w:lang w:eastAsia="en-US"/>
        </w:rPr>
        <w:t xml:space="preserve">the </w:t>
      </w:r>
      <w:r w:rsidRPr="002A63F9" w:rsidR="004D158D">
        <w:rPr>
          <w:lang w:eastAsia="en-US"/>
        </w:rPr>
        <w:t>‘</w:t>
      </w:r>
      <w:r w:rsidRPr="002A63F9" w:rsidR="001002EF">
        <w:rPr>
          <w:lang w:eastAsia="en-US"/>
        </w:rPr>
        <w:t>confinement of prisoners for 22 hours or more a day without meaningful human contact</w:t>
      </w:r>
      <w:r w:rsidRPr="002A63F9" w:rsidR="004D158D">
        <w:rPr>
          <w:lang w:eastAsia="en-US"/>
        </w:rPr>
        <w:t>’</w:t>
      </w:r>
      <w:r w:rsidRPr="002A63F9" w:rsidR="001002EF">
        <w:rPr>
          <w:lang w:eastAsia="en-US"/>
        </w:rPr>
        <w:t>.</w:t>
      </w:r>
      <w:r w:rsidRPr="002A63F9" w:rsidR="001002EF">
        <w:rPr>
          <w:rStyle w:val="EndnoteReference"/>
          <w:lang w:eastAsia="en-US"/>
        </w:rPr>
        <w:endnoteReference w:id="151"/>
      </w:r>
      <w:r w:rsidRPr="002A63F9" w:rsidR="002A5C0F">
        <w:rPr>
          <w:lang w:eastAsia="en-US"/>
        </w:rPr>
        <w:t xml:space="preserve"> </w:t>
      </w:r>
      <w:r w:rsidRPr="002A63F9" w:rsidR="00FE187A">
        <w:rPr>
          <w:lang w:eastAsia="en-US"/>
        </w:rPr>
        <w:t xml:space="preserve">Solitary confinement </w:t>
      </w:r>
      <w:r w:rsidRPr="002A63F9" w:rsidR="00BD08FC">
        <w:rPr>
          <w:lang w:eastAsia="en-US"/>
        </w:rPr>
        <w:t>may be</w:t>
      </w:r>
      <w:r w:rsidRPr="002A63F9" w:rsidR="00FE187A">
        <w:rPr>
          <w:lang w:eastAsia="en-US"/>
        </w:rPr>
        <w:t xml:space="preserve"> used for the punishment, protection, management or treatment of prisoners. Any prisoner may be held in solitary confinement, but research has shown that prisoners with psychosocial or cognitive disabilities are disproportionately overrepresented in solitary confinement regimes.</w:t>
      </w:r>
      <w:r w:rsidRPr="002A63F9" w:rsidR="00FE187A">
        <w:rPr>
          <w:rStyle w:val="EndnoteReference"/>
          <w:lang w:eastAsia="en-US"/>
        </w:rPr>
        <w:endnoteReference w:id="152"/>
      </w:r>
      <w:r w:rsidRPr="002A63F9" w:rsidR="00FE187A">
        <w:rPr>
          <w:lang w:eastAsia="en-US"/>
        </w:rPr>
        <w:t xml:space="preserve"> </w:t>
      </w:r>
    </w:p>
    <w:p w:rsidRPr="002A63F9" w:rsidR="00C122CD" w:rsidP="005743B7" w:rsidRDefault="006123B7" w14:paraId="67D48114" w14:textId="7C750F49">
      <w:pPr>
        <w:pStyle w:val="ListNumber"/>
        <w:spacing w:before="120" w:after="120"/>
        <w:ind w:hanging="357"/>
        <w:rPr>
          <w:lang w:eastAsia="en-US"/>
        </w:rPr>
      </w:pPr>
      <w:r w:rsidRPr="002A63F9">
        <w:rPr>
          <w:lang w:eastAsia="en-US"/>
        </w:rPr>
        <w:t xml:space="preserve">In many cases, </w:t>
      </w:r>
      <w:r w:rsidRPr="002A63F9" w:rsidR="005743B7">
        <w:rPr>
          <w:lang w:eastAsia="en-US"/>
        </w:rPr>
        <w:t xml:space="preserve">solitary confinement is used because </w:t>
      </w:r>
      <w:r w:rsidRPr="002A63F9">
        <w:rPr>
          <w:lang w:eastAsia="en-US"/>
        </w:rPr>
        <w:t xml:space="preserve">prison staff </w:t>
      </w:r>
      <w:r w:rsidRPr="002A63F9" w:rsidR="005743B7">
        <w:rPr>
          <w:lang w:eastAsia="en-US"/>
        </w:rPr>
        <w:t>are</w:t>
      </w:r>
      <w:r w:rsidRPr="002A63F9">
        <w:rPr>
          <w:lang w:eastAsia="en-US"/>
        </w:rPr>
        <w:t xml:space="preserve"> ill-equipped to deal with the behaviours of people with disability. Rather than provide the necessary support or treatment, it is often easier for the person with a disability to be separated from the other prisoners and confined.</w:t>
      </w:r>
      <w:r w:rsidRPr="002A63F9">
        <w:rPr>
          <w:rStyle w:val="EndnoteReference"/>
          <w:lang w:eastAsia="en-US"/>
        </w:rPr>
        <w:endnoteReference w:id="153"/>
      </w:r>
    </w:p>
    <w:p w:rsidRPr="002A63F9" w:rsidR="00AA7F70" w:rsidP="00B04DA1" w:rsidRDefault="00FE187A" w14:paraId="761E062B" w14:textId="402E533D">
      <w:pPr>
        <w:pStyle w:val="ListNumber"/>
        <w:spacing w:before="120" w:after="120"/>
        <w:ind w:hanging="357"/>
        <w:rPr>
          <w:lang w:eastAsia="en-US"/>
        </w:rPr>
      </w:pPr>
      <w:r w:rsidRPr="002A63F9">
        <w:rPr>
          <w:lang w:eastAsia="en-US"/>
        </w:rPr>
        <w:t>The psychological trauma and harm caused by solitary confinement is well documented</w:t>
      </w:r>
      <w:r w:rsidRPr="002A63F9" w:rsidR="00143A46">
        <w:rPr>
          <w:lang w:eastAsia="en-US"/>
        </w:rPr>
        <w:t>.</w:t>
      </w:r>
      <w:r w:rsidRPr="002A63F9" w:rsidR="00143A46">
        <w:rPr>
          <w:rStyle w:val="EndnoteReference"/>
          <w:lang w:eastAsia="en-US"/>
        </w:rPr>
        <w:endnoteReference w:id="154"/>
      </w:r>
      <w:r w:rsidRPr="002A63F9" w:rsidR="00CF57A6">
        <w:rPr>
          <w:lang w:eastAsia="en-US"/>
        </w:rPr>
        <w:t xml:space="preserve"> According to the U</w:t>
      </w:r>
      <w:r w:rsidRPr="002A63F9" w:rsidR="00A45B88">
        <w:rPr>
          <w:lang w:eastAsia="en-US"/>
        </w:rPr>
        <w:t xml:space="preserve">nited </w:t>
      </w:r>
      <w:r w:rsidRPr="002A63F9" w:rsidR="00CF57A6">
        <w:rPr>
          <w:lang w:eastAsia="en-US"/>
        </w:rPr>
        <w:t>N</w:t>
      </w:r>
      <w:r w:rsidRPr="002A63F9" w:rsidR="00A45B88">
        <w:rPr>
          <w:lang w:eastAsia="en-US"/>
        </w:rPr>
        <w:t>ations</w:t>
      </w:r>
      <w:r w:rsidRPr="002A63F9" w:rsidR="00CF57A6">
        <w:rPr>
          <w:lang w:eastAsia="en-US"/>
        </w:rPr>
        <w:t xml:space="preserve"> </w:t>
      </w:r>
      <w:r w:rsidRPr="002A63F9" w:rsidR="00111E3E">
        <w:rPr>
          <w:lang w:eastAsia="en-US"/>
        </w:rPr>
        <w:t>S</w:t>
      </w:r>
      <w:r w:rsidRPr="002A63F9" w:rsidR="00CF57A6">
        <w:rPr>
          <w:lang w:eastAsia="en-US"/>
        </w:rPr>
        <w:t xml:space="preserve">pecial </w:t>
      </w:r>
      <w:r w:rsidRPr="002A63F9" w:rsidR="00111E3E">
        <w:rPr>
          <w:lang w:eastAsia="en-US"/>
        </w:rPr>
        <w:t>R</w:t>
      </w:r>
      <w:r w:rsidRPr="002A63F9" w:rsidR="00CF57A6">
        <w:rPr>
          <w:lang w:eastAsia="en-US"/>
        </w:rPr>
        <w:t xml:space="preserve">apporteur on torture, the imposition of solitary confinement ‘of any duration, on persons with mental disabilities is </w:t>
      </w:r>
      <w:r w:rsidRPr="002A63F9" w:rsidR="00CF57A6">
        <w:rPr>
          <w:lang w:eastAsia="en-US"/>
        </w:rPr>
        <w:lastRenderedPageBreak/>
        <w:t>cruel, inhuman or degrading treatment</w:t>
      </w:r>
      <w:r w:rsidR="008A68C8">
        <w:rPr>
          <w:lang w:eastAsia="en-US"/>
        </w:rPr>
        <w:t>’</w:t>
      </w:r>
      <w:r w:rsidRPr="002A63F9" w:rsidR="00CF57A6">
        <w:rPr>
          <w:lang w:eastAsia="en-US"/>
        </w:rPr>
        <w:t>.</w:t>
      </w:r>
      <w:r w:rsidRPr="002A63F9" w:rsidR="00CF57A6">
        <w:rPr>
          <w:rStyle w:val="EndnoteReference"/>
          <w:lang w:eastAsia="en-US"/>
        </w:rPr>
        <w:endnoteReference w:id="155"/>
      </w:r>
      <w:r w:rsidRPr="002A63F9" w:rsidR="00B04DA1">
        <w:rPr>
          <w:lang w:eastAsia="en-US"/>
        </w:rPr>
        <w:t xml:space="preserve"> </w:t>
      </w:r>
      <w:r w:rsidRPr="002A63F9" w:rsidR="00BB43AD">
        <w:rPr>
          <w:lang w:eastAsia="en-US"/>
        </w:rPr>
        <w:t xml:space="preserve">Similarly, </w:t>
      </w:r>
      <w:r w:rsidRPr="002A63F9" w:rsidR="000D05D9">
        <w:rPr>
          <w:lang w:eastAsia="en-US"/>
        </w:rPr>
        <w:t>the U</w:t>
      </w:r>
      <w:r w:rsidRPr="002A63F9" w:rsidR="00A45B88">
        <w:rPr>
          <w:lang w:eastAsia="en-US"/>
        </w:rPr>
        <w:t xml:space="preserve">nited </w:t>
      </w:r>
      <w:r w:rsidRPr="002A63F9" w:rsidR="000D05D9">
        <w:rPr>
          <w:lang w:eastAsia="en-US"/>
        </w:rPr>
        <w:t>N</w:t>
      </w:r>
      <w:r w:rsidRPr="002A63F9" w:rsidR="00A45B88">
        <w:rPr>
          <w:lang w:eastAsia="en-US"/>
        </w:rPr>
        <w:t>ations</w:t>
      </w:r>
      <w:r w:rsidRPr="002A63F9" w:rsidR="000D05D9">
        <w:rPr>
          <w:lang w:eastAsia="en-US"/>
        </w:rPr>
        <w:t xml:space="preserve"> Subcommittee on Prevention of Torture and Other Cruel, Inhuman or Degrading Treatment or Punishment</w:t>
      </w:r>
      <w:r w:rsidRPr="002A63F9" w:rsidR="00BB43AD">
        <w:rPr>
          <w:lang w:eastAsia="en-US"/>
        </w:rPr>
        <w:t xml:space="preserve"> has stated that </w:t>
      </w:r>
      <w:r w:rsidRPr="002A63F9" w:rsidR="00FF160A">
        <w:rPr>
          <w:lang w:eastAsia="en-US"/>
        </w:rPr>
        <w:t>s</w:t>
      </w:r>
      <w:r w:rsidRPr="002A63F9" w:rsidR="00BB43AD">
        <w:rPr>
          <w:lang w:eastAsia="en-US"/>
        </w:rPr>
        <w:t>olitary confinement of any person</w:t>
      </w:r>
      <w:r w:rsidRPr="002A63F9" w:rsidR="00FF160A">
        <w:rPr>
          <w:lang w:eastAsia="en-US"/>
        </w:rPr>
        <w:t xml:space="preserve"> </w:t>
      </w:r>
      <w:r w:rsidRPr="002A63F9" w:rsidR="00371EE0">
        <w:rPr>
          <w:lang w:eastAsia="en-US"/>
        </w:rPr>
        <w:t>‘may amount to an act of torture</w:t>
      </w:r>
      <w:r w:rsidRPr="002A63F9" w:rsidR="00A22EF1">
        <w:rPr>
          <w:lang w:eastAsia="en-US"/>
        </w:rPr>
        <w:t>’</w:t>
      </w:r>
      <w:r w:rsidRPr="002A63F9" w:rsidR="008D73F0">
        <w:rPr>
          <w:lang w:eastAsia="en-US"/>
        </w:rPr>
        <w:t xml:space="preserve"> and</w:t>
      </w:r>
      <w:r w:rsidRPr="002A63F9" w:rsidR="00111E3E">
        <w:rPr>
          <w:lang w:eastAsia="en-US"/>
        </w:rPr>
        <w:t xml:space="preserve"> </w:t>
      </w:r>
      <w:r w:rsidRPr="002A63F9" w:rsidR="00322415">
        <w:rPr>
          <w:lang w:eastAsia="en-US"/>
        </w:rPr>
        <w:t>‘should not be used in the case of … the mentally disabled’.</w:t>
      </w:r>
      <w:r w:rsidRPr="002A63F9" w:rsidR="00322415">
        <w:rPr>
          <w:rStyle w:val="EndnoteReference"/>
          <w:lang w:eastAsia="en-US"/>
        </w:rPr>
        <w:endnoteReference w:id="156"/>
      </w:r>
      <w:r w:rsidRPr="002A63F9" w:rsidR="000D4727">
        <w:rPr>
          <w:lang w:eastAsia="en-US"/>
        </w:rPr>
        <w:t xml:space="preserve"> </w:t>
      </w:r>
    </w:p>
    <w:p w:rsidRPr="002A63F9" w:rsidR="0031391D" w:rsidP="00D5779A" w:rsidRDefault="00CF0E9F" w14:paraId="484E0228" w14:textId="14460420">
      <w:pPr>
        <w:pStyle w:val="ListNumber"/>
        <w:rPr>
          <w:lang w:eastAsia="en-US"/>
        </w:rPr>
      </w:pPr>
      <w:r w:rsidRPr="002A63F9">
        <w:rPr>
          <w:lang w:eastAsia="en-US"/>
        </w:rPr>
        <w:t>The CRPD Committee</w:t>
      </w:r>
      <w:r w:rsidRPr="002A63F9" w:rsidR="001A6A00">
        <w:rPr>
          <w:lang w:eastAsia="en-US"/>
        </w:rPr>
        <w:t xml:space="preserve"> has</w:t>
      </w:r>
      <w:r w:rsidRPr="002A63F9">
        <w:rPr>
          <w:lang w:eastAsia="en-US"/>
        </w:rPr>
        <w:t xml:space="preserve"> expressed</w:t>
      </w:r>
      <w:r w:rsidRPr="002A63F9" w:rsidR="001A6A00">
        <w:rPr>
          <w:lang w:eastAsia="en-US"/>
        </w:rPr>
        <w:t xml:space="preserve"> serious concern about the use of prolonged solitary confinement</w:t>
      </w:r>
      <w:r w:rsidRPr="002A63F9" w:rsidR="00635F0D">
        <w:rPr>
          <w:lang w:eastAsia="en-US"/>
        </w:rPr>
        <w:t xml:space="preserve">, particularly </w:t>
      </w:r>
      <w:r w:rsidRPr="002A63F9" w:rsidR="00641226">
        <w:rPr>
          <w:lang w:eastAsia="en-US"/>
        </w:rPr>
        <w:t>of people with intellect</w:t>
      </w:r>
      <w:r w:rsidRPr="002A63F9" w:rsidR="0027658D">
        <w:rPr>
          <w:lang w:eastAsia="en-US"/>
        </w:rPr>
        <w:t>ual</w:t>
      </w:r>
      <w:r w:rsidRPr="002A63F9" w:rsidR="00641226">
        <w:rPr>
          <w:lang w:eastAsia="en-US"/>
        </w:rPr>
        <w:t xml:space="preserve"> or psychosocial disability,</w:t>
      </w:r>
      <w:r w:rsidRPr="002A63F9" w:rsidR="001A6A00">
        <w:rPr>
          <w:lang w:eastAsia="en-US"/>
        </w:rPr>
        <w:t xml:space="preserve"> </w:t>
      </w:r>
      <w:r w:rsidRPr="002A63F9" w:rsidR="00AA7F70">
        <w:rPr>
          <w:lang w:eastAsia="en-US"/>
        </w:rPr>
        <w:t>in Australian prisons</w:t>
      </w:r>
      <w:r w:rsidRPr="002A63F9" w:rsidR="00AB4E3F">
        <w:rPr>
          <w:lang w:eastAsia="en-US"/>
        </w:rPr>
        <w:t xml:space="preserve"> and the lack of safe channels for making complaints</w:t>
      </w:r>
      <w:r w:rsidRPr="002A63F9" w:rsidR="0027658D">
        <w:rPr>
          <w:lang w:eastAsia="en-US"/>
        </w:rPr>
        <w:t>.</w:t>
      </w:r>
      <w:r w:rsidRPr="002A63F9" w:rsidR="0027658D">
        <w:rPr>
          <w:rStyle w:val="EndnoteReference"/>
          <w:lang w:eastAsia="en-US"/>
        </w:rPr>
        <w:endnoteReference w:id="157"/>
      </w:r>
      <w:r w:rsidRPr="002A63F9" w:rsidR="0027658D">
        <w:rPr>
          <w:lang w:eastAsia="en-US"/>
        </w:rPr>
        <w:t xml:space="preserve"> The </w:t>
      </w:r>
      <w:r w:rsidRPr="002A63F9" w:rsidR="00486476">
        <w:rPr>
          <w:lang w:eastAsia="en-US"/>
        </w:rPr>
        <w:t xml:space="preserve">limited </w:t>
      </w:r>
      <w:r w:rsidRPr="002A63F9" w:rsidR="00841691">
        <w:rPr>
          <w:lang w:eastAsia="en-US"/>
        </w:rPr>
        <w:t xml:space="preserve">channels </w:t>
      </w:r>
      <w:r w:rsidRPr="002A63F9" w:rsidR="00214125">
        <w:rPr>
          <w:lang w:eastAsia="en-US"/>
        </w:rPr>
        <w:t xml:space="preserve">available </w:t>
      </w:r>
      <w:r w:rsidRPr="002A63F9" w:rsidR="00584173">
        <w:rPr>
          <w:lang w:eastAsia="en-US"/>
        </w:rPr>
        <w:t xml:space="preserve">to people </w:t>
      </w:r>
      <w:r w:rsidRPr="002A63F9" w:rsidR="00A174D5">
        <w:rPr>
          <w:lang w:eastAsia="en-US"/>
        </w:rPr>
        <w:t>with disability to make a complaint</w:t>
      </w:r>
      <w:r w:rsidRPr="002A63F9" w:rsidR="006456D8">
        <w:rPr>
          <w:lang w:eastAsia="en-US"/>
        </w:rPr>
        <w:t xml:space="preserve"> is a significant barrier to the identification</w:t>
      </w:r>
      <w:r w:rsidRPr="002A63F9" w:rsidR="0027658D">
        <w:rPr>
          <w:lang w:eastAsia="en-US"/>
        </w:rPr>
        <w:t xml:space="preserve"> </w:t>
      </w:r>
      <w:r w:rsidRPr="002A63F9" w:rsidR="00234395">
        <w:rPr>
          <w:lang w:eastAsia="en-US"/>
        </w:rPr>
        <w:t>and disclosure of</w:t>
      </w:r>
      <w:r w:rsidRPr="002A63F9" w:rsidR="0027658D">
        <w:rPr>
          <w:lang w:eastAsia="en-US"/>
        </w:rPr>
        <w:t xml:space="preserve"> </w:t>
      </w:r>
      <w:r w:rsidRPr="002A63F9" w:rsidR="00214125">
        <w:rPr>
          <w:lang w:eastAsia="en-US"/>
        </w:rPr>
        <w:t>violence, abuse, neglect or exploitation.</w:t>
      </w:r>
      <w:r w:rsidRPr="002A63F9" w:rsidR="00A174D5">
        <w:rPr>
          <w:rStyle w:val="EndnoteReference"/>
          <w:lang w:eastAsia="en-US"/>
        </w:rPr>
        <w:endnoteReference w:id="158"/>
      </w:r>
      <w:r w:rsidRPr="002A63F9" w:rsidR="0027658D">
        <w:rPr>
          <w:lang w:eastAsia="en-US"/>
        </w:rPr>
        <w:t xml:space="preserve"> The </w:t>
      </w:r>
      <w:r w:rsidRPr="002A63F9" w:rsidR="00A63EB1">
        <w:rPr>
          <w:lang w:eastAsia="en-US"/>
        </w:rPr>
        <w:t xml:space="preserve">CRPD </w:t>
      </w:r>
      <w:r w:rsidRPr="002A63F9" w:rsidR="0027658D">
        <w:rPr>
          <w:lang w:eastAsia="en-US"/>
        </w:rPr>
        <w:t>Committee</w:t>
      </w:r>
      <w:r w:rsidRPr="002A63F9" w:rsidR="001A6A00">
        <w:rPr>
          <w:lang w:eastAsia="en-US"/>
        </w:rPr>
        <w:t xml:space="preserve"> </w:t>
      </w:r>
      <w:r w:rsidRPr="002A63F9" w:rsidR="00626FBA">
        <w:rPr>
          <w:lang w:eastAsia="en-US"/>
        </w:rPr>
        <w:t>recommend</w:t>
      </w:r>
      <w:r w:rsidRPr="002A63F9" w:rsidR="00685BE4">
        <w:rPr>
          <w:lang w:eastAsia="en-US"/>
        </w:rPr>
        <w:t>ed</w:t>
      </w:r>
      <w:r w:rsidRPr="002A63F9" w:rsidR="00626FBA">
        <w:rPr>
          <w:lang w:eastAsia="en-US"/>
        </w:rPr>
        <w:t xml:space="preserve"> the </w:t>
      </w:r>
      <w:r w:rsidRPr="002A63F9" w:rsidR="007974D3">
        <w:rPr>
          <w:lang w:eastAsia="en-US"/>
        </w:rPr>
        <w:t>prohibition</w:t>
      </w:r>
      <w:r w:rsidRPr="002A63F9" w:rsidR="00F71BF5">
        <w:rPr>
          <w:lang w:eastAsia="en-US"/>
        </w:rPr>
        <w:t xml:space="preserve"> of </w:t>
      </w:r>
      <w:r w:rsidRPr="002A63F9" w:rsidR="00BA1D1A">
        <w:rPr>
          <w:lang w:eastAsia="en-US"/>
        </w:rPr>
        <w:t xml:space="preserve">solitary </w:t>
      </w:r>
      <w:r w:rsidRPr="002A63F9" w:rsidR="00AA0B7E">
        <w:rPr>
          <w:lang w:eastAsia="en-US"/>
        </w:rPr>
        <w:t>confinement</w:t>
      </w:r>
      <w:r w:rsidRPr="002A63F9" w:rsidR="00F71BF5">
        <w:rPr>
          <w:lang w:eastAsia="en-US"/>
        </w:rPr>
        <w:t xml:space="preserve"> </w:t>
      </w:r>
      <w:r w:rsidRPr="002A63F9" w:rsidR="00E1599C">
        <w:rPr>
          <w:lang w:eastAsia="en-US"/>
        </w:rPr>
        <w:t>for</w:t>
      </w:r>
      <w:r w:rsidRPr="002A63F9" w:rsidR="00F71BF5">
        <w:rPr>
          <w:lang w:eastAsia="en-US"/>
        </w:rPr>
        <w:t xml:space="preserve"> people with disability</w:t>
      </w:r>
      <w:r w:rsidRPr="002A63F9" w:rsidR="00BA1D1A">
        <w:rPr>
          <w:lang w:eastAsia="en-US"/>
        </w:rPr>
        <w:t>.</w:t>
      </w:r>
      <w:r w:rsidRPr="002A63F9" w:rsidR="00B5194C">
        <w:rPr>
          <w:rStyle w:val="EndnoteReference"/>
          <w:lang w:eastAsia="en-US"/>
        </w:rPr>
        <w:endnoteReference w:id="159"/>
      </w:r>
      <w:r w:rsidRPr="002A63F9" w:rsidR="00111E3E">
        <w:rPr>
          <w:lang w:eastAsia="en-US"/>
        </w:rPr>
        <w:t xml:space="preserve"> The Commission endorses this recommendation and calls for </w:t>
      </w:r>
      <w:r w:rsidRPr="002A63F9" w:rsidR="00284144">
        <w:rPr>
          <w:lang w:eastAsia="en-US"/>
        </w:rPr>
        <w:t>concerted efforts to ensure its implementation across Australia.</w:t>
      </w:r>
    </w:p>
    <w:p w:rsidRPr="002A63F9" w:rsidR="00E16C04" w:rsidP="003E3FFE" w:rsidRDefault="006F76B5" w14:paraId="29E17B84" w14:textId="2558AFBC">
      <w:pPr>
        <w:pStyle w:val="ListNumber"/>
        <w:rPr>
          <w:lang w:eastAsia="en-US"/>
        </w:rPr>
      </w:pPr>
      <w:r w:rsidRPr="002A63F9">
        <w:rPr>
          <w:lang w:eastAsia="en-US"/>
        </w:rPr>
        <w:t>P</w:t>
      </w:r>
      <w:r w:rsidRPr="002A63F9" w:rsidR="00DD3398">
        <w:rPr>
          <w:lang w:eastAsia="en-US"/>
        </w:rPr>
        <w:t xml:space="preserve">eople with disability are also commonly subjected to other restrictive practices in </w:t>
      </w:r>
      <w:r w:rsidRPr="002A63F9" w:rsidR="00E543C9">
        <w:rPr>
          <w:lang w:eastAsia="en-US"/>
        </w:rPr>
        <w:t>detention</w:t>
      </w:r>
      <w:r w:rsidRPr="002A63F9" w:rsidR="00DD3398">
        <w:rPr>
          <w:lang w:eastAsia="en-US"/>
        </w:rPr>
        <w:t>, including physical restraint and forced medical sedation.</w:t>
      </w:r>
      <w:r w:rsidRPr="002A63F9" w:rsidR="00DD3398">
        <w:rPr>
          <w:rStyle w:val="EndnoteReference"/>
          <w:lang w:eastAsia="en-US"/>
        </w:rPr>
        <w:endnoteReference w:id="160"/>
      </w:r>
      <w:r w:rsidRPr="002A63F9" w:rsidR="00E27028">
        <w:rPr>
          <w:lang w:eastAsia="en-US"/>
        </w:rPr>
        <w:t xml:space="preserve"> T</w:t>
      </w:r>
      <w:r w:rsidRPr="002A63F9" w:rsidR="0038474C">
        <w:rPr>
          <w:lang w:eastAsia="en-US"/>
        </w:rPr>
        <w:t xml:space="preserve">he Commission’s research has found that prisoners with disability have been subjected to a range of harmful practices, including being </w:t>
      </w:r>
      <w:r w:rsidRPr="002A63F9" w:rsidR="000A1F58">
        <w:rPr>
          <w:lang w:eastAsia="en-US"/>
        </w:rPr>
        <w:t xml:space="preserve">physically </w:t>
      </w:r>
      <w:r w:rsidRPr="002A63F9" w:rsidR="0038474C">
        <w:rPr>
          <w:lang w:eastAsia="en-US"/>
        </w:rPr>
        <w:t xml:space="preserve">shackled </w:t>
      </w:r>
      <w:r w:rsidRPr="002A63F9" w:rsidR="000A1F58">
        <w:rPr>
          <w:lang w:eastAsia="en-US"/>
        </w:rPr>
        <w:t>and</w:t>
      </w:r>
      <w:r w:rsidRPr="002A63F9" w:rsidR="0038474C">
        <w:rPr>
          <w:lang w:eastAsia="en-US"/>
        </w:rPr>
        <w:t xml:space="preserve"> medical</w:t>
      </w:r>
      <w:r w:rsidRPr="002A63F9" w:rsidR="00E6242C">
        <w:rPr>
          <w:lang w:eastAsia="en-US"/>
        </w:rPr>
        <w:t>ly</w:t>
      </w:r>
      <w:r w:rsidRPr="002A63F9" w:rsidR="0038474C">
        <w:rPr>
          <w:lang w:eastAsia="en-US"/>
        </w:rPr>
        <w:t xml:space="preserve"> restrain</w:t>
      </w:r>
      <w:r w:rsidRPr="002A63F9" w:rsidR="00E6242C">
        <w:rPr>
          <w:lang w:eastAsia="en-US"/>
        </w:rPr>
        <w:t>ed</w:t>
      </w:r>
      <w:r w:rsidRPr="002A63F9" w:rsidR="0038474C">
        <w:rPr>
          <w:lang w:eastAsia="en-US"/>
        </w:rPr>
        <w:t>.</w:t>
      </w:r>
      <w:r w:rsidRPr="002A63F9" w:rsidR="0038474C">
        <w:rPr>
          <w:rStyle w:val="EndnoteReference"/>
          <w:lang w:eastAsia="en-US"/>
        </w:rPr>
        <w:endnoteReference w:id="161"/>
      </w:r>
    </w:p>
    <w:p w:rsidRPr="002A63F9" w:rsidR="00EA5A55" w:rsidP="003E3FFE" w:rsidRDefault="004848A5" w14:paraId="1E425A7E" w14:textId="4C3C0FCB">
      <w:pPr>
        <w:pStyle w:val="ListNumber"/>
        <w:rPr>
          <w:lang w:eastAsia="en-US"/>
        </w:rPr>
      </w:pPr>
      <w:r w:rsidRPr="002A63F9">
        <w:rPr>
          <w:lang w:eastAsia="en-US"/>
        </w:rPr>
        <w:t xml:space="preserve">The use of </w:t>
      </w:r>
      <w:r w:rsidRPr="002A63F9" w:rsidR="007567B8">
        <w:rPr>
          <w:lang w:eastAsia="en-US"/>
        </w:rPr>
        <w:t>restrictive practices</w:t>
      </w:r>
      <w:r w:rsidRPr="002A63F9">
        <w:rPr>
          <w:lang w:eastAsia="en-US"/>
        </w:rPr>
        <w:t xml:space="preserve"> </w:t>
      </w:r>
      <w:r w:rsidRPr="002A63F9" w:rsidR="00D939D4">
        <w:rPr>
          <w:lang w:eastAsia="en-US"/>
        </w:rPr>
        <w:t>that</w:t>
      </w:r>
      <w:r w:rsidRPr="002A63F9">
        <w:rPr>
          <w:lang w:eastAsia="en-US"/>
        </w:rPr>
        <w:t xml:space="preserve"> are inherently degrading or painful</w:t>
      </w:r>
      <w:r w:rsidRPr="002A63F9" w:rsidR="007E1119">
        <w:rPr>
          <w:lang w:eastAsia="en-US"/>
        </w:rPr>
        <w:t xml:space="preserve"> </w:t>
      </w:r>
      <w:r w:rsidRPr="002A63F9">
        <w:rPr>
          <w:lang w:eastAsia="en-US"/>
        </w:rPr>
        <w:t>is prohibited under rule 47 of the Standard Minimum Rules for the Treatment of Prisoners</w:t>
      </w:r>
      <w:r w:rsidRPr="002A63F9" w:rsidR="003D1A42">
        <w:rPr>
          <w:lang w:eastAsia="en-US"/>
        </w:rPr>
        <w:t xml:space="preserve"> (‘Nelson Mandela Rules’)</w:t>
      </w:r>
      <w:r w:rsidRPr="002A63F9">
        <w:rPr>
          <w:lang w:eastAsia="en-US"/>
        </w:rPr>
        <w:t>.</w:t>
      </w:r>
      <w:r w:rsidRPr="002A63F9" w:rsidR="007567B8">
        <w:rPr>
          <w:rStyle w:val="EndnoteReference"/>
          <w:lang w:eastAsia="en-US"/>
        </w:rPr>
        <w:endnoteReference w:id="162"/>
      </w:r>
      <w:r w:rsidRPr="002A63F9" w:rsidR="007567B8">
        <w:rPr>
          <w:lang w:eastAsia="en-US"/>
        </w:rPr>
        <w:t xml:space="preserve"> </w:t>
      </w:r>
      <w:r w:rsidRPr="002A63F9" w:rsidR="00BD08FC">
        <w:rPr>
          <w:lang w:eastAsia="en-US"/>
        </w:rPr>
        <w:t>Further, t</w:t>
      </w:r>
      <w:r w:rsidRPr="002A63F9" w:rsidR="009D674D">
        <w:rPr>
          <w:lang w:eastAsia="en-US"/>
        </w:rPr>
        <w:t xml:space="preserve">he use of any restrictive practice must be </w:t>
      </w:r>
      <w:r w:rsidRPr="002A63F9" w:rsidR="005C0453">
        <w:rPr>
          <w:lang w:eastAsia="en-US"/>
        </w:rPr>
        <w:t>‘</w:t>
      </w:r>
      <w:r w:rsidRPr="002A63F9" w:rsidR="009D674D">
        <w:rPr>
          <w:lang w:eastAsia="en-US"/>
        </w:rPr>
        <w:t>the least intrusive method that is necessary and reasonably available to control the prisoner’s movement, based on the level and nature of the risks posed</w:t>
      </w:r>
      <w:r w:rsidR="008A68C8">
        <w:rPr>
          <w:lang w:eastAsia="en-US"/>
        </w:rPr>
        <w:t>’</w:t>
      </w:r>
      <w:r w:rsidRPr="002A63F9" w:rsidR="009D674D">
        <w:rPr>
          <w:lang w:eastAsia="en-US"/>
        </w:rPr>
        <w:t>.</w:t>
      </w:r>
      <w:r w:rsidRPr="002A63F9" w:rsidR="009D674D">
        <w:rPr>
          <w:rStyle w:val="EndnoteReference"/>
          <w:lang w:eastAsia="en-US"/>
        </w:rPr>
        <w:endnoteReference w:id="163"/>
      </w:r>
      <w:r w:rsidRPr="002A63F9" w:rsidR="007E1119">
        <w:rPr>
          <w:lang w:eastAsia="en-US"/>
        </w:rPr>
        <w:t xml:space="preserve"> According to the </w:t>
      </w:r>
      <w:r w:rsidRPr="002A63F9" w:rsidR="007E1119">
        <w:rPr>
          <w:i/>
          <w:iCs/>
          <w:lang w:eastAsia="en-US"/>
        </w:rPr>
        <w:t xml:space="preserve">Guidance </w:t>
      </w:r>
      <w:r w:rsidRPr="002A63F9" w:rsidR="003D1A42">
        <w:rPr>
          <w:i/>
          <w:iCs/>
          <w:lang w:eastAsia="en-US"/>
        </w:rPr>
        <w:t>D</w:t>
      </w:r>
      <w:r w:rsidRPr="002A63F9" w:rsidR="007E1119">
        <w:rPr>
          <w:i/>
          <w:iCs/>
          <w:lang w:eastAsia="en-US"/>
        </w:rPr>
        <w:t>ocument</w:t>
      </w:r>
      <w:r w:rsidRPr="002A63F9" w:rsidR="003D1A42">
        <w:rPr>
          <w:i/>
          <w:iCs/>
          <w:lang w:eastAsia="en-US"/>
        </w:rPr>
        <w:t xml:space="preserve"> on the Nelson Mandela Rules</w:t>
      </w:r>
      <w:r w:rsidRPr="002A63F9" w:rsidR="003D1A42">
        <w:rPr>
          <w:lang w:eastAsia="en-US"/>
        </w:rPr>
        <w:t xml:space="preserve"> published by the Organization for Security and Co-operation in Europe, the </w:t>
      </w:r>
      <w:r w:rsidRPr="002A63F9" w:rsidR="009D674D">
        <w:rPr>
          <w:lang w:eastAsia="en-US"/>
        </w:rPr>
        <w:t>practices</w:t>
      </w:r>
      <w:r w:rsidRPr="002A63F9" w:rsidR="00BD08FC">
        <w:rPr>
          <w:lang w:eastAsia="en-US"/>
        </w:rPr>
        <w:t xml:space="preserve"> </w:t>
      </w:r>
      <w:r w:rsidRPr="002A63F9" w:rsidR="00DF0A07">
        <w:rPr>
          <w:lang w:eastAsia="en-US"/>
        </w:rPr>
        <w:t>prohibited</w:t>
      </w:r>
      <w:r w:rsidRPr="002A63F9" w:rsidR="003D1A42">
        <w:rPr>
          <w:lang w:eastAsia="en-US"/>
        </w:rPr>
        <w:t xml:space="preserve"> by rule 47 include the use of </w:t>
      </w:r>
      <w:r w:rsidRPr="002A63F9" w:rsidR="00AC4C13">
        <w:rPr>
          <w:lang w:eastAsia="en-US"/>
        </w:rPr>
        <w:t>chains, weighted leg irons</w:t>
      </w:r>
      <w:r w:rsidRPr="002A63F9" w:rsidR="007E1119">
        <w:rPr>
          <w:lang w:eastAsia="en-US"/>
        </w:rPr>
        <w:t>, cage</w:t>
      </w:r>
      <w:r w:rsidRPr="002A63F9" w:rsidR="003D1A42">
        <w:rPr>
          <w:lang w:eastAsia="en-US"/>
        </w:rPr>
        <w:t xml:space="preserve"> or net beds,</w:t>
      </w:r>
      <w:r w:rsidRPr="002A63F9" w:rsidR="007E1119">
        <w:rPr>
          <w:lang w:eastAsia="en-US"/>
        </w:rPr>
        <w:t xml:space="preserve"> </w:t>
      </w:r>
      <w:r w:rsidRPr="002A63F9" w:rsidR="003D1A42">
        <w:rPr>
          <w:lang w:eastAsia="en-US"/>
        </w:rPr>
        <w:t>shackle beds</w:t>
      </w:r>
      <w:r w:rsidRPr="002A63F9" w:rsidR="001B7E43">
        <w:rPr>
          <w:lang w:eastAsia="en-US"/>
        </w:rPr>
        <w:t>, shackle boards</w:t>
      </w:r>
      <w:r w:rsidRPr="002A63F9" w:rsidR="003D1A42">
        <w:rPr>
          <w:lang w:eastAsia="en-US"/>
        </w:rPr>
        <w:t xml:space="preserve"> </w:t>
      </w:r>
      <w:r w:rsidRPr="002A63F9" w:rsidR="001B7E43">
        <w:rPr>
          <w:lang w:eastAsia="en-US"/>
        </w:rPr>
        <w:t xml:space="preserve">and restraint chairs </w:t>
      </w:r>
      <w:r w:rsidRPr="002A63F9" w:rsidR="003D1A42">
        <w:rPr>
          <w:lang w:eastAsia="en-US"/>
        </w:rPr>
        <w:t>(with an exception for chairs only fitted with straps or belts)</w:t>
      </w:r>
      <w:r w:rsidRPr="002A63F9" w:rsidR="00F52827">
        <w:rPr>
          <w:lang w:eastAsia="en-US"/>
        </w:rPr>
        <w:t>.</w:t>
      </w:r>
      <w:r w:rsidRPr="002A63F9" w:rsidR="00F52827">
        <w:rPr>
          <w:rStyle w:val="EndnoteReference"/>
          <w:lang w:eastAsia="en-US"/>
        </w:rPr>
        <w:endnoteReference w:id="164"/>
      </w:r>
      <w:r w:rsidRPr="002A63F9" w:rsidR="00F52827">
        <w:rPr>
          <w:lang w:eastAsia="en-US"/>
        </w:rPr>
        <w:t xml:space="preserve"> </w:t>
      </w:r>
    </w:p>
    <w:p w:rsidRPr="002A63F9" w:rsidR="00DD3398" w:rsidP="003E3FFE" w:rsidRDefault="00DD3398" w14:paraId="3A26D6AD" w14:textId="3736C746">
      <w:pPr>
        <w:pStyle w:val="ListNumber"/>
        <w:rPr>
          <w:lang w:eastAsia="en-US"/>
        </w:rPr>
      </w:pPr>
      <w:r w:rsidRPr="002A63F9">
        <w:rPr>
          <w:lang w:eastAsia="en-US"/>
        </w:rPr>
        <w:t>Australian Government guidelines on best practice for corrections require restrictions to be ‘the minimum required to maintain safety, security and good order, alongside their human rights’</w:t>
      </w:r>
      <w:r w:rsidRPr="002A63F9" w:rsidR="00DF0A07">
        <w:rPr>
          <w:lang w:eastAsia="en-US"/>
        </w:rPr>
        <w:t>.</w:t>
      </w:r>
      <w:r w:rsidRPr="002A63F9">
        <w:rPr>
          <w:rStyle w:val="EndnoteReference"/>
          <w:lang w:eastAsia="en-US"/>
        </w:rPr>
        <w:endnoteReference w:id="165"/>
      </w:r>
      <w:r w:rsidRPr="002A63F9">
        <w:rPr>
          <w:lang w:eastAsia="en-US"/>
        </w:rPr>
        <w:t xml:space="preserve"> </w:t>
      </w:r>
      <w:r w:rsidRPr="002A63F9" w:rsidR="00DF0A07">
        <w:rPr>
          <w:lang w:eastAsia="en-US"/>
        </w:rPr>
        <w:t xml:space="preserve">However, </w:t>
      </w:r>
      <w:r w:rsidRPr="002A63F9">
        <w:rPr>
          <w:lang w:eastAsia="en-US"/>
        </w:rPr>
        <w:t>research suggests that these guidelines are not being implemented</w:t>
      </w:r>
      <w:r w:rsidRPr="002A63F9" w:rsidR="00840496">
        <w:rPr>
          <w:lang w:eastAsia="en-US"/>
        </w:rPr>
        <w:t xml:space="preserve"> effectively</w:t>
      </w:r>
      <w:r w:rsidRPr="002A63F9">
        <w:rPr>
          <w:lang w:eastAsia="en-US"/>
        </w:rPr>
        <w:t>.</w:t>
      </w:r>
      <w:r w:rsidRPr="002A63F9">
        <w:rPr>
          <w:rStyle w:val="EndnoteReference"/>
          <w:lang w:eastAsia="en-US"/>
        </w:rPr>
        <w:endnoteReference w:id="166"/>
      </w:r>
      <w:r w:rsidRPr="002A63F9">
        <w:rPr>
          <w:lang w:eastAsia="en-US"/>
        </w:rPr>
        <w:t xml:space="preserve"> </w:t>
      </w:r>
    </w:p>
    <w:p w:rsidRPr="002A63F9" w:rsidR="000F3B44" w:rsidP="004B4FFB" w:rsidRDefault="003E3FFE" w14:paraId="3265D8D4" w14:textId="29E54B38">
      <w:pPr>
        <w:pStyle w:val="ListNumber"/>
        <w:rPr>
          <w:lang w:eastAsia="en-US"/>
        </w:rPr>
      </w:pPr>
      <w:r w:rsidRPr="002A63F9">
        <w:rPr>
          <w:lang w:eastAsia="en-US"/>
        </w:rPr>
        <w:t>The CRPD Committee</w:t>
      </w:r>
      <w:r w:rsidRPr="002A63F9" w:rsidR="008450F8">
        <w:rPr>
          <w:lang w:eastAsia="en-US"/>
        </w:rPr>
        <w:t xml:space="preserve"> </w:t>
      </w:r>
      <w:r w:rsidRPr="002A63F9">
        <w:rPr>
          <w:lang w:eastAsia="en-US"/>
        </w:rPr>
        <w:t>expressed serious concern about</w:t>
      </w:r>
      <w:r w:rsidRPr="002A63F9" w:rsidR="00A442AF">
        <w:rPr>
          <w:lang w:eastAsia="en-US"/>
        </w:rPr>
        <w:t xml:space="preserve"> Australian</w:t>
      </w:r>
      <w:r w:rsidRPr="002A63F9">
        <w:rPr>
          <w:lang w:eastAsia="en-US"/>
        </w:rPr>
        <w:t xml:space="preserve"> </w:t>
      </w:r>
      <w:r w:rsidR="008A68C8">
        <w:rPr>
          <w:lang w:eastAsia="en-US"/>
        </w:rPr>
        <w:t>laws</w:t>
      </w:r>
      <w:r w:rsidRPr="002A63F9" w:rsidR="008450F8">
        <w:rPr>
          <w:lang w:eastAsia="en-US"/>
        </w:rPr>
        <w:t xml:space="preserve">, policies and practices that permit the use of psychotropic medications, physical restraints and seclusion and </w:t>
      </w:r>
      <w:r w:rsidRPr="002A63F9" w:rsidR="002E4993">
        <w:rPr>
          <w:lang w:eastAsia="en-US"/>
        </w:rPr>
        <w:t xml:space="preserve">the use of </w:t>
      </w:r>
      <w:r w:rsidRPr="002A63F9" w:rsidR="008450F8">
        <w:rPr>
          <w:lang w:eastAsia="en-US"/>
        </w:rPr>
        <w:t xml:space="preserve">restrictive practices </w:t>
      </w:r>
      <w:r w:rsidR="008A68C8">
        <w:rPr>
          <w:lang w:eastAsia="en-US"/>
        </w:rPr>
        <w:t>on</w:t>
      </w:r>
      <w:r w:rsidRPr="002A63F9" w:rsidR="008A68C8">
        <w:rPr>
          <w:lang w:eastAsia="en-US"/>
        </w:rPr>
        <w:t xml:space="preserve"> </w:t>
      </w:r>
      <w:r w:rsidRPr="002A63F9" w:rsidR="00A442AF">
        <w:rPr>
          <w:lang w:eastAsia="en-US"/>
        </w:rPr>
        <w:t xml:space="preserve">people </w:t>
      </w:r>
      <w:r w:rsidRPr="002A63F9" w:rsidR="008450F8">
        <w:rPr>
          <w:lang w:eastAsia="en-US"/>
        </w:rPr>
        <w:t>with disabilit</w:t>
      </w:r>
      <w:r w:rsidRPr="002A63F9" w:rsidR="00A442AF">
        <w:rPr>
          <w:lang w:eastAsia="en-US"/>
        </w:rPr>
        <w:t>y</w:t>
      </w:r>
      <w:r w:rsidRPr="002A63F9" w:rsidR="008450F8">
        <w:rPr>
          <w:lang w:eastAsia="en-US"/>
        </w:rPr>
        <w:t>, including children, in any setting, including in justice facilities</w:t>
      </w:r>
      <w:r w:rsidRPr="002A63F9" w:rsidR="001B2A59">
        <w:rPr>
          <w:lang w:eastAsia="en-US"/>
        </w:rPr>
        <w:t>.</w:t>
      </w:r>
      <w:r w:rsidRPr="002A63F9" w:rsidR="000E0947">
        <w:rPr>
          <w:rStyle w:val="EndnoteReference"/>
          <w:lang w:eastAsia="en-US"/>
        </w:rPr>
        <w:endnoteReference w:id="167"/>
      </w:r>
      <w:r w:rsidRPr="002A63F9" w:rsidR="000F3B44">
        <w:rPr>
          <w:lang w:eastAsia="en-US"/>
        </w:rPr>
        <w:t xml:space="preserve"> The CRPD Committee recommended</w:t>
      </w:r>
      <w:r w:rsidRPr="002A63F9" w:rsidR="004B4FFB">
        <w:rPr>
          <w:lang w:eastAsia="en-US"/>
        </w:rPr>
        <w:t xml:space="preserve"> that </w:t>
      </w:r>
      <w:r w:rsidRPr="002A63F9" w:rsidR="004B4FFB">
        <w:rPr>
          <w:lang w:eastAsia="en-US"/>
        </w:rPr>
        <w:lastRenderedPageBreak/>
        <w:t>Australia e</w:t>
      </w:r>
      <w:r w:rsidRPr="002A63F9" w:rsidR="000F3B44">
        <w:rPr>
          <w:lang w:eastAsia="en-US"/>
        </w:rPr>
        <w:t xml:space="preserve">stablish a nationally consistent legislative and administrative framework for the protection of all </w:t>
      </w:r>
      <w:r w:rsidRPr="002A63F9" w:rsidR="004565D6">
        <w:rPr>
          <w:lang w:eastAsia="en-US"/>
        </w:rPr>
        <w:t>people</w:t>
      </w:r>
      <w:r w:rsidRPr="002A63F9" w:rsidR="000F3B44">
        <w:rPr>
          <w:lang w:eastAsia="en-US"/>
        </w:rPr>
        <w:t xml:space="preserve"> with disabilit</w:t>
      </w:r>
      <w:r w:rsidRPr="002A63F9" w:rsidR="004565D6">
        <w:rPr>
          <w:lang w:eastAsia="en-US"/>
        </w:rPr>
        <w:t>y</w:t>
      </w:r>
      <w:r w:rsidRPr="002A63F9" w:rsidR="000F3B44">
        <w:rPr>
          <w:lang w:eastAsia="en-US"/>
        </w:rPr>
        <w:t xml:space="preserve">, including children, from </w:t>
      </w:r>
      <w:r w:rsidRPr="002A63F9" w:rsidR="00D16A1C">
        <w:rPr>
          <w:lang w:eastAsia="en-US"/>
        </w:rPr>
        <w:t>such practices</w:t>
      </w:r>
      <w:r w:rsidRPr="002A63F9" w:rsidR="00221903">
        <w:rPr>
          <w:lang w:eastAsia="en-US"/>
        </w:rPr>
        <w:t>.</w:t>
      </w:r>
      <w:r w:rsidRPr="002A63F9" w:rsidR="002F0ED1">
        <w:rPr>
          <w:rStyle w:val="EndnoteReference"/>
          <w:lang w:eastAsia="en-US"/>
        </w:rPr>
        <w:endnoteReference w:id="168"/>
      </w:r>
    </w:p>
    <w:p w:rsidRPr="002A63F9" w:rsidR="002E4993" w:rsidRDefault="006B6AEF" w14:paraId="3890A754" w14:textId="77777777">
      <w:pPr>
        <w:pStyle w:val="ListNumber"/>
        <w:rPr>
          <w:lang w:eastAsia="en-US"/>
        </w:rPr>
      </w:pPr>
      <w:r w:rsidRPr="002A63F9">
        <w:rPr>
          <w:lang w:eastAsia="en-US"/>
        </w:rPr>
        <w:t>As noted above, with the ratification of OPCAT</w:t>
      </w:r>
      <w:r w:rsidRPr="002A63F9" w:rsidR="000F1FB8">
        <w:rPr>
          <w:lang w:eastAsia="en-US"/>
        </w:rPr>
        <w:t xml:space="preserve"> in 2017</w:t>
      </w:r>
      <w:r w:rsidRPr="002A63F9">
        <w:rPr>
          <w:lang w:eastAsia="en-US"/>
        </w:rPr>
        <w:t xml:space="preserve">, the Australian Government committed to establishing a system of oversight for all places of detention. OPCAT aims to </w:t>
      </w:r>
      <w:r w:rsidRPr="002A63F9">
        <w:rPr>
          <w:i/>
          <w:lang w:eastAsia="en-US"/>
        </w:rPr>
        <w:t>prevent</w:t>
      </w:r>
      <w:r w:rsidRPr="002A63F9">
        <w:rPr>
          <w:lang w:eastAsia="en-US"/>
        </w:rPr>
        <w:t xml:space="preserve"> ill treatment from occurring in places where people are deprived of their liberty, by establishing a system of unfettered inspections by a network of National Preventive Mechanism</w:t>
      </w:r>
      <w:r w:rsidRPr="002A63F9" w:rsidR="00172835">
        <w:rPr>
          <w:lang w:eastAsia="en-US"/>
        </w:rPr>
        <w:t xml:space="preserve">s </w:t>
      </w:r>
      <w:r w:rsidRPr="002A63F9" w:rsidR="000F1FB8">
        <w:rPr>
          <w:lang w:eastAsia="en-US"/>
        </w:rPr>
        <w:t xml:space="preserve">(NPMs) </w:t>
      </w:r>
      <w:r w:rsidRPr="002A63F9" w:rsidR="00172835">
        <w:rPr>
          <w:lang w:eastAsia="en-US"/>
        </w:rPr>
        <w:t>in the federal, state and territory</w:t>
      </w:r>
      <w:r w:rsidRPr="002A63F9">
        <w:rPr>
          <w:lang w:eastAsia="en-US"/>
        </w:rPr>
        <w:t xml:space="preserve"> jurisdiction</w:t>
      </w:r>
      <w:r w:rsidRPr="002A63F9" w:rsidR="00172835">
        <w:rPr>
          <w:lang w:eastAsia="en-US"/>
        </w:rPr>
        <w:t>s</w:t>
      </w:r>
      <w:r w:rsidRPr="002A63F9">
        <w:rPr>
          <w:lang w:eastAsia="en-US"/>
        </w:rPr>
        <w:t xml:space="preserve">. </w:t>
      </w:r>
    </w:p>
    <w:p w:rsidRPr="002A63F9" w:rsidR="00105C0F" w:rsidRDefault="00172835" w14:paraId="4F37B88A" w14:textId="5790A058">
      <w:pPr>
        <w:pStyle w:val="ListNumber"/>
        <w:rPr>
          <w:lang w:eastAsia="en-US"/>
        </w:rPr>
      </w:pPr>
      <w:r w:rsidRPr="002A63F9">
        <w:rPr>
          <w:lang w:eastAsia="en-US"/>
        </w:rPr>
        <w:t>I</w:t>
      </w:r>
      <w:r w:rsidRPr="002A63F9" w:rsidR="00CA1258">
        <w:rPr>
          <w:lang w:eastAsia="en-US"/>
        </w:rPr>
        <w:t>f</w:t>
      </w:r>
      <w:r w:rsidRPr="002A63F9">
        <w:rPr>
          <w:lang w:eastAsia="en-US"/>
        </w:rPr>
        <w:t xml:space="preserve"> implemented</w:t>
      </w:r>
      <w:r w:rsidRPr="002A63F9" w:rsidR="00CA1258">
        <w:rPr>
          <w:lang w:eastAsia="en-US"/>
        </w:rPr>
        <w:t xml:space="preserve"> effectively</w:t>
      </w:r>
      <w:r w:rsidRPr="002A63F9">
        <w:rPr>
          <w:lang w:eastAsia="en-US"/>
        </w:rPr>
        <w:t xml:space="preserve">, OPCAT will provide an integral oversight mechanism to better identify </w:t>
      </w:r>
      <w:r w:rsidR="00E82EC0">
        <w:rPr>
          <w:lang w:eastAsia="en-US"/>
        </w:rPr>
        <w:t xml:space="preserve">how practices such as </w:t>
      </w:r>
      <w:r w:rsidRPr="002A63F9">
        <w:rPr>
          <w:lang w:eastAsia="en-US"/>
        </w:rPr>
        <w:t xml:space="preserve">seclusion and restraint </w:t>
      </w:r>
      <w:r w:rsidR="00E82EC0">
        <w:rPr>
          <w:lang w:eastAsia="en-US"/>
        </w:rPr>
        <w:t xml:space="preserve">are used in respect </w:t>
      </w:r>
      <w:r w:rsidRPr="002A63F9">
        <w:rPr>
          <w:lang w:eastAsia="en-US"/>
        </w:rPr>
        <w:t>of people with disability in criminal justice settings</w:t>
      </w:r>
      <w:r w:rsidR="00E82EC0">
        <w:rPr>
          <w:lang w:eastAsia="en-US"/>
        </w:rPr>
        <w:t xml:space="preserve">, </w:t>
      </w:r>
      <w:r w:rsidRPr="00E82EC0" w:rsidR="00E82EC0">
        <w:rPr>
          <w:lang w:eastAsia="en-US"/>
        </w:rPr>
        <w:t>with a view to avoiding the unnecessary and harmful use of such practices. OPCAT creates a preventative, rather than a complaints-based, system of oversight. However, by identifying problematic practices, OP</w:t>
      </w:r>
      <w:r w:rsidR="00E82EC0">
        <w:rPr>
          <w:lang w:eastAsia="en-US"/>
        </w:rPr>
        <w:t>C</w:t>
      </w:r>
      <w:r w:rsidRPr="00E82EC0" w:rsidR="00E82EC0">
        <w:rPr>
          <w:lang w:eastAsia="en-US"/>
        </w:rPr>
        <w:t>AT can reduce the resultant risk</w:t>
      </w:r>
      <w:r w:rsidRPr="002A63F9" w:rsidR="00CA1258">
        <w:rPr>
          <w:lang w:eastAsia="en-US"/>
        </w:rPr>
        <w:t xml:space="preserve"> of violence, abuse, neglect or exploitation.</w:t>
      </w:r>
      <w:r w:rsidRPr="002A63F9" w:rsidR="00CA1258">
        <w:rPr>
          <w:rStyle w:val="EndnoteReference"/>
          <w:lang w:eastAsia="en-US"/>
        </w:rPr>
        <w:endnoteReference w:id="169"/>
      </w:r>
      <w:r w:rsidRPr="002A63F9" w:rsidR="00CA1258">
        <w:rPr>
          <w:lang w:eastAsia="en-US"/>
        </w:rPr>
        <w:t xml:space="preserve"> </w:t>
      </w:r>
      <w:r w:rsidRPr="002A63F9">
        <w:rPr>
          <w:lang w:eastAsia="en-US"/>
        </w:rPr>
        <w:t xml:space="preserve">This kind of progress has been made in other jurisdictions that have implemented OPCAT. </w:t>
      </w:r>
      <w:r w:rsidRPr="002A63F9" w:rsidR="00D6092D">
        <w:rPr>
          <w:lang w:eastAsia="en-US"/>
        </w:rPr>
        <w:t>In New Zealand,</w:t>
      </w:r>
      <w:r w:rsidRPr="002A63F9">
        <w:rPr>
          <w:lang w:eastAsia="en-US"/>
        </w:rPr>
        <w:t xml:space="preserve"> for example,</w:t>
      </w:r>
      <w:r w:rsidRPr="002A63F9" w:rsidR="00D6092D">
        <w:rPr>
          <w:lang w:eastAsia="en-US"/>
        </w:rPr>
        <w:t xml:space="preserve"> the NPM partners identified problematic practices of seclusion and restraint through their </w:t>
      </w:r>
      <w:r w:rsidRPr="002A63F9">
        <w:rPr>
          <w:lang w:eastAsia="en-US"/>
        </w:rPr>
        <w:t>OPCAT inspections</w:t>
      </w:r>
      <w:r w:rsidRPr="002A63F9" w:rsidR="002E4993">
        <w:rPr>
          <w:lang w:eastAsia="en-US"/>
        </w:rPr>
        <w:t xml:space="preserve"> and then</w:t>
      </w:r>
      <w:r w:rsidRPr="002A63F9" w:rsidR="00D6092D">
        <w:rPr>
          <w:lang w:eastAsia="en-US"/>
        </w:rPr>
        <w:t xml:space="preserve"> made recommendations that</w:t>
      </w:r>
      <w:r w:rsidRPr="002A63F9">
        <w:rPr>
          <w:lang w:eastAsia="en-US"/>
        </w:rPr>
        <w:t xml:space="preserve"> have</w:t>
      </w:r>
      <w:r w:rsidRPr="002A63F9" w:rsidR="00D6092D">
        <w:rPr>
          <w:lang w:eastAsia="en-US"/>
        </w:rPr>
        <w:t xml:space="preserve"> led to more effective management of these practices</w:t>
      </w:r>
      <w:r w:rsidRPr="002A63F9" w:rsidR="00663112">
        <w:rPr>
          <w:lang w:eastAsia="en-US"/>
        </w:rPr>
        <w:t>.</w:t>
      </w:r>
      <w:r w:rsidRPr="002A63F9" w:rsidR="00663112">
        <w:rPr>
          <w:rStyle w:val="EndnoteReference"/>
          <w:lang w:eastAsia="en-US"/>
        </w:rPr>
        <w:endnoteReference w:id="170"/>
      </w:r>
    </w:p>
    <w:p w:rsidRPr="002A63F9" w:rsidR="000D3C5F" w:rsidRDefault="000D3C5F" w14:paraId="61272B49" w14:textId="417337F4">
      <w:pPr>
        <w:pStyle w:val="ListNumber"/>
        <w:rPr>
          <w:lang w:eastAsia="en-US"/>
        </w:rPr>
      </w:pPr>
      <w:r w:rsidRPr="002A63F9">
        <w:rPr>
          <w:lang w:eastAsia="en-US"/>
        </w:rPr>
        <w:t>P</w:t>
      </w:r>
      <w:r w:rsidRPr="002A63F9" w:rsidR="006B6AEF">
        <w:rPr>
          <w:lang w:eastAsia="en-US"/>
        </w:rPr>
        <w:t>recisely how OPCAT will be implemented in Australia is sti</w:t>
      </w:r>
      <w:r w:rsidRPr="002A63F9" w:rsidR="00105C0F">
        <w:rPr>
          <w:lang w:eastAsia="en-US"/>
        </w:rPr>
        <w:t xml:space="preserve">ll </w:t>
      </w:r>
      <w:r w:rsidRPr="002A63F9">
        <w:rPr>
          <w:lang w:eastAsia="en-US"/>
        </w:rPr>
        <w:t>being determined</w:t>
      </w:r>
      <w:r w:rsidRPr="002A63F9" w:rsidR="000F1FB8">
        <w:rPr>
          <w:lang w:eastAsia="en-US"/>
        </w:rPr>
        <w:t xml:space="preserve"> at the federal</w:t>
      </w:r>
      <w:r w:rsidRPr="002A63F9">
        <w:rPr>
          <w:lang w:eastAsia="en-US"/>
        </w:rPr>
        <w:t xml:space="preserve">, state and territory </w:t>
      </w:r>
      <w:r w:rsidRPr="002A63F9" w:rsidR="000F1FB8">
        <w:rPr>
          <w:lang w:eastAsia="en-US"/>
        </w:rPr>
        <w:t>levels</w:t>
      </w:r>
      <w:r w:rsidRPr="002A63F9">
        <w:rPr>
          <w:lang w:eastAsia="en-US"/>
        </w:rPr>
        <w:t xml:space="preserve">. Through </w:t>
      </w:r>
      <w:r w:rsidRPr="002A63F9" w:rsidR="006B6AEF">
        <w:rPr>
          <w:lang w:eastAsia="en-US"/>
        </w:rPr>
        <w:t>its consultation</w:t>
      </w:r>
      <w:r w:rsidRPr="002A63F9" w:rsidR="000F1FB8">
        <w:rPr>
          <w:lang w:eastAsia="en-US"/>
        </w:rPr>
        <w:t>s</w:t>
      </w:r>
      <w:r w:rsidRPr="002A63F9" w:rsidR="006B6AEF">
        <w:rPr>
          <w:lang w:eastAsia="en-US"/>
        </w:rPr>
        <w:t xml:space="preserve"> to support OPCAT implementation, the Commission heard from a number of experts and civil society organisations, including those representing people with </w:t>
      </w:r>
      <w:r w:rsidRPr="002A63F9" w:rsidR="000F1FB8">
        <w:rPr>
          <w:lang w:eastAsia="en-US"/>
        </w:rPr>
        <w:t>disability</w:t>
      </w:r>
      <w:r w:rsidRPr="002A63F9" w:rsidR="006B6AEF">
        <w:rPr>
          <w:lang w:eastAsia="en-US"/>
        </w:rPr>
        <w:t xml:space="preserve">, </w:t>
      </w:r>
      <w:r w:rsidRPr="002A63F9" w:rsidR="00EC18FD">
        <w:rPr>
          <w:lang w:eastAsia="en-US"/>
        </w:rPr>
        <w:t xml:space="preserve">as to </w:t>
      </w:r>
      <w:r w:rsidRPr="002A63F9" w:rsidR="006B6AEF">
        <w:rPr>
          <w:lang w:eastAsia="en-US"/>
        </w:rPr>
        <w:t xml:space="preserve">how Australia should fulfil its treaty obligations to better protect people with disability in places of detention. </w:t>
      </w:r>
    </w:p>
    <w:p w:rsidRPr="002A63F9" w:rsidR="006B6AEF" w:rsidRDefault="00D6092D" w14:paraId="4252B333" w14:textId="1B2BB55C">
      <w:pPr>
        <w:pStyle w:val="ListNumber"/>
        <w:rPr>
          <w:lang w:eastAsia="en-US"/>
        </w:rPr>
      </w:pPr>
      <w:r w:rsidRPr="002A63F9">
        <w:rPr>
          <w:lang w:eastAsia="en-US"/>
        </w:rPr>
        <w:t>Throughout the consultation</w:t>
      </w:r>
      <w:r w:rsidRPr="002A63F9" w:rsidR="000F1FB8">
        <w:rPr>
          <w:lang w:eastAsia="en-US"/>
        </w:rPr>
        <w:t>s</w:t>
      </w:r>
      <w:r w:rsidRPr="002A63F9">
        <w:rPr>
          <w:lang w:eastAsia="en-US"/>
        </w:rPr>
        <w:t>, and across different sectors,</w:t>
      </w:r>
      <w:r w:rsidRPr="002A63F9" w:rsidR="00847A74">
        <w:rPr>
          <w:lang w:eastAsia="en-US"/>
        </w:rPr>
        <w:t xml:space="preserve"> seclusion and restraint</w:t>
      </w:r>
      <w:r w:rsidRPr="002A63F9">
        <w:rPr>
          <w:lang w:eastAsia="en-US"/>
        </w:rPr>
        <w:t xml:space="preserve"> practices were identified as an issue of immediate concern for </w:t>
      </w:r>
      <w:r w:rsidRPr="002A63F9" w:rsidR="002E4993">
        <w:rPr>
          <w:lang w:eastAsia="en-US"/>
        </w:rPr>
        <w:t xml:space="preserve">people </w:t>
      </w:r>
      <w:r w:rsidRPr="002A63F9">
        <w:rPr>
          <w:lang w:eastAsia="en-US"/>
        </w:rPr>
        <w:t>with disability in custod</w:t>
      </w:r>
      <w:r w:rsidRPr="002A63F9" w:rsidR="00586C01">
        <w:rPr>
          <w:lang w:eastAsia="en-US"/>
        </w:rPr>
        <w:t>y</w:t>
      </w:r>
      <w:r w:rsidRPr="002A63F9">
        <w:rPr>
          <w:lang w:eastAsia="en-US"/>
        </w:rPr>
        <w:t xml:space="preserve">. </w:t>
      </w:r>
      <w:r w:rsidRPr="002A63F9" w:rsidR="00847A74">
        <w:rPr>
          <w:lang w:eastAsia="en-US"/>
        </w:rPr>
        <w:t>Stakeholders</w:t>
      </w:r>
      <w:r w:rsidRPr="002A63F9" w:rsidR="000D3C5F">
        <w:rPr>
          <w:lang w:eastAsia="en-US"/>
        </w:rPr>
        <w:t xml:space="preserve"> were supportive of the Australian Government ratifying OPCAT and </w:t>
      </w:r>
      <w:r w:rsidRPr="002A63F9" w:rsidR="00C45578">
        <w:rPr>
          <w:lang w:eastAsia="en-US"/>
        </w:rPr>
        <w:t xml:space="preserve">viewed it as </w:t>
      </w:r>
      <w:r w:rsidRPr="002A63F9" w:rsidR="000D3C5F">
        <w:rPr>
          <w:lang w:eastAsia="en-US"/>
        </w:rPr>
        <w:t>an opportunity to better protect human rights in places of detention. Stakeholders</w:t>
      </w:r>
      <w:r w:rsidRPr="002A63F9" w:rsidR="00105C0F">
        <w:rPr>
          <w:lang w:eastAsia="en-US"/>
        </w:rPr>
        <w:t xml:space="preserve"> </w:t>
      </w:r>
      <w:r w:rsidRPr="002A63F9" w:rsidR="000D3C5F">
        <w:rPr>
          <w:lang w:eastAsia="en-US"/>
        </w:rPr>
        <w:t xml:space="preserve">made a number of </w:t>
      </w:r>
      <w:r w:rsidRPr="002A63F9" w:rsidR="00F84B8D">
        <w:rPr>
          <w:lang w:eastAsia="en-US"/>
        </w:rPr>
        <w:t xml:space="preserve">pertinent </w:t>
      </w:r>
      <w:r w:rsidRPr="002A63F9" w:rsidR="000D3C5F">
        <w:rPr>
          <w:lang w:eastAsia="en-US"/>
        </w:rPr>
        <w:t>recommendations</w:t>
      </w:r>
      <w:r w:rsidRPr="002A63F9" w:rsidR="00F84B8D">
        <w:rPr>
          <w:lang w:eastAsia="en-US"/>
        </w:rPr>
        <w:t>,</w:t>
      </w:r>
      <w:r w:rsidRPr="002A63F9" w:rsidR="000D3C5F">
        <w:rPr>
          <w:lang w:eastAsia="en-US"/>
        </w:rPr>
        <w:t xml:space="preserve"> such as ensuring </w:t>
      </w:r>
      <w:r w:rsidRPr="002A63F9" w:rsidR="006B6AEF">
        <w:rPr>
          <w:lang w:eastAsia="en-US"/>
        </w:rPr>
        <w:t xml:space="preserve">that NPM inspection </w:t>
      </w:r>
      <w:r w:rsidRPr="002A63F9" w:rsidR="00105C0F">
        <w:rPr>
          <w:lang w:eastAsia="en-US"/>
        </w:rPr>
        <w:t>teams be equi</w:t>
      </w:r>
      <w:r w:rsidRPr="002A63F9" w:rsidR="000D3C5F">
        <w:rPr>
          <w:lang w:eastAsia="en-US"/>
        </w:rPr>
        <w:t>pped with relevant expertise of the particular issues people with disability face when deprived of their liberty</w:t>
      </w:r>
      <w:r w:rsidRPr="002A63F9" w:rsidR="00105C0F">
        <w:rPr>
          <w:lang w:eastAsia="en-US"/>
        </w:rPr>
        <w:t>. Stakeholders also advocated for people with disability to be meaningfully invo</w:t>
      </w:r>
      <w:r w:rsidRPr="002A63F9" w:rsidR="00847A74">
        <w:rPr>
          <w:lang w:eastAsia="en-US"/>
        </w:rPr>
        <w:t>lved in the inspection process and for all NPM and inspection processes to be ‘disability aware’.</w:t>
      </w:r>
      <w:r w:rsidRPr="002A63F9" w:rsidR="00847A74">
        <w:rPr>
          <w:rStyle w:val="EndnoteReference"/>
          <w:lang w:eastAsia="en-US"/>
        </w:rPr>
        <w:endnoteReference w:id="171"/>
      </w:r>
    </w:p>
    <w:p w:rsidRPr="002A63F9" w:rsidR="00B977E2" w:rsidP="00B977E2" w:rsidRDefault="00B977E2" w14:paraId="24665AB9" w14:textId="45B217A4">
      <w:pPr>
        <w:pStyle w:val="ListNumber"/>
        <w:rPr>
          <w:b/>
          <w:bCs/>
          <w:lang w:eastAsia="en-US"/>
        </w:rPr>
      </w:pPr>
      <w:r w:rsidRPr="002A63F9">
        <w:rPr>
          <w:b/>
          <w:bCs/>
          <w:lang w:eastAsia="en-US"/>
        </w:rPr>
        <w:t>Recommendation 1</w:t>
      </w:r>
      <w:r w:rsidR="00AF567A">
        <w:rPr>
          <w:b/>
          <w:bCs/>
          <w:lang w:eastAsia="en-US"/>
        </w:rPr>
        <w:t>2</w:t>
      </w:r>
      <w:r w:rsidRPr="002A63F9">
        <w:rPr>
          <w:b/>
          <w:bCs/>
          <w:lang w:eastAsia="en-US"/>
        </w:rPr>
        <w:t xml:space="preserve">: The Australian Government work with state and territory governments to amend laws, policies and guidelines to prohibit the use of solitary confinement </w:t>
      </w:r>
      <w:r w:rsidRPr="002A63F9" w:rsidR="001D2EC7">
        <w:rPr>
          <w:b/>
          <w:bCs/>
          <w:lang w:eastAsia="en-US"/>
        </w:rPr>
        <w:t>for</w:t>
      </w:r>
      <w:r w:rsidRPr="002A63F9">
        <w:rPr>
          <w:b/>
          <w:bCs/>
          <w:lang w:eastAsia="en-US"/>
        </w:rPr>
        <w:t xml:space="preserve"> people with disability in</w:t>
      </w:r>
      <w:r w:rsidR="00C57283">
        <w:rPr>
          <w:b/>
          <w:bCs/>
          <w:lang w:eastAsia="en-US"/>
        </w:rPr>
        <w:t xml:space="preserve"> detention</w:t>
      </w:r>
      <w:r w:rsidRPr="002A63F9">
        <w:rPr>
          <w:b/>
          <w:bCs/>
          <w:lang w:eastAsia="en-US"/>
        </w:rPr>
        <w:t>.</w:t>
      </w:r>
    </w:p>
    <w:p w:rsidRPr="002A63F9" w:rsidR="00B977E2" w:rsidP="00B977E2" w:rsidRDefault="00B977E2" w14:paraId="05B324FB" w14:textId="2FD360F5">
      <w:pPr>
        <w:pStyle w:val="ListNumber"/>
        <w:rPr>
          <w:b/>
          <w:bCs/>
        </w:rPr>
      </w:pPr>
      <w:r w:rsidRPr="002A63F9">
        <w:rPr>
          <w:b/>
          <w:bCs/>
          <w:lang w:eastAsia="en-US"/>
        </w:rPr>
        <w:lastRenderedPageBreak/>
        <w:t>Recommendation 1</w:t>
      </w:r>
      <w:r w:rsidR="00AF567A">
        <w:rPr>
          <w:b/>
          <w:bCs/>
          <w:lang w:eastAsia="en-US"/>
        </w:rPr>
        <w:t>3</w:t>
      </w:r>
      <w:r w:rsidRPr="002A63F9">
        <w:rPr>
          <w:b/>
          <w:bCs/>
          <w:lang w:eastAsia="en-US"/>
        </w:rPr>
        <w:t xml:space="preserve">: The Australian Government work with state and territory governments to develop a national framework to monitor and regulate the use of restrictive practices </w:t>
      </w:r>
      <w:r w:rsidR="005C7772">
        <w:rPr>
          <w:b/>
          <w:bCs/>
          <w:lang w:eastAsia="en-US"/>
        </w:rPr>
        <w:t>on</w:t>
      </w:r>
      <w:r w:rsidRPr="002A63F9">
        <w:rPr>
          <w:b/>
          <w:bCs/>
          <w:lang w:eastAsia="en-US"/>
        </w:rPr>
        <w:t xml:space="preserve"> people with disability in places of detention. </w:t>
      </w:r>
    </w:p>
    <w:p w:rsidR="00D75A03" w:rsidP="00B977E2" w:rsidRDefault="00D75A03" w14:paraId="7B0FD8F5" w14:textId="664F5FC1">
      <w:pPr>
        <w:pStyle w:val="ListNumber"/>
        <w:rPr>
          <w:b/>
          <w:bCs/>
        </w:rPr>
      </w:pPr>
      <w:r w:rsidRPr="002A63F9">
        <w:rPr>
          <w:b/>
          <w:bCs/>
          <w:lang w:eastAsia="en-US"/>
        </w:rPr>
        <w:t>Recommendation 1</w:t>
      </w:r>
      <w:r w:rsidR="00AF567A">
        <w:rPr>
          <w:b/>
          <w:bCs/>
          <w:lang w:eastAsia="en-US"/>
        </w:rPr>
        <w:t>4</w:t>
      </w:r>
      <w:r w:rsidRPr="002A63F9">
        <w:rPr>
          <w:b/>
          <w:bCs/>
          <w:lang w:eastAsia="en-US"/>
        </w:rPr>
        <w:t>: The Australian Government</w:t>
      </w:r>
      <w:r w:rsidRPr="002A63F9" w:rsidR="00482628">
        <w:rPr>
          <w:b/>
          <w:bCs/>
          <w:lang w:eastAsia="en-US"/>
        </w:rPr>
        <w:t xml:space="preserve"> work with state and territory governments to implement OPCAT as a matter of urgency. </w:t>
      </w:r>
    </w:p>
    <w:p w:rsidRPr="002A63F9" w:rsidR="00D64D7D" w:rsidP="00391B2F" w:rsidRDefault="00D64D7D" w14:paraId="437609F6" w14:textId="4D048756">
      <w:pPr>
        <w:pStyle w:val="Heading2"/>
      </w:pPr>
      <w:bookmarkStart w:name="_Toc35535494" w:id="34"/>
      <w:r w:rsidRPr="002A63F9">
        <w:t>Fetal Alcohol Spectrum Disorder and other commonly undiagnosed disabilities</w:t>
      </w:r>
      <w:bookmarkEnd w:id="34"/>
    </w:p>
    <w:p w:rsidRPr="002A63F9" w:rsidR="00D64D7D" w:rsidP="00D5779A" w:rsidRDefault="00D64D7D" w14:paraId="226901E7" w14:textId="345B93AC">
      <w:pPr>
        <w:pStyle w:val="ListNumber"/>
        <w:rPr>
          <w:lang w:eastAsia="en-US"/>
        </w:rPr>
      </w:pPr>
      <w:r w:rsidRPr="002A63F9">
        <w:rPr>
          <w:lang w:eastAsia="en-US"/>
        </w:rPr>
        <w:t>Fetal Alcohol Spectrum Disorder (FASD) is a set of disorders that may occur when a mother consumes harmful quantities of alcohol at crucial points during pregnancy, potentially resulting in a range of impairments</w:t>
      </w:r>
      <w:r w:rsidR="008A68C8">
        <w:rPr>
          <w:lang w:eastAsia="en-US"/>
        </w:rPr>
        <w:t>,</w:t>
      </w:r>
      <w:r w:rsidRPr="002A63F9">
        <w:rPr>
          <w:lang w:eastAsia="en-US"/>
        </w:rPr>
        <w:t xml:space="preserve"> including brain injury, birth defects and behavioural and mental health issues.</w:t>
      </w:r>
    </w:p>
    <w:p w:rsidRPr="002A63F9" w:rsidR="00D64D7D" w:rsidP="00D5779A" w:rsidRDefault="00D64D7D" w14:paraId="317AC519" w14:textId="57BDAEB8">
      <w:pPr>
        <w:pStyle w:val="ListNumber"/>
        <w:rPr>
          <w:lang w:eastAsia="en-US"/>
        </w:rPr>
      </w:pPr>
      <w:r w:rsidRPr="002A63F9">
        <w:rPr>
          <w:lang w:eastAsia="en-US"/>
        </w:rPr>
        <w:t xml:space="preserve">It is generally accepted that there is a high prevalence of FASD in </w:t>
      </w:r>
      <w:r w:rsidR="008A68C8">
        <w:rPr>
          <w:lang w:eastAsia="en-US"/>
        </w:rPr>
        <w:t xml:space="preserve">people detained in </w:t>
      </w:r>
      <w:r w:rsidRPr="002A63F9">
        <w:rPr>
          <w:lang w:eastAsia="en-US"/>
        </w:rPr>
        <w:t>the Australian criminal justice system, despite the sparsity of relevant data on the topic.</w:t>
      </w:r>
      <w:r w:rsidRPr="002A63F9">
        <w:rPr>
          <w:rStyle w:val="EndnoteReference"/>
          <w:lang w:eastAsia="en-US"/>
        </w:rPr>
        <w:endnoteReference w:id="172"/>
      </w:r>
      <w:r w:rsidRPr="002A63F9">
        <w:rPr>
          <w:lang w:eastAsia="en-US"/>
        </w:rPr>
        <w:t xml:space="preserve"> By way of illustration, a study in Western Australia found that in the Banksia Hill youth detention facility, 89% of inmates had at least one form of severe neurodevelopmental impairment and 36% had FASD.</w:t>
      </w:r>
      <w:r w:rsidRPr="002A63F9">
        <w:rPr>
          <w:rStyle w:val="EndnoteReference"/>
          <w:lang w:eastAsia="en-US"/>
        </w:rPr>
        <w:endnoteReference w:id="173"/>
      </w:r>
    </w:p>
    <w:p w:rsidRPr="002A63F9" w:rsidR="00D64D7D" w:rsidP="00D5779A" w:rsidRDefault="00D64D7D" w14:paraId="4DE8232D" w14:textId="77777777">
      <w:pPr>
        <w:pStyle w:val="ListNumber"/>
        <w:rPr>
          <w:lang w:eastAsia="en-US"/>
        </w:rPr>
      </w:pPr>
      <w:r w:rsidRPr="002A63F9">
        <w:rPr>
          <w:lang w:eastAsia="en-US"/>
        </w:rPr>
        <w:t>Long-term outcomes for children with FASD are poor. Overseas research suggests that 90% will have mental health problems, 80% will remain unemployed and less than 10% will be able to work independently by the age of 21.</w:t>
      </w:r>
      <w:r w:rsidRPr="002A63F9">
        <w:rPr>
          <w:rStyle w:val="EndnoteReference"/>
          <w:lang w:eastAsia="en-US"/>
        </w:rPr>
        <w:endnoteReference w:id="174"/>
      </w:r>
      <w:r w:rsidRPr="002A63F9">
        <w:rPr>
          <w:lang w:eastAsia="en-US"/>
        </w:rPr>
        <w:t xml:space="preserve"> Most relevantly, research suggests that 60% of children with FASD will come into aggravated contact with the law.</w:t>
      </w:r>
      <w:r w:rsidRPr="002A63F9">
        <w:rPr>
          <w:rStyle w:val="EndnoteReference"/>
          <w:lang w:eastAsia="en-US"/>
        </w:rPr>
        <w:endnoteReference w:id="175"/>
      </w:r>
    </w:p>
    <w:p w:rsidRPr="002A63F9" w:rsidR="00222052" w:rsidP="00D5779A" w:rsidRDefault="00D64D7D" w14:paraId="26637AB3" w14:textId="392A3F7C">
      <w:pPr>
        <w:pStyle w:val="ListNumber"/>
        <w:rPr>
          <w:lang w:eastAsia="en-US"/>
        </w:rPr>
      </w:pPr>
      <w:r w:rsidRPr="002A63F9">
        <w:rPr>
          <w:lang w:eastAsia="en-US"/>
        </w:rPr>
        <w:t xml:space="preserve">Despite falling within the definition of ‘disability’ for the purposes of the </w:t>
      </w:r>
      <w:r w:rsidRPr="002A63F9">
        <w:rPr>
          <w:i/>
          <w:iCs/>
          <w:lang w:eastAsia="en-US"/>
        </w:rPr>
        <w:t xml:space="preserve">Disability Discrimination Act 1993 </w:t>
      </w:r>
      <w:r w:rsidRPr="002A63F9">
        <w:rPr>
          <w:lang w:eastAsia="en-US"/>
        </w:rPr>
        <w:t>(Cth) and the Australian Bureau of Statistics,</w:t>
      </w:r>
      <w:r w:rsidRPr="002A63F9">
        <w:rPr>
          <w:rStyle w:val="EndnoteReference"/>
          <w:lang w:eastAsia="en-US"/>
        </w:rPr>
        <w:endnoteReference w:id="176"/>
      </w:r>
      <w:r w:rsidRPr="002A63F9">
        <w:rPr>
          <w:lang w:eastAsia="en-US"/>
        </w:rPr>
        <w:t xml:space="preserve"> as well as within the definition of ‘developmental delay’ for the purposes of the </w:t>
      </w:r>
      <w:r w:rsidRPr="002A63F9">
        <w:rPr>
          <w:i/>
          <w:iCs/>
          <w:lang w:eastAsia="en-US"/>
        </w:rPr>
        <w:t xml:space="preserve">National Disability Insurance Act 2013 </w:t>
      </w:r>
      <w:r w:rsidRPr="002A63F9">
        <w:rPr>
          <w:lang w:eastAsia="en-US"/>
        </w:rPr>
        <w:t>(Cth),</w:t>
      </w:r>
      <w:r w:rsidRPr="002A63F9">
        <w:rPr>
          <w:rStyle w:val="EndnoteReference"/>
          <w:lang w:eastAsia="en-US"/>
        </w:rPr>
        <w:endnoteReference w:id="177"/>
      </w:r>
      <w:r w:rsidRPr="002A63F9">
        <w:rPr>
          <w:lang w:eastAsia="en-US"/>
        </w:rPr>
        <w:t xml:space="preserve"> FASD is not included on the Australian Government’s list of </w:t>
      </w:r>
      <w:r w:rsidR="00C62281">
        <w:rPr>
          <w:lang w:eastAsia="en-US"/>
        </w:rPr>
        <w:t xml:space="preserve">recognised </w:t>
      </w:r>
      <w:r w:rsidRPr="002A63F9">
        <w:rPr>
          <w:lang w:eastAsia="en-US"/>
        </w:rPr>
        <w:t>disabilities.</w:t>
      </w:r>
      <w:r w:rsidRPr="002A63F9">
        <w:rPr>
          <w:rStyle w:val="EndnoteReference"/>
          <w:lang w:eastAsia="en-US"/>
        </w:rPr>
        <w:endnoteReference w:id="178"/>
      </w:r>
      <w:r w:rsidRPr="002A63F9">
        <w:rPr>
          <w:lang w:eastAsia="en-US"/>
        </w:rPr>
        <w:t xml:space="preserve"> </w:t>
      </w:r>
      <w:r w:rsidR="008A68C8">
        <w:rPr>
          <w:lang w:eastAsia="en-US"/>
        </w:rPr>
        <w:t>C</w:t>
      </w:r>
      <w:r w:rsidRPr="002A63F9">
        <w:rPr>
          <w:lang w:eastAsia="en-US"/>
        </w:rPr>
        <w:t>omprehensive clinical diagnosis of FASD is often difficult, and many individuals remain undiagnosed.</w:t>
      </w:r>
      <w:r w:rsidRPr="002A63F9">
        <w:rPr>
          <w:rStyle w:val="EndnoteReference"/>
          <w:lang w:eastAsia="en-US"/>
        </w:rPr>
        <w:endnoteReference w:id="179"/>
      </w:r>
      <w:r w:rsidRPr="002A63F9" w:rsidR="00D26EB2">
        <w:rPr>
          <w:lang w:eastAsia="en-US"/>
        </w:rPr>
        <w:t xml:space="preserve"> </w:t>
      </w:r>
    </w:p>
    <w:p w:rsidRPr="002A63F9" w:rsidR="00D64D7D" w:rsidP="00E27FA3" w:rsidRDefault="00D64D7D" w14:paraId="06637904" w14:textId="33AC5F7B">
      <w:pPr>
        <w:pStyle w:val="ListNumber"/>
        <w:spacing w:before="120" w:after="120"/>
        <w:rPr>
          <w:lang w:eastAsia="en-US"/>
        </w:rPr>
      </w:pPr>
      <w:r w:rsidRPr="002A63F9">
        <w:rPr>
          <w:lang w:eastAsia="en-US"/>
        </w:rPr>
        <w:t xml:space="preserve">People with FASD may be more susceptible to involvement in the </w:t>
      </w:r>
      <w:r w:rsidR="00914CB6">
        <w:rPr>
          <w:lang w:eastAsia="en-US"/>
        </w:rPr>
        <w:t xml:space="preserve">criminal </w:t>
      </w:r>
      <w:r w:rsidRPr="002A63F9">
        <w:rPr>
          <w:lang w:eastAsia="en-US"/>
        </w:rPr>
        <w:t>justice system because they may:</w:t>
      </w:r>
    </w:p>
    <w:p w:rsidRPr="002A63F9" w:rsidR="00D64D7D" w:rsidP="00E27FA3" w:rsidRDefault="00D64D7D" w14:paraId="31263AF6" w14:textId="77777777">
      <w:pPr>
        <w:pStyle w:val="ListNumber"/>
        <w:numPr>
          <w:ilvl w:val="0"/>
          <w:numId w:val="49"/>
        </w:numPr>
        <w:spacing w:before="120" w:after="120"/>
        <w:ind w:left="1480" w:hanging="357"/>
        <w:rPr>
          <w:lang w:eastAsia="en-US"/>
        </w:rPr>
      </w:pPr>
      <w:r w:rsidRPr="002A63F9">
        <w:rPr>
          <w:lang w:eastAsia="en-US"/>
        </w:rPr>
        <w:t>be persuaded to admit to crimes which they did not commit</w:t>
      </w:r>
    </w:p>
    <w:p w:rsidRPr="002A63F9" w:rsidR="00D64D7D" w:rsidP="00E27FA3" w:rsidRDefault="00D64D7D" w14:paraId="22B0C52A" w14:textId="77777777">
      <w:pPr>
        <w:pStyle w:val="ListNumber"/>
        <w:numPr>
          <w:ilvl w:val="0"/>
          <w:numId w:val="49"/>
        </w:numPr>
        <w:spacing w:before="120" w:after="120"/>
        <w:ind w:left="1480" w:hanging="357"/>
        <w:rPr>
          <w:lang w:eastAsia="en-US"/>
        </w:rPr>
      </w:pPr>
      <w:r w:rsidRPr="002A63F9">
        <w:rPr>
          <w:lang w:eastAsia="en-US"/>
        </w:rPr>
        <w:t>take responsibility for crimes committed by others in order to win their favour or to please the police</w:t>
      </w:r>
    </w:p>
    <w:p w:rsidRPr="002A63F9" w:rsidR="00D64D7D" w:rsidP="00E27FA3" w:rsidRDefault="00D64D7D" w14:paraId="72888EE8" w14:textId="77777777">
      <w:pPr>
        <w:pStyle w:val="ListNumber"/>
        <w:numPr>
          <w:ilvl w:val="0"/>
          <w:numId w:val="49"/>
        </w:numPr>
        <w:spacing w:before="120" w:after="120"/>
        <w:ind w:left="1480" w:hanging="357"/>
        <w:rPr>
          <w:lang w:eastAsia="en-US"/>
        </w:rPr>
      </w:pPr>
      <w:r w:rsidRPr="002A63F9">
        <w:rPr>
          <w:lang w:eastAsia="en-US"/>
        </w:rPr>
        <w:lastRenderedPageBreak/>
        <w:t>not understand that some behaviours are wrong</w:t>
      </w:r>
    </w:p>
    <w:p w:rsidRPr="002A63F9" w:rsidR="00D64D7D" w:rsidP="00E27FA3" w:rsidRDefault="00D64D7D" w14:paraId="7BDF5263" w14:textId="77777777">
      <w:pPr>
        <w:pStyle w:val="ListNumber"/>
        <w:numPr>
          <w:ilvl w:val="0"/>
          <w:numId w:val="49"/>
        </w:numPr>
        <w:spacing w:before="120" w:after="120"/>
        <w:ind w:left="1480" w:hanging="357"/>
        <w:rPr>
          <w:lang w:eastAsia="en-US"/>
        </w:rPr>
      </w:pPr>
      <w:r w:rsidRPr="002A63F9">
        <w:rPr>
          <w:lang w:eastAsia="en-US"/>
        </w:rPr>
        <w:t>say they understand their legal rights when in fact they do not</w:t>
      </w:r>
    </w:p>
    <w:p w:rsidRPr="002A63F9" w:rsidR="00D64D7D" w:rsidP="00E27FA3" w:rsidRDefault="00D64D7D" w14:paraId="4168A6C3" w14:textId="77777777">
      <w:pPr>
        <w:pStyle w:val="ListNumber"/>
        <w:numPr>
          <w:ilvl w:val="0"/>
          <w:numId w:val="49"/>
        </w:numPr>
        <w:spacing w:before="120" w:after="120"/>
        <w:ind w:left="1480" w:hanging="357"/>
        <w:rPr>
          <w:lang w:eastAsia="en-US"/>
        </w:rPr>
      </w:pPr>
      <w:r w:rsidRPr="002A63F9">
        <w:rPr>
          <w:lang w:eastAsia="en-US"/>
        </w:rPr>
        <w:t>make a potentially incriminating statement</w:t>
      </w:r>
    </w:p>
    <w:p w:rsidRPr="002A63F9" w:rsidR="00D64D7D" w:rsidP="00E27FA3" w:rsidRDefault="00D64D7D" w14:paraId="66D257FC" w14:textId="77777777">
      <w:pPr>
        <w:pStyle w:val="ListNumber"/>
        <w:numPr>
          <w:ilvl w:val="0"/>
          <w:numId w:val="49"/>
        </w:numPr>
        <w:spacing w:before="120" w:after="120"/>
        <w:ind w:left="1480" w:hanging="357"/>
        <w:rPr>
          <w:lang w:eastAsia="en-US"/>
        </w:rPr>
      </w:pPr>
      <w:r w:rsidRPr="002A63F9">
        <w:rPr>
          <w:lang w:eastAsia="en-US"/>
        </w:rPr>
        <w:t>panic during encounters with police, running away or resisting arrest</w:t>
      </w:r>
    </w:p>
    <w:p w:rsidRPr="002A63F9" w:rsidR="00D64D7D" w:rsidP="00E27FA3" w:rsidRDefault="00D64D7D" w14:paraId="2E8653E3" w14:textId="77777777">
      <w:pPr>
        <w:pStyle w:val="ListNumber"/>
        <w:numPr>
          <w:ilvl w:val="0"/>
          <w:numId w:val="49"/>
        </w:numPr>
        <w:spacing w:before="120" w:after="120"/>
        <w:ind w:left="1480" w:hanging="357"/>
        <w:rPr>
          <w:lang w:eastAsia="en-US"/>
        </w:rPr>
      </w:pPr>
      <w:r w:rsidRPr="002A63F9">
        <w:rPr>
          <w:lang w:eastAsia="en-US"/>
        </w:rPr>
        <w:t>not understand what it means to be a victim or the importance of testifying.</w:t>
      </w:r>
      <w:r w:rsidRPr="002A63F9">
        <w:rPr>
          <w:rStyle w:val="EndnoteReference"/>
          <w:lang w:eastAsia="en-US"/>
        </w:rPr>
        <w:endnoteReference w:id="180"/>
      </w:r>
    </w:p>
    <w:p w:rsidRPr="002A63F9" w:rsidR="00D64D7D" w:rsidP="00D5779A" w:rsidRDefault="00D64D7D" w14:paraId="724CF02C" w14:textId="2FF60D2B">
      <w:pPr>
        <w:pStyle w:val="ListNumber"/>
        <w:rPr>
          <w:lang w:eastAsia="en-US"/>
        </w:rPr>
      </w:pPr>
      <w:r w:rsidRPr="002A63F9">
        <w:rPr>
          <w:lang w:eastAsia="en-US"/>
        </w:rPr>
        <w:t>Other commonly undiagnosed disabilities are borderline intellectual disability and acquired brain injury (ABI), which are estimated to affect 25</w:t>
      </w:r>
      <w:r w:rsidR="00637F6F">
        <w:rPr>
          <w:rFonts w:ascii="Calibri" w:hAnsi="Calibri" w:cs="Calibri"/>
          <w:lang w:eastAsia="en-US"/>
        </w:rPr>
        <w:t>─</w:t>
      </w:r>
      <w:r w:rsidRPr="002A63F9">
        <w:rPr>
          <w:lang w:eastAsia="en-US"/>
        </w:rPr>
        <w:t>30%</w:t>
      </w:r>
      <w:r w:rsidRPr="002A63F9">
        <w:rPr>
          <w:rStyle w:val="EndnoteReference"/>
          <w:lang w:eastAsia="en-US"/>
        </w:rPr>
        <w:endnoteReference w:id="181"/>
      </w:r>
      <w:r w:rsidRPr="002A63F9">
        <w:rPr>
          <w:lang w:eastAsia="en-US"/>
        </w:rPr>
        <w:t xml:space="preserve"> and 40</w:t>
      </w:r>
      <w:r w:rsidR="00637F6F">
        <w:rPr>
          <w:rFonts w:ascii="Calibri" w:hAnsi="Calibri" w:cs="Calibri"/>
          <w:lang w:eastAsia="en-US"/>
        </w:rPr>
        <w:t>─</w:t>
      </w:r>
      <w:r w:rsidRPr="002A63F9">
        <w:rPr>
          <w:lang w:eastAsia="en-US"/>
        </w:rPr>
        <w:t>90%</w:t>
      </w:r>
      <w:r w:rsidRPr="002A63F9">
        <w:rPr>
          <w:rStyle w:val="EndnoteReference"/>
          <w:lang w:eastAsia="en-US"/>
        </w:rPr>
        <w:endnoteReference w:id="182"/>
      </w:r>
      <w:r w:rsidRPr="002A63F9">
        <w:rPr>
          <w:lang w:eastAsia="en-US"/>
        </w:rPr>
        <w:t xml:space="preserve"> of Australian prisoners respectively. </w:t>
      </w:r>
    </w:p>
    <w:p w:rsidRPr="002A63F9" w:rsidR="001F6533" w:rsidP="001F6533" w:rsidRDefault="001F6533" w14:paraId="236FFA0A" w14:textId="0D6400A4">
      <w:pPr>
        <w:pStyle w:val="ListNumber"/>
        <w:rPr>
          <w:lang w:eastAsia="en-US"/>
        </w:rPr>
      </w:pPr>
      <w:r w:rsidRPr="002A63F9">
        <w:rPr>
          <w:lang w:eastAsia="en-US"/>
        </w:rPr>
        <w:t xml:space="preserve">Improvements in the diagnosis of disability, including FASD, would help to ensure that people with disability are diverted from the criminal justice system </w:t>
      </w:r>
      <w:r w:rsidRPr="002A63F9" w:rsidR="001D4349">
        <w:rPr>
          <w:lang w:eastAsia="en-US"/>
        </w:rPr>
        <w:t>to appropriate community-based services</w:t>
      </w:r>
      <w:r w:rsidRPr="002A63F9" w:rsidR="007D1A80">
        <w:rPr>
          <w:lang w:eastAsia="en-US"/>
        </w:rPr>
        <w:t xml:space="preserve"> at an early stage</w:t>
      </w:r>
      <w:r w:rsidRPr="002A63F9">
        <w:rPr>
          <w:lang w:eastAsia="en-US"/>
        </w:rPr>
        <w:t>.</w:t>
      </w:r>
      <w:r w:rsidRPr="002A63F9">
        <w:rPr>
          <w:rStyle w:val="EndnoteReference"/>
          <w:lang w:eastAsia="en-US"/>
        </w:rPr>
        <w:endnoteReference w:id="183"/>
      </w:r>
      <w:r w:rsidRPr="002A63F9">
        <w:rPr>
          <w:lang w:eastAsia="en-US"/>
        </w:rPr>
        <w:t xml:space="preserve"> Similarly, improvements in screening for disability </w:t>
      </w:r>
      <w:r w:rsidRPr="002A63F9" w:rsidR="0043681C">
        <w:rPr>
          <w:lang w:eastAsia="en-US"/>
        </w:rPr>
        <w:t>upon entry into</w:t>
      </w:r>
      <w:r w:rsidRPr="002A63F9">
        <w:rPr>
          <w:lang w:eastAsia="en-US"/>
        </w:rPr>
        <w:t xml:space="preserve"> detention would enhance the understanding among </w:t>
      </w:r>
      <w:r w:rsidRPr="002A63F9" w:rsidR="00963F6C">
        <w:rPr>
          <w:lang w:eastAsia="en-US"/>
        </w:rPr>
        <w:t xml:space="preserve">prison </w:t>
      </w:r>
      <w:r w:rsidRPr="002A63F9">
        <w:rPr>
          <w:lang w:eastAsia="en-US"/>
        </w:rPr>
        <w:t>staff of a person’s</w:t>
      </w:r>
      <w:r w:rsidRPr="002A63F9" w:rsidDel="004F67B2">
        <w:rPr>
          <w:lang w:eastAsia="en-US"/>
        </w:rPr>
        <w:t xml:space="preserve"> </w:t>
      </w:r>
      <w:r w:rsidRPr="002A63F9">
        <w:rPr>
          <w:lang w:eastAsia="en-US"/>
        </w:rPr>
        <w:t>disability, their behavio</w:t>
      </w:r>
      <w:r w:rsidRPr="002A63F9" w:rsidR="00B46668">
        <w:rPr>
          <w:lang w:eastAsia="en-US"/>
        </w:rPr>
        <w:t>u</w:t>
      </w:r>
      <w:r w:rsidRPr="002A63F9">
        <w:rPr>
          <w:lang w:eastAsia="en-US"/>
        </w:rPr>
        <w:t>r</w:t>
      </w:r>
      <w:r w:rsidRPr="002A63F9" w:rsidR="00B46668">
        <w:rPr>
          <w:lang w:eastAsia="en-US"/>
        </w:rPr>
        <w:t>s</w:t>
      </w:r>
      <w:r w:rsidRPr="002A63F9">
        <w:rPr>
          <w:lang w:eastAsia="en-US"/>
        </w:rPr>
        <w:t xml:space="preserve"> and the supports they may need whilst in the facility.</w:t>
      </w:r>
      <w:r w:rsidRPr="002A63F9">
        <w:rPr>
          <w:rStyle w:val="EndnoteReference"/>
          <w:lang w:eastAsia="en-US"/>
        </w:rPr>
        <w:endnoteReference w:id="184"/>
      </w:r>
      <w:r w:rsidRPr="002A63F9">
        <w:rPr>
          <w:lang w:eastAsia="en-US"/>
        </w:rPr>
        <w:t xml:space="preserve"> </w:t>
      </w:r>
    </w:p>
    <w:p w:rsidRPr="002A63F9" w:rsidR="002263AE" w:rsidP="002263AE" w:rsidRDefault="002263AE" w14:paraId="722E963E" w14:textId="0EBD7374">
      <w:pPr>
        <w:pStyle w:val="ListNumber"/>
        <w:rPr>
          <w:b/>
          <w:bCs/>
          <w:lang w:eastAsia="en-US"/>
        </w:rPr>
      </w:pPr>
      <w:r w:rsidRPr="002A63F9">
        <w:rPr>
          <w:b/>
          <w:bCs/>
          <w:lang w:eastAsia="en-US"/>
        </w:rPr>
        <w:t>Recommendation 1</w:t>
      </w:r>
      <w:r w:rsidRPr="002A63F9" w:rsidR="00287C69">
        <w:rPr>
          <w:b/>
          <w:bCs/>
          <w:lang w:eastAsia="en-US"/>
        </w:rPr>
        <w:t>5</w:t>
      </w:r>
      <w:r w:rsidRPr="002A63F9">
        <w:rPr>
          <w:b/>
          <w:bCs/>
          <w:lang w:eastAsia="en-US"/>
        </w:rPr>
        <w:t>: The Australian Government include Fetal Alcohol Spectrum Disorder (FASD) on the List of Recognised Disabilities.</w:t>
      </w:r>
    </w:p>
    <w:p w:rsidRPr="002A63F9" w:rsidR="007A72FC" w:rsidP="007A72FC" w:rsidRDefault="007A72FC" w14:paraId="15D06936" w14:textId="647F8AFD">
      <w:pPr>
        <w:pStyle w:val="ListNumber"/>
        <w:rPr>
          <w:b/>
          <w:bCs/>
          <w:lang w:eastAsia="en-US"/>
        </w:rPr>
      </w:pPr>
      <w:r w:rsidRPr="002A63F9">
        <w:rPr>
          <w:b/>
          <w:bCs/>
          <w:lang w:eastAsia="en-US"/>
        </w:rPr>
        <w:t>Recommendation 1</w:t>
      </w:r>
      <w:r w:rsidRPr="002A63F9" w:rsidR="00287C69">
        <w:rPr>
          <w:b/>
          <w:bCs/>
          <w:lang w:eastAsia="en-US"/>
        </w:rPr>
        <w:t>6</w:t>
      </w:r>
      <w:r w:rsidRPr="002A63F9">
        <w:rPr>
          <w:b/>
          <w:bCs/>
          <w:lang w:eastAsia="en-US"/>
        </w:rPr>
        <w:t xml:space="preserve">: The Australian Government work with state and territory governments to systematically screen children and young people </w:t>
      </w:r>
      <w:r w:rsidRPr="002A63F9" w:rsidR="008A101A">
        <w:rPr>
          <w:b/>
          <w:bCs/>
          <w:lang w:eastAsia="en-US"/>
        </w:rPr>
        <w:t xml:space="preserve">upon </w:t>
      </w:r>
      <w:r w:rsidRPr="002A63F9">
        <w:rPr>
          <w:b/>
          <w:bCs/>
          <w:lang w:eastAsia="en-US"/>
        </w:rPr>
        <w:t xml:space="preserve">entering detention for all types of disability, including FASD, and to encourage their diversion from a custodial setting to appropriate community-based services. </w:t>
      </w:r>
    </w:p>
    <w:p w:rsidRPr="002A63F9" w:rsidR="00512C2F" w:rsidP="005E570C" w:rsidRDefault="004679CA" w14:paraId="59685DF1" w14:textId="01F1DF9A">
      <w:pPr>
        <w:pStyle w:val="Heading2"/>
      </w:pPr>
      <w:bookmarkStart w:name="_Toc35535495" w:id="35"/>
      <w:r w:rsidRPr="002A63F9">
        <w:t>People with disability as victims of crime</w:t>
      </w:r>
      <w:bookmarkEnd w:id="35"/>
    </w:p>
    <w:p w:rsidRPr="002A63F9" w:rsidR="000276AE" w:rsidP="00D5779A" w:rsidRDefault="0014126A" w14:paraId="76CD99A2" w14:textId="2E2557C1">
      <w:pPr>
        <w:pStyle w:val="ListNumber"/>
        <w:rPr>
          <w:lang w:eastAsia="en-US"/>
        </w:rPr>
      </w:pPr>
      <w:r w:rsidRPr="002A63F9">
        <w:rPr>
          <w:lang w:eastAsia="en-US"/>
        </w:rPr>
        <w:t>This section discusses the</w:t>
      </w:r>
      <w:r w:rsidRPr="002A63F9" w:rsidR="00535220">
        <w:rPr>
          <w:lang w:eastAsia="en-US"/>
        </w:rPr>
        <w:t xml:space="preserve"> barriers faced by</w:t>
      </w:r>
      <w:r w:rsidRPr="002A63F9">
        <w:rPr>
          <w:lang w:eastAsia="en-US"/>
        </w:rPr>
        <w:t xml:space="preserve"> people with disability </w:t>
      </w:r>
      <w:r w:rsidRPr="002A63F9" w:rsidR="00535220">
        <w:rPr>
          <w:lang w:eastAsia="en-US"/>
        </w:rPr>
        <w:t>who interact with the criminal justice system as victims of crime.</w:t>
      </w:r>
      <w:r w:rsidRPr="002A63F9">
        <w:rPr>
          <w:lang w:eastAsia="en-US"/>
        </w:rPr>
        <w:t xml:space="preserve"> </w:t>
      </w:r>
      <w:r w:rsidRPr="002A63F9" w:rsidR="00B73057">
        <w:rPr>
          <w:lang w:eastAsia="en-US"/>
        </w:rPr>
        <w:t>This discussion will address the Issues Paper at large and</w:t>
      </w:r>
      <w:r w:rsidRPr="002A63F9" w:rsidR="006D7505">
        <w:rPr>
          <w:lang w:eastAsia="en-US"/>
        </w:rPr>
        <w:t>,</w:t>
      </w:r>
      <w:r w:rsidRPr="002A63F9" w:rsidR="00B73057">
        <w:rPr>
          <w:lang w:eastAsia="en-US"/>
        </w:rPr>
        <w:t xml:space="preserve"> more specifically, will seek to answer questions 7A</w:t>
      </w:r>
      <w:r w:rsidRPr="002A63F9" w:rsidR="00A75327">
        <w:rPr>
          <w:lang w:eastAsia="en-US"/>
        </w:rPr>
        <w:t xml:space="preserve"> and 7B</w:t>
      </w:r>
      <w:r w:rsidRPr="002A63F9" w:rsidR="00B73057">
        <w:rPr>
          <w:lang w:eastAsia="en-US"/>
        </w:rPr>
        <w:t>.</w:t>
      </w:r>
      <w:r w:rsidRPr="002A63F9" w:rsidR="00A75327">
        <w:rPr>
          <w:rStyle w:val="EndnoteReference"/>
          <w:lang w:eastAsia="en-US"/>
        </w:rPr>
        <w:endnoteReference w:id="185"/>
      </w:r>
    </w:p>
    <w:p w:rsidRPr="002A63F9" w:rsidR="00AC0F22" w:rsidP="00785AA9" w:rsidRDefault="00AC0F22" w14:paraId="5DC734C0" w14:textId="1C8A4096">
      <w:pPr>
        <w:pStyle w:val="ListNumber"/>
        <w:keepNext/>
        <w:numPr>
          <w:ilvl w:val="0"/>
          <w:numId w:val="0"/>
        </w:numPr>
        <w:rPr>
          <w:b/>
          <w:bCs/>
        </w:rPr>
      </w:pPr>
      <w:r w:rsidRPr="002A63F9">
        <w:rPr>
          <w:b/>
          <w:bCs/>
        </w:rPr>
        <w:t xml:space="preserve">5.7.1 </w:t>
      </w:r>
      <w:r w:rsidRPr="002A63F9" w:rsidR="001541ED">
        <w:rPr>
          <w:b/>
          <w:bCs/>
        </w:rPr>
        <w:t xml:space="preserve">Over-representation </w:t>
      </w:r>
      <w:r w:rsidRPr="002A63F9" w:rsidR="00B67B3B">
        <w:rPr>
          <w:b/>
          <w:bCs/>
        </w:rPr>
        <w:t>of p</w:t>
      </w:r>
      <w:r w:rsidRPr="002A63F9">
        <w:rPr>
          <w:b/>
          <w:bCs/>
        </w:rPr>
        <w:t xml:space="preserve">eople with disability </w:t>
      </w:r>
      <w:r w:rsidRPr="002A63F9" w:rsidR="001541ED">
        <w:rPr>
          <w:b/>
          <w:bCs/>
        </w:rPr>
        <w:t>as victims of crime</w:t>
      </w:r>
    </w:p>
    <w:p w:rsidRPr="002A63F9" w:rsidR="00A73205" w:rsidP="00D5779A" w:rsidRDefault="00867673" w14:paraId="4A383AC3" w14:textId="3103F098">
      <w:pPr>
        <w:pStyle w:val="ListNumber"/>
        <w:rPr>
          <w:lang w:eastAsia="en-US"/>
        </w:rPr>
      </w:pPr>
      <w:r w:rsidRPr="002A63F9">
        <w:rPr>
          <w:lang w:eastAsia="en-US"/>
        </w:rPr>
        <w:t xml:space="preserve">There is a lack of </w:t>
      </w:r>
      <w:r w:rsidRPr="002A63F9" w:rsidR="00902B96">
        <w:rPr>
          <w:lang w:eastAsia="en-US"/>
        </w:rPr>
        <w:t xml:space="preserve">disaggregated, </w:t>
      </w:r>
      <w:r w:rsidRPr="002A63F9">
        <w:rPr>
          <w:lang w:eastAsia="en-US"/>
        </w:rPr>
        <w:t>reliable and consistent data on</w:t>
      </w:r>
      <w:r w:rsidRPr="002A63F9" w:rsidR="0068798F">
        <w:rPr>
          <w:lang w:eastAsia="en-US"/>
        </w:rPr>
        <w:t xml:space="preserve"> the victimi</w:t>
      </w:r>
      <w:r w:rsidRPr="002A63F9" w:rsidR="0048130B">
        <w:rPr>
          <w:lang w:eastAsia="en-US"/>
        </w:rPr>
        <w:t>s</w:t>
      </w:r>
      <w:r w:rsidRPr="002A63F9" w:rsidR="0068798F">
        <w:rPr>
          <w:lang w:eastAsia="en-US"/>
        </w:rPr>
        <w:t xml:space="preserve">ation of </w:t>
      </w:r>
      <w:r w:rsidRPr="002A63F9">
        <w:rPr>
          <w:lang w:eastAsia="en-US"/>
        </w:rPr>
        <w:t>people with disability</w:t>
      </w:r>
      <w:r w:rsidRPr="002A63F9" w:rsidR="00902B96">
        <w:rPr>
          <w:lang w:eastAsia="en-US"/>
        </w:rPr>
        <w:t>.</w:t>
      </w:r>
      <w:r w:rsidRPr="002A63F9" w:rsidR="00207183">
        <w:rPr>
          <w:rStyle w:val="EndnoteReference"/>
          <w:lang w:eastAsia="en-US"/>
        </w:rPr>
        <w:endnoteReference w:id="186"/>
      </w:r>
      <w:r w:rsidRPr="002A63F9" w:rsidR="00940013">
        <w:rPr>
          <w:lang w:eastAsia="en-US"/>
        </w:rPr>
        <w:t xml:space="preserve"> </w:t>
      </w:r>
      <w:r w:rsidRPr="002A63F9" w:rsidR="00D90262">
        <w:rPr>
          <w:lang w:eastAsia="en-US"/>
        </w:rPr>
        <w:t xml:space="preserve">For this reason, it is difficult to determine the </w:t>
      </w:r>
      <w:r w:rsidRPr="002A63F9" w:rsidR="009E1E80">
        <w:rPr>
          <w:lang w:eastAsia="en-US"/>
        </w:rPr>
        <w:t xml:space="preserve">prevalence </w:t>
      </w:r>
      <w:r w:rsidRPr="002A63F9" w:rsidR="00D90262">
        <w:rPr>
          <w:lang w:eastAsia="en-US"/>
        </w:rPr>
        <w:t>rate</w:t>
      </w:r>
      <w:r w:rsidRPr="002A63F9" w:rsidR="009E1E80">
        <w:rPr>
          <w:lang w:eastAsia="en-US"/>
        </w:rPr>
        <w:t>s</w:t>
      </w:r>
      <w:r w:rsidRPr="002A63F9" w:rsidR="00D90262">
        <w:rPr>
          <w:lang w:eastAsia="en-US"/>
        </w:rPr>
        <w:t xml:space="preserve"> of crime against people with disabilit</w:t>
      </w:r>
      <w:r w:rsidRPr="002A63F9" w:rsidR="00900CED">
        <w:rPr>
          <w:lang w:eastAsia="en-US"/>
        </w:rPr>
        <w:t>y</w:t>
      </w:r>
      <w:r w:rsidRPr="002A63F9" w:rsidR="00207183">
        <w:rPr>
          <w:lang w:eastAsia="en-US"/>
        </w:rPr>
        <w:t>.</w:t>
      </w:r>
      <w:r w:rsidRPr="002A63F9" w:rsidR="0086155F">
        <w:rPr>
          <w:lang w:eastAsia="en-US"/>
        </w:rPr>
        <w:t xml:space="preserve"> </w:t>
      </w:r>
    </w:p>
    <w:p w:rsidRPr="002A63F9" w:rsidR="002E4E01" w:rsidP="003B5DE2" w:rsidRDefault="00D4374F" w14:paraId="632FE317" w14:textId="0EC09C89">
      <w:pPr>
        <w:pStyle w:val="ListNumber"/>
        <w:spacing w:before="120" w:after="120"/>
        <w:ind w:hanging="357"/>
        <w:rPr>
          <w:lang w:eastAsia="en-US"/>
        </w:rPr>
      </w:pPr>
      <w:r w:rsidRPr="002A63F9">
        <w:rPr>
          <w:lang w:eastAsia="en-US"/>
        </w:rPr>
        <w:t>Research conducted by the Victorian</w:t>
      </w:r>
      <w:r w:rsidRPr="002A63F9" w:rsidR="00500453">
        <w:rPr>
          <w:lang w:eastAsia="en-US"/>
        </w:rPr>
        <w:t xml:space="preserve"> Equal Opportunity &amp; Human Rights Commission (VEOHR</w:t>
      </w:r>
      <w:r w:rsidRPr="002A63F9" w:rsidR="00772A13">
        <w:rPr>
          <w:lang w:eastAsia="en-US"/>
        </w:rPr>
        <w:t>C</w:t>
      </w:r>
      <w:r w:rsidRPr="002A63F9" w:rsidR="00500453">
        <w:rPr>
          <w:lang w:eastAsia="en-US"/>
        </w:rPr>
        <w:t>)</w:t>
      </w:r>
      <w:r w:rsidRPr="002A63F9">
        <w:rPr>
          <w:lang w:eastAsia="en-US"/>
        </w:rPr>
        <w:t xml:space="preserve"> </w:t>
      </w:r>
      <w:r w:rsidRPr="002A63F9" w:rsidR="003028E7">
        <w:rPr>
          <w:lang w:eastAsia="en-US"/>
        </w:rPr>
        <w:t xml:space="preserve">found that </w:t>
      </w:r>
      <w:r w:rsidRPr="002A63F9" w:rsidR="00070F4F">
        <w:rPr>
          <w:lang w:eastAsia="en-US"/>
        </w:rPr>
        <w:t>people with disabili</w:t>
      </w:r>
      <w:r w:rsidRPr="002A63F9" w:rsidR="00BB2863">
        <w:rPr>
          <w:lang w:eastAsia="en-US"/>
        </w:rPr>
        <w:t>t</w:t>
      </w:r>
      <w:r w:rsidRPr="002A63F9" w:rsidR="006E4349">
        <w:rPr>
          <w:lang w:eastAsia="en-US"/>
        </w:rPr>
        <w:t>y</w:t>
      </w:r>
      <w:r w:rsidRPr="002A63F9" w:rsidR="00BB2863">
        <w:rPr>
          <w:lang w:eastAsia="en-US"/>
        </w:rPr>
        <w:t xml:space="preserve"> are not accessing the </w:t>
      </w:r>
      <w:r w:rsidRPr="002A63F9" w:rsidR="00D03468">
        <w:rPr>
          <w:lang w:eastAsia="en-US"/>
        </w:rPr>
        <w:t>criminal</w:t>
      </w:r>
      <w:r w:rsidRPr="002A63F9" w:rsidR="00BB2863">
        <w:rPr>
          <w:lang w:eastAsia="en-US"/>
        </w:rPr>
        <w:t xml:space="preserve"> </w:t>
      </w:r>
      <w:r w:rsidRPr="002A63F9" w:rsidR="00BB2863">
        <w:rPr>
          <w:lang w:eastAsia="en-US"/>
        </w:rPr>
        <w:lastRenderedPageBreak/>
        <w:t xml:space="preserve">justice system </w:t>
      </w:r>
      <w:r w:rsidRPr="002A63F9" w:rsidR="001541ED">
        <w:rPr>
          <w:lang w:eastAsia="en-US"/>
        </w:rPr>
        <w:t xml:space="preserve">as complainants </w:t>
      </w:r>
      <w:r w:rsidRPr="002A63F9" w:rsidR="00BB2863">
        <w:rPr>
          <w:lang w:eastAsia="en-US"/>
        </w:rPr>
        <w:t xml:space="preserve">at a rate </w:t>
      </w:r>
      <w:r w:rsidRPr="002A63F9" w:rsidR="001E56D0">
        <w:rPr>
          <w:lang w:eastAsia="en-US"/>
        </w:rPr>
        <w:t xml:space="preserve">comparable </w:t>
      </w:r>
      <w:r w:rsidRPr="002A63F9" w:rsidR="00BB2863">
        <w:rPr>
          <w:lang w:eastAsia="en-US"/>
        </w:rPr>
        <w:t xml:space="preserve">to people </w:t>
      </w:r>
      <w:r w:rsidRPr="002A63F9" w:rsidR="001E56D0">
        <w:rPr>
          <w:lang w:eastAsia="en-US"/>
        </w:rPr>
        <w:t>without</w:t>
      </w:r>
      <w:r w:rsidRPr="002A63F9" w:rsidR="00BB2863">
        <w:rPr>
          <w:lang w:eastAsia="en-US"/>
        </w:rPr>
        <w:t xml:space="preserve"> disabilit</w:t>
      </w:r>
      <w:r w:rsidRPr="002A63F9" w:rsidR="001A2F99">
        <w:rPr>
          <w:lang w:eastAsia="en-US"/>
        </w:rPr>
        <w:t>y</w:t>
      </w:r>
      <w:r w:rsidRPr="002A63F9" w:rsidR="00BB2863">
        <w:rPr>
          <w:lang w:eastAsia="en-US"/>
        </w:rPr>
        <w:t>.</w:t>
      </w:r>
      <w:r w:rsidRPr="002A63F9" w:rsidR="00355414">
        <w:rPr>
          <w:rStyle w:val="EndnoteReference"/>
          <w:lang w:eastAsia="en-US"/>
        </w:rPr>
        <w:endnoteReference w:id="187"/>
      </w:r>
      <w:r w:rsidRPr="002A63F9" w:rsidR="00BB2863">
        <w:rPr>
          <w:lang w:eastAsia="en-US"/>
        </w:rPr>
        <w:t xml:space="preserve"> </w:t>
      </w:r>
      <w:r w:rsidRPr="002A63F9" w:rsidR="00057966">
        <w:rPr>
          <w:lang w:eastAsia="en-US"/>
        </w:rPr>
        <w:t>This underrepresentation suggests</w:t>
      </w:r>
      <w:r w:rsidRPr="002A63F9" w:rsidR="0026409C">
        <w:rPr>
          <w:lang w:eastAsia="en-US"/>
        </w:rPr>
        <w:t xml:space="preserve"> that</w:t>
      </w:r>
      <w:r w:rsidRPr="002A63F9" w:rsidR="00CB1B48">
        <w:rPr>
          <w:lang w:eastAsia="en-US"/>
        </w:rPr>
        <w:t xml:space="preserve"> either</w:t>
      </w:r>
      <w:r w:rsidRPr="002A63F9" w:rsidR="00F448F0">
        <w:rPr>
          <w:lang w:eastAsia="en-US"/>
        </w:rPr>
        <w:t>:</w:t>
      </w:r>
    </w:p>
    <w:p w:rsidRPr="002A63F9" w:rsidR="00904C83" w:rsidP="003B5DE2" w:rsidRDefault="00637F6F" w14:paraId="0C4B9C28" w14:textId="49AB8790">
      <w:pPr>
        <w:pStyle w:val="ListNumber"/>
        <w:numPr>
          <w:ilvl w:val="0"/>
          <w:numId w:val="35"/>
        </w:numPr>
        <w:spacing w:before="120" w:after="120"/>
        <w:ind w:hanging="357"/>
        <w:rPr>
          <w:lang w:eastAsia="en-US"/>
        </w:rPr>
      </w:pPr>
      <w:r>
        <w:rPr>
          <w:lang w:eastAsia="en-US"/>
        </w:rPr>
        <w:t>c</w:t>
      </w:r>
      <w:r w:rsidRPr="002A63F9">
        <w:rPr>
          <w:lang w:eastAsia="en-US"/>
        </w:rPr>
        <w:t xml:space="preserve">rimes </w:t>
      </w:r>
      <w:r w:rsidRPr="002A63F9" w:rsidR="00F448F0">
        <w:rPr>
          <w:lang w:eastAsia="en-US"/>
        </w:rPr>
        <w:t>against people with disability are n</w:t>
      </w:r>
      <w:r w:rsidRPr="002A63F9" w:rsidR="001C331B">
        <w:rPr>
          <w:lang w:eastAsia="en-US"/>
        </w:rPr>
        <w:t>ot</w:t>
      </w:r>
      <w:r w:rsidRPr="002A63F9" w:rsidR="00737311">
        <w:rPr>
          <w:lang w:eastAsia="en-US"/>
        </w:rPr>
        <w:t xml:space="preserve"> reported, or</w:t>
      </w:r>
    </w:p>
    <w:p w:rsidRPr="002A63F9" w:rsidR="00737311" w:rsidP="003B5DE2" w:rsidRDefault="00637F6F" w14:paraId="49F115AF" w14:textId="480F6A05">
      <w:pPr>
        <w:pStyle w:val="ListNumber"/>
        <w:numPr>
          <w:ilvl w:val="0"/>
          <w:numId w:val="35"/>
        </w:numPr>
        <w:spacing w:before="120" w:after="120"/>
        <w:ind w:hanging="357"/>
        <w:rPr>
          <w:lang w:eastAsia="en-US"/>
        </w:rPr>
      </w:pPr>
      <w:r>
        <w:rPr>
          <w:lang w:eastAsia="en-US"/>
        </w:rPr>
        <w:t>c</w:t>
      </w:r>
      <w:r w:rsidRPr="002A63F9">
        <w:rPr>
          <w:lang w:eastAsia="en-US"/>
        </w:rPr>
        <w:t xml:space="preserve">rimes </w:t>
      </w:r>
      <w:r w:rsidRPr="002A63F9" w:rsidR="0026409C">
        <w:rPr>
          <w:lang w:eastAsia="en-US"/>
        </w:rPr>
        <w:t>against people with disability are r</w:t>
      </w:r>
      <w:r w:rsidRPr="002A63F9" w:rsidR="001C331B">
        <w:rPr>
          <w:lang w:eastAsia="en-US"/>
        </w:rPr>
        <w:t>eported but not pursued through the criminal justice system, or</w:t>
      </w:r>
      <w:r w:rsidRPr="002A63F9" w:rsidR="0026409C">
        <w:rPr>
          <w:lang w:eastAsia="en-US"/>
        </w:rPr>
        <w:t xml:space="preserve"> </w:t>
      </w:r>
    </w:p>
    <w:p w:rsidRPr="002A63F9" w:rsidR="001C331B" w:rsidP="003B5DE2" w:rsidRDefault="00637F6F" w14:paraId="518E0DA2" w14:textId="12630FE5">
      <w:pPr>
        <w:pStyle w:val="ListNumber"/>
        <w:numPr>
          <w:ilvl w:val="0"/>
          <w:numId w:val="35"/>
        </w:numPr>
        <w:spacing w:before="120" w:after="120"/>
        <w:ind w:hanging="357"/>
        <w:rPr>
          <w:lang w:eastAsia="en-US"/>
        </w:rPr>
      </w:pPr>
      <w:r>
        <w:rPr>
          <w:lang w:eastAsia="en-US"/>
        </w:rPr>
        <w:t>d</w:t>
      </w:r>
      <w:r w:rsidRPr="002A63F9">
        <w:rPr>
          <w:lang w:eastAsia="en-US"/>
        </w:rPr>
        <w:t xml:space="preserve">isability </w:t>
      </w:r>
      <w:r w:rsidRPr="002A63F9" w:rsidR="001F3175">
        <w:rPr>
          <w:lang w:eastAsia="en-US"/>
        </w:rPr>
        <w:t xml:space="preserve">has not been identified </w:t>
      </w:r>
      <w:r w:rsidRPr="002A63F9" w:rsidR="00355414">
        <w:rPr>
          <w:lang w:eastAsia="en-US"/>
        </w:rPr>
        <w:t xml:space="preserve">in the </w:t>
      </w:r>
      <w:r w:rsidRPr="002A63F9" w:rsidR="0026409C">
        <w:rPr>
          <w:lang w:eastAsia="en-US"/>
        </w:rPr>
        <w:t>victimi</w:t>
      </w:r>
      <w:r w:rsidRPr="002A63F9" w:rsidR="00F3343F">
        <w:rPr>
          <w:lang w:eastAsia="en-US"/>
        </w:rPr>
        <w:t>s</w:t>
      </w:r>
      <w:r w:rsidRPr="002A63F9" w:rsidR="0026409C">
        <w:rPr>
          <w:lang w:eastAsia="en-US"/>
        </w:rPr>
        <w:t xml:space="preserve">ation </w:t>
      </w:r>
      <w:r w:rsidRPr="002A63F9" w:rsidR="00355414">
        <w:rPr>
          <w:lang w:eastAsia="en-US"/>
        </w:rPr>
        <w:t>data.</w:t>
      </w:r>
      <w:r w:rsidRPr="002A63F9" w:rsidR="00906453">
        <w:rPr>
          <w:rStyle w:val="EndnoteReference"/>
          <w:lang w:eastAsia="en-US"/>
        </w:rPr>
        <w:endnoteReference w:id="188"/>
      </w:r>
    </w:p>
    <w:p w:rsidRPr="002A63F9" w:rsidR="00C20DA0" w:rsidP="00D5779A" w:rsidRDefault="0059026C" w14:paraId="7823C29A" w14:textId="544FF742">
      <w:pPr>
        <w:pStyle w:val="ListNumber"/>
        <w:rPr>
          <w:lang w:eastAsia="en-US"/>
        </w:rPr>
      </w:pPr>
      <w:r w:rsidRPr="002A63F9">
        <w:rPr>
          <w:lang w:eastAsia="en-US"/>
        </w:rPr>
        <w:t>Despite the limited data available, national research suggests</w:t>
      </w:r>
      <w:r w:rsidRPr="002A63F9" w:rsidR="00C86467">
        <w:rPr>
          <w:lang w:eastAsia="en-US"/>
        </w:rPr>
        <w:t xml:space="preserve"> that people with disability are at an increased risk of victimi</w:t>
      </w:r>
      <w:r w:rsidRPr="002A63F9" w:rsidR="00FF44B3">
        <w:rPr>
          <w:lang w:eastAsia="en-US"/>
        </w:rPr>
        <w:t>s</w:t>
      </w:r>
      <w:r w:rsidRPr="002A63F9" w:rsidR="00C86467">
        <w:rPr>
          <w:lang w:eastAsia="en-US"/>
        </w:rPr>
        <w:t>ation</w:t>
      </w:r>
      <w:r w:rsidRPr="002A63F9" w:rsidR="009A7B38">
        <w:rPr>
          <w:rStyle w:val="EndnoteReference"/>
          <w:lang w:eastAsia="en-US"/>
        </w:rPr>
        <w:endnoteReference w:id="189"/>
      </w:r>
      <w:r w:rsidRPr="002A63F9" w:rsidR="00670399">
        <w:rPr>
          <w:lang w:eastAsia="en-US"/>
        </w:rPr>
        <w:t xml:space="preserve"> and are significantly </w:t>
      </w:r>
      <w:r w:rsidRPr="002A63F9" w:rsidR="00F73D2E">
        <w:rPr>
          <w:lang w:eastAsia="en-US"/>
        </w:rPr>
        <w:t>overrepresented as victims</w:t>
      </w:r>
      <w:r w:rsidRPr="002A63F9" w:rsidR="004A7092">
        <w:rPr>
          <w:lang w:eastAsia="en-US"/>
        </w:rPr>
        <w:t xml:space="preserve"> of crime.</w:t>
      </w:r>
      <w:r w:rsidRPr="002A63F9" w:rsidR="004A7092">
        <w:rPr>
          <w:rStyle w:val="EndnoteReference"/>
          <w:lang w:eastAsia="en-US"/>
        </w:rPr>
        <w:endnoteReference w:id="190"/>
      </w:r>
    </w:p>
    <w:p w:rsidRPr="002A63F9" w:rsidR="00920AF1" w:rsidP="00927976" w:rsidRDefault="005D01A0" w14:paraId="73927413" w14:textId="168BCB14">
      <w:pPr>
        <w:pStyle w:val="ListNumber"/>
        <w:rPr>
          <w:lang w:eastAsia="en-US"/>
        </w:rPr>
      </w:pPr>
      <w:r w:rsidRPr="002A63F9">
        <w:rPr>
          <w:lang w:eastAsia="en-US"/>
        </w:rPr>
        <w:t>People with intellectual disability</w:t>
      </w:r>
      <w:r w:rsidRPr="002A63F9" w:rsidR="0023044E">
        <w:rPr>
          <w:lang w:eastAsia="en-US"/>
        </w:rPr>
        <w:t xml:space="preserve"> </w:t>
      </w:r>
      <w:r w:rsidRPr="002A63F9" w:rsidR="0045536D">
        <w:rPr>
          <w:lang w:eastAsia="en-US"/>
        </w:rPr>
        <w:t>are</w:t>
      </w:r>
      <w:r w:rsidRPr="002A63F9" w:rsidR="0023044E">
        <w:rPr>
          <w:lang w:eastAsia="en-US"/>
        </w:rPr>
        <w:t xml:space="preserve"> </w:t>
      </w:r>
      <w:r w:rsidRPr="002A63F9" w:rsidR="00FC35E8">
        <w:rPr>
          <w:lang w:eastAsia="en-US"/>
        </w:rPr>
        <w:t xml:space="preserve">ten </w:t>
      </w:r>
      <w:r w:rsidRPr="002A63F9" w:rsidR="00F92ECD">
        <w:rPr>
          <w:lang w:eastAsia="en-US"/>
        </w:rPr>
        <w:t>times more likely to have experienced abuse</w:t>
      </w:r>
      <w:r w:rsidRPr="002A63F9" w:rsidR="002F685B">
        <w:rPr>
          <w:lang w:eastAsia="en-US"/>
        </w:rPr>
        <w:t>,</w:t>
      </w:r>
      <w:r w:rsidRPr="002A63F9" w:rsidR="0045536D">
        <w:rPr>
          <w:rStyle w:val="EndnoteReference"/>
          <w:lang w:eastAsia="en-US"/>
        </w:rPr>
        <w:endnoteReference w:id="191"/>
      </w:r>
      <w:r w:rsidRPr="002A63F9" w:rsidR="00F43FBA">
        <w:rPr>
          <w:lang w:eastAsia="en-US"/>
        </w:rPr>
        <w:t xml:space="preserve"> </w:t>
      </w:r>
      <w:r w:rsidRPr="002A63F9" w:rsidR="002F685B">
        <w:rPr>
          <w:lang w:eastAsia="en-US"/>
        </w:rPr>
        <w:t xml:space="preserve">and are </w:t>
      </w:r>
      <w:r w:rsidRPr="002A63F9" w:rsidR="00A85B4E">
        <w:rPr>
          <w:lang w:eastAsia="en-US"/>
        </w:rPr>
        <w:t>three</w:t>
      </w:r>
      <w:r w:rsidRPr="002A63F9" w:rsidR="0064683C">
        <w:rPr>
          <w:lang w:eastAsia="en-US"/>
        </w:rPr>
        <w:t xml:space="preserve"> times more likely </w:t>
      </w:r>
      <w:r w:rsidRPr="002A63F9" w:rsidR="00897B95">
        <w:rPr>
          <w:lang w:eastAsia="en-US"/>
        </w:rPr>
        <w:t xml:space="preserve">to experience physical assault, sexual assault and robbery than people </w:t>
      </w:r>
      <w:r w:rsidRPr="002A63F9" w:rsidR="002A1668">
        <w:rPr>
          <w:lang w:eastAsia="en-US"/>
        </w:rPr>
        <w:t>without disability.</w:t>
      </w:r>
      <w:r w:rsidRPr="002A63F9" w:rsidR="002A1668">
        <w:rPr>
          <w:rStyle w:val="EndnoteReference"/>
          <w:lang w:eastAsia="en-US"/>
        </w:rPr>
        <w:endnoteReference w:id="192"/>
      </w:r>
      <w:r w:rsidRPr="002A63F9" w:rsidR="002A1668">
        <w:rPr>
          <w:lang w:eastAsia="en-US"/>
        </w:rPr>
        <w:t xml:space="preserve"> </w:t>
      </w:r>
      <w:r w:rsidRPr="002A63F9" w:rsidR="006F64B1">
        <w:rPr>
          <w:lang w:eastAsia="en-US"/>
        </w:rPr>
        <w:t>F</w:t>
      </w:r>
      <w:r w:rsidR="002F3B51">
        <w:rPr>
          <w:lang w:eastAsia="en-US"/>
        </w:rPr>
        <w:t>urther</w:t>
      </w:r>
      <w:r w:rsidRPr="002A63F9" w:rsidR="001C009B">
        <w:rPr>
          <w:lang w:eastAsia="en-US"/>
        </w:rPr>
        <w:t xml:space="preserve">, research suggests that </w:t>
      </w:r>
      <w:r w:rsidRPr="002A63F9" w:rsidR="00083D44">
        <w:rPr>
          <w:lang w:eastAsia="en-US"/>
        </w:rPr>
        <w:t>approximately</w:t>
      </w:r>
      <w:r w:rsidRPr="002A63F9" w:rsidR="00B132F4">
        <w:rPr>
          <w:lang w:eastAsia="en-US"/>
        </w:rPr>
        <w:t xml:space="preserve"> 90% of Australian women </w:t>
      </w:r>
      <w:r w:rsidRPr="002A63F9" w:rsidR="00FA7C15">
        <w:rPr>
          <w:lang w:eastAsia="en-US"/>
        </w:rPr>
        <w:t xml:space="preserve">with intellectual disability </w:t>
      </w:r>
      <w:r w:rsidRPr="002A63F9" w:rsidR="00B0681E">
        <w:rPr>
          <w:lang w:eastAsia="en-US"/>
        </w:rPr>
        <w:t xml:space="preserve">have </w:t>
      </w:r>
      <w:r w:rsidRPr="002A63F9" w:rsidR="00425657">
        <w:rPr>
          <w:lang w:eastAsia="en-US"/>
        </w:rPr>
        <w:t>experience</w:t>
      </w:r>
      <w:r w:rsidRPr="002A63F9" w:rsidR="00B0681E">
        <w:rPr>
          <w:lang w:eastAsia="en-US"/>
        </w:rPr>
        <w:t>d</w:t>
      </w:r>
      <w:r w:rsidRPr="002A63F9" w:rsidR="00DD2F16">
        <w:rPr>
          <w:lang w:eastAsia="en-US"/>
        </w:rPr>
        <w:t xml:space="preserve"> sexual abuse, </w:t>
      </w:r>
      <w:r w:rsidRPr="002A63F9" w:rsidR="00016A36">
        <w:rPr>
          <w:lang w:eastAsia="en-US"/>
        </w:rPr>
        <w:t xml:space="preserve">of which </w:t>
      </w:r>
      <w:r w:rsidRPr="002A63F9" w:rsidR="001F1800">
        <w:rPr>
          <w:lang w:eastAsia="en-US"/>
        </w:rPr>
        <w:t>68%</w:t>
      </w:r>
      <w:r w:rsidRPr="002A63F9" w:rsidR="00B0681E">
        <w:rPr>
          <w:lang w:eastAsia="en-US"/>
        </w:rPr>
        <w:t xml:space="preserve"> will experience that abuse</w:t>
      </w:r>
      <w:r w:rsidRPr="002A63F9" w:rsidR="001F1800">
        <w:rPr>
          <w:lang w:eastAsia="en-US"/>
        </w:rPr>
        <w:t xml:space="preserve"> </w:t>
      </w:r>
      <w:r w:rsidRPr="002A63F9" w:rsidR="00A7775F">
        <w:rPr>
          <w:lang w:eastAsia="en-US"/>
        </w:rPr>
        <w:t>before</w:t>
      </w:r>
      <w:r w:rsidRPr="002A63F9" w:rsidR="007F20BF">
        <w:rPr>
          <w:lang w:eastAsia="en-US"/>
        </w:rPr>
        <w:t xml:space="preserve"> they reach 18 years</w:t>
      </w:r>
      <w:r w:rsidRPr="002A63F9" w:rsidR="00083D44">
        <w:rPr>
          <w:lang w:eastAsia="en-US"/>
        </w:rPr>
        <w:t xml:space="preserve"> of age, typically perpetrated by a carer.</w:t>
      </w:r>
      <w:r w:rsidRPr="002A63F9" w:rsidR="00425657">
        <w:rPr>
          <w:rStyle w:val="EndnoteReference"/>
          <w:lang w:eastAsia="en-US"/>
        </w:rPr>
        <w:endnoteReference w:id="193"/>
      </w:r>
      <w:r w:rsidRPr="002A63F9" w:rsidR="00083D44">
        <w:rPr>
          <w:lang w:eastAsia="en-US"/>
        </w:rPr>
        <w:t xml:space="preserve"> </w:t>
      </w:r>
    </w:p>
    <w:p w:rsidRPr="002A63F9" w:rsidR="00920AF1" w:rsidP="00D5779A" w:rsidRDefault="00DE146D" w14:paraId="187A8B46" w14:textId="3A395AF2">
      <w:pPr>
        <w:pStyle w:val="ListNumber"/>
        <w:rPr>
          <w:lang w:eastAsia="en-US"/>
        </w:rPr>
      </w:pPr>
      <w:r w:rsidRPr="002A63F9">
        <w:rPr>
          <w:lang w:eastAsia="en-US"/>
        </w:rPr>
        <w:t xml:space="preserve">According to researchers at the University of New South Wales, </w:t>
      </w:r>
      <w:r w:rsidRPr="002A63F9" w:rsidR="00933640">
        <w:rPr>
          <w:lang w:eastAsia="en-US"/>
        </w:rPr>
        <w:t>Aboriginal and Torres Strait Islander</w:t>
      </w:r>
      <w:r w:rsidRPr="002A63F9" w:rsidR="00E76711">
        <w:rPr>
          <w:lang w:eastAsia="en-US"/>
        </w:rPr>
        <w:t xml:space="preserve"> people</w:t>
      </w:r>
      <w:r w:rsidRPr="002A63F9" w:rsidR="00933640">
        <w:rPr>
          <w:lang w:eastAsia="en-US"/>
        </w:rPr>
        <w:t xml:space="preserve"> experience </w:t>
      </w:r>
      <w:r w:rsidRPr="002A63F9" w:rsidR="007D7696">
        <w:rPr>
          <w:lang w:eastAsia="en-US"/>
        </w:rPr>
        <w:t>victimi</w:t>
      </w:r>
      <w:r w:rsidRPr="002A63F9" w:rsidR="00F3343F">
        <w:rPr>
          <w:lang w:eastAsia="en-US"/>
        </w:rPr>
        <w:t>s</w:t>
      </w:r>
      <w:r w:rsidRPr="002A63F9" w:rsidR="007D7696">
        <w:rPr>
          <w:lang w:eastAsia="en-US"/>
        </w:rPr>
        <w:t>ation at a younger age than non-</w:t>
      </w:r>
      <w:r w:rsidR="00637F6F">
        <w:rPr>
          <w:lang w:eastAsia="en-US"/>
        </w:rPr>
        <w:t>I</w:t>
      </w:r>
      <w:r w:rsidRPr="002A63F9" w:rsidR="00637F6F">
        <w:rPr>
          <w:lang w:eastAsia="en-US"/>
        </w:rPr>
        <w:t xml:space="preserve">ndigenous </w:t>
      </w:r>
      <w:r w:rsidRPr="002A63F9" w:rsidR="007D7696">
        <w:rPr>
          <w:lang w:eastAsia="en-US"/>
        </w:rPr>
        <w:t>people.</w:t>
      </w:r>
      <w:r w:rsidRPr="002A63F9" w:rsidR="00A37962">
        <w:rPr>
          <w:rStyle w:val="EndnoteReference"/>
          <w:lang w:eastAsia="en-US"/>
        </w:rPr>
        <w:endnoteReference w:id="194"/>
      </w:r>
      <w:r w:rsidRPr="002A63F9" w:rsidR="007D7696">
        <w:rPr>
          <w:lang w:eastAsia="en-US"/>
        </w:rPr>
        <w:t xml:space="preserve"> </w:t>
      </w:r>
      <w:r w:rsidRPr="002A63F9" w:rsidR="00C94B1A">
        <w:rPr>
          <w:lang w:eastAsia="en-US"/>
        </w:rPr>
        <w:t>The factors leading to victimi</w:t>
      </w:r>
      <w:r w:rsidRPr="002A63F9" w:rsidR="00F3343F">
        <w:rPr>
          <w:lang w:eastAsia="en-US"/>
        </w:rPr>
        <w:t>s</w:t>
      </w:r>
      <w:r w:rsidRPr="002A63F9" w:rsidR="00C94B1A">
        <w:rPr>
          <w:lang w:eastAsia="en-US"/>
        </w:rPr>
        <w:t>ation include</w:t>
      </w:r>
      <w:r w:rsidRPr="002A63F9" w:rsidR="003D111E">
        <w:rPr>
          <w:lang w:eastAsia="en-US"/>
        </w:rPr>
        <w:t xml:space="preserve"> not only a person’s disability, but </w:t>
      </w:r>
      <w:r w:rsidRPr="002A63F9" w:rsidR="00594391">
        <w:rPr>
          <w:lang w:eastAsia="en-US"/>
        </w:rPr>
        <w:t xml:space="preserve">also </w:t>
      </w:r>
      <w:r w:rsidRPr="002A63F9" w:rsidR="003D111E">
        <w:rPr>
          <w:lang w:eastAsia="en-US"/>
        </w:rPr>
        <w:t>the interacti</w:t>
      </w:r>
      <w:r w:rsidRPr="002A63F9" w:rsidR="009020AE">
        <w:rPr>
          <w:lang w:eastAsia="en-US"/>
        </w:rPr>
        <w:t>ng</w:t>
      </w:r>
      <w:r w:rsidRPr="002A63F9" w:rsidR="003D111E">
        <w:rPr>
          <w:lang w:eastAsia="en-US"/>
        </w:rPr>
        <w:t xml:space="preserve"> and compounding factors </w:t>
      </w:r>
      <w:r w:rsidRPr="002A63F9" w:rsidR="00A37962">
        <w:rPr>
          <w:lang w:eastAsia="en-US"/>
        </w:rPr>
        <w:t xml:space="preserve">of </w:t>
      </w:r>
      <w:r w:rsidRPr="002A63F9" w:rsidR="009020AE">
        <w:rPr>
          <w:lang w:eastAsia="en-US"/>
        </w:rPr>
        <w:t xml:space="preserve">multiple disability and </w:t>
      </w:r>
      <w:r w:rsidRPr="002A63F9" w:rsidR="003D111E">
        <w:rPr>
          <w:lang w:eastAsia="en-US"/>
        </w:rPr>
        <w:t xml:space="preserve">social </w:t>
      </w:r>
      <w:r w:rsidRPr="002A63F9" w:rsidR="006F2A41">
        <w:rPr>
          <w:lang w:eastAsia="en-US"/>
        </w:rPr>
        <w:t>disadvantage.</w:t>
      </w:r>
      <w:r w:rsidRPr="002A63F9" w:rsidR="00081BD9">
        <w:rPr>
          <w:rStyle w:val="EndnoteReference"/>
          <w:lang w:eastAsia="en-US"/>
        </w:rPr>
        <w:endnoteReference w:id="195"/>
      </w:r>
      <w:r w:rsidRPr="002A63F9" w:rsidR="006F2A41">
        <w:rPr>
          <w:lang w:eastAsia="en-US"/>
        </w:rPr>
        <w:t xml:space="preserve"> </w:t>
      </w:r>
    </w:p>
    <w:p w:rsidRPr="002A63F9" w:rsidR="00225C9F" w:rsidP="00BC3308" w:rsidRDefault="00B73A33" w14:paraId="0530A4F6" w14:textId="18C61F8F">
      <w:pPr>
        <w:pStyle w:val="ListNumber"/>
        <w:spacing w:before="120" w:after="120"/>
        <w:ind w:hanging="357"/>
        <w:rPr>
          <w:lang w:eastAsia="en-US"/>
        </w:rPr>
      </w:pPr>
      <w:r w:rsidRPr="002A63F9">
        <w:rPr>
          <w:lang w:eastAsia="en-US"/>
        </w:rPr>
        <w:t xml:space="preserve">Notwithstanding the </w:t>
      </w:r>
      <w:r w:rsidRPr="002A63F9" w:rsidR="00CF74DB">
        <w:rPr>
          <w:lang w:eastAsia="en-US"/>
        </w:rPr>
        <w:t>statistics on victimi</w:t>
      </w:r>
      <w:r w:rsidRPr="002A63F9" w:rsidR="00F3343F">
        <w:rPr>
          <w:lang w:eastAsia="en-US"/>
        </w:rPr>
        <w:t>s</w:t>
      </w:r>
      <w:r w:rsidRPr="002A63F9" w:rsidR="00CF74DB">
        <w:rPr>
          <w:lang w:eastAsia="en-US"/>
        </w:rPr>
        <w:t xml:space="preserve">ation, </w:t>
      </w:r>
      <w:r w:rsidRPr="002A63F9" w:rsidR="00A53515">
        <w:rPr>
          <w:lang w:eastAsia="en-US"/>
        </w:rPr>
        <w:t xml:space="preserve">research </w:t>
      </w:r>
      <w:r w:rsidRPr="002A63F9" w:rsidR="002752D7">
        <w:rPr>
          <w:lang w:eastAsia="en-US"/>
        </w:rPr>
        <w:t>suggests</w:t>
      </w:r>
      <w:r w:rsidRPr="002A63F9" w:rsidR="00574368">
        <w:rPr>
          <w:lang w:eastAsia="en-US"/>
        </w:rPr>
        <w:t xml:space="preserve"> that a large proportion of crimes against people with disabilit</w:t>
      </w:r>
      <w:r w:rsidRPr="002A63F9" w:rsidR="00F02E7C">
        <w:rPr>
          <w:lang w:eastAsia="en-US"/>
        </w:rPr>
        <w:t>y</w:t>
      </w:r>
      <w:r w:rsidRPr="002A63F9" w:rsidR="00574368">
        <w:rPr>
          <w:lang w:eastAsia="en-US"/>
        </w:rPr>
        <w:t xml:space="preserve"> go underreported</w:t>
      </w:r>
      <w:r w:rsidRPr="002A63F9" w:rsidR="0071343F">
        <w:rPr>
          <w:lang w:eastAsia="en-US"/>
        </w:rPr>
        <w:t>.</w:t>
      </w:r>
      <w:r w:rsidRPr="002A63F9" w:rsidR="00E77B6D">
        <w:rPr>
          <w:rStyle w:val="EndnoteReference"/>
          <w:lang w:eastAsia="en-US"/>
        </w:rPr>
        <w:endnoteReference w:id="196"/>
      </w:r>
      <w:r w:rsidRPr="002A63F9" w:rsidR="00BC3308">
        <w:rPr>
          <w:lang w:eastAsia="en-US"/>
        </w:rPr>
        <w:t xml:space="preserve"> </w:t>
      </w:r>
      <w:r w:rsidRPr="002A63F9" w:rsidR="000C0CE1">
        <w:rPr>
          <w:lang w:eastAsia="en-US"/>
        </w:rPr>
        <w:t>Reasons for underreporting</w:t>
      </w:r>
      <w:r w:rsidRPr="002A63F9" w:rsidR="005978CD">
        <w:rPr>
          <w:lang w:eastAsia="en-US"/>
        </w:rPr>
        <w:t xml:space="preserve"> </w:t>
      </w:r>
      <w:r w:rsidRPr="002A63F9" w:rsidR="00BC3308">
        <w:rPr>
          <w:lang w:eastAsia="en-US"/>
        </w:rPr>
        <w:t xml:space="preserve">may </w:t>
      </w:r>
      <w:r w:rsidRPr="002A63F9" w:rsidR="005978CD">
        <w:rPr>
          <w:lang w:eastAsia="en-US"/>
        </w:rPr>
        <w:t>include</w:t>
      </w:r>
      <w:r w:rsidRPr="002A63F9" w:rsidR="00CF74DB">
        <w:rPr>
          <w:lang w:eastAsia="en-US"/>
        </w:rPr>
        <w:t>:</w:t>
      </w:r>
    </w:p>
    <w:p w:rsidRPr="002A63F9" w:rsidR="00225C9F" w:rsidP="00BC3308" w:rsidRDefault="00637F6F" w14:paraId="79F591EF" w14:textId="4562D60C">
      <w:pPr>
        <w:pStyle w:val="ListNumber"/>
        <w:numPr>
          <w:ilvl w:val="0"/>
          <w:numId w:val="37"/>
        </w:numPr>
        <w:spacing w:before="120" w:after="120"/>
        <w:ind w:hanging="357"/>
        <w:rPr>
          <w:lang w:eastAsia="en-US"/>
        </w:rPr>
      </w:pPr>
      <w:r>
        <w:rPr>
          <w:lang w:eastAsia="en-US"/>
        </w:rPr>
        <w:t>p</w:t>
      </w:r>
      <w:r w:rsidRPr="002A63F9">
        <w:rPr>
          <w:lang w:eastAsia="en-US"/>
        </w:rPr>
        <w:t xml:space="preserve">olice </w:t>
      </w:r>
      <w:r w:rsidRPr="002A63F9" w:rsidR="00F76B1A">
        <w:rPr>
          <w:lang w:eastAsia="en-US"/>
        </w:rPr>
        <w:t xml:space="preserve">failure to take </w:t>
      </w:r>
      <w:r w:rsidRPr="002A63F9" w:rsidR="00B94C97">
        <w:rPr>
          <w:lang w:eastAsia="en-US"/>
        </w:rPr>
        <w:t xml:space="preserve">or pursue </w:t>
      </w:r>
      <w:r w:rsidRPr="002A63F9" w:rsidR="00F76B1A">
        <w:rPr>
          <w:lang w:eastAsia="en-US"/>
        </w:rPr>
        <w:t xml:space="preserve">a report (see </w:t>
      </w:r>
      <w:r w:rsidR="00512246">
        <w:rPr>
          <w:lang w:eastAsia="en-US"/>
        </w:rPr>
        <w:t>section</w:t>
      </w:r>
      <w:r w:rsidRPr="002A63F9" w:rsidR="00CC3F3C">
        <w:rPr>
          <w:lang w:eastAsia="en-US"/>
        </w:rPr>
        <w:t xml:space="preserve"> </w:t>
      </w:r>
      <w:r w:rsidRPr="002A63F9" w:rsidR="001211D9">
        <w:rPr>
          <w:lang w:eastAsia="en-US"/>
        </w:rPr>
        <w:t>5</w:t>
      </w:r>
      <w:r w:rsidRPr="002A63F9" w:rsidR="00CC3F3C">
        <w:rPr>
          <w:lang w:eastAsia="en-US"/>
        </w:rPr>
        <w:t>.</w:t>
      </w:r>
      <w:r w:rsidRPr="002A63F9" w:rsidR="000D11E4">
        <w:rPr>
          <w:lang w:eastAsia="en-US"/>
        </w:rPr>
        <w:t>7</w:t>
      </w:r>
      <w:r w:rsidRPr="002A63F9" w:rsidR="00CC3F3C">
        <w:rPr>
          <w:lang w:eastAsia="en-US"/>
        </w:rPr>
        <w:t>.</w:t>
      </w:r>
      <w:r w:rsidRPr="002A63F9" w:rsidR="000D11E4">
        <w:rPr>
          <w:lang w:eastAsia="en-US"/>
        </w:rPr>
        <w:t>2</w:t>
      </w:r>
      <w:r w:rsidRPr="002A63F9" w:rsidR="00CC3F3C">
        <w:rPr>
          <w:lang w:eastAsia="en-US"/>
        </w:rPr>
        <w:t xml:space="preserve"> below)</w:t>
      </w:r>
    </w:p>
    <w:p w:rsidRPr="002A63F9" w:rsidR="000C0CE1" w:rsidP="00BC3308" w:rsidRDefault="00637F6F" w14:paraId="7CBC8BD8" w14:textId="7BBA65EB">
      <w:pPr>
        <w:pStyle w:val="ListNumber"/>
        <w:numPr>
          <w:ilvl w:val="0"/>
          <w:numId w:val="37"/>
        </w:numPr>
        <w:spacing w:before="120" w:after="120"/>
        <w:ind w:hanging="357"/>
        <w:rPr>
          <w:lang w:eastAsia="en-US"/>
        </w:rPr>
      </w:pPr>
      <w:r>
        <w:rPr>
          <w:lang w:eastAsia="en-US"/>
        </w:rPr>
        <w:t>w</w:t>
      </w:r>
      <w:r w:rsidRPr="002A63F9">
        <w:rPr>
          <w:lang w:eastAsia="en-US"/>
        </w:rPr>
        <w:t xml:space="preserve">here </w:t>
      </w:r>
      <w:r w:rsidRPr="002A63F9" w:rsidR="00B94C97">
        <w:rPr>
          <w:lang w:eastAsia="en-US"/>
        </w:rPr>
        <w:t>the</w:t>
      </w:r>
      <w:r w:rsidRPr="002A63F9" w:rsidR="005C56EE">
        <w:rPr>
          <w:lang w:eastAsia="en-US"/>
        </w:rPr>
        <w:t xml:space="preserve"> crime </w:t>
      </w:r>
      <w:r w:rsidRPr="002A63F9" w:rsidR="00B94C97">
        <w:rPr>
          <w:lang w:eastAsia="en-US"/>
        </w:rPr>
        <w:t>takes place</w:t>
      </w:r>
      <w:r w:rsidRPr="002A63F9" w:rsidR="005C56EE">
        <w:rPr>
          <w:lang w:eastAsia="en-US"/>
        </w:rPr>
        <w:t xml:space="preserve"> in a closed setting</w:t>
      </w:r>
      <w:r w:rsidRPr="002A63F9" w:rsidR="006C1E31">
        <w:rPr>
          <w:lang w:eastAsia="en-US"/>
        </w:rPr>
        <w:t xml:space="preserve"> and/or </w:t>
      </w:r>
      <w:r w:rsidRPr="002A63F9" w:rsidR="0022414B">
        <w:rPr>
          <w:lang w:eastAsia="en-US"/>
        </w:rPr>
        <w:t xml:space="preserve">the </w:t>
      </w:r>
      <w:r w:rsidRPr="002A63F9" w:rsidR="006A49D9">
        <w:rPr>
          <w:lang w:eastAsia="en-US"/>
        </w:rPr>
        <w:t>victim</w:t>
      </w:r>
      <w:r w:rsidRPr="002A63F9" w:rsidR="009F0BA9">
        <w:rPr>
          <w:lang w:eastAsia="en-US"/>
        </w:rPr>
        <w:t xml:space="preserve"> relies </w:t>
      </w:r>
      <w:r w:rsidRPr="002A63F9" w:rsidR="0022414B">
        <w:rPr>
          <w:lang w:eastAsia="en-US"/>
        </w:rPr>
        <w:t xml:space="preserve">on </w:t>
      </w:r>
      <w:r w:rsidRPr="002A63F9" w:rsidR="0000676C">
        <w:rPr>
          <w:lang w:eastAsia="en-US"/>
        </w:rPr>
        <w:t xml:space="preserve">an offender to </w:t>
      </w:r>
      <w:r w:rsidRPr="002A63F9" w:rsidR="00051241">
        <w:rPr>
          <w:lang w:eastAsia="en-US"/>
        </w:rPr>
        <w:t>assist them in making</w:t>
      </w:r>
      <w:r w:rsidRPr="002A63F9" w:rsidR="0000676C">
        <w:rPr>
          <w:lang w:eastAsia="en-US"/>
        </w:rPr>
        <w:t xml:space="preserve"> a report</w:t>
      </w:r>
      <w:r w:rsidRPr="002A63F9" w:rsidR="00A3688D">
        <w:rPr>
          <w:lang w:eastAsia="en-US"/>
        </w:rPr>
        <w:t xml:space="preserve"> (see </w:t>
      </w:r>
      <w:r w:rsidR="00512246">
        <w:rPr>
          <w:lang w:eastAsia="en-US"/>
        </w:rPr>
        <w:t>section</w:t>
      </w:r>
      <w:r w:rsidRPr="002A63F9" w:rsidR="00A3688D">
        <w:rPr>
          <w:lang w:eastAsia="en-US"/>
        </w:rPr>
        <w:t xml:space="preserve"> </w:t>
      </w:r>
      <w:r w:rsidRPr="002A63F9" w:rsidR="001211D9">
        <w:rPr>
          <w:lang w:eastAsia="en-US"/>
        </w:rPr>
        <w:t>5</w:t>
      </w:r>
      <w:r w:rsidRPr="002A63F9" w:rsidR="00A3688D">
        <w:rPr>
          <w:lang w:eastAsia="en-US"/>
        </w:rPr>
        <w:t>.</w:t>
      </w:r>
      <w:r w:rsidRPr="002A63F9" w:rsidR="00325C0F">
        <w:rPr>
          <w:lang w:eastAsia="en-US"/>
        </w:rPr>
        <w:t>7</w:t>
      </w:r>
      <w:r w:rsidRPr="002A63F9" w:rsidR="00A3688D">
        <w:rPr>
          <w:lang w:eastAsia="en-US"/>
        </w:rPr>
        <w:t>.</w:t>
      </w:r>
      <w:r w:rsidRPr="002A63F9" w:rsidR="00325C0F">
        <w:rPr>
          <w:lang w:eastAsia="en-US"/>
        </w:rPr>
        <w:t>3</w:t>
      </w:r>
      <w:r w:rsidRPr="002A63F9" w:rsidR="001211D9">
        <w:rPr>
          <w:lang w:eastAsia="en-US"/>
        </w:rPr>
        <w:t xml:space="preserve"> </w:t>
      </w:r>
      <w:r w:rsidRPr="002A63F9" w:rsidR="00A3688D">
        <w:rPr>
          <w:lang w:eastAsia="en-US"/>
        </w:rPr>
        <w:t>below)</w:t>
      </w:r>
    </w:p>
    <w:p w:rsidRPr="002A63F9" w:rsidR="0090358A" w:rsidP="00BC3308" w:rsidRDefault="00637F6F" w14:paraId="79B52E53" w14:textId="38E4E73A">
      <w:pPr>
        <w:pStyle w:val="ListNumber"/>
        <w:numPr>
          <w:ilvl w:val="0"/>
          <w:numId w:val="37"/>
        </w:numPr>
        <w:spacing w:before="120" w:after="120"/>
        <w:ind w:hanging="357"/>
        <w:rPr>
          <w:lang w:eastAsia="en-US"/>
        </w:rPr>
      </w:pPr>
      <w:r>
        <w:rPr>
          <w:lang w:eastAsia="en-US"/>
        </w:rPr>
        <w:t>w</w:t>
      </w:r>
      <w:r w:rsidRPr="002A63F9">
        <w:rPr>
          <w:lang w:eastAsia="en-US"/>
        </w:rPr>
        <w:t xml:space="preserve">here </w:t>
      </w:r>
      <w:r w:rsidRPr="002A63F9" w:rsidR="00DA7197">
        <w:rPr>
          <w:lang w:eastAsia="en-US"/>
        </w:rPr>
        <w:t>a person l</w:t>
      </w:r>
      <w:r w:rsidRPr="002A63F9" w:rsidR="0090358A">
        <w:rPr>
          <w:lang w:eastAsia="en-US"/>
        </w:rPr>
        <w:t>ack</w:t>
      </w:r>
      <w:r w:rsidRPr="002A63F9" w:rsidR="00DA7197">
        <w:rPr>
          <w:lang w:eastAsia="en-US"/>
        </w:rPr>
        <w:t>s</w:t>
      </w:r>
      <w:r w:rsidRPr="002A63F9" w:rsidR="0090358A">
        <w:rPr>
          <w:lang w:eastAsia="en-US"/>
        </w:rPr>
        <w:t xml:space="preserve"> information </w:t>
      </w:r>
      <w:r w:rsidRPr="002A63F9" w:rsidR="00455E86">
        <w:rPr>
          <w:lang w:eastAsia="en-US"/>
        </w:rPr>
        <w:t>as to how, when and where to report</w:t>
      </w:r>
      <w:r w:rsidRPr="002A63F9" w:rsidR="00DA7197">
        <w:rPr>
          <w:lang w:eastAsia="en-US"/>
        </w:rPr>
        <w:t xml:space="preserve"> (see </w:t>
      </w:r>
      <w:r w:rsidR="00512246">
        <w:rPr>
          <w:lang w:eastAsia="en-US"/>
        </w:rPr>
        <w:t xml:space="preserve">section </w:t>
      </w:r>
      <w:r w:rsidRPr="002A63F9" w:rsidR="001211D9">
        <w:rPr>
          <w:lang w:eastAsia="en-US"/>
        </w:rPr>
        <w:t>5</w:t>
      </w:r>
      <w:r w:rsidRPr="002A63F9" w:rsidR="00DA7197">
        <w:rPr>
          <w:lang w:eastAsia="en-US"/>
        </w:rPr>
        <w:t>.</w:t>
      </w:r>
      <w:r w:rsidRPr="002A63F9" w:rsidR="00325C0F">
        <w:rPr>
          <w:lang w:eastAsia="en-US"/>
        </w:rPr>
        <w:t>7</w:t>
      </w:r>
      <w:r w:rsidRPr="002A63F9" w:rsidR="00DA7197">
        <w:rPr>
          <w:lang w:eastAsia="en-US"/>
        </w:rPr>
        <w:t>.</w:t>
      </w:r>
      <w:r w:rsidRPr="002A63F9" w:rsidR="00325C0F">
        <w:rPr>
          <w:lang w:eastAsia="en-US"/>
        </w:rPr>
        <w:t>4</w:t>
      </w:r>
      <w:r w:rsidRPr="002A63F9" w:rsidR="00DA7197">
        <w:rPr>
          <w:lang w:eastAsia="en-US"/>
        </w:rPr>
        <w:t xml:space="preserve"> below).</w:t>
      </w:r>
      <w:r w:rsidRPr="002A63F9" w:rsidR="0090358A">
        <w:rPr>
          <w:lang w:eastAsia="en-US"/>
        </w:rPr>
        <w:t xml:space="preserve"> </w:t>
      </w:r>
    </w:p>
    <w:p w:rsidRPr="002A63F9" w:rsidR="006101AD" w:rsidP="006101AD" w:rsidRDefault="006101AD" w14:paraId="3856DC2B" w14:textId="77777777">
      <w:pPr>
        <w:pStyle w:val="ListNumber"/>
        <w:rPr>
          <w:lang w:eastAsia="en-US"/>
        </w:rPr>
      </w:pPr>
      <w:r w:rsidRPr="002A63F9">
        <w:rPr>
          <w:lang w:eastAsia="en-US"/>
        </w:rPr>
        <w:t xml:space="preserve">The systemic barriers that people with disability face in reporting instances of victimisation mean that access to justice is denied for some people very early on in the process. </w:t>
      </w:r>
    </w:p>
    <w:p w:rsidRPr="002A63F9" w:rsidR="00DA1A73" w:rsidP="00DA1A73" w:rsidRDefault="00DA1A73" w14:paraId="64455D74" w14:textId="36DEC5A9">
      <w:pPr>
        <w:pStyle w:val="ListNumber"/>
        <w:numPr>
          <w:ilvl w:val="0"/>
          <w:numId w:val="0"/>
        </w:numPr>
        <w:rPr>
          <w:b/>
          <w:bCs/>
        </w:rPr>
      </w:pPr>
      <w:r w:rsidRPr="002A63F9">
        <w:rPr>
          <w:b/>
          <w:bCs/>
        </w:rPr>
        <w:t xml:space="preserve">5.7.2 </w:t>
      </w:r>
      <w:r w:rsidRPr="002A63F9" w:rsidR="006A1DA9">
        <w:rPr>
          <w:b/>
          <w:bCs/>
        </w:rPr>
        <w:t>The role of p</w:t>
      </w:r>
      <w:r w:rsidRPr="002A63F9">
        <w:rPr>
          <w:b/>
          <w:bCs/>
        </w:rPr>
        <w:t xml:space="preserve">olice </w:t>
      </w:r>
    </w:p>
    <w:p w:rsidRPr="002A63F9" w:rsidR="005245A9" w:rsidP="00225FAD" w:rsidRDefault="00EF0022" w14:paraId="7F90B9CC" w14:textId="43239642">
      <w:pPr>
        <w:pStyle w:val="ListNumber"/>
        <w:spacing w:before="120" w:after="120"/>
        <w:ind w:hanging="357"/>
        <w:rPr>
          <w:lang w:eastAsia="en-US"/>
        </w:rPr>
      </w:pPr>
      <w:r w:rsidRPr="002A63F9">
        <w:rPr>
          <w:lang w:eastAsia="en-US"/>
        </w:rPr>
        <w:lastRenderedPageBreak/>
        <w:t xml:space="preserve">For some people with disability who have experienced </w:t>
      </w:r>
      <w:r w:rsidRPr="002A63F9" w:rsidR="00321431">
        <w:rPr>
          <w:lang w:eastAsia="en-US"/>
        </w:rPr>
        <w:t xml:space="preserve">violence, </w:t>
      </w:r>
      <w:r w:rsidRPr="002A63F9">
        <w:rPr>
          <w:lang w:eastAsia="en-US"/>
        </w:rPr>
        <w:t xml:space="preserve">abuse, neglect or exploitation, police can </w:t>
      </w:r>
      <w:r w:rsidRPr="002A63F9" w:rsidR="00AA2C8A">
        <w:rPr>
          <w:lang w:eastAsia="en-US"/>
        </w:rPr>
        <w:t xml:space="preserve">represent a </w:t>
      </w:r>
      <w:r w:rsidRPr="002A63F9" w:rsidR="00031D04">
        <w:rPr>
          <w:lang w:eastAsia="en-US"/>
        </w:rPr>
        <w:t xml:space="preserve">significant </w:t>
      </w:r>
      <w:r w:rsidRPr="002A63F9" w:rsidR="00AA2C8A">
        <w:rPr>
          <w:lang w:eastAsia="en-US"/>
        </w:rPr>
        <w:t>barrier</w:t>
      </w:r>
      <w:r w:rsidRPr="002A63F9">
        <w:rPr>
          <w:lang w:eastAsia="en-US"/>
        </w:rPr>
        <w:t xml:space="preserve"> to the reporting</w:t>
      </w:r>
      <w:r w:rsidRPr="002A63F9" w:rsidR="00041ECA">
        <w:rPr>
          <w:lang w:eastAsia="en-US"/>
        </w:rPr>
        <w:t xml:space="preserve"> </w:t>
      </w:r>
      <w:r w:rsidRPr="002A63F9" w:rsidR="00111D9B">
        <w:rPr>
          <w:lang w:eastAsia="en-US"/>
        </w:rPr>
        <w:t xml:space="preserve">of a crime </w:t>
      </w:r>
      <w:r w:rsidRPr="002A63F9" w:rsidR="00041ECA">
        <w:rPr>
          <w:lang w:eastAsia="en-US"/>
        </w:rPr>
        <w:t xml:space="preserve">and/or </w:t>
      </w:r>
      <w:r w:rsidRPr="002A63F9" w:rsidR="00111D9B">
        <w:rPr>
          <w:lang w:eastAsia="en-US"/>
        </w:rPr>
        <w:t xml:space="preserve">the </w:t>
      </w:r>
      <w:r w:rsidRPr="002A63F9" w:rsidR="00831272">
        <w:rPr>
          <w:lang w:eastAsia="en-US"/>
        </w:rPr>
        <w:t xml:space="preserve">subsequent </w:t>
      </w:r>
      <w:r w:rsidRPr="002A63F9" w:rsidR="00041ECA">
        <w:rPr>
          <w:lang w:eastAsia="en-US"/>
        </w:rPr>
        <w:t xml:space="preserve">pursuit </w:t>
      </w:r>
      <w:r w:rsidRPr="002A63F9" w:rsidR="00A31F2A">
        <w:rPr>
          <w:lang w:eastAsia="en-US"/>
        </w:rPr>
        <w:t>of a criminal charge.</w:t>
      </w:r>
      <w:r w:rsidRPr="002A63F9" w:rsidR="004D006A">
        <w:rPr>
          <w:rStyle w:val="EndnoteReference"/>
          <w:lang w:eastAsia="en-US"/>
        </w:rPr>
        <w:endnoteReference w:id="197"/>
      </w:r>
      <w:r w:rsidRPr="002A63F9" w:rsidR="00A31F2A">
        <w:rPr>
          <w:lang w:eastAsia="en-US"/>
        </w:rPr>
        <w:t xml:space="preserve"> </w:t>
      </w:r>
      <w:r w:rsidRPr="002A63F9" w:rsidR="00CB3F2F">
        <w:rPr>
          <w:lang w:eastAsia="en-US"/>
        </w:rPr>
        <w:t>This may occur</w:t>
      </w:r>
      <w:r w:rsidRPr="002A63F9" w:rsidR="00414A62">
        <w:rPr>
          <w:lang w:eastAsia="en-US"/>
        </w:rPr>
        <w:t xml:space="preserve"> where</w:t>
      </w:r>
      <w:r w:rsidRPr="002A63F9" w:rsidR="00481521">
        <w:rPr>
          <w:lang w:eastAsia="en-US"/>
        </w:rPr>
        <w:t xml:space="preserve"> police</w:t>
      </w:r>
      <w:r w:rsidRPr="002A63F9" w:rsidR="005245A9">
        <w:rPr>
          <w:lang w:eastAsia="en-US"/>
        </w:rPr>
        <w:t>:</w:t>
      </w:r>
    </w:p>
    <w:p w:rsidRPr="002A63F9" w:rsidR="005245A9" w:rsidP="00225FAD" w:rsidRDefault="00637F6F" w14:paraId="0F2F5990" w14:textId="106A64B7">
      <w:pPr>
        <w:pStyle w:val="ListNumber"/>
        <w:numPr>
          <w:ilvl w:val="0"/>
          <w:numId w:val="36"/>
        </w:numPr>
        <w:spacing w:before="120" w:after="120"/>
        <w:ind w:hanging="357"/>
        <w:rPr>
          <w:lang w:eastAsia="en-US"/>
        </w:rPr>
      </w:pPr>
      <w:r>
        <w:rPr>
          <w:lang w:eastAsia="en-US"/>
        </w:rPr>
        <w:t>h</w:t>
      </w:r>
      <w:r w:rsidRPr="002A63F9">
        <w:rPr>
          <w:lang w:eastAsia="en-US"/>
        </w:rPr>
        <w:t xml:space="preserve">old </w:t>
      </w:r>
      <w:r w:rsidRPr="002A63F9" w:rsidR="00F271C2">
        <w:rPr>
          <w:lang w:eastAsia="en-US"/>
        </w:rPr>
        <w:t>negative</w:t>
      </w:r>
      <w:r w:rsidRPr="002A63F9" w:rsidR="00481521">
        <w:rPr>
          <w:lang w:eastAsia="en-US"/>
        </w:rPr>
        <w:t xml:space="preserve"> attitudes</w:t>
      </w:r>
      <w:r w:rsidRPr="002A63F9" w:rsidR="00F65F96">
        <w:rPr>
          <w:lang w:eastAsia="en-US"/>
        </w:rPr>
        <w:t>, assumptions and stereotypes of people with disability</w:t>
      </w:r>
      <w:r w:rsidRPr="002A63F9" w:rsidR="00F65F96">
        <w:rPr>
          <w:rStyle w:val="EndnoteReference"/>
          <w:lang w:eastAsia="en-US"/>
        </w:rPr>
        <w:endnoteReference w:id="198"/>
      </w:r>
    </w:p>
    <w:p w:rsidRPr="002A63F9" w:rsidR="005245A9" w:rsidP="00225FAD" w:rsidRDefault="00637F6F" w14:paraId="0DD12432" w14:textId="7A6D5C25">
      <w:pPr>
        <w:pStyle w:val="ListNumber"/>
        <w:numPr>
          <w:ilvl w:val="0"/>
          <w:numId w:val="36"/>
        </w:numPr>
        <w:spacing w:before="120" w:after="120"/>
        <w:ind w:hanging="357"/>
        <w:rPr>
          <w:lang w:eastAsia="en-US"/>
        </w:rPr>
      </w:pPr>
      <w:r>
        <w:rPr>
          <w:lang w:eastAsia="en-US"/>
        </w:rPr>
        <w:t>f</w:t>
      </w:r>
      <w:r w:rsidRPr="002A63F9">
        <w:rPr>
          <w:lang w:eastAsia="en-US"/>
        </w:rPr>
        <w:t xml:space="preserve">ail </w:t>
      </w:r>
      <w:r w:rsidRPr="002A63F9" w:rsidR="001F773D">
        <w:rPr>
          <w:lang w:eastAsia="en-US"/>
        </w:rPr>
        <w:t xml:space="preserve">to identify </w:t>
      </w:r>
      <w:r w:rsidRPr="002A63F9" w:rsidR="00D52805">
        <w:rPr>
          <w:lang w:eastAsia="en-US"/>
        </w:rPr>
        <w:t>disability</w:t>
      </w:r>
      <w:r w:rsidRPr="002A63F9" w:rsidR="0088144A">
        <w:rPr>
          <w:rStyle w:val="EndnoteReference"/>
          <w:lang w:eastAsia="en-US"/>
        </w:rPr>
        <w:endnoteReference w:id="199"/>
      </w:r>
    </w:p>
    <w:p w:rsidRPr="002A63F9" w:rsidR="005245A9" w:rsidP="00225FAD" w:rsidRDefault="00637F6F" w14:paraId="37B5826B" w14:textId="30F73601">
      <w:pPr>
        <w:pStyle w:val="ListNumber"/>
        <w:numPr>
          <w:ilvl w:val="0"/>
          <w:numId w:val="36"/>
        </w:numPr>
        <w:spacing w:before="120" w:after="120"/>
        <w:ind w:hanging="357"/>
        <w:rPr>
          <w:lang w:eastAsia="en-US"/>
        </w:rPr>
      </w:pPr>
      <w:r>
        <w:rPr>
          <w:lang w:eastAsia="en-US"/>
        </w:rPr>
        <w:t>f</w:t>
      </w:r>
      <w:r w:rsidRPr="002A63F9">
        <w:rPr>
          <w:lang w:eastAsia="en-US"/>
        </w:rPr>
        <w:t xml:space="preserve">ail </w:t>
      </w:r>
      <w:r w:rsidRPr="002A63F9" w:rsidR="001F773D">
        <w:rPr>
          <w:lang w:eastAsia="en-US"/>
        </w:rPr>
        <w:t xml:space="preserve">to provide </w:t>
      </w:r>
      <w:r w:rsidRPr="002A63F9" w:rsidR="001A2485">
        <w:rPr>
          <w:lang w:eastAsia="en-US"/>
        </w:rPr>
        <w:t xml:space="preserve">supports </w:t>
      </w:r>
      <w:r w:rsidRPr="002A63F9" w:rsidR="001F773D">
        <w:rPr>
          <w:lang w:eastAsia="en-US"/>
        </w:rPr>
        <w:t xml:space="preserve">and make </w:t>
      </w:r>
      <w:r w:rsidRPr="002A63F9" w:rsidR="00D52805">
        <w:rPr>
          <w:lang w:eastAsia="en-US"/>
        </w:rPr>
        <w:t>adjustments</w:t>
      </w:r>
      <w:r w:rsidRPr="002A63F9" w:rsidR="009F67BF">
        <w:rPr>
          <w:rStyle w:val="EndnoteReference"/>
          <w:lang w:eastAsia="en-US"/>
        </w:rPr>
        <w:endnoteReference w:id="200"/>
      </w:r>
    </w:p>
    <w:p w:rsidRPr="002A63F9" w:rsidR="005245A9" w:rsidP="00225FAD" w:rsidRDefault="00637F6F" w14:paraId="4A7C1D54" w14:textId="16DF9570">
      <w:pPr>
        <w:pStyle w:val="ListNumber"/>
        <w:numPr>
          <w:ilvl w:val="0"/>
          <w:numId w:val="36"/>
        </w:numPr>
        <w:spacing w:before="120" w:after="120"/>
        <w:ind w:hanging="357"/>
        <w:rPr>
          <w:lang w:eastAsia="en-US"/>
        </w:rPr>
      </w:pPr>
      <w:r>
        <w:rPr>
          <w:lang w:eastAsia="en-US"/>
        </w:rPr>
        <w:t>t</w:t>
      </w:r>
      <w:r w:rsidRPr="002A63F9">
        <w:rPr>
          <w:lang w:eastAsia="en-US"/>
        </w:rPr>
        <w:t xml:space="preserve">reat </w:t>
      </w:r>
      <w:r w:rsidRPr="002A63F9" w:rsidR="00977749">
        <w:rPr>
          <w:lang w:eastAsia="en-US"/>
        </w:rPr>
        <w:t xml:space="preserve">the </w:t>
      </w:r>
      <w:r w:rsidRPr="002A63F9" w:rsidR="004B3D50">
        <w:rPr>
          <w:lang w:eastAsia="en-US"/>
        </w:rPr>
        <w:t>violence, abuse, neglect or exp</w:t>
      </w:r>
      <w:r w:rsidRPr="002A63F9" w:rsidR="00423969">
        <w:rPr>
          <w:lang w:eastAsia="en-US"/>
        </w:rPr>
        <w:t>loitation</w:t>
      </w:r>
      <w:r w:rsidRPr="002A63F9" w:rsidR="00977749">
        <w:rPr>
          <w:lang w:eastAsia="en-US"/>
        </w:rPr>
        <w:t xml:space="preserve"> as </w:t>
      </w:r>
      <w:r w:rsidRPr="002A63F9" w:rsidR="009F67BF">
        <w:rPr>
          <w:lang w:eastAsia="en-US"/>
        </w:rPr>
        <w:t>a ‘</w:t>
      </w:r>
      <w:r w:rsidRPr="002A63F9" w:rsidR="007249ED">
        <w:rPr>
          <w:lang w:eastAsia="en-US"/>
        </w:rPr>
        <w:t xml:space="preserve">service </w:t>
      </w:r>
      <w:r w:rsidRPr="002A63F9" w:rsidR="009F67BF">
        <w:rPr>
          <w:lang w:eastAsia="en-US"/>
        </w:rPr>
        <w:t>incident’.</w:t>
      </w:r>
      <w:r w:rsidRPr="002A63F9" w:rsidR="0086355A">
        <w:rPr>
          <w:rStyle w:val="EndnoteReference"/>
          <w:lang w:eastAsia="en-US"/>
        </w:rPr>
        <w:endnoteReference w:id="201"/>
      </w:r>
    </w:p>
    <w:p w:rsidRPr="002A63F9" w:rsidR="00B529AC" w:rsidP="00D5779A" w:rsidRDefault="00717EC1" w14:paraId="0B350B94" w14:textId="5AF14BFF">
      <w:pPr>
        <w:pStyle w:val="ListNumber"/>
        <w:rPr>
          <w:lang w:eastAsia="en-US"/>
        </w:rPr>
      </w:pPr>
      <w:r w:rsidRPr="002A63F9">
        <w:rPr>
          <w:lang w:eastAsia="en-US"/>
        </w:rPr>
        <w:t xml:space="preserve">According to </w:t>
      </w:r>
      <w:r w:rsidRPr="002A63F9" w:rsidR="00416A51">
        <w:rPr>
          <w:lang w:eastAsia="en-US"/>
        </w:rPr>
        <w:t xml:space="preserve">research conducted by </w:t>
      </w:r>
      <w:r w:rsidRPr="002A63F9" w:rsidR="00C702C5">
        <w:rPr>
          <w:lang w:eastAsia="en-US"/>
        </w:rPr>
        <w:t xml:space="preserve">the </w:t>
      </w:r>
      <w:r w:rsidRPr="002A63F9" w:rsidR="00EA5530">
        <w:rPr>
          <w:lang w:eastAsia="en-US"/>
        </w:rPr>
        <w:t xml:space="preserve">VEOHRC, stereotypical or </w:t>
      </w:r>
      <w:r w:rsidRPr="002A63F9" w:rsidR="00757818">
        <w:rPr>
          <w:lang w:eastAsia="en-US"/>
        </w:rPr>
        <w:t xml:space="preserve">discriminatory attitudes </w:t>
      </w:r>
      <w:r w:rsidRPr="002A63F9" w:rsidR="00396269">
        <w:rPr>
          <w:lang w:eastAsia="en-US"/>
        </w:rPr>
        <w:t xml:space="preserve">in the police force </w:t>
      </w:r>
      <w:r w:rsidRPr="002A63F9" w:rsidR="00B264AB">
        <w:rPr>
          <w:lang w:eastAsia="en-US"/>
        </w:rPr>
        <w:t>can</w:t>
      </w:r>
      <w:r w:rsidRPr="002A63F9" w:rsidR="00410D84">
        <w:rPr>
          <w:lang w:eastAsia="en-US"/>
        </w:rPr>
        <w:t xml:space="preserve"> </w:t>
      </w:r>
      <w:r w:rsidRPr="002A63F9" w:rsidR="00933193">
        <w:rPr>
          <w:lang w:eastAsia="en-US"/>
        </w:rPr>
        <w:t>prevent</w:t>
      </w:r>
      <w:r w:rsidRPr="002A63F9" w:rsidR="00224EC5">
        <w:rPr>
          <w:lang w:eastAsia="en-US"/>
        </w:rPr>
        <w:t xml:space="preserve"> crimes from being reported.</w:t>
      </w:r>
      <w:r w:rsidRPr="002A63F9" w:rsidR="003721E5">
        <w:rPr>
          <w:rStyle w:val="EndnoteReference"/>
          <w:lang w:eastAsia="en-US"/>
        </w:rPr>
        <w:endnoteReference w:id="202"/>
      </w:r>
      <w:r w:rsidRPr="002A63F9" w:rsidR="00F20AB1">
        <w:rPr>
          <w:lang w:eastAsia="en-US"/>
        </w:rPr>
        <w:t xml:space="preserve"> </w:t>
      </w:r>
      <w:r w:rsidRPr="002A63F9" w:rsidR="00224EC5">
        <w:rPr>
          <w:lang w:eastAsia="en-US"/>
        </w:rPr>
        <w:t>E</w:t>
      </w:r>
      <w:r w:rsidRPr="002A63F9" w:rsidR="00F20AB1">
        <w:rPr>
          <w:lang w:eastAsia="en-US"/>
        </w:rPr>
        <w:t xml:space="preserve">xamples of </w:t>
      </w:r>
      <w:r w:rsidRPr="002A63F9" w:rsidR="00FF3F42">
        <w:rPr>
          <w:lang w:eastAsia="en-US"/>
        </w:rPr>
        <w:t xml:space="preserve">negative and discriminatory attitudes </w:t>
      </w:r>
      <w:r w:rsidRPr="002A63F9" w:rsidR="00FA68C6">
        <w:rPr>
          <w:lang w:eastAsia="en-US"/>
        </w:rPr>
        <w:t xml:space="preserve">in the police force </w:t>
      </w:r>
      <w:r w:rsidRPr="002A63F9" w:rsidR="00A11547">
        <w:rPr>
          <w:lang w:eastAsia="en-US"/>
        </w:rPr>
        <w:t>can</w:t>
      </w:r>
      <w:r w:rsidRPr="002A63F9" w:rsidR="008A03AF">
        <w:rPr>
          <w:lang w:eastAsia="en-US"/>
        </w:rPr>
        <w:t xml:space="preserve"> include</w:t>
      </w:r>
      <w:r w:rsidRPr="002A63F9" w:rsidR="00886926">
        <w:rPr>
          <w:lang w:eastAsia="en-US"/>
        </w:rPr>
        <w:t>:</w:t>
      </w:r>
      <w:r w:rsidRPr="002A63F9" w:rsidR="009B72A4">
        <w:rPr>
          <w:lang w:eastAsia="en-US"/>
        </w:rPr>
        <w:t xml:space="preserve"> </w:t>
      </w:r>
      <w:r w:rsidRPr="002A63F9" w:rsidR="00FA68C6">
        <w:rPr>
          <w:lang w:eastAsia="en-US"/>
        </w:rPr>
        <w:t>the perception of a person</w:t>
      </w:r>
      <w:r w:rsidRPr="002A63F9" w:rsidR="00D47FC6">
        <w:rPr>
          <w:lang w:eastAsia="en-US"/>
        </w:rPr>
        <w:t xml:space="preserve"> with disability</w:t>
      </w:r>
      <w:r w:rsidRPr="002A63F9" w:rsidR="00F90DD2">
        <w:rPr>
          <w:lang w:eastAsia="en-US"/>
        </w:rPr>
        <w:t xml:space="preserve"> as ‘childlike’</w:t>
      </w:r>
      <w:r w:rsidRPr="002A63F9" w:rsidR="00DF7871">
        <w:rPr>
          <w:rStyle w:val="EndnoteReference"/>
          <w:lang w:eastAsia="en-US"/>
        </w:rPr>
        <w:endnoteReference w:id="203"/>
      </w:r>
      <w:r w:rsidRPr="002A63F9" w:rsidR="00B529AC">
        <w:rPr>
          <w:lang w:eastAsia="en-US"/>
        </w:rPr>
        <w:t xml:space="preserve"> or ‘promiscuous’</w:t>
      </w:r>
      <w:r w:rsidRPr="002A63F9" w:rsidR="00F078BC">
        <w:rPr>
          <w:lang w:eastAsia="en-US"/>
        </w:rPr>
        <w:t>,</w:t>
      </w:r>
      <w:r w:rsidRPr="002A63F9" w:rsidR="00AB62A7">
        <w:rPr>
          <w:rStyle w:val="EndnoteReference"/>
          <w:lang w:eastAsia="en-US"/>
        </w:rPr>
        <w:endnoteReference w:id="204"/>
      </w:r>
      <w:r w:rsidRPr="002A63F9" w:rsidR="008F6C7E">
        <w:rPr>
          <w:lang w:eastAsia="en-US"/>
        </w:rPr>
        <w:t xml:space="preserve"> </w:t>
      </w:r>
      <w:r w:rsidRPr="002A63F9" w:rsidR="009509BF">
        <w:rPr>
          <w:lang w:eastAsia="en-US"/>
        </w:rPr>
        <w:t>or the position</w:t>
      </w:r>
      <w:r w:rsidRPr="002A63F9" w:rsidR="00397873">
        <w:rPr>
          <w:lang w:eastAsia="en-US"/>
        </w:rPr>
        <w:t xml:space="preserve"> that people with disability lack credibility</w:t>
      </w:r>
      <w:r w:rsidRPr="002A63F9" w:rsidR="00B35B2B">
        <w:rPr>
          <w:lang w:eastAsia="en-US"/>
        </w:rPr>
        <w:t xml:space="preserve"> or will be unable to </w:t>
      </w:r>
      <w:r w:rsidRPr="002A63F9" w:rsidR="00DF7871">
        <w:rPr>
          <w:lang w:eastAsia="en-US"/>
        </w:rPr>
        <w:t>cope with the investigation.</w:t>
      </w:r>
      <w:r w:rsidRPr="002A63F9" w:rsidR="00655529">
        <w:rPr>
          <w:rStyle w:val="EndnoteReference"/>
          <w:lang w:eastAsia="en-US"/>
        </w:rPr>
        <w:endnoteReference w:id="205"/>
      </w:r>
    </w:p>
    <w:p w:rsidRPr="002A63F9" w:rsidR="00D3347B" w:rsidP="00D5779A" w:rsidRDefault="00A11547" w14:paraId="0F9A4A00" w14:textId="115B30BC">
      <w:pPr>
        <w:pStyle w:val="ListNumber"/>
        <w:rPr>
          <w:lang w:eastAsia="en-US"/>
        </w:rPr>
      </w:pPr>
      <w:r w:rsidRPr="002A63F9">
        <w:rPr>
          <w:lang w:eastAsia="en-US"/>
        </w:rPr>
        <w:t xml:space="preserve">In the </w:t>
      </w:r>
      <w:r w:rsidRPr="002A63F9" w:rsidR="004A5D32">
        <w:rPr>
          <w:lang w:eastAsia="en-US"/>
        </w:rPr>
        <w:t xml:space="preserve">Commission’s </w:t>
      </w:r>
      <w:r w:rsidRPr="002A63F9" w:rsidR="00441659">
        <w:rPr>
          <w:lang w:eastAsia="en-US"/>
        </w:rPr>
        <w:t xml:space="preserve">2014 report, </w:t>
      </w:r>
      <w:r w:rsidRPr="002A63F9" w:rsidR="00441659">
        <w:rPr>
          <w:i/>
          <w:iCs/>
          <w:lang w:eastAsia="en-US"/>
        </w:rPr>
        <w:t>Equal Before the Law</w:t>
      </w:r>
      <w:r w:rsidRPr="002A63F9" w:rsidR="00C4070C">
        <w:rPr>
          <w:i/>
          <w:iCs/>
          <w:lang w:eastAsia="en-US"/>
        </w:rPr>
        <w:t>: Towards Disability Justice Strategies</w:t>
      </w:r>
      <w:r w:rsidRPr="002A63F9" w:rsidR="00441659">
        <w:rPr>
          <w:lang w:eastAsia="en-US"/>
        </w:rPr>
        <w:t xml:space="preserve">, </w:t>
      </w:r>
      <w:r w:rsidRPr="002A63F9" w:rsidR="00082D26">
        <w:rPr>
          <w:lang w:eastAsia="en-US"/>
        </w:rPr>
        <w:t xml:space="preserve">it was </w:t>
      </w:r>
      <w:r w:rsidRPr="002A63F9" w:rsidR="00B5496B">
        <w:rPr>
          <w:lang w:eastAsia="en-US"/>
        </w:rPr>
        <w:t>noted</w:t>
      </w:r>
      <w:r w:rsidRPr="002A63F9" w:rsidR="00082D26">
        <w:rPr>
          <w:lang w:eastAsia="en-US"/>
        </w:rPr>
        <w:t xml:space="preserve"> that police </w:t>
      </w:r>
      <w:r w:rsidRPr="002A63F9" w:rsidR="00433C14">
        <w:rPr>
          <w:lang w:eastAsia="en-US"/>
        </w:rPr>
        <w:t xml:space="preserve">experience </w:t>
      </w:r>
      <w:r w:rsidRPr="002A63F9" w:rsidR="00082D26">
        <w:rPr>
          <w:lang w:eastAsia="en-US"/>
        </w:rPr>
        <w:t xml:space="preserve">difficulty </w:t>
      </w:r>
      <w:r w:rsidRPr="002A63F9" w:rsidR="005900BB">
        <w:rPr>
          <w:lang w:eastAsia="en-US"/>
        </w:rPr>
        <w:t xml:space="preserve">in </w:t>
      </w:r>
      <w:r w:rsidRPr="002A63F9" w:rsidR="00082D26">
        <w:rPr>
          <w:lang w:eastAsia="en-US"/>
        </w:rPr>
        <w:t>distinguishing between</w:t>
      </w:r>
      <w:r w:rsidRPr="002A63F9" w:rsidR="00F76BE0">
        <w:rPr>
          <w:lang w:eastAsia="en-US"/>
        </w:rPr>
        <w:t xml:space="preserve"> intellectual disability, psychosocial disability and acquired brain injury.</w:t>
      </w:r>
      <w:r w:rsidRPr="002A63F9" w:rsidR="00F76BE0">
        <w:rPr>
          <w:rStyle w:val="EndnoteReference"/>
          <w:lang w:eastAsia="en-US"/>
        </w:rPr>
        <w:endnoteReference w:id="206"/>
      </w:r>
      <w:r w:rsidRPr="002A63F9" w:rsidR="00F76BE0">
        <w:rPr>
          <w:lang w:eastAsia="en-US"/>
        </w:rPr>
        <w:t xml:space="preserve"> </w:t>
      </w:r>
      <w:r w:rsidRPr="002A63F9" w:rsidR="00D04CE5">
        <w:rPr>
          <w:lang w:eastAsia="en-US"/>
        </w:rPr>
        <w:t>The failure to identify and distinguish between disabilit</w:t>
      </w:r>
      <w:r w:rsidRPr="002A63F9" w:rsidR="00883879">
        <w:rPr>
          <w:lang w:eastAsia="en-US"/>
        </w:rPr>
        <w:t>ies</w:t>
      </w:r>
      <w:r w:rsidRPr="002A63F9" w:rsidR="00F52D6C">
        <w:rPr>
          <w:lang w:eastAsia="en-US"/>
        </w:rPr>
        <w:t xml:space="preserve"> </w:t>
      </w:r>
      <w:r w:rsidRPr="002A63F9" w:rsidR="00074155">
        <w:rPr>
          <w:lang w:eastAsia="en-US"/>
        </w:rPr>
        <w:t>can result</w:t>
      </w:r>
      <w:r w:rsidRPr="002A63F9" w:rsidR="00C87EC9">
        <w:rPr>
          <w:lang w:eastAsia="en-US"/>
        </w:rPr>
        <w:t xml:space="preserve"> in a failure to provide</w:t>
      </w:r>
      <w:r w:rsidRPr="002A63F9" w:rsidR="001F3AF8">
        <w:rPr>
          <w:lang w:eastAsia="en-US"/>
        </w:rPr>
        <w:t xml:space="preserve"> appropriate</w:t>
      </w:r>
      <w:r w:rsidRPr="002A63F9" w:rsidR="00433C14">
        <w:rPr>
          <w:lang w:eastAsia="en-US"/>
        </w:rPr>
        <w:t xml:space="preserve"> </w:t>
      </w:r>
      <w:r w:rsidRPr="002A63F9" w:rsidR="00C87EC9">
        <w:rPr>
          <w:lang w:eastAsia="en-US"/>
        </w:rPr>
        <w:t xml:space="preserve">supports and </w:t>
      </w:r>
      <w:r w:rsidRPr="002A63F9" w:rsidR="00433C14">
        <w:rPr>
          <w:lang w:eastAsia="en-US"/>
        </w:rPr>
        <w:t xml:space="preserve">to </w:t>
      </w:r>
      <w:r w:rsidRPr="002A63F9" w:rsidR="00C87EC9">
        <w:rPr>
          <w:lang w:eastAsia="en-US"/>
        </w:rPr>
        <w:t xml:space="preserve">make </w:t>
      </w:r>
      <w:r w:rsidRPr="002A63F9" w:rsidR="001F3AF8">
        <w:rPr>
          <w:lang w:eastAsia="en-US"/>
        </w:rPr>
        <w:t xml:space="preserve">necessary </w:t>
      </w:r>
      <w:r w:rsidRPr="002A63F9" w:rsidR="00C87EC9">
        <w:rPr>
          <w:lang w:eastAsia="en-US"/>
        </w:rPr>
        <w:t>adjustments.</w:t>
      </w:r>
      <w:r w:rsidRPr="002A63F9" w:rsidR="00C87EC9">
        <w:rPr>
          <w:rStyle w:val="EndnoteReference"/>
          <w:lang w:eastAsia="en-US"/>
        </w:rPr>
        <w:endnoteReference w:id="207"/>
      </w:r>
    </w:p>
    <w:p w:rsidRPr="002A63F9" w:rsidR="00386616" w:rsidP="00D5779A" w:rsidRDefault="00D3347B" w14:paraId="250EBFEF" w14:textId="72695AEF">
      <w:pPr>
        <w:pStyle w:val="ListNumber"/>
        <w:rPr>
          <w:lang w:eastAsia="en-US"/>
        </w:rPr>
      </w:pPr>
      <w:r w:rsidRPr="002A63F9">
        <w:rPr>
          <w:lang w:eastAsia="en-US"/>
        </w:rPr>
        <w:t xml:space="preserve">Research suggests that </w:t>
      </w:r>
      <w:r w:rsidRPr="002A63F9" w:rsidR="005124E1">
        <w:rPr>
          <w:lang w:eastAsia="en-US"/>
        </w:rPr>
        <w:t xml:space="preserve">support persons are rarely provided for people with intellectual and psychosocial disabilities </w:t>
      </w:r>
      <w:r w:rsidRPr="002A63F9" w:rsidR="008339C1">
        <w:rPr>
          <w:lang w:eastAsia="en-US"/>
        </w:rPr>
        <w:t xml:space="preserve">when </w:t>
      </w:r>
      <w:r w:rsidRPr="002A63F9" w:rsidR="00BB0A8B">
        <w:rPr>
          <w:lang w:eastAsia="en-US"/>
        </w:rPr>
        <w:t>seeking to make</w:t>
      </w:r>
      <w:r w:rsidRPr="002A63F9" w:rsidR="008339C1">
        <w:rPr>
          <w:lang w:eastAsia="en-US"/>
        </w:rPr>
        <w:t xml:space="preserve"> a report to police</w:t>
      </w:r>
      <w:r w:rsidRPr="002A63F9" w:rsidR="00B92E8B">
        <w:rPr>
          <w:lang w:eastAsia="en-US"/>
        </w:rPr>
        <w:t>.</w:t>
      </w:r>
      <w:r w:rsidRPr="002A63F9" w:rsidR="006654FB">
        <w:rPr>
          <w:rStyle w:val="EndnoteReference"/>
          <w:lang w:eastAsia="en-US"/>
        </w:rPr>
        <w:endnoteReference w:id="208"/>
      </w:r>
      <w:r w:rsidRPr="002A63F9" w:rsidR="00817EF3">
        <w:rPr>
          <w:lang w:eastAsia="en-US"/>
        </w:rPr>
        <w:t xml:space="preserve"> </w:t>
      </w:r>
      <w:r w:rsidRPr="002A63F9" w:rsidR="00863C53">
        <w:rPr>
          <w:lang w:eastAsia="en-US"/>
        </w:rPr>
        <w:t xml:space="preserve">Of note, </w:t>
      </w:r>
      <w:r w:rsidRPr="002A63F9" w:rsidR="002F2793">
        <w:rPr>
          <w:lang w:eastAsia="en-US"/>
        </w:rPr>
        <w:t>independent support person</w:t>
      </w:r>
      <w:r w:rsidRPr="002A63F9" w:rsidR="00A1530F">
        <w:rPr>
          <w:lang w:eastAsia="en-US"/>
        </w:rPr>
        <w:t xml:space="preserve"> programs </w:t>
      </w:r>
      <w:r w:rsidRPr="002A63F9" w:rsidR="00A613B0">
        <w:rPr>
          <w:lang w:eastAsia="en-US"/>
        </w:rPr>
        <w:t xml:space="preserve">are </w:t>
      </w:r>
      <w:r w:rsidRPr="002A63F9" w:rsidR="00482CE4">
        <w:rPr>
          <w:lang w:eastAsia="en-US"/>
        </w:rPr>
        <w:t xml:space="preserve">not consistently </w:t>
      </w:r>
      <w:r w:rsidRPr="002A63F9" w:rsidR="00F81EF7">
        <w:rPr>
          <w:lang w:eastAsia="en-US"/>
        </w:rPr>
        <w:t xml:space="preserve">provided </w:t>
      </w:r>
      <w:r w:rsidRPr="002A63F9" w:rsidR="00521D6C">
        <w:rPr>
          <w:lang w:eastAsia="en-US"/>
        </w:rPr>
        <w:t>throughout</w:t>
      </w:r>
      <w:r w:rsidRPr="002A63F9" w:rsidR="00074F83">
        <w:rPr>
          <w:lang w:eastAsia="en-US"/>
        </w:rPr>
        <w:t xml:space="preserve"> Australian states and territories. </w:t>
      </w:r>
      <w:r w:rsidRPr="002A63F9" w:rsidR="00386616">
        <w:rPr>
          <w:lang w:eastAsia="en-US"/>
        </w:rPr>
        <w:t>Where they are provided</w:t>
      </w:r>
      <w:r w:rsidRPr="002A63F9" w:rsidR="001F31EE">
        <w:rPr>
          <w:lang w:eastAsia="en-US"/>
        </w:rPr>
        <w:t>, for example in NSW (Justice Advoca</w:t>
      </w:r>
      <w:r w:rsidRPr="002A63F9" w:rsidR="00F746F6">
        <w:rPr>
          <w:lang w:eastAsia="en-US"/>
        </w:rPr>
        <w:t>cy Service)</w:t>
      </w:r>
      <w:r w:rsidRPr="002A63F9" w:rsidR="00312B16">
        <w:rPr>
          <w:rStyle w:val="EndnoteReference"/>
          <w:lang w:eastAsia="en-US"/>
        </w:rPr>
        <w:endnoteReference w:id="209"/>
      </w:r>
      <w:r w:rsidRPr="002A63F9" w:rsidR="00F746F6">
        <w:rPr>
          <w:lang w:eastAsia="en-US"/>
        </w:rPr>
        <w:t xml:space="preserve"> </w:t>
      </w:r>
      <w:r w:rsidRPr="002A63F9" w:rsidR="001F31EE">
        <w:rPr>
          <w:lang w:eastAsia="en-US"/>
        </w:rPr>
        <w:t>and Victoria</w:t>
      </w:r>
      <w:r w:rsidRPr="002A63F9" w:rsidR="00F746F6">
        <w:rPr>
          <w:lang w:eastAsia="en-US"/>
        </w:rPr>
        <w:t xml:space="preserve"> (Independent Third Persons)</w:t>
      </w:r>
      <w:r w:rsidRPr="002A63F9" w:rsidR="002B3E5D">
        <w:rPr>
          <w:lang w:eastAsia="en-US"/>
        </w:rPr>
        <w:t>,</w:t>
      </w:r>
      <w:r w:rsidRPr="002A63F9" w:rsidR="008B11D1">
        <w:rPr>
          <w:rStyle w:val="EndnoteReference"/>
          <w:lang w:eastAsia="en-US"/>
        </w:rPr>
        <w:endnoteReference w:id="210"/>
      </w:r>
      <w:r w:rsidRPr="002A63F9" w:rsidR="00386616">
        <w:rPr>
          <w:lang w:eastAsia="en-US"/>
        </w:rPr>
        <w:t xml:space="preserve"> the programs are non-statutory. </w:t>
      </w:r>
    </w:p>
    <w:p w:rsidRPr="002A63F9" w:rsidR="00CC5B2C" w:rsidP="00D5779A" w:rsidRDefault="00D360BA" w14:paraId="35E16E31" w14:textId="1FEBFD1A">
      <w:pPr>
        <w:pStyle w:val="ListNumber"/>
        <w:rPr>
          <w:lang w:eastAsia="en-US"/>
        </w:rPr>
      </w:pPr>
      <w:r w:rsidRPr="002A63F9">
        <w:rPr>
          <w:lang w:eastAsia="en-US"/>
        </w:rPr>
        <w:t xml:space="preserve">In some instances, </w:t>
      </w:r>
      <w:r w:rsidRPr="002A63F9" w:rsidR="00D64831">
        <w:rPr>
          <w:lang w:eastAsia="en-US"/>
        </w:rPr>
        <w:t>police</w:t>
      </w:r>
      <w:r w:rsidRPr="002A63F9" w:rsidR="0031748E">
        <w:rPr>
          <w:lang w:eastAsia="en-US"/>
        </w:rPr>
        <w:t xml:space="preserve"> may refuse to </w:t>
      </w:r>
      <w:r w:rsidRPr="002A63F9" w:rsidR="00BF1BC6">
        <w:rPr>
          <w:lang w:eastAsia="en-US"/>
        </w:rPr>
        <w:t>accept or take</w:t>
      </w:r>
      <w:r w:rsidRPr="002A63F9" w:rsidR="0031748E">
        <w:rPr>
          <w:lang w:eastAsia="en-US"/>
        </w:rPr>
        <w:t xml:space="preserve"> </w:t>
      </w:r>
      <w:r w:rsidRPr="002A63F9" w:rsidR="00B84D4A">
        <w:rPr>
          <w:lang w:eastAsia="en-US"/>
        </w:rPr>
        <w:t xml:space="preserve">a </w:t>
      </w:r>
      <w:r w:rsidRPr="002A63F9" w:rsidR="0031748E">
        <w:rPr>
          <w:lang w:eastAsia="en-US"/>
        </w:rPr>
        <w:t>report</w:t>
      </w:r>
      <w:r w:rsidRPr="002A63F9" w:rsidR="009C2BAC">
        <w:rPr>
          <w:lang w:eastAsia="en-US"/>
        </w:rPr>
        <w:t xml:space="preserve"> </w:t>
      </w:r>
      <w:r w:rsidRPr="002A63F9" w:rsidR="00B84D4A">
        <w:rPr>
          <w:lang w:eastAsia="en-US"/>
        </w:rPr>
        <w:t xml:space="preserve">of violence </w:t>
      </w:r>
      <w:r w:rsidRPr="002A63F9" w:rsidR="009C2BAC">
        <w:rPr>
          <w:lang w:eastAsia="en-US"/>
        </w:rPr>
        <w:t xml:space="preserve">and </w:t>
      </w:r>
      <w:r w:rsidRPr="002A63F9" w:rsidR="006731BF">
        <w:rPr>
          <w:lang w:eastAsia="en-US"/>
        </w:rPr>
        <w:t xml:space="preserve">will </w:t>
      </w:r>
      <w:r w:rsidRPr="002A63F9" w:rsidR="009C2BAC">
        <w:rPr>
          <w:lang w:eastAsia="en-US"/>
        </w:rPr>
        <w:t xml:space="preserve">instead treat the report </w:t>
      </w:r>
      <w:r w:rsidRPr="002A63F9" w:rsidR="00F645AE">
        <w:rPr>
          <w:lang w:eastAsia="en-US"/>
        </w:rPr>
        <w:t xml:space="preserve">of violence </w:t>
      </w:r>
      <w:r w:rsidRPr="002A63F9" w:rsidR="009C2BAC">
        <w:rPr>
          <w:lang w:eastAsia="en-US"/>
        </w:rPr>
        <w:t xml:space="preserve">as a </w:t>
      </w:r>
      <w:r w:rsidRPr="002A63F9" w:rsidR="00E42252">
        <w:rPr>
          <w:lang w:eastAsia="en-US"/>
        </w:rPr>
        <w:t>‘</w:t>
      </w:r>
      <w:r w:rsidRPr="002A63F9" w:rsidR="009C2BAC">
        <w:rPr>
          <w:lang w:eastAsia="en-US"/>
        </w:rPr>
        <w:t>service incident</w:t>
      </w:r>
      <w:r w:rsidRPr="002A63F9" w:rsidR="00E42252">
        <w:rPr>
          <w:lang w:eastAsia="en-US"/>
        </w:rPr>
        <w:t>’</w:t>
      </w:r>
      <w:r w:rsidRPr="002A63F9" w:rsidR="009C2BAC">
        <w:rPr>
          <w:lang w:eastAsia="en-US"/>
        </w:rPr>
        <w:t>.</w:t>
      </w:r>
      <w:r w:rsidRPr="002A63F9" w:rsidR="007249ED">
        <w:rPr>
          <w:rStyle w:val="EndnoteReference"/>
          <w:lang w:eastAsia="en-US"/>
        </w:rPr>
        <w:endnoteReference w:id="211"/>
      </w:r>
      <w:r w:rsidRPr="002A63F9" w:rsidR="009C2BAC">
        <w:rPr>
          <w:lang w:eastAsia="en-US"/>
        </w:rPr>
        <w:t xml:space="preserve"> </w:t>
      </w:r>
      <w:r w:rsidRPr="002A63F9" w:rsidR="0068688D">
        <w:rPr>
          <w:lang w:eastAsia="en-US"/>
        </w:rPr>
        <w:t xml:space="preserve">This </w:t>
      </w:r>
      <w:r w:rsidRPr="002A63F9" w:rsidR="0022781E">
        <w:rPr>
          <w:lang w:eastAsia="en-US"/>
        </w:rPr>
        <w:t>can</w:t>
      </w:r>
      <w:r w:rsidRPr="002A63F9" w:rsidR="0068688D">
        <w:rPr>
          <w:lang w:eastAsia="en-US"/>
        </w:rPr>
        <w:t xml:space="preserve"> occur where the</w:t>
      </w:r>
      <w:r w:rsidRPr="002A63F9" w:rsidR="00DE0B86">
        <w:rPr>
          <w:lang w:eastAsia="en-US"/>
        </w:rPr>
        <w:t xml:space="preserve"> violence occurs in an </w:t>
      </w:r>
      <w:r w:rsidRPr="002A63F9" w:rsidR="004B49D5">
        <w:rPr>
          <w:lang w:eastAsia="en-US"/>
        </w:rPr>
        <w:t>institution</w:t>
      </w:r>
      <w:r w:rsidRPr="002A63F9" w:rsidR="008C705E">
        <w:rPr>
          <w:lang w:eastAsia="en-US"/>
        </w:rPr>
        <w:t>al or service setting.</w:t>
      </w:r>
      <w:r w:rsidRPr="002A63F9" w:rsidR="00266836">
        <w:rPr>
          <w:lang w:eastAsia="en-US"/>
        </w:rPr>
        <w:t xml:space="preserve"> According to </w:t>
      </w:r>
      <w:r w:rsidRPr="002A63F9" w:rsidR="000E3808">
        <w:rPr>
          <w:lang w:eastAsia="en-US"/>
        </w:rPr>
        <w:t>r</w:t>
      </w:r>
      <w:r w:rsidRPr="002A63F9" w:rsidR="00266836">
        <w:rPr>
          <w:lang w:eastAsia="en-US"/>
        </w:rPr>
        <w:t xml:space="preserve">esearch conducted by </w:t>
      </w:r>
      <w:r w:rsidRPr="002A63F9" w:rsidR="00C702C5">
        <w:rPr>
          <w:lang w:eastAsia="en-US"/>
        </w:rPr>
        <w:t xml:space="preserve">the </w:t>
      </w:r>
      <w:r w:rsidRPr="002A63F9" w:rsidR="00266836">
        <w:rPr>
          <w:lang w:eastAsia="en-US"/>
        </w:rPr>
        <w:t xml:space="preserve">VEOHRC, </w:t>
      </w:r>
      <w:r w:rsidRPr="002A63F9" w:rsidR="00397477">
        <w:rPr>
          <w:lang w:eastAsia="en-US"/>
        </w:rPr>
        <w:t>some police officers will advise service providers to conduct an internal investigation prior to the pursuit of a criminal complaint</w:t>
      </w:r>
      <w:r w:rsidRPr="002A63F9" w:rsidR="00BD226E">
        <w:rPr>
          <w:lang w:eastAsia="en-US"/>
        </w:rPr>
        <w:t>.</w:t>
      </w:r>
      <w:r w:rsidRPr="002A63F9" w:rsidR="007115A8">
        <w:rPr>
          <w:rStyle w:val="EndnoteReference"/>
          <w:lang w:eastAsia="en-US"/>
        </w:rPr>
        <w:endnoteReference w:id="212"/>
      </w:r>
      <w:r w:rsidRPr="002A63F9" w:rsidR="00593909">
        <w:rPr>
          <w:lang w:eastAsia="en-US"/>
        </w:rPr>
        <w:t xml:space="preserve"> </w:t>
      </w:r>
    </w:p>
    <w:p w:rsidRPr="002A63F9" w:rsidR="00334EA6" w:rsidP="00334EA6" w:rsidRDefault="003C213A" w14:paraId="0F7FB16A" w14:textId="450A5EBF">
      <w:pPr>
        <w:pStyle w:val="TOCHeading"/>
        <w:rPr>
          <w:lang w:val="en-GB"/>
        </w:rPr>
      </w:pPr>
      <w:r w:rsidRPr="002A63F9">
        <w:rPr>
          <w:lang w:val="en-GB"/>
        </w:rPr>
        <w:t>5</w:t>
      </w:r>
      <w:r w:rsidRPr="002A63F9" w:rsidR="004F1366">
        <w:rPr>
          <w:lang w:val="en-GB"/>
        </w:rPr>
        <w:t>.</w:t>
      </w:r>
      <w:r w:rsidRPr="002A63F9" w:rsidR="003957E5">
        <w:rPr>
          <w:lang w:val="en-GB"/>
        </w:rPr>
        <w:t>7</w:t>
      </w:r>
      <w:r w:rsidRPr="002A63F9" w:rsidR="004F1366">
        <w:rPr>
          <w:lang w:val="en-GB"/>
        </w:rPr>
        <w:t>.</w:t>
      </w:r>
      <w:r w:rsidRPr="002A63F9" w:rsidR="003957E5">
        <w:rPr>
          <w:lang w:val="en-GB"/>
        </w:rPr>
        <w:t>3</w:t>
      </w:r>
      <w:r w:rsidRPr="002A63F9" w:rsidR="004F1366">
        <w:rPr>
          <w:lang w:val="en-GB"/>
        </w:rPr>
        <w:t xml:space="preserve"> </w:t>
      </w:r>
      <w:r w:rsidRPr="002A63F9" w:rsidR="007D6544">
        <w:rPr>
          <w:lang w:val="en-GB"/>
        </w:rPr>
        <w:t>Underreporting in c</w:t>
      </w:r>
      <w:r w:rsidRPr="002A63F9" w:rsidR="00B47DB9">
        <w:rPr>
          <w:lang w:val="en-GB"/>
        </w:rPr>
        <w:t>losed settings</w:t>
      </w:r>
      <w:r w:rsidRPr="002A63F9" w:rsidR="00574C65">
        <w:rPr>
          <w:lang w:val="en-GB"/>
        </w:rPr>
        <w:t xml:space="preserve"> </w:t>
      </w:r>
    </w:p>
    <w:p w:rsidRPr="002A63F9" w:rsidR="00A37202" w:rsidP="00D5779A" w:rsidRDefault="00FE6FAC" w14:paraId="572DD209" w14:textId="744A7941">
      <w:pPr>
        <w:pStyle w:val="ListNumber"/>
        <w:rPr>
          <w:lang w:eastAsia="en-US"/>
        </w:rPr>
      </w:pPr>
      <w:r w:rsidRPr="002A63F9">
        <w:rPr>
          <w:lang w:eastAsia="en-US"/>
        </w:rPr>
        <w:t xml:space="preserve">Underreporting can </w:t>
      </w:r>
      <w:r w:rsidRPr="002A63F9" w:rsidR="00397477">
        <w:rPr>
          <w:lang w:eastAsia="en-US"/>
        </w:rPr>
        <w:t xml:space="preserve">also </w:t>
      </w:r>
      <w:r w:rsidRPr="002A63F9">
        <w:rPr>
          <w:lang w:eastAsia="en-US"/>
        </w:rPr>
        <w:t>occur when violence</w:t>
      </w:r>
      <w:r w:rsidRPr="002A63F9" w:rsidR="007314EB">
        <w:rPr>
          <w:lang w:eastAsia="en-US"/>
        </w:rPr>
        <w:t xml:space="preserve">, abuse, neglect or exploitation </w:t>
      </w:r>
      <w:r w:rsidRPr="002A63F9" w:rsidR="00FA18A2">
        <w:rPr>
          <w:lang w:eastAsia="en-US"/>
        </w:rPr>
        <w:t>take</w:t>
      </w:r>
      <w:r w:rsidRPr="002A63F9" w:rsidR="00804CAA">
        <w:rPr>
          <w:lang w:eastAsia="en-US"/>
        </w:rPr>
        <w:t>s</w:t>
      </w:r>
      <w:r w:rsidRPr="002A63F9" w:rsidR="00FA18A2">
        <w:rPr>
          <w:lang w:eastAsia="en-US"/>
        </w:rPr>
        <w:t xml:space="preserve"> place</w:t>
      </w:r>
      <w:r w:rsidRPr="002A63F9" w:rsidR="00D05227">
        <w:rPr>
          <w:lang w:eastAsia="en-US"/>
        </w:rPr>
        <w:t xml:space="preserve"> in </w:t>
      </w:r>
      <w:r w:rsidRPr="002A63F9" w:rsidR="008603A2">
        <w:rPr>
          <w:lang w:eastAsia="en-US"/>
        </w:rPr>
        <w:t xml:space="preserve">a </w:t>
      </w:r>
      <w:r w:rsidRPr="002A63F9" w:rsidR="00D05227">
        <w:rPr>
          <w:lang w:eastAsia="en-US"/>
        </w:rPr>
        <w:t>closed or congregate</w:t>
      </w:r>
      <w:r w:rsidR="00A075CF">
        <w:rPr>
          <w:lang w:eastAsia="en-US"/>
        </w:rPr>
        <w:t>d</w:t>
      </w:r>
      <w:r w:rsidRPr="002A63F9" w:rsidR="00D05227">
        <w:rPr>
          <w:lang w:eastAsia="en-US"/>
        </w:rPr>
        <w:t xml:space="preserve"> setting</w:t>
      </w:r>
      <w:r w:rsidRPr="002A63F9">
        <w:rPr>
          <w:lang w:eastAsia="en-US"/>
        </w:rPr>
        <w:t>.</w:t>
      </w:r>
      <w:r w:rsidRPr="002A63F9" w:rsidR="005B5D18">
        <w:rPr>
          <w:lang w:eastAsia="en-US"/>
        </w:rPr>
        <w:t xml:space="preserve"> </w:t>
      </w:r>
      <w:r w:rsidRPr="002A63F9" w:rsidR="003A3F82">
        <w:rPr>
          <w:lang w:eastAsia="en-US"/>
        </w:rPr>
        <w:t xml:space="preserve">A closed or </w:t>
      </w:r>
      <w:r w:rsidRPr="002A63F9" w:rsidR="00316AB9">
        <w:rPr>
          <w:lang w:eastAsia="en-US"/>
        </w:rPr>
        <w:t>congregate</w:t>
      </w:r>
      <w:r w:rsidR="00A075CF">
        <w:rPr>
          <w:lang w:eastAsia="en-US"/>
        </w:rPr>
        <w:t>d</w:t>
      </w:r>
      <w:r w:rsidRPr="002A63F9" w:rsidR="00316AB9">
        <w:rPr>
          <w:lang w:eastAsia="en-US"/>
        </w:rPr>
        <w:t xml:space="preserve"> setting</w:t>
      </w:r>
      <w:r w:rsidRPr="002A63F9" w:rsidR="00D71CCC">
        <w:rPr>
          <w:lang w:eastAsia="en-US"/>
        </w:rPr>
        <w:t xml:space="preserve"> </w:t>
      </w:r>
      <w:r w:rsidRPr="002A63F9" w:rsidR="00A75BBD">
        <w:rPr>
          <w:lang w:eastAsia="en-US"/>
        </w:rPr>
        <w:t>may</w:t>
      </w:r>
      <w:r w:rsidRPr="002A63F9" w:rsidR="00D71CCC">
        <w:rPr>
          <w:lang w:eastAsia="en-US"/>
        </w:rPr>
        <w:t xml:space="preserve"> include</w:t>
      </w:r>
      <w:r w:rsidR="001440C0">
        <w:rPr>
          <w:lang w:eastAsia="en-US"/>
        </w:rPr>
        <w:t>,</w:t>
      </w:r>
      <w:r w:rsidRPr="002A63F9" w:rsidR="00611E8C">
        <w:rPr>
          <w:lang w:eastAsia="en-US"/>
        </w:rPr>
        <w:t xml:space="preserve"> but is not limited to</w:t>
      </w:r>
      <w:r w:rsidR="001440C0">
        <w:rPr>
          <w:lang w:eastAsia="en-US"/>
        </w:rPr>
        <w:t>,</w:t>
      </w:r>
      <w:r w:rsidRPr="002A63F9" w:rsidR="00D71CCC">
        <w:rPr>
          <w:lang w:eastAsia="en-US"/>
        </w:rPr>
        <w:t xml:space="preserve"> Australian </w:t>
      </w:r>
      <w:r w:rsidRPr="002A63F9" w:rsidR="00436193">
        <w:rPr>
          <w:lang w:eastAsia="en-US"/>
        </w:rPr>
        <w:t>Disability</w:t>
      </w:r>
      <w:r w:rsidRPr="002A63F9" w:rsidR="00D71CCC">
        <w:rPr>
          <w:lang w:eastAsia="en-US"/>
        </w:rPr>
        <w:t xml:space="preserve"> Enterprise</w:t>
      </w:r>
      <w:r w:rsidRPr="002A63F9" w:rsidR="00F43C52">
        <w:rPr>
          <w:lang w:eastAsia="en-US"/>
        </w:rPr>
        <w:t>s</w:t>
      </w:r>
      <w:r w:rsidRPr="002A63F9" w:rsidR="00D71CCC">
        <w:rPr>
          <w:lang w:eastAsia="en-US"/>
        </w:rPr>
        <w:t xml:space="preserve"> (ADE), </w:t>
      </w:r>
      <w:r w:rsidRPr="002A63F9" w:rsidR="00F43C52">
        <w:rPr>
          <w:lang w:eastAsia="en-US"/>
        </w:rPr>
        <w:t xml:space="preserve">mental health </w:t>
      </w:r>
      <w:r w:rsidRPr="002A63F9" w:rsidR="00F43C52">
        <w:rPr>
          <w:lang w:eastAsia="en-US"/>
        </w:rPr>
        <w:lastRenderedPageBreak/>
        <w:t>facilities</w:t>
      </w:r>
      <w:r w:rsidRPr="002A63F9" w:rsidR="00A109E7">
        <w:rPr>
          <w:lang w:eastAsia="en-US"/>
        </w:rPr>
        <w:t>, supported group accommodation</w:t>
      </w:r>
      <w:r w:rsidRPr="002A63F9" w:rsidR="00F43C52">
        <w:rPr>
          <w:lang w:eastAsia="en-US"/>
        </w:rPr>
        <w:t>, educational settings, hospitals or correctional facilities.</w:t>
      </w:r>
      <w:r w:rsidRPr="002A63F9" w:rsidR="00F43C52">
        <w:rPr>
          <w:rStyle w:val="EndnoteReference"/>
          <w:lang w:eastAsia="en-US"/>
        </w:rPr>
        <w:endnoteReference w:id="213"/>
      </w:r>
      <w:r w:rsidRPr="002A63F9" w:rsidR="00A109E7">
        <w:rPr>
          <w:lang w:eastAsia="en-US"/>
        </w:rPr>
        <w:t xml:space="preserve"> </w:t>
      </w:r>
    </w:p>
    <w:p w:rsidRPr="002A63F9" w:rsidR="008D5F59" w:rsidP="00D5779A" w:rsidRDefault="00F776A6" w14:paraId="279A9E04" w14:textId="286CD5CB">
      <w:pPr>
        <w:pStyle w:val="ListNumber"/>
        <w:rPr>
          <w:lang w:eastAsia="en-US"/>
        </w:rPr>
      </w:pPr>
      <w:r w:rsidRPr="002A63F9">
        <w:rPr>
          <w:lang w:eastAsia="en-US"/>
        </w:rPr>
        <w:t>I</w:t>
      </w:r>
      <w:r w:rsidRPr="002A63F9" w:rsidR="001B7C9F">
        <w:rPr>
          <w:lang w:eastAsia="en-US"/>
        </w:rPr>
        <w:t xml:space="preserve">n </w:t>
      </w:r>
      <w:r w:rsidRPr="002A63F9" w:rsidR="00837F0C">
        <w:rPr>
          <w:lang w:eastAsia="en-US"/>
        </w:rPr>
        <w:t>closed</w:t>
      </w:r>
      <w:r w:rsidRPr="002A63F9" w:rsidR="001B7C9F">
        <w:rPr>
          <w:lang w:eastAsia="en-US"/>
        </w:rPr>
        <w:t xml:space="preserve"> settings, people with disability have limited access to means of reporting violence.</w:t>
      </w:r>
      <w:r w:rsidRPr="002A63F9" w:rsidR="009C01AE">
        <w:rPr>
          <w:rStyle w:val="EndnoteReference"/>
          <w:lang w:eastAsia="en-US"/>
        </w:rPr>
        <w:endnoteReference w:id="214"/>
      </w:r>
      <w:r w:rsidRPr="002A63F9" w:rsidR="001B7C9F">
        <w:rPr>
          <w:lang w:eastAsia="en-US"/>
        </w:rPr>
        <w:t xml:space="preserve"> </w:t>
      </w:r>
      <w:r w:rsidRPr="002A63F9" w:rsidR="002876BD">
        <w:rPr>
          <w:lang w:eastAsia="en-US"/>
        </w:rPr>
        <w:t xml:space="preserve">In turn, people </w:t>
      </w:r>
      <w:r w:rsidRPr="002A63F9" w:rsidR="004B20C6">
        <w:rPr>
          <w:lang w:eastAsia="en-US"/>
        </w:rPr>
        <w:t xml:space="preserve">with disability </w:t>
      </w:r>
      <w:r w:rsidRPr="002A63F9" w:rsidR="002876BD">
        <w:rPr>
          <w:lang w:eastAsia="en-US"/>
        </w:rPr>
        <w:t xml:space="preserve">may be reliant on carers or staff to </w:t>
      </w:r>
      <w:r w:rsidRPr="002A63F9" w:rsidR="005A4E69">
        <w:rPr>
          <w:lang w:eastAsia="en-US"/>
        </w:rPr>
        <w:t>assist them in making a report to police</w:t>
      </w:r>
      <w:r w:rsidRPr="002A63F9" w:rsidR="002876BD">
        <w:rPr>
          <w:lang w:eastAsia="en-US"/>
        </w:rPr>
        <w:t>.</w:t>
      </w:r>
      <w:r w:rsidRPr="002A63F9" w:rsidR="00623BBF">
        <w:rPr>
          <w:rStyle w:val="EndnoteReference"/>
          <w:lang w:eastAsia="en-US"/>
        </w:rPr>
        <w:endnoteReference w:id="215"/>
      </w:r>
      <w:r w:rsidRPr="002A63F9" w:rsidR="005A4E69">
        <w:rPr>
          <w:lang w:eastAsia="en-US"/>
        </w:rPr>
        <w:t xml:space="preserve"> Similar issues </w:t>
      </w:r>
      <w:r w:rsidRPr="002A63F9" w:rsidR="0064742D">
        <w:rPr>
          <w:lang w:eastAsia="en-US"/>
        </w:rPr>
        <w:t>can arise where the violence, abuse, neglect or exploitation is perpetrated by a family member.</w:t>
      </w:r>
      <w:r w:rsidRPr="002A63F9" w:rsidR="00E86C55">
        <w:rPr>
          <w:rStyle w:val="EndnoteReference"/>
          <w:lang w:eastAsia="en-US"/>
        </w:rPr>
        <w:endnoteReference w:id="216"/>
      </w:r>
      <w:r w:rsidRPr="002A63F9" w:rsidR="0064742D">
        <w:rPr>
          <w:lang w:eastAsia="en-US"/>
        </w:rPr>
        <w:t xml:space="preserve"> </w:t>
      </w:r>
    </w:p>
    <w:p w:rsidRPr="002A63F9" w:rsidR="00A109E7" w:rsidP="00D5779A" w:rsidRDefault="0008427D" w14:paraId="4ECC1027" w14:textId="5629E2CE">
      <w:pPr>
        <w:pStyle w:val="ListNumber"/>
        <w:rPr>
          <w:lang w:eastAsia="en-US"/>
        </w:rPr>
      </w:pPr>
      <w:r w:rsidRPr="002A63F9">
        <w:rPr>
          <w:lang w:eastAsia="en-US"/>
        </w:rPr>
        <w:t xml:space="preserve">Fear of retribution in the service setting can prevent people with disability </w:t>
      </w:r>
      <w:r w:rsidRPr="002A63F9" w:rsidR="000D52C7">
        <w:rPr>
          <w:lang w:eastAsia="en-US"/>
        </w:rPr>
        <w:t xml:space="preserve">from </w:t>
      </w:r>
      <w:r w:rsidRPr="002A63F9" w:rsidR="00F12D56">
        <w:rPr>
          <w:lang w:eastAsia="en-US"/>
        </w:rPr>
        <w:t xml:space="preserve">reporting </w:t>
      </w:r>
      <w:r w:rsidRPr="002A63F9" w:rsidR="00B271EB">
        <w:rPr>
          <w:lang w:eastAsia="en-US"/>
        </w:rPr>
        <w:t>instances of violence, abuse, neglect or exploitation</w:t>
      </w:r>
      <w:r w:rsidRPr="002A63F9" w:rsidR="00F12D56">
        <w:rPr>
          <w:lang w:eastAsia="en-US"/>
        </w:rPr>
        <w:t>.</w:t>
      </w:r>
      <w:r w:rsidRPr="002A63F9" w:rsidR="00780A20">
        <w:rPr>
          <w:rStyle w:val="EndnoteReference"/>
          <w:lang w:eastAsia="en-US"/>
        </w:rPr>
        <w:endnoteReference w:id="217"/>
      </w:r>
      <w:r w:rsidRPr="002A63F9" w:rsidR="00780A20">
        <w:rPr>
          <w:lang w:eastAsia="en-US"/>
        </w:rPr>
        <w:t xml:space="preserve"> Studies suggest that the fear of losing supports or housing can </w:t>
      </w:r>
      <w:r w:rsidR="003666A5">
        <w:rPr>
          <w:lang w:eastAsia="en-US"/>
        </w:rPr>
        <w:t>dissuade or</w:t>
      </w:r>
      <w:r w:rsidRPr="002A63F9" w:rsidR="001E7AED">
        <w:rPr>
          <w:lang w:eastAsia="en-US"/>
        </w:rPr>
        <w:t xml:space="preserve"> prevent people with disability from making a report.</w:t>
      </w:r>
      <w:r w:rsidRPr="002A63F9" w:rsidR="00780A20">
        <w:rPr>
          <w:rStyle w:val="EndnoteReference"/>
          <w:lang w:eastAsia="en-US"/>
        </w:rPr>
        <w:endnoteReference w:id="218"/>
      </w:r>
      <w:r w:rsidRPr="002A63F9" w:rsidR="00780A20">
        <w:rPr>
          <w:lang w:eastAsia="en-US"/>
        </w:rPr>
        <w:t xml:space="preserve"> </w:t>
      </w:r>
    </w:p>
    <w:p w:rsidRPr="002A63F9" w:rsidR="00DD7540" w:rsidP="00D5779A" w:rsidRDefault="001E5FDD" w14:paraId="7EE70247" w14:textId="6BB725BC">
      <w:pPr>
        <w:pStyle w:val="ListNumber"/>
        <w:rPr>
          <w:lang w:eastAsia="en-US"/>
        </w:rPr>
      </w:pPr>
      <w:r w:rsidRPr="002A63F9">
        <w:rPr>
          <w:lang w:eastAsia="en-US"/>
        </w:rPr>
        <w:t>Where violence does occur in closed settings, research from the VEOHRC suggests that service staff may justify the violence as a function of ‘behaviour management’.</w:t>
      </w:r>
      <w:r w:rsidRPr="002A63F9">
        <w:rPr>
          <w:rStyle w:val="EndnoteReference"/>
          <w:lang w:eastAsia="en-US"/>
        </w:rPr>
        <w:endnoteReference w:id="219"/>
      </w:r>
      <w:r w:rsidRPr="002A63F9">
        <w:rPr>
          <w:lang w:eastAsia="en-US"/>
        </w:rPr>
        <w:t xml:space="preserve"> Workforce issues such as understaffing, a casualised workforce, minimal training and knowledge of human rights can all contribute to a failure to identify and report abuse.</w:t>
      </w:r>
      <w:r w:rsidRPr="002A63F9">
        <w:rPr>
          <w:rStyle w:val="EndnoteReference"/>
          <w:lang w:eastAsia="en-US"/>
        </w:rPr>
        <w:endnoteReference w:id="220"/>
      </w:r>
    </w:p>
    <w:p w:rsidRPr="002A63F9" w:rsidR="00933041" w:rsidP="00D5779A" w:rsidRDefault="004C7570" w14:paraId="0E3EA521" w14:textId="09D1C27F">
      <w:pPr>
        <w:pStyle w:val="ListNumber"/>
        <w:rPr>
          <w:lang w:eastAsia="en-US"/>
        </w:rPr>
      </w:pPr>
      <w:r w:rsidRPr="002A63F9">
        <w:rPr>
          <w:lang w:eastAsia="en-US"/>
        </w:rPr>
        <w:t>In</w:t>
      </w:r>
      <w:r w:rsidRPr="002A63F9" w:rsidR="009330CD">
        <w:rPr>
          <w:lang w:eastAsia="en-US"/>
        </w:rPr>
        <w:t xml:space="preserve"> the </w:t>
      </w:r>
      <w:r w:rsidRPr="002A63F9" w:rsidR="00DD7540">
        <w:rPr>
          <w:lang w:eastAsia="en-US"/>
        </w:rPr>
        <w:t>2015</w:t>
      </w:r>
      <w:r w:rsidRPr="002A63F9" w:rsidR="007807EB">
        <w:rPr>
          <w:lang w:eastAsia="en-US"/>
        </w:rPr>
        <w:t xml:space="preserve"> </w:t>
      </w:r>
      <w:r w:rsidRPr="002A63F9" w:rsidR="00DD7540">
        <w:rPr>
          <w:lang w:eastAsia="en-US"/>
        </w:rPr>
        <w:t xml:space="preserve">Commonwealth Community Affairs </w:t>
      </w:r>
      <w:r w:rsidRPr="002A63F9">
        <w:rPr>
          <w:lang w:eastAsia="en-US"/>
        </w:rPr>
        <w:t xml:space="preserve">References </w:t>
      </w:r>
      <w:r w:rsidRPr="002A63F9" w:rsidR="00DD7540">
        <w:rPr>
          <w:lang w:eastAsia="en-US"/>
        </w:rPr>
        <w:t xml:space="preserve">Committee </w:t>
      </w:r>
      <w:r w:rsidRPr="002A63F9" w:rsidR="009330CD">
        <w:rPr>
          <w:lang w:eastAsia="en-US"/>
        </w:rPr>
        <w:t xml:space="preserve">Senate Report, </w:t>
      </w:r>
      <w:r w:rsidRPr="002A63F9" w:rsidR="005C75F8">
        <w:rPr>
          <w:lang w:eastAsia="en-US"/>
        </w:rPr>
        <w:t xml:space="preserve">the Committee recommended </w:t>
      </w:r>
      <w:r w:rsidRPr="002A63F9" w:rsidR="00475D51">
        <w:rPr>
          <w:lang w:eastAsia="en-US"/>
        </w:rPr>
        <w:t xml:space="preserve">that </w:t>
      </w:r>
      <w:r w:rsidRPr="002A63F9" w:rsidR="005C75F8">
        <w:rPr>
          <w:lang w:eastAsia="en-US"/>
        </w:rPr>
        <w:t xml:space="preserve">the Australian </w:t>
      </w:r>
      <w:r w:rsidRPr="002A63F9" w:rsidR="00475D51">
        <w:rPr>
          <w:lang w:eastAsia="en-US"/>
        </w:rPr>
        <w:t>G</w:t>
      </w:r>
      <w:r w:rsidRPr="002A63F9" w:rsidR="005C75F8">
        <w:rPr>
          <w:lang w:eastAsia="en-US"/>
        </w:rPr>
        <w:t>overnment</w:t>
      </w:r>
      <w:r w:rsidRPr="002A63F9">
        <w:rPr>
          <w:lang w:eastAsia="en-US"/>
        </w:rPr>
        <w:t xml:space="preserve"> </w:t>
      </w:r>
      <w:r w:rsidRPr="002A63F9" w:rsidR="00E9207E">
        <w:rPr>
          <w:lang w:eastAsia="en-US"/>
        </w:rPr>
        <w:t>‘</w:t>
      </w:r>
      <w:r w:rsidRPr="002A63F9" w:rsidR="005C75F8">
        <w:rPr>
          <w:lang w:eastAsia="en-US"/>
        </w:rPr>
        <w:t xml:space="preserve">establish a scheme </w:t>
      </w:r>
      <w:r w:rsidRPr="002A63F9" w:rsidR="00F97E92">
        <w:rPr>
          <w:lang w:eastAsia="en-US"/>
        </w:rPr>
        <w:t>to ensure national consistency in disability worker training</w:t>
      </w:r>
      <w:r w:rsidRPr="002A63F9" w:rsidR="007C3BDC">
        <w:rPr>
          <w:lang w:eastAsia="en-US"/>
        </w:rPr>
        <w:t xml:space="preserve">, </w:t>
      </w:r>
      <w:r w:rsidRPr="002A63F9" w:rsidR="00467D1B">
        <w:rPr>
          <w:lang w:eastAsia="en-US"/>
        </w:rPr>
        <w:t>to include…</w:t>
      </w:r>
      <w:r w:rsidRPr="002A63F9" w:rsidR="007C3BDC">
        <w:rPr>
          <w:lang w:eastAsia="en-US"/>
        </w:rPr>
        <w:t xml:space="preserve"> mandatory rights based training </w:t>
      </w:r>
      <w:r w:rsidRPr="002A63F9" w:rsidR="00AF5B61">
        <w:rPr>
          <w:lang w:eastAsia="en-US"/>
        </w:rPr>
        <w:t xml:space="preserve">to develop core competency skills in </w:t>
      </w:r>
      <w:r w:rsidRPr="002A63F9" w:rsidR="00467D1B">
        <w:rPr>
          <w:lang w:eastAsia="en-US"/>
        </w:rPr>
        <w:t>recogni</w:t>
      </w:r>
      <w:r w:rsidR="00C51307">
        <w:rPr>
          <w:lang w:eastAsia="en-US"/>
        </w:rPr>
        <w:t>s</w:t>
      </w:r>
      <w:r w:rsidRPr="002A63F9" w:rsidR="00467D1B">
        <w:rPr>
          <w:lang w:eastAsia="en-US"/>
        </w:rPr>
        <w:t>ing</w:t>
      </w:r>
      <w:r w:rsidRPr="002A63F9" w:rsidR="00AF5B61">
        <w:rPr>
          <w:lang w:eastAsia="en-US"/>
        </w:rPr>
        <w:t xml:space="preserve"> and reporting violence, abuse and neglect of people with disability</w:t>
      </w:r>
      <w:r w:rsidR="00637F6F">
        <w:rPr>
          <w:lang w:eastAsia="en-US"/>
        </w:rPr>
        <w:t>’</w:t>
      </w:r>
      <w:r w:rsidRPr="002A63F9" w:rsidR="005E311A">
        <w:rPr>
          <w:lang w:eastAsia="en-US"/>
        </w:rPr>
        <w:t>.</w:t>
      </w:r>
      <w:r w:rsidRPr="002A63F9">
        <w:rPr>
          <w:rStyle w:val="EndnoteReference"/>
          <w:lang w:eastAsia="en-US"/>
        </w:rPr>
        <w:endnoteReference w:id="221"/>
      </w:r>
      <w:r w:rsidRPr="002A63F9" w:rsidR="005B0006">
        <w:rPr>
          <w:lang w:eastAsia="en-US"/>
        </w:rPr>
        <w:t xml:space="preserve"> </w:t>
      </w:r>
      <w:r w:rsidRPr="002A63F9" w:rsidR="00477B7F">
        <w:rPr>
          <w:lang w:eastAsia="en-US"/>
        </w:rPr>
        <w:t>While the Commission welcomes</w:t>
      </w:r>
      <w:r w:rsidRPr="002A63F9" w:rsidR="009930B9">
        <w:rPr>
          <w:lang w:eastAsia="en-US"/>
        </w:rPr>
        <w:t xml:space="preserve"> the introduction of </w:t>
      </w:r>
      <w:r w:rsidRPr="002A63F9" w:rsidR="00EF4983">
        <w:rPr>
          <w:lang w:eastAsia="en-US"/>
        </w:rPr>
        <w:t xml:space="preserve">the </w:t>
      </w:r>
      <w:r w:rsidRPr="002A63F9" w:rsidR="00EF4983">
        <w:rPr>
          <w:i/>
          <w:iCs/>
          <w:lang w:eastAsia="en-US"/>
        </w:rPr>
        <w:t xml:space="preserve">NDIS </w:t>
      </w:r>
      <w:r w:rsidRPr="002A63F9" w:rsidR="008E6BBD">
        <w:rPr>
          <w:i/>
          <w:iCs/>
          <w:lang w:eastAsia="en-US"/>
        </w:rPr>
        <w:t>Quality and Safeguards Framework</w:t>
      </w:r>
      <w:r w:rsidRPr="002A63F9" w:rsidR="008E6BBD">
        <w:rPr>
          <w:lang w:eastAsia="en-US"/>
        </w:rPr>
        <w:t>,</w:t>
      </w:r>
      <w:r w:rsidRPr="002A63F9" w:rsidR="00FD20AA">
        <w:rPr>
          <w:rStyle w:val="EndnoteReference"/>
          <w:lang w:eastAsia="en-US"/>
        </w:rPr>
        <w:endnoteReference w:id="222"/>
      </w:r>
      <w:r w:rsidRPr="002A63F9" w:rsidR="008E6BBD">
        <w:rPr>
          <w:lang w:eastAsia="en-US"/>
        </w:rPr>
        <w:t xml:space="preserve"> </w:t>
      </w:r>
      <w:r w:rsidRPr="002A63F9" w:rsidR="00477B7F">
        <w:rPr>
          <w:lang w:eastAsia="en-US"/>
        </w:rPr>
        <w:t xml:space="preserve">it notes that </w:t>
      </w:r>
      <w:r w:rsidRPr="002A63F9" w:rsidR="008E6BBD">
        <w:rPr>
          <w:lang w:eastAsia="en-US"/>
        </w:rPr>
        <w:t xml:space="preserve">this recommendation has not been </w:t>
      </w:r>
      <w:r w:rsidRPr="002A63F9" w:rsidR="00477B7F">
        <w:rPr>
          <w:lang w:eastAsia="en-US"/>
        </w:rPr>
        <w:t xml:space="preserve">fully </w:t>
      </w:r>
      <w:r w:rsidR="00637F6F">
        <w:rPr>
          <w:lang w:eastAsia="en-US"/>
        </w:rPr>
        <w:t>implemented</w:t>
      </w:r>
      <w:r w:rsidRPr="002A63F9" w:rsidR="008E6BBD">
        <w:rPr>
          <w:lang w:eastAsia="en-US"/>
        </w:rPr>
        <w:t>.</w:t>
      </w:r>
    </w:p>
    <w:p w:rsidRPr="002A63F9" w:rsidR="001E5FDD" w:rsidP="00D5779A" w:rsidRDefault="00131C13" w14:paraId="47FB2C24" w14:textId="5595A6F8">
      <w:pPr>
        <w:pStyle w:val="ListNumber"/>
        <w:rPr>
          <w:lang w:eastAsia="en-US"/>
        </w:rPr>
      </w:pPr>
      <w:r w:rsidRPr="002A63F9">
        <w:rPr>
          <w:lang w:eastAsia="en-US"/>
        </w:rPr>
        <w:t xml:space="preserve">The </w:t>
      </w:r>
      <w:r w:rsidRPr="002A63F9" w:rsidR="002438E2">
        <w:rPr>
          <w:lang w:eastAsia="en-US"/>
        </w:rPr>
        <w:t>Australian Government’s strategy to support</w:t>
      </w:r>
      <w:r w:rsidRPr="002A63F9" w:rsidR="00300711">
        <w:rPr>
          <w:lang w:eastAsia="en-US"/>
        </w:rPr>
        <w:t xml:space="preserve"> the </w:t>
      </w:r>
      <w:r w:rsidRPr="002A63F9" w:rsidR="00A3502F">
        <w:rPr>
          <w:lang w:eastAsia="en-US"/>
        </w:rPr>
        <w:t xml:space="preserve">development of the </w:t>
      </w:r>
      <w:r w:rsidRPr="002A63F9" w:rsidR="00300711">
        <w:rPr>
          <w:lang w:eastAsia="en-US"/>
        </w:rPr>
        <w:t>NDIS market and workforce</w:t>
      </w:r>
      <w:r w:rsidRPr="002A63F9" w:rsidR="00856377">
        <w:rPr>
          <w:lang w:eastAsia="en-US"/>
        </w:rPr>
        <w:t xml:space="preserve"> was released in 2019</w:t>
      </w:r>
      <w:r w:rsidRPr="002A63F9" w:rsidR="00A3502F">
        <w:rPr>
          <w:lang w:eastAsia="en-US"/>
        </w:rPr>
        <w:t>.</w:t>
      </w:r>
      <w:r w:rsidRPr="002A63F9" w:rsidR="003F5E58">
        <w:rPr>
          <w:rStyle w:val="EndnoteReference"/>
          <w:lang w:eastAsia="en-US"/>
        </w:rPr>
        <w:endnoteReference w:id="223"/>
      </w:r>
      <w:r w:rsidRPr="002A63F9" w:rsidR="00A3502F">
        <w:rPr>
          <w:lang w:eastAsia="en-US"/>
        </w:rPr>
        <w:t xml:space="preserve"> </w:t>
      </w:r>
      <w:r w:rsidRPr="002A63F9" w:rsidR="00D239D9">
        <w:rPr>
          <w:lang w:eastAsia="en-US"/>
        </w:rPr>
        <w:t xml:space="preserve">Despite a focus on developing workforce capability, the strategy </w:t>
      </w:r>
      <w:r w:rsidRPr="002A63F9" w:rsidR="00BD0FB4">
        <w:rPr>
          <w:lang w:eastAsia="en-US"/>
        </w:rPr>
        <w:t>does not</w:t>
      </w:r>
      <w:r w:rsidRPr="002A63F9" w:rsidR="00D74B64">
        <w:rPr>
          <w:lang w:eastAsia="en-US"/>
        </w:rPr>
        <w:t xml:space="preserve"> mention mandatory rights based training </w:t>
      </w:r>
      <w:r w:rsidRPr="002A63F9" w:rsidR="003F5E58">
        <w:rPr>
          <w:lang w:eastAsia="en-US"/>
        </w:rPr>
        <w:t>to develop skills in recogni</w:t>
      </w:r>
      <w:r w:rsidRPr="002A63F9" w:rsidR="005A67BF">
        <w:rPr>
          <w:lang w:eastAsia="en-US"/>
        </w:rPr>
        <w:t>s</w:t>
      </w:r>
      <w:r w:rsidRPr="002A63F9" w:rsidR="003F5E58">
        <w:rPr>
          <w:lang w:eastAsia="en-US"/>
        </w:rPr>
        <w:t xml:space="preserve">ing and reporting violence, abuse and neglect of people with disability. </w:t>
      </w:r>
      <w:r w:rsidRPr="002A63F9" w:rsidR="00AD3982">
        <w:rPr>
          <w:lang w:eastAsia="en-US"/>
        </w:rPr>
        <w:t xml:space="preserve"> </w:t>
      </w:r>
    </w:p>
    <w:p w:rsidRPr="002A63F9" w:rsidR="00803E87" w:rsidP="00D5779A" w:rsidRDefault="00AC146F" w14:paraId="5B85D091" w14:textId="3A96B06D">
      <w:pPr>
        <w:pStyle w:val="ListNumber"/>
        <w:rPr>
          <w:lang w:eastAsia="en-US"/>
        </w:rPr>
      </w:pPr>
      <w:r w:rsidRPr="002A63F9">
        <w:rPr>
          <w:lang w:eastAsia="en-US"/>
        </w:rPr>
        <w:t>U</w:t>
      </w:r>
      <w:r w:rsidRPr="002A63F9" w:rsidR="004815A9">
        <w:rPr>
          <w:lang w:eastAsia="en-US"/>
        </w:rPr>
        <w:t xml:space="preserve">nderreporting can </w:t>
      </w:r>
      <w:r w:rsidRPr="002A63F9">
        <w:rPr>
          <w:lang w:eastAsia="en-US"/>
        </w:rPr>
        <w:t>also</w:t>
      </w:r>
      <w:r w:rsidRPr="002A63F9" w:rsidR="004815A9">
        <w:rPr>
          <w:lang w:eastAsia="en-US"/>
        </w:rPr>
        <w:t xml:space="preserve"> occur where the service provider fails to report</w:t>
      </w:r>
      <w:r w:rsidRPr="002A63F9" w:rsidR="00F20D69">
        <w:rPr>
          <w:lang w:eastAsia="en-US"/>
        </w:rPr>
        <w:t xml:space="preserve"> inappropriate or unauthori</w:t>
      </w:r>
      <w:r w:rsidRPr="002A63F9">
        <w:rPr>
          <w:lang w:eastAsia="en-US"/>
        </w:rPr>
        <w:t>s</w:t>
      </w:r>
      <w:r w:rsidRPr="002A63F9" w:rsidR="00F20D69">
        <w:rPr>
          <w:lang w:eastAsia="en-US"/>
        </w:rPr>
        <w:t xml:space="preserve">ed </w:t>
      </w:r>
      <w:r w:rsidR="003C0C36">
        <w:rPr>
          <w:lang w:eastAsia="en-US"/>
        </w:rPr>
        <w:t xml:space="preserve">use of </w:t>
      </w:r>
      <w:r w:rsidRPr="002A63F9" w:rsidR="00F20D69">
        <w:rPr>
          <w:lang w:eastAsia="en-US"/>
        </w:rPr>
        <w:t>restrictive practices.</w:t>
      </w:r>
      <w:r w:rsidRPr="002A63F9" w:rsidR="00F20D69">
        <w:rPr>
          <w:rStyle w:val="EndnoteReference"/>
          <w:lang w:eastAsia="en-US"/>
        </w:rPr>
        <w:endnoteReference w:id="224"/>
      </w:r>
      <w:r w:rsidRPr="002A63F9" w:rsidR="00EF7F59">
        <w:rPr>
          <w:lang w:eastAsia="en-US"/>
        </w:rPr>
        <w:t xml:space="preserve"> </w:t>
      </w:r>
      <w:r w:rsidRPr="002A63F9" w:rsidR="00DE559E">
        <w:rPr>
          <w:lang w:eastAsia="en-US"/>
        </w:rPr>
        <w:t xml:space="preserve">Although people with disability are able to approach the </w:t>
      </w:r>
      <w:r w:rsidRPr="002A63F9" w:rsidR="00B83391">
        <w:rPr>
          <w:lang w:eastAsia="en-US"/>
        </w:rPr>
        <w:t xml:space="preserve">NDIS </w:t>
      </w:r>
      <w:r w:rsidRPr="002A63F9" w:rsidR="00637126">
        <w:rPr>
          <w:lang w:eastAsia="en-US"/>
        </w:rPr>
        <w:t xml:space="preserve">Quality </w:t>
      </w:r>
      <w:r w:rsidRPr="002A63F9" w:rsidR="00B83391">
        <w:rPr>
          <w:lang w:eastAsia="en-US"/>
        </w:rPr>
        <w:t>and</w:t>
      </w:r>
      <w:r w:rsidRPr="002A63F9" w:rsidR="00637126">
        <w:rPr>
          <w:lang w:eastAsia="en-US"/>
        </w:rPr>
        <w:t xml:space="preserve"> Safeguards Commissioner directly with a complaint, this overlooks the substantial barriers that people with disability face in knowing where</w:t>
      </w:r>
      <w:r w:rsidRPr="002A63F9" w:rsidR="00803E87">
        <w:rPr>
          <w:lang w:eastAsia="en-US"/>
        </w:rPr>
        <w:t>,</w:t>
      </w:r>
      <w:r w:rsidRPr="002A63F9" w:rsidR="00637126">
        <w:rPr>
          <w:lang w:eastAsia="en-US"/>
        </w:rPr>
        <w:t xml:space="preserve"> when</w:t>
      </w:r>
      <w:r w:rsidRPr="002A63F9" w:rsidR="00803E87">
        <w:rPr>
          <w:lang w:eastAsia="en-US"/>
        </w:rPr>
        <w:t xml:space="preserve"> and how</w:t>
      </w:r>
      <w:r w:rsidRPr="002A63F9" w:rsidR="00637126">
        <w:rPr>
          <w:lang w:eastAsia="en-US"/>
        </w:rPr>
        <w:t xml:space="preserve"> to report.</w:t>
      </w:r>
      <w:r w:rsidRPr="002A63F9" w:rsidR="00637126">
        <w:rPr>
          <w:rStyle w:val="EndnoteReference"/>
          <w:lang w:eastAsia="en-US"/>
        </w:rPr>
        <w:endnoteReference w:id="225"/>
      </w:r>
    </w:p>
    <w:p w:rsidRPr="002A63F9" w:rsidR="00803E87" w:rsidP="00D5779A" w:rsidRDefault="00637126" w14:paraId="27DD7F19" w14:textId="4232FAC7">
      <w:pPr>
        <w:pStyle w:val="ListNumber"/>
        <w:rPr>
          <w:lang w:eastAsia="en-US"/>
        </w:rPr>
      </w:pPr>
      <w:r w:rsidRPr="002A63F9">
        <w:rPr>
          <w:lang w:eastAsia="en-US"/>
        </w:rPr>
        <w:t xml:space="preserve">As research highlights, </w:t>
      </w:r>
      <w:r w:rsidRPr="002A63F9" w:rsidR="00D73A16">
        <w:rPr>
          <w:lang w:eastAsia="en-US"/>
        </w:rPr>
        <w:t xml:space="preserve">where a report is made to the </w:t>
      </w:r>
      <w:r w:rsidRPr="002A63F9" w:rsidR="00B83391">
        <w:rPr>
          <w:lang w:eastAsia="en-US"/>
        </w:rPr>
        <w:t xml:space="preserve">NDIS Quality and Safeguards </w:t>
      </w:r>
      <w:r w:rsidRPr="002A63F9" w:rsidR="00D73A16">
        <w:rPr>
          <w:lang w:eastAsia="en-US"/>
        </w:rPr>
        <w:t xml:space="preserve">Commission, </w:t>
      </w:r>
      <w:r w:rsidRPr="002A63F9">
        <w:rPr>
          <w:lang w:eastAsia="en-US"/>
        </w:rPr>
        <w:t xml:space="preserve">the </w:t>
      </w:r>
      <w:r w:rsidRPr="002A63F9">
        <w:rPr>
          <w:i/>
          <w:iCs/>
          <w:lang w:eastAsia="en-US"/>
        </w:rPr>
        <w:t xml:space="preserve">NDIS Quality </w:t>
      </w:r>
      <w:r w:rsidRPr="002A63F9" w:rsidR="00FE11FB">
        <w:rPr>
          <w:i/>
          <w:iCs/>
          <w:lang w:eastAsia="en-US"/>
        </w:rPr>
        <w:t>and</w:t>
      </w:r>
      <w:r w:rsidRPr="002A63F9" w:rsidR="009F3AD9">
        <w:rPr>
          <w:i/>
          <w:iCs/>
          <w:lang w:eastAsia="en-US"/>
        </w:rPr>
        <w:t xml:space="preserve"> Safeguards Framework</w:t>
      </w:r>
      <w:r w:rsidRPr="002A63F9" w:rsidR="009F3AD9">
        <w:rPr>
          <w:lang w:eastAsia="en-US"/>
        </w:rPr>
        <w:t xml:space="preserve"> provides no clear requirement </w:t>
      </w:r>
      <w:r w:rsidRPr="002A63F9" w:rsidR="00E503D5">
        <w:rPr>
          <w:lang w:eastAsia="en-US"/>
        </w:rPr>
        <w:t>to</w:t>
      </w:r>
      <w:r w:rsidRPr="002A63F9" w:rsidR="009F3AD9">
        <w:rPr>
          <w:lang w:eastAsia="en-US"/>
        </w:rPr>
        <w:t xml:space="preserve"> ensur</w:t>
      </w:r>
      <w:r w:rsidRPr="002A63F9" w:rsidR="00E503D5">
        <w:rPr>
          <w:lang w:eastAsia="en-US"/>
        </w:rPr>
        <w:t>e</w:t>
      </w:r>
      <w:r w:rsidRPr="002A63F9" w:rsidR="009F3AD9">
        <w:rPr>
          <w:lang w:eastAsia="en-US"/>
        </w:rPr>
        <w:t xml:space="preserve"> criminal justice intervention</w:t>
      </w:r>
      <w:r w:rsidRPr="002A63F9" w:rsidR="00036901">
        <w:rPr>
          <w:lang w:eastAsia="en-US"/>
        </w:rPr>
        <w:t>.</w:t>
      </w:r>
      <w:r w:rsidRPr="002A63F9" w:rsidR="00D73A16">
        <w:rPr>
          <w:rStyle w:val="EndnoteReference"/>
          <w:lang w:eastAsia="en-US"/>
        </w:rPr>
        <w:endnoteReference w:id="226"/>
      </w:r>
      <w:r w:rsidRPr="002A63F9" w:rsidR="00036901">
        <w:rPr>
          <w:lang w:eastAsia="en-US"/>
        </w:rPr>
        <w:t xml:space="preserve"> </w:t>
      </w:r>
      <w:r w:rsidRPr="002A63F9" w:rsidR="00803E87">
        <w:rPr>
          <w:lang w:eastAsia="en-US"/>
        </w:rPr>
        <w:t xml:space="preserve">Similarly, the </w:t>
      </w:r>
      <w:r w:rsidRPr="002A63F9" w:rsidR="00803E87">
        <w:rPr>
          <w:i/>
          <w:iCs/>
          <w:lang w:eastAsia="en-US"/>
        </w:rPr>
        <w:t xml:space="preserve">National Disability </w:t>
      </w:r>
      <w:r w:rsidRPr="002A63F9" w:rsidR="00803E87">
        <w:rPr>
          <w:i/>
          <w:iCs/>
          <w:lang w:eastAsia="en-US"/>
        </w:rPr>
        <w:lastRenderedPageBreak/>
        <w:t xml:space="preserve">Insurance Scheme (Incident Management and Reportable Incidents) Rules 2018 </w:t>
      </w:r>
      <w:r w:rsidRPr="002A63F9" w:rsidR="00803E87">
        <w:rPr>
          <w:lang w:eastAsia="en-US"/>
        </w:rPr>
        <w:t>provide no pathway to ensuring criminal justice intervention</w:t>
      </w:r>
      <w:r w:rsidRPr="002A63F9" w:rsidR="00F847DE">
        <w:rPr>
          <w:lang w:eastAsia="en-US"/>
        </w:rPr>
        <w:t xml:space="preserve"> where a report of violence, abuse, neglect or exploitation has been made. </w:t>
      </w:r>
    </w:p>
    <w:p w:rsidRPr="002A63F9" w:rsidR="00577EED" w:rsidP="00D5779A" w:rsidRDefault="0083451C" w14:paraId="4F9646EB" w14:textId="7A9A2AB2">
      <w:pPr>
        <w:pStyle w:val="ListNumber"/>
        <w:rPr>
          <w:lang w:eastAsia="en-US"/>
        </w:rPr>
      </w:pPr>
      <w:r w:rsidRPr="002A63F9">
        <w:rPr>
          <w:lang w:eastAsia="en-US"/>
        </w:rPr>
        <w:t>Importantly, community visitor schemes (CVS) provide people with</w:t>
      </w:r>
      <w:r w:rsidR="001B44E2">
        <w:rPr>
          <w:lang w:eastAsia="en-US"/>
        </w:rPr>
        <w:t xml:space="preserve"> </w:t>
      </w:r>
      <w:r w:rsidRPr="002A63F9">
        <w:rPr>
          <w:lang w:eastAsia="en-US"/>
        </w:rPr>
        <w:t xml:space="preserve">disability </w:t>
      </w:r>
      <w:r w:rsidRPr="002A63F9" w:rsidR="00E332E4">
        <w:rPr>
          <w:lang w:eastAsia="en-US"/>
        </w:rPr>
        <w:t xml:space="preserve">living in closed </w:t>
      </w:r>
      <w:r w:rsidRPr="002A63F9" w:rsidR="00AE4002">
        <w:rPr>
          <w:lang w:eastAsia="en-US"/>
        </w:rPr>
        <w:t xml:space="preserve">or service </w:t>
      </w:r>
      <w:r w:rsidRPr="002A63F9" w:rsidR="00E332E4">
        <w:rPr>
          <w:lang w:eastAsia="en-US"/>
        </w:rPr>
        <w:t>settings</w:t>
      </w:r>
      <w:r w:rsidRPr="002A63F9" w:rsidR="00AE4002">
        <w:rPr>
          <w:lang w:eastAsia="en-US"/>
        </w:rPr>
        <w:t xml:space="preserve"> </w:t>
      </w:r>
      <w:r w:rsidRPr="002A63F9" w:rsidR="00E332E4">
        <w:rPr>
          <w:lang w:eastAsia="en-US"/>
        </w:rPr>
        <w:t>with an opportunity to report violence where they would otherwise not have</w:t>
      </w:r>
      <w:r w:rsidRPr="002A63F9" w:rsidR="00F630A6">
        <w:rPr>
          <w:lang w:eastAsia="en-US"/>
        </w:rPr>
        <w:t xml:space="preserve"> done so</w:t>
      </w:r>
      <w:r w:rsidRPr="002A63F9" w:rsidR="00E332E4">
        <w:rPr>
          <w:lang w:eastAsia="en-US"/>
        </w:rPr>
        <w:t xml:space="preserve">. </w:t>
      </w:r>
      <w:r w:rsidRPr="002A63F9" w:rsidR="00D755E7">
        <w:rPr>
          <w:lang w:eastAsia="en-US"/>
        </w:rPr>
        <w:t xml:space="preserve">At present, </w:t>
      </w:r>
      <w:r w:rsidR="00A61B98">
        <w:rPr>
          <w:lang w:eastAsia="en-US"/>
        </w:rPr>
        <w:t>these schemes</w:t>
      </w:r>
      <w:r w:rsidRPr="002A63F9" w:rsidR="00C15188">
        <w:rPr>
          <w:lang w:eastAsia="en-US"/>
        </w:rPr>
        <w:t xml:space="preserve"> </w:t>
      </w:r>
      <w:r w:rsidRPr="002A63F9" w:rsidR="003439B2">
        <w:rPr>
          <w:lang w:eastAsia="en-US"/>
        </w:rPr>
        <w:t xml:space="preserve">operate across </w:t>
      </w:r>
      <w:r w:rsidR="00A61B98">
        <w:rPr>
          <w:lang w:eastAsia="en-US"/>
        </w:rPr>
        <w:t xml:space="preserve">all </w:t>
      </w:r>
      <w:r w:rsidRPr="002A63F9" w:rsidR="003439B2">
        <w:rPr>
          <w:lang w:eastAsia="en-US"/>
        </w:rPr>
        <w:t xml:space="preserve">Australian </w:t>
      </w:r>
      <w:r w:rsidRPr="002A63F9" w:rsidR="00FC35E8">
        <w:rPr>
          <w:lang w:eastAsia="en-US"/>
        </w:rPr>
        <w:t>s</w:t>
      </w:r>
      <w:r w:rsidRPr="002A63F9" w:rsidR="003439B2">
        <w:rPr>
          <w:lang w:eastAsia="en-US"/>
        </w:rPr>
        <w:t xml:space="preserve">tates and </w:t>
      </w:r>
      <w:r w:rsidRPr="002A63F9" w:rsidR="00FC35E8">
        <w:rPr>
          <w:lang w:eastAsia="en-US"/>
        </w:rPr>
        <w:t>t</w:t>
      </w:r>
      <w:r w:rsidRPr="002A63F9" w:rsidR="003439B2">
        <w:rPr>
          <w:lang w:eastAsia="en-US"/>
        </w:rPr>
        <w:t>erritories, except Western Australia and Tasmania.</w:t>
      </w:r>
      <w:r w:rsidRPr="002A63F9" w:rsidR="00643581">
        <w:rPr>
          <w:rStyle w:val="EndnoteReference"/>
          <w:lang w:eastAsia="en-US"/>
        </w:rPr>
        <w:endnoteReference w:id="227"/>
      </w:r>
      <w:r w:rsidRPr="002A63F9" w:rsidR="003439B2">
        <w:rPr>
          <w:lang w:eastAsia="en-US"/>
        </w:rPr>
        <w:t xml:space="preserve"> </w:t>
      </w:r>
      <w:r w:rsidRPr="002A63F9" w:rsidR="00FE7213">
        <w:rPr>
          <w:lang w:eastAsia="en-US"/>
        </w:rPr>
        <w:t>The broad role and purpose is to visit people with disability</w:t>
      </w:r>
      <w:r w:rsidRPr="002A63F9" w:rsidR="004C79AF">
        <w:rPr>
          <w:lang w:eastAsia="en-US"/>
        </w:rPr>
        <w:t xml:space="preserve">, typically in closed settings, and </w:t>
      </w:r>
      <w:r w:rsidRPr="002A63F9" w:rsidR="00836879">
        <w:rPr>
          <w:lang w:eastAsia="en-US"/>
        </w:rPr>
        <w:t xml:space="preserve">determine if </w:t>
      </w:r>
      <w:r w:rsidRPr="002A63F9" w:rsidR="00F413F7">
        <w:rPr>
          <w:lang w:eastAsia="en-US"/>
        </w:rPr>
        <w:t>the person</w:t>
      </w:r>
      <w:r w:rsidRPr="002A63F9" w:rsidR="000B145B">
        <w:rPr>
          <w:lang w:eastAsia="en-US"/>
        </w:rPr>
        <w:t>’</w:t>
      </w:r>
      <w:r w:rsidRPr="002A63F9" w:rsidR="00F413F7">
        <w:rPr>
          <w:lang w:eastAsia="en-US"/>
        </w:rPr>
        <w:t xml:space="preserve">s </w:t>
      </w:r>
      <w:r w:rsidRPr="002A63F9" w:rsidR="00836879">
        <w:rPr>
          <w:lang w:eastAsia="en-US"/>
        </w:rPr>
        <w:t>human rights are being met</w:t>
      </w:r>
      <w:r w:rsidRPr="002A63F9" w:rsidR="00F413F7">
        <w:rPr>
          <w:lang w:eastAsia="en-US"/>
        </w:rPr>
        <w:t>.</w:t>
      </w:r>
      <w:r w:rsidRPr="002A63F9" w:rsidR="00527E7A">
        <w:rPr>
          <w:rStyle w:val="EndnoteReference"/>
          <w:lang w:eastAsia="en-US"/>
        </w:rPr>
        <w:endnoteReference w:id="228"/>
      </w:r>
      <w:r w:rsidRPr="002A63F9" w:rsidR="00F413F7">
        <w:rPr>
          <w:lang w:eastAsia="en-US"/>
        </w:rPr>
        <w:t xml:space="preserve"> </w:t>
      </w:r>
      <w:r w:rsidRPr="002A63F9" w:rsidR="00577EED">
        <w:rPr>
          <w:lang w:eastAsia="en-US"/>
        </w:rPr>
        <w:t>Community visitors have a role in</w:t>
      </w:r>
      <w:r w:rsidRPr="002A63F9" w:rsidR="004176A5">
        <w:rPr>
          <w:lang w:eastAsia="en-US"/>
        </w:rPr>
        <w:t xml:space="preserve"> both</w:t>
      </w:r>
      <w:r w:rsidRPr="002A63F9" w:rsidR="00577EED">
        <w:rPr>
          <w:lang w:eastAsia="en-US"/>
        </w:rPr>
        <w:t xml:space="preserve"> responding to </w:t>
      </w:r>
      <w:r w:rsidRPr="002A63F9" w:rsidR="00577EED">
        <w:rPr>
          <w:i/>
          <w:iCs/>
          <w:lang w:eastAsia="en-US"/>
        </w:rPr>
        <w:t>and</w:t>
      </w:r>
      <w:r w:rsidRPr="002A63F9" w:rsidR="00577EED">
        <w:rPr>
          <w:lang w:eastAsia="en-US"/>
        </w:rPr>
        <w:t xml:space="preserve"> preventing violence.</w:t>
      </w:r>
      <w:r w:rsidRPr="002A63F9" w:rsidR="00527E7A">
        <w:rPr>
          <w:rStyle w:val="EndnoteReference"/>
          <w:lang w:eastAsia="en-US"/>
        </w:rPr>
        <w:endnoteReference w:id="229"/>
      </w:r>
      <w:r w:rsidRPr="002A63F9" w:rsidR="00577EED">
        <w:rPr>
          <w:lang w:eastAsia="en-US"/>
        </w:rPr>
        <w:t xml:space="preserve"> </w:t>
      </w:r>
    </w:p>
    <w:p w:rsidRPr="002A63F9" w:rsidR="00147E2A" w:rsidP="00D5779A" w:rsidRDefault="00577EED" w14:paraId="53503A6B" w14:textId="1672B4C1">
      <w:pPr>
        <w:pStyle w:val="ListNumber"/>
        <w:rPr>
          <w:lang w:eastAsia="en-US"/>
        </w:rPr>
      </w:pPr>
      <w:r w:rsidRPr="002A63F9">
        <w:rPr>
          <w:lang w:eastAsia="en-US"/>
        </w:rPr>
        <w:t xml:space="preserve">In 2018, the </w:t>
      </w:r>
      <w:r w:rsidRPr="002A63F9" w:rsidR="004F1EAF">
        <w:rPr>
          <w:lang w:eastAsia="en-US"/>
        </w:rPr>
        <w:t xml:space="preserve">Australian Government </w:t>
      </w:r>
      <w:r w:rsidRPr="002A63F9" w:rsidR="003A739E">
        <w:rPr>
          <w:lang w:eastAsia="en-US"/>
        </w:rPr>
        <w:t xml:space="preserve">reviewed the </w:t>
      </w:r>
      <w:r w:rsidRPr="002A63F9" w:rsidR="00D72639">
        <w:rPr>
          <w:lang w:eastAsia="en-US"/>
        </w:rPr>
        <w:t xml:space="preserve">role and purpose of </w:t>
      </w:r>
      <w:r w:rsidRPr="002A63F9" w:rsidR="00416ED1">
        <w:rPr>
          <w:lang w:eastAsia="en-US"/>
        </w:rPr>
        <w:t>CVS</w:t>
      </w:r>
      <w:r w:rsidRPr="002A63F9" w:rsidR="00E96E1B">
        <w:rPr>
          <w:lang w:eastAsia="en-US"/>
        </w:rPr>
        <w:t xml:space="preserve"> throughout Australia</w:t>
      </w:r>
      <w:r w:rsidRPr="002A63F9" w:rsidR="00F0577B">
        <w:rPr>
          <w:lang w:eastAsia="en-US"/>
        </w:rPr>
        <w:t xml:space="preserve"> and released a report titled, the </w:t>
      </w:r>
      <w:r w:rsidRPr="002A63F9" w:rsidR="00F0577B">
        <w:rPr>
          <w:i/>
          <w:iCs/>
          <w:lang w:eastAsia="en-US"/>
        </w:rPr>
        <w:t>Community Visitor Schemes Review</w:t>
      </w:r>
      <w:r w:rsidRPr="002A63F9" w:rsidR="00E96E1B">
        <w:rPr>
          <w:lang w:eastAsia="en-US"/>
        </w:rPr>
        <w:t>.</w:t>
      </w:r>
      <w:r w:rsidRPr="002A63F9" w:rsidR="0040709D">
        <w:rPr>
          <w:lang w:eastAsia="en-US"/>
        </w:rPr>
        <w:t xml:space="preserve"> </w:t>
      </w:r>
      <w:r w:rsidRPr="002A63F9" w:rsidR="00F0577B">
        <w:rPr>
          <w:lang w:eastAsia="en-US"/>
        </w:rPr>
        <w:t>The report recommended that</w:t>
      </w:r>
      <w:r w:rsidRPr="002A63F9" w:rsidR="00152F36">
        <w:rPr>
          <w:lang w:eastAsia="en-US"/>
        </w:rPr>
        <w:t xml:space="preserve"> </w:t>
      </w:r>
      <w:r w:rsidRPr="002A63F9" w:rsidR="001A1E53">
        <w:rPr>
          <w:lang w:eastAsia="en-US"/>
        </w:rPr>
        <w:t>CVS</w:t>
      </w:r>
      <w:r w:rsidRPr="002A63F9" w:rsidR="002C51C2">
        <w:rPr>
          <w:lang w:eastAsia="en-US"/>
        </w:rPr>
        <w:t xml:space="preserve"> continue to be provided by states and territories</w:t>
      </w:r>
      <w:r w:rsidRPr="002A63F9" w:rsidR="00CF66E1">
        <w:rPr>
          <w:lang w:eastAsia="en-US"/>
        </w:rPr>
        <w:t>,</w:t>
      </w:r>
      <w:r w:rsidRPr="002A63F9" w:rsidR="00672BF8">
        <w:rPr>
          <w:lang w:eastAsia="en-US"/>
        </w:rPr>
        <w:t xml:space="preserve"> and </w:t>
      </w:r>
      <w:r w:rsidRPr="002A63F9" w:rsidR="002F0505">
        <w:rPr>
          <w:lang w:eastAsia="en-US"/>
        </w:rPr>
        <w:t>that where possible</w:t>
      </w:r>
      <w:r w:rsidRPr="002A63F9" w:rsidR="006E4A59">
        <w:rPr>
          <w:lang w:eastAsia="en-US"/>
        </w:rPr>
        <w:t>,</w:t>
      </w:r>
      <w:r w:rsidRPr="002A63F9" w:rsidR="002F0505">
        <w:rPr>
          <w:lang w:eastAsia="en-US"/>
        </w:rPr>
        <w:t xml:space="preserve"> Western Australia and Tasmania should consider </w:t>
      </w:r>
      <w:r w:rsidRPr="002A63F9" w:rsidR="00A702DF">
        <w:rPr>
          <w:lang w:eastAsia="en-US"/>
        </w:rPr>
        <w:t>implementing a CVS.</w:t>
      </w:r>
      <w:r w:rsidRPr="002A63F9" w:rsidR="00527E7A">
        <w:rPr>
          <w:rStyle w:val="EndnoteReference"/>
          <w:lang w:eastAsia="en-US"/>
        </w:rPr>
        <w:endnoteReference w:id="230"/>
      </w:r>
      <w:r w:rsidRPr="002A63F9" w:rsidR="00A702DF">
        <w:rPr>
          <w:lang w:eastAsia="en-US"/>
        </w:rPr>
        <w:t xml:space="preserve"> </w:t>
      </w:r>
    </w:p>
    <w:p w:rsidRPr="002A63F9" w:rsidR="00334EA6" w:rsidP="00785AA9" w:rsidRDefault="003C213A" w14:paraId="03D09EA5" w14:textId="45D828A0">
      <w:pPr>
        <w:keepNext/>
        <w:rPr>
          <w:b/>
          <w:bCs/>
        </w:rPr>
      </w:pPr>
      <w:bookmarkStart w:name="_Toc34668101" w:id="37"/>
      <w:r w:rsidRPr="002A63F9">
        <w:rPr>
          <w:b/>
          <w:bCs/>
        </w:rPr>
        <w:t>5</w:t>
      </w:r>
      <w:r w:rsidRPr="002A63F9" w:rsidR="00C40A15">
        <w:rPr>
          <w:b/>
          <w:bCs/>
        </w:rPr>
        <w:t>.</w:t>
      </w:r>
      <w:r w:rsidRPr="002A63F9" w:rsidR="003957E5">
        <w:rPr>
          <w:b/>
          <w:bCs/>
        </w:rPr>
        <w:t>7</w:t>
      </w:r>
      <w:r w:rsidRPr="002A63F9" w:rsidR="00C40A15">
        <w:rPr>
          <w:b/>
          <w:bCs/>
        </w:rPr>
        <w:t>.</w:t>
      </w:r>
      <w:r w:rsidRPr="002A63F9" w:rsidR="003957E5">
        <w:rPr>
          <w:b/>
          <w:bCs/>
        </w:rPr>
        <w:t>4</w:t>
      </w:r>
      <w:r w:rsidRPr="002A63F9" w:rsidR="00FC766B">
        <w:rPr>
          <w:b/>
          <w:bCs/>
        </w:rPr>
        <w:t xml:space="preserve"> </w:t>
      </w:r>
      <w:r w:rsidRPr="002A63F9" w:rsidR="00553B0B">
        <w:rPr>
          <w:b/>
          <w:bCs/>
        </w:rPr>
        <w:t xml:space="preserve">Inadequate </w:t>
      </w:r>
      <w:r w:rsidRPr="002A63F9" w:rsidR="00455E86">
        <w:rPr>
          <w:b/>
          <w:bCs/>
        </w:rPr>
        <w:t xml:space="preserve">access to </w:t>
      </w:r>
      <w:r w:rsidRPr="002A63F9" w:rsidR="007D2642">
        <w:rPr>
          <w:b/>
          <w:bCs/>
        </w:rPr>
        <w:t xml:space="preserve">information </w:t>
      </w:r>
      <w:r w:rsidRPr="002A63F9" w:rsidR="00052E40">
        <w:rPr>
          <w:b/>
          <w:bCs/>
        </w:rPr>
        <w:t xml:space="preserve">and normalisation of </w:t>
      </w:r>
      <w:r w:rsidRPr="002A63F9" w:rsidR="00357D19">
        <w:rPr>
          <w:b/>
          <w:bCs/>
        </w:rPr>
        <w:t>abus</w:t>
      </w:r>
      <w:r w:rsidRPr="002A63F9" w:rsidR="00553B0B">
        <w:rPr>
          <w:b/>
          <w:bCs/>
        </w:rPr>
        <w:t>e</w:t>
      </w:r>
      <w:bookmarkEnd w:id="37"/>
    </w:p>
    <w:p w:rsidRPr="002A63F9" w:rsidR="008F6560" w:rsidP="00D5779A" w:rsidRDefault="003E0951" w14:paraId="4EC4AECA" w14:textId="3D5E3704">
      <w:pPr>
        <w:pStyle w:val="ListNumber"/>
        <w:rPr>
          <w:lang w:eastAsia="en-US"/>
        </w:rPr>
      </w:pPr>
      <w:r w:rsidRPr="002A63F9">
        <w:rPr>
          <w:lang w:eastAsia="en-US"/>
        </w:rPr>
        <w:t xml:space="preserve">Lack of </w:t>
      </w:r>
      <w:r w:rsidRPr="002A63F9" w:rsidR="00455E86">
        <w:rPr>
          <w:lang w:eastAsia="en-US"/>
        </w:rPr>
        <w:t xml:space="preserve">access to </w:t>
      </w:r>
      <w:r w:rsidRPr="002A63F9">
        <w:rPr>
          <w:lang w:eastAsia="en-US"/>
        </w:rPr>
        <w:t xml:space="preserve">information can prevent people with disability from reporting instances of violence, abuse, neglect </w:t>
      </w:r>
      <w:r w:rsidRPr="002A63F9" w:rsidR="00C256BF">
        <w:rPr>
          <w:lang w:eastAsia="en-US"/>
        </w:rPr>
        <w:t>or exploitation.</w:t>
      </w:r>
      <w:r w:rsidRPr="002A63F9" w:rsidR="00207646">
        <w:rPr>
          <w:rStyle w:val="EndnoteReference"/>
          <w:lang w:eastAsia="en-US"/>
        </w:rPr>
        <w:endnoteReference w:id="231"/>
      </w:r>
      <w:r w:rsidRPr="002A63F9" w:rsidR="00C256BF">
        <w:rPr>
          <w:lang w:eastAsia="en-US"/>
        </w:rPr>
        <w:t xml:space="preserve"> </w:t>
      </w:r>
      <w:r w:rsidRPr="002A63F9" w:rsidR="003471DD">
        <w:rPr>
          <w:lang w:eastAsia="en-US"/>
        </w:rPr>
        <w:t xml:space="preserve">As research suggests, some people with disability may not identify the </w:t>
      </w:r>
      <w:r w:rsidRPr="002A63F9" w:rsidR="00057CB1">
        <w:rPr>
          <w:lang w:eastAsia="en-US"/>
        </w:rPr>
        <w:t>harm</w:t>
      </w:r>
      <w:r w:rsidRPr="002A63F9" w:rsidR="00334C14">
        <w:rPr>
          <w:lang w:eastAsia="en-US"/>
        </w:rPr>
        <w:t xml:space="preserve"> that they are experiencing as abuse.</w:t>
      </w:r>
      <w:r w:rsidRPr="002A63F9" w:rsidR="00334C14">
        <w:rPr>
          <w:rStyle w:val="EndnoteReference"/>
          <w:lang w:eastAsia="en-US"/>
        </w:rPr>
        <w:endnoteReference w:id="232"/>
      </w:r>
      <w:r w:rsidRPr="002A63F9" w:rsidR="00F47E23">
        <w:rPr>
          <w:lang w:eastAsia="en-US"/>
        </w:rPr>
        <w:t xml:space="preserve"> </w:t>
      </w:r>
      <w:r w:rsidRPr="002A63F9" w:rsidR="00910583">
        <w:rPr>
          <w:lang w:eastAsia="en-US"/>
        </w:rPr>
        <w:t xml:space="preserve">Where actions are frequently and routinely taken, particularly in the context of supported group accommodation, violence </w:t>
      </w:r>
      <w:r w:rsidRPr="002A63F9" w:rsidR="00842660">
        <w:rPr>
          <w:lang w:eastAsia="en-US"/>
        </w:rPr>
        <w:t xml:space="preserve">and abuse </w:t>
      </w:r>
      <w:r w:rsidRPr="002A63F9" w:rsidR="00910583">
        <w:rPr>
          <w:lang w:eastAsia="en-US"/>
        </w:rPr>
        <w:t>can become normali</w:t>
      </w:r>
      <w:r w:rsidRPr="002A63F9" w:rsidR="0026614B">
        <w:rPr>
          <w:lang w:eastAsia="en-US"/>
        </w:rPr>
        <w:t>s</w:t>
      </w:r>
      <w:r w:rsidRPr="002A63F9" w:rsidR="00910583">
        <w:rPr>
          <w:lang w:eastAsia="en-US"/>
        </w:rPr>
        <w:t>ed</w:t>
      </w:r>
      <w:r w:rsidRPr="002A63F9" w:rsidR="009407C9">
        <w:rPr>
          <w:lang w:eastAsia="en-US"/>
        </w:rPr>
        <w:t>.</w:t>
      </w:r>
      <w:r w:rsidRPr="002A63F9" w:rsidR="009407C9">
        <w:rPr>
          <w:rStyle w:val="EndnoteReference"/>
          <w:lang w:eastAsia="en-US"/>
        </w:rPr>
        <w:endnoteReference w:id="233"/>
      </w:r>
    </w:p>
    <w:p w:rsidRPr="002A63F9" w:rsidR="00DE62D4" w:rsidP="00D5779A" w:rsidRDefault="002F1A4E" w14:paraId="630CF4A3" w14:textId="79AB1E6D">
      <w:pPr>
        <w:pStyle w:val="ListNumber"/>
        <w:rPr>
          <w:lang w:eastAsia="en-US"/>
        </w:rPr>
      </w:pPr>
      <w:r w:rsidRPr="002A63F9">
        <w:rPr>
          <w:lang w:eastAsia="en-US"/>
        </w:rPr>
        <w:t xml:space="preserve">For example, </w:t>
      </w:r>
      <w:r w:rsidRPr="002A63F9" w:rsidR="0060361E">
        <w:rPr>
          <w:lang w:eastAsia="en-US"/>
        </w:rPr>
        <w:t>state and territory legislation permits</w:t>
      </w:r>
      <w:r w:rsidRPr="002A63F9" w:rsidR="00E07D76">
        <w:rPr>
          <w:lang w:eastAsia="en-US"/>
        </w:rPr>
        <w:t xml:space="preserve"> the use of r</w:t>
      </w:r>
      <w:r w:rsidRPr="002A63F9" w:rsidR="008F6560">
        <w:rPr>
          <w:lang w:eastAsia="en-US"/>
        </w:rPr>
        <w:t>estrictive practices</w:t>
      </w:r>
      <w:r w:rsidRPr="002A63F9" w:rsidR="00930BD3">
        <w:rPr>
          <w:lang w:eastAsia="en-US"/>
        </w:rPr>
        <w:t xml:space="preserve"> such as seclusion and restraint</w:t>
      </w:r>
      <w:r w:rsidRPr="002A63F9">
        <w:rPr>
          <w:lang w:eastAsia="en-US"/>
        </w:rPr>
        <w:t>s</w:t>
      </w:r>
      <w:r w:rsidRPr="002A63F9" w:rsidR="00930BD3">
        <w:rPr>
          <w:lang w:eastAsia="en-US"/>
        </w:rPr>
        <w:t xml:space="preserve"> (</w:t>
      </w:r>
      <w:r w:rsidRPr="002A63F9" w:rsidR="008F6560">
        <w:rPr>
          <w:lang w:eastAsia="en-US"/>
        </w:rPr>
        <w:t>physical, chemical or mechanical</w:t>
      </w:r>
      <w:r w:rsidRPr="002A63F9" w:rsidR="00930BD3">
        <w:rPr>
          <w:lang w:eastAsia="en-US"/>
        </w:rPr>
        <w:t>) in certain limited circumstances</w:t>
      </w:r>
      <w:r w:rsidRPr="002A63F9" w:rsidR="008F6560">
        <w:rPr>
          <w:lang w:eastAsia="en-US"/>
        </w:rPr>
        <w:t>.</w:t>
      </w:r>
      <w:r w:rsidRPr="002A63F9" w:rsidR="008F6560">
        <w:rPr>
          <w:rStyle w:val="EndnoteReference"/>
          <w:lang w:eastAsia="en-US"/>
        </w:rPr>
        <w:endnoteReference w:id="234"/>
      </w:r>
      <w:r w:rsidRPr="002A63F9" w:rsidR="008F6560">
        <w:rPr>
          <w:lang w:eastAsia="en-US"/>
        </w:rPr>
        <w:t xml:space="preserve"> Where </w:t>
      </w:r>
      <w:r w:rsidRPr="002A63F9" w:rsidR="001220BB">
        <w:rPr>
          <w:lang w:eastAsia="en-US"/>
        </w:rPr>
        <w:t xml:space="preserve">such </w:t>
      </w:r>
      <w:r w:rsidRPr="002A63F9" w:rsidR="008F6560">
        <w:rPr>
          <w:lang w:eastAsia="en-US"/>
        </w:rPr>
        <w:t>practice</w:t>
      </w:r>
      <w:r w:rsidRPr="002A63F9" w:rsidR="001220BB">
        <w:rPr>
          <w:lang w:eastAsia="en-US"/>
        </w:rPr>
        <w:t>s are</w:t>
      </w:r>
      <w:r w:rsidRPr="002A63F9" w:rsidR="008F6560">
        <w:rPr>
          <w:lang w:eastAsia="en-US"/>
        </w:rPr>
        <w:t xml:space="preserve"> </w:t>
      </w:r>
      <w:r w:rsidR="00BE729B">
        <w:rPr>
          <w:lang w:eastAsia="en-US"/>
        </w:rPr>
        <w:t>un</w:t>
      </w:r>
      <w:r w:rsidRPr="002A63F9" w:rsidR="008F6560">
        <w:rPr>
          <w:lang w:eastAsia="en-US"/>
        </w:rPr>
        <w:t>authorised or misused</w:t>
      </w:r>
      <w:r w:rsidRPr="002A63F9" w:rsidR="0044676B">
        <w:rPr>
          <w:lang w:eastAsia="en-US"/>
        </w:rPr>
        <w:t>,</w:t>
      </w:r>
      <w:r w:rsidRPr="002A63F9" w:rsidR="008F6560">
        <w:rPr>
          <w:lang w:eastAsia="en-US"/>
        </w:rPr>
        <w:t xml:space="preserve"> however, the conduct becomes a reportable incident to the NDIS Quality and Safeguards Commission and must, depending on the conduct, be reported to police.</w:t>
      </w:r>
      <w:r w:rsidRPr="002A63F9" w:rsidR="008F6560">
        <w:rPr>
          <w:rStyle w:val="EndnoteReference"/>
          <w:lang w:eastAsia="en-US"/>
        </w:rPr>
        <w:endnoteReference w:id="235"/>
      </w:r>
      <w:r w:rsidRPr="002A63F9" w:rsidR="008F6560">
        <w:rPr>
          <w:lang w:eastAsia="en-US"/>
        </w:rPr>
        <w:t xml:space="preserve"> </w:t>
      </w:r>
      <w:r w:rsidRPr="002A63F9" w:rsidR="00C0328D">
        <w:rPr>
          <w:lang w:eastAsia="en-US"/>
        </w:rPr>
        <w:t>T</w:t>
      </w:r>
      <w:r w:rsidRPr="002A63F9" w:rsidR="009407C9">
        <w:rPr>
          <w:lang w:eastAsia="en-US"/>
        </w:rPr>
        <w:t xml:space="preserve">he sanctioned use of restrictive practices in closed settings can make it difficult for people with disability to </w:t>
      </w:r>
      <w:r w:rsidRPr="002A63F9" w:rsidR="00BA7F26">
        <w:rPr>
          <w:lang w:eastAsia="en-US"/>
        </w:rPr>
        <w:t>distinguish when a restrictive practice is no longer</w:t>
      </w:r>
      <w:r w:rsidRPr="002A63F9" w:rsidR="00E92149">
        <w:rPr>
          <w:lang w:eastAsia="en-US"/>
        </w:rPr>
        <w:t xml:space="preserve"> </w:t>
      </w:r>
      <w:r w:rsidRPr="002A63F9" w:rsidR="00687FFC">
        <w:rPr>
          <w:lang w:eastAsia="en-US"/>
        </w:rPr>
        <w:t xml:space="preserve">legally </w:t>
      </w:r>
      <w:r w:rsidRPr="002A63F9" w:rsidR="00E92149">
        <w:rPr>
          <w:lang w:eastAsia="en-US"/>
        </w:rPr>
        <w:t xml:space="preserve">permissible and instead </w:t>
      </w:r>
      <w:r w:rsidRPr="002A63F9" w:rsidR="00687FFC">
        <w:rPr>
          <w:lang w:eastAsia="en-US"/>
        </w:rPr>
        <w:t>becomes</w:t>
      </w:r>
      <w:r w:rsidRPr="002A63F9" w:rsidR="00A35D2C">
        <w:rPr>
          <w:lang w:eastAsia="en-US"/>
        </w:rPr>
        <w:t xml:space="preserve"> </w:t>
      </w:r>
      <w:r w:rsidRPr="002A63F9" w:rsidR="00E92149">
        <w:rPr>
          <w:lang w:eastAsia="en-US"/>
        </w:rPr>
        <w:t>a crime</w:t>
      </w:r>
      <w:r w:rsidRPr="002A63F9" w:rsidR="009407C9">
        <w:rPr>
          <w:lang w:eastAsia="en-US"/>
        </w:rPr>
        <w:t>.</w:t>
      </w:r>
      <w:r w:rsidRPr="002A63F9" w:rsidR="009407C9">
        <w:rPr>
          <w:rStyle w:val="EndnoteReference"/>
          <w:lang w:eastAsia="en-US"/>
        </w:rPr>
        <w:endnoteReference w:id="236"/>
      </w:r>
    </w:p>
    <w:p w:rsidRPr="002A63F9" w:rsidR="002169BF" w:rsidP="00D5779A" w:rsidRDefault="00DC4CD7" w14:paraId="332AA48E" w14:textId="32DEB440">
      <w:pPr>
        <w:pStyle w:val="ListNumber"/>
        <w:rPr>
          <w:lang w:eastAsia="en-US"/>
        </w:rPr>
      </w:pPr>
      <w:r w:rsidRPr="002A63F9">
        <w:rPr>
          <w:lang w:eastAsia="en-US"/>
        </w:rPr>
        <w:t>In addition to the normali</w:t>
      </w:r>
      <w:r w:rsidRPr="002A63F9" w:rsidR="00266C26">
        <w:rPr>
          <w:lang w:eastAsia="en-US"/>
        </w:rPr>
        <w:t>s</w:t>
      </w:r>
      <w:r w:rsidRPr="002A63F9">
        <w:rPr>
          <w:lang w:eastAsia="en-US"/>
        </w:rPr>
        <w:t xml:space="preserve">ation of violence, </w:t>
      </w:r>
      <w:r w:rsidRPr="002A63F9" w:rsidR="00581CDD">
        <w:rPr>
          <w:lang w:eastAsia="en-US"/>
        </w:rPr>
        <w:t>underreporting can occur where people with disability are not supported to build their capacity, knowledge</w:t>
      </w:r>
      <w:r w:rsidRPr="002A63F9" w:rsidR="00EA4B10">
        <w:rPr>
          <w:lang w:eastAsia="en-US"/>
        </w:rPr>
        <w:t>, awareness and understanding of rights and</w:t>
      </w:r>
      <w:r w:rsidRPr="002A63F9" w:rsidR="00BF7A14">
        <w:rPr>
          <w:lang w:eastAsia="en-US"/>
        </w:rPr>
        <w:t xml:space="preserve"> the ways in which to report a crime.</w:t>
      </w:r>
      <w:r w:rsidRPr="002A63F9" w:rsidR="00E71F9E">
        <w:rPr>
          <w:rStyle w:val="EndnoteReference"/>
          <w:lang w:eastAsia="en-US"/>
        </w:rPr>
        <w:endnoteReference w:id="237"/>
      </w:r>
      <w:r w:rsidRPr="002A63F9" w:rsidR="00581CDD">
        <w:rPr>
          <w:lang w:eastAsia="en-US"/>
        </w:rPr>
        <w:t xml:space="preserve"> </w:t>
      </w:r>
      <w:r w:rsidRPr="002A63F9" w:rsidR="002169BF">
        <w:rPr>
          <w:lang w:eastAsia="en-US"/>
        </w:rPr>
        <w:t xml:space="preserve">As research suggests, </w:t>
      </w:r>
      <w:r w:rsidRPr="002A63F9" w:rsidR="00DB4E01">
        <w:rPr>
          <w:lang w:eastAsia="en-US"/>
        </w:rPr>
        <w:t xml:space="preserve">people with disability may </w:t>
      </w:r>
      <w:r w:rsidRPr="002A63F9" w:rsidR="00CB6E5B">
        <w:rPr>
          <w:lang w:eastAsia="en-US"/>
        </w:rPr>
        <w:t xml:space="preserve">not </w:t>
      </w:r>
      <w:r w:rsidRPr="002A63F9" w:rsidR="00D87D93">
        <w:rPr>
          <w:lang w:eastAsia="en-US"/>
        </w:rPr>
        <w:t>be</w:t>
      </w:r>
      <w:r w:rsidRPr="002A63F9" w:rsidR="00CB6E5B">
        <w:rPr>
          <w:lang w:eastAsia="en-US"/>
        </w:rPr>
        <w:t xml:space="preserve"> provided with information </w:t>
      </w:r>
      <w:r w:rsidRPr="002A63F9" w:rsidR="00382EF9">
        <w:rPr>
          <w:lang w:eastAsia="en-US"/>
        </w:rPr>
        <w:t xml:space="preserve">as to </w:t>
      </w:r>
      <w:r w:rsidRPr="002A63F9" w:rsidR="00BD4FE3">
        <w:rPr>
          <w:lang w:eastAsia="en-US"/>
        </w:rPr>
        <w:t>what constitutes abuse</w:t>
      </w:r>
      <w:r w:rsidRPr="002A63F9" w:rsidR="001541A5">
        <w:rPr>
          <w:lang w:eastAsia="en-US"/>
        </w:rPr>
        <w:t xml:space="preserve"> and </w:t>
      </w:r>
      <w:r w:rsidRPr="002A63F9" w:rsidR="00437F8A">
        <w:rPr>
          <w:lang w:eastAsia="en-US"/>
        </w:rPr>
        <w:t>when, where and how to report a crime</w:t>
      </w:r>
      <w:r w:rsidRPr="002A63F9" w:rsidR="00E92149">
        <w:rPr>
          <w:lang w:eastAsia="en-US"/>
        </w:rPr>
        <w:t>.</w:t>
      </w:r>
      <w:r w:rsidRPr="002A63F9" w:rsidR="00E92149">
        <w:rPr>
          <w:rStyle w:val="EndnoteReference"/>
          <w:lang w:eastAsia="en-US"/>
        </w:rPr>
        <w:endnoteReference w:id="238"/>
      </w:r>
      <w:r w:rsidRPr="002A63F9" w:rsidR="001541A5">
        <w:rPr>
          <w:lang w:eastAsia="en-US"/>
        </w:rPr>
        <w:t xml:space="preserve"> </w:t>
      </w:r>
    </w:p>
    <w:p w:rsidRPr="002A63F9" w:rsidR="00E7523A" w:rsidP="00D5779A" w:rsidRDefault="00876699" w14:paraId="6A107D2C" w14:textId="5A5BD33F">
      <w:pPr>
        <w:pStyle w:val="ListNumber"/>
        <w:rPr>
          <w:lang w:eastAsia="en-US"/>
        </w:rPr>
      </w:pPr>
      <w:r w:rsidRPr="002A63F9">
        <w:rPr>
          <w:lang w:eastAsia="en-US"/>
        </w:rPr>
        <w:lastRenderedPageBreak/>
        <w:t xml:space="preserve">Research by the </w:t>
      </w:r>
      <w:r w:rsidRPr="002A63F9" w:rsidR="00EA11E2">
        <w:rPr>
          <w:lang w:eastAsia="en-US"/>
        </w:rPr>
        <w:t>VEOHRC</w:t>
      </w:r>
      <w:r w:rsidRPr="002A63F9">
        <w:rPr>
          <w:lang w:eastAsia="en-US"/>
        </w:rPr>
        <w:t xml:space="preserve"> suggests that </w:t>
      </w:r>
      <w:r w:rsidRPr="002A63F9" w:rsidR="001507C3">
        <w:rPr>
          <w:lang w:eastAsia="en-US"/>
        </w:rPr>
        <w:t xml:space="preserve">lack of access to information can </w:t>
      </w:r>
      <w:r w:rsidRPr="002A63F9" w:rsidR="001B004E">
        <w:rPr>
          <w:lang w:eastAsia="en-US"/>
        </w:rPr>
        <w:t>present a significant barrier to</w:t>
      </w:r>
      <w:r w:rsidRPr="002A63F9" w:rsidR="00B3147F">
        <w:rPr>
          <w:lang w:eastAsia="en-US"/>
        </w:rPr>
        <w:t xml:space="preserve"> people with disability reporting crime to the police.</w:t>
      </w:r>
      <w:r w:rsidRPr="002A63F9" w:rsidR="00C139BB">
        <w:rPr>
          <w:rStyle w:val="EndnoteReference"/>
          <w:lang w:eastAsia="en-US"/>
        </w:rPr>
        <w:endnoteReference w:id="239"/>
      </w:r>
      <w:r w:rsidRPr="002A63F9" w:rsidR="00B3147F">
        <w:rPr>
          <w:lang w:eastAsia="en-US"/>
        </w:rPr>
        <w:t xml:space="preserve"> </w:t>
      </w:r>
      <w:r w:rsidRPr="002A63F9" w:rsidR="001B0FDD">
        <w:rPr>
          <w:lang w:eastAsia="en-US"/>
        </w:rPr>
        <w:t>As an example</w:t>
      </w:r>
      <w:r w:rsidRPr="002A63F9" w:rsidR="005A393E">
        <w:rPr>
          <w:lang w:eastAsia="en-US"/>
        </w:rPr>
        <w:t xml:space="preserve">, </w:t>
      </w:r>
      <w:r w:rsidRPr="002A63F9" w:rsidR="00D4564B">
        <w:rPr>
          <w:lang w:eastAsia="en-US"/>
        </w:rPr>
        <w:t>people may not be aware of the phone numb</w:t>
      </w:r>
      <w:r w:rsidRPr="002A63F9" w:rsidR="001F7FAF">
        <w:rPr>
          <w:lang w:eastAsia="en-US"/>
        </w:rPr>
        <w:t>er</w:t>
      </w:r>
      <w:r w:rsidRPr="002A63F9" w:rsidR="00C139BB">
        <w:rPr>
          <w:lang w:eastAsia="en-US"/>
        </w:rPr>
        <w:t xml:space="preserve"> to call to make a report to the police.</w:t>
      </w:r>
      <w:r w:rsidRPr="002A63F9" w:rsidR="001B0FDD">
        <w:rPr>
          <w:rStyle w:val="EndnoteReference"/>
          <w:lang w:eastAsia="en-US"/>
        </w:rPr>
        <w:endnoteReference w:id="240"/>
      </w:r>
    </w:p>
    <w:p w:rsidRPr="002A63F9" w:rsidR="00EB1B0F" w:rsidP="00EB1B0F" w:rsidRDefault="00EB1B0F" w14:paraId="75CDE07E" w14:textId="2A29C752">
      <w:pPr>
        <w:pStyle w:val="ListNumber"/>
        <w:rPr>
          <w:b/>
          <w:bCs/>
          <w:lang w:eastAsia="en-US"/>
        </w:rPr>
      </w:pPr>
      <w:r w:rsidRPr="002A63F9">
        <w:rPr>
          <w:b/>
          <w:bCs/>
          <w:lang w:eastAsia="en-US"/>
        </w:rPr>
        <w:t>Recommendation 1</w:t>
      </w:r>
      <w:r w:rsidRPr="002A63F9" w:rsidR="00287C69">
        <w:rPr>
          <w:b/>
          <w:bCs/>
          <w:lang w:eastAsia="en-US"/>
        </w:rPr>
        <w:t>7</w:t>
      </w:r>
      <w:r w:rsidRPr="002A63F9">
        <w:rPr>
          <w:b/>
          <w:bCs/>
          <w:lang w:eastAsia="en-US"/>
        </w:rPr>
        <w:t>: The Royal Commission explore the effectiveness of existing independent support person programs</w:t>
      </w:r>
      <w:r w:rsidRPr="002A63F9" w:rsidR="00F26F0C">
        <w:rPr>
          <w:b/>
          <w:bCs/>
          <w:lang w:eastAsia="en-US"/>
        </w:rPr>
        <w:t xml:space="preserve"> </w:t>
      </w:r>
      <w:r w:rsidRPr="002A63F9">
        <w:rPr>
          <w:b/>
          <w:bCs/>
          <w:lang w:eastAsia="en-US"/>
        </w:rPr>
        <w:t>and consider their roll out throughout Australia.</w:t>
      </w:r>
    </w:p>
    <w:p w:rsidRPr="002A63F9" w:rsidR="00EB1B0F" w:rsidP="00EB1B0F" w:rsidRDefault="00EB1B0F" w14:paraId="762A3B14" w14:textId="1FD069C3">
      <w:pPr>
        <w:pStyle w:val="ListNumber"/>
        <w:rPr>
          <w:b/>
          <w:bCs/>
          <w:lang w:eastAsia="en-US"/>
        </w:rPr>
      </w:pPr>
      <w:r w:rsidRPr="002A63F9">
        <w:rPr>
          <w:b/>
          <w:bCs/>
          <w:lang w:eastAsia="en-US"/>
        </w:rPr>
        <w:t>Recommendation 1</w:t>
      </w:r>
      <w:r w:rsidRPr="002A63F9" w:rsidR="00287C69">
        <w:rPr>
          <w:b/>
          <w:bCs/>
          <w:lang w:eastAsia="en-US"/>
        </w:rPr>
        <w:t>8</w:t>
      </w:r>
      <w:r w:rsidRPr="002A63F9">
        <w:rPr>
          <w:b/>
          <w:bCs/>
          <w:lang w:eastAsia="en-US"/>
        </w:rPr>
        <w:t>: The Royal Commission inquire into the effectiveness of the current NDIS Quality and Safeguards Framework in ensuring a criminal justice pathway for reportable conduct.</w:t>
      </w:r>
    </w:p>
    <w:p w:rsidRPr="002A63F9" w:rsidR="00EB1B0F" w:rsidP="00EB1B0F" w:rsidRDefault="00EB1B0F" w14:paraId="4D297177" w14:textId="19761092">
      <w:pPr>
        <w:pStyle w:val="ListNumber"/>
        <w:rPr>
          <w:b/>
          <w:bCs/>
          <w:lang w:eastAsia="en-US"/>
        </w:rPr>
      </w:pPr>
      <w:r w:rsidRPr="002A63F9">
        <w:rPr>
          <w:b/>
          <w:bCs/>
          <w:lang w:eastAsia="en-US"/>
        </w:rPr>
        <w:t>Recommendation 1</w:t>
      </w:r>
      <w:r w:rsidRPr="002A63F9" w:rsidR="00287C69">
        <w:rPr>
          <w:b/>
          <w:bCs/>
          <w:lang w:eastAsia="en-US"/>
        </w:rPr>
        <w:t>9</w:t>
      </w:r>
      <w:r w:rsidRPr="002A63F9">
        <w:rPr>
          <w:b/>
          <w:bCs/>
          <w:lang w:eastAsia="en-US"/>
        </w:rPr>
        <w:t xml:space="preserve">: The Australian Government consider the rollout of mandatory rights-based training for </w:t>
      </w:r>
      <w:r w:rsidRPr="002A63F9" w:rsidR="0059409B">
        <w:rPr>
          <w:b/>
          <w:bCs/>
          <w:lang w:eastAsia="en-US"/>
        </w:rPr>
        <w:t xml:space="preserve">disability support staff and other </w:t>
      </w:r>
      <w:r w:rsidRPr="002A63F9">
        <w:rPr>
          <w:b/>
          <w:bCs/>
          <w:lang w:eastAsia="en-US"/>
        </w:rPr>
        <w:t>workers employed under and through the NDIS.</w:t>
      </w:r>
    </w:p>
    <w:p w:rsidRPr="002A63F9" w:rsidR="00EB1B0F" w:rsidP="00EB1B0F" w:rsidRDefault="00EB1B0F" w14:paraId="49F2BE2B" w14:textId="61666364">
      <w:pPr>
        <w:pStyle w:val="ListNumber"/>
        <w:rPr>
          <w:b/>
          <w:bCs/>
          <w:lang w:eastAsia="en-US"/>
        </w:rPr>
      </w:pPr>
      <w:r w:rsidRPr="002A63F9">
        <w:rPr>
          <w:b/>
          <w:bCs/>
          <w:lang w:eastAsia="en-US"/>
        </w:rPr>
        <w:t xml:space="preserve">Recommendation </w:t>
      </w:r>
      <w:r w:rsidRPr="002A63F9" w:rsidR="00287C69">
        <w:rPr>
          <w:b/>
          <w:bCs/>
          <w:lang w:eastAsia="en-US"/>
        </w:rPr>
        <w:t>20</w:t>
      </w:r>
      <w:r w:rsidRPr="002A63F9">
        <w:rPr>
          <w:b/>
          <w:bCs/>
          <w:lang w:eastAsia="en-US"/>
        </w:rPr>
        <w:t xml:space="preserve">: The Australian Government continue to fund and support Community Visitor Schemes throughout Australian states and territories. </w:t>
      </w:r>
    </w:p>
    <w:p w:rsidRPr="002A63F9" w:rsidR="00EB1B0F" w:rsidP="00EB1B0F" w:rsidRDefault="00EB1B0F" w14:paraId="3F798E4B" w14:textId="2FFFCF91">
      <w:pPr>
        <w:pStyle w:val="ListNumber"/>
        <w:rPr>
          <w:b/>
          <w:bCs/>
          <w:lang w:eastAsia="en-US"/>
        </w:rPr>
      </w:pPr>
      <w:r w:rsidRPr="002A63F9">
        <w:rPr>
          <w:b/>
          <w:bCs/>
          <w:lang w:eastAsia="en-US"/>
        </w:rPr>
        <w:t xml:space="preserve">Recommendation </w:t>
      </w:r>
      <w:r w:rsidRPr="002A63F9" w:rsidR="007A72FC">
        <w:rPr>
          <w:b/>
          <w:bCs/>
          <w:lang w:eastAsia="en-US"/>
        </w:rPr>
        <w:t>2</w:t>
      </w:r>
      <w:r w:rsidRPr="002A63F9" w:rsidR="00287C69">
        <w:rPr>
          <w:b/>
          <w:bCs/>
          <w:lang w:eastAsia="en-US"/>
        </w:rPr>
        <w:t>1</w:t>
      </w:r>
      <w:r w:rsidRPr="002A63F9">
        <w:rPr>
          <w:b/>
          <w:bCs/>
          <w:lang w:eastAsia="en-US"/>
        </w:rPr>
        <w:t xml:space="preserve">: The Royal Commission inquire further into the information, resources and supports available to people with disability, in all settings, to report crimes. </w:t>
      </w:r>
    </w:p>
    <w:p w:rsidRPr="002A63F9" w:rsidR="000D372F" w:rsidP="00E116AA" w:rsidRDefault="00E116AA" w14:paraId="697C23A7" w14:textId="1FED511E">
      <w:pPr>
        <w:pStyle w:val="Heading1"/>
        <w:rPr>
          <w:lang w:eastAsia="en-US"/>
        </w:rPr>
      </w:pPr>
      <w:bookmarkStart w:name="_Toc35535496" w:id="38"/>
      <w:r w:rsidRPr="002A63F9">
        <w:rPr>
          <w:lang w:eastAsia="en-US"/>
        </w:rPr>
        <w:t xml:space="preserve">Appendix </w:t>
      </w:r>
      <w:r w:rsidRPr="002A63F9" w:rsidR="00BB2C2F">
        <w:rPr>
          <w:lang w:eastAsia="en-US"/>
        </w:rPr>
        <w:t xml:space="preserve">A: </w:t>
      </w:r>
      <w:r w:rsidRPr="002A63F9" w:rsidR="004A1259">
        <w:rPr>
          <w:lang w:eastAsia="en-US"/>
        </w:rPr>
        <w:t>Case studies</w:t>
      </w:r>
      <w:bookmarkEnd w:id="38"/>
    </w:p>
    <w:p w:rsidRPr="002A63F9" w:rsidR="003B7AC8" w:rsidP="003B7AC8" w:rsidRDefault="003B7AC8" w14:paraId="7026D4C2" w14:textId="77777777">
      <w:pPr>
        <w:pStyle w:val="Heading2"/>
        <w:spacing w:line="276" w:lineRule="auto"/>
      </w:pPr>
      <w:bookmarkStart w:name="_Toc35535497" w:id="39"/>
      <w:r w:rsidRPr="002A63F9">
        <w:t>Fitness to plead and indefinite detention</w:t>
      </w:r>
      <w:bookmarkEnd w:id="39"/>
    </w:p>
    <w:p w:rsidRPr="002A63F9" w:rsidR="00EA5DE0" w:rsidP="00D5779A" w:rsidRDefault="00EA5DE0" w14:paraId="4AC1D93C" w14:textId="5A26992A">
      <w:pPr>
        <w:pStyle w:val="ListNumber"/>
        <w:rPr>
          <w:lang w:eastAsia="en-US"/>
        </w:rPr>
      </w:pPr>
      <w:r w:rsidRPr="002A63F9">
        <w:rPr>
          <w:lang w:eastAsia="en-US"/>
        </w:rPr>
        <w:t>There have been numerous instances of indefinite detention of people with disability in Australia in the past 20 years. It is important to note that indefinite detention is particularly prevalent among First Nations people with disability. This is reflective of the overrepresentation of both First Nations people and people with disability in custody. Illustrating this intersection, 73% of male First Nations prisoners and 86% of female First Nations prisoners have diagnosed mental health conditions.</w:t>
      </w:r>
      <w:r w:rsidRPr="002A63F9">
        <w:rPr>
          <w:rStyle w:val="EndnoteReference"/>
          <w:lang w:eastAsia="en-US"/>
        </w:rPr>
        <w:endnoteReference w:id="241"/>
      </w:r>
      <w:r w:rsidRPr="002A63F9">
        <w:rPr>
          <w:lang w:eastAsia="en-US"/>
        </w:rPr>
        <w:t xml:space="preserve"> As such, each of the case studies below concern </w:t>
      </w:r>
      <w:r w:rsidR="00493FCB">
        <w:rPr>
          <w:lang w:eastAsia="en-US"/>
        </w:rPr>
        <w:t>First Nations</w:t>
      </w:r>
      <w:r w:rsidRPr="002A63F9">
        <w:rPr>
          <w:lang w:eastAsia="en-US"/>
        </w:rPr>
        <w:t xml:space="preserve"> people with disabilit</w:t>
      </w:r>
      <w:r w:rsidRPr="002A63F9" w:rsidR="00C85D3C">
        <w:rPr>
          <w:lang w:eastAsia="en-US"/>
        </w:rPr>
        <w:t>y</w:t>
      </w:r>
      <w:r w:rsidRPr="002A63F9">
        <w:rPr>
          <w:lang w:eastAsia="en-US"/>
        </w:rPr>
        <w:t>.</w:t>
      </w:r>
    </w:p>
    <w:p w:rsidRPr="002A63F9" w:rsidR="00EA5DE0" w:rsidP="00D5779A" w:rsidRDefault="00EA5DE0" w14:paraId="09B7AD77" w14:textId="7E88F4FA">
      <w:pPr>
        <w:pStyle w:val="ListNumber"/>
        <w:rPr>
          <w:lang w:eastAsia="en-US"/>
        </w:rPr>
      </w:pPr>
      <w:r w:rsidRPr="002A63F9">
        <w:rPr>
          <w:lang w:eastAsia="en-US"/>
        </w:rPr>
        <w:t>Marlon Noble is a First Nations man with an intellectual disability who was charged with sexual offences against two girls under the age of 16 in October 2001.</w:t>
      </w:r>
      <w:r w:rsidRPr="002A63F9">
        <w:rPr>
          <w:rStyle w:val="EndnoteReference"/>
          <w:lang w:eastAsia="en-US"/>
        </w:rPr>
        <w:endnoteReference w:id="242"/>
      </w:r>
      <w:r w:rsidRPr="002A63F9">
        <w:rPr>
          <w:lang w:eastAsia="en-US"/>
        </w:rPr>
        <w:t xml:space="preserve"> Upon being deemed unfit to plead in January 2003, Mr. Noble was moved to a prison in regional Western Australia where he remained until January 2012. Mr. Noble’s legal capacity was reviewed eight times in the ten years during which he was incarcerated, but </w:t>
      </w:r>
      <w:r w:rsidRPr="002A63F9">
        <w:rPr>
          <w:lang w:eastAsia="en-US"/>
        </w:rPr>
        <w:lastRenderedPageBreak/>
        <w:t>he was denied release each time owing to a lack of available community support services. Once released, Mr. Noble was subjected to a series of conditions that restricted, among other things, his ability to enter licensed premises, stay overnight away from his primary address and visit his mother’s grave.</w:t>
      </w:r>
      <w:r w:rsidRPr="002A63F9">
        <w:rPr>
          <w:rStyle w:val="EndnoteReference"/>
          <w:lang w:eastAsia="en-US"/>
        </w:rPr>
        <w:endnoteReference w:id="243"/>
      </w:r>
    </w:p>
    <w:p w:rsidRPr="002A63F9" w:rsidR="00EA5DE0" w:rsidP="00D5779A" w:rsidRDefault="00EA5DE0" w14:paraId="66865976" w14:textId="79EACC99">
      <w:pPr>
        <w:pStyle w:val="ListNumber"/>
        <w:rPr>
          <w:lang w:eastAsia="en-US"/>
        </w:rPr>
      </w:pPr>
      <w:r w:rsidRPr="002A63F9">
        <w:rPr>
          <w:lang w:eastAsia="en-US"/>
        </w:rPr>
        <w:t>Rosie Fulton is a First Nations woman with Fetal Alcohol Spectrum Disorder (FASD) who was arrested after crashing a stolen car in 2012. Deemed unfit to plead, Ms. Fulton was incarcerated without conviction for almost two years before being moved to a secure care facility in the Northern Territory in 2014.</w:t>
      </w:r>
      <w:r w:rsidRPr="002A63F9">
        <w:rPr>
          <w:rStyle w:val="EndnoteReference"/>
          <w:lang w:eastAsia="en-US"/>
        </w:rPr>
        <w:endnoteReference w:id="244"/>
      </w:r>
      <w:r w:rsidRPr="002A63F9">
        <w:rPr>
          <w:lang w:eastAsia="en-US"/>
        </w:rPr>
        <w:t xml:space="preserve"> Since returning to Alice Springs, Ms. Fulton has again been imprisoned, this time for assaulting a police officer and disorderly conduct in a police station. Ms. Fulton’s recidivism is, according to her guardian, a result of the collapse of the support systems available to her.</w:t>
      </w:r>
      <w:r w:rsidRPr="002A63F9">
        <w:rPr>
          <w:rStyle w:val="EndnoteReference"/>
          <w:lang w:eastAsia="en-US"/>
        </w:rPr>
        <w:endnoteReference w:id="245"/>
      </w:r>
    </w:p>
    <w:p w:rsidRPr="002A63F9" w:rsidR="00EA5DE0" w:rsidP="00D5779A" w:rsidRDefault="00EA5DE0" w14:paraId="4B22FCA7" w14:textId="5BF30B8A">
      <w:pPr>
        <w:pStyle w:val="ListNumber"/>
        <w:rPr>
          <w:lang w:eastAsia="en-US"/>
        </w:rPr>
      </w:pPr>
      <w:r w:rsidRPr="002A63F9">
        <w:rPr>
          <w:lang w:eastAsia="en-US"/>
        </w:rPr>
        <w:t>Christopher Leo is a First Nations man with an intellectual impairment arising from an acquired brain injury, epilepsy and mental illness. In 2007, Mr Leo was arrested and charged with common assault in a circumstance of aggravation following a confrontation with a Council support worker in the Northern Territory. Mr Leo was deemed unfit to be tried, and after a special hearing he was remanded in custody under a custodial supervision order. Despite this order being given a limiting period of twelve months, Mr Leo remained in prison for almost six years. During this time, he was held in maximum security and often isolated in his cell for extended periods.</w:t>
      </w:r>
      <w:r w:rsidRPr="002A63F9">
        <w:rPr>
          <w:rStyle w:val="EndnoteReference"/>
          <w:lang w:eastAsia="en-US"/>
        </w:rPr>
        <w:endnoteReference w:id="246"/>
      </w:r>
    </w:p>
    <w:p w:rsidRPr="002A63F9" w:rsidR="00EA5DE0" w:rsidP="00D5779A" w:rsidRDefault="00EA5DE0" w14:paraId="1B208CAF" w14:textId="465150A5">
      <w:pPr>
        <w:pStyle w:val="ListNumber"/>
        <w:rPr>
          <w:lang w:eastAsia="en-US"/>
        </w:rPr>
      </w:pPr>
      <w:r w:rsidRPr="002A63F9">
        <w:rPr>
          <w:lang w:eastAsia="en-US"/>
        </w:rPr>
        <w:t>Manuway (Kerry) Doolan is a First Nations man with intellectual and psychosocial impairment who in 2008 was arrested and charged with common assault in a circumstance of aggravation and damage to property in a circumstance of aggravation. Deemed unfit to plead by the Supreme Court of the Northern Territory, a special hearing was held and Mr Doolan was subjected to a custodial supervision order, restricted to a period of twelve months. Contrary to this restriction, Mr Doolan was held in a high security prison for a total of four years and nine months, much of which was spent in isolation and with limited access to the support services required by virtue of his disability.</w:t>
      </w:r>
      <w:r w:rsidRPr="002A63F9">
        <w:rPr>
          <w:rStyle w:val="EndnoteReference"/>
          <w:lang w:eastAsia="en-US"/>
        </w:rPr>
        <w:endnoteReference w:id="247"/>
      </w:r>
    </w:p>
    <w:p w:rsidRPr="002A63F9" w:rsidR="003B7AC8" w:rsidP="003B7AC8" w:rsidRDefault="003B7AC8" w14:paraId="43D47D5A" w14:textId="77777777">
      <w:pPr>
        <w:pStyle w:val="Heading2"/>
        <w:spacing w:line="276" w:lineRule="auto"/>
      </w:pPr>
      <w:bookmarkStart w:name="_Toc35535498" w:id="40"/>
      <w:r w:rsidRPr="002A63F9">
        <w:t>The use of seclusion and restraint on people with disability in detention</w:t>
      </w:r>
      <w:bookmarkEnd w:id="40"/>
    </w:p>
    <w:p w:rsidRPr="002A63F9" w:rsidR="00C00FAE" w:rsidP="00D5779A" w:rsidRDefault="00C00FAE" w14:paraId="57CC5ABB" w14:textId="139B5183">
      <w:pPr>
        <w:pStyle w:val="ListNumber"/>
        <w:rPr>
          <w:lang w:eastAsia="en-US"/>
        </w:rPr>
      </w:pPr>
      <w:r w:rsidRPr="002A63F9">
        <w:rPr>
          <w:lang w:eastAsia="en-US"/>
        </w:rPr>
        <w:t>Dylan Voller is a First Nations man with an undiagnosed disability who was severely mistreated in a Northern Territory youth detention centre in 2016.</w:t>
      </w:r>
      <w:r w:rsidRPr="002A63F9">
        <w:rPr>
          <w:rStyle w:val="EndnoteReference"/>
          <w:lang w:eastAsia="en-US"/>
        </w:rPr>
        <w:endnoteReference w:id="248"/>
      </w:r>
      <w:r w:rsidRPr="002A63F9">
        <w:rPr>
          <w:lang w:eastAsia="en-US"/>
        </w:rPr>
        <w:t xml:space="preserve"> With a history of early trauma, significant behavioural issues and attendance at no less than five schools in three years, Mr Voller was quickly characterised as problematic, dangerous and disruptive.</w:t>
      </w:r>
      <w:r w:rsidRPr="002A63F9">
        <w:rPr>
          <w:rStyle w:val="EndnoteReference"/>
          <w:lang w:eastAsia="en-US"/>
        </w:rPr>
        <w:endnoteReference w:id="249"/>
      </w:r>
      <w:r w:rsidRPr="002A63F9">
        <w:rPr>
          <w:lang w:eastAsia="en-US"/>
        </w:rPr>
        <w:t xml:space="preserve"> During his time in prison, Mr Voller was restrained, hooded and held in </w:t>
      </w:r>
      <w:r w:rsidRPr="002A63F9">
        <w:rPr>
          <w:lang w:eastAsia="en-US"/>
        </w:rPr>
        <w:lastRenderedPageBreak/>
        <w:t>isolation for extended periods of time. In the years following his initial detention, Mr Voller was incarcerated on several further occasions.</w:t>
      </w:r>
      <w:r w:rsidRPr="002A63F9">
        <w:rPr>
          <w:rStyle w:val="EndnoteReference"/>
          <w:lang w:eastAsia="en-US"/>
        </w:rPr>
        <w:endnoteReference w:id="250"/>
      </w:r>
    </w:p>
    <w:p w:rsidRPr="002A63F9" w:rsidR="009F2D79" w:rsidP="00D5779A" w:rsidRDefault="00C00FAE" w14:paraId="0F8C221E" w14:textId="3FF565D1">
      <w:pPr>
        <w:pStyle w:val="ListNumber"/>
        <w:rPr>
          <w:lang w:eastAsia="en-US"/>
        </w:rPr>
      </w:pPr>
      <w:r w:rsidRPr="002A63F9">
        <w:rPr>
          <w:lang w:eastAsia="en-US"/>
        </w:rPr>
        <w:t>John Tjepkema has spent more than 20 years in prison since the 1970s. For most of that time, Mr Tjepkema has had an acquired brain injury (ABI) that has impacted upon his memory and ability to comply with instructions given in prison and on parole. When he sought assistance during his time in prison, Mr Tjepkema was instead held in a psychiatric unit for several months and administered antipsychotic drugs.</w:t>
      </w:r>
      <w:r w:rsidRPr="002A63F9">
        <w:rPr>
          <w:rStyle w:val="EndnoteReference"/>
          <w:lang w:eastAsia="en-US"/>
        </w:rPr>
        <w:endnoteReference w:id="251"/>
      </w:r>
    </w:p>
    <w:p w:rsidRPr="002A63F9" w:rsidR="009F2D79" w:rsidP="001822E8" w:rsidRDefault="009F2D79" w14:paraId="6F967DA1" w14:textId="77777777">
      <w:pPr>
        <w:rPr>
          <w:lang w:eastAsia="en-US"/>
        </w:rPr>
      </w:pPr>
    </w:p>
    <w:sectPr w:rsidRPr="002A63F9" w:rsidR="009F2D79" w:rsidSect="00EC10D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orient="portrait" w:code="9"/>
      <w:pgMar w:top="2438" w:right="1418" w:bottom="1134" w:left="1418" w:header="907" w:footer="28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590" w:rsidP="00F14C6D" w:rsidRDefault="00BD1590" w14:paraId="2AB12CB5" w14:textId="77777777">
      <w:r>
        <w:separator/>
      </w:r>
    </w:p>
  </w:endnote>
  <w:endnote w:type="continuationSeparator" w:id="0">
    <w:p w:rsidR="00BD1590" w:rsidP="00F14C6D" w:rsidRDefault="00BD1590" w14:paraId="0A2048F8" w14:textId="77777777">
      <w:r>
        <w:continuationSeparator/>
      </w:r>
    </w:p>
  </w:endnote>
  <w:endnote w:type="continuationNotice" w:id="1">
    <w:p w:rsidR="00BD1590" w:rsidRDefault="00BD1590" w14:paraId="6412BDC3" w14:textId="77777777">
      <w:pPr>
        <w:spacing w:before="0" w:after="0"/>
      </w:pPr>
    </w:p>
  </w:endnote>
  <w:endnote w:id="2">
    <w:p w:rsidRPr="004E27A8" w:rsidR="00A1106D" w:rsidP="00A3220A" w:rsidRDefault="00A1106D" w14:paraId="3718561F" w14:textId="43F400B0">
      <w:pPr>
        <w:pStyle w:val="EndnoteText"/>
        <w:rPr>
          <w:rFonts w:cs="Open Sans"/>
        </w:rPr>
      </w:pPr>
      <w:r w:rsidRPr="004E27A8">
        <w:rPr>
          <w:rStyle w:val="EndnoteReference"/>
          <w:rFonts w:cs="Open Sans"/>
        </w:rPr>
        <w:endnoteRef/>
      </w:r>
      <w:r w:rsidRPr="004E27A8">
        <w:rPr>
          <w:rFonts w:cs="Open Sans"/>
        </w:rPr>
        <w:t xml:space="preserve">  Royal Commission into Violence, Abuse, Neglect and Exploitation of People with Disability,</w:t>
      </w:r>
      <w:r w:rsidRPr="004E27A8">
        <w:rPr>
          <w:rFonts w:cs="Open Sans"/>
          <w:i/>
          <w:iCs/>
        </w:rPr>
        <w:t xml:space="preserve"> Accessibility and Inclusion Strategy </w:t>
      </w:r>
      <w:r w:rsidRPr="004E27A8">
        <w:rPr>
          <w:rFonts w:cs="Open Sans"/>
        </w:rPr>
        <w:t>(December 2019) &lt;https://disability.royalcommission.gov.au/about/Documents/accessibility-inclusion-strategy.pdf&gt;.</w:t>
      </w:r>
    </w:p>
  </w:endnote>
  <w:endnote w:id="3">
    <w:p w:rsidRPr="00A52D60" w:rsidR="00A1106D" w:rsidP="00A3220A" w:rsidRDefault="00A1106D" w14:paraId="3BACB7C8" w14:textId="2E561B84">
      <w:pPr>
        <w:pStyle w:val="EndnoteText"/>
        <w:rPr>
          <w:rFonts w:cs="Open Sans"/>
        </w:rPr>
      </w:pPr>
      <w:r w:rsidRPr="004E27A8">
        <w:rPr>
          <w:rStyle w:val="EndnoteReference"/>
          <w:rFonts w:cs="Open Sans"/>
        </w:rPr>
        <w:endnoteRef/>
      </w:r>
      <w:r w:rsidRPr="004E27A8">
        <w:rPr>
          <w:rFonts w:cs="Open Sans"/>
        </w:rPr>
        <w:t xml:space="preserve"> Royal Commission into Violence, Abuse, Neglect and Exploitation of People with Disability,</w:t>
      </w:r>
      <w:r w:rsidRPr="004E27A8">
        <w:rPr>
          <w:rFonts w:cs="Open Sans"/>
          <w:i/>
          <w:iCs/>
        </w:rPr>
        <w:t xml:space="preserve"> </w:t>
      </w:r>
      <w:r>
        <w:rPr>
          <w:rFonts w:cs="Open Sans"/>
          <w:i/>
          <w:iCs/>
        </w:rPr>
        <w:t>The Criminal Justice System</w:t>
      </w:r>
      <w:r w:rsidRPr="004E27A8">
        <w:rPr>
          <w:rFonts w:cs="Open Sans"/>
          <w:i/>
          <w:iCs/>
        </w:rPr>
        <w:t xml:space="preserve"> Issues Paper </w:t>
      </w:r>
      <w:r w:rsidRPr="004E27A8">
        <w:rPr>
          <w:rFonts w:cs="Open Sans"/>
        </w:rPr>
        <w:t>(</w:t>
      </w:r>
      <w:r>
        <w:rPr>
          <w:rFonts w:cs="Open Sans"/>
        </w:rPr>
        <w:t>January 2020</w:t>
      </w:r>
      <w:r w:rsidRPr="004E27A8">
        <w:rPr>
          <w:rFonts w:cs="Open Sans"/>
        </w:rPr>
        <w:t xml:space="preserve">) </w:t>
      </w:r>
      <w:r w:rsidR="00F725AB">
        <w:rPr>
          <w:rFonts w:cs="Open Sans"/>
        </w:rPr>
        <w:t>&lt;</w:t>
      </w:r>
      <w:r w:rsidRPr="004E6CE9" w:rsidR="00F725AB">
        <w:t>https://disability.royalcommission.gov.au/publications/Documents/criminal-justice-system-issues-paper.pdf</w:t>
      </w:r>
      <w:r w:rsidR="004E6CE9">
        <w:t>&gt;</w:t>
      </w:r>
      <w:r w:rsidRPr="00A52D60">
        <w:rPr>
          <w:rFonts w:cs="Open Sans"/>
        </w:rPr>
        <w:t>.</w:t>
      </w:r>
      <w:r w:rsidRPr="00A52D60">
        <w:rPr>
          <w:rFonts w:cs="Open Sans"/>
          <w:i/>
          <w:iCs/>
        </w:rPr>
        <w:t xml:space="preserve"> </w:t>
      </w:r>
    </w:p>
  </w:endnote>
  <w:endnote w:id="4">
    <w:p w:rsidR="00A1106D" w:rsidRDefault="00A1106D" w14:paraId="504250D3" w14:textId="54ACE9F9">
      <w:pPr>
        <w:pStyle w:val="EndnoteText"/>
      </w:pPr>
      <w:r>
        <w:rPr>
          <w:rStyle w:val="EndnoteReference"/>
        </w:rPr>
        <w:endnoteRef/>
      </w:r>
      <w:r>
        <w:t xml:space="preserve"> </w:t>
      </w:r>
      <w:r w:rsidRPr="000F1B58">
        <w:rPr>
          <w:i/>
          <w:iCs/>
        </w:rPr>
        <w:t>Convention on the Rights of Persons with Disabilities</w:t>
      </w:r>
      <w:r w:rsidRPr="00BE1BE9">
        <w:t>, opened for signature 30 March 2007, 2515 UNTS 3 (entered into force 3 May 2008)</w:t>
      </w:r>
      <w:r>
        <w:t xml:space="preserve"> (CRPD).</w:t>
      </w:r>
    </w:p>
  </w:endnote>
  <w:endnote w:id="5">
    <w:p w:rsidR="00A1106D" w:rsidRDefault="00A1106D" w14:paraId="2025C0C1" w14:textId="1DED5072">
      <w:pPr>
        <w:pStyle w:val="EndnoteText"/>
      </w:pPr>
      <w:r>
        <w:rPr>
          <w:rStyle w:val="EndnoteReference"/>
        </w:rPr>
        <w:endnoteRef/>
      </w:r>
      <w:r>
        <w:t xml:space="preserve"> </w:t>
      </w:r>
      <w:r>
        <w:rPr>
          <w:i/>
          <w:iCs/>
        </w:rPr>
        <w:t>International Covenant on Civil and Political Rights</w:t>
      </w:r>
      <w:r>
        <w:t>, opened for signature 16 December 1966, 999 UNTS 171 (entered into force 23 March 1976) (ICCPR).</w:t>
      </w:r>
    </w:p>
  </w:endnote>
  <w:endnote w:id="6">
    <w:p w:rsidRPr="00015E5E" w:rsidR="00A1106D" w:rsidP="00694434" w:rsidRDefault="00A1106D" w14:paraId="0666F38D" w14:textId="15BC2AB6">
      <w:pPr>
        <w:pStyle w:val="EndnoteText"/>
      </w:pPr>
      <w:r w:rsidRPr="00015E5E">
        <w:rPr>
          <w:rStyle w:val="EndnoteReference"/>
        </w:rPr>
        <w:endnoteRef/>
      </w:r>
      <w:r w:rsidRPr="00015E5E">
        <w:t xml:space="preserve"> </w:t>
      </w:r>
      <w:r w:rsidRPr="00015E5E">
        <w:rPr>
          <w:i/>
          <w:iCs/>
        </w:rPr>
        <w:t>Optional Protocol to the Convention against Torture and Other Cruel, Inhuman or Degrading Treatment or Punishment</w:t>
      </w:r>
      <w:r w:rsidRPr="00015E5E">
        <w:t xml:space="preserve">, </w:t>
      </w:r>
      <w:r>
        <w:t xml:space="preserve">opened for signature </w:t>
      </w:r>
      <w:r w:rsidRPr="00015E5E">
        <w:t>on</w:t>
      </w:r>
      <w:r>
        <w:t xml:space="preserve"> 4 February </w:t>
      </w:r>
      <w:r w:rsidRPr="00015E5E">
        <w:t>200</w:t>
      </w:r>
      <w:r>
        <w:t>3,</w:t>
      </w:r>
      <w:r w:rsidRPr="00227E58">
        <w:t xml:space="preserve"> A/RES/57/199</w:t>
      </w:r>
      <w:r>
        <w:t xml:space="preserve"> (</w:t>
      </w:r>
      <w:r w:rsidRPr="00015E5E">
        <w:t>entered into force on 22 June 2006)</w:t>
      </w:r>
      <w:r>
        <w:t xml:space="preserve"> (OPCAT)</w:t>
      </w:r>
      <w:r w:rsidRPr="00015E5E">
        <w:t xml:space="preserve">. Australia signed OPCAT on 19 May 2009. On 9 February 2017, the Australian Government announced that it intended to ratify OPCAT, working closely with the states and territories on implementation: Commonwealth Attorney-General, ‘Media Release - Improving oversight and conditions in detention’, 9 February 2017 </w:t>
      </w:r>
      <w:r w:rsidR="00F725AB">
        <w:t>&lt;</w:t>
      </w:r>
      <w:r w:rsidRPr="004E6CE9" w:rsidR="00F725AB">
        <w:t>http://pandora.nla.gov.au/pan/21248/20171220-1246/www.attorneygeneral.gov.au/Mediareleases/Pages/2017/FirstQuarter/Improving-oversight-and-conditions-in-detention.html</w:t>
      </w:r>
      <w:r w:rsidR="00F725AB">
        <w:t>&gt;</w:t>
      </w:r>
      <w:r w:rsidRPr="00015E5E">
        <w:t>.</w:t>
      </w:r>
    </w:p>
  </w:endnote>
  <w:endnote w:id="7">
    <w:p w:rsidRPr="00087DB4" w:rsidR="00A1106D" w:rsidRDefault="00A1106D" w14:paraId="6A3C7253" w14:textId="48C4AB68">
      <w:pPr>
        <w:pStyle w:val="EndnoteText"/>
      </w:pPr>
      <w:r>
        <w:rPr>
          <w:rStyle w:val="EndnoteReference"/>
        </w:rPr>
        <w:endnoteRef/>
      </w:r>
      <w:r>
        <w:t xml:space="preserve"> It is important to note, however, that Australia’s domestic legal framework is not entirely harmonised with the relevant human rights instruments. See, e.g., CRPD Committee, </w:t>
      </w:r>
      <w:r>
        <w:rPr>
          <w:i/>
          <w:iCs/>
        </w:rPr>
        <w:t>Concluding Observations on the Combined Second and Third Periodic Reports of Australia</w:t>
      </w:r>
      <w:r>
        <w:t>, CRPD/C/AUS/CO/2-3 (15 October 2019) [5(a)]: ‘The Committee is concerned about…[t]he insufficient harmonization of the domestic legal framework with the Convention’.</w:t>
      </w:r>
    </w:p>
  </w:endnote>
  <w:endnote w:id="8">
    <w:p w:rsidRPr="00CB5CAD" w:rsidR="00A1106D" w:rsidP="00254D9C" w:rsidRDefault="00A1106D" w14:paraId="3FA989EE" w14:textId="77777777">
      <w:pPr>
        <w:pStyle w:val="EndnoteText"/>
      </w:pPr>
      <w:r>
        <w:rPr>
          <w:rStyle w:val="EndnoteReference"/>
        </w:rPr>
        <w:endnoteRef/>
      </w:r>
      <w:r>
        <w:t xml:space="preserve"> </w:t>
      </w:r>
      <w:r>
        <w:rPr>
          <w:i/>
          <w:iCs/>
        </w:rPr>
        <w:t>Optional Protocol to the Convention on the Rights of Persons with Disabilities</w:t>
      </w:r>
      <w:r>
        <w:t>, opened for signature 30 March 2007, 2518 UNTS 283 (entered into force 3 May 2008).</w:t>
      </w:r>
    </w:p>
  </w:endnote>
  <w:endnote w:id="9">
    <w:p w:rsidR="00A1106D" w:rsidP="00745E4A" w:rsidRDefault="00A1106D" w14:paraId="180B11A8" w14:textId="5A60027D">
      <w:pPr>
        <w:pStyle w:val="EndnoteText"/>
      </w:pPr>
      <w:r>
        <w:rPr>
          <w:rStyle w:val="EndnoteReference"/>
        </w:rPr>
        <w:endnoteRef/>
      </w:r>
      <w:r>
        <w:t xml:space="preserve"> CRPD, above n 3, Preamble.</w:t>
      </w:r>
    </w:p>
  </w:endnote>
  <w:endnote w:id="10">
    <w:p w:rsidRPr="00015E5E" w:rsidR="00A1106D" w:rsidP="000A40FC" w:rsidRDefault="00A1106D" w14:paraId="69B58AA5" w14:textId="7EE02CC5">
      <w:pPr>
        <w:spacing w:before="0" w:after="0"/>
      </w:pPr>
      <w:r w:rsidRPr="00A814A5">
        <w:rPr>
          <w:rStyle w:val="EndnoteReference"/>
          <w:rFonts w:cs="Arial"/>
          <w:szCs w:val="20"/>
        </w:rPr>
        <w:endnoteRef/>
      </w:r>
      <w:r w:rsidRPr="00A814A5">
        <w:t xml:space="preserve"> </w:t>
      </w:r>
      <w:r w:rsidRPr="001E7D3A">
        <w:rPr>
          <w:i/>
          <w:sz w:val="20"/>
          <w:szCs w:val="20"/>
        </w:rPr>
        <w:t xml:space="preserve">Convention </w:t>
      </w:r>
      <w:r w:rsidRPr="00015E5E">
        <w:rPr>
          <w:i/>
          <w:sz w:val="20"/>
          <w:szCs w:val="20"/>
        </w:rPr>
        <w:t>against Torture and Other Cruel, Inhuman and Degrading Treatment or Punishment</w:t>
      </w:r>
      <w:r w:rsidRPr="00015E5E">
        <w:rPr>
          <w:sz w:val="20"/>
          <w:szCs w:val="20"/>
        </w:rPr>
        <w:t>, opened for signature 10 December 1984, 1465 UNTS 85 (entered into force 26 June 1987).</w:t>
      </w:r>
    </w:p>
  </w:endnote>
  <w:endnote w:id="11">
    <w:p w:rsidRPr="00015E5E" w:rsidR="00A1106D" w:rsidP="000A40FC" w:rsidRDefault="00A1106D" w14:paraId="37B263D3" w14:textId="32F662FD">
      <w:pPr>
        <w:pStyle w:val="EndnoteText"/>
      </w:pPr>
      <w:r w:rsidRPr="00015E5E">
        <w:rPr>
          <w:rStyle w:val="EndnoteReference"/>
        </w:rPr>
        <w:endnoteRef/>
      </w:r>
      <w:r w:rsidRPr="00015E5E">
        <w:t xml:space="preserve"> </w:t>
      </w:r>
      <w:r>
        <w:t>OPCAT, above n 5</w:t>
      </w:r>
      <w:r w:rsidRPr="00015E5E">
        <w:t>.</w:t>
      </w:r>
    </w:p>
  </w:endnote>
  <w:endnote w:id="12">
    <w:p w:rsidRPr="00015E5E" w:rsidR="00A1106D" w:rsidP="000A40FC" w:rsidRDefault="00A1106D" w14:paraId="7494D360" w14:textId="62F512FD">
      <w:pPr>
        <w:pStyle w:val="EndnoteText"/>
      </w:pPr>
      <w:r w:rsidRPr="00015E5E">
        <w:rPr>
          <w:rStyle w:val="EndnoteReference"/>
        </w:rPr>
        <w:endnoteRef/>
      </w:r>
      <w:r w:rsidRPr="00015E5E">
        <w:t xml:space="preserve"> </w:t>
      </w:r>
      <w:r>
        <w:t xml:space="preserve">Ibid </w:t>
      </w:r>
      <w:r w:rsidRPr="00015E5E">
        <w:t xml:space="preserve">Preamble. </w:t>
      </w:r>
    </w:p>
  </w:endnote>
  <w:endnote w:id="13">
    <w:p w:rsidRPr="00015E5E" w:rsidR="00A1106D" w:rsidP="000A40FC" w:rsidRDefault="00A1106D" w14:paraId="15B3A879" w14:textId="6EE656AA">
      <w:pPr>
        <w:pStyle w:val="EndnoteText"/>
      </w:pPr>
      <w:r w:rsidRPr="00015E5E">
        <w:rPr>
          <w:rStyle w:val="EndnoteReference"/>
        </w:rPr>
        <w:endnoteRef/>
      </w:r>
      <w:r w:rsidRPr="00015E5E">
        <w:t xml:space="preserve"> </w:t>
      </w:r>
      <w:r>
        <w:t>Ibid</w:t>
      </w:r>
      <w:r w:rsidRPr="00015E5E">
        <w:t xml:space="preserve"> Part IV ‘National Preventive Mechanisms’.</w:t>
      </w:r>
    </w:p>
  </w:endnote>
  <w:endnote w:id="14">
    <w:p w:rsidR="00A1106D" w:rsidP="000A40FC" w:rsidRDefault="00A1106D" w14:paraId="2852E7A0" w14:textId="1597A109">
      <w:pPr>
        <w:pStyle w:val="EndnoteText"/>
      </w:pPr>
      <w:r w:rsidRPr="00015E5E">
        <w:rPr>
          <w:rStyle w:val="EndnoteReference"/>
        </w:rPr>
        <w:endnoteRef/>
      </w:r>
      <w:r w:rsidRPr="00015E5E">
        <w:t xml:space="preserve"> </w:t>
      </w:r>
      <w:r>
        <w:t>Ibid</w:t>
      </w:r>
      <w:r w:rsidRPr="00015E5E">
        <w:t xml:space="preserve"> Part III ‘Mandate</w:t>
      </w:r>
      <w:r>
        <w:t xml:space="preserve"> of the Subcommittee on Prevention of Torture’. </w:t>
      </w:r>
    </w:p>
  </w:endnote>
  <w:endnote w:id="15">
    <w:p w:rsidRPr="00AF574C" w:rsidR="00A1106D" w:rsidP="00A87C24" w:rsidRDefault="00A1106D" w14:paraId="0433502D" w14:textId="750991AF">
      <w:pPr>
        <w:pStyle w:val="EndnoteText"/>
        <w:rPr>
          <w:i/>
        </w:rPr>
      </w:pPr>
      <w:r>
        <w:rPr>
          <w:rStyle w:val="EndnoteReference"/>
        </w:rPr>
        <w:endnoteRef/>
      </w:r>
      <w:r>
        <w:t xml:space="preserve"> Ibid Article 1.</w:t>
      </w:r>
    </w:p>
  </w:endnote>
  <w:endnote w:id="16">
    <w:p w:rsidRPr="00A87C24" w:rsidR="00A1106D" w:rsidRDefault="00A1106D" w14:paraId="201613A6" w14:textId="3B8D4F67">
      <w:pPr>
        <w:pStyle w:val="EndnoteText"/>
      </w:pPr>
      <w:r>
        <w:rPr>
          <w:rStyle w:val="EndnoteReference"/>
        </w:rPr>
        <w:endnoteRef/>
      </w:r>
      <w:r>
        <w:t xml:space="preserve"> </w:t>
      </w:r>
      <w:r>
        <w:rPr>
          <w:i/>
        </w:rPr>
        <w:t xml:space="preserve">Ombudsman Regulations 2017 </w:t>
      </w:r>
      <w:r>
        <w:t xml:space="preserve">(Cth), Part IV. </w:t>
      </w:r>
    </w:p>
  </w:endnote>
  <w:endnote w:id="17">
    <w:p w:rsidR="00A1106D" w:rsidRDefault="00A1106D" w14:paraId="5355DA7D" w14:textId="4A3F3FCE">
      <w:pPr>
        <w:pStyle w:val="EndnoteText"/>
      </w:pPr>
      <w:r>
        <w:rPr>
          <w:rStyle w:val="EndnoteReference"/>
        </w:rPr>
        <w:endnoteRef/>
      </w:r>
      <w:r>
        <w:t xml:space="preserve"> Legal and Constitutional Affairs Legislation Committee, Commonwealth Parliament, </w:t>
      </w:r>
      <w:r>
        <w:rPr>
          <w:i/>
        </w:rPr>
        <w:t xml:space="preserve">Estimates, </w:t>
      </w:r>
      <w:r>
        <w:t xml:space="preserve">3 March 2020, 96. </w:t>
      </w:r>
    </w:p>
  </w:endnote>
  <w:endnote w:id="18">
    <w:p w:rsidRPr="006E068C" w:rsidR="00A1106D" w:rsidRDefault="00A1106D" w14:paraId="2F53091A" w14:textId="1285DF62">
      <w:pPr>
        <w:pStyle w:val="EndnoteText"/>
      </w:pPr>
      <w:r>
        <w:rPr>
          <w:rStyle w:val="EndnoteReference"/>
        </w:rPr>
        <w:endnoteRef/>
      </w:r>
      <w:r>
        <w:t xml:space="preserve"> For further details on the implementation process for OPCAT, see Australian Human Rights Commission </w:t>
      </w:r>
      <w:r>
        <w:rPr>
          <w:i/>
        </w:rPr>
        <w:t xml:space="preserve">OPCAT in Australia: Consultation Paper, Stage 2 </w:t>
      </w:r>
      <w:r>
        <w:t xml:space="preserve">(July 2018) </w:t>
      </w:r>
      <w:r w:rsidR="00F725AB">
        <w:t>&lt;</w:t>
      </w:r>
      <w:r w:rsidRPr="004E6CE9" w:rsidR="00F725AB">
        <w:t>https://www.humanrights.gov.au/our-work/rights-and-freedoms/publications/opcat-australia-consultation-paper-stage-2</w:t>
      </w:r>
      <w:r w:rsidR="004E6CE9">
        <w:t>&gt;</w:t>
      </w:r>
      <w:r>
        <w:t xml:space="preserve">. </w:t>
      </w:r>
    </w:p>
  </w:endnote>
  <w:endnote w:id="19">
    <w:p w:rsidRPr="003A0024" w:rsidR="00A1106D" w:rsidRDefault="00A1106D" w14:paraId="5F50BE5B" w14:textId="3041CAF4">
      <w:pPr>
        <w:pStyle w:val="EndnoteText"/>
      </w:pPr>
      <w:r>
        <w:rPr>
          <w:rStyle w:val="EndnoteReference"/>
        </w:rPr>
        <w:endnoteRef/>
      </w:r>
      <w:r>
        <w:t xml:space="preserve"> </w:t>
      </w:r>
      <w:r>
        <w:rPr>
          <w:i/>
          <w:iCs/>
        </w:rPr>
        <w:t>Standard Minimum Rules for the Treatment of Prisoners</w:t>
      </w:r>
      <w:r>
        <w:t>, GA Res 70/175, UN Doc A/RES/70/175 (8 January 2016).</w:t>
      </w:r>
    </w:p>
  </w:endnote>
  <w:endnote w:id="20">
    <w:p w:rsidR="00A1106D" w:rsidRDefault="00A1106D" w14:paraId="7DEBB89A" w14:textId="0B26E85B">
      <w:pPr>
        <w:pStyle w:val="EndnoteText"/>
      </w:pPr>
      <w:r>
        <w:rPr>
          <w:rStyle w:val="EndnoteReference"/>
        </w:rPr>
        <w:endnoteRef/>
      </w:r>
      <w:r>
        <w:t xml:space="preserve"> Ibid rr 25, 33, 46(2).</w:t>
      </w:r>
    </w:p>
  </w:endnote>
  <w:endnote w:id="21">
    <w:p w:rsidR="00A1106D" w:rsidRDefault="00A1106D" w14:paraId="7F8C65AA" w14:textId="6EAC8F3F">
      <w:pPr>
        <w:pStyle w:val="EndnoteText"/>
      </w:pPr>
      <w:r>
        <w:rPr>
          <w:rStyle w:val="EndnoteReference"/>
        </w:rPr>
        <w:endnoteRef/>
      </w:r>
      <w:r>
        <w:t xml:space="preserve"> Ibid r 39(3).</w:t>
      </w:r>
    </w:p>
  </w:endnote>
  <w:endnote w:id="22">
    <w:p w:rsidR="00A1106D" w:rsidRDefault="00A1106D" w14:paraId="73E3C70D" w14:textId="6D0059D2">
      <w:pPr>
        <w:pStyle w:val="EndnoteText"/>
      </w:pPr>
      <w:r>
        <w:rPr>
          <w:rStyle w:val="EndnoteReference"/>
        </w:rPr>
        <w:endnoteRef/>
      </w:r>
      <w:r>
        <w:t xml:space="preserve"> Ibid r 45(2).</w:t>
      </w:r>
    </w:p>
  </w:endnote>
  <w:endnote w:id="23">
    <w:p w:rsidRPr="00F9041D" w:rsidR="00A1106D" w:rsidRDefault="00A1106D" w14:paraId="00B931F5" w14:textId="04418A35">
      <w:pPr>
        <w:pStyle w:val="EndnoteText"/>
      </w:pPr>
      <w:r>
        <w:rPr>
          <w:rStyle w:val="EndnoteReference"/>
        </w:rPr>
        <w:endnoteRef/>
      </w:r>
      <w:r>
        <w:t xml:space="preserve"> </w:t>
      </w:r>
      <w:r>
        <w:rPr>
          <w:i/>
          <w:iCs/>
        </w:rPr>
        <w:t>Convention on the Rights of the Child</w:t>
      </w:r>
      <w:r>
        <w:t>, opened for signature 20 November 1989, 1577 UNTS 3 (entered into force 2 September 1990).</w:t>
      </w:r>
    </w:p>
  </w:endnote>
  <w:endnote w:id="24">
    <w:p w:rsidRPr="00F9041D" w:rsidR="00A1106D" w:rsidRDefault="00A1106D" w14:paraId="27D4C846" w14:textId="54034CE0">
      <w:pPr>
        <w:pStyle w:val="EndnoteText"/>
      </w:pPr>
      <w:r>
        <w:rPr>
          <w:rStyle w:val="EndnoteReference"/>
        </w:rPr>
        <w:endnoteRef/>
      </w:r>
      <w:r>
        <w:t xml:space="preserve"> </w:t>
      </w:r>
      <w:r>
        <w:rPr>
          <w:i/>
          <w:iCs/>
        </w:rPr>
        <w:t>Convention on the Elimination of All Forms of Discrimination Against Women</w:t>
      </w:r>
      <w:r>
        <w:t>, opened for signature 18 December 1979, 1249 UNTS 13 (entered into force 3 September 1981).</w:t>
      </w:r>
    </w:p>
  </w:endnote>
  <w:endnote w:id="25">
    <w:p w:rsidRPr="00F9041D" w:rsidR="00A1106D" w:rsidRDefault="00A1106D" w14:paraId="78AED8D7" w14:textId="352F6E82">
      <w:pPr>
        <w:pStyle w:val="EndnoteText"/>
      </w:pPr>
      <w:r>
        <w:rPr>
          <w:rStyle w:val="EndnoteReference"/>
        </w:rPr>
        <w:endnoteRef/>
      </w:r>
      <w:r>
        <w:t xml:space="preserve"> </w:t>
      </w:r>
      <w:r>
        <w:rPr>
          <w:i/>
          <w:iCs/>
        </w:rPr>
        <w:t>International Convention on the Elimination of All Forms of Racial Discrimination</w:t>
      </w:r>
      <w:r>
        <w:t>, opened for signature 21 December 1965, 660 UNTS 195 (entered into force 4 January 1969).</w:t>
      </w:r>
    </w:p>
  </w:endnote>
  <w:endnote w:id="26">
    <w:p w:rsidRPr="009A539B" w:rsidR="00A1106D" w:rsidRDefault="00A1106D" w14:paraId="57FC0820" w14:textId="6B5B00B1">
      <w:pPr>
        <w:pStyle w:val="EndnoteText"/>
      </w:pPr>
      <w:r>
        <w:rPr>
          <w:rStyle w:val="EndnoteReference"/>
        </w:rPr>
        <w:endnoteRef/>
      </w:r>
      <w:r>
        <w:t xml:space="preserve"> </w:t>
      </w:r>
      <w:r>
        <w:rPr>
          <w:i/>
          <w:iCs/>
        </w:rPr>
        <w:t>United Nations Declaration on the Rights of Indigenous Peoples</w:t>
      </w:r>
      <w:r>
        <w:t>, GA Res 61/295, UN GAOR, 61</w:t>
      </w:r>
      <w:r w:rsidRPr="009A539B">
        <w:rPr>
          <w:vertAlign w:val="superscript"/>
        </w:rPr>
        <w:t>st</w:t>
      </w:r>
      <w:r>
        <w:t xml:space="preserve"> Sess, 107</w:t>
      </w:r>
      <w:r w:rsidRPr="009A539B">
        <w:rPr>
          <w:vertAlign w:val="superscript"/>
        </w:rPr>
        <w:t>th</w:t>
      </w:r>
      <w:r>
        <w:t xml:space="preserve"> plenary mtg, Agenda Item 68, Supp No 49, UN Doc A/RES/61/295, Annex, (2 October 2007) 295.</w:t>
      </w:r>
    </w:p>
  </w:endnote>
  <w:endnote w:id="27">
    <w:p w:rsidRPr="00D80DA6" w:rsidR="00A1106D" w:rsidRDefault="00A1106D" w14:paraId="161F18A2" w14:textId="3E7AE9CC">
      <w:pPr>
        <w:pStyle w:val="EndnoteText"/>
      </w:pPr>
      <w:r>
        <w:rPr>
          <w:rStyle w:val="EndnoteReference"/>
        </w:rPr>
        <w:endnoteRef/>
      </w:r>
      <w:r>
        <w:t xml:space="preserve"> </w:t>
      </w:r>
      <w:r>
        <w:rPr>
          <w:i/>
          <w:iCs/>
        </w:rPr>
        <w:t xml:space="preserve">Disability Discrimination Act 1992 </w:t>
      </w:r>
      <w:r>
        <w:t>(Cth) (DDA) ss 23, 24, 29.</w:t>
      </w:r>
    </w:p>
  </w:endnote>
  <w:endnote w:id="28">
    <w:p w:rsidR="00A1106D" w:rsidRDefault="00A1106D" w14:paraId="23FD143A" w14:textId="0D3D98D3">
      <w:pPr>
        <w:pStyle w:val="EndnoteText"/>
      </w:pPr>
      <w:r>
        <w:rPr>
          <w:rStyle w:val="EndnoteReference"/>
        </w:rPr>
        <w:endnoteRef/>
      </w:r>
      <w:r>
        <w:t xml:space="preserve"> Ibid s 23.</w:t>
      </w:r>
    </w:p>
  </w:endnote>
  <w:endnote w:id="29">
    <w:p w:rsidR="00A1106D" w:rsidRDefault="00A1106D" w14:paraId="726406B0" w14:textId="7D1C602B">
      <w:pPr>
        <w:pStyle w:val="EndnoteText"/>
      </w:pPr>
      <w:r>
        <w:rPr>
          <w:rStyle w:val="EndnoteReference"/>
        </w:rPr>
        <w:endnoteRef/>
      </w:r>
      <w:r>
        <w:t xml:space="preserve"> Ibid s 24.</w:t>
      </w:r>
    </w:p>
  </w:endnote>
  <w:endnote w:id="30">
    <w:p w:rsidR="00A1106D" w:rsidRDefault="00A1106D" w14:paraId="71249E65" w14:textId="56B8D429">
      <w:pPr>
        <w:pStyle w:val="EndnoteText"/>
      </w:pPr>
      <w:r>
        <w:rPr>
          <w:rStyle w:val="EndnoteReference"/>
        </w:rPr>
        <w:endnoteRef/>
      </w:r>
      <w:r>
        <w:t xml:space="preserve"> Ibid s 39.</w:t>
      </w:r>
    </w:p>
  </w:endnote>
  <w:endnote w:id="31">
    <w:p w:rsidR="00A1106D" w:rsidRDefault="00A1106D" w14:paraId="5F0D3980" w14:textId="7CE3DB41">
      <w:pPr>
        <w:pStyle w:val="EndnoteText"/>
      </w:pPr>
      <w:r>
        <w:rPr>
          <w:rStyle w:val="EndnoteReference"/>
        </w:rPr>
        <w:endnoteRef/>
      </w:r>
      <w:r>
        <w:t xml:space="preserve"> Ibid s 29.</w:t>
      </w:r>
    </w:p>
  </w:endnote>
  <w:endnote w:id="32">
    <w:p w:rsidR="00A1106D" w:rsidRDefault="00A1106D" w14:paraId="414EC154" w14:textId="7FE1B65C">
      <w:pPr>
        <w:pStyle w:val="EndnoteText"/>
      </w:pPr>
      <w:r>
        <w:rPr>
          <w:rStyle w:val="EndnoteReference"/>
        </w:rPr>
        <w:endnoteRef/>
      </w:r>
      <w:r>
        <w:t xml:space="preserve"> Ibid ss 5, 6.</w:t>
      </w:r>
    </w:p>
  </w:endnote>
  <w:endnote w:id="33">
    <w:p w:rsidR="00A1106D" w:rsidRDefault="00A1106D" w14:paraId="38BAA57A" w14:textId="400CFC52">
      <w:pPr>
        <w:pStyle w:val="EndnoteText"/>
      </w:pPr>
      <w:r>
        <w:rPr>
          <w:rStyle w:val="EndnoteReference"/>
        </w:rPr>
        <w:endnoteRef/>
      </w:r>
      <w:r>
        <w:t xml:space="preserve"> Ibid ss 11, 29A.</w:t>
      </w:r>
    </w:p>
  </w:endnote>
  <w:endnote w:id="34">
    <w:p w:rsidR="00A1106D" w:rsidRDefault="00A1106D" w14:paraId="39836A9B" w14:textId="0CB50AE9">
      <w:pPr>
        <w:pStyle w:val="EndnoteText"/>
      </w:pPr>
      <w:r>
        <w:rPr>
          <w:rStyle w:val="EndnoteReference"/>
        </w:rPr>
        <w:endnoteRef/>
      </w:r>
      <w:r>
        <w:t xml:space="preserve"> Ibid s 131. It is important to note that the Australian Human Rights Commission does not have the power to conduct systemic litigation under the DDA. It is up to individual parties to apply to the Federal Court for a remedy in their particular case. </w:t>
      </w:r>
    </w:p>
  </w:endnote>
  <w:endnote w:id="35">
    <w:p w:rsidRPr="00F21D96" w:rsidR="00A1106D" w:rsidRDefault="00A1106D" w14:paraId="29A5CF91" w14:textId="2580E1C2">
      <w:pPr>
        <w:pStyle w:val="EndnoteText"/>
      </w:pPr>
      <w:r>
        <w:rPr>
          <w:rStyle w:val="EndnoteReference"/>
        </w:rPr>
        <w:endnoteRef/>
      </w:r>
      <w:r>
        <w:t xml:space="preserve"> Council of Australian Governments, </w:t>
      </w:r>
      <w:r>
        <w:rPr>
          <w:i/>
          <w:iCs/>
        </w:rPr>
        <w:t>National Disability Strategy 2010-2020</w:t>
      </w:r>
      <w:r>
        <w:t xml:space="preserve"> &lt;</w:t>
      </w:r>
      <w:r w:rsidRPr="004E27A8">
        <w:rPr>
          <w:rFonts w:eastAsia="Open Sans" w:cs="Open Sans"/>
        </w:rPr>
        <w:t>https://www.dss.gov.au/sites/default/files/documents/05_2012/national_disability_strategy_2010_2020.pdf&gt;.</w:t>
      </w:r>
    </w:p>
  </w:endnote>
  <w:endnote w:id="36">
    <w:p w:rsidRPr="00DE0920" w:rsidR="00A1106D" w:rsidRDefault="00A1106D" w14:paraId="5E76DCC6" w14:textId="4182C9E5">
      <w:pPr>
        <w:pStyle w:val="EndnoteText"/>
      </w:pPr>
      <w:r>
        <w:rPr>
          <w:rStyle w:val="EndnoteReference"/>
        </w:rPr>
        <w:endnoteRef/>
      </w:r>
      <w:r>
        <w:t xml:space="preserve"> Ibid 10.</w:t>
      </w:r>
    </w:p>
  </w:endnote>
  <w:endnote w:id="37">
    <w:p w:rsidR="00A1106D" w:rsidRDefault="00A1106D" w14:paraId="0CBAAD0A" w14:textId="365892F4">
      <w:pPr>
        <w:pStyle w:val="EndnoteText"/>
      </w:pPr>
      <w:r>
        <w:rPr>
          <w:rStyle w:val="EndnoteReference"/>
        </w:rPr>
        <w:endnoteRef/>
      </w:r>
      <w:r>
        <w:t xml:space="preserve"> Ibid 36</w:t>
      </w:r>
      <w:r w:rsidRPr="004E27A8">
        <w:rPr>
          <w:rFonts w:eastAsia="Open Sans" w:cs="Open Sans"/>
        </w:rPr>
        <w:t>.</w:t>
      </w:r>
    </w:p>
  </w:endnote>
  <w:endnote w:id="38">
    <w:p w:rsidRPr="000D1977" w:rsidR="00A1106D" w:rsidP="0077365F" w:rsidRDefault="00A1106D" w14:paraId="5C02F7A9" w14:textId="04E4534B">
      <w:pPr>
        <w:pStyle w:val="EndnoteText"/>
      </w:pPr>
      <w:r>
        <w:rPr>
          <w:rStyle w:val="EndnoteReference"/>
        </w:rPr>
        <w:endnoteRef/>
      </w:r>
      <w:r>
        <w:t xml:space="preserve"> United Nations Committee on the Rights of Persons with Disabilities (CRPD Committee), </w:t>
      </w:r>
      <w:r>
        <w:rPr>
          <w:i/>
          <w:iCs/>
        </w:rPr>
        <w:t>General Comment No. 1 (2014) on Equal Recognition Before the Law</w:t>
      </w:r>
      <w:r>
        <w:t xml:space="preserve">, UN Doc CRPD/C/GC/1 (19 May 2014) [1], [9], [14]-[15], [38]. </w:t>
      </w:r>
    </w:p>
  </w:endnote>
  <w:endnote w:id="39">
    <w:p w:rsidRPr="004B322B" w:rsidR="00A1106D" w:rsidP="004C2E21" w:rsidRDefault="00A1106D" w14:paraId="359E099F" w14:textId="77777777">
      <w:pPr>
        <w:pStyle w:val="EndnoteText"/>
      </w:pPr>
      <w:r>
        <w:rPr>
          <w:rStyle w:val="EndnoteReference"/>
        </w:rPr>
        <w:endnoteRef/>
      </w:r>
      <w:r>
        <w:t xml:space="preserve"> Tina Minkowitz, </w:t>
      </w:r>
      <w:r>
        <w:rPr>
          <w:i/>
          <w:iCs/>
        </w:rPr>
        <w:t>Legal Capacity as Right, Principle and Paradigm</w:t>
      </w:r>
      <w:r>
        <w:t>, World Network of Users &amp; Survivors of Psychiatry (2011).</w:t>
      </w:r>
    </w:p>
  </w:endnote>
  <w:endnote w:id="40">
    <w:p w:rsidRPr="004E6CE9" w:rsidR="00A1106D" w:rsidRDefault="00A1106D" w14:paraId="486F73C2" w14:textId="7C60E170">
      <w:pPr>
        <w:pStyle w:val="EndnoteText"/>
        <w:rPr>
          <w:lang w:val="en-AU"/>
        </w:rPr>
      </w:pPr>
      <w:r>
        <w:rPr>
          <w:rStyle w:val="EndnoteReference"/>
        </w:rPr>
        <w:endnoteRef/>
      </w:r>
      <w:r>
        <w:t xml:space="preserve"> Bernadette McSherry et al, </w:t>
      </w:r>
      <w:r>
        <w:rPr>
          <w:i/>
          <w:iCs/>
        </w:rPr>
        <w:t xml:space="preserve">Unfitness to Plead and Indefinite Detention of Persons with Cognitive Disabilities: Addressing the Legal Barriers and Creating Appropriate Alternative Supports in the Community </w:t>
      </w:r>
      <w:r>
        <w:t>(Report, August 2017) 23.</w:t>
      </w:r>
    </w:p>
  </w:endnote>
  <w:endnote w:id="41">
    <w:p w:rsidRPr="00FC283C" w:rsidR="00A1106D" w:rsidP="00596532" w:rsidRDefault="00A1106D" w14:paraId="6DA1D61B" w14:textId="17670FD2">
      <w:pPr>
        <w:pStyle w:val="EndnoteText"/>
      </w:pPr>
      <w:r>
        <w:rPr>
          <w:rStyle w:val="EndnoteReference"/>
        </w:rPr>
        <w:endnoteRef/>
      </w:r>
      <w:r>
        <w:t xml:space="preserve"> CRPD Committee, </w:t>
      </w:r>
      <w:r>
        <w:rPr>
          <w:i/>
          <w:iCs/>
        </w:rPr>
        <w:t xml:space="preserve">General Comment No. 1, </w:t>
      </w:r>
      <w:r>
        <w:t>above n 37, [13].</w:t>
      </w:r>
    </w:p>
  </w:endnote>
  <w:endnote w:id="42">
    <w:p w:rsidR="00A1106D" w:rsidRDefault="00A1106D" w14:paraId="673D4CA5" w14:textId="346B82CE">
      <w:pPr>
        <w:pStyle w:val="EndnoteText"/>
      </w:pPr>
      <w:r>
        <w:rPr>
          <w:rStyle w:val="EndnoteReference"/>
        </w:rPr>
        <w:endnoteRef/>
      </w:r>
      <w:r>
        <w:t xml:space="preserve"> Ibid [38].</w:t>
      </w:r>
    </w:p>
  </w:endnote>
  <w:endnote w:id="43">
    <w:p w:rsidR="00A1106D" w:rsidRDefault="00A1106D" w14:paraId="58246E07" w14:textId="08CA299F">
      <w:pPr>
        <w:pStyle w:val="EndnoteText"/>
      </w:pPr>
      <w:r>
        <w:rPr>
          <w:rStyle w:val="EndnoteReference"/>
        </w:rPr>
        <w:endnoteRef/>
      </w:r>
      <w:r>
        <w:t xml:space="preserve"> Ibid [38].</w:t>
      </w:r>
    </w:p>
  </w:endnote>
  <w:endnote w:id="44">
    <w:p w:rsidR="00A1106D" w:rsidRDefault="00A1106D" w14:paraId="565D39F5" w14:textId="4D3AC295">
      <w:pPr>
        <w:pStyle w:val="EndnoteText"/>
      </w:pPr>
      <w:r>
        <w:rPr>
          <w:rStyle w:val="EndnoteReference"/>
        </w:rPr>
        <w:endnoteRef/>
      </w:r>
      <w:r>
        <w:t xml:space="preserve"> Ibid [39].</w:t>
      </w:r>
    </w:p>
  </w:endnote>
  <w:endnote w:id="45">
    <w:p w:rsidR="00A1106D" w:rsidRDefault="00A1106D" w14:paraId="2DD4CF6A" w14:textId="5815E6A8">
      <w:pPr>
        <w:pStyle w:val="EndnoteText"/>
      </w:pPr>
      <w:r>
        <w:rPr>
          <w:rStyle w:val="EndnoteReference"/>
        </w:rPr>
        <w:endnoteRef/>
      </w:r>
      <w:r>
        <w:t xml:space="preserve"> Ibid [39].</w:t>
      </w:r>
    </w:p>
  </w:endnote>
  <w:endnote w:id="46">
    <w:p w:rsidR="00A1106D" w:rsidRDefault="00A1106D" w14:paraId="2EBC86EB" w14:textId="151EDFC6">
      <w:pPr>
        <w:pStyle w:val="EndnoteText"/>
      </w:pPr>
      <w:r>
        <w:rPr>
          <w:rStyle w:val="EndnoteReference"/>
        </w:rPr>
        <w:endnoteRef/>
      </w:r>
      <w:r>
        <w:t xml:space="preserve"> Ibid [39].</w:t>
      </w:r>
    </w:p>
  </w:endnote>
  <w:endnote w:id="47">
    <w:p w:rsidR="00A1106D" w:rsidRDefault="00A1106D" w14:paraId="3E0CB2B9" w14:textId="72C4F77F">
      <w:pPr>
        <w:pStyle w:val="EndnoteText"/>
      </w:pPr>
      <w:r>
        <w:rPr>
          <w:rStyle w:val="EndnoteReference"/>
        </w:rPr>
        <w:endnoteRef/>
      </w:r>
      <w:r>
        <w:t xml:space="preserve"> Ibid [40].</w:t>
      </w:r>
    </w:p>
  </w:endnote>
  <w:endnote w:id="48">
    <w:p w:rsidRPr="00636DA0" w:rsidR="00A1106D" w:rsidP="00512BBC" w:rsidRDefault="00A1106D" w14:paraId="59D939AD" w14:textId="7C39BD4C">
      <w:pPr>
        <w:pStyle w:val="EndnoteText"/>
      </w:pPr>
      <w:r>
        <w:rPr>
          <w:rStyle w:val="EndnoteReference"/>
        </w:rPr>
        <w:endnoteRef/>
      </w:r>
      <w:r>
        <w:t xml:space="preserve"> Senate Community Affairs Committee, ‘</w:t>
      </w:r>
      <w:r>
        <w:rPr>
          <w:i/>
          <w:iCs/>
        </w:rPr>
        <w:t>Indefinite detention of people with cognitive and psychiatric impairment in Australia’</w:t>
      </w:r>
      <w:r>
        <w:t xml:space="preserve"> (29 November 2016) [9.10] &lt;</w:t>
      </w:r>
      <w:r w:rsidRPr="004E0B64">
        <w:t>https://www.aph.gov.au/Parliamentary_Business/Committees/Senate/Community_Affairs/IndefiniteDetention45/Report/c09</w:t>
      </w:r>
      <w:r>
        <w:t>&gt;.</w:t>
      </w:r>
    </w:p>
  </w:endnote>
  <w:endnote w:id="49">
    <w:p w:rsidRPr="00A86F46" w:rsidR="00A1106D" w:rsidRDefault="00A1106D" w14:paraId="3BB320F7" w14:textId="0C695106">
      <w:pPr>
        <w:pStyle w:val="EndnoteText"/>
        <w:rPr>
          <w:lang w:val="en-AU"/>
        </w:rPr>
      </w:pPr>
      <w:r>
        <w:rPr>
          <w:rStyle w:val="EndnoteReference"/>
        </w:rPr>
        <w:endnoteRef/>
      </w:r>
      <w:r>
        <w:t xml:space="preserve"> Frances Gibson, ‘Article 13 of the Convention on the Rights of Persons with Disabilities – a right to legal aid?’ (2010) 15(2) </w:t>
      </w:r>
      <w:r>
        <w:rPr>
          <w:i/>
          <w:iCs/>
        </w:rPr>
        <w:t>Australian Journal of Human Rights</w:t>
      </w:r>
      <w:r>
        <w:t xml:space="preserve"> 123, 127.</w:t>
      </w:r>
    </w:p>
  </w:endnote>
  <w:endnote w:id="50">
    <w:p w:rsidRPr="00D72129" w:rsidR="00A1106D" w:rsidRDefault="00A1106D" w14:paraId="3711ED5B" w14:textId="7EE4B210">
      <w:pPr>
        <w:pStyle w:val="EndnoteText"/>
        <w:rPr>
          <w:lang w:val="en-AU"/>
        </w:rPr>
      </w:pPr>
      <w:r>
        <w:rPr>
          <w:rStyle w:val="EndnoteReference"/>
        </w:rPr>
        <w:endnoteRef/>
      </w:r>
      <w:r>
        <w:t xml:space="preserve"> Ibid 128. See also Bernadette McSherry et al, </w:t>
      </w:r>
      <w:r w:rsidR="00E75009">
        <w:t>above n 39,</w:t>
      </w:r>
      <w:r>
        <w:t xml:space="preserve"> 26-28.</w:t>
      </w:r>
    </w:p>
  </w:endnote>
  <w:endnote w:id="51">
    <w:p w:rsidRPr="000531A0" w:rsidR="00A1106D" w:rsidRDefault="00A1106D" w14:paraId="28BEC02F" w14:textId="7F8A43D5">
      <w:pPr>
        <w:pStyle w:val="EndnoteText"/>
        <w:rPr>
          <w:lang w:val="en-AU"/>
        </w:rPr>
      </w:pPr>
      <w:r>
        <w:rPr>
          <w:rStyle w:val="EndnoteReference"/>
        </w:rPr>
        <w:endnoteRef/>
      </w:r>
      <w:r>
        <w:t xml:space="preserve"> Eilion</w:t>
      </w:r>
      <w:r>
        <w:rPr>
          <w:rFonts w:cs="Open Sans"/>
        </w:rPr>
        <w:t>ό</w:t>
      </w:r>
      <w:r>
        <w:t>ir Flynn</w:t>
      </w:r>
      <w:r w:rsidRPr="001E611F">
        <w:t xml:space="preserve">, ‘Article </w:t>
      </w:r>
      <w:r>
        <w:t>13: Access to Justice</w:t>
      </w:r>
      <w:r w:rsidRPr="001E611F">
        <w:t xml:space="preserve">’ in Ilias Bantekas, Michael Ashley Stein and Dimitris Anastasiou (eds), The UN Convention on the rights of Persons with Disability: A Commentary (2018) </w:t>
      </w:r>
      <w:r>
        <w:t>400.</w:t>
      </w:r>
    </w:p>
  </w:endnote>
  <w:endnote w:id="52">
    <w:p w:rsidRPr="002624DD" w:rsidR="00A1106D" w:rsidP="002C683D" w:rsidRDefault="00A1106D" w14:paraId="08D22BBE" w14:textId="77777777">
      <w:pPr>
        <w:pStyle w:val="EndnoteText"/>
      </w:pPr>
      <w:r>
        <w:rPr>
          <w:rStyle w:val="EndnoteReference"/>
        </w:rPr>
        <w:endnoteRef/>
      </w:r>
      <w:r>
        <w:t xml:space="preserve"> Arlene S. Kanter, </w:t>
      </w:r>
      <w:r>
        <w:rPr>
          <w:i/>
          <w:iCs/>
        </w:rPr>
        <w:t>The Development of Disability Rights under International Law</w:t>
      </w:r>
      <w:r>
        <w:t xml:space="preserve"> (Routledge, 2015) 230.</w:t>
      </w:r>
    </w:p>
  </w:endnote>
  <w:endnote w:id="53">
    <w:p w:rsidR="00A1106D" w:rsidRDefault="00A1106D" w14:paraId="2CAB2961" w14:textId="5D5695BA">
      <w:pPr>
        <w:pStyle w:val="EndnoteText"/>
      </w:pPr>
      <w:r>
        <w:rPr>
          <w:rStyle w:val="EndnoteReference"/>
        </w:rPr>
        <w:endnoteRef/>
      </w:r>
      <w:r>
        <w:t xml:space="preserve"> Victoria Legal Aid, ‘Article 13 – Access to Justice, </w:t>
      </w:r>
      <w:r w:rsidRPr="00FD2EC2">
        <w:rPr>
          <w:i/>
          <w:iCs/>
        </w:rPr>
        <w:t>Convention on the Rights of Persons with Disabilities</w:t>
      </w:r>
      <w:r>
        <w:t>’, Submission to the Office of the High Commissioner for Human Rights, 10 May 2017, 9.</w:t>
      </w:r>
    </w:p>
  </w:endnote>
  <w:endnote w:id="54">
    <w:p w:rsidR="00A1106D" w:rsidRDefault="00A1106D" w14:paraId="48D9B2DF" w14:textId="518832BA">
      <w:pPr>
        <w:pStyle w:val="EndnoteText"/>
      </w:pPr>
      <w:r>
        <w:rPr>
          <w:rStyle w:val="EndnoteReference"/>
        </w:rPr>
        <w:endnoteRef/>
      </w:r>
      <w:r>
        <w:t xml:space="preserve"> Ibid 8.</w:t>
      </w:r>
    </w:p>
  </w:endnote>
  <w:endnote w:id="55">
    <w:p w:rsidR="00A1106D" w:rsidRDefault="00A1106D" w14:paraId="61416585" w14:textId="56EB15EC">
      <w:pPr>
        <w:pStyle w:val="EndnoteText"/>
      </w:pPr>
      <w:r>
        <w:rPr>
          <w:rStyle w:val="EndnoteReference"/>
        </w:rPr>
        <w:endnoteRef/>
      </w:r>
      <w:r>
        <w:t xml:space="preserve"> Michael Perlin and Eva Szeli</w:t>
      </w:r>
      <w:r w:rsidRPr="001E611F">
        <w:t xml:space="preserve">, ‘Article </w:t>
      </w:r>
      <w:r>
        <w:t>14</w:t>
      </w:r>
      <w:r w:rsidRPr="001E611F">
        <w:t xml:space="preserve">: </w:t>
      </w:r>
      <w:r>
        <w:t>Liberty and Security of the Person</w:t>
      </w:r>
      <w:r w:rsidRPr="001E611F">
        <w:t xml:space="preserve">’ in Ilias Bantekas, Michael Ashley Stein and Dimitris Anastasiou (eds), The UN Convention on the rights of Persons with Disability: A Commentary (2018) </w:t>
      </w:r>
      <w:r>
        <w:t>402.</w:t>
      </w:r>
    </w:p>
  </w:endnote>
  <w:endnote w:id="56">
    <w:p w:rsidR="00A1106D" w:rsidP="00DF4604" w:rsidRDefault="00A1106D" w14:paraId="4891AB8C" w14:textId="77777777">
      <w:pPr>
        <w:pStyle w:val="EndnoteText"/>
      </w:pPr>
      <w:r>
        <w:rPr>
          <w:rStyle w:val="EndnoteReference"/>
        </w:rPr>
        <w:endnoteRef/>
      </w:r>
      <w:r>
        <w:t xml:space="preserve"> Ad Hoc Committee on a Comprehensive and Integral International Convention on the Protection and Promotion of the Rights and Dignity of Persons with Disabilities (Ad Hoc CRPD Committee), 5</w:t>
      </w:r>
      <w:r w:rsidRPr="0040467F">
        <w:rPr>
          <w:vertAlign w:val="superscript"/>
        </w:rPr>
        <w:t>th</w:t>
      </w:r>
      <w:r>
        <w:t xml:space="preserve"> sess (26 January 2005); Ad Hoc CRPD Committee, 5</w:t>
      </w:r>
      <w:r w:rsidRPr="0040467F">
        <w:rPr>
          <w:vertAlign w:val="superscript"/>
        </w:rPr>
        <w:t>th</w:t>
      </w:r>
      <w:r>
        <w:t xml:space="preserve"> sess (27 January 2005); Ad Hoc CRPD Committee, 7</w:t>
      </w:r>
      <w:r w:rsidRPr="0040467F">
        <w:rPr>
          <w:vertAlign w:val="superscript"/>
        </w:rPr>
        <w:t>th</w:t>
      </w:r>
      <w:r>
        <w:t xml:space="preserve"> sess (18 January 2006); Ad Hoc CRPD Committee, 7</w:t>
      </w:r>
      <w:r w:rsidRPr="0040467F">
        <w:rPr>
          <w:vertAlign w:val="superscript"/>
        </w:rPr>
        <w:t>th</w:t>
      </w:r>
      <w:r>
        <w:t xml:space="preserve"> sess (19 January 2006).</w:t>
      </w:r>
    </w:p>
  </w:endnote>
  <w:endnote w:id="57">
    <w:p w:rsidR="00A1106D" w:rsidP="00DF4604" w:rsidRDefault="00A1106D" w14:paraId="176EFAD2" w14:textId="77777777">
      <w:pPr>
        <w:pStyle w:val="EndnoteText"/>
      </w:pPr>
      <w:r>
        <w:rPr>
          <w:rStyle w:val="EndnoteReference"/>
        </w:rPr>
        <w:endnoteRef/>
      </w:r>
      <w:r>
        <w:t xml:space="preserve"> Ad Hoc CRPD Committee, 5</w:t>
      </w:r>
      <w:r w:rsidRPr="0040467F">
        <w:rPr>
          <w:vertAlign w:val="superscript"/>
        </w:rPr>
        <w:t>th</w:t>
      </w:r>
      <w:r>
        <w:t xml:space="preserve"> sess (26 January 2005).</w:t>
      </w:r>
    </w:p>
  </w:endnote>
  <w:endnote w:id="58">
    <w:p w:rsidRPr="00F103F2" w:rsidR="00A1106D" w:rsidP="00DF4604" w:rsidRDefault="00A1106D" w14:paraId="1798FF6B" w14:textId="65B3900E">
      <w:pPr>
        <w:pStyle w:val="EndnoteText"/>
      </w:pPr>
      <w:r>
        <w:rPr>
          <w:rStyle w:val="EndnoteReference"/>
        </w:rPr>
        <w:endnoteRef/>
      </w:r>
      <w:r>
        <w:t xml:space="preserve"> UN GAOR, 72</w:t>
      </w:r>
      <w:r w:rsidRPr="00443CD2">
        <w:rPr>
          <w:vertAlign w:val="superscript"/>
        </w:rPr>
        <w:t>nd</w:t>
      </w:r>
      <w:r>
        <w:t xml:space="preserve"> sess, 55</w:t>
      </w:r>
      <w:r w:rsidRPr="00443CD2">
        <w:rPr>
          <w:vertAlign w:val="superscript"/>
        </w:rPr>
        <w:t>th</w:t>
      </w:r>
      <w:r>
        <w:t xml:space="preserve"> plen mtg, UN Doc A/72/55, Annex Guidelines on the right to liberty and security of persons with disabilities (September 2017) [7].</w:t>
      </w:r>
    </w:p>
  </w:endnote>
  <w:endnote w:id="59">
    <w:p w:rsidRPr="00B7484E" w:rsidR="00A1106D" w:rsidP="00B7658D" w:rsidRDefault="00A1106D" w14:paraId="543EC277" w14:textId="78FF9DAE">
      <w:pPr>
        <w:pStyle w:val="EndnoteText"/>
      </w:pPr>
      <w:r>
        <w:rPr>
          <w:rStyle w:val="EndnoteReference"/>
        </w:rPr>
        <w:endnoteRef/>
      </w:r>
      <w:r>
        <w:t xml:space="preserve"> </w:t>
      </w:r>
      <w:r w:rsidR="00251FCE">
        <w:t xml:space="preserve">CRPD Committee, </w:t>
      </w:r>
      <w:r w:rsidR="00251FCE">
        <w:rPr>
          <w:i/>
          <w:iCs/>
        </w:rPr>
        <w:t xml:space="preserve">General Comment No. 1, </w:t>
      </w:r>
      <w:r w:rsidR="00251FCE">
        <w:t xml:space="preserve">above n 37, [40]. </w:t>
      </w:r>
    </w:p>
  </w:endnote>
  <w:endnote w:id="60">
    <w:p w:rsidRPr="00184F60" w:rsidR="00A1106D" w:rsidP="00F521CD" w:rsidRDefault="00A1106D" w14:paraId="0B03D836" w14:textId="01510351">
      <w:pPr>
        <w:pStyle w:val="EndnoteText"/>
      </w:pPr>
      <w:r>
        <w:rPr>
          <w:rStyle w:val="EndnoteReference"/>
        </w:rPr>
        <w:endnoteRef/>
      </w:r>
      <w:r>
        <w:t xml:space="preserve"> UN GAOR, above n 5</w:t>
      </w:r>
      <w:r w:rsidR="00251FCE">
        <w:t>7</w:t>
      </w:r>
      <w:r>
        <w:t>.</w:t>
      </w:r>
    </w:p>
  </w:endnote>
  <w:endnote w:id="61">
    <w:p w:rsidR="00A1106D" w:rsidP="001D5852" w:rsidRDefault="00A1106D" w14:paraId="3FF08355" w14:textId="5DAD9E18">
      <w:pPr>
        <w:pStyle w:val="EndnoteText"/>
      </w:pPr>
      <w:r>
        <w:rPr>
          <w:rStyle w:val="EndnoteReference"/>
        </w:rPr>
        <w:endnoteRef/>
      </w:r>
      <w:r>
        <w:t xml:space="preserve"> Ibid [6].</w:t>
      </w:r>
    </w:p>
  </w:endnote>
  <w:endnote w:id="62">
    <w:p w:rsidR="00A1106D" w:rsidP="00B0383B" w:rsidRDefault="00A1106D" w14:paraId="7C0E9100" w14:textId="30F99D3F">
      <w:pPr>
        <w:pStyle w:val="EndnoteText"/>
      </w:pPr>
      <w:r>
        <w:rPr>
          <w:rStyle w:val="EndnoteReference"/>
        </w:rPr>
        <w:endnoteRef/>
      </w:r>
      <w:r>
        <w:t xml:space="preserve"> Ibid [12].</w:t>
      </w:r>
    </w:p>
  </w:endnote>
  <w:endnote w:id="63">
    <w:p w:rsidR="00A1106D" w:rsidP="001D5852" w:rsidRDefault="00A1106D" w14:paraId="08EB2913" w14:textId="42CE2D26">
      <w:pPr>
        <w:pStyle w:val="EndnoteText"/>
      </w:pPr>
      <w:r>
        <w:rPr>
          <w:rStyle w:val="EndnoteReference"/>
        </w:rPr>
        <w:endnoteRef/>
      </w:r>
      <w:r>
        <w:t xml:space="preserve"> Ibid [16].</w:t>
      </w:r>
    </w:p>
  </w:endnote>
  <w:endnote w:id="64">
    <w:p w:rsidR="00A1106D" w:rsidP="000348B2" w:rsidRDefault="00A1106D" w14:paraId="40938589" w14:textId="7C694381">
      <w:pPr>
        <w:pStyle w:val="EndnoteText"/>
      </w:pPr>
      <w:r>
        <w:rPr>
          <w:rStyle w:val="EndnoteReference"/>
        </w:rPr>
        <w:endnoteRef/>
      </w:r>
      <w:r>
        <w:t xml:space="preserve"> Ibid [17].</w:t>
      </w:r>
    </w:p>
  </w:endnote>
  <w:endnote w:id="65">
    <w:p w:rsidR="00A1106D" w:rsidRDefault="00A1106D" w14:paraId="6F7B4637" w14:textId="210C8A42">
      <w:pPr>
        <w:pStyle w:val="EndnoteText"/>
      </w:pPr>
      <w:r>
        <w:rPr>
          <w:rStyle w:val="EndnoteReference"/>
        </w:rPr>
        <w:endnoteRef/>
      </w:r>
      <w:r>
        <w:t xml:space="preserve"> </w:t>
      </w:r>
      <w:r w:rsidRPr="001637BE">
        <w:t xml:space="preserve">OPCAT, </w:t>
      </w:r>
      <w:r>
        <w:t xml:space="preserve">above n 5, </w:t>
      </w:r>
      <w:r w:rsidRPr="001637BE">
        <w:t>Preamble.</w:t>
      </w:r>
    </w:p>
  </w:endnote>
  <w:endnote w:id="66">
    <w:p w:rsidR="00A1106D" w:rsidP="0034758F" w:rsidRDefault="00A1106D" w14:paraId="2B43B340" w14:textId="1BF8EB82">
      <w:pPr>
        <w:pStyle w:val="EndnoteText"/>
      </w:pPr>
      <w:r>
        <w:rPr>
          <w:rStyle w:val="EndnoteReference"/>
        </w:rPr>
        <w:endnoteRef/>
      </w:r>
      <w:r>
        <w:t xml:space="preserve"> UN GAOR, above n 5</w:t>
      </w:r>
      <w:r w:rsidR="00251FCE">
        <w:t>7</w:t>
      </w:r>
      <w:r>
        <w:t>, [21].</w:t>
      </w:r>
    </w:p>
  </w:endnote>
  <w:endnote w:id="67">
    <w:p w:rsidR="00A1106D" w:rsidRDefault="00A1106D" w14:paraId="11E40118" w14:textId="7AF781A6">
      <w:pPr>
        <w:pStyle w:val="EndnoteText"/>
      </w:pPr>
      <w:r>
        <w:rPr>
          <w:rStyle w:val="EndnoteReference"/>
        </w:rPr>
        <w:endnoteRef/>
      </w:r>
      <w:r>
        <w:t xml:space="preserve"> </w:t>
      </w:r>
      <w:r>
        <w:rPr>
          <w:rFonts w:cs="Open Sans"/>
        </w:rPr>
        <w:t>Issues Paper, above n 2, Questions 2A and 2B.</w:t>
      </w:r>
    </w:p>
  </w:endnote>
  <w:endnote w:id="68">
    <w:p w:rsidRPr="00823C12" w:rsidR="00A1106D" w:rsidP="00823C12" w:rsidRDefault="00A1106D" w14:paraId="651EE9CE" w14:textId="77777777">
      <w:pPr>
        <w:pStyle w:val="EndnoteText"/>
        <w:rPr>
          <w:i/>
          <w:iCs/>
        </w:rPr>
      </w:pPr>
      <w:r>
        <w:rPr>
          <w:rStyle w:val="EndnoteReference"/>
        </w:rPr>
        <w:endnoteRef/>
      </w:r>
      <w:r>
        <w:t xml:space="preserve"> </w:t>
      </w:r>
      <w:r w:rsidRPr="00177817">
        <w:t xml:space="preserve">Australian Human Rights Commission, </w:t>
      </w:r>
      <w:r w:rsidRPr="00823C12">
        <w:rPr>
          <w:i/>
          <w:iCs/>
        </w:rPr>
        <w:t xml:space="preserve">Information concerning Australia’s compliance with the </w:t>
      </w:r>
    </w:p>
    <w:p w:rsidRPr="000768AD" w:rsidR="00A1106D" w:rsidP="00823C12" w:rsidRDefault="00A1106D" w14:paraId="3C17D93D" w14:textId="200FBD62">
      <w:pPr>
        <w:pStyle w:val="EndnoteText"/>
      </w:pPr>
      <w:r w:rsidRPr="00823C12">
        <w:rPr>
          <w:i/>
          <w:iCs/>
        </w:rPr>
        <w:t>Convention on the Rights of Persons with Disabilities</w:t>
      </w:r>
      <w:r>
        <w:rPr>
          <w:i/>
          <w:iCs/>
        </w:rPr>
        <w:t xml:space="preserve"> </w:t>
      </w:r>
      <w:r>
        <w:t>(25 Jul 2019), recommendation 64.</w:t>
      </w:r>
    </w:p>
  </w:endnote>
  <w:endnote w:id="69">
    <w:p w:rsidR="00A1106D" w:rsidP="009A533B" w:rsidRDefault="00A1106D" w14:paraId="4B0DFC32" w14:textId="77777777">
      <w:pPr>
        <w:pStyle w:val="EndnoteText"/>
      </w:pPr>
      <w:r>
        <w:rPr>
          <w:rStyle w:val="EndnoteReference"/>
        </w:rPr>
        <w:endnoteRef/>
      </w:r>
      <w:r>
        <w:t xml:space="preserve"> The Hon Stuart Robert MP, ‘Data and Digital Council advances National Disability Data Asset and service delivery reform’ (Media Release, 6 September 2019).</w:t>
      </w:r>
    </w:p>
  </w:endnote>
  <w:endnote w:id="70">
    <w:p w:rsidR="00A1106D" w:rsidRDefault="00A1106D" w14:paraId="6DDFA836" w14:textId="20CAB03F">
      <w:pPr>
        <w:pStyle w:val="EndnoteText"/>
      </w:pPr>
      <w:r>
        <w:rPr>
          <w:rStyle w:val="EndnoteReference"/>
        </w:rPr>
        <w:endnoteRef/>
      </w:r>
      <w:r>
        <w:t xml:space="preserve"> CRPD Committee, above n 6</w:t>
      </w:r>
      <w:r>
        <w:rPr>
          <w:i/>
        </w:rPr>
        <w:t>,</w:t>
      </w:r>
      <w:r>
        <w:t xml:space="preserve"> [4(i)]</w:t>
      </w:r>
    </w:p>
  </w:endnote>
  <w:endnote w:id="71">
    <w:p w:rsidR="00A1106D" w:rsidRDefault="00A1106D" w14:paraId="057FDE38" w14:textId="43A82942">
      <w:pPr>
        <w:pStyle w:val="EndnoteText"/>
      </w:pPr>
      <w:r>
        <w:rPr>
          <w:rStyle w:val="EndnoteReference"/>
        </w:rPr>
        <w:endnoteRef/>
      </w:r>
      <w:r>
        <w:t xml:space="preserve"> Ibid [25(f)].</w:t>
      </w:r>
    </w:p>
  </w:endnote>
  <w:endnote w:id="72">
    <w:p w:rsidR="00A1106D" w:rsidRDefault="00A1106D" w14:paraId="4AAAE3CF" w14:textId="397897A8">
      <w:pPr>
        <w:pStyle w:val="EndnoteText"/>
      </w:pPr>
      <w:r>
        <w:rPr>
          <w:rStyle w:val="EndnoteReference"/>
        </w:rPr>
        <w:endnoteRef/>
      </w:r>
      <w:r>
        <w:t xml:space="preserve"> Ibid [26(g)].</w:t>
      </w:r>
    </w:p>
  </w:endnote>
  <w:endnote w:id="73">
    <w:p w:rsidR="00A1106D" w:rsidP="00766F81" w:rsidRDefault="00A1106D" w14:paraId="145221DD" w14:textId="5E09B46C">
      <w:pPr>
        <w:pStyle w:val="EndnoteText"/>
      </w:pPr>
      <w:r>
        <w:rPr>
          <w:rStyle w:val="EndnoteReference"/>
        </w:rPr>
        <w:endnoteRef/>
      </w:r>
      <w:r>
        <w:t xml:space="preserve"> Ibid [28(d)].</w:t>
      </w:r>
    </w:p>
  </w:endnote>
  <w:endnote w:id="74">
    <w:p w:rsidR="00A1106D" w:rsidRDefault="00A1106D" w14:paraId="2E16FE40" w14:textId="1B9A42A6">
      <w:pPr>
        <w:pStyle w:val="EndnoteText"/>
      </w:pPr>
      <w:r>
        <w:rPr>
          <w:rStyle w:val="EndnoteReference"/>
        </w:rPr>
        <w:endnoteRef/>
      </w:r>
      <w:r>
        <w:t xml:space="preserve"> </w:t>
      </w:r>
      <w:r>
        <w:rPr>
          <w:rFonts w:cs="Open Sans"/>
        </w:rPr>
        <w:t>Issues Paper, above n 2, Question 2A.</w:t>
      </w:r>
    </w:p>
  </w:endnote>
  <w:endnote w:id="75">
    <w:p w:rsidR="00A1106D" w:rsidRDefault="00A1106D" w14:paraId="0C707A73" w14:textId="00D096FB">
      <w:pPr>
        <w:pStyle w:val="EndnoteText"/>
      </w:pPr>
      <w:r>
        <w:rPr>
          <w:rStyle w:val="EndnoteReference"/>
        </w:rPr>
        <w:endnoteRef/>
      </w:r>
      <w:r>
        <w:t xml:space="preserve"> Ibid </w:t>
      </w:r>
      <w:r>
        <w:rPr>
          <w:rFonts w:cs="Open Sans"/>
        </w:rPr>
        <w:t>Question 2B.</w:t>
      </w:r>
    </w:p>
  </w:endnote>
  <w:endnote w:id="76">
    <w:p w:rsidR="00A1106D" w:rsidP="00AF567A" w:rsidRDefault="00A1106D" w14:paraId="5D1EC6FB" w14:textId="33706CC7">
      <w:pPr>
        <w:pStyle w:val="EndnoteText"/>
      </w:pPr>
      <w:r>
        <w:rPr>
          <w:rStyle w:val="EndnoteReference"/>
        </w:rPr>
        <w:endnoteRef/>
      </w:r>
      <w:r>
        <w:t xml:space="preserve"> Ibid </w:t>
      </w:r>
      <w:r>
        <w:rPr>
          <w:rFonts w:cs="Open Sans"/>
        </w:rPr>
        <w:t>Questions 2A, 2B and 3A.</w:t>
      </w:r>
    </w:p>
  </w:endnote>
  <w:endnote w:id="77">
    <w:p w:rsidRPr="00FA1F2E" w:rsidR="00A1106D" w:rsidP="00FA1F2E" w:rsidRDefault="00A1106D" w14:paraId="00C474D6" w14:textId="59953FEA">
      <w:pPr>
        <w:pStyle w:val="EndnoteText"/>
      </w:pPr>
      <w:r w:rsidRPr="007104B3">
        <w:rPr>
          <w:rStyle w:val="EndnoteReference"/>
          <w:rFonts w:cs="Open Sans"/>
        </w:rPr>
        <w:endnoteRef/>
      </w:r>
      <w:r>
        <w:rPr>
          <w:rFonts w:cs="Open Sans"/>
        </w:rPr>
        <w:t xml:space="preserve"> </w:t>
      </w:r>
      <w:r w:rsidRPr="00D84E28">
        <w:t xml:space="preserve">Eileen Baldry, ‘Disability at the margins: limits of the law’, (2014) 23(3) </w:t>
      </w:r>
      <w:r w:rsidRPr="00EA684A">
        <w:rPr>
          <w:i/>
          <w:iCs/>
        </w:rPr>
        <w:t>Griffith Law Review</w:t>
      </w:r>
      <w:r w:rsidRPr="00D84E28">
        <w:t xml:space="preserve"> 370</w:t>
      </w:r>
      <w:r>
        <w:t xml:space="preserve">; </w:t>
      </w:r>
      <w:r w:rsidRPr="00FA1F2E">
        <w:t xml:space="preserve">Australian Human Rights Commission, </w:t>
      </w:r>
      <w:r w:rsidRPr="007F2B37">
        <w:rPr>
          <w:i/>
          <w:iCs/>
        </w:rPr>
        <w:t>Equal before the Law - Towards Disability Justice Strategies</w:t>
      </w:r>
      <w:r w:rsidRPr="00FA1F2E">
        <w:t xml:space="preserve"> (February 2014) </w:t>
      </w:r>
      <w:r w:rsidR="00204EF2">
        <w:t>&lt;</w:t>
      </w:r>
      <w:r w:rsidRPr="004E6CE9" w:rsidR="00204EF2">
        <w:t>https://www.humanrights.gov.au/our-work/disability-rights/publications/equal-law</w:t>
      </w:r>
      <w:r w:rsidR="004E6CE9">
        <w:t>&gt;</w:t>
      </w:r>
      <w:r>
        <w:t xml:space="preserve">; </w:t>
      </w:r>
      <w:r w:rsidRPr="00FA1F2E">
        <w:t>Law Council of Australia, ‘The Justice Project Final Report - Part 1 - People with Disability’ (August 2018)</w:t>
      </w:r>
      <w:r w:rsidR="00204EF2">
        <w:t xml:space="preserve"> &lt;</w:t>
      </w:r>
      <w:r w:rsidRPr="004E6CE9" w:rsidR="004E6CE9">
        <w:t>https://www.lawcouncil.asn.au/justice-project/final-report</w:t>
      </w:r>
      <w:r w:rsidR="00204EF2">
        <w:t>&gt;</w:t>
      </w:r>
      <w:r w:rsidRPr="00FA1F2E">
        <w:t>; Human Rights Watch, ‘“I Needed Help, Instead I Was Punished” - Abuse and Neglect of Prisoners with Disabilities in Australia’ (</w:t>
      </w:r>
      <w:r w:rsidR="006102D0">
        <w:t xml:space="preserve">Report </w:t>
      </w:r>
      <w:r w:rsidRPr="00FA1F2E">
        <w:t xml:space="preserve">6 February 2018) </w:t>
      </w:r>
      <w:r w:rsidR="00204EF2">
        <w:t>&lt;</w:t>
      </w:r>
      <w:r w:rsidRPr="006102D0" w:rsidR="006102D0">
        <w:t>https://www.hrw.org/sites/default/files/report_pdf/australia0218_web.pdf</w:t>
      </w:r>
      <w:r w:rsidR="00204EF2">
        <w:t>&gt;</w:t>
      </w:r>
      <w:hyperlink w:history="1"/>
      <w:r>
        <w:t xml:space="preserve">; Bernadette McSherry et al, </w:t>
      </w:r>
      <w:r w:rsidR="000D31E7">
        <w:t>above n 39,</w:t>
      </w:r>
      <w:r>
        <w:t xml:space="preserve"> 13-14.</w:t>
      </w:r>
    </w:p>
  </w:endnote>
  <w:endnote w:id="78">
    <w:p w:rsidRPr="00F560C7" w:rsidR="00A1106D" w:rsidP="00AF567A" w:rsidRDefault="00A1106D" w14:paraId="0BC2ED91" w14:textId="77777777">
      <w:pPr>
        <w:pStyle w:val="EndnoteText"/>
      </w:pPr>
      <w:r>
        <w:rPr>
          <w:rStyle w:val="EndnoteReference"/>
        </w:rPr>
        <w:endnoteRef/>
      </w:r>
      <w:r>
        <w:t xml:space="preserve"> </w:t>
      </w:r>
      <w:r w:rsidRPr="00F876CE">
        <w:t>Australian Institute of Health and Welfare (AIHW), The health of Australia’s prisoners 2018 (2019)</w:t>
      </w:r>
      <w:r>
        <w:t>, 77-78.</w:t>
      </w:r>
    </w:p>
  </w:endnote>
  <w:endnote w:id="79">
    <w:p w:rsidR="00A1106D" w:rsidP="00AF567A" w:rsidRDefault="00A1106D" w14:paraId="50209384" w14:textId="6C238BC3">
      <w:pPr>
        <w:pStyle w:val="EndnoteText"/>
      </w:pPr>
      <w:r>
        <w:rPr>
          <w:rStyle w:val="EndnoteReference"/>
        </w:rPr>
        <w:endnoteRef/>
      </w:r>
      <w:r>
        <w:t xml:space="preserve"> </w:t>
      </w:r>
      <w:r w:rsidR="00251FCE">
        <w:t>Ibid</w:t>
      </w:r>
      <w:r>
        <w:t xml:space="preserve"> 81.</w:t>
      </w:r>
    </w:p>
  </w:endnote>
  <w:endnote w:id="80">
    <w:p w:rsidR="00A1106D" w:rsidP="00AF567A" w:rsidRDefault="00A1106D" w14:paraId="0CC80B02" w14:textId="15969006">
      <w:pPr>
        <w:pStyle w:val="EndnoteText"/>
      </w:pPr>
      <w:r>
        <w:rPr>
          <w:rStyle w:val="EndnoteReference"/>
        </w:rPr>
        <w:endnoteRef/>
      </w:r>
      <w:r>
        <w:t xml:space="preserve"> </w:t>
      </w:r>
      <w:r w:rsidR="00251FCE">
        <w:t>Ibid</w:t>
      </w:r>
      <w:r>
        <w:t xml:space="preserve"> 81.</w:t>
      </w:r>
    </w:p>
  </w:endnote>
  <w:endnote w:id="81">
    <w:p w:rsidRPr="007104B3" w:rsidR="00A1106D" w:rsidP="00AF567A" w:rsidRDefault="00A1106D" w14:paraId="715AF1A3" w14:textId="005C3B3F">
      <w:pPr>
        <w:pStyle w:val="EndnoteText"/>
        <w:rPr>
          <w:rFonts w:cs="Open Sans"/>
        </w:rPr>
      </w:pPr>
      <w:r w:rsidRPr="007104B3">
        <w:rPr>
          <w:rStyle w:val="EndnoteReference"/>
          <w:rFonts w:cs="Open Sans"/>
        </w:rPr>
        <w:endnoteRef/>
      </w:r>
      <w:r w:rsidRPr="007104B3">
        <w:rPr>
          <w:rFonts w:cs="Open Sans"/>
        </w:rPr>
        <w:t xml:space="preserve"> </w:t>
      </w:r>
      <w:r w:rsidRPr="001672C0">
        <w:rPr>
          <w:rFonts w:cs="Open Sans"/>
        </w:rPr>
        <w:t>Law Council of Australia,</w:t>
      </w:r>
      <w:r w:rsidR="004E6CE9">
        <w:rPr>
          <w:rFonts w:cs="Open Sans"/>
        </w:rPr>
        <w:t xml:space="preserve"> above</w:t>
      </w:r>
      <w:r w:rsidR="000A0385">
        <w:rPr>
          <w:rFonts w:cs="Open Sans"/>
        </w:rPr>
        <w:t xml:space="preserve"> n 76</w:t>
      </w:r>
      <w:r>
        <w:rPr>
          <w:rFonts w:cs="Open Sans"/>
        </w:rPr>
        <w:t xml:space="preserve">. </w:t>
      </w:r>
    </w:p>
  </w:endnote>
  <w:endnote w:id="82">
    <w:p w:rsidRPr="007104B3" w:rsidR="00A1106D" w:rsidP="00AF567A" w:rsidRDefault="00A1106D" w14:paraId="48F4F6F8" w14:textId="21C8A344">
      <w:pPr>
        <w:pStyle w:val="EndnoteText"/>
        <w:rPr>
          <w:rFonts w:cs="Open Sans"/>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{"citationID":"GWYqI44m","properties":{"formattedCitation":"Australian Law Reform Commission, \\uc0\\u8216{}Pathways to Justice\\uc0\\u8211{}Inquiry into the Incarceration Rate of Aboriginal and Torres Strait Islander Peoples\\uc0\\u8217{} (ALRC Report 133, 28 March 2018) 66 &lt;https://www.alrc.gov.au/publications/indigenous-incarceration-report133&gt;; Carol Bower et al, \\uc0\\u8216{}Fetal Alcohol Spectrum Disorder and Youth Justice: A Prevalence Study among Young People Sentenced to Detention in Western Australia\\uc0\\u8217{} (2018) 8(2) {\\i{}BMJ Open} e019605.","plainCitation":"Australian Law Reform Commission, ‘Pathways to Justice–Inquiry into the Incarceration Rate of Aboriginal and Torres Strait Islander Peoples’ (ALRC Report 133, 28 March 2018) 66 &lt;https://www.alrc.gov.au/publications/indigenous-incarceration-report133&gt;; Carol Bower et al, ‘Fetal Alcohol Spectrum Disorder and Youth Justice: A Prevalence Study among Young People Sentenced to Detention in Western Australia’ (2018) 8(2) BMJ Open e019605.","noteIndex":52},"citationItems":[{"id":1938,"uris":["http://zotero.org/groups/1703699/items/W3YLJRYT"],"uri":["http://zotero.org/groups/1703699/items/W3YLJRYT"],"itemData":{"id":1938,"type":"report","title":"Pathways to Justice–Inquiry into the Incarceration Rate of Aboriginal and Torres Strait Islander Peoples","URL":"https://www.alrc.gov.au/publications/indigenous-incarceration-report133","number":"ALRC Report 133","author":[{"literal":"Australian Law Reform Commission"}],"issued":{"date-parts":[["2018",3,28]]}},"locator":"66"},{"id":3892,"uris":["http://zotero.org/groups/1703699/items/LZJ3WG4N"],"uri":["http://zotero.org/groups/1703699/items/LZJ3WG4N"],"itemData":{"id":3892,"type":"article-journal","title":"Fetal alcohol spectrum disorder and youth justice: a prevalence study among young people sentenced to detention in Western Australia","container-title":"BMJ Open","page":"e019605","volume":"8","issue":"2","source":"DOI.org (Crossref)","DOI":"10.1136/bmjopen-2017-019605","ISSN":"2044-6055, 2044-6055","title-short":"Fetal alcohol spectrum disorder and youth justice","journalAbbreviation":"BMJ Open","language":"en","author":[{"family":"Bower","given":"Carol"},{"family":"Watkins","given":"Rochelle E"},{"family":"Mutch","given":"Raewyn C"},{"family":"Marriott","given":"Rhonda"},{"family":"Freeman","given":"Jacinta"},{"family":"Kippin","given":"Natalie R"},{"family":"Safe","given":"Bernadette"},{"family":"Pestell","given":"Carmela"},{"family":"Cheung","given":"Candy S C"},{"family":"Shield","given":"Helen"},{"family":"Tarratt","given":"Lodewicka"},{"family":"Springall","given":"Alex"},{"family":"Taylor","given":"Jasmine"},{"family":"Walker","given":"Noni"},{"family":"Argiro","given":"Emma"},{"family":"Leitão","given":"Suze"},{"family":"Hamilton","given":"Sharynne"},{"family":"Condon","given":"Carmen"},{"family":"Passmore","given":"Hayley M"},{"family":"Giglia","given":"Roslyn"}],"issued":{"date-parts":[["2018",2]]}}}],"schema":"https://github.com/citation-style-language/schema/raw/master/csl-citation.json"} </w:instrText>
      </w:r>
      <w:r w:rsidRPr="007104B3">
        <w:rPr>
          <w:rFonts w:cs="Open Sans"/>
        </w:rPr>
        <w:fldChar w:fldCharType="separate"/>
      </w:r>
      <w:r w:rsidRPr="007104B3">
        <w:rPr>
          <w:rFonts w:cs="Open Sans"/>
        </w:rPr>
        <w:t xml:space="preserve">Australian Law Reform Commission, ‘Pathways to Justice–Inquiry into the Incarceration Rate of Aboriginal and Torres Strait Islander Peoples’ (ALRC Report 133, 28 March 2018) 66 &lt;https://www.alrc.gov.au/publications/indigenous-incarceration-report133&gt;; Carol Bower et al, ‘Fetal Alcohol Spectrum Disorder and Youth Justice: A Prevalence Study among Young People Sentenced to Detention in Western Australia’ (2018) 8(2) </w:t>
      </w:r>
      <w:r w:rsidRPr="007104B3">
        <w:rPr>
          <w:rFonts w:cs="Open Sans"/>
          <w:i/>
          <w:iCs/>
        </w:rPr>
        <w:t xml:space="preserve">BMJ </w:t>
      </w:r>
      <w:r w:rsidRPr="007104B3">
        <w:rPr>
          <w:rFonts w:cs="Open Sans"/>
        </w:rPr>
        <w:fldChar w:fldCharType="end"/>
      </w:r>
      <w:r w:rsidRPr="007104B3">
        <w:rPr>
          <w:rFonts w:cs="Open Sans"/>
        </w:rPr>
        <w:t xml:space="preserve">  &lt;</w:t>
      </w:r>
      <w:r w:rsidRPr="007104B3">
        <w:rPr>
          <w:rFonts w:cs="Open Sans"/>
          <w:shd w:val="clear" w:color="auto" w:fill="FFFFFF"/>
        </w:rPr>
        <w:t>http://dx.doi.org/10.1136/bmjopen-2017-019605</w:t>
      </w:r>
      <w:r w:rsidRPr="007104B3">
        <w:rPr>
          <w:rFonts w:cs="Open Sans"/>
        </w:rPr>
        <w:t>&gt;</w:t>
      </w:r>
      <w:r w:rsidR="00204EF2">
        <w:rPr>
          <w:rFonts w:cs="Open Sans"/>
        </w:rPr>
        <w:t>.</w:t>
      </w:r>
    </w:p>
  </w:endnote>
  <w:endnote w:id="83">
    <w:p w:rsidRPr="00292482" w:rsidR="00A1106D" w:rsidP="00AF567A" w:rsidRDefault="00A1106D" w14:paraId="78B37290" w14:textId="77777777">
      <w:pPr>
        <w:pStyle w:val="EndnoteText"/>
      </w:pPr>
      <w:r>
        <w:rPr>
          <w:rStyle w:val="EndnoteReference"/>
        </w:rPr>
        <w:endnoteRef/>
      </w:r>
      <w:r>
        <w:t xml:space="preserve"> Justice Health &amp; Forensic Mental Health Network, Juvenile Justice NSW, </w:t>
      </w:r>
      <w:r>
        <w:rPr>
          <w:i/>
          <w:iCs/>
        </w:rPr>
        <w:t>2015 Young People in Custody Health Survey: Full Report</w:t>
      </w:r>
      <w:r>
        <w:t xml:space="preserve"> (November 2017) 65.</w:t>
      </w:r>
    </w:p>
  </w:endnote>
  <w:endnote w:id="84">
    <w:p w:rsidR="00A1106D" w:rsidP="00AF567A" w:rsidRDefault="00A1106D" w14:paraId="173F02CA" w14:textId="46C883D0">
      <w:pPr>
        <w:pStyle w:val="EndnoteText"/>
      </w:pPr>
      <w:r>
        <w:rPr>
          <w:rStyle w:val="EndnoteReference"/>
        </w:rPr>
        <w:endnoteRef/>
      </w:r>
      <w:r>
        <w:t xml:space="preserve"> </w:t>
      </w:r>
      <w:r w:rsidR="00D513E1">
        <w:t xml:space="preserve">Ibid </w:t>
      </w:r>
      <w:r>
        <w:t>65. The introduction to the report (p.1) states: ‘In accordance with NSW Health Guidelines, the term “Aboriginal” is used in this report in preference to “Aboriginal and Torres Strait Islander” in recognition that Aboriginal people are the original inhabitants of NSW.’</w:t>
      </w:r>
    </w:p>
  </w:endnote>
  <w:endnote w:id="85">
    <w:p w:rsidRPr="00AC2A10" w:rsidR="00A1106D" w:rsidP="00AF567A" w:rsidRDefault="00A1106D" w14:paraId="675AB840" w14:textId="2D9D991B">
      <w:pPr>
        <w:pStyle w:val="EndnoteText"/>
      </w:pPr>
      <w:r>
        <w:rPr>
          <w:rStyle w:val="EndnoteReference"/>
        </w:rPr>
        <w:endnoteRef/>
      </w:r>
      <w:r>
        <w:t xml:space="preserve"> </w:t>
      </w:r>
      <w:r w:rsidR="000A0385">
        <w:t>Ibid</w:t>
      </w:r>
      <w:r>
        <w:t xml:space="preserve"> 81; Dianna T. Kenny and Paul K. Nelson, </w:t>
      </w:r>
      <w:r>
        <w:rPr>
          <w:i/>
          <w:iCs/>
        </w:rPr>
        <w:t>Young Offenders on Community Orders: Health, Welfare and Criminogenic Needs</w:t>
      </w:r>
      <w:r>
        <w:t xml:space="preserve"> (2008) 6.3; Leigh Haysom et al, ‘Intellectual disability in young people in custody in New South Wales, Australia – prevalence and markers’ (2014) 58(11) </w:t>
      </w:r>
      <w:r>
        <w:rPr>
          <w:i/>
          <w:iCs/>
        </w:rPr>
        <w:t>Journal of Intellectual Disability Research</w:t>
      </w:r>
      <w:r>
        <w:t xml:space="preserve"> 1004, 1010.</w:t>
      </w:r>
    </w:p>
  </w:endnote>
  <w:endnote w:id="86">
    <w:p w:rsidRPr="00972F1D" w:rsidR="00A1106D" w:rsidP="00AF567A" w:rsidRDefault="00A1106D" w14:paraId="1E5B6A49" w14:textId="35C230DD">
      <w:pPr>
        <w:pStyle w:val="EndnoteText"/>
      </w:pPr>
      <w:r w:rsidRPr="003F0451">
        <w:rPr>
          <w:rStyle w:val="EndnoteReference"/>
        </w:rPr>
        <w:endnoteRef/>
      </w:r>
      <w:r w:rsidRPr="003F0451">
        <w:t xml:space="preserve"> Stephane Shepherd, James Ogloff, Yin Paradies and Jeffrey Pfeifer, ‘Aboriginal prisoners with cognitive impairment: Is this the highest risk group?’ (2017)</w:t>
      </w:r>
      <w:r>
        <w:t xml:space="preserve"> 536 </w:t>
      </w:r>
      <w:r w:rsidRPr="003F0451">
        <w:rPr>
          <w:i/>
          <w:iCs/>
        </w:rPr>
        <w:t>Trends &amp; Issues in Crime and Criminal Justice</w:t>
      </w:r>
      <w:r>
        <w:rPr>
          <w:i/>
          <w:iCs/>
        </w:rPr>
        <w:t xml:space="preserve"> </w:t>
      </w:r>
      <w:r>
        <w:t>1,</w:t>
      </w:r>
      <w:r w:rsidRPr="003F0451">
        <w:t xml:space="preserve"> Australian Institute of Criminology </w:t>
      </w:r>
      <w:r w:rsidR="00204EF2">
        <w:t>&lt;</w:t>
      </w:r>
      <w:r w:rsidRPr="004E6CE9" w:rsidR="00204EF2">
        <w:t>https://aic.gov.au/publications/tandi/tandi536</w:t>
      </w:r>
      <w:r w:rsidR="007C76B1">
        <w:t>&gt;</w:t>
      </w:r>
      <w:r w:rsidRPr="003F0451">
        <w:t>, 8.</w:t>
      </w:r>
    </w:p>
  </w:endnote>
  <w:endnote w:id="87">
    <w:p w:rsidRPr="00E90A4A" w:rsidR="00A1106D" w:rsidP="00AF567A" w:rsidRDefault="00A1106D" w14:paraId="34092FBD" w14:textId="360152B3">
      <w:pPr>
        <w:pStyle w:val="EndnoteText"/>
      </w:pPr>
      <w:r>
        <w:rPr>
          <w:rStyle w:val="EndnoteReference"/>
        </w:rPr>
        <w:endnoteRef/>
      </w:r>
      <w:r>
        <w:t xml:space="preserve"> Ibid </w:t>
      </w:r>
      <w:r w:rsidRPr="00E90A4A">
        <w:t>8.</w:t>
      </w:r>
    </w:p>
  </w:endnote>
  <w:endnote w:id="88">
    <w:p w:rsidRPr="007104B3" w:rsidR="00A1106D" w:rsidP="00AF567A" w:rsidRDefault="00A1106D" w14:paraId="5F79287F" w14:textId="120774A8">
      <w:pPr>
        <w:pStyle w:val="EndnoteText"/>
        <w:rPr>
          <w:rFonts w:cs="Open Sans"/>
        </w:rPr>
      </w:pPr>
      <w:r w:rsidRPr="007104B3">
        <w:rPr>
          <w:rStyle w:val="EndnoteReference"/>
          <w:rFonts w:cs="Open Sans"/>
        </w:rPr>
        <w:endnoteRef/>
      </w:r>
      <w:r>
        <w:rPr>
          <w:rFonts w:cs="Open Sans"/>
        </w:rPr>
        <w:t xml:space="preserve"> </w:t>
      </w:r>
      <w:r w:rsidRPr="00C05017">
        <w:rPr>
          <w:rFonts w:cs="Open Sans"/>
        </w:rPr>
        <w:t>Australian Human Rights Commission,</w:t>
      </w:r>
      <w:r>
        <w:rPr>
          <w:rFonts w:cs="Open Sans"/>
        </w:rPr>
        <w:t xml:space="preserve"> above n 7</w:t>
      </w:r>
      <w:r w:rsidR="000A0385">
        <w:rPr>
          <w:rFonts w:cs="Open Sans"/>
        </w:rPr>
        <w:t>6</w:t>
      </w:r>
      <w:r>
        <w:rPr>
          <w:rFonts w:cs="Open Sans"/>
        </w:rPr>
        <w:t>, 2.</w:t>
      </w:r>
    </w:p>
  </w:endnote>
  <w:endnote w:id="89">
    <w:p w:rsidRPr="007104B3" w:rsidR="00A1106D" w:rsidP="00AF567A" w:rsidRDefault="00A1106D" w14:paraId="46136AE0" w14:textId="79FBDCA0">
      <w:pPr>
        <w:pStyle w:val="EndnoteText"/>
        <w:rPr>
          <w:rFonts w:cs="Open Sans"/>
        </w:rPr>
      </w:pPr>
      <w:r w:rsidRPr="007104B3">
        <w:rPr>
          <w:rStyle w:val="EndnoteReference"/>
          <w:rFonts w:cs="Open Sans"/>
        </w:rPr>
        <w:endnoteRef/>
      </w:r>
      <w:r w:rsidRPr="007104B3">
        <w:rPr>
          <w:rFonts w:cs="Open Sans"/>
        </w:rPr>
        <w:t xml:space="preserve"> </w:t>
      </w:r>
      <w:r>
        <w:rPr>
          <w:rFonts w:cs="Open Sans"/>
        </w:rPr>
        <w:t>Ibid 8, 20 and 29.</w:t>
      </w:r>
    </w:p>
  </w:endnote>
  <w:endnote w:id="90">
    <w:p w:rsidR="00A1106D" w:rsidP="00AF567A" w:rsidRDefault="00A1106D" w14:paraId="71F7EBF0" w14:textId="77777777">
      <w:pPr>
        <w:pStyle w:val="EndnoteText"/>
      </w:pPr>
      <w:r>
        <w:rPr>
          <w:rStyle w:val="EndnoteReference"/>
        </w:rPr>
        <w:endnoteRef/>
      </w:r>
      <w:r>
        <w:t xml:space="preserve"> Issues Paper, above n 2, Question 3A.</w:t>
      </w:r>
    </w:p>
  </w:endnote>
  <w:endnote w:id="91">
    <w:p w:rsidRPr="00A53B00" w:rsidR="00A1106D" w:rsidP="00FE3756" w:rsidRDefault="00A1106D" w14:paraId="58BCD905" w14:textId="77777777">
      <w:pPr>
        <w:pStyle w:val="EndnoteText"/>
      </w:pPr>
      <w:r>
        <w:rPr>
          <w:rStyle w:val="EndnoteReference"/>
        </w:rPr>
        <w:endnoteRef/>
      </w:r>
      <w:r>
        <w:t xml:space="preserve"> </w:t>
      </w:r>
      <w:r w:rsidRPr="00A53B00">
        <w:t>Aboriginal Disability Justice Campaign, Submission No 76 to Senate Community Affairs Committee, Indefinite detention of people with cognitive and psychiatric impairment in Australia (29 November 2016) 3.</w:t>
      </w:r>
    </w:p>
  </w:endnote>
  <w:endnote w:id="92">
    <w:p w:rsidRPr="00274292" w:rsidR="00A1106D" w:rsidRDefault="00A1106D" w14:paraId="6A7EC859" w14:textId="1E0A2A22">
      <w:pPr>
        <w:pStyle w:val="EndnoteText"/>
      </w:pPr>
      <w:r>
        <w:rPr>
          <w:rStyle w:val="EndnoteReference"/>
        </w:rPr>
        <w:endnoteRef/>
      </w:r>
      <w:r>
        <w:t xml:space="preserve"> </w:t>
      </w:r>
      <w:r w:rsidRPr="00274292">
        <w:t xml:space="preserve">Shasta Holland and Peter Persson, ‘Intellectual disability in the Victorian prison system: characteristics of prisoners with an intellectual disability released from prison in 2003-2006’ (2011) 17(1) </w:t>
      </w:r>
      <w:r w:rsidRPr="00274292">
        <w:rPr>
          <w:i/>
          <w:iCs/>
        </w:rPr>
        <w:t xml:space="preserve">Psychology, Crime &amp; Law </w:t>
      </w:r>
      <w:r w:rsidRPr="00274292">
        <w:t>25, 34.</w:t>
      </w:r>
    </w:p>
  </w:endnote>
  <w:endnote w:id="93">
    <w:p w:rsidRPr="00C43D31" w:rsidR="00A1106D" w:rsidRDefault="00A1106D" w14:paraId="620A104E" w14:textId="31BB7471">
      <w:pPr>
        <w:pStyle w:val="EndnoteText"/>
      </w:pPr>
      <w:r>
        <w:rPr>
          <w:rStyle w:val="EndnoteReference"/>
        </w:rPr>
        <w:endnoteRef/>
      </w:r>
      <w:r>
        <w:t xml:space="preserve"> </w:t>
      </w:r>
      <w:r w:rsidRPr="00C43D31">
        <w:t xml:space="preserve">Vivienne Riches, Trevor Parmenter, Michele Wiese and Roger Stancliffe, ‘Intellectual disability and mental illness in the NSW criminal justice system’ (2006) 29(5) </w:t>
      </w:r>
      <w:r w:rsidRPr="00C43D31">
        <w:rPr>
          <w:i/>
          <w:iCs/>
        </w:rPr>
        <w:t>International Journal of Law and Psychiatry</w:t>
      </w:r>
      <w:r w:rsidRPr="00C43D31">
        <w:t xml:space="preserve"> 386, 389.</w:t>
      </w:r>
      <w:r>
        <w:t xml:space="preserve"> See also </w:t>
      </w:r>
      <w:r w:rsidRPr="00B055AD">
        <w:t xml:space="preserve">Judith Cockram, ‘People With an Intellectual Disability in the Prisons’ (2005) 12(1) </w:t>
      </w:r>
      <w:r w:rsidRPr="00B055AD">
        <w:rPr>
          <w:i/>
          <w:iCs/>
        </w:rPr>
        <w:t>Psychiatry, Psychology and Law</w:t>
      </w:r>
      <w:r w:rsidRPr="00B055AD">
        <w:t xml:space="preserve"> 163-173, 167; Judith Cockram, ‘Careers of offenders with an intellectual disability: the probabilities of rearrest’ (2005) 49(7) </w:t>
      </w:r>
      <w:r w:rsidRPr="00B055AD">
        <w:rPr>
          <w:i/>
          <w:iCs/>
        </w:rPr>
        <w:t xml:space="preserve">Journal of Intellectual Disability Research </w:t>
      </w:r>
      <w:r w:rsidRPr="00B055AD">
        <w:t>525, 533.</w:t>
      </w:r>
    </w:p>
  </w:endnote>
  <w:endnote w:id="94">
    <w:p w:rsidR="00A1106D" w:rsidP="00AF567A" w:rsidRDefault="00A1106D" w14:paraId="4F234ADA" w14:textId="77777777">
      <w:pPr>
        <w:pStyle w:val="EndnoteText"/>
      </w:pPr>
      <w:r>
        <w:rPr>
          <w:rStyle w:val="EndnoteReference"/>
        </w:rPr>
        <w:endnoteRef/>
      </w:r>
      <w:r>
        <w:t xml:space="preserve"> </w:t>
      </w:r>
      <w:r w:rsidRPr="00EB552F">
        <w:t xml:space="preserve">Issues Paper, above n 2, Question </w:t>
      </w:r>
      <w:r>
        <w:t>2B</w:t>
      </w:r>
      <w:r w:rsidRPr="00EB552F">
        <w:t>.</w:t>
      </w:r>
    </w:p>
  </w:endnote>
  <w:endnote w:id="95">
    <w:p w:rsidR="00A1106D" w:rsidP="00AF567A" w:rsidRDefault="00A1106D" w14:paraId="17FB5FFE" w14:textId="6BAE005B">
      <w:pPr>
        <w:pStyle w:val="EndnoteText"/>
      </w:pPr>
      <w:r>
        <w:rPr>
          <w:rStyle w:val="EndnoteReference"/>
        </w:rPr>
        <w:endnoteRef/>
      </w:r>
      <w:r>
        <w:t xml:space="preserve"> Ruth McCausland and Eileen Baldry, ‘’I feel like I failed him by ringing the police’: Criminalising disability in Australia’ (2017) 19(3) </w:t>
      </w:r>
      <w:r>
        <w:rPr>
          <w:i/>
          <w:iCs/>
        </w:rPr>
        <w:t xml:space="preserve">Punishment &amp; Society </w:t>
      </w:r>
      <w:r>
        <w:t xml:space="preserve">290, 302; Eileen Baldry, Damon B. Briggs, Barry Goldson and Sophie Russell, ‘’Cruel and unusual punishment’: an inter-jurisdictional study of the criminalisation of young people with complex support needs’ (2018) 21(5) </w:t>
      </w:r>
      <w:r>
        <w:rPr>
          <w:i/>
          <w:iCs/>
        </w:rPr>
        <w:t>Journal of Youth Studies</w:t>
      </w:r>
      <w:r>
        <w:t xml:space="preserve"> 636, 641-642; see also Lily Nothling, ‘Teenage girl with cerebral palsy tasered by police at Townsville school’, </w:t>
      </w:r>
      <w:r>
        <w:rPr>
          <w:i/>
          <w:iCs/>
        </w:rPr>
        <w:t>ABC News</w:t>
      </w:r>
      <w:r>
        <w:t xml:space="preserve"> (online, 28 February 2020) &lt;</w:t>
      </w:r>
      <w:r w:rsidRPr="00C543AD">
        <w:t>https://www.abc.net.au/news/2020-02-28/teenage-girl-with-cerebral-palsy-tasered-by-police-in-townsville/12008684</w:t>
      </w:r>
      <w:r>
        <w:t>&gt;.</w:t>
      </w:r>
    </w:p>
  </w:endnote>
  <w:endnote w:id="96">
    <w:p w:rsidR="00A1106D" w:rsidP="00AF567A" w:rsidRDefault="00A1106D" w14:paraId="219E621A" w14:textId="4D194FF5">
      <w:pPr>
        <w:pStyle w:val="EndnoteText"/>
      </w:pPr>
      <w:r>
        <w:rPr>
          <w:rStyle w:val="EndnoteReference"/>
        </w:rPr>
        <w:endnoteRef/>
      </w:r>
      <w:r>
        <w:t xml:space="preserve"> McCausland and Baldry, above n 9</w:t>
      </w:r>
      <w:r w:rsidR="00770CEB">
        <w:t>4</w:t>
      </w:r>
      <w:r>
        <w:t>, 302; Baldry, Briggs, Goldson and Russell, above n 9</w:t>
      </w:r>
      <w:r w:rsidR="00770CEB">
        <w:t>4</w:t>
      </w:r>
      <w:r>
        <w:t xml:space="preserve">, 641-642; see also Lily Nothling, ‘Teenage girl with cerebral palsy tasered by police at Townsville school’, </w:t>
      </w:r>
      <w:r>
        <w:rPr>
          <w:i/>
          <w:iCs/>
        </w:rPr>
        <w:t>ABC News</w:t>
      </w:r>
      <w:r>
        <w:t xml:space="preserve"> (online, 28 February 2020) &lt;</w:t>
      </w:r>
      <w:r w:rsidRPr="00C543AD">
        <w:t>https://www.abc.net.au/news/2020-02-28/teenage-girl-with-cerebral-palsy-tasered-by-police-in-townsville/12008684</w:t>
      </w:r>
      <w:r>
        <w:t>&gt;.</w:t>
      </w:r>
    </w:p>
  </w:endnote>
  <w:endnote w:id="97">
    <w:p w:rsidR="00A1106D" w:rsidP="00AF567A" w:rsidRDefault="00A1106D" w14:paraId="54263638" w14:textId="5F1D409F">
      <w:pPr>
        <w:pStyle w:val="EndnoteText"/>
      </w:pPr>
      <w:r>
        <w:rPr>
          <w:rStyle w:val="EndnoteReference"/>
        </w:rPr>
        <w:endnoteRef/>
      </w:r>
      <w:r>
        <w:t xml:space="preserve"> Baldry, Briggs, Goldson and Russell, above n 9</w:t>
      </w:r>
      <w:r w:rsidR="00770CEB">
        <w:t>4</w:t>
      </w:r>
      <w:r>
        <w:t>, 642.</w:t>
      </w:r>
    </w:p>
  </w:endnote>
  <w:endnote w:id="98">
    <w:p w:rsidRPr="00C6723E" w:rsidR="00A1106D" w:rsidP="00AF567A" w:rsidRDefault="00A1106D" w14:paraId="58FAD3B7" w14:textId="77777777">
      <w:pPr>
        <w:pStyle w:val="EndnoteText"/>
      </w:pPr>
      <w:r>
        <w:rPr>
          <w:rStyle w:val="EndnoteReference"/>
        </w:rPr>
        <w:endnoteRef/>
      </w:r>
      <w:r>
        <w:t xml:space="preserve"> New South Wales Police Force, </w:t>
      </w:r>
      <w:r>
        <w:rPr>
          <w:i/>
          <w:iCs/>
        </w:rPr>
        <w:t>NSW Police Force 2018-19 Annual Report</w:t>
      </w:r>
      <w:r>
        <w:t xml:space="preserve"> (31 October 2019) 92; Victoria Police, </w:t>
      </w:r>
      <w:r>
        <w:rPr>
          <w:i/>
          <w:iCs/>
        </w:rPr>
        <w:t>Accessibility Inclusion Strategy and Action Plan 2018-2021</w:t>
      </w:r>
      <w:r>
        <w:t xml:space="preserve"> (October 2018) 10; Queensland Police, </w:t>
      </w:r>
      <w:r>
        <w:rPr>
          <w:i/>
          <w:iCs/>
        </w:rPr>
        <w:t>Disability Service Plan Progress Report – 1 July 2018 to 30 June 2019 (Year 2)</w:t>
      </w:r>
      <w:r>
        <w:t xml:space="preserve"> (2018) 1; South Australia Police, </w:t>
      </w:r>
      <w:r>
        <w:rPr>
          <w:i/>
          <w:iCs/>
        </w:rPr>
        <w:t>South Australia Police Disability Access and Inclusion Plan 2017-2020</w:t>
      </w:r>
      <w:r>
        <w:t xml:space="preserve"> (July 2017) 7; Western Australia Police Force, </w:t>
      </w:r>
      <w:r>
        <w:rPr>
          <w:i/>
          <w:iCs/>
        </w:rPr>
        <w:t>Western Australia Police Force Disability Access and Inclusion Plan 2018-2022</w:t>
      </w:r>
      <w:r>
        <w:t xml:space="preserve"> (2018) 5; Tasmanian Government Department of Communities, Sport and Recreation and the Tasmanian Government Department of Premier and Cabinet, ‘</w:t>
      </w:r>
      <w:r>
        <w:rPr>
          <w:i/>
          <w:iCs/>
        </w:rPr>
        <w:t>Accessible Island: Tasmania’s Disability Framework for Action 2018-2021</w:t>
      </w:r>
      <w:r>
        <w:t xml:space="preserve"> (January 2018) 16.</w:t>
      </w:r>
    </w:p>
  </w:endnote>
  <w:endnote w:id="99">
    <w:p w:rsidR="00A1106D" w:rsidP="00AF567A" w:rsidRDefault="00A1106D" w14:paraId="2998F75D" w14:textId="0044ECB5">
      <w:pPr>
        <w:pStyle w:val="EndnoteText"/>
      </w:pPr>
      <w:r>
        <w:rPr>
          <w:rStyle w:val="EndnoteReference"/>
        </w:rPr>
        <w:endnoteRef/>
      </w:r>
      <w:r>
        <w:t xml:space="preserve"> </w:t>
      </w:r>
      <w:r w:rsidRPr="00DC7C2D">
        <w:t>Shepherd, Ogloff, Paradies</w:t>
      </w:r>
      <w:r>
        <w:t xml:space="preserve"> and Pf</w:t>
      </w:r>
      <w:r w:rsidRPr="00DC7C2D">
        <w:t>eifer</w:t>
      </w:r>
      <w:r>
        <w:t>, above n 8</w:t>
      </w:r>
      <w:r w:rsidR="00770CEB">
        <w:t>5</w:t>
      </w:r>
      <w:r>
        <w:t>, 9.</w:t>
      </w:r>
    </w:p>
  </w:endnote>
  <w:endnote w:id="100">
    <w:p w:rsidRPr="00075EF5" w:rsidR="00A1106D" w:rsidRDefault="00A1106D" w14:paraId="28BBCCF4" w14:textId="6F39802B">
      <w:pPr>
        <w:pStyle w:val="EndnoteText"/>
      </w:pPr>
      <w:r>
        <w:rPr>
          <w:rStyle w:val="EndnoteReference"/>
        </w:rPr>
        <w:endnoteRef/>
      </w:r>
      <w:r>
        <w:t xml:space="preserve"> See, e.g., Victoria Legal Aid, ‘</w:t>
      </w:r>
      <w:r w:rsidRPr="00075EF5">
        <w:t>Hope for Francis but NDIS system gaps remain</w:t>
      </w:r>
      <w:r>
        <w:t xml:space="preserve">’ (23 November 2017) </w:t>
      </w:r>
      <w:r w:rsidR="00F90972">
        <w:t>&lt;</w:t>
      </w:r>
      <w:r w:rsidRPr="004E6CE9" w:rsidR="00F90972">
        <w:t>https://www.legalaid.vic.gov.au/about-us/news/hope-for-francis-but-ndis-system-gaps-remain</w:t>
      </w:r>
      <w:r w:rsidR="00F90972">
        <w:t>&gt;</w:t>
      </w:r>
      <w:r>
        <w:t xml:space="preserve">. </w:t>
      </w:r>
    </w:p>
  </w:endnote>
  <w:endnote w:id="101">
    <w:p w:rsidRPr="001A7E81" w:rsidR="00A1106D" w:rsidP="001A7E81" w:rsidRDefault="00A1106D" w14:paraId="3DFEFFC5" w14:textId="0BF6D61B">
      <w:pPr>
        <w:pStyle w:val="EndnoteText"/>
      </w:pPr>
      <w:r>
        <w:rPr>
          <w:rStyle w:val="EndnoteReference"/>
        </w:rPr>
        <w:endnoteRef/>
      </w:r>
      <w:r>
        <w:t xml:space="preserve"> Meeting of the COAG Disability Reform Council, Sydney – 9 October 2019, </w:t>
      </w:r>
      <w:r w:rsidRPr="001A7E81">
        <w:rPr>
          <w:i/>
          <w:iCs/>
        </w:rPr>
        <w:t>Communiqué</w:t>
      </w:r>
      <w:r>
        <w:t xml:space="preserve"> </w:t>
      </w:r>
      <w:r w:rsidR="00F90972">
        <w:t>&lt;</w:t>
      </w:r>
      <w:r w:rsidRPr="004E6CE9" w:rsidR="00F90972">
        <w:t>https://www.dss.gov.au/sites/default/files/documents/10_2019/communique-drc-9-october_2019.pdf</w:t>
      </w:r>
      <w:r w:rsidR="00F90972">
        <w:rPr>
          <w:rStyle w:val="Hyperlink"/>
        </w:rPr>
        <w:t>&gt;</w:t>
      </w:r>
      <w:r>
        <w:t xml:space="preserve">. </w:t>
      </w:r>
    </w:p>
  </w:endnote>
  <w:endnote w:id="102">
    <w:p w:rsidR="00A1106D" w:rsidRDefault="00A1106D" w14:paraId="041AF6D0" w14:textId="5A1F18E5">
      <w:pPr>
        <w:pStyle w:val="EndnoteText"/>
      </w:pPr>
      <w:r>
        <w:rPr>
          <w:rStyle w:val="EndnoteReference"/>
        </w:rPr>
        <w:endnoteRef/>
      </w:r>
      <w:r>
        <w:t xml:space="preserve"> </w:t>
      </w:r>
      <w:r>
        <w:rPr>
          <w:rFonts w:cs="Open Sans"/>
        </w:rPr>
        <w:t>Issues Paper, above n 2, Questions 3A and 7A.</w:t>
      </w:r>
    </w:p>
  </w:endnote>
  <w:endnote w:id="103">
    <w:p w:rsidRPr="00191BCD" w:rsidR="00A1106D" w:rsidP="007B2038" w:rsidRDefault="00A1106D" w14:paraId="7C0F6CBA" w14:textId="2A600053">
      <w:pPr>
        <w:pStyle w:val="EndnoteText"/>
      </w:pPr>
      <w:r>
        <w:rPr>
          <w:rStyle w:val="EndnoteReference"/>
        </w:rPr>
        <w:endnoteRef/>
      </w:r>
      <w:r>
        <w:t xml:space="preserve"> CRPD, above n 3</w:t>
      </w:r>
      <w:r>
        <w:rPr>
          <w:i/>
          <w:iCs/>
        </w:rPr>
        <w:t>,</w:t>
      </w:r>
      <w:r>
        <w:t xml:space="preserve"> art 12.</w:t>
      </w:r>
    </w:p>
  </w:endnote>
  <w:endnote w:id="104">
    <w:p w:rsidR="00A1106D" w:rsidP="007B2038" w:rsidRDefault="00A1106D" w14:paraId="76CB1780" w14:textId="710EEFEB">
      <w:pPr>
        <w:pStyle w:val="EndnoteText"/>
      </w:pPr>
      <w:r>
        <w:rPr>
          <w:rStyle w:val="EndnoteReference"/>
        </w:rPr>
        <w:endnoteRef/>
      </w:r>
      <w:r>
        <w:t xml:space="preserve"> Ibid art 12[1], [4].</w:t>
      </w:r>
    </w:p>
  </w:endnote>
  <w:endnote w:id="105">
    <w:p w:rsidR="00A1106D" w:rsidP="007B2038" w:rsidRDefault="00A1106D" w14:paraId="6851741F" w14:textId="65170F38">
      <w:pPr>
        <w:pStyle w:val="EndnoteText"/>
      </w:pPr>
      <w:r>
        <w:rPr>
          <w:rStyle w:val="EndnoteReference"/>
        </w:rPr>
        <w:endnoteRef/>
      </w:r>
      <w:r>
        <w:t xml:space="preserve"> </w:t>
      </w:r>
      <w:r w:rsidRPr="00254D9C">
        <w:t>Ibid</w:t>
      </w:r>
      <w:r>
        <w:t xml:space="preserve"> art 12[4].</w:t>
      </w:r>
    </w:p>
  </w:endnote>
  <w:endnote w:id="106">
    <w:p w:rsidR="00A1106D" w:rsidP="007B2038" w:rsidRDefault="00A1106D" w14:paraId="17E0B563" w14:textId="40AFB322">
      <w:pPr>
        <w:pStyle w:val="EndnoteText"/>
      </w:pPr>
      <w:r>
        <w:rPr>
          <w:rStyle w:val="EndnoteReference"/>
        </w:rPr>
        <w:endnoteRef/>
      </w:r>
      <w:r>
        <w:t xml:space="preserve"> </w:t>
      </w:r>
      <w:r w:rsidRPr="00254D9C">
        <w:t>Ibid</w:t>
      </w:r>
      <w:r>
        <w:t xml:space="preserve"> art 12[5].</w:t>
      </w:r>
    </w:p>
  </w:endnote>
  <w:endnote w:id="107">
    <w:p w:rsidRPr="006E2273" w:rsidR="00A1106D" w:rsidP="007B2038" w:rsidRDefault="00A1106D" w14:paraId="229B4E90" w14:textId="540FC52A">
      <w:pPr>
        <w:pStyle w:val="EndnoteText"/>
      </w:pPr>
      <w:r>
        <w:rPr>
          <w:rStyle w:val="EndnoteReference"/>
        </w:rPr>
        <w:endnoteRef/>
      </w:r>
      <w:r>
        <w:t xml:space="preserve"> Nina A. Kohn, Jeremy A. Blumenthal and Amy T. Campbell, ‘Supported Decision-Making: A Viable Alternative to Guardianship?’ (2012) 117(4) </w:t>
      </w:r>
      <w:r>
        <w:rPr>
          <w:i/>
          <w:iCs/>
        </w:rPr>
        <w:t>Penn State Law Review</w:t>
      </w:r>
      <w:r>
        <w:t xml:space="preserve"> 1111, 1127, 1142. See also Renata Kokanovic et al, </w:t>
      </w:r>
      <w:r>
        <w:rPr>
          <w:i/>
          <w:iCs/>
        </w:rPr>
        <w:t>Options for Supported Decision-Making to Enhance the Recovery of People Experiencing Severe Mental Health Problems</w:t>
      </w:r>
      <w:r>
        <w:t xml:space="preserve"> (Report, August 2017).</w:t>
      </w:r>
    </w:p>
  </w:endnote>
  <w:endnote w:id="108">
    <w:p w:rsidRPr="007C5ACD" w:rsidR="00A1106D" w:rsidP="007B2038" w:rsidRDefault="00A1106D" w14:paraId="3B21BB9C" w14:textId="77777777">
      <w:pPr>
        <w:pStyle w:val="EndnoteText"/>
      </w:pPr>
      <w:r>
        <w:rPr>
          <w:rStyle w:val="EndnoteReference"/>
        </w:rPr>
        <w:endnoteRef/>
      </w:r>
      <w:r>
        <w:t xml:space="preserve"> Margaret Wallace, </w:t>
      </w:r>
      <w:r>
        <w:rPr>
          <w:i/>
          <w:iCs/>
        </w:rPr>
        <w:t>Evaluation of the Supported Decision Making Project</w:t>
      </w:r>
      <w:r>
        <w:t xml:space="preserve"> (Report, November 2012) 4-5; Christiane Purcal, Trish Hill, Kelley Johnson and Rosemary Kayess, </w:t>
      </w:r>
      <w:r>
        <w:rPr>
          <w:i/>
          <w:iCs/>
        </w:rPr>
        <w:t>Evaluation of the Supported Decision Making Phase 2 (SDM2) project: Final report</w:t>
      </w:r>
      <w:r>
        <w:t xml:space="preserve"> (Report, May 2017) 27.</w:t>
      </w:r>
    </w:p>
  </w:endnote>
  <w:endnote w:id="109">
    <w:p w:rsidRPr="00A47183" w:rsidR="00A1106D" w:rsidP="007B2038" w:rsidRDefault="00A1106D" w14:paraId="18272C96" w14:textId="77777777">
      <w:pPr>
        <w:pStyle w:val="EndnoteText"/>
      </w:pPr>
      <w:r>
        <w:rPr>
          <w:rStyle w:val="EndnoteReference"/>
        </w:rPr>
        <w:endnoteRef/>
      </w:r>
      <w:r>
        <w:t xml:space="preserve"> United Nations Ad Hoc Committee on a Comprehensive and Integral Convention on the Rights and Dignity of Persons with Disabilities, </w:t>
      </w:r>
      <w:r>
        <w:rPr>
          <w:i/>
          <w:iCs/>
        </w:rPr>
        <w:t>General Comment on Article 12</w:t>
      </w:r>
      <w:r>
        <w:t xml:space="preserve"> (2009) [7].</w:t>
      </w:r>
    </w:p>
  </w:endnote>
  <w:endnote w:id="110">
    <w:p w:rsidRPr="007D53B6" w:rsidR="00A1106D" w:rsidP="007B2038" w:rsidRDefault="00A1106D" w14:paraId="31E632F6" w14:textId="17807BA4">
      <w:pPr>
        <w:pStyle w:val="EndnoteText"/>
      </w:pPr>
      <w:r>
        <w:rPr>
          <w:rStyle w:val="EndnoteReference"/>
        </w:rPr>
        <w:endnoteRef/>
      </w:r>
      <w:r>
        <w:t xml:space="preserve"> Kanter, above n 5</w:t>
      </w:r>
      <w:r w:rsidR="00770CEB">
        <w:t>1</w:t>
      </w:r>
      <w:r w:rsidRPr="00F264D3">
        <w:t>,</w:t>
      </w:r>
      <w:r>
        <w:t xml:space="preserve"> 236.</w:t>
      </w:r>
    </w:p>
  </w:endnote>
  <w:endnote w:id="111">
    <w:p w:rsidRPr="00BC0C7A" w:rsidR="00A1106D" w:rsidP="007B2038" w:rsidRDefault="00A1106D" w14:paraId="673DD13F" w14:textId="77777777">
      <w:pPr>
        <w:pStyle w:val="EndnoteText"/>
      </w:pPr>
      <w:r>
        <w:rPr>
          <w:rStyle w:val="EndnoteReference"/>
        </w:rPr>
        <w:endnoteRef/>
      </w:r>
      <w:r>
        <w:t xml:space="preserve"> Australian Law Reform Commission, </w:t>
      </w:r>
      <w:r>
        <w:rPr>
          <w:i/>
          <w:iCs/>
        </w:rPr>
        <w:t>Equality, Capacity and Disability in Commonwealth Laws</w:t>
      </w:r>
      <w:r>
        <w:t xml:space="preserve"> (Report No 124, August 2014) 63-86.</w:t>
      </w:r>
    </w:p>
  </w:endnote>
  <w:endnote w:id="112">
    <w:p w:rsidR="00A1106D" w:rsidP="007B2038" w:rsidRDefault="00A1106D" w14:paraId="49913B79" w14:textId="71F7E59B">
      <w:pPr>
        <w:pStyle w:val="EndnoteText"/>
      </w:pPr>
      <w:r>
        <w:rPr>
          <w:rStyle w:val="EndnoteReference"/>
        </w:rPr>
        <w:endnoteRef/>
      </w:r>
      <w:r>
        <w:t xml:space="preserve"> Ibid 64.</w:t>
      </w:r>
    </w:p>
  </w:endnote>
  <w:endnote w:id="113">
    <w:p w:rsidR="00A1106D" w:rsidRDefault="00A1106D" w14:paraId="227A3025" w14:textId="725405EC">
      <w:pPr>
        <w:pStyle w:val="EndnoteText"/>
      </w:pPr>
      <w:r>
        <w:rPr>
          <w:rStyle w:val="EndnoteReference"/>
        </w:rPr>
        <w:endnoteRef/>
      </w:r>
      <w:r>
        <w:t xml:space="preserve"> CRPD Committee, </w:t>
      </w:r>
      <w:r>
        <w:rPr>
          <w:i/>
          <w:iCs/>
        </w:rPr>
        <w:t xml:space="preserve">Concluding Observations, </w:t>
      </w:r>
      <w:r>
        <w:t>above n 6</w:t>
      </w:r>
      <w:r>
        <w:rPr>
          <w:i/>
          <w:iCs/>
        </w:rPr>
        <w:t>,</w:t>
      </w:r>
      <w:r>
        <w:t xml:space="preserve"> [23].</w:t>
      </w:r>
    </w:p>
  </w:endnote>
  <w:endnote w:id="114">
    <w:p w:rsidR="00A1106D" w:rsidRDefault="00A1106D" w14:paraId="030B7C82" w14:textId="658BA293">
      <w:pPr>
        <w:pStyle w:val="EndnoteText"/>
      </w:pPr>
      <w:r>
        <w:rPr>
          <w:rStyle w:val="EndnoteReference"/>
        </w:rPr>
        <w:endnoteRef/>
      </w:r>
      <w:r>
        <w:t xml:space="preserve"> Ibid [24(b)].</w:t>
      </w:r>
    </w:p>
  </w:endnote>
  <w:endnote w:id="115">
    <w:p w:rsidR="00A1106D" w:rsidP="003771A8" w:rsidRDefault="00A1106D" w14:paraId="7F14C2F7" w14:textId="3A04C98B">
      <w:pPr>
        <w:pStyle w:val="EndnoteText"/>
      </w:pPr>
      <w:r>
        <w:rPr>
          <w:rStyle w:val="EndnoteReference"/>
        </w:rPr>
        <w:endnoteRef/>
      </w:r>
      <w:r>
        <w:t xml:space="preserve"> Ibid [25(e)].</w:t>
      </w:r>
    </w:p>
  </w:endnote>
  <w:endnote w:id="116">
    <w:p w:rsidR="00A1106D" w:rsidP="003771A8" w:rsidRDefault="00A1106D" w14:paraId="5A887EFB" w14:textId="797D25C7">
      <w:pPr>
        <w:pStyle w:val="EndnoteText"/>
      </w:pPr>
      <w:r>
        <w:rPr>
          <w:rStyle w:val="EndnoteReference"/>
        </w:rPr>
        <w:endnoteRef/>
      </w:r>
      <w:r>
        <w:t xml:space="preserve"> Ibid [26(e)].</w:t>
      </w:r>
    </w:p>
  </w:endnote>
  <w:endnote w:id="117">
    <w:p w:rsidR="00A1106D" w:rsidRDefault="00A1106D" w14:paraId="34963BE1" w14:textId="19E864C3">
      <w:pPr>
        <w:pStyle w:val="EndnoteText"/>
      </w:pPr>
      <w:r>
        <w:rPr>
          <w:rStyle w:val="EndnoteReference"/>
        </w:rPr>
        <w:endnoteRef/>
      </w:r>
      <w:r>
        <w:t xml:space="preserve"> </w:t>
      </w:r>
      <w:r>
        <w:rPr>
          <w:rFonts w:cs="Open Sans"/>
        </w:rPr>
        <w:t>Issues Paper, above n 2, Question 3A.</w:t>
      </w:r>
    </w:p>
  </w:endnote>
  <w:endnote w:id="118">
    <w:p w:rsidR="00A1106D" w:rsidRDefault="00A1106D" w14:paraId="7566CC34" w14:textId="17DBA12E">
      <w:pPr>
        <w:pStyle w:val="EndnoteText"/>
      </w:pPr>
      <w:r>
        <w:rPr>
          <w:rStyle w:val="EndnoteReference"/>
        </w:rPr>
        <w:endnoteRef/>
      </w:r>
      <w:r>
        <w:t xml:space="preserve"> Ibid</w:t>
      </w:r>
      <w:r>
        <w:rPr>
          <w:rFonts w:cs="Open Sans"/>
        </w:rPr>
        <w:t xml:space="preserve"> Question 7A.</w:t>
      </w:r>
    </w:p>
  </w:endnote>
  <w:endnote w:id="119">
    <w:p w:rsidR="00A1106D" w:rsidRDefault="00A1106D" w14:paraId="0DF667E2" w14:textId="56B0C589">
      <w:pPr>
        <w:pStyle w:val="EndnoteText"/>
      </w:pPr>
      <w:r>
        <w:rPr>
          <w:rStyle w:val="EndnoteReference"/>
        </w:rPr>
        <w:endnoteRef/>
      </w:r>
      <w:r>
        <w:t xml:space="preserve"> </w:t>
      </w:r>
      <w:r>
        <w:rPr>
          <w:rFonts w:cs="Open Sans"/>
        </w:rPr>
        <w:t>Ibid Questions 2A and 3A.</w:t>
      </w:r>
    </w:p>
  </w:endnote>
  <w:endnote w:id="120">
    <w:p w:rsidRPr="007104B3" w:rsidR="00A1106D" w:rsidP="00690C4D" w:rsidRDefault="00A1106D" w14:paraId="02571564" w14:textId="3713EE0A">
      <w:pPr>
        <w:pStyle w:val="EndnoteText"/>
        <w:rPr>
          <w:rFonts w:cs="Open Sans" w:eastAsiaTheme="minorHAnsi"/>
          <w:highlight w:val="yellow"/>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{"citationID":"gyldxY5O","properties":{"formattedCitation":"Australian Human Rights Commission, \\uc0\\u8216{}Information for List of Issues Prior to Reporting - Australia\\uc0\\u8217{} (June 2017) [33]-[34] &lt;https://tbinternet.ohchr.org/_layouts/15/treatybodyexternal/SessionDetails1.aspx?SessionID=1342&amp;Lang=en&gt;; Australian Human Rights Commission, \\uc0\\u8216{}Information Relating to Australia\\uc0\\u8217{}s Joint Fifth and Sixth Report under the Convention on the Rights of the Child, Second Report on the Optional Protocol on the Sale of Children, Child Prostitution and Child Pornography, and Second Report on the Optional Protocol on the Involvement of Children in Armed Conflict\\uc0\\u8217{} (1 November 2018) [354] &lt;https://www.humanrights.gov.au/our-work/childrens-rights/publications/report-un-committee-rights-child-2018&gt;.","plainCitation":"Australian Human Rights Commission, ‘Information for List of Issues Prior to Reporting - Australia’ (June 2017) [33]-[34] &lt;https://tbinternet.ohchr.org/_layouts/15/treatybodyexternal/SessionDetails1.aspx?SessionID=1342&amp;Lang=en&gt;; Australian Human Rights Commission, ‘Information Relating to 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(1 November 2018) [354] &lt;https://www.humanrights.gov.au/our-work/childrens-rights/publications/report-un-committee-rights-child-2018&gt;.","noteIndex":55},"citationItems":[{"id":4338,"uris":["http://zotero.org/groups/1703699/items/9LMULZJ4"],"uri":["http://zotero.org/groups/1703699/items/9LMULZJ4"],"itemData":{"id":4338,"type":"report","title":"Information for List of Issues Prior to Reporting - Australia","URL":"https://tbinternet.ohchr.org/_layouts/15/treatybodyexternal/SessionDetails1.aspx?SessionID=1342&amp;Lang=en","author":[{"family":"Australian Human Rights Commission","given":""}],"issued":{"date-parts":[["2017",6]]}},"locator":"[33]-[34]"},{"id":4074,"uris":["http://zotero.org/groups/1703699/items/5MRWY4GC"],"uri":["http://zotero.org/groups/1703699/items/5MRWY4GC"],"itemData":{"id":4074,"type":"report","title":"Information relating to 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conflict","URL":"https://www.humanrights.gov.au/our-work/childrens-rights/publications/report-un-committee-rights-child-2018","author":[{"family":"Australian Human Rights Commission","given":""}],"issued":{"date-parts":[["2018",11,1]]}},"locator":"[354]"}],"schema":"https://github.com/citation-style-language/schema/raw/master/csl-citation.json"} </w:instrText>
      </w:r>
      <w:r w:rsidRPr="007104B3">
        <w:rPr>
          <w:rFonts w:cs="Open Sans"/>
        </w:rPr>
        <w:fldChar w:fldCharType="separate"/>
      </w:r>
      <w:r w:rsidRPr="007104B3">
        <w:rPr>
          <w:rFonts w:cs="Open Sans"/>
        </w:rPr>
        <w:t>Australian Human Rights Commission, ‘Information for List of Issues Prior to Reporting - Australia’ (June 2017) [33]-[34] &lt;https://tbinternet.ohchr.org/_layouts/15/treatybodyexternal/SessionDetails1.aspx?SessionID=1342&amp;Lang=en&gt;; Australian Human Rights Commission, ‘Information Relating to 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(1 November 2018) [354] &lt;https://www.humanrights.gov.au/our-work/childrens-rights/publications/report-un-committee-rights-child-2018&gt;</w:t>
      </w:r>
      <w:r w:rsidR="00132A4E">
        <w:rPr>
          <w:rFonts w:cs="Open Sans"/>
        </w:rPr>
        <w:t>;</w:t>
      </w:r>
      <w:r w:rsidRPr="007104B3">
        <w:rPr>
          <w:rFonts w:cs="Open Sans"/>
        </w:rPr>
        <w:fldChar w:fldCharType="end"/>
      </w:r>
      <w:r w:rsidRPr="007104B3">
        <w:rPr>
          <w:rFonts w:cs="Open Sans"/>
        </w:rPr>
        <w:t xml:space="preserve"> </w:t>
      </w:r>
      <w:r w:rsidRPr="007104B3">
        <w:rPr>
          <w:rFonts w:cs="Open Sans"/>
        </w:rPr>
        <w:fldChar w:fldCharType="begin"/>
      </w:r>
      <w:r>
        <w:rPr>
          <w:rFonts w:cs="Open Sans"/>
        </w:rPr>
        <w:instrText xml:space="preserve"> ADDIN ZOTERO_ITEM CSL_CITATION {"citationID":"9mvFL3N5","properties":{"formattedCitation":"Australian Law Reform Commission, \\uc0\\u8216{}Incarceration Rates of Aboriginal and Torres Strait Islander Peoples (Discussion Paper 84)\\uc0\\u8217{} (July 2017) &lt;https://www.alrc.gov.au/publications/indefinite-detention-when-unfit-stand-trial#_ftn86&gt;; Piers Gooding et al, \\uc0\\u8216{}Unfitness to Stand Trial and the Indefinite Detention of Persons with Cognitive Disabilities in Australia: Human Rights Challenges and Proposals for Change\\uc0\\u8217{} 40 {\\i{}Melbourne University Law Review} 816.","plainCitation":"Australian Law Reform Commission, ‘Incarceration Rates of Aboriginal and Torres Strait Islander Peoples (Discussion Paper 84)’ (July 2017) &lt;https://www.alrc.gov.au/publications/indefinite-detention-when-unfit-stand-trial#_ftn86&gt;; Piers Gooding et al, ‘Unfitness to Stand Trial and the Indefinite Detention of Persons with Cognitive Disabilities in Australia: Human Rights Challenges and Proposals for Change’ 40 Melbourne University Law Review 816.","noteIndex":55},"citationItems":[{"id":1941,"uris":["http://zotero.org/groups/1703699/items/ZWZIW5YW"],"uri":["http://zotero.org/groups/1703699/items/ZWZIW5YW"],"itemData":{"id":1941,"type":"report","title":"Incarceration Rates of Aboriginal and Torres Strait Islander Peoples (Discussion Paper 84)","URL":"https://www.alrc.gov.au/publications/indefinite-detention-when-unfit-stand-trial#_ftn86","author":[{"literal":"Australian Law Reform Commission"}],"issued":{"date-parts":[["2017",7]]}}},{"id":4342,"uris":["http://zotero.org/groups/1703699/items/HGCY6487"],"uri":["http://zotero.org/groups/1703699/items/HGCY6487"],"itemData":{"id":4342,"type":"article-journal","title":"Unfitness to Stand Trial and the Indefinite Detention of Persons with Cognitive Disabilities in Australia: Human Rights Challenges and Proposals for Change","container-title":"Melbourne University Law Review","page":"816-865","volume":"40","author":[{"family":"Gooding","given":"Piers"},{"family":"McSherry","given":"Bernadette"},{"family":"Arstein-Kerslake","given":"Anna"},{"family":"Andrews","given":"Louise"}]}}],"schema":"https://github.com/citation-style-language/schema/raw/master/csl-citation.json"} </w:instrText>
      </w:r>
      <w:r w:rsidRPr="007104B3">
        <w:rPr>
          <w:rFonts w:cs="Open Sans"/>
        </w:rPr>
        <w:fldChar w:fldCharType="separate"/>
      </w:r>
      <w:r w:rsidRPr="007104B3">
        <w:rPr>
          <w:rFonts w:cs="Open Sans"/>
        </w:rPr>
        <w:t xml:space="preserve">Australian Law Reform Commission, ‘Incarceration Rates of Aboriginal and Torres Strait Islander Peoples (Discussion Paper 84)’ (July 2017) &lt;https://www.alrc.gov.au/publications/indefinite-detention-when-unfit-stand-trial#_ftn86&gt;; Piers Gooding et al, ‘Unfitness to Stand Trial and the Indefinite Detention of Persons with Cognitive Disabilities in Australia: Human Rights Challenges and Proposals for Change’ 40 </w:t>
      </w:r>
      <w:r w:rsidRPr="007104B3">
        <w:rPr>
          <w:rFonts w:cs="Open Sans"/>
          <w:i/>
          <w:iCs/>
        </w:rPr>
        <w:t>Melbourne University Law Review</w:t>
      </w:r>
      <w:r w:rsidRPr="007104B3">
        <w:rPr>
          <w:rFonts w:cs="Open Sans"/>
        </w:rPr>
        <w:t xml:space="preserve"> 816.</w:t>
      </w:r>
      <w:r w:rsidRPr="007104B3">
        <w:rPr>
          <w:rFonts w:cs="Open Sans"/>
        </w:rPr>
        <w:fldChar w:fldCharType="end"/>
      </w:r>
      <w:r w:rsidRPr="007104B3">
        <w:rPr>
          <w:rFonts w:cs="Open Sans"/>
        </w:rPr>
        <w:t xml:space="preserve"> </w:t>
      </w:r>
    </w:p>
  </w:endnote>
  <w:endnote w:id="121">
    <w:p w:rsidRPr="007104B3" w:rsidR="00A1106D" w:rsidP="00690C4D" w:rsidRDefault="00A1106D" w14:paraId="61DC5A78" w14:textId="77777777">
      <w:pPr>
        <w:pStyle w:val="EndnoteText"/>
        <w:rPr>
          <w:rFonts w:cs="Open Sans"/>
        </w:rPr>
      </w:pPr>
      <w:r w:rsidRPr="007104B3">
        <w:rPr>
          <w:rStyle w:val="EndnoteReference"/>
          <w:rFonts w:cs="Open Sans"/>
        </w:rPr>
        <w:endnoteRef/>
      </w:r>
      <w:r w:rsidRPr="007104B3">
        <w:rPr>
          <w:rFonts w:cs="Open Sans"/>
        </w:rPr>
        <w:t xml:space="preserve"> </w:t>
      </w:r>
      <w:r w:rsidRPr="007104B3">
        <w:rPr>
          <w:rFonts w:cs="Open Sans"/>
          <w:i/>
          <w:iCs/>
        </w:rPr>
        <w:t xml:space="preserve">Criminal Law (Mentally Impaired Accused) Act 1996 </w:t>
      </w:r>
      <w:r w:rsidRPr="007104B3">
        <w:rPr>
          <w:rFonts w:cs="Open Sans"/>
        </w:rPr>
        <w:t xml:space="preserve">(WA) s 19; </w:t>
      </w:r>
      <w:r w:rsidRPr="007104B3">
        <w:rPr>
          <w:rFonts w:cs="Open Sans"/>
        </w:rPr>
        <w:fldChar w:fldCharType="begin"/>
      </w:r>
      <w:r>
        <w:rPr>
          <w:rFonts w:cs="Open Sans"/>
        </w:rPr>
        <w:instrText xml:space="preserve"> ADDIN ZOTERO_ITEM CSL_CITATION {"citationID":"MPgTYvbC","properties":{"formattedCitation":"Australian Institute of Criminology, {\\i{}Diversionary Pathways for Aboriginal Youth with Fetal Alcohol Spectrum Disorder} (28 August 2018) Australian Institute of Criminology 5 &lt;https://aic.gov.au/publications/tandi/tandi557&gt;.","plainCitation":"Australian Institute of Criminology, Diversionary Pathways for Aboriginal Youth with Fetal Alcohol Spectrum Disorder (28 August 2018) Australian Institute of Criminology 5 &lt;https://aic.gov.au/publications/tandi/tandi557&gt;.","noteIndex":56},"citationItems":[{"id":4339,"uris":["http://zotero.org/groups/1703699/items/DH9DIBMF"],"uri":["http://zotero.org/groups/1703699/items/DH9DIBMF"],"itemData":{"id":4339,"type":"webpage","title":"Diversionary pathways for Aboriginal youth with fetal alcohol spectrum disorder","container-title":"Australian Institute of Criminology","genre":"Text","URL":"https://aic.gov.au/publications/tandi/tandi557","language":"en","author":[{"family":"Australian Institute of Criminology","given":""}],"issued":{"date-parts":[["2018",8,28]]},"accessed":{"date-parts":[["2019",7,8]]}},"locator":"5"}],"schema":"https://github.com/citation-style-language/schema/raw/master/csl-citation.json"} </w:instrText>
      </w:r>
      <w:r w:rsidRPr="007104B3">
        <w:rPr>
          <w:rFonts w:cs="Open Sans"/>
        </w:rPr>
        <w:fldChar w:fldCharType="separate"/>
      </w:r>
      <w:r w:rsidRPr="007104B3">
        <w:rPr>
          <w:rFonts w:cs="Open Sans"/>
        </w:rPr>
        <w:t xml:space="preserve">Australian Institute of Criminology, </w:t>
      </w:r>
      <w:r w:rsidRPr="007104B3">
        <w:rPr>
          <w:rFonts w:cs="Open Sans"/>
          <w:i/>
          <w:iCs/>
        </w:rPr>
        <w:t>Diversionary Pathways for Aboriginal Youth with Fetal Alcohol Spectrum Disorder</w:t>
      </w:r>
      <w:r w:rsidRPr="007104B3">
        <w:rPr>
          <w:rFonts w:cs="Open Sans"/>
        </w:rPr>
        <w:t xml:space="preserve"> (28 August 2018) Australian Institute of Criminology 5 &lt;https://aic.gov.au/publications/tandi/tandi557&gt;.</w:t>
      </w:r>
      <w:r w:rsidRPr="007104B3">
        <w:rPr>
          <w:rFonts w:cs="Open Sans"/>
        </w:rPr>
        <w:fldChar w:fldCharType="end"/>
      </w:r>
    </w:p>
  </w:endnote>
  <w:endnote w:id="122">
    <w:p w:rsidRPr="000F79F0" w:rsidR="00A1106D" w:rsidP="00690C4D" w:rsidRDefault="00A1106D" w14:paraId="5D878FD3" w14:textId="129FB699">
      <w:pPr>
        <w:pStyle w:val="EndnoteText"/>
        <w:rPr>
          <w:rFonts w:cs="Open Sans"/>
        </w:rPr>
      </w:pPr>
      <w:r w:rsidRPr="007104B3">
        <w:rPr>
          <w:rStyle w:val="EndnoteReference"/>
          <w:rFonts w:cs="Open Sans"/>
        </w:rPr>
        <w:endnoteRef/>
      </w:r>
      <w:r w:rsidRPr="007104B3">
        <w:rPr>
          <w:rFonts w:cs="Open Sans"/>
        </w:rPr>
        <w:t xml:space="preserve"> </w:t>
      </w:r>
      <w:r w:rsidRPr="00016861">
        <w:rPr>
          <w:rFonts w:cs="Open Sans"/>
        </w:rPr>
        <w:t xml:space="preserve">Gooding et al, </w:t>
      </w:r>
      <w:r>
        <w:rPr>
          <w:rFonts w:cs="Open Sans"/>
        </w:rPr>
        <w:t>above n 11</w:t>
      </w:r>
      <w:r w:rsidR="00005000">
        <w:rPr>
          <w:rFonts w:cs="Open Sans"/>
        </w:rPr>
        <w:t>9</w:t>
      </w:r>
      <w:r w:rsidRPr="00016861">
        <w:rPr>
          <w:rFonts w:cs="Open Sans"/>
        </w:rPr>
        <w:t>.</w:t>
      </w:r>
      <w:r w:rsidRPr="007D3F5D">
        <w:rPr>
          <w:rFonts w:cs="Open Sans"/>
          <w:highlight w:val="yellow"/>
        </w:rPr>
        <w:t xml:space="preserve"> </w:t>
      </w:r>
    </w:p>
  </w:endnote>
  <w:endnote w:id="123">
    <w:p w:rsidRPr="00074C33" w:rsidR="00A1106D" w:rsidRDefault="00A1106D" w14:paraId="6C99C36C" w14:textId="7325CDA4">
      <w:pPr>
        <w:pStyle w:val="EndnoteText"/>
      </w:pPr>
      <w:r>
        <w:rPr>
          <w:rStyle w:val="EndnoteReference"/>
        </w:rPr>
        <w:endnoteRef/>
      </w:r>
      <w:r>
        <w:t xml:space="preserve"> </w:t>
      </w:r>
      <w:r>
        <w:rPr>
          <w:i/>
          <w:iCs/>
          <w:lang w:val="en-US" w:eastAsia="en-US"/>
        </w:rPr>
        <w:t xml:space="preserve">Crimes Act 1914 </w:t>
      </w:r>
      <w:r>
        <w:rPr>
          <w:lang w:val="en-US" w:eastAsia="en-US"/>
        </w:rPr>
        <w:t>(Cth) ss 20B, 20BC;</w:t>
      </w:r>
      <w:r w:rsidRPr="00AA09B2">
        <w:rPr>
          <w:i/>
          <w:iCs/>
          <w:lang w:val="en-US" w:eastAsia="en-US"/>
        </w:rPr>
        <w:t xml:space="preserve"> </w:t>
      </w:r>
      <w:r>
        <w:rPr>
          <w:i/>
          <w:iCs/>
          <w:lang w:val="en-US" w:eastAsia="en-US"/>
        </w:rPr>
        <w:t xml:space="preserve">Crimes Act 1900 </w:t>
      </w:r>
      <w:r>
        <w:rPr>
          <w:lang w:val="en-US" w:eastAsia="en-US"/>
        </w:rPr>
        <w:t xml:space="preserve">(ACT) ss 311, 315C, 316, 318-319; </w:t>
      </w:r>
      <w:r>
        <w:rPr>
          <w:i/>
          <w:iCs/>
          <w:lang w:val="en-US" w:eastAsia="en-US"/>
        </w:rPr>
        <w:t xml:space="preserve">Mental Health Act 2015 </w:t>
      </w:r>
      <w:r>
        <w:rPr>
          <w:lang w:val="en-US" w:eastAsia="en-US"/>
        </w:rPr>
        <w:t xml:space="preserve">(ACT) s 117; </w:t>
      </w:r>
      <w:r>
        <w:rPr>
          <w:i/>
          <w:iCs/>
          <w:lang w:val="en-US" w:eastAsia="en-US"/>
        </w:rPr>
        <w:t xml:space="preserve">Mental Health (Forensic Provisions) Act 1990 </w:t>
      </w:r>
      <w:r>
        <w:rPr>
          <w:lang w:val="en-US" w:eastAsia="en-US"/>
        </w:rPr>
        <w:t xml:space="preserve">(NSW) ss 14, 16, 19-24, 27; </w:t>
      </w:r>
      <w:r>
        <w:rPr>
          <w:i/>
          <w:iCs/>
          <w:lang w:val="en-US" w:eastAsia="en-US"/>
        </w:rPr>
        <w:t xml:space="preserve">Criminal Code Act 1983 </w:t>
      </w:r>
      <w:r>
        <w:rPr>
          <w:lang w:val="en-US" w:eastAsia="en-US"/>
        </w:rPr>
        <w:t xml:space="preserve">(NT) ss 43J, 43R, 43X, div 4; </w:t>
      </w:r>
      <w:r>
        <w:rPr>
          <w:i/>
          <w:iCs/>
          <w:lang w:val="en-US" w:eastAsia="en-US"/>
        </w:rPr>
        <w:t xml:space="preserve">Mental Health Act 2016 </w:t>
      </w:r>
      <w:r>
        <w:rPr>
          <w:lang w:val="en-US" w:eastAsia="en-US"/>
        </w:rPr>
        <w:t xml:space="preserve">(Qld) ss 118, 122, pt 4 divs 2-3; </w:t>
      </w:r>
      <w:r>
        <w:rPr>
          <w:i/>
          <w:iCs/>
          <w:lang w:val="en-US" w:eastAsia="en-US"/>
        </w:rPr>
        <w:t xml:space="preserve">Criminal Law Consolidation Act 1935 </w:t>
      </w:r>
      <w:r>
        <w:rPr>
          <w:lang w:val="en-US" w:eastAsia="en-US"/>
        </w:rPr>
        <w:t xml:space="preserve">(SA) ss 269H, 269M, 269O; </w:t>
      </w:r>
      <w:r>
        <w:rPr>
          <w:i/>
          <w:iCs/>
          <w:lang w:val="en-US" w:eastAsia="en-US"/>
        </w:rPr>
        <w:t xml:space="preserve">Criminal Justice (Mental Impairment) Act 1999 </w:t>
      </w:r>
      <w:r>
        <w:rPr>
          <w:lang w:val="en-US" w:eastAsia="en-US"/>
        </w:rPr>
        <w:t xml:space="preserve">(Tas) ss 14-18; </w:t>
      </w:r>
      <w:r>
        <w:rPr>
          <w:i/>
          <w:iCs/>
          <w:lang w:val="en-US" w:eastAsia="en-US"/>
        </w:rPr>
        <w:t xml:space="preserve">Crimes (Mental Impairment and Unfitness to be Tried) Act 1997 </w:t>
      </w:r>
      <w:r>
        <w:rPr>
          <w:lang w:val="en-US" w:eastAsia="en-US"/>
        </w:rPr>
        <w:t xml:space="preserve">(Vic) ss 6, 18, pts 3, 5; </w:t>
      </w:r>
      <w:r>
        <w:rPr>
          <w:i/>
          <w:iCs/>
          <w:lang w:val="en-US" w:eastAsia="en-US"/>
        </w:rPr>
        <w:t xml:space="preserve">Criminal Law (Mentally Impaired Accused) Act 1996 </w:t>
      </w:r>
      <w:r>
        <w:rPr>
          <w:lang w:val="en-US" w:eastAsia="en-US"/>
        </w:rPr>
        <w:t xml:space="preserve">(WA) ss 12, 19. See also </w:t>
      </w:r>
      <w:r>
        <w:t xml:space="preserve">Bernadette McSherry et al, </w:t>
      </w:r>
      <w:r w:rsidR="000D31E7">
        <w:t>above n 39,</w:t>
      </w:r>
      <w:r>
        <w:t xml:space="preserve"> 19-21.</w:t>
      </w:r>
    </w:p>
  </w:endnote>
  <w:endnote w:id="124">
    <w:p w:rsidRPr="00F15C2D" w:rsidR="00A1106D" w:rsidP="00D86828" w:rsidRDefault="00A1106D" w14:paraId="70F91210" w14:textId="523B8796">
      <w:pPr>
        <w:pStyle w:val="EndnoteText"/>
      </w:pPr>
      <w:r>
        <w:rPr>
          <w:rStyle w:val="EndnoteReference"/>
        </w:rPr>
        <w:endnoteRef/>
      </w:r>
      <w:r>
        <w:t xml:space="preserve"> CRPD Committee, </w:t>
      </w:r>
      <w:r>
        <w:rPr>
          <w:i/>
          <w:iCs/>
        </w:rPr>
        <w:t xml:space="preserve">Concluding Observations, </w:t>
      </w:r>
      <w:r>
        <w:t>above n 6</w:t>
      </w:r>
      <w:r>
        <w:rPr>
          <w:i/>
          <w:iCs/>
        </w:rPr>
        <w:t>,</w:t>
      </w:r>
      <w:r>
        <w:t xml:space="preserve"> [26(b)].</w:t>
      </w:r>
    </w:p>
  </w:endnote>
  <w:endnote w:id="125">
    <w:p w:rsidR="00A1106D" w:rsidRDefault="00A1106D" w14:paraId="2A81E62A" w14:textId="0C4F10FB">
      <w:pPr>
        <w:pStyle w:val="EndnoteText"/>
      </w:pPr>
      <w:r>
        <w:rPr>
          <w:rStyle w:val="EndnoteReference"/>
        </w:rPr>
        <w:endnoteRef/>
      </w:r>
      <w:r>
        <w:t xml:space="preserve"> </w:t>
      </w:r>
      <w:r w:rsidRPr="004E27A8">
        <w:rPr>
          <w:rFonts w:cs="Open Sans"/>
        </w:rPr>
        <w:t>Australian Law Reform Commission,</w:t>
      </w:r>
      <w:r>
        <w:rPr>
          <w:rFonts w:cs="Open Sans"/>
        </w:rPr>
        <w:t xml:space="preserve"> above n 1</w:t>
      </w:r>
      <w:r w:rsidR="00005000">
        <w:rPr>
          <w:rFonts w:cs="Open Sans"/>
        </w:rPr>
        <w:t>10</w:t>
      </w:r>
      <w:r>
        <w:rPr>
          <w:rFonts w:cs="Open Sans"/>
          <w:i/>
          <w:iCs/>
        </w:rPr>
        <w:t>,</w:t>
      </w:r>
      <w:r w:rsidRPr="004E27A8">
        <w:rPr>
          <w:rFonts w:cs="Open Sans"/>
        </w:rPr>
        <w:t xml:space="preserve"> </w:t>
      </w:r>
      <w:r>
        <w:rPr>
          <w:rFonts w:cs="Open Sans"/>
        </w:rPr>
        <w:t>206-210.</w:t>
      </w:r>
    </w:p>
  </w:endnote>
  <w:endnote w:id="126">
    <w:p w:rsidR="00A1106D" w:rsidP="00A45B88" w:rsidRDefault="00A1106D" w14:paraId="4D259BB4" w14:textId="7716AEC5">
      <w:pPr>
        <w:pStyle w:val="EndnoteText"/>
      </w:pPr>
      <w:r>
        <w:rPr>
          <w:rStyle w:val="EndnoteReference"/>
        </w:rPr>
        <w:endnoteRef/>
      </w:r>
      <w:r>
        <w:t xml:space="preserve"> Ibid</w:t>
      </w:r>
      <w:r w:rsidRPr="004E27A8">
        <w:rPr>
          <w:rFonts w:cs="Open Sans"/>
        </w:rPr>
        <w:t xml:space="preserve"> </w:t>
      </w:r>
      <w:r>
        <w:rPr>
          <w:rFonts w:cs="Open Sans"/>
        </w:rPr>
        <w:t>210.</w:t>
      </w:r>
    </w:p>
  </w:endnote>
  <w:endnote w:id="127">
    <w:p w:rsidR="00A1106D" w:rsidP="00A45B88" w:rsidRDefault="00A1106D" w14:paraId="768EBFC6" w14:textId="77777777">
      <w:pPr>
        <w:pStyle w:val="EndnoteText"/>
      </w:pPr>
      <w:r>
        <w:rPr>
          <w:rStyle w:val="EndnoteReference"/>
        </w:rPr>
        <w:endnoteRef/>
      </w:r>
      <w:r>
        <w:t xml:space="preserve"> </w:t>
      </w:r>
      <w:r>
        <w:rPr>
          <w:i/>
          <w:iCs/>
        </w:rPr>
        <w:t xml:space="preserve">Crimes Act 1900 </w:t>
      </w:r>
      <w:r>
        <w:t>(ACT) s 301.</w:t>
      </w:r>
    </w:p>
  </w:endnote>
  <w:endnote w:id="128">
    <w:p w:rsidR="00A1106D" w:rsidP="00A45B88" w:rsidRDefault="00A1106D" w14:paraId="5D600B4F" w14:textId="77777777">
      <w:pPr>
        <w:pStyle w:val="EndnoteText"/>
      </w:pPr>
      <w:r>
        <w:rPr>
          <w:rStyle w:val="EndnoteReference"/>
        </w:rPr>
        <w:endnoteRef/>
      </w:r>
      <w:r>
        <w:t xml:space="preserve"> </w:t>
      </w:r>
      <w:r>
        <w:rPr>
          <w:i/>
          <w:iCs/>
        </w:rPr>
        <w:t xml:space="preserve">Mental Health (Forensic Provisions) Act 1990 </w:t>
      </w:r>
      <w:r>
        <w:t>(NSW) s 23(1)(b).</w:t>
      </w:r>
    </w:p>
  </w:endnote>
  <w:endnote w:id="129">
    <w:p w:rsidR="00A1106D" w:rsidP="00A45B88" w:rsidRDefault="00A1106D" w14:paraId="489EC39E" w14:textId="77777777">
      <w:pPr>
        <w:pStyle w:val="EndnoteText"/>
      </w:pPr>
      <w:r>
        <w:rPr>
          <w:rStyle w:val="EndnoteReference"/>
        </w:rPr>
        <w:endnoteRef/>
      </w:r>
      <w:r>
        <w:t xml:space="preserve"> </w:t>
      </w:r>
      <w:r>
        <w:rPr>
          <w:i/>
          <w:iCs/>
        </w:rPr>
        <w:t xml:space="preserve">Criminal Law Consolidation Act 1935 </w:t>
      </w:r>
      <w:r>
        <w:t>(SA) s 269O(2).</w:t>
      </w:r>
    </w:p>
  </w:endnote>
  <w:endnote w:id="130">
    <w:p w:rsidRPr="00197076" w:rsidR="00A1106D" w:rsidP="00A45B88" w:rsidRDefault="00A1106D" w14:paraId="0DC37026" w14:textId="77777777">
      <w:pPr>
        <w:pStyle w:val="EndnoteText"/>
      </w:pPr>
      <w:r>
        <w:rPr>
          <w:rStyle w:val="EndnoteReference"/>
        </w:rPr>
        <w:endnoteRef/>
      </w:r>
      <w:r>
        <w:t xml:space="preserve"> </w:t>
      </w:r>
      <w:r>
        <w:rPr>
          <w:i/>
          <w:iCs/>
        </w:rPr>
        <w:t xml:space="preserve">Crimes Act 1900 </w:t>
      </w:r>
      <w:r>
        <w:t xml:space="preserve">(ACT) s 301, </w:t>
      </w:r>
      <w:r>
        <w:rPr>
          <w:i/>
          <w:iCs/>
        </w:rPr>
        <w:t xml:space="preserve">Mental Health (Forensic Provisions) Act 1990 </w:t>
      </w:r>
      <w:r>
        <w:t xml:space="preserve">(NSW) s 23(1)(b), </w:t>
      </w:r>
      <w:r>
        <w:rPr>
          <w:i/>
          <w:iCs/>
        </w:rPr>
        <w:t xml:space="preserve">Criminal Law Consolidation Act 1935 </w:t>
      </w:r>
      <w:r>
        <w:t xml:space="preserve">(SA) s 269O(2). </w:t>
      </w:r>
    </w:p>
  </w:endnote>
  <w:endnote w:id="131">
    <w:p w:rsidRPr="00197076" w:rsidR="00A1106D" w:rsidP="00A45B88" w:rsidRDefault="00A1106D" w14:paraId="1DB21CED" w14:textId="77777777">
      <w:pPr>
        <w:pStyle w:val="EndnoteText"/>
      </w:pPr>
      <w:r>
        <w:rPr>
          <w:rStyle w:val="EndnoteReference"/>
        </w:rPr>
        <w:endnoteRef/>
      </w:r>
      <w:r>
        <w:t xml:space="preserve"> The period of detention must not exceed the maximum period of imprisonment that could have been imposed if the person had been convicted of the offence charged. See; </w:t>
      </w:r>
      <w:r>
        <w:rPr>
          <w:i/>
          <w:iCs/>
        </w:rPr>
        <w:t xml:space="preserve">Crimes Act 1914 </w:t>
      </w:r>
      <w:r>
        <w:t>(Cth) s 20BC(2)(b).</w:t>
      </w:r>
    </w:p>
  </w:endnote>
  <w:endnote w:id="132">
    <w:p w:rsidR="00A1106D" w:rsidRDefault="00A1106D" w14:paraId="152EF992" w14:textId="27F1926E">
      <w:pPr>
        <w:pStyle w:val="EndnoteText"/>
      </w:pPr>
      <w:r>
        <w:rPr>
          <w:rStyle w:val="EndnoteReference"/>
        </w:rPr>
        <w:endnoteRef/>
      </w:r>
      <w:r>
        <w:t xml:space="preserve"> </w:t>
      </w:r>
      <w:r>
        <w:rPr>
          <w:rFonts w:cs="Open Sans"/>
        </w:rPr>
        <w:t>Issues Paper, above n 2</w:t>
      </w:r>
      <w:r w:rsidRPr="00155999">
        <w:t>, Question 3A.</w:t>
      </w:r>
    </w:p>
  </w:endnote>
  <w:endnote w:id="133">
    <w:p w:rsidRPr="007104B3" w:rsidR="00A1106D" w:rsidP="00690C4D" w:rsidRDefault="00A1106D" w14:paraId="34A58784" w14:textId="2E7DA2EC">
      <w:pPr>
        <w:pStyle w:val="EndnoteText"/>
        <w:rPr>
          <w:rFonts w:cs="Open Sans"/>
        </w:rPr>
      </w:pPr>
      <w:r w:rsidRPr="000F79F0">
        <w:rPr>
          <w:rStyle w:val="EndnoteReference"/>
          <w:rFonts w:cs="Open Sans"/>
        </w:rPr>
        <w:endnoteRef/>
      </w:r>
      <w:r w:rsidRPr="000F79F0">
        <w:rPr>
          <w:rFonts w:cs="Open Sans"/>
        </w:rPr>
        <w:t xml:space="preserve"> </w:t>
      </w:r>
      <w:r w:rsidRPr="000F79F0">
        <w:rPr>
          <w:rFonts w:cs="Open Sans"/>
        </w:rPr>
        <w:fldChar w:fldCharType="begin"/>
      </w:r>
      <w:r w:rsidRPr="000F79F0">
        <w:rPr>
          <w:rFonts w:cs="Open Sans"/>
        </w:rPr>
        <w:instrText xml:space="preserve"> ADDIN ZOTERO_ITEM CSL_CITATION {"citationID":"W2nVlszl","properties":{"formattedCitation":"Australian Institute of Criminology, above n 56, 5.","plainCitation":"Australian Institute of Criminology, above n 56, 5.","noteIndex":58},"citationItems":[{"id":4339,"uris":["http://zotero.org/groups/1703699/items/DH9DIBMF"],"uri":["http://zotero.org/groups/1703699/items/DH9DIBMF"],"itemData":{"id":4339,"type":"webpage","title":"Diversionary pathways for Aboriginal youth with fetal alcohol spectrum disorder","container-title":"Australian Institute of Criminology","genre":"Text","URL":"https://aic.gov.au/publications/tandi/tandi557","language":"en","author":[{"family":"Australian Institute of Criminology","given":""}],"issued":{"date-parts":[["2018",8,28]]},"accessed":{"date-parts":[["2019",7,8]]}},"locator":"5"}],"schema":"https://github.com/citation-style-language/schema/raw/master/csl-citation.json"} </w:instrText>
      </w:r>
      <w:r w:rsidRPr="000F79F0">
        <w:rPr>
          <w:rFonts w:cs="Open Sans"/>
        </w:rPr>
        <w:fldChar w:fldCharType="separate"/>
      </w:r>
      <w:r w:rsidRPr="000F79F0">
        <w:rPr>
          <w:rFonts w:cs="Open Sans"/>
        </w:rPr>
        <w:t xml:space="preserve">Australian Institute of Criminology, </w:t>
      </w:r>
      <w:r w:rsidR="00132A4E">
        <w:rPr>
          <w:rFonts w:cs="Open Sans"/>
        </w:rPr>
        <w:t>above n 120, 5.</w:t>
      </w:r>
      <w:r w:rsidRPr="000F79F0">
        <w:rPr>
          <w:rFonts w:cs="Open Sans"/>
        </w:rPr>
        <w:fldChar w:fldCharType="end"/>
      </w:r>
    </w:p>
  </w:endnote>
  <w:endnote w:id="134">
    <w:p w:rsidRPr="007104B3" w:rsidR="00A1106D" w:rsidP="003D064F" w:rsidRDefault="00A1106D" w14:paraId="3CDFD902" w14:textId="77777777">
      <w:pPr>
        <w:pStyle w:val="EndnoteText"/>
        <w:rPr>
          <w:rFonts w:cs="Open Sans"/>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{"citationID":"LI8Rtkeq","properties":{"formattedCitation":"House of Representatives, Standing Committee on Indigenous Affairs, \\uc0\\u8216{}Alcohol, Hurting People and Harming Communities: Inquiry into the Harmful Use of Alcohol in Aboriginal and Torres Strait Islander Communities\\uc0\\u8217{} (June 2015) &lt;https://www.aph.gov.au/Parliamentary_Business/Committees/House/Indigenous_Affairs/Alcohol/Report&gt;.","plainCitation":"House of Representatives, Standing Committee on Indigenous Affairs, ‘Alcohol, Hurting People and Harming Communities: Inquiry into the Harmful Use of Alcohol in Aboriginal and Torres Strait Islander Communities’ (June 2015) &lt;https://www.aph.gov.au/Parliamentary_Business/Committees/House/Indigenous_Affairs/Alcohol/Report&gt;.","noteIndex":59},"citationItems":[{"id":4343,"uris":["http://zotero.org/groups/1703699/items/H6KU5F4J"],"uri":["http://zotero.org/groups/1703699/items/H6KU5F4J"],"itemData":{"id":4343,"type":"report","title":"Alcohol, hurting people and harming communities: Inquiry into the harmful use of alcohol in Aboriginal and Torres Strait Islander communities","URL":"https://www.aph.gov.au/Parliamentary_Business/Committees/House/Indigenous_Affairs/Alcohol/Report","author":[{"family":"House of Representatives, Standing Committee on Indigenous Affairs","given":""}],"issued":{"date-parts":[["2015",6]]}}}],"schema":"https://github.com/citation-style-language/schema/raw/master/csl-citation.json"} </w:instrText>
      </w:r>
      <w:r w:rsidRPr="007104B3">
        <w:rPr>
          <w:rFonts w:cs="Open Sans"/>
        </w:rPr>
        <w:fldChar w:fldCharType="separate"/>
      </w:r>
      <w:r w:rsidRPr="007104B3">
        <w:rPr>
          <w:rFonts w:cs="Open Sans"/>
        </w:rPr>
        <w:t xml:space="preserve">House of Representatives, Standing Committee on Indigenous Affairs, </w:t>
      </w:r>
      <w:r w:rsidRPr="00F075CD">
        <w:rPr>
          <w:rFonts w:cs="Open Sans"/>
          <w:i/>
          <w:iCs/>
        </w:rPr>
        <w:t>Alcohol, Hurting People and Harming Communities: Inquiry into the Harmful Use of Alcohol in Aboriginal and Torres Strait Islander Communities</w:t>
      </w:r>
      <w:r w:rsidRPr="007104B3">
        <w:rPr>
          <w:rFonts w:cs="Open Sans"/>
        </w:rPr>
        <w:t xml:space="preserve"> (June 2015) &lt;https://www.aph.gov.au/Parliamentary_Business/Committees/House/Indigenous_Affairs/Alcohol/Report&gt;.</w:t>
      </w:r>
      <w:r w:rsidRPr="007104B3">
        <w:rPr>
          <w:rFonts w:cs="Open Sans"/>
        </w:rPr>
        <w:fldChar w:fldCharType="end"/>
      </w:r>
    </w:p>
  </w:endnote>
  <w:endnote w:id="135">
    <w:p w:rsidR="00A1106D" w:rsidRDefault="00A1106D" w14:paraId="346D170A" w14:textId="2C0085C0">
      <w:pPr>
        <w:pStyle w:val="EndnoteText"/>
      </w:pPr>
      <w:r>
        <w:rPr>
          <w:rStyle w:val="EndnoteReference"/>
        </w:rPr>
        <w:endnoteRef/>
      </w:r>
      <w:r>
        <w:t xml:space="preserve"> </w:t>
      </w:r>
      <w:r w:rsidRPr="00A047B9">
        <w:t xml:space="preserve">Chris Cunneen et al, ‘Juvenile Justice, Young People and Human Rights in Australia’, </w:t>
      </w:r>
      <w:r w:rsidRPr="00EA684A">
        <w:rPr>
          <w:i/>
          <w:iCs/>
        </w:rPr>
        <w:t>Current Issues in Criminal Justice</w:t>
      </w:r>
      <w:r w:rsidRPr="00A047B9">
        <w:t xml:space="preserve"> (2016) 28(2) 173, 176.</w:t>
      </w:r>
    </w:p>
  </w:endnote>
  <w:endnote w:id="136">
    <w:p w:rsidR="00A1106D" w:rsidRDefault="00A1106D" w14:paraId="582B6568" w14:textId="2E15572D">
      <w:pPr>
        <w:pStyle w:val="EndnoteText"/>
      </w:pPr>
      <w:r>
        <w:rPr>
          <w:rStyle w:val="EndnoteReference"/>
        </w:rPr>
        <w:endnoteRef/>
      </w:r>
      <w:r>
        <w:t xml:space="preserve"> </w:t>
      </w:r>
      <w:r w:rsidR="00005000">
        <w:t>Ibid</w:t>
      </w:r>
      <w:r w:rsidRPr="00A047B9">
        <w:t>176.</w:t>
      </w:r>
    </w:p>
  </w:endnote>
  <w:endnote w:id="137">
    <w:p w:rsidR="00A1106D" w:rsidRDefault="00A1106D" w14:paraId="68595706" w14:textId="76F9E857">
      <w:pPr>
        <w:pStyle w:val="EndnoteText"/>
      </w:pPr>
      <w:r>
        <w:rPr>
          <w:rStyle w:val="EndnoteReference"/>
        </w:rPr>
        <w:endnoteRef/>
      </w:r>
      <w:r>
        <w:t xml:space="preserve"> </w:t>
      </w:r>
      <w:r w:rsidRPr="00CD4FEE">
        <w:t xml:space="preserve">Australian Civil Society CRPD Shadow Report Working Group, ‘Disability Rights Now 2019’, Submission to the UN CRPD Committee in </w:t>
      </w:r>
      <w:r w:rsidRPr="00EA684A">
        <w:rPr>
          <w:i/>
          <w:iCs/>
        </w:rPr>
        <w:t>response to the List of issues prior to the submission of the combined second and third periodic reports of Australia</w:t>
      </w:r>
      <w:r w:rsidRPr="00CD4FEE">
        <w:t xml:space="preserve">, 26 July 2019, </w:t>
      </w:r>
      <w:r>
        <w:t>para 16(a).</w:t>
      </w:r>
    </w:p>
  </w:endnote>
  <w:endnote w:id="138">
    <w:p w:rsidR="00A1106D" w:rsidP="00201932" w:rsidRDefault="00A1106D" w14:paraId="6DFE8614" w14:textId="74B6466D">
      <w:pPr>
        <w:pStyle w:val="EndnoteText"/>
      </w:pPr>
      <w:r>
        <w:rPr>
          <w:rStyle w:val="EndnoteReference"/>
        </w:rPr>
        <w:endnoteRef/>
      </w:r>
      <w:r>
        <w:t xml:space="preserve"> </w:t>
      </w:r>
      <w:r w:rsidRPr="00B53AAD">
        <w:t xml:space="preserve">CRPD Committee, </w:t>
      </w:r>
      <w:r w:rsidRPr="001658A2">
        <w:rPr>
          <w:i/>
        </w:rPr>
        <w:t>Concluding Observations</w:t>
      </w:r>
      <w:r>
        <w:rPr>
          <w:i/>
        </w:rPr>
        <w:t xml:space="preserve">, </w:t>
      </w:r>
      <w:r>
        <w:rPr>
          <w:iCs/>
        </w:rPr>
        <w:t>above n 6,</w:t>
      </w:r>
      <w:r w:rsidRPr="00B53AAD">
        <w:t xml:space="preserve"> [</w:t>
      </w:r>
      <w:r>
        <w:t>27</w:t>
      </w:r>
      <w:r w:rsidRPr="00B53AAD">
        <w:t>(a</w:t>
      </w:r>
      <w:r>
        <w:t>)</w:t>
      </w:r>
      <w:r w:rsidRPr="00B53AAD">
        <w:t>]</w:t>
      </w:r>
      <w:r>
        <w:t>.</w:t>
      </w:r>
    </w:p>
  </w:endnote>
  <w:endnote w:id="139">
    <w:p w:rsidR="00A1106D" w:rsidP="00201932" w:rsidRDefault="00A1106D" w14:paraId="586A9C29" w14:textId="6E337D62">
      <w:pPr>
        <w:pStyle w:val="EndnoteText"/>
      </w:pPr>
      <w:r>
        <w:rPr>
          <w:rStyle w:val="EndnoteReference"/>
        </w:rPr>
        <w:endnoteRef/>
      </w:r>
      <w:r>
        <w:t xml:space="preserve"> Ibid </w:t>
      </w:r>
      <w:r w:rsidRPr="00B53AAD">
        <w:t>[</w:t>
      </w:r>
      <w:r>
        <w:t>28(c)</w:t>
      </w:r>
      <w:r w:rsidRPr="00B53AAD">
        <w:t>]</w:t>
      </w:r>
      <w:r>
        <w:t>.</w:t>
      </w:r>
    </w:p>
  </w:endnote>
  <w:endnote w:id="140">
    <w:p w:rsidRPr="00D5132D" w:rsidR="00A1106D" w:rsidRDefault="00A1106D" w14:paraId="008D19A3" w14:textId="03BE35AA">
      <w:pPr>
        <w:pStyle w:val="EndnoteText"/>
      </w:pPr>
      <w:r>
        <w:rPr>
          <w:rStyle w:val="EndnoteReference"/>
        </w:rPr>
        <w:endnoteRef/>
      </w:r>
      <w:r>
        <w:t xml:space="preserve"> Senate Community Affairs Committee, above n 4</w:t>
      </w:r>
      <w:r w:rsidR="00005000">
        <w:t>7</w:t>
      </w:r>
      <w:r>
        <w:t xml:space="preserve">, [4.6]; Criminal Lawyers Association of the Northern Territory, Submission No 18 to Senate Community Affairs Committee, </w:t>
      </w:r>
      <w:r>
        <w:rPr>
          <w:i/>
          <w:iCs/>
        </w:rPr>
        <w:t>Indefinite detention of people with cognitive and psychiatric impairment in Australia</w:t>
      </w:r>
      <w:r>
        <w:t xml:space="preserve"> (29 November 2016) 3.</w:t>
      </w:r>
    </w:p>
  </w:endnote>
  <w:endnote w:id="141">
    <w:p w:rsidR="00A1106D" w:rsidRDefault="00A1106D" w14:paraId="60E3A546" w14:textId="0F6F07D6">
      <w:pPr>
        <w:pStyle w:val="EndnoteText"/>
      </w:pPr>
      <w:r>
        <w:rPr>
          <w:rStyle w:val="EndnoteReference"/>
        </w:rPr>
        <w:endnoteRef/>
      </w:r>
      <w:r>
        <w:t xml:space="preserve"> </w:t>
      </w:r>
      <w:r>
        <w:rPr>
          <w:rFonts w:cs="Open Sans"/>
        </w:rPr>
        <w:t>Issues Paper, above n 2</w:t>
      </w:r>
      <w:r w:rsidRPr="00155999">
        <w:t xml:space="preserve">, Question </w:t>
      </w:r>
      <w:r>
        <w:t>2</w:t>
      </w:r>
      <w:r w:rsidRPr="00155999">
        <w:t>A.</w:t>
      </w:r>
    </w:p>
  </w:endnote>
  <w:endnote w:id="142">
    <w:p w:rsidRPr="008B034D" w:rsidR="00A1106D" w:rsidRDefault="00A1106D" w14:paraId="761419A7" w14:textId="331D65D8">
      <w:pPr>
        <w:pStyle w:val="EndnoteText"/>
      </w:pPr>
      <w:r>
        <w:rPr>
          <w:rStyle w:val="EndnoteReference"/>
        </w:rPr>
        <w:endnoteRef/>
      </w:r>
      <w:r>
        <w:t xml:space="preserve"> Aboriginal Disability Justice Campaign, above n </w:t>
      </w:r>
      <w:r w:rsidR="00F90972">
        <w:t>90</w:t>
      </w:r>
      <w:r>
        <w:t>, 4.</w:t>
      </w:r>
    </w:p>
  </w:endnote>
  <w:endnote w:id="143">
    <w:p w:rsidR="00A1106D" w:rsidP="0007523E" w:rsidRDefault="00A1106D" w14:paraId="56FEFAC0" w14:textId="09D8D3F5">
      <w:pPr>
        <w:pStyle w:val="EndnoteText"/>
      </w:pPr>
      <w:r>
        <w:rPr>
          <w:rStyle w:val="EndnoteReference"/>
        </w:rPr>
        <w:endnoteRef/>
      </w:r>
      <w:r>
        <w:t xml:space="preserve"> Senate Community Affairs Committee, above n 4</w:t>
      </w:r>
      <w:r w:rsidR="00005000">
        <w:t>7</w:t>
      </w:r>
      <w:r>
        <w:t>, [3.26].</w:t>
      </w:r>
    </w:p>
  </w:endnote>
  <w:endnote w:id="144">
    <w:p w:rsidR="00A1106D" w:rsidP="0007523E" w:rsidRDefault="00A1106D" w14:paraId="0EE68752" w14:textId="39EF3D5F">
      <w:pPr>
        <w:pStyle w:val="EndnoteText"/>
      </w:pPr>
      <w:r>
        <w:rPr>
          <w:rStyle w:val="EndnoteReference"/>
        </w:rPr>
        <w:endnoteRef/>
      </w:r>
      <w:r>
        <w:t xml:space="preserve"> Ibid [3.26].</w:t>
      </w:r>
    </w:p>
  </w:endnote>
  <w:endnote w:id="145">
    <w:p w:rsidR="00A1106D" w:rsidP="0007523E" w:rsidRDefault="00A1106D" w14:paraId="3CE21A06" w14:textId="171F9EE4">
      <w:pPr>
        <w:pStyle w:val="EndnoteText"/>
      </w:pPr>
      <w:r>
        <w:rPr>
          <w:rStyle w:val="EndnoteReference"/>
        </w:rPr>
        <w:endnoteRef/>
      </w:r>
      <w:r>
        <w:t xml:space="preserve"> Ibid [3.27].</w:t>
      </w:r>
    </w:p>
  </w:endnote>
  <w:endnote w:id="146">
    <w:p w:rsidR="00A1106D" w:rsidP="0007523E" w:rsidRDefault="00A1106D" w14:paraId="490D2BB9" w14:textId="181008BF">
      <w:pPr>
        <w:pStyle w:val="EndnoteText"/>
      </w:pPr>
      <w:r>
        <w:rPr>
          <w:rStyle w:val="EndnoteReference"/>
        </w:rPr>
        <w:endnoteRef/>
      </w:r>
      <w:r>
        <w:t xml:space="preserve"> Ibid [3.28].</w:t>
      </w:r>
    </w:p>
  </w:endnote>
  <w:endnote w:id="147">
    <w:p w:rsidRPr="004270F0" w:rsidR="00A1106D" w:rsidP="0007523E" w:rsidRDefault="00A1106D" w14:paraId="1953465B" w14:textId="77777777">
      <w:pPr>
        <w:pStyle w:val="EndnoteText"/>
      </w:pPr>
      <w:r>
        <w:rPr>
          <w:rStyle w:val="EndnoteReference"/>
        </w:rPr>
        <w:endnoteRef/>
      </w:r>
      <w:r>
        <w:t xml:space="preserve"> Office of the Public Advocate (Qld), Submission No 36 to Senate Community Affairs Committee, </w:t>
      </w:r>
      <w:r>
        <w:rPr>
          <w:i/>
          <w:iCs/>
        </w:rPr>
        <w:t>Indefinite detention of people with cognitive and psychiatric impairment in Australia</w:t>
      </w:r>
      <w:r>
        <w:t xml:space="preserve"> (29 November 2016) 13-14.</w:t>
      </w:r>
    </w:p>
  </w:endnote>
  <w:endnote w:id="148">
    <w:p w:rsidR="00A1106D" w:rsidP="00EE414F" w:rsidRDefault="00A1106D" w14:paraId="24FE3B37" w14:textId="70ADE6C0">
      <w:pPr>
        <w:pStyle w:val="EndnoteText"/>
      </w:pPr>
      <w:r>
        <w:rPr>
          <w:rStyle w:val="EndnoteReference"/>
        </w:rPr>
        <w:endnoteRef/>
      </w:r>
      <w:r>
        <w:t xml:space="preserve"> </w:t>
      </w:r>
      <w:r>
        <w:rPr>
          <w:rFonts w:cs="Open Sans"/>
        </w:rPr>
        <w:t xml:space="preserve">Issues Paper, above n 2, Questions </w:t>
      </w:r>
      <w:r w:rsidRPr="00CD1A8C">
        <w:rPr>
          <w:rFonts w:cs="Open Sans"/>
        </w:rPr>
        <w:t>2A, 7A, 8A and 8B.</w:t>
      </w:r>
    </w:p>
  </w:endnote>
  <w:endnote w:id="149">
    <w:p w:rsidRPr="004E27A8" w:rsidR="00A1106D" w:rsidP="00FB3207" w:rsidRDefault="00A1106D" w14:paraId="2BB806CC" w14:textId="307F452B">
      <w:pPr>
        <w:pStyle w:val="EndnoteText"/>
        <w:rPr>
          <w:rFonts w:cs="Open Sans"/>
        </w:rPr>
      </w:pPr>
      <w:r w:rsidRPr="004E27A8">
        <w:rPr>
          <w:rFonts w:eastAsia="Open Sans" w:cs="Open Sans"/>
          <w:vertAlign w:val="superscript"/>
        </w:rPr>
        <w:endnoteRef/>
      </w:r>
      <w:r w:rsidRPr="004E27A8">
        <w:rPr>
          <w:rFonts w:cs="Open Sans"/>
        </w:rPr>
        <w:t xml:space="preserve"> Australian Law Reform Commission, </w:t>
      </w:r>
      <w:r>
        <w:rPr>
          <w:rFonts w:cs="Open Sans"/>
        </w:rPr>
        <w:t>above n 1</w:t>
      </w:r>
      <w:r w:rsidR="00005000">
        <w:rPr>
          <w:rFonts w:cs="Open Sans"/>
        </w:rPr>
        <w:t>10</w:t>
      </w:r>
      <w:r>
        <w:rPr>
          <w:rFonts w:cs="Open Sans"/>
          <w:i/>
          <w:iCs/>
        </w:rPr>
        <w:t>,</w:t>
      </w:r>
      <w:r w:rsidRPr="004E27A8">
        <w:rPr>
          <w:rFonts w:cs="Open Sans"/>
        </w:rPr>
        <w:t xml:space="preserve"> [8.</w:t>
      </w:r>
      <w:r w:rsidR="00733006">
        <w:rPr>
          <w:rFonts w:cs="Open Sans"/>
        </w:rPr>
        <w:t>5</w:t>
      </w:r>
      <w:r w:rsidRPr="004E27A8">
        <w:rPr>
          <w:rFonts w:cs="Open Sans"/>
        </w:rPr>
        <w:t>]</w:t>
      </w:r>
      <w:r w:rsidR="007C76B1">
        <w:rPr>
          <w:rFonts w:cs="Open Sans"/>
        </w:rPr>
        <w:t>.</w:t>
      </w:r>
    </w:p>
  </w:endnote>
  <w:endnote w:id="150">
    <w:p w:rsidRPr="004E27A8" w:rsidR="00A1106D" w:rsidP="00FB3207" w:rsidRDefault="00A1106D" w14:paraId="4DE98C50" w14:textId="164D10EB">
      <w:pPr>
        <w:pStyle w:val="EndnoteText"/>
        <w:rPr>
          <w:rFonts w:cs="Open Sans"/>
        </w:rPr>
      </w:pPr>
      <w:r w:rsidRPr="004E27A8">
        <w:rPr>
          <w:rFonts w:eastAsia="Open Sans" w:cs="Open Sans"/>
          <w:vertAlign w:val="superscript"/>
        </w:rPr>
        <w:endnoteRef/>
      </w:r>
      <w:r w:rsidRPr="004E27A8">
        <w:rPr>
          <w:rFonts w:cs="Open Sans"/>
        </w:rPr>
        <w:t xml:space="preserve"> </w:t>
      </w:r>
      <w:r>
        <w:rPr>
          <w:rFonts w:cs="Open Sans"/>
        </w:rPr>
        <w:t xml:space="preserve">Ibid </w:t>
      </w:r>
      <w:r w:rsidRPr="004E27A8">
        <w:rPr>
          <w:rFonts w:cs="Open Sans"/>
        </w:rPr>
        <w:t>[8.</w:t>
      </w:r>
      <w:r>
        <w:rPr>
          <w:rFonts w:cs="Open Sans"/>
        </w:rPr>
        <w:t>11</w:t>
      </w:r>
      <w:r w:rsidRPr="004E27A8">
        <w:rPr>
          <w:rFonts w:cs="Open Sans"/>
        </w:rPr>
        <w:t>].</w:t>
      </w:r>
    </w:p>
  </w:endnote>
  <w:endnote w:id="151">
    <w:p w:rsidR="00A1106D" w:rsidRDefault="00A1106D" w14:paraId="12598817" w14:textId="6CDABD68">
      <w:pPr>
        <w:pStyle w:val="EndnoteText"/>
      </w:pPr>
      <w:r>
        <w:rPr>
          <w:rStyle w:val="EndnoteReference"/>
        </w:rPr>
        <w:endnoteRef/>
      </w:r>
      <w:r>
        <w:t xml:space="preserve"> </w:t>
      </w:r>
      <w:r>
        <w:rPr>
          <w:i/>
          <w:iCs/>
        </w:rPr>
        <w:t>Standard Minimum Rules for the Treatment of Prisoners</w:t>
      </w:r>
      <w:r>
        <w:t>, above n 18, r 44.</w:t>
      </w:r>
    </w:p>
  </w:endnote>
  <w:endnote w:id="152">
    <w:p w:rsidR="00A1106D" w:rsidRDefault="00A1106D" w14:paraId="0E30E9CF" w14:textId="67526D87">
      <w:pPr>
        <w:pStyle w:val="EndnoteText"/>
      </w:pPr>
      <w:r>
        <w:rPr>
          <w:rStyle w:val="EndnoteReference"/>
        </w:rPr>
        <w:endnoteRef/>
      </w:r>
      <w:r>
        <w:t xml:space="preserve"> Human Rights Watch, </w:t>
      </w:r>
      <w:r w:rsidR="00005000">
        <w:t>above n 76</w:t>
      </w:r>
      <w:r>
        <w:t>, 42.</w:t>
      </w:r>
    </w:p>
  </w:endnote>
  <w:endnote w:id="153">
    <w:p w:rsidR="00A1106D" w:rsidP="006123B7" w:rsidRDefault="00A1106D" w14:paraId="024DA26D" w14:textId="6040B047">
      <w:pPr>
        <w:pStyle w:val="EndnoteText"/>
      </w:pPr>
      <w:r>
        <w:rPr>
          <w:rStyle w:val="EndnoteReference"/>
        </w:rPr>
        <w:endnoteRef/>
      </w:r>
      <w:r>
        <w:t xml:space="preserve"> Senate Community Affairs Committee, above n 4</w:t>
      </w:r>
      <w:r w:rsidR="00005000">
        <w:t>7</w:t>
      </w:r>
      <w:r>
        <w:t>, [4.12].</w:t>
      </w:r>
    </w:p>
  </w:endnote>
  <w:endnote w:id="154">
    <w:p w:rsidRPr="00236453" w:rsidR="00A1106D" w:rsidRDefault="00A1106D" w14:paraId="1B58BE53" w14:textId="2CB784A3">
      <w:pPr>
        <w:pStyle w:val="EndnoteText"/>
      </w:pPr>
      <w:r>
        <w:rPr>
          <w:rStyle w:val="EndnoteReference"/>
        </w:rPr>
        <w:endnoteRef/>
      </w:r>
      <w:r>
        <w:t xml:space="preserve"> Human Rights Watch, above n </w:t>
      </w:r>
      <w:r w:rsidR="00005000">
        <w:t>76</w:t>
      </w:r>
      <w:r>
        <w:t xml:space="preserve">, 42; Jules Lobel and Huda Akil, ‘Law &amp; Neuroscience: The Case of Solitary Confinement’ (2018) 147(4) </w:t>
      </w:r>
      <w:r>
        <w:rPr>
          <w:i/>
          <w:iCs/>
        </w:rPr>
        <w:t xml:space="preserve">Daedalus, the Journal of the American Academy of Arts and Sciences </w:t>
      </w:r>
      <w:r>
        <w:t xml:space="preserve">61, 65; Sadie Dingfelder, ‘Psychologist testifies on the risks of solitary confinement’ (2012) 433(9) </w:t>
      </w:r>
      <w:r>
        <w:rPr>
          <w:i/>
          <w:iCs/>
        </w:rPr>
        <w:t>Monitor on Psychology</w:t>
      </w:r>
      <w:r>
        <w:t xml:space="preserve"> 10; Peter Scharff Smith, ‘The Effects of Solitary Confinement on Prison Inmates: A Brief History and Review of the Literature (2006) 34(1) </w:t>
      </w:r>
      <w:r>
        <w:rPr>
          <w:i/>
          <w:iCs/>
        </w:rPr>
        <w:t>Crime and Justice</w:t>
      </w:r>
      <w:r>
        <w:t xml:space="preserve"> 441.</w:t>
      </w:r>
    </w:p>
  </w:endnote>
  <w:endnote w:id="155">
    <w:p w:rsidR="00A1106D" w:rsidP="00CF57A6" w:rsidRDefault="00A1106D" w14:paraId="18FC73D4" w14:textId="77777777">
      <w:pPr>
        <w:pStyle w:val="EndnoteText"/>
      </w:pPr>
      <w:r>
        <w:rPr>
          <w:rStyle w:val="EndnoteReference"/>
        </w:rPr>
        <w:endnoteRef/>
      </w:r>
      <w:r>
        <w:t xml:space="preserve"> UN General Assembly, 66</w:t>
      </w:r>
      <w:r w:rsidRPr="00BE73A7">
        <w:rPr>
          <w:vertAlign w:val="superscript"/>
        </w:rPr>
        <w:t>th</w:t>
      </w:r>
      <w:r>
        <w:t xml:space="preserve"> sess, 268</w:t>
      </w:r>
      <w:r w:rsidRPr="00BE73A7">
        <w:rPr>
          <w:vertAlign w:val="superscript"/>
        </w:rPr>
        <w:t>th</w:t>
      </w:r>
      <w:r>
        <w:t xml:space="preserve"> plen mtg, UN Doc No. A/66/268 (5 August 2011), [77]-[78]. </w:t>
      </w:r>
    </w:p>
  </w:endnote>
  <w:endnote w:id="156">
    <w:p w:rsidR="00A1106D" w:rsidRDefault="00A1106D" w14:paraId="4604C341" w14:textId="525E451F">
      <w:pPr>
        <w:pStyle w:val="EndnoteText"/>
      </w:pPr>
      <w:r>
        <w:rPr>
          <w:rStyle w:val="EndnoteReference"/>
        </w:rPr>
        <w:endnoteRef/>
      </w:r>
      <w:r>
        <w:t xml:space="preserve"> Ibid [32].</w:t>
      </w:r>
    </w:p>
  </w:endnote>
  <w:endnote w:id="157">
    <w:p w:rsidRPr="00392F14" w:rsidR="00A1106D" w:rsidP="0027658D" w:rsidRDefault="00A1106D" w14:paraId="25BEC918" w14:textId="43665526">
      <w:pPr>
        <w:pStyle w:val="EndnoteText"/>
        <w:rPr>
          <w:i/>
          <w:iCs/>
        </w:rPr>
      </w:pPr>
      <w:r>
        <w:rPr>
          <w:rStyle w:val="EndnoteReference"/>
        </w:rPr>
        <w:endnoteRef/>
      </w:r>
      <w:r>
        <w:t xml:space="preserve"> CRPD Committee, </w:t>
      </w:r>
      <w:r>
        <w:rPr>
          <w:i/>
          <w:iCs/>
        </w:rPr>
        <w:t xml:space="preserve">Concluding Observations, </w:t>
      </w:r>
      <w:r>
        <w:rPr>
          <w:iCs/>
        </w:rPr>
        <w:t>above n 6,</w:t>
      </w:r>
      <w:r>
        <w:t xml:space="preserve"> [29(b)].</w:t>
      </w:r>
    </w:p>
  </w:endnote>
  <w:endnote w:id="158">
    <w:p w:rsidR="00A1106D" w:rsidRDefault="00A1106D" w14:paraId="5D18F07A" w14:textId="1B2B8F55">
      <w:pPr>
        <w:pStyle w:val="EndnoteText"/>
      </w:pPr>
      <w:r>
        <w:rPr>
          <w:rStyle w:val="EndnoteReference"/>
        </w:rPr>
        <w:endnoteRef/>
      </w:r>
      <w:r>
        <w:t xml:space="preserve"> </w:t>
      </w:r>
      <w:r>
        <w:rPr>
          <w:rFonts w:cs="Open Sans"/>
        </w:rPr>
        <w:t>Issues Paper, above n 2</w:t>
      </w:r>
      <w:r w:rsidRPr="00155999">
        <w:t xml:space="preserve">, Question </w:t>
      </w:r>
      <w:r>
        <w:t>7</w:t>
      </w:r>
      <w:r w:rsidRPr="00155999">
        <w:t>A.</w:t>
      </w:r>
    </w:p>
  </w:endnote>
  <w:endnote w:id="159">
    <w:p w:rsidRPr="00392F14" w:rsidR="00A1106D" w:rsidRDefault="00A1106D" w14:paraId="7B6666CC" w14:textId="36FA0D68">
      <w:pPr>
        <w:pStyle w:val="EndnoteText"/>
        <w:rPr>
          <w:i/>
          <w:iCs/>
        </w:rPr>
      </w:pPr>
      <w:r>
        <w:rPr>
          <w:rStyle w:val="EndnoteReference"/>
        </w:rPr>
        <w:endnoteRef/>
      </w:r>
      <w:r>
        <w:t xml:space="preserve"> CRPD Committee, </w:t>
      </w:r>
      <w:r>
        <w:rPr>
          <w:i/>
          <w:iCs/>
        </w:rPr>
        <w:t xml:space="preserve">Concluding Observations, </w:t>
      </w:r>
      <w:r>
        <w:rPr>
          <w:iCs/>
        </w:rPr>
        <w:t>above n 6,</w:t>
      </w:r>
      <w:r>
        <w:t xml:space="preserve"> [30(b)].</w:t>
      </w:r>
    </w:p>
  </w:endnote>
  <w:endnote w:id="160">
    <w:p w:rsidRPr="00F40AD2" w:rsidR="00A1106D" w:rsidP="00DD3398" w:rsidRDefault="00A1106D" w14:paraId="7F067C5E" w14:textId="77777777">
      <w:pPr>
        <w:pStyle w:val="EndnoteText"/>
      </w:pPr>
      <w:r>
        <w:rPr>
          <w:rStyle w:val="EndnoteReference"/>
        </w:rPr>
        <w:endnoteRef/>
      </w:r>
      <w:r>
        <w:t xml:space="preserve"> Aboriginal Disability Justice Campaign, Submission No 159 to Senate Standing Committees on Community Affairs, Parliament Australia, </w:t>
      </w:r>
      <w:r>
        <w:rPr>
          <w:i/>
          <w:iC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t xml:space="preserve"> (25 November 2015) 6.</w:t>
      </w:r>
    </w:p>
  </w:endnote>
  <w:endnote w:id="161">
    <w:p w:rsidR="00A1106D" w:rsidRDefault="00A1106D" w14:paraId="5A48D136" w14:textId="176829D3">
      <w:pPr>
        <w:pStyle w:val="EndnoteText"/>
      </w:pPr>
      <w:r>
        <w:rPr>
          <w:rStyle w:val="EndnoteReference"/>
        </w:rPr>
        <w:endnoteRef/>
      </w:r>
      <w:r>
        <w:t xml:space="preserve"> </w:t>
      </w:r>
      <w:r w:rsidRPr="00C05017">
        <w:rPr>
          <w:rFonts w:cs="Open Sans"/>
        </w:rPr>
        <w:t xml:space="preserve">Australian Human Rights Commission, </w:t>
      </w:r>
      <w:r>
        <w:rPr>
          <w:rFonts w:cs="Open Sans"/>
        </w:rPr>
        <w:t>above n 7</w:t>
      </w:r>
      <w:r w:rsidR="006102D0">
        <w:rPr>
          <w:rFonts w:cs="Open Sans"/>
        </w:rPr>
        <w:t>6</w:t>
      </w:r>
      <w:r>
        <w:rPr>
          <w:rFonts w:cs="Open Sans"/>
        </w:rPr>
        <w:t>,</w:t>
      </w:r>
      <w:r w:rsidRPr="00C05017">
        <w:rPr>
          <w:rFonts w:cs="Open Sans"/>
        </w:rPr>
        <w:t xml:space="preserve"> </w:t>
      </w:r>
      <w:r>
        <w:rPr>
          <w:rFonts w:cs="Open Sans"/>
        </w:rPr>
        <w:t>29-30.</w:t>
      </w:r>
    </w:p>
  </w:endnote>
  <w:endnote w:id="162">
    <w:p w:rsidR="00A1106D" w:rsidRDefault="00A1106D" w14:paraId="0EBF8513" w14:textId="24B63219">
      <w:pPr>
        <w:pStyle w:val="EndnoteText"/>
      </w:pPr>
      <w:r>
        <w:rPr>
          <w:rStyle w:val="EndnoteReference"/>
        </w:rPr>
        <w:endnoteRef/>
      </w:r>
      <w:r>
        <w:t xml:space="preserve"> </w:t>
      </w:r>
      <w:r>
        <w:rPr>
          <w:i/>
          <w:iCs/>
        </w:rPr>
        <w:t>Standard Minimum Rules for the Treatment of Prisoners</w:t>
      </w:r>
      <w:r>
        <w:t>, above n 18, r 47.</w:t>
      </w:r>
    </w:p>
  </w:endnote>
  <w:endnote w:id="163">
    <w:p w:rsidR="00A1106D" w:rsidRDefault="00A1106D" w14:paraId="2374B030" w14:textId="0448C84B">
      <w:pPr>
        <w:pStyle w:val="EndnoteText"/>
      </w:pPr>
      <w:r>
        <w:rPr>
          <w:rStyle w:val="EndnoteReference"/>
        </w:rPr>
        <w:endnoteRef/>
      </w:r>
      <w:r>
        <w:t xml:space="preserve"> Ibid r 48.</w:t>
      </w:r>
    </w:p>
  </w:endnote>
  <w:endnote w:id="164">
    <w:p w:rsidRPr="00F52827" w:rsidR="00A1106D" w:rsidRDefault="00A1106D" w14:paraId="2246893A" w14:textId="02735E0B">
      <w:pPr>
        <w:pStyle w:val="EndnoteText"/>
      </w:pPr>
      <w:r>
        <w:rPr>
          <w:rStyle w:val="EndnoteReference"/>
        </w:rPr>
        <w:endnoteRef/>
      </w:r>
      <w:r>
        <w:t xml:space="preserve"> OSCE Office for Democratic Institutions and Human Rights and Penal Reform International, </w:t>
      </w:r>
      <w:r>
        <w:rPr>
          <w:i/>
          <w:iCs/>
        </w:rPr>
        <w:t>Guidance Document on the Nelson Mandela Rules: Implementing the United Nations Revised Standard Minimum Rules for the Treatment of Prisoners</w:t>
      </w:r>
      <w:r>
        <w:t xml:space="preserve"> (Report, August 2018) pp 81-82.</w:t>
      </w:r>
    </w:p>
  </w:endnote>
  <w:endnote w:id="165">
    <w:p w:rsidRPr="00392F14" w:rsidR="00A1106D" w:rsidP="00DD3398" w:rsidRDefault="00A1106D" w14:paraId="36DE13F7" w14:textId="77777777">
      <w:pPr>
        <w:pStyle w:val="EndnoteText"/>
      </w:pPr>
      <w:r>
        <w:rPr>
          <w:rStyle w:val="EndnoteReference"/>
        </w:rPr>
        <w:endnoteRef/>
      </w:r>
      <w:r>
        <w:t xml:space="preserve"> Government of Australia, </w:t>
      </w:r>
      <w:r>
        <w:rPr>
          <w:i/>
          <w:iCs/>
        </w:rPr>
        <w:t>Guiding Principles for Corrections in Australia</w:t>
      </w:r>
      <w:r>
        <w:t xml:space="preserve"> (2018) 15.</w:t>
      </w:r>
    </w:p>
  </w:endnote>
  <w:endnote w:id="166">
    <w:p w:rsidR="00A1106D" w:rsidP="00DD3398" w:rsidRDefault="00A1106D" w14:paraId="00B0C147" w14:textId="39E28C3A">
      <w:pPr>
        <w:pStyle w:val="EndnoteText"/>
      </w:pPr>
      <w:r>
        <w:rPr>
          <w:rStyle w:val="EndnoteReference"/>
        </w:rPr>
        <w:endnoteRef/>
      </w:r>
      <w:r>
        <w:t xml:space="preserve"> Human Rights Watch, </w:t>
      </w:r>
      <w:r w:rsidR="006102D0">
        <w:t>above n 76</w:t>
      </w:r>
      <w:r>
        <w:t xml:space="preserve">, 33-34; Australian Law Reform Commission, </w:t>
      </w:r>
      <w:r>
        <w:rPr>
          <w:rFonts w:cs="Open Sans"/>
        </w:rPr>
        <w:t>above n 1</w:t>
      </w:r>
      <w:r w:rsidR="006102D0">
        <w:rPr>
          <w:rFonts w:cs="Open Sans"/>
        </w:rPr>
        <w:t>10</w:t>
      </w:r>
      <w:r>
        <w:rPr>
          <w:rFonts w:cs="Open Sans"/>
          <w:i/>
          <w:iCs/>
        </w:rPr>
        <w:t xml:space="preserve">, </w:t>
      </w:r>
      <w:r>
        <w:t>245-246; Aboriginal Disability Justice Campaign, above n 15</w:t>
      </w:r>
      <w:r w:rsidR="006102D0">
        <w:t>9</w:t>
      </w:r>
      <w:r>
        <w:t>, 1-6.</w:t>
      </w:r>
    </w:p>
  </w:endnote>
  <w:endnote w:id="167">
    <w:p w:rsidRPr="00392F14" w:rsidR="00A1106D" w:rsidP="000E0947" w:rsidRDefault="00A1106D" w14:paraId="21471785" w14:textId="2A57933A">
      <w:pPr>
        <w:pStyle w:val="EndnoteText"/>
        <w:rPr>
          <w:i/>
          <w:iCs/>
        </w:rPr>
      </w:pPr>
      <w:r>
        <w:rPr>
          <w:rStyle w:val="EndnoteReference"/>
        </w:rPr>
        <w:endnoteRef/>
      </w:r>
      <w:r>
        <w:t xml:space="preserve"> CRPD Committee, </w:t>
      </w:r>
      <w:r>
        <w:rPr>
          <w:i/>
          <w:iCs/>
        </w:rPr>
        <w:t xml:space="preserve">Concluding Observations, </w:t>
      </w:r>
      <w:r>
        <w:rPr>
          <w:iCs/>
        </w:rPr>
        <w:t>above n 6,</w:t>
      </w:r>
      <w:r>
        <w:t xml:space="preserve"> [29(a)].</w:t>
      </w:r>
    </w:p>
  </w:endnote>
  <w:endnote w:id="168">
    <w:p w:rsidRPr="00392F14" w:rsidR="00A1106D" w:rsidP="002F0ED1" w:rsidRDefault="00A1106D" w14:paraId="0C70A72C" w14:textId="1DC85F33">
      <w:pPr>
        <w:pStyle w:val="EndnoteText"/>
        <w:rPr>
          <w:i/>
          <w:iCs/>
        </w:rPr>
      </w:pPr>
      <w:r>
        <w:rPr>
          <w:rStyle w:val="EndnoteReference"/>
        </w:rPr>
        <w:endnoteRef/>
      </w:r>
      <w:r>
        <w:t xml:space="preserve"> Ibid [30(a)].</w:t>
      </w:r>
    </w:p>
  </w:endnote>
  <w:endnote w:id="169">
    <w:p w:rsidR="00A1106D" w:rsidRDefault="00A1106D" w14:paraId="579E46F6" w14:textId="18D78EDA">
      <w:pPr>
        <w:pStyle w:val="EndnoteText"/>
      </w:pPr>
      <w:r>
        <w:rPr>
          <w:rStyle w:val="EndnoteReference"/>
        </w:rPr>
        <w:endnoteRef/>
      </w:r>
      <w:r>
        <w:t xml:space="preserve"> </w:t>
      </w:r>
      <w:r>
        <w:rPr>
          <w:rFonts w:cs="Open Sans"/>
        </w:rPr>
        <w:t>Issues Paper, above n 2</w:t>
      </w:r>
      <w:r w:rsidRPr="00CA1258">
        <w:t>, Question</w:t>
      </w:r>
      <w:r>
        <w:t>s 8A and</w:t>
      </w:r>
      <w:r w:rsidRPr="00CA1258">
        <w:t xml:space="preserve"> 8B.</w:t>
      </w:r>
    </w:p>
  </w:endnote>
  <w:endnote w:id="170">
    <w:p w:rsidRPr="00663112" w:rsidR="00A1106D" w:rsidRDefault="00A1106D" w14:paraId="4107D82C" w14:textId="063EDEA1">
      <w:pPr>
        <w:pStyle w:val="EndnoteText"/>
      </w:pPr>
      <w:r>
        <w:rPr>
          <w:rStyle w:val="EndnoteReference"/>
        </w:rPr>
        <w:endnoteRef/>
      </w:r>
      <w:r>
        <w:t xml:space="preserve"> See Michael White ‘The role and scope of OPCAT in protecting those deprived of liberty: A critical analysis of the New Zealand experience’ </w:t>
      </w:r>
      <w:r>
        <w:rPr>
          <w:i/>
        </w:rPr>
        <w:t xml:space="preserve">Australian Journal of Human Rights </w:t>
      </w:r>
      <w:r>
        <w:t xml:space="preserve">(Vol 25, 2019), 44. </w:t>
      </w:r>
    </w:p>
  </w:endnote>
  <w:endnote w:id="171">
    <w:p w:rsidRPr="00847A74" w:rsidR="00A1106D" w:rsidRDefault="00A1106D" w14:paraId="0A31525B" w14:textId="3DF45421">
      <w:pPr>
        <w:pStyle w:val="EndnoteText"/>
      </w:pPr>
      <w:r>
        <w:rPr>
          <w:rStyle w:val="EndnoteReference"/>
        </w:rPr>
        <w:endnoteRef/>
      </w:r>
      <w:r>
        <w:t xml:space="preserve"> The Commission is due to publish its Final Report on OPCAT implementation in the first half of 2020. For further information</w:t>
      </w:r>
      <w:r w:rsidR="007A4716">
        <w:t>,</w:t>
      </w:r>
      <w:r>
        <w:t xml:space="preserve"> see Australian Human Rights Commission </w:t>
      </w:r>
      <w:r>
        <w:rPr>
          <w:i/>
        </w:rPr>
        <w:t xml:space="preserve">OPCAT in Australia Consultation Page </w:t>
      </w:r>
      <w:r>
        <w:t>(Web Page), &lt;</w:t>
      </w:r>
      <w:r w:rsidRPr="004E6CE9" w:rsidR="00F942F1">
        <w:t>https://www.humanrights.gov.au/our-work/rights-and-freedoms/opcat-consultation-page</w:t>
      </w:r>
      <w:r>
        <w:t xml:space="preserve">&gt;. </w:t>
      </w:r>
    </w:p>
  </w:endnote>
  <w:endnote w:id="172">
    <w:p w:rsidRPr="0058178F" w:rsidR="00A1106D" w:rsidP="00D64D7D" w:rsidRDefault="00A1106D" w14:paraId="0CA6B77B" w14:textId="77777777">
      <w:pPr>
        <w:pStyle w:val="EndnoteText"/>
      </w:pPr>
      <w:r>
        <w:rPr>
          <w:rStyle w:val="EndnoteReference"/>
        </w:rPr>
        <w:endnoteRef/>
      </w:r>
      <w:r>
        <w:t xml:space="preserve"> Department of Health, </w:t>
      </w:r>
      <w:r>
        <w:rPr>
          <w:i/>
          <w:iCs/>
        </w:rPr>
        <w:t>National Fetal Alcohol Spectrum Disorder Strategic Action Plan 2018-2028</w:t>
      </w:r>
      <w:r>
        <w:t xml:space="preserve"> (2018) 30 &lt;</w:t>
      </w:r>
      <w:r w:rsidRPr="0058178F">
        <w:t>https://www.health.gov.au/sites/default/files/national-fasd-strategic-action-plan-2018-2028.pdf</w:t>
      </w:r>
      <w:r>
        <w:t xml:space="preserve">&gt;. </w:t>
      </w:r>
    </w:p>
  </w:endnote>
  <w:endnote w:id="173">
    <w:p w:rsidRPr="00B73C80" w:rsidR="00A1106D" w:rsidP="00D64D7D" w:rsidRDefault="00A1106D" w14:paraId="72D9A7F2" w14:textId="440B0537">
      <w:pPr>
        <w:pStyle w:val="EndnoteText"/>
      </w:pPr>
      <w:r>
        <w:rPr>
          <w:rStyle w:val="EndnoteReference"/>
        </w:rPr>
        <w:endnoteRef/>
      </w:r>
      <w:r>
        <w:t xml:space="preserve"> Carol Bower et al, </w:t>
      </w:r>
      <w:r w:rsidR="00B22881">
        <w:t>above n 81</w:t>
      </w:r>
      <w:r>
        <w:t>.</w:t>
      </w:r>
    </w:p>
  </w:endnote>
  <w:endnote w:id="174">
    <w:p w:rsidRPr="00816A90" w:rsidR="00A1106D" w:rsidP="00D64D7D" w:rsidRDefault="00A1106D" w14:paraId="230CECF2" w14:textId="77777777">
      <w:pPr>
        <w:pStyle w:val="EndnoteText"/>
      </w:pPr>
      <w:r>
        <w:rPr>
          <w:rStyle w:val="EndnoteReference"/>
        </w:rPr>
        <w:endnoteRef/>
      </w:r>
      <w:r>
        <w:t xml:space="preserve"> Jane Latimer, Elizabeth Elliot, James Fitzpatrick, Manuela Ferreira, Maureen Carter, June Oscar, Meredith Kefford (eds), </w:t>
      </w:r>
      <w:r>
        <w:rPr>
          <w:i/>
          <w:iCs/>
        </w:rPr>
        <w:t>Marulu: The Lililwan Project Fetal Alcohol Spectrum Disorders (FASD) Prevalence Study in the Fitzroy Valley: a community consultation</w:t>
      </w:r>
      <w:r>
        <w:t>, The George Institute for Global Health (April 2010) 5.</w:t>
      </w:r>
    </w:p>
  </w:endnote>
  <w:endnote w:id="175">
    <w:p w:rsidR="00A1106D" w:rsidP="00D64D7D" w:rsidRDefault="00A1106D" w14:paraId="41EAC779" w14:textId="60A77784">
      <w:pPr>
        <w:pStyle w:val="EndnoteText"/>
      </w:pPr>
      <w:r>
        <w:rPr>
          <w:rStyle w:val="EndnoteReference"/>
        </w:rPr>
        <w:endnoteRef/>
      </w:r>
      <w:r>
        <w:t xml:space="preserve"> </w:t>
      </w:r>
      <w:r w:rsidR="006102D0">
        <w:t>Ibid</w:t>
      </w:r>
      <w:r>
        <w:t xml:space="preserve"> 5.</w:t>
      </w:r>
    </w:p>
  </w:endnote>
  <w:endnote w:id="176">
    <w:p w:rsidRPr="00D1146D" w:rsidR="00A1106D" w:rsidP="00D64D7D" w:rsidRDefault="00A1106D" w14:paraId="66F33257" w14:textId="77777777">
      <w:pPr>
        <w:pStyle w:val="EndnoteText"/>
      </w:pPr>
      <w:r>
        <w:rPr>
          <w:rStyle w:val="EndnoteReference"/>
        </w:rPr>
        <w:endnoteRef/>
      </w:r>
      <w:r>
        <w:t xml:space="preserve"> </w:t>
      </w:r>
      <w:r>
        <w:rPr>
          <w:i/>
          <w:iCs/>
        </w:rPr>
        <w:t xml:space="preserve">Disability Discrimination Act 1995 </w:t>
      </w:r>
      <w:r>
        <w:t xml:space="preserve">(Cth) s 4; Australian Bureau of Statistics, </w:t>
      </w:r>
      <w:r>
        <w:rPr>
          <w:i/>
          <w:iCs/>
        </w:rPr>
        <w:t xml:space="preserve">Disability, Ageing and Carers, Australia Summary of Findings 2018 </w:t>
      </w:r>
      <w:r>
        <w:t>(2019).</w:t>
      </w:r>
    </w:p>
  </w:endnote>
  <w:endnote w:id="177">
    <w:p w:rsidRPr="00D1146D" w:rsidR="00A1106D" w:rsidP="00D64D7D" w:rsidRDefault="00A1106D" w14:paraId="1ADF1517" w14:textId="77777777">
      <w:pPr>
        <w:pStyle w:val="EndnoteText"/>
      </w:pPr>
      <w:r>
        <w:rPr>
          <w:rStyle w:val="EndnoteReference"/>
        </w:rPr>
        <w:endnoteRef/>
      </w:r>
      <w:r>
        <w:t xml:space="preserve"> </w:t>
      </w:r>
      <w:r>
        <w:rPr>
          <w:i/>
          <w:iCs/>
        </w:rPr>
        <w:t xml:space="preserve">National Disability Insurance Act 2013 </w:t>
      </w:r>
      <w:r>
        <w:t>(Cth) s 9.</w:t>
      </w:r>
    </w:p>
  </w:endnote>
  <w:endnote w:id="178">
    <w:p w:rsidRPr="00991444" w:rsidR="00A1106D" w:rsidP="00D64D7D" w:rsidRDefault="00A1106D" w14:paraId="7B38D2E4" w14:textId="77777777">
      <w:pPr>
        <w:pStyle w:val="EndnoteText"/>
      </w:pPr>
      <w:r>
        <w:rPr>
          <w:rStyle w:val="EndnoteReference"/>
        </w:rPr>
        <w:endnoteRef/>
      </w:r>
      <w:r>
        <w:t xml:space="preserve"> Department of Social Services, </w:t>
      </w:r>
      <w:r>
        <w:rPr>
          <w:i/>
          <w:iCs/>
        </w:rPr>
        <w:t xml:space="preserve">Guide to the List of Recognised Disabilities </w:t>
      </w:r>
      <w:r>
        <w:t>(2014) &lt;</w:t>
      </w:r>
      <w:r w:rsidRPr="00991444">
        <w:t>https://www.dss.gov.au/our-responsibilities/disability-and-carers/benefits-payments/carer-allowance/guide-to-the-list-of-recognised-disabilities</w:t>
      </w:r>
      <w:r>
        <w:t xml:space="preserve">&gt;. </w:t>
      </w:r>
    </w:p>
  </w:endnote>
  <w:endnote w:id="179">
    <w:p w:rsidRPr="00991444" w:rsidR="00A1106D" w:rsidP="00D64D7D" w:rsidRDefault="00A1106D" w14:paraId="4DFF763B" w14:textId="77777777">
      <w:pPr>
        <w:pStyle w:val="EndnoteText"/>
      </w:pPr>
      <w:r>
        <w:rPr>
          <w:rStyle w:val="EndnoteReference"/>
        </w:rPr>
        <w:endnoteRef/>
      </w:r>
      <w:r>
        <w:t xml:space="preserve"> Australian Institute of Health and Welfare and Closing the Gap Clearinghouse, </w:t>
      </w:r>
      <w:r>
        <w:rPr>
          <w:i/>
          <w:iCs/>
        </w:rPr>
        <w:t xml:space="preserve">Fetal alcohol spectrum disorders: a review of interventions for prevention and management in indigenous communities </w:t>
      </w:r>
      <w:r>
        <w:t>(Resource Sheet No. 36, February 2015) &lt;</w:t>
      </w:r>
      <w:r w:rsidRPr="00991444">
        <w:t>https://www.aihw.gov.au/getmedia/778f54f3-5618-428f-a094-40c347ed3c7f/ctgc-rs36.pdf.aspx?inline=true</w:t>
      </w:r>
      <w:r>
        <w:t xml:space="preserve">&gt;. </w:t>
      </w:r>
    </w:p>
  </w:endnote>
  <w:endnote w:id="180">
    <w:p w:rsidRPr="005C47B4" w:rsidR="00A1106D" w:rsidP="00D64D7D" w:rsidRDefault="00A1106D" w14:paraId="5C678395" w14:textId="77777777">
      <w:pPr>
        <w:pStyle w:val="EndnoteText"/>
      </w:pPr>
      <w:r>
        <w:rPr>
          <w:rStyle w:val="EndnoteReference"/>
        </w:rPr>
        <w:endnoteRef/>
      </w:r>
      <w:r>
        <w:t xml:space="preserve"> Clare S. Allely and Piersanti Gebbia, ‘Studies Investigating Fetal Alcohol Spectrum Disorders in the Criminal Justice System: A Systematic PRISMA Review’ (2016) 3(1) </w:t>
      </w:r>
      <w:r>
        <w:rPr>
          <w:i/>
          <w:iCs/>
        </w:rPr>
        <w:t xml:space="preserve">SOJ Psychology </w:t>
      </w:r>
      <w:r>
        <w:t xml:space="preserve">1, 1-11; Larry K. Burd, Diane K. Fast, Julianne Conry and Andrew Williams, ‘Fetal Alcohol Spectrum Disorder as a Marker for Increased Risk of Involvement with Correction Systems’ (2010) 38(4) </w:t>
      </w:r>
      <w:r>
        <w:rPr>
          <w:i/>
          <w:iCs/>
        </w:rPr>
        <w:t>The Journal of Psychiatry &amp; Law</w:t>
      </w:r>
      <w:r>
        <w:t xml:space="preserve"> 24, 24.</w:t>
      </w:r>
    </w:p>
  </w:endnote>
  <w:endnote w:id="181">
    <w:p w:rsidRPr="002C5355" w:rsidR="00A1106D" w:rsidP="00D64D7D" w:rsidRDefault="00A1106D" w14:paraId="0A2FD648" w14:textId="77777777">
      <w:pPr>
        <w:pStyle w:val="EndnoteText"/>
      </w:pPr>
      <w:r>
        <w:rPr>
          <w:rStyle w:val="EndnoteReference"/>
        </w:rPr>
        <w:endnoteRef/>
      </w:r>
      <w:r>
        <w:t xml:space="preserve"> Mike Hellenbach, Thanos Karatzias and Michael Brown, ‘Intellectual Disabilities Among Prisoners: Prevalence and Mental and Physical Health Comorbidities’ (2017) 30(2) </w:t>
      </w:r>
      <w:r>
        <w:rPr>
          <w:i/>
          <w:iCs/>
        </w:rPr>
        <w:t>Journal of Applied Research in Intellectual Disabilities</w:t>
      </w:r>
      <w:r>
        <w:t xml:space="preserve"> 230, 237.</w:t>
      </w:r>
    </w:p>
  </w:endnote>
  <w:endnote w:id="182">
    <w:p w:rsidRPr="002E1B97" w:rsidR="00A1106D" w:rsidP="00D64D7D" w:rsidRDefault="00A1106D" w14:paraId="683C31E4" w14:textId="77777777">
      <w:pPr>
        <w:pStyle w:val="EndnoteText"/>
      </w:pPr>
      <w:r>
        <w:rPr>
          <w:rStyle w:val="EndnoteReference"/>
        </w:rPr>
        <w:endnoteRef/>
      </w:r>
      <w:r>
        <w:t xml:space="preserve"> Nick Alderman, Caroline Knight and Jennifer Brooks, ‘Therapy for Acquired Brain Injury’ in Anthony R. Beech, Adam J. Carter, Ruth E. Mann and Pia Rotshtein (eds), </w:t>
      </w:r>
      <w:r>
        <w:rPr>
          <w:i/>
          <w:iCs/>
        </w:rPr>
        <w:t xml:space="preserve">The Wiley Blackwell Handbook of Forensic Neuroscience </w:t>
      </w:r>
      <w:r>
        <w:t xml:space="preserve">(Wiley-Blackwell, 2018) 631, 634-635; Angela Colantonio, Hwan Kim, Stefan Allen, Mark Asbridge, Josian Petgrave and Serge Brochu, ‘Traumatic Brain Injury and Early Life Experiences Among Men and Women in a Prison Population’ (2014) 20(4) </w:t>
      </w:r>
      <w:r>
        <w:rPr>
          <w:i/>
          <w:iCs/>
        </w:rPr>
        <w:t xml:space="preserve">J Correct Health Care </w:t>
      </w:r>
      <w:r>
        <w:t xml:space="preserve">271, 273-275; Glenn Kelly, Suzanne Brown and Grahame Simpson, ‘The Building Bridges project: Linking disconnected service networks in acquired brain injury and criminal justice’ (2018) 8(1) </w:t>
      </w:r>
      <w:r>
        <w:rPr>
          <w:i/>
          <w:iCs/>
        </w:rPr>
        <w:t>Neuropsychology Rehabilitation</w:t>
      </w:r>
      <w:r>
        <w:t xml:space="preserve"> 1. </w:t>
      </w:r>
    </w:p>
  </w:endnote>
  <w:endnote w:id="183">
    <w:p w:rsidR="00A1106D" w:rsidP="001F6533" w:rsidRDefault="00A1106D" w14:paraId="19D80410" w14:textId="77777777">
      <w:pPr>
        <w:pStyle w:val="EndnoteText"/>
      </w:pPr>
      <w:r>
        <w:rPr>
          <w:rStyle w:val="EndnoteReference"/>
        </w:rPr>
        <w:endnoteRef/>
      </w:r>
      <w:r>
        <w:t xml:space="preserve"> Issues Paper, above n 2, Question 2B.</w:t>
      </w:r>
    </w:p>
  </w:endnote>
  <w:endnote w:id="184">
    <w:p w:rsidR="00A1106D" w:rsidP="001F6533" w:rsidRDefault="00A1106D" w14:paraId="0F2096A8" w14:textId="77777777">
      <w:pPr>
        <w:pStyle w:val="EndnoteText"/>
      </w:pPr>
      <w:r>
        <w:rPr>
          <w:rStyle w:val="EndnoteReference"/>
        </w:rPr>
        <w:endnoteRef/>
      </w:r>
      <w:r>
        <w:t xml:space="preserve"> Issues Paper, above n 2, Questions 2A and 7A.</w:t>
      </w:r>
    </w:p>
  </w:endnote>
  <w:endnote w:id="185">
    <w:p w:rsidR="00A1106D" w:rsidRDefault="00A1106D" w14:paraId="756C996F" w14:textId="08F064D2">
      <w:pPr>
        <w:pStyle w:val="EndnoteText"/>
      </w:pPr>
      <w:r>
        <w:rPr>
          <w:rStyle w:val="EndnoteReference"/>
        </w:rPr>
        <w:endnoteRef/>
      </w:r>
      <w:r>
        <w:t xml:space="preserve"> </w:t>
      </w:r>
      <w:r>
        <w:rPr>
          <w:rFonts w:cs="Open Sans"/>
        </w:rPr>
        <w:t>Issues Paper, above n 2</w:t>
      </w:r>
      <w:r w:rsidRPr="00A75327">
        <w:t>, Questions 7A</w:t>
      </w:r>
      <w:r>
        <w:t xml:space="preserve"> and 7B</w:t>
      </w:r>
      <w:r w:rsidRPr="00A75327">
        <w:t>.</w:t>
      </w:r>
    </w:p>
  </w:endnote>
  <w:endnote w:id="186">
    <w:p w:rsidR="00A1106D" w:rsidP="005430F8" w:rsidRDefault="00A1106D" w14:paraId="25B60E0E" w14:textId="7A54FA53">
      <w:pPr>
        <w:pStyle w:val="EndnoteText"/>
      </w:pPr>
      <w:r>
        <w:rPr>
          <w:rStyle w:val="EndnoteReference"/>
        </w:rPr>
        <w:endnoteRef/>
      </w:r>
      <w:r>
        <w:t xml:space="preserve"> Victorian Equal Opportunity &amp; Human Rights Commission, </w:t>
      </w:r>
      <w:r>
        <w:rPr>
          <w:i/>
          <w:iCs/>
        </w:rPr>
        <w:t>‘Beyond doubt: The experiences of people with disabilities reporting crime – Research findings’</w:t>
      </w:r>
      <w:r>
        <w:t xml:space="preserve"> (July 2014) 27; Senate Community Affairs Committee, ‘</w:t>
      </w:r>
      <w:r>
        <w:rPr>
          <w:i/>
          <w:iC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t xml:space="preserve"> (25 November 2015) [2.68] &lt;</w:t>
      </w:r>
      <w:r w:rsidRPr="00756CAB">
        <w:t>https://www.aph.gov.au/Parliamentary_Business/Committees/Senate/Community_Affairs/Violence_abuse_neglect/Report</w:t>
      </w:r>
      <w:r>
        <w:t>&gt;.</w:t>
      </w:r>
    </w:p>
  </w:endnote>
  <w:endnote w:id="187">
    <w:p w:rsidR="00A1106D" w:rsidRDefault="00A1106D" w14:paraId="64FC5A11" w14:textId="13A0E796">
      <w:pPr>
        <w:pStyle w:val="EndnoteText"/>
      </w:pPr>
      <w:r>
        <w:rPr>
          <w:rStyle w:val="EndnoteReference"/>
        </w:rPr>
        <w:endnoteRef/>
      </w:r>
      <w:r>
        <w:t xml:space="preserve"> Victorian Equal Opportunity &amp; Human Rights Commission, above n 18</w:t>
      </w:r>
      <w:r w:rsidR="00CD2F17">
        <w:t>5</w:t>
      </w:r>
      <w:r>
        <w:t>, 27.</w:t>
      </w:r>
    </w:p>
  </w:endnote>
  <w:endnote w:id="188">
    <w:p w:rsidR="00A1106D" w:rsidRDefault="00A1106D" w14:paraId="6DEF4C51" w14:textId="7BC9512E">
      <w:pPr>
        <w:pStyle w:val="EndnoteText"/>
      </w:pPr>
      <w:r>
        <w:rPr>
          <w:rStyle w:val="EndnoteReference"/>
        </w:rPr>
        <w:endnoteRef/>
      </w:r>
      <w:r>
        <w:t xml:space="preserve"> Ibid 27.</w:t>
      </w:r>
    </w:p>
  </w:endnote>
  <w:endnote w:id="189">
    <w:p w:rsidR="00A1106D" w:rsidRDefault="00A1106D" w14:paraId="16586155" w14:textId="18FA39F3">
      <w:pPr>
        <w:pStyle w:val="EndnoteText"/>
      </w:pPr>
      <w:r>
        <w:rPr>
          <w:rStyle w:val="EndnoteReference"/>
        </w:rPr>
        <w:endnoteRef/>
      </w:r>
      <w:r>
        <w:t xml:space="preserve"> Mark Sherry, ‘</w:t>
      </w:r>
      <w:r w:rsidRPr="00734F50">
        <w:t>Hate Crimes Against People with Disabilities</w:t>
      </w:r>
      <w:r>
        <w:t>’ (Research Paper, University of Queensland School of Social Work, January 2000).</w:t>
      </w:r>
    </w:p>
  </w:endnote>
  <w:endnote w:id="190">
    <w:p w:rsidR="00A1106D" w:rsidRDefault="00A1106D" w14:paraId="3832552B" w14:textId="1EE116CC">
      <w:pPr>
        <w:pStyle w:val="EndnoteText"/>
      </w:pPr>
      <w:r>
        <w:rPr>
          <w:rStyle w:val="EndnoteReference"/>
        </w:rPr>
        <w:endnoteRef/>
      </w:r>
      <w:r>
        <w:t xml:space="preserve"> </w:t>
      </w:r>
      <w:r w:rsidRPr="00B45BDF">
        <w:t xml:space="preserve">Law Council of Australia, </w:t>
      </w:r>
      <w:r w:rsidR="00CD2F17">
        <w:t xml:space="preserve">above n 76, </w:t>
      </w:r>
      <w:r>
        <w:t>23</w:t>
      </w:r>
      <w:r w:rsidRPr="00B45BDF">
        <w:t>.</w:t>
      </w:r>
    </w:p>
  </w:endnote>
  <w:endnote w:id="191">
    <w:p w:rsidR="00A1106D" w:rsidRDefault="00A1106D" w14:paraId="6F97D341" w14:textId="3BB850D9">
      <w:pPr>
        <w:pStyle w:val="EndnoteText"/>
      </w:pPr>
      <w:r>
        <w:rPr>
          <w:rStyle w:val="EndnoteReference"/>
        </w:rPr>
        <w:endnoteRef/>
      </w:r>
      <w:r>
        <w:t xml:space="preserve"> </w:t>
      </w:r>
      <w:r>
        <w:rPr>
          <w:i/>
          <w:iCs/>
        </w:rPr>
        <w:t>National Disability Strategy 2010-2020</w:t>
      </w:r>
      <w:r>
        <w:t>, above n 34, 39 &lt;</w:t>
      </w:r>
      <w:r w:rsidRPr="004E27A8">
        <w:rPr>
          <w:rFonts w:eastAsia="Open Sans" w:cs="Open Sans"/>
        </w:rPr>
        <w:t>https://www.dss.gov.au/sites/default/files/documents/05_2012/national_disability_strategy_2010_2020.pdf&gt;</w:t>
      </w:r>
      <w:r>
        <w:t>.</w:t>
      </w:r>
    </w:p>
  </w:endnote>
  <w:endnote w:id="192">
    <w:p w:rsidRPr="00086339" w:rsidR="00A1106D" w:rsidRDefault="00A1106D" w14:paraId="3211BE3C" w14:textId="69C11BC9">
      <w:pPr>
        <w:pStyle w:val="EndnoteText"/>
      </w:pPr>
      <w:r>
        <w:rPr>
          <w:rStyle w:val="EndnoteReference"/>
        </w:rPr>
        <w:endnoteRef/>
      </w:r>
      <w:r>
        <w:t xml:space="preserve"> Carlene Wilson, Ted Nettelbeck, Rob Potter and Caroline Perry, ‘Intellectual disability and criminal victimisation’, (1996) 60 </w:t>
      </w:r>
      <w:r>
        <w:rPr>
          <w:i/>
          <w:iCs/>
        </w:rPr>
        <w:t>Trends &amp; Issues in Crime and Criminal Justice</w:t>
      </w:r>
      <w:r>
        <w:t xml:space="preserve"> 1, 2.</w:t>
      </w:r>
    </w:p>
  </w:endnote>
  <w:endnote w:id="193">
    <w:p w:rsidR="00A1106D" w:rsidRDefault="00A1106D" w14:paraId="6FF18393" w14:textId="57F2246D">
      <w:pPr>
        <w:pStyle w:val="EndnoteText"/>
      </w:pPr>
      <w:r>
        <w:rPr>
          <w:rStyle w:val="EndnoteReference"/>
        </w:rPr>
        <w:endnoteRef/>
      </w:r>
      <w:r>
        <w:t xml:space="preserve"> Margaret Camilleri, 'Enabling justice: New ways forward - pathways to change' (Research Paper, National Victims of Crime Conference, Brisbane, September 2008); Margaret Camilleri, '[Dis]Abled justice: why reports of sexual assaults made by adults with cognitive impairment fail to proceed through the justice system (Doctoral Dissertation, University of Ballarat, 2010); Sally Robinson, 'Enabling and protecting: Proactive approaches to addressing the abuse and neglect of children and young people with disability' (Centre for Children and Young People Paper, 2012) 13; VicHealth, </w:t>
      </w:r>
      <w:r w:rsidRPr="000130CA">
        <w:rPr>
          <w:i/>
          <w:iCs/>
        </w:rPr>
        <w:t>Violence against women in Australia: An overview of research and approaches to primary prevention</w:t>
      </w:r>
      <w:r>
        <w:t xml:space="preserve"> (Report, January 2017) 8.</w:t>
      </w:r>
    </w:p>
  </w:endnote>
  <w:endnote w:id="194">
    <w:p w:rsidR="00A1106D" w:rsidRDefault="00A1106D" w14:paraId="7B6674B8" w14:textId="45A8A893">
      <w:pPr>
        <w:pStyle w:val="EndnoteText"/>
      </w:pPr>
      <w:r>
        <w:rPr>
          <w:rStyle w:val="EndnoteReference"/>
        </w:rPr>
        <w:endnoteRef/>
      </w:r>
      <w:r>
        <w:t xml:space="preserve"> Eileen Baldry, Ruth McCausland, Leanne Dowse and Elizabeth McEntyre, </w:t>
      </w:r>
      <w:r>
        <w:rPr>
          <w:i/>
          <w:iCs/>
        </w:rPr>
        <w:t>‘</w:t>
      </w:r>
      <w:r w:rsidRPr="00A040F1">
        <w:t>A predictable and preventable path: Aboriginal people with mental and cognitive disabilities in the criminal justice system’</w:t>
      </w:r>
      <w:r>
        <w:rPr>
          <w:i/>
          <w:iCs/>
        </w:rPr>
        <w:t xml:space="preserve"> </w:t>
      </w:r>
      <w:r>
        <w:t>(Research Paper, University of New South Wales, 2015) 74 &lt;</w:t>
      </w:r>
      <w:r w:rsidRPr="00396E68">
        <w:t>https://www.mhdcd.unsw.edu.au/</w:t>
      </w:r>
      <w:r>
        <w:t>&gt;.</w:t>
      </w:r>
    </w:p>
  </w:endnote>
  <w:endnote w:id="195">
    <w:p w:rsidR="00A1106D" w:rsidRDefault="00A1106D" w14:paraId="0FE0894A" w14:textId="0A54024F">
      <w:pPr>
        <w:pStyle w:val="EndnoteText"/>
      </w:pPr>
      <w:r>
        <w:rPr>
          <w:rStyle w:val="EndnoteReference"/>
        </w:rPr>
        <w:endnoteRef/>
      </w:r>
      <w:r w:rsidR="00CD2F17">
        <w:t>Ibid 74</w:t>
      </w:r>
      <w:r>
        <w:t>.</w:t>
      </w:r>
    </w:p>
  </w:endnote>
  <w:endnote w:id="196">
    <w:p w:rsidR="00A1106D" w:rsidP="00756CAB" w:rsidRDefault="00A1106D" w14:paraId="44C359FA" w14:textId="4BE63413">
      <w:pPr>
        <w:pStyle w:val="EndnoteText"/>
      </w:pPr>
      <w:r>
        <w:rPr>
          <w:rStyle w:val="EndnoteReference"/>
        </w:rPr>
        <w:endnoteRef/>
      </w:r>
      <w:r>
        <w:t xml:space="preserve"> Senate Community Affairs Committee, </w:t>
      </w:r>
      <w:r w:rsidR="00CD2F17">
        <w:t>above n 185,</w:t>
      </w:r>
      <w:r>
        <w:t xml:space="preserve"> [6.17] &lt;</w:t>
      </w:r>
      <w:r w:rsidRPr="00756CAB">
        <w:t>https://www.aph.gov.au/Parliamentary_Business/Committees/Senate/Community_Affairs/Violence_abuse_neglect/Report</w:t>
      </w:r>
      <w:r>
        <w:t>&gt;.</w:t>
      </w:r>
    </w:p>
  </w:endnote>
  <w:endnote w:id="197">
    <w:p w:rsidR="00A1106D" w:rsidRDefault="00A1106D" w14:paraId="1FD9E486" w14:textId="1F584119">
      <w:pPr>
        <w:pStyle w:val="EndnoteText"/>
      </w:pPr>
      <w:r>
        <w:rPr>
          <w:rStyle w:val="EndnoteReference"/>
        </w:rPr>
        <w:endnoteRef/>
      </w:r>
      <w:r>
        <w:t xml:space="preserve"> </w:t>
      </w:r>
      <w:r>
        <w:rPr>
          <w:rFonts w:cs="Open Sans"/>
        </w:rPr>
        <w:t>Issues Paper, above n 2</w:t>
      </w:r>
      <w:r w:rsidRPr="004D006A">
        <w:t>, Questions 7A</w:t>
      </w:r>
      <w:r>
        <w:t xml:space="preserve"> and 8A</w:t>
      </w:r>
      <w:r w:rsidRPr="004D006A">
        <w:t>.</w:t>
      </w:r>
    </w:p>
  </w:endnote>
  <w:endnote w:id="198">
    <w:p w:rsidR="00A1106D" w:rsidRDefault="00A1106D" w14:paraId="77EA8E48" w14:textId="5968A6A0">
      <w:pPr>
        <w:pStyle w:val="EndnoteText"/>
      </w:pPr>
      <w:r>
        <w:rPr>
          <w:rStyle w:val="EndnoteReference"/>
        </w:rPr>
        <w:endnoteRef/>
      </w:r>
      <w:r>
        <w:t xml:space="preserve"> Australian Human Rights Commission, </w:t>
      </w:r>
      <w:r>
        <w:rPr>
          <w:rFonts w:cs="Open Sans"/>
        </w:rPr>
        <w:t>above n 7</w:t>
      </w:r>
      <w:r w:rsidR="00CD2F17">
        <w:rPr>
          <w:rFonts w:cs="Open Sans"/>
        </w:rPr>
        <w:t>6</w:t>
      </w:r>
      <w:r>
        <w:t>, 20.</w:t>
      </w:r>
    </w:p>
  </w:endnote>
  <w:endnote w:id="199">
    <w:p w:rsidR="00A1106D" w:rsidRDefault="00A1106D" w14:paraId="4308A344" w14:textId="2B5DFA8D">
      <w:pPr>
        <w:pStyle w:val="EndnoteText"/>
      </w:pPr>
      <w:r>
        <w:rPr>
          <w:rStyle w:val="EndnoteReference"/>
        </w:rPr>
        <w:endnoteRef/>
      </w:r>
      <w:r>
        <w:t xml:space="preserve"> Ibid 20.</w:t>
      </w:r>
    </w:p>
  </w:endnote>
  <w:endnote w:id="200">
    <w:p w:rsidR="00A1106D" w:rsidRDefault="00A1106D" w14:paraId="63F0EF2C" w14:textId="14F03AE0">
      <w:pPr>
        <w:pStyle w:val="EndnoteText"/>
      </w:pPr>
      <w:r>
        <w:rPr>
          <w:rStyle w:val="EndnoteReference"/>
        </w:rPr>
        <w:endnoteRef/>
      </w:r>
      <w:r>
        <w:t xml:space="preserve"> Ibid 20.</w:t>
      </w:r>
    </w:p>
  </w:endnote>
  <w:endnote w:id="201">
    <w:p w:rsidR="00A1106D" w:rsidRDefault="00A1106D" w14:paraId="573188A1" w14:textId="1ECD2D48">
      <w:pPr>
        <w:pStyle w:val="EndnoteText"/>
      </w:pPr>
      <w:r>
        <w:rPr>
          <w:rStyle w:val="EndnoteReference"/>
        </w:rPr>
        <w:endnoteRef/>
      </w:r>
      <w:r>
        <w:t xml:space="preserve"> Victorian Equal Opportunity &amp; Human Rights Commission,</w:t>
      </w:r>
      <w:r w:rsidRPr="00B06220">
        <w:t xml:space="preserve"> </w:t>
      </w:r>
      <w:r>
        <w:t>above n 18</w:t>
      </w:r>
      <w:r w:rsidR="00CD2F17">
        <w:t>5</w:t>
      </w:r>
      <w:r>
        <w:t>, 43.</w:t>
      </w:r>
    </w:p>
  </w:endnote>
  <w:endnote w:id="202">
    <w:p w:rsidR="00A1106D" w:rsidRDefault="00A1106D" w14:paraId="3F04268E" w14:textId="7BFD9DEF">
      <w:pPr>
        <w:pStyle w:val="EndnoteText"/>
      </w:pPr>
      <w:r>
        <w:rPr>
          <w:rStyle w:val="EndnoteReference"/>
        </w:rPr>
        <w:endnoteRef/>
      </w:r>
      <w:r>
        <w:t xml:space="preserve"> Ibid 40.</w:t>
      </w:r>
    </w:p>
  </w:endnote>
  <w:endnote w:id="203">
    <w:p w:rsidR="00A1106D" w:rsidRDefault="00A1106D" w14:paraId="0D648E16" w14:textId="2CC9084D">
      <w:pPr>
        <w:pStyle w:val="EndnoteText"/>
      </w:pPr>
      <w:r>
        <w:rPr>
          <w:rStyle w:val="EndnoteReference"/>
        </w:rPr>
        <w:endnoteRef/>
      </w:r>
      <w:r>
        <w:t xml:space="preserve"> Ibid 40; Margaret Camilleri, </w:t>
      </w:r>
      <w:r w:rsidR="00CD2F17">
        <w:t>above n 192,</w:t>
      </w:r>
      <w:r>
        <w:t xml:space="preserve"> 185.</w:t>
      </w:r>
    </w:p>
  </w:endnote>
  <w:endnote w:id="204">
    <w:p w:rsidR="00A1106D" w:rsidRDefault="00A1106D" w14:paraId="5362951B" w14:textId="30005B76">
      <w:pPr>
        <w:pStyle w:val="EndnoteText"/>
      </w:pPr>
      <w:r>
        <w:rPr>
          <w:rStyle w:val="EndnoteReference"/>
        </w:rPr>
        <w:endnoteRef/>
      </w:r>
      <w:r>
        <w:t xml:space="preserve"> Ellen Frances Fraser-Barbour, Ruth Crocker and Ruth Walker, ‘Barriers and facilitators in supporting people with intellectual disability to report sexual violence: Perspectives of Australian disability and mainstream support providers’, (2017) 20(1) </w:t>
      </w:r>
      <w:r>
        <w:rPr>
          <w:i/>
          <w:iCs/>
        </w:rPr>
        <w:t xml:space="preserve">The Journal of Adult Protection </w:t>
      </w:r>
      <w:r>
        <w:t>5,</w:t>
      </w:r>
      <w:r>
        <w:rPr>
          <w:i/>
          <w:iCs/>
        </w:rPr>
        <w:t xml:space="preserve"> </w:t>
      </w:r>
      <w:r>
        <w:t>7.</w:t>
      </w:r>
    </w:p>
  </w:endnote>
  <w:endnote w:id="205">
    <w:p w:rsidR="00A1106D" w:rsidRDefault="00A1106D" w14:paraId="6E79CDD2" w14:textId="37502C0B">
      <w:pPr>
        <w:pStyle w:val="EndnoteText"/>
      </w:pPr>
      <w:r>
        <w:rPr>
          <w:rStyle w:val="EndnoteReference"/>
        </w:rPr>
        <w:endnoteRef/>
      </w:r>
      <w:r>
        <w:t xml:space="preserve"> Ibid 7; Victorian Equal Opportunity &amp; Human Rights Commission, above n 18</w:t>
      </w:r>
      <w:r w:rsidR="00CD2F17">
        <w:t>5</w:t>
      </w:r>
      <w:r>
        <w:t>, 46-47.</w:t>
      </w:r>
    </w:p>
  </w:endnote>
  <w:endnote w:id="206">
    <w:p w:rsidR="00A1106D" w:rsidRDefault="00A1106D" w14:paraId="50E9B244" w14:textId="19B67312">
      <w:pPr>
        <w:pStyle w:val="EndnoteText"/>
      </w:pPr>
      <w:r>
        <w:rPr>
          <w:rStyle w:val="EndnoteReference"/>
        </w:rPr>
        <w:endnoteRef/>
      </w:r>
      <w:r>
        <w:t xml:space="preserve"> Australian Human Rights Commission, </w:t>
      </w:r>
      <w:r>
        <w:rPr>
          <w:rFonts w:cs="Open Sans"/>
        </w:rPr>
        <w:t>above n 7</w:t>
      </w:r>
      <w:r w:rsidR="00CD2F17">
        <w:rPr>
          <w:rFonts w:cs="Open Sans"/>
        </w:rPr>
        <w:t>6</w:t>
      </w:r>
      <w:r>
        <w:t>, 8-19.</w:t>
      </w:r>
    </w:p>
  </w:endnote>
  <w:endnote w:id="207">
    <w:p w:rsidR="00A1106D" w:rsidRDefault="00A1106D" w14:paraId="506D9E18" w14:textId="139011D2">
      <w:pPr>
        <w:pStyle w:val="EndnoteText"/>
      </w:pPr>
      <w:r>
        <w:rPr>
          <w:rStyle w:val="EndnoteReference"/>
        </w:rPr>
        <w:endnoteRef/>
      </w:r>
      <w:r>
        <w:t xml:space="preserve"> Ibid 19. </w:t>
      </w:r>
    </w:p>
  </w:endnote>
  <w:endnote w:id="208">
    <w:p w:rsidR="00A1106D" w:rsidRDefault="00A1106D" w14:paraId="1F1F7878" w14:textId="2CA34066">
      <w:pPr>
        <w:pStyle w:val="EndnoteText"/>
      </w:pPr>
      <w:r>
        <w:rPr>
          <w:rStyle w:val="EndnoteReference"/>
        </w:rPr>
        <w:endnoteRef/>
      </w:r>
      <w:r>
        <w:t xml:space="preserve"> Ibid 19.</w:t>
      </w:r>
    </w:p>
  </w:endnote>
  <w:endnote w:id="209">
    <w:p w:rsidR="00A1106D" w:rsidRDefault="00A1106D" w14:paraId="442BC6C3" w14:textId="7B7EE7F1">
      <w:pPr>
        <w:pStyle w:val="EndnoteText"/>
      </w:pPr>
      <w:r>
        <w:rPr>
          <w:rStyle w:val="EndnoteReference"/>
        </w:rPr>
        <w:endnoteRef/>
      </w:r>
      <w:r>
        <w:t xml:space="preserve"> The Justice Advocacy Service (JAS) in NSW is a service of the Intellectual Disability Rights Service (IDRS), funded by the New South Wales Government. </w:t>
      </w:r>
    </w:p>
  </w:endnote>
  <w:endnote w:id="210">
    <w:p w:rsidR="00A1106D" w:rsidRDefault="00A1106D" w14:paraId="717D4E8D" w14:textId="258E056D">
      <w:pPr>
        <w:pStyle w:val="EndnoteText"/>
      </w:pPr>
      <w:r>
        <w:rPr>
          <w:rStyle w:val="EndnoteReference"/>
        </w:rPr>
        <w:endnoteRef/>
      </w:r>
      <w:r>
        <w:t xml:space="preserve"> The Independent Third Persons (ITP) program in Victoria is provided by the Office of the Public Advocate (OPA). </w:t>
      </w:r>
    </w:p>
  </w:endnote>
  <w:endnote w:id="211">
    <w:p w:rsidR="00A1106D" w:rsidRDefault="00A1106D" w14:paraId="00C3CA51" w14:textId="1678FBB9">
      <w:pPr>
        <w:pStyle w:val="EndnoteText"/>
      </w:pPr>
      <w:r>
        <w:rPr>
          <w:rStyle w:val="EndnoteReference"/>
        </w:rPr>
        <w:endnoteRef/>
      </w:r>
      <w:r>
        <w:t xml:space="preserve"> Australia’s National Research Organisation for Women’s Safety (ANROWS), </w:t>
      </w:r>
      <w:r>
        <w:rPr>
          <w:i/>
          <w:iCs/>
        </w:rPr>
        <w:t xml:space="preserve">‘Women, disability and violence: Barriers to accessing justice: Final Report’ </w:t>
      </w:r>
      <w:r>
        <w:t>(April 2018) 31.</w:t>
      </w:r>
    </w:p>
  </w:endnote>
  <w:endnote w:id="212">
    <w:p w:rsidR="00A1106D" w:rsidRDefault="00A1106D" w14:paraId="27D02D41" w14:textId="0769418D">
      <w:pPr>
        <w:pStyle w:val="EndnoteText"/>
      </w:pPr>
      <w:r>
        <w:rPr>
          <w:rStyle w:val="EndnoteReference"/>
        </w:rPr>
        <w:endnoteRef/>
      </w:r>
      <w:r>
        <w:t xml:space="preserve"> Victorian Equal Opportunity &amp; Human Rights Commission,</w:t>
      </w:r>
      <w:r w:rsidRPr="00B06220">
        <w:t xml:space="preserve"> </w:t>
      </w:r>
      <w:r>
        <w:t>above n 18</w:t>
      </w:r>
      <w:r w:rsidR="00CD2F17">
        <w:t>5</w:t>
      </w:r>
      <w:r>
        <w:t>, 44.</w:t>
      </w:r>
    </w:p>
  </w:endnote>
  <w:endnote w:id="213">
    <w:p w:rsidRPr="00BB44A8" w:rsidR="00A1106D" w:rsidRDefault="00A1106D" w14:paraId="237B15AD" w14:textId="33CD5E45">
      <w:pPr>
        <w:pStyle w:val="EndnoteText"/>
      </w:pPr>
      <w:r>
        <w:rPr>
          <w:rStyle w:val="EndnoteReference"/>
        </w:rPr>
        <w:endnoteRef/>
      </w:r>
      <w:r>
        <w:t xml:space="preserve"> Jessica Cadwallader, Claire Spivakovsky, Linda Steele and Dinesh Wadiwel, ‘Institutional violence against people with disability: Recent legal and political developments’, (2018) 29(3) </w:t>
      </w:r>
      <w:r>
        <w:rPr>
          <w:i/>
          <w:iCs/>
        </w:rPr>
        <w:t>Current Issues in Criminal Justice</w:t>
      </w:r>
      <w:r>
        <w:t xml:space="preserve"> 259, 260.</w:t>
      </w:r>
    </w:p>
  </w:endnote>
  <w:endnote w:id="214">
    <w:p w:rsidR="00A1106D" w:rsidRDefault="00A1106D" w14:paraId="5740CCAF" w14:textId="1C7EF0F9">
      <w:pPr>
        <w:pStyle w:val="EndnoteText"/>
      </w:pPr>
      <w:r>
        <w:rPr>
          <w:rStyle w:val="EndnoteReference"/>
        </w:rPr>
        <w:endnoteRef/>
      </w:r>
      <w:r>
        <w:t xml:space="preserve"> Ibid 260; </w:t>
      </w:r>
      <w:r>
        <w:rPr>
          <w:rFonts w:cs="Open Sans"/>
        </w:rPr>
        <w:t>Issues Paper, above n 2</w:t>
      </w:r>
      <w:r w:rsidRPr="00F156A6">
        <w:t>, Question</w:t>
      </w:r>
      <w:r>
        <w:t xml:space="preserve"> </w:t>
      </w:r>
      <w:r w:rsidRPr="00F156A6">
        <w:t>7A</w:t>
      </w:r>
      <w:r>
        <w:t>.</w:t>
      </w:r>
    </w:p>
  </w:endnote>
  <w:endnote w:id="215">
    <w:p w:rsidR="00A1106D" w:rsidRDefault="00A1106D" w14:paraId="6D5A47CF" w14:textId="6C0460B0">
      <w:pPr>
        <w:pStyle w:val="EndnoteText"/>
      </w:pPr>
      <w:r>
        <w:rPr>
          <w:rStyle w:val="EndnoteReference"/>
        </w:rPr>
        <w:endnoteRef/>
      </w:r>
      <w:r>
        <w:t xml:space="preserve"> </w:t>
      </w:r>
      <w:bookmarkStart w:name="_Hlk34313482" w:id="36"/>
      <w:r>
        <w:t>Victorian Equal Opportunity &amp; Human Rights Commission,</w:t>
      </w:r>
      <w:r w:rsidRPr="00B06220">
        <w:t xml:space="preserve"> </w:t>
      </w:r>
      <w:r>
        <w:t>above n 18</w:t>
      </w:r>
      <w:r w:rsidR="00CD2F17">
        <w:t>5</w:t>
      </w:r>
      <w:r>
        <w:t>, 37.</w:t>
      </w:r>
    </w:p>
    <w:bookmarkEnd w:id="36"/>
  </w:endnote>
  <w:endnote w:id="216">
    <w:p w:rsidR="00A1106D" w:rsidRDefault="00A1106D" w14:paraId="5BB87A1F" w14:textId="063668BA">
      <w:pPr>
        <w:pStyle w:val="EndnoteText"/>
      </w:pPr>
      <w:r>
        <w:rPr>
          <w:rStyle w:val="EndnoteReference"/>
        </w:rPr>
        <w:endnoteRef/>
      </w:r>
      <w:r>
        <w:t xml:space="preserve"> Ibid </w:t>
      </w:r>
      <w:r w:rsidRPr="005E5351">
        <w:t>3</w:t>
      </w:r>
      <w:r>
        <w:t>5</w:t>
      </w:r>
      <w:r w:rsidRPr="005E5351">
        <w:t>.</w:t>
      </w:r>
    </w:p>
  </w:endnote>
  <w:endnote w:id="217">
    <w:p w:rsidR="00A1106D" w:rsidP="00780A20" w:rsidRDefault="00A1106D" w14:paraId="22BE2ACB" w14:textId="3065B3C8">
      <w:pPr>
        <w:pStyle w:val="EndnoteText"/>
      </w:pPr>
      <w:r>
        <w:rPr>
          <w:rStyle w:val="EndnoteReference"/>
        </w:rPr>
        <w:endnoteRef/>
      </w:r>
      <w:r>
        <w:t xml:space="preserve"> Ibid 9; </w:t>
      </w:r>
      <w:r>
        <w:rPr>
          <w:rFonts w:cs="Open Sans"/>
        </w:rPr>
        <w:t>Issues Paper, above n 2</w:t>
      </w:r>
      <w:r w:rsidRPr="0010765E">
        <w:t>, Question</w:t>
      </w:r>
      <w:r>
        <w:t xml:space="preserve"> </w:t>
      </w:r>
      <w:r w:rsidRPr="0010765E">
        <w:t>7A.</w:t>
      </w:r>
    </w:p>
  </w:endnote>
  <w:endnote w:id="218">
    <w:p w:rsidR="00A1106D" w:rsidP="00780A20" w:rsidRDefault="00A1106D" w14:paraId="747C79CC" w14:textId="7EFE2F0D">
      <w:pPr>
        <w:pStyle w:val="EndnoteText"/>
      </w:pPr>
      <w:r>
        <w:rPr>
          <w:rStyle w:val="EndnoteReference"/>
        </w:rPr>
        <w:endnoteRef/>
      </w:r>
      <w:r>
        <w:t xml:space="preserve"> </w:t>
      </w:r>
      <w:r w:rsidRPr="008833EF">
        <w:t>Victorian Equal Opportunity &amp; Human Rights Commission</w:t>
      </w:r>
      <w:r>
        <w:t>,</w:t>
      </w:r>
      <w:r w:rsidRPr="00B06220">
        <w:t xml:space="preserve"> </w:t>
      </w:r>
      <w:r>
        <w:t>above n 18</w:t>
      </w:r>
      <w:r w:rsidR="00CD2F17">
        <w:t>5</w:t>
      </w:r>
      <w:r>
        <w:t xml:space="preserve">, 36. </w:t>
      </w:r>
    </w:p>
  </w:endnote>
  <w:endnote w:id="219">
    <w:p w:rsidRPr="00862E42" w:rsidR="00A1106D" w:rsidP="001E5FDD" w:rsidRDefault="00A1106D" w14:paraId="09D92FD5" w14:textId="30A16FA0">
      <w:pPr>
        <w:pStyle w:val="EndnoteText"/>
      </w:pPr>
      <w:r>
        <w:rPr>
          <w:rStyle w:val="EndnoteReference"/>
        </w:rPr>
        <w:endnoteRef/>
      </w:r>
      <w:r>
        <w:t xml:space="preserve"> Ibid 38. See also Kate Rossiter and Jen Rinaldi, </w:t>
      </w:r>
      <w:r>
        <w:rPr>
          <w:i/>
          <w:iCs/>
        </w:rPr>
        <w:t>Institutional Violence and Disability</w:t>
      </w:r>
      <w:r>
        <w:t xml:space="preserve"> (Routledge, 2019) chs 2 and 4.</w:t>
      </w:r>
    </w:p>
  </w:endnote>
  <w:endnote w:id="220">
    <w:p w:rsidR="00A1106D" w:rsidP="001E5FDD" w:rsidRDefault="00A1106D" w14:paraId="6C0CAE2E" w14:textId="6AF40EBF">
      <w:pPr>
        <w:pStyle w:val="EndnoteText"/>
      </w:pPr>
      <w:r>
        <w:rPr>
          <w:rStyle w:val="EndnoteReference"/>
        </w:rPr>
        <w:endnoteRef/>
      </w:r>
      <w:r>
        <w:t xml:space="preserve"> Ibid 39. </w:t>
      </w:r>
    </w:p>
  </w:endnote>
  <w:endnote w:id="221">
    <w:p w:rsidR="00A1106D" w:rsidRDefault="00A1106D" w14:paraId="3ACDE25A" w14:textId="5F6FC146">
      <w:pPr>
        <w:pStyle w:val="EndnoteText"/>
      </w:pPr>
      <w:r>
        <w:rPr>
          <w:rStyle w:val="EndnoteReference"/>
        </w:rPr>
        <w:endnoteRef/>
      </w:r>
      <w:r>
        <w:t xml:space="preserve"> </w:t>
      </w:r>
      <w:r w:rsidRPr="00C00696">
        <w:t xml:space="preserve">Senate Community Affairs Committee, </w:t>
      </w:r>
      <w:r w:rsidR="00CD2F17">
        <w:t xml:space="preserve">above n 185, </w:t>
      </w:r>
      <w:r>
        <w:t>Recommendation 3 [10.26</w:t>
      </w:r>
      <w:r w:rsidRPr="00C00696">
        <w:t>]</w:t>
      </w:r>
      <w:r>
        <w:t>.</w:t>
      </w:r>
    </w:p>
  </w:endnote>
  <w:endnote w:id="222">
    <w:p w:rsidRPr="004626B2" w:rsidR="00A1106D" w:rsidRDefault="00A1106D" w14:paraId="5DE113EF" w14:textId="16B7D9AD">
      <w:pPr>
        <w:pStyle w:val="EndnoteText"/>
      </w:pPr>
      <w:r>
        <w:rPr>
          <w:rStyle w:val="EndnoteReference"/>
        </w:rPr>
        <w:endnoteRef/>
      </w:r>
      <w:r>
        <w:t xml:space="preserve"> Australian Government, </w:t>
      </w:r>
      <w:r>
        <w:rPr>
          <w:i/>
          <w:iCs/>
        </w:rPr>
        <w:t xml:space="preserve">‘NDIS Quality and Safeguarding Framework’, </w:t>
      </w:r>
      <w:r>
        <w:t>(December 2016) &lt;</w:t>
      </w:r>
      <w:r w:rsidRPr="00FD1C06">
        <w:t xml:space="preserve"> https://www.dss.gov.au/sites/default/files/documents/04_2017/ndis_quality_and_safeguarding_framework_final.pdf</w:t>
      </w:r>
      <w:r>
        <w:t>&gt;.</w:t>
      </w:r>
    </w:p>
  </w:endnote>
  <w:endnote w:id="223">
    <w:p w:rsidRPr="004F3A64" w:rsidR="00A1106D" w:rsidRDefault="00A1106D" w14:paraId="00790412" w14:textId="614C5333">
      <w:pPr>
        <w:pStyle w:val="EndnoteText"/>
      </w:pPr>
      <w:r>
        <w:rPr>
          <w:rStyle w:val="EndnoteReference"/>
        </w:rPr>
        <w:endnoteRef/>
      </w:r>
      <w:r>
        <w:t xml:space="preserve"> Australian Government, ‘</w:t>
      </w:r>
      <w:r>
        <w:rPr>
          <w:i/>
          <w:iCs/>
        </w:rPr>
        <w:t xml:space="preserve">Growing the NDIS Market and Workforce’, </w:t>
      </w:r>
      <w:r>
        <w:t>(2019) &lt;</w:t>
      </w:r>
      <w:r w:rsidRPr="001020AC">
        <w:t>https://www.dss.gov.au/sites/default/files/documents/03_2019/220319_-_ndis_market_and_workforce_strategy_acc-_pdf-.pdf</w:t>
      </w:r>
      <w:r>
        <w:t>&gt;.</w:t>
      </w:r>
    </w:p>
  </w:endnote>
  <w:endnote w:id="224">
    <w:p w:rsidR="00A1106D" w:rsidRDefault="00A1106D" w14:paraId="27DAE0DF" w14:textId="38C76611">
      <w:pPr>
        <w:pStyle w:val="EndnoteText"/>
      </w:pPr>
      <w:r>
        <w:rPr>
          <w:rStyle w:val="EndnoteReference"/>
        </w:rPr>
        <w:endnoteRef/>
      </w:r>
      <w:r>
        <w:t xml:space="preserve"> Cadwallader, Spivakovsky, Steele and Wadiwel, </w:t>
      </w:r>
      <w:r w:rsidR="00CD2F17">
        <w:t>above n</w:t>
      </w:r>
      <w:r w:rsidR="00D22D44">
        <w:t xml:space="preserve"> 212,</w:t>
      </w:r>
      <w:r>
        <w:t xml:space="preserve"> 265; </w:t>
      </w:r>
      <w:r>
        <w:rPr>
          <w:rFonts w:cs="Open Sans"/>
        </w:rPr>
        <w:t>Issues Paper, above n 2</w:t>
      </w:r>
      <w:r w:rsidRPr="001C3292">
        <w:t xml:space="preserve">, Questions </w:t>
      </w:r>
      <w:r>
        <w:t>7A and 7B.</w:t>
      </w:r>
    </w:p>
  </w:endnote>
  <w:endnote w:id="225">
    <w:p w:rsidR="00A1106D" w:rsidRDefault="00A1106D" w14:paraId="55C0F99F" w14:textId="54A36FF8">
      <w:pPr>
        <w:pStyle w:val="EndnoteText"/>
      </w:pPr>
      <w:r>
        <w:rPr>
          <w:rStyle w:val="EndnoteReference"/>
        </w:rPr>
        <w:endnoteRef/>
      </w:r>
      <w:r>
        <w:t xml:space="preserve"> Cadwallader, Spivakovsky, Steele and Wadiwel, above n 2</w:t>
      </w:r>
      <w:r w:rsidR="00D22D44">
        <w:t>1</w:t>
      </w:r>
      <w:r>
        <w:t>2, 265.</w:t>
      </w:r>
    </w:p>
  </w:endnote>
  <w:endnote w:id="226">
    <w:p w:rsidR="00A1106D" w:rsidRDefault="00A1106D" w14:paraId="648E5BE1" w14:textId="6A96CDAC">
      <w:pPr>
        <w:pStyle w:val="EndnoteText"/>
      </w:pPr>
      <w:r>
        <w:rPr>
          <w:rStyle w:val="EndnoteReference"/>
        </w:rPr>
        <w:endnoteRef/>
      </w:r>
      <w:r>
        <w:t xml:space="preserve"> Ibid 265; </w:t>
      </w:r>
      <w:r>
        <w:rPr>
          <w:rFonts w:cs="Open Sans"/>
        </w:rPr>
        <w:t>Issues Paper, above n 2</w:t>
      </w:r>
      <w:r w:rsidRPr="00616F94">
        <w:t xml:space="preserve">, Questions </w:t>
      </w:r>
      <w:r>
        <w:t>7A and</w:t>
      </w:r>
      <w:r w:rsidRPr="00616F94">
        <w:t xml:space="preserve"> 7</w:t>
      </w:r>
      <w:r>
        <w:t>B</w:t>
      </w:r>
      <w:r w:rsidRPr="00616F94">
        <w:t>.</w:t>
      </w:r>
    </w:p>
  </w:endnote>
  <w:endnote w:id="227">
    <w:p w:rsidR="00A1106D" w:rsidRDefault="00A1106D" w14:paraId="2156EF9E" w14:textId="52093532">
      <w:pPr>
        <w:pStyle w:val="EndnoteText"/>
      </w:pPr>
      <w:r>
        <w:rPr>
          <w:rStyle w:val="EndnoteReference"/>
        </w:rPr>
        <w:endnoteRef/>
      </w:r>
      <w:r>
        <w:t xml:space="preserve"> Australian Government Department of Social Services for the Disability Reform Council, Council of Australian Governments (COAG), </w:t>
      </w:r>
      <w:r>
        <w:rPr>
          <w:i/>
          <w:iCs/>
        </w:rPr>
        <w:t xml:space="preserve">‘Community Visitor Schemes Review’, </w:t>
      </w:r>
      <w:r>
        <w:t>(December 2018) 17 &lt;</w:t>
      </w:r>
      <w:r w:rsidRPr="00DA0C4F">
        <w:t xml:space="preserve"> https://www.dss.gov.au/sites/default/files/documents/02_2020/pdf-version-community-visitors-review_0.pdf</w:t>
      </w:r>
      <w:r>
        <w:t>&gt;.</w:t>
      </w:r>
    </w:p>
  </w:endnote>
  <w:endnote w:id="228">
    <w:p w:rsidR="00A1106D" w:rsidRDefault="00A1106D" w14:paraId="72FCE8F5" w14:textId="4936A31B">
      <w:pPr>
        <w:pStyle w:val="EndnoteText"/>
      </w:pPr>
      <w:r>
        <w:rPr>
          <w:rStyle w:val="EndnoteReference"/>
        </w:rPr>
        <w:endnoteRef/>
      </w:r>
      <w:r>
        <w:t xml:space="preserve"> Ibid 25.</w:t>
      </w:r>
    </w:p>
  </w:endnote>
  <w:endnote w:id="229">
    <w:p w:rsidR="00A1106D" w:rsidRDefault="00A1106D" w14:paraId="2A02D0F0" w14:textId="1DECBF94">
      <w:pPr>
        <w:pStyle w:val="EndnoteText"/>
      </w:pPr>
      <w:r>
        <w:rPr>
          <w:rStyle w:val="EndnoteReference"/>
        </w:rPr>
        <w:endnoteRef/>
      </w:r>
      <w:r>
        <w:t xml:space="preserve"> Ibid 16.</w:t>
      </w:r>
    </w:p>
  </w:endnote>
  <w:endnote w:id="230">
    <w:p w:rsidR="00A1106D" w:rsidRDefault="00A1106D" w14:paraId="23BBCCB1" w14:textId="1D35B31E">
      <w:pPr>
        <w:pStyle w:val="EndnoteText"/>
      </w:pPr>
      <w:r>
        <w:rPr>
          <w:rStyle w:val="EndnoteReference"/>
        </w:rPr>
        <w:endnoteRef/>
      </w:r>
      <w:r>
        <w:t xml:space="preserve"> Ibid 11.</w:t>
      </w:r>
    </w:p>
  </w:endnote>
  <w:endnote w:id="231">
    <w:p w:rsidR="00A1106D" w:rsidRDefault="00A1106D" w14:paraId="62715AF5" w14:textId="547ED4B8">
      <w:pPr>
        <w:pStyle w:val="EndnoteText"/>
      </w:pPr>
      <w:r>
        <w:rPr>
          <w:rStyle w:val="EndnoteReference"/>
        </w:rPr>
        <w:endnoteRef/>
      </w:r>
      <w:r>
        <w:t xml:space="preserve"> </w:t>
      </w:r>
      <w:r>
        <w:rPr>
          <w:rFonts w:cs="Open Sans"/>
        </w:rPr>
        <w:t>Issues Paper, above n 2</w:t>
      </w:r>
      <w:r w:rsidRPr="00207646">
        <w:t>, Question 7A.</w:t>
      </w:r>
    </w:p>
  </w:endnote>
  <w:endnote w:id="232">
    <w:p w:rsidR="00A1106D" w:rsidRDefault="00A1106D" w14:paraId="17E3C0FC" w14:textId="56F341EB">
      <w:pPr>
        <w:pStyle w:val="EndnoteText"/>
      </w:pPr>
      <w:r>
        <w:rPr>
          <w:rStyle w:val="EndnoteReference"/>
        </w:rPr>
        <w:endnoteRef/>
      </w:r>
      <w:r>
        <w:t xml:space="preserve"> Australia’s National Research Organisation for Women’s Safety (ANROWS), </w:t>
      </w:r>
      <w:r w:rsidR="00D22D44">
        <w:t>above n 210,</w:t>
      </w:r>
      <w:r>
        <w:t xml:space="preserve"> 31.</w:t>
      </w:r>
    </w:p>
  </w:endnote>
  <w:endnote w:id="233">
    <w:p w:rsidR="00A1106D" w:rsidRDefault="00A1106D" w14:paraId="3A1E97A5" w14:textId="4D34B4BA">
      <w:pPr>
        <w:pStyle w:val="EndnoteText"/>
      </w:pPr>
      <w:r>
        <w:rPr>
          <w:rStyle w:val="EndnoteReference"/>
        </w:rPr>
        <w:endnoteRef/>
      </w:r>
      <w:r>
        <w:t xml:space="preserve"> </w:t>
      </w:r>
      <w:r w:rsidRPr="00C00696">
        <w:t>Victorian Equal Opportunity &amp; Human Rights Commission</w:t>
      </w:r>
      <w:r>
        <w:t>, above n 18</w:t>
      </w:r>
      <w:r w:rsidR="00D22D44">
        <w:t>5</w:t>
      </w:r>
      <w:r>
        <w:t>, 13.</w:t>
      </w:r>
    </w:p>
  </w:endnote>
  <w:endnote w:id="234">
    <w:p w:rsidRPr="000A1D8E" w:rsidR="00A1106D" w:rsidP="008F6560" w:rsidRDefault="00A1106D" w14:paraId="59F53459" w14:textId="449C9F37">
      <w:pPr>
        <w:pStyle w:val="EndnoteText"/>
      </w:pPr>
      <w:r>
        <w:rPr>
          <w:rStyle w:val="EndnoteReference"/>
        </w:rPr>
        <w:endnoteRef/>
      </w:r>
      <w:r>
        <w:t xml:space="preserve"> </w:t>
      </w:r>
      <w:r>
        <w:rPr>
          <w:i/>
          <w:iCs/>
        </w:rPr>
        <w:t xml:space="preserve">National Disability Insurance Scheme Act 2013 </w:t>
      </w:r>
      <w:r>
        <w:t>(Cth) s 73Z(4)(f).</w:t>
      </w:r>
    </w:p>
  </w:endnote>
  <w:endnote w:id="235">
    <w:p w:rsidRPr="005800FF" w:rsidR="00A1106D" w:rsidP="008F6560" w:rsidRDefault="00A1106D" w14:paraId="2EE61526" w14:textId="495BE8CA">
      <w:pPr>
        <w:pStyle w:val="EndnoteText"/>
      </w:pPr>
      <w:r>
        <w:rPr>
          <w:rStyle w:val="EndnoteReference"/>
        </w:rPr>
        <w:endnoteRef/>
      </w:r>
      <w:r>
        <w:t xml:space="preserve"> </w:t>
      </w:r>
      <w:r>
        <w:rPr>
          <w:i/>
          <w:iCs/>
        </w:rPr>
        <w:t>National Disability Insurance Scheme (Incident Management and Reportable Incidents) Rules 2018,</w:t>
      </w:r>
      <w:r>
        <w:t xml:space="preserve"> </w:t>
      </w:r>
      <w:r w:rsidRPr="0091211A">
        <w:t>s 14.</w:t>
      </w:r>
    </w:p>
  </w:endnote>
  <w:endnote w:id="236">
    <w:p w:rsidR="00A1106D" w:rsidP="009407C9" w:rsidRDefault="00A1106D" w14:paraId="72924802" w14:textId="3458E626">
      <w:pPr>
        <w:pStyle w:val="EndnoteText"/>
      </w:pPr>
      <w:r>
        <w:rPr>
          <w:rStyle w:val="EndnoteReference"/>
        </w:rPr>
        <w:endnoteRef/>
      </w:r>
      <w:r>
        <w:t xml:space="preserve"> Cadwallader, Spivakovsky, Steele and Wadiwel, </w:t>
      </w:r>
      <w:r w:rsidR="00D22D44">
        <w:t>above n 212</w:t>
      </w:r>
      <w:r>
        <w:t>, 260.</w:t>
      </w:r>
    </w:p>
  </w:endnote>
  <w:endnote w:id="237">
    <w:p w:rsidR="00A1106D" w:rsidRDefault="00A1106D" w14:paraId="24B5C103" w14:textId="4A51845C">
      <w:pPr>
        <w:pStyle w:val="EndnoteText"/>
      </w:pPr>
      <w:r>
        <w:rPr>
          <w:rStyle w:val="EndnoteReference"/>
        </w:rPr>
        <w:endnoteRef/>
      </w:r>
      <w:r>
        <w:t xml:space="preserve"> Issues Paper, above n 2, Question 7A.</w:t>
      </w:r>
    </w:p>
  </w:endnote>
  <w:endnote w:id="238">
    <w:p w:rsidR="00A1106D" w:rsidRDefault="00A1106D" w14:paraId="7FB365ED" w14:textId="02CBF268">
      <w:pPr>
        <w:pStyle w:val="EndnoteText"/>
      </w:pPr>
      <w:r>
        <w:rPr>
          <w:rStyle w:val="EndnoteReference"/>
        </w:rPr>
        <w:endnoteRef/>
      </w:r>
      <w:r>
        <w:t xml:space="preserve"> Australia’s National Research Organisation for Women’s Safety (ANROWS), </w:t>
      </w:r>
      <w:r w:rsidR="00D22D44">
        <w:t>above n 210,</w:t>
      </w:r>
      <w:r>
        <w:t xml:space="preserve"> 31.</w:t>
      </w:r>
    </w:p>
  </w:endnote>
  <w:endnote w:id="239">
    <w:p w:rsidR="00A1106D" w:rsidRDefault="00A1106D" w14:paraId="4FD19602" w14:textId="651F4084">
      <w:pPr>
        <w:pStyle w:val="EndnoteText"/>
      </w:pPr>
      <w:r>
        <w:rPr>
          <w:rStyle w:val="EndnoteReference"/>
        </w:rPr>
        <w:endnoteRef/>
      </w:r>
      <w:r>
        <w:t xml:space="preserve"> </w:t>
      </w:r>
      <w:r w:rsidRPr="00C00696">
        <w:t>Victorian Equal Opportunity &amp; Human Rights Commission</w:t>
      </w:r>
      <w:r>
        <w:t>, above n 18</w:t>
      </w:r>
      <w:r w:rsidR="00D22D44">
        <w:t>5</w:t>
      </w:r>
      <w:r>
        <w:t>, 34.</w:t>
      </w:r>
    </w:p>
  </w:endnote>
  <w:endnote w:id="240">
    <w:p w:rsidR="00A1106D" w:rsidRDefault="00A1106D" w14:paraId="482F5EBD" w14:textId="25350F26">
      <w:pPr>
        <w:pStyle w:val="EndnoteText"/>
      </w:pPr>
      <w:r>
        <w:rPr>
          <w:rStyle w:val="EndnoteReference"/>
        </w:rPr>
        <w:endnoteRef/>
      </w:r>
      <w:r>
        <w:t xml:space="preserve"> Ibid 34.</w:t>
      </w:r>
    </w:p>
  </w:endnote>
  <w:endnote w:id="241">
    <w:p w:rsidR="00A1106D" w:rsidP="00EA5DE0" w:rsidRDefault="00A1106D" w14:paraId="6C8715D4" w14:textId="77777777">
      <w:pPr>
        <w:pStyle w:val="EndnoteText"/>
      </w:pPr>
      <w:r>
        <w:rPr>
          <w:rStyle w:val="EndnoteReference"/>
        </w:rPr>
        <w:endnoteRef/>
      </w:r>
      <w:r>
        <w:t xml:space="preserve"> PwC’s Indigenous Consulting, ‘Indigenous incarcerations: Unlock the facts’ (May 2017) 23 &lt;</w:t>
      </w:r>
      <w:r w:rsidRPr="00FB65B4">
        <w:t>https://www.pwc.com.au/indigenous-consulting/assets/indigenous-incarceration-may17.pdf</w:t>
      </w:r>
      <w:r>
        <w:t>&gt;.</w:t>
      </w:r>
    </w:p>
  </w:endnote>
  <w:endnote w:id="242">
    <w:p w:rsidR="00A1106D" w:rsidP="00EA5DE0" w:rsidRDefault="00A1106D" w14:paraId="155D5BE1" w14:textId="77777777">
      <w:pPr>
        <w:pStyle w:val="EndnoteText"/>
      </w:pPr>
      <w:r>
        <w:rPr>
          <w:rStyle w:val="EndnoteReference"/>
        </w:rPr>
        <w:endnoteRef/>
      </w:r>
      <w:r>
        <w:t xml:space="preserve"> These charges were later dropped by the WA Director of Public Prosecutions owing to insufficient evidence and low prospects of conviction.</w:t>
      </w:r>
    </w:p>
  </w:endnote>
  <w:endnote w:id="243">
    <w:p w:rsidRPr="00B45B52" w:rsidR="00A1106D" w:rsidP="00EA5DE0" w:rsidRDefault="00A1106D" w14:paraId="399A95F0" w14:textId="77777777">
      <w:pPr>
        <w:pStyle w:val="EndnoteText"/>
      </w:pPr>
      <w:r>
        <w:rPr>
          <w:rStyle w:val="EndnoteReference"/>
        </w:rPr>
        <w:endnoteRef/>
      </w:r>
      <w:r>
        <w:t xml:space="preserve"> CRPD Committee, </w:t>
      </w:r>
      <w:r>
        <w:rPr>
          <w:i/>
          <w:iCs/>
        </w:rPr>
        <w:t>Views adopted by the Committee under article 5 of the Optional Protocol, concerning communication No. 7/2012</w:t>
      </w:r>
      <w:r>
        <w:t>, CRPD/C/16/D/7/2012 (10 October 2016).</w:t>
      </w:r>
    </w:p>
  </w:endnote>
  <w:endnote w:id="244">
    <w:p w:rsidRPr="00A96BF9" w:rsidR="00A1106D" w:rsidP="00EA5DE0" w:rsidRDefault="00A1106D" w14:paraId="7A76F1CC" w14:textId="77777777">
      <w:pPr>
        <w:pStyle w:val="EndnoteText"/>
      </w:pPr>
      <w:r>
        <w:rPr>
          <w:rStyle w:val="EndnoteReference"/>
        </w:rPr>
        <w:endnoteRef/>
      </w:r>
      <w:r>
        <w:t xml:space="preserve"> John Stewart, ‘Intellectually impaired Aboriginal woman Rosie Fulton to be freed after 21 months in jail with no conviction’, </w:t>
      </w:r>
      <w:r>
        <w:rPr>
          <w:i/>
          <w:iCs/>
        </w:rPr>
        <w:t>ABC News</w:t>
      </w:r>
      <w:r>
        <w:t xml:space="preserve"> (online at 26 June 2014) &lt;</w:t>
      </w:r>
      <w:r w:rsidRPr="00A96BF9">
        <w:t>https://www.abc.net.au/news/2014-06-25/aboriginal-woman-in-jail-without-conviction-to-be-freed/5550790</w:t>
      </w:r>
      <w:r>
        <w:t>&gt;; Australian Human Rights Commission, ‘Jailed without conviction: Rosie Fulton leaves WA prison’ (Media Release, 26 June 2014) &lt;</w:t>
      </w:r>
      <w:r w:rsidRPr="00A17990">
        <w:t>https://www.humanrights.gov.au/about/news/jailed-without-conviction-rosie-fulton-leaves-wa-prison</w:t>
      </w:r>
      <w:r>
        <w:t>&gt;.</w:t>
      </w:r>
    </w:p>
  </w:endnote>
  <w:endnote w:id="245">
    <w:p w:rsidRPr="00A54D56" w:rsidR="00A1106D" w:rsidP="00EA5DE0" w:rsidRDefault="00A1106D" w14:paraId="4027289A" w14:textId="77777777">
      <w:pPr>
        <w:pStyle w:val="EndnoteText"/>
      </w:pPr>
      <w:r>
        <w:rPr>
          <w:rStyle w:val="EndnoteReference"/>
        </w:rPr>
        <w:endnoteRef/>
      </w:r>
      <w:r>
        <w:t xml:space="preserve"> Tom Maddocks, ‘Rosie Anne Fulton: System has ‘failed’ intellectually impaired NT woman’, </w:t>
      </w:r>
      <w:r>
        <w:rPr>
          <w:i/>
          <w:iCs/>
        </w:rPr>
        <w:t>ABC News</w:t>
      </w:r>
      <w:r>
        <w:t xml:space="preserve"> (online at 1 July 2016) &lt;</w:t>
      </w:r>
      <w:r w:rsidRPr="00A54D56">
        <w:t>https://www.abc.net.au/news/2016-07-01/carer-says-system-has-failed-rosie-fulton/7560532</w:t>
      </w:r>
      <w:r>
        <w:t>&gt;.</w:t>
      </w:r>
    </w:p>
  </w:endnote>
  <w:endnote w:id="246">
    <w:p w:rsidRPr="00F17B07" w:rsidR="00A1106D" w:rsidP="00EA5DE0" w:rsidRDefault="00A1106D" w14:paraId="394D81C6" w14:textId="77777777">
      <w:pPr>
        <w:pStyle w:val="EndnoteText"/>
      </w:pPr>
      <w:r>
        <w:rPr>
          <w:rStyle w:val="EndnoteReference"/>
        </w:rPr>
        <w:endnoteRef/>
      </w:r>
      <w:r>
        <w:t xml:space="preserve"> CRPD Committee, </w:t>
      </w:r>
      <w:r>
        <w:rPr>
          <w:i/>
          <w:iCs/>
        </w:rPr>
        <w:t>Views adopted by the Committee under article 5 of the Optional Protocol, concerning communication No. 17/2013</w:t>
      </w:r>
      <w:r>
        <w:t>, CRPD/C/22/D/17/2013 (30 August 2019).</w:t>
      </w:r>
    </w:p>
  </w:endnote>
  <w:endnote w:id="247">
    <w:p w:rsidRPr="00AE54B8" w:rsidR="00A1106D" w:rsidP="00EA5DE0" w:rsidRDefault="00A1106D" w14:paraId="6D785CFF" w14:textId="77777777">
      <w:pPr>
        <w:pStyle w:val="EndnoteText"/>
      </w:pPr>
      <w:r>
        <w:rPr>
          <w:rStyle w:val="EndnoteReference"/>
        </w:rPr>
        <w:endnoteRef/>
      </w:r>
      <w:r>
        <w:t xml:space="preserve"> CRPD Committee, </w:t>
      </w:r>
      <w:r>
        <w:rPr>
          <w:i/>
          <w:iCs/>
        </w:rPr>
        <w:t>Views adopted by the Committee under article 5 of the Optional Protocol, concerning communication No. 18/2013</w:t>
      </w:r>
      <w:r>
        <w:t>, CRPD/C/22/D/18/2013 (30 August 2019).</w:t>
      </w:r>
    </w:p>
  </w:endnote>
  <w:endnote w:id="248">
    <w:p w:rsidRPr="00B677A1" w:rsidR="00A1106D" w:rsidP="00C00FAE" w:rsidRDefault="00A1106D" w14:paraId="01B3E00F" w14:textId="77777777">
      <w:pPr>
        <w:pStyle w:val="EndnoteText"/>
      </w:pPr>
      <w:r>
        <w:rPr>
          <w:rStyle w:val="EndnoteReference"/>
        </w:rPr>
        <w:endnoteRef/>
      </w:r>
      <w:r>
        <w:t xml:space="preserve"> ‘Dylan Voller’s Troubled Past’, </w:t>
      </w:r>
      <w:r>
        <w:rPr>
          <w:i/>
          <w:iCs/>
        </w:rPr>
        <w:t>7:30</w:t>
      </w:r>
      <w:r>
        <w:t xml:space="preserve"> (ABC, 2016).</w:t>
      </w:r>
    </w:p>
  </w:endnote>
  <w:endnote w:id="249">
    <w:p w:rsidR="00A1106D" w:rsidP="00C00FAE" w:rsidRDefault="00A1106D" w14:paraId="6CA7455C" w14:textId="77777777">
      <w:pPr>
        <w:pStyle w:val="EndnoteText"/>
      </w:pPr>
      <w:r>
        <w:rPr>
          <w:rStyle w:val="EndnoteReference"/>
        </w:rPr>
        <w:endnoteRef/>
      </w:r>
      <w:r>
        <w:t xml:space="preserve"> Ibid.</w:t>
      </w:r>
    </w:p>
  </w:endnote>
  <w:endnote w:id="250">
    <w:p w:rsidR="00A1106D" w:rsidP="00C00FAE" w:rsidRDefault="00A1106D" w14:paraId="681CD72D" w14:textId="7AFB05C2">
      <w:pPr>
        <w:pStyle w:val="EndnoteText"/>
      </w:pPr>
      <w:r>
        <w:rPr>
          <w:rStyle w:val="EndnoteReference"/>
        </w:rPr>
        <w:endnoteRef/>
      </w:r>
      <w:r>
        <w:t xml:space="preserve"> Ibid; McCausland and Baldry, above n 9</w:t>
      </w:r>
      <w:r w:rsidR="00D22D44">
        <w:t>4</w:t>
      </w:r>
      <w:r>
        <w:t xml:space="preserve">, 291. </w:t>
      </w:r>
    </w:p>
  </w:endnote>
  <w:endnote w:id="251">
    <w:p w:rsidRPr="00305768" w:rsidR="00A1106D" w:rsidP="00C00FAE" w:rsidRDefault="00A1106D" w14:paraId="3577DAC0" w14:textId="0B18D359">
      <w:pPr>
        <w:pStyle w:val="EndnoteText"/>
      </w:pPr>
      <w:r>
        <w:rPr>
          <w:rStyle w:val="EndnoteReference"/>
        </w:rPr>
        <w:endnoteRef/>
      </w:r>
      <w:r>
        <w:t xml:space="preserve"> Norman Hermant, ‘Why many Australians with brain injuries find themselves in the ‘revolving door’ of prison’, </w:t>
      </w:r>
      <w:r>
        <w:rPr>
          <w:i/>
          <w:iCs/>
        </w:rPr>
        <w:t xml:space="preserve">ABC News </w:t>
      </w:r>
      <w:r>
        <w:t>(online, 7 February 2020) &lt;</w:t>
      </w:r>
      <w:r w:rsidRPr="00D144D2">
        <w:t>https://www.abc.net.au/news/2020-02-07/life-in-prison-with-an-acquired-brain-injury/11903224</w:t>
      </w:r>
      <w: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Calibr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65F1" w:rsidR="00A1106D" w:rsidP="000465F1" w:rsidRDefault="00A1106D" w14:paraId="51BC2D17" w14:textId="77777777">
    <w:pPr>
      <w:pStyle w:val="Footer"/>
    </w:pPr>
    <w:r w:rsidRPr="000465F1">
      <w:t>ABN 47 996 232 602</w:t>
    </w:r>
  </w:p>
  <w:p w:rsidRPr="000465F1" w:rsidR="00A1106D" w:rsidP="000465F1" w:rsidRDefault="00A1106D" w14:paraId="3B1AAC63" w14:textId="77777777">
    <w:pPr>
      <w:pStyle w:val="Footer"/>
    </w:pPr>
    <w:r w:rsidRPr="000465F1">
      <w:t>Level 3, 175 Pitt Street, Sydney NSW 2000</w:t>
    </w:r>
  </w:p>
  <w:p w:rsidRPr="000465F1" w:rsidR="00A1106D" w:rsidP="000465F1" w:rsidRDefault="00A1106D" w14:paraId="0954346D" w14:textId="77777777">
    <w:pPr>
      <w:pStyle w:val="Footer"/>
    </w:pPr>
    <w:r w:rsidRPr="000465F1">
      <w:t>GPO Box 5218, Sydney NSW 2001</w:t>
    </w:r>
  </w:p>
  <w:p w:rsidRPr="000465F1" w:rsidR="00A1106D" w:rsidP="000465F1" w:rsidRDefault="00A1106D" w14:paraId="7E6BE0A2" w14:textId="77777777">
    <w:pPr>
      <w:pStyle w:val="Footer"/>
    </w:pPr>
    <w:r w:rsidRPr="000465F1">
      <w:t>General enquiries 1300 369 711</w:t>
    </w:r>
  </w:p>
  <w:p w:rsidRPr="000465F1" w:rsidR="00A1106D" w:rsidP="000465F1" w:rsidRDefault="00A1106D" w14:paraId="0B95990C" w14:textId="77777777">
    <w:pPr>
      <w:pStyle w:val="Footer"/>
    </w:pPr>
    <w:r>
      <w:t xml:space="preserve">National Information Service </w:t>
    </w:r>
    <w:r w:rsidRPr="000465F1">
      <w:t>1300 656 419</w:t>
    </w:r>
  </w:p>
  <w:p w:rsidRPr="000465F1" w:rsidR="00A1106D" w:rsidP="000465F1" w:rsidRDefault="00A1106D" w14:paraId="051D0DF2" w14:textId="77777777">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6D" w:rsidRDefault="00A1106D" w14:paraId="15EFB98F" w14:textId="77777777">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6D" w:rsidP="00E53546" w:rsidRDefault="00A1106D" w14:paraId="44899602" w14:textId="6D7C72BF">
    <w:pPr>
      <w:pStyle w:val="FooterOddPageNumber"/>
    </w:pPr>
    <w:r w:rsidRPr="00AB7C8F">
      <w:fldChar w:fldCharType="begin"/>
    </w:r>
    <w:r>
      <w:instrText xml:space="preserve"> PAGE   \* MERGEFORMAT </w:instrText>
    </w:r>
    <w:r w:rsidRPr="00AB7C8F">
      <w:fldChar w:fldCharType="separate"/>
    </w:r>
    <w:r>
      <w:rPr>
        <w:noProof/>
      </w:rPr>
      <w:t>21</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6D" w:rsidP="00E53546" w:rsidRDefault="00A1106D" w14:paraId="25D06EE6" w14:textId="77777777">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590" w:rsidP="00F14C6D" w:rsidRDefault="00BD1590" w14:paraId="7601C08C" w14:textId="77777777">
      <w:r>
        <w:separator/>
      </w:r>
    </w:p>
  </w:footnote>
  <w:footnote w:type="continuationSeparator" w:id="0">
    <w:p w:rsidR="00BD1590" w:rsidP="00F14C6D" w:rsidRDefault="00BD1590" w14:paraId="2FAFF5D7" w14:textId="77777777">
      <w:r>
        <w:continuationSeparator/>
      </w:r>
    </w:p>
  </w:footnote>
  <w:footnote w:type="continuationNotice" w:id="1">
    <w:p w:rsidR="00BD1590" w:rsidRDefault="00BD1590" w14:paraId="4C97DCA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65F1" w:rsidR="00A1106D" w:rsidP="000465F1" w:rsidRDefault="00BD1590" w14:paraId="1316956E" w14:textId="77777777">
    <w:pPr>
      <w:pStyle w:val="Header"/>
    </w:pPr>
    <w:r>
      <w:pict w14:anchorId="099CD1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34833" style="position:absolute;left:0;text-align:left;margin-left:0;margin-top:0;width:930.9pt;height:1359.95pt;z-index:-251658239;mso-wrap-edited:f;mso-position-horizontal:center;mso-position-horizontal-relative:margin;mso-position-vertical:center;mso-position-vertical-relative:margin" alt="report watermark" o:spid="_x0000_s2052" o:allowincell="f" type="#_x0000_t75">
          <v:imagedata o:title="report watermark" r:id="rId1"/>
          <w10:wrap anchorx="margin" anchory="margin"/>
        </v:shape>
      </w:pict>
    </w:r>
    <w:r w:rsidRPr="000465F1" w:rsidR="00A1106D">
      <w:t>Australian Human Rights Commission</w:t>
    </w:r>
  </w:p>
  <w:p w:rsidRPr="00622508" w:rsidR="00A1106D" w:rsidP="00622508" w:rsidRDefault="00A1106D" w14:paraId="646F4738" w14:textId="77777777">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65F1" w:rsidR="00A1106D" w:rsidP="000465F1" w:rsidRDefault="00BD1590" w14:paraId="17588443" w14:textId="77777777">
    <w:r>
      <w:pict w14:anchorId="5CCA627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34834" style="position:absolute;margin-left:0;margin-top:0;width:930.9pt;height:1359.95pt;z-index:-251658238;mso-wrap-edited:f;mso-position-horizontal:center;mso-position-horizontal-relative:margin;mso-position-vertical:center;mso-position-vertical-relative:margin" alt="report watermark" o:spid="_x0000_s2051" o:allowincell="f" type="#_x0000_t75">
          <v:imagedata o:title="report watermark" r:id="rId1"/>
          <w10:wrap anchorx="margin" anchory="margin"/>
        </v:shape>
      </w:pict>
    </w:r>
    <w:r w:rsidRPr="000465F1" w:rsidR="00A1106D">
      <w:t>Australian Human Rights Commission</w:t>
    </w:r>
  </w:p>
  <w:p w:rsidRPr="000465F1" w:rsidR="00A1106D" w:rsidP="000465F1" w:rsidRDefault="00A1106D" w14:paraId="39D6C4D9" w14:textId="77777777">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6D" w:rsidP="002012F7" w:rsidRDefault="00BD1590" w14:paraId="6A798733" w14:textId="77777777">
    <w:pPr>
      <w:pStyle w:val="Header"/>
    </w:pPr>
    <w:r>
      <w:pict w14:anchorId="711F196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4066017" style="position:absolute;left:0;text-align:left;margin-left:-71.05pt;margin-top:-108.5pt;width:595.65pt;height:870.15pt;z-index:-251658237;mso-wrap-edited:f;mso-position-horizontal-relative:margin;mso-position-vertical-relative:margin" alt="MS word cover1" o:spid="_x0000_s2050" o:allowincell="f" type="#_x0000_t75">
          <v:imagedata o:title="MS word cover1" r:id="rId1"/>
          <w10:wrap anchorx="margin" anchory="margin"/>
        </v:shape>
      </w:pict>
    </w:r>
    <w:r>
      <w:pict w14:anchorId="43767F5D">
        <v:shape id="WordPictureWatermark1034832" style="position:absolute;left:0;text-align:left;margin-left:-70.9pt;margin-top:-109.05pt;width:595.1pt;height:869.4pt;z-index:-251658240;mso-wrap-edited:f;mso-position-horizontal-relative:margin;mso-position-vertical-relative:margin" alt="report watermark" o:spid="_x0000_s2049" o:allowincell="f" type="#_x0000_t75">
          <v:imagedata o:title="report watermark" r:id="rId2"/>
          <w10:wrap anchorx="margin" anchory="margin"/>
        </v:shape>
      </w:pict>
    </w:r>
  </w:p>
  <w:p w:rsidR="00A1106D" w:rsidP="002012F7" w:rsidRDefault="00A1106D" w14:paraId="53449042" w14:textId="77777777">
    <w:pPr>
      <w:pStyle w:val="Header"/>
    </w:pPr>
  </w:p>
  <w:p w:rsidR="00A1106D" w:rsidP="002012F7" w:rsidRDefault="00A1106D" w14:paraId="085F20E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65F1" w:rsidR="00A1106D" w:rsidP="0015239E" w:rsidRDefault="00A1106D" w14:paraId="6A67D8F4" w14:textId="77777777">
    <w:pPr>
      <w:pStyle w:val="Header"/>
    </w:pPr>
    <w:r w:rsidRPr="000465F1">
      <w:t>Australian Human Rights Commission</w:t>
    </w:r>
  </w:p>
  <w:p w:rsidRPr="000465F1" w:rsidR="00A1106D" w:rsidP="0015239E" w:rsidRDefault="00A1106D" w14:paraId="2CFB0120" w14:textId="77777777">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65F1" w:rsidR="00A1106D" w:rsidP="00CA5D90" w:rsidRDefault="00A1106D" w14:paraId="6F495BBA" w14:textId="1683C378">
    <w:pPr>
      <w:pStyle w:val="Header"/>
    </w:pPr>
    <w:bookmarkStart w:name="_Hlk514672172" w:id="41"/>
    <w:bookmarkStart w:name="_Hlk514672173" w:id="42"/>
    <w:r w:rsidRPr="000465F1">
      <w:t>Australian Human Rights Commission</w:t>
    </w:r>
  </w:p>
  <w:bookmarkEnd w:id="41"/>
  <w:bookmarkEnd w:id="42"/>
  <w:p w:rsidRPr="000465F1" w:rsidR="00A1106D" w:rsidP="002F5E96" w:rsidRDefault="00A1106D" w14:paraId="6C50E2EE" w14:textId="3C197637">
    <w:pPr>
      <w:pStyle w:val="HeaderDocumentDate"/>
    </w:pPr>
    <w:r>
      <w:rPr>
        <w:rStyle w:val="HeaderDocumentTitle"/>
      </w:rPr>
      <w:t>People with Disability and the Criminal Justice System</w:t>
    </w:r>
    <w:r w:rsidRPr="001F62CC">
      <w:rPr>
        <w:rStyle w:val="HeaderDocumentTitle"/>
      </w:rPr>
      <w:t>,</w:t>
    </w:r>
    <w:r>
      <w:t xml:space="preserve"> 20 March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65F1" w:rsidR="00A1106D" w:rsidP="0063009F" w:rsidRDefault="00A1106D" w14:paraId="321E0BA8" w14:textId="19169769">
    <w:pPr>
      <w:pStyle w:val="Header"/>
    </w:pPr>
    <w:r w:rsidRPr="000465F1">
      <w:t>Australian Human Rights Commission</w:t>
    </w:r>
  </w:p>
  <w:p w:rsidRPr="000465F1" w:rsidR="00A1106D" w:rsidP="0063009F" w:rsidRDefault="00A1106D" w14:paraId="45B1FE61" w14:textId="6BA57637">
    <w:pPr>
      <w:pStyle w:val="HeaderDocumentDate"/>
    </w:pPr>
    <w:r>
      <w:rPr>
        <w:rStyle w:val="HeaderDocumentTitle"/>
      </w:rPr>
      <w:t>Inclusive Education for People with Disability</w:t>
    </w:r>
    <w:r w:rsidRPr="001F62CC">
      <w:rPr>
        <w:rStyle w:val="HeaderDocumentTitle"/>
      </w:rPr>
      <w:t>,</w:t>
    </w:r>
    <w:r>
      <w:t xml:space="preserve"> </w:t>
    </w:r>
    <w:r>
      <w:fldChar w:fldCharType="begin"/>
    </w:r>
    <w:r>
      <w:instrText xml:space="preserve"> CREATEDATE  \@ "d MMMM yyyy"  \* MERGEFORMAT </w:instrText>
    </w:r>
    <w:r>
      <w:fldChar w:fldCharType="separate"/>
    </w:r>
    <w:r>
      <w:rPr>
        <w:noProof/>
      </w:rPr>
      <w:t>13 March 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D941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1C79EA"/>
    <w:lvl w:ilvl="0">
      <w:start w:val="1"/>
      <w:numFmt w:val="bullet"/>
      <w:pStyle w:val="ListBullet"/>
      <w:lvlText w:val=""/>
      <w:lvlJc w:val="left"/>
      <w:pPr>
        <w:tabs>
          <w:tab w:val="num" w:pos="360"/>
        </w:tabs>
        <w:ind w:left="360" w:hanging="3"/>
      </w:pPr>
      <w:rPr>
        <w:rFonts w:hint="default" w:ascii="Symbol" w:hAnsi="Symbol"/>
      </w:rPr>
    </w:lvl>
  </w:abstractNum>
  <w:abstractNum w:abstractNumId="10" w15:restartNumberingAfterBreak="0">
    <w:nsid w:val="0D036ED3"/>
    <w:multiLevelType w:val="hybridMultilevel"/>
    <w:tmpl w:val="A6E42B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E0C1F3E"/>
    <w:multiLevelType w:val="hybridMultilevel"/>
    <w:tmpl w:val="68D6483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2" w15:restartNumberingAfterBreak="0">
    <w:nsid w:val="11E36D91"/>
    <w:multiLevelType w:val="hybridMultilevel"/>
    <w:tmpl w:val="5922CD2A"/>
    <w:lvl w:ilvl="0" w:tplc="1A849EB6">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3" w15:restartNumberingAfterBreak="0">
    <w:nsid w:val="134D30E8"/>
    <w:multiLevelType w:val="hybridMultilevel"/>
    <w:tmpl w:val="E0BAD7C8"/>
    <w:lvl w:ilvl="0" w:tplc="0C090001">
      <w:start w:val="1"/>
      <w:numFmt w:val="bullet"/>
      <w:lvlText w:val=""/>
      <w:lvlJc w:val="left"/>
      <w:pPr>
        <w:ind w:left="1488" w:hanging="360"/>
      </w:pPr>
      <w:rPr>
        <w:rFonts w:hint="default" w:ascii="Symbol" w:hAnsi="Symbol"/>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4" w15:restartNumberingAfterBreak="0">
    <w:nsid w:val="15E36B8E"/>
    <w:multiLevelType w:val="hybridMultilevel"/>
    <w:tmpl w:val="FC26E726"/>
    <w:lvl w:ilvl="0" w:tplc="0C090001">
      <w:start w:val="1"/>
      <w:numFmt w:val="bullet"/>
      <w:lvlText w:val=""/>
      <w:lvlJc w:val="left"/>
      <w:pPr>
        <w:ind w:left="1488" w:hanging="360"/>
      </w:pPr>
      <w:rPr>
        <w:rFonts w:hint="default" w:ascii="Symbol" w:hAnsi="Symbol"/>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5" w15:restartNumberingAfterBreak="0">
    <w:nsid w:val="1B7E659D"/>
    <w:multiLevelType w:val="hybridMultilevel"/>
    <w:tmpl w:val="F25C6666"/>
    <w:styleLink w:val="ImportedStyle11"/>
    <w:lvl w:ilvl="0" w:tplc="EEC239F6">
      <w:start w:val="1"/>
      <w:numFmt w:val="bullet"/>
      <w:lvlText w:val="·"/>
      <w:lvlJc w:val="left"/>
      <w:pPr>
        <w:tabs>
          <w:tab w:val="left" w:pos="113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7AAB00">
      <w:start w:val="1"/>
      <w:numFmt w:val="bullet"/>
      <w:lvlText w:val="·"/>
      <w:lvlJc w:val="left"/>
      <w:pPr>
        <w:tabs>
          <w:tab w:val="left" w:pos="1134"/>
        </w:tabs>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44C512">
      <w:start w:val="1"/>
      <w:numFmt w:val="bullet"/>
      <w:lvlText w:val="·"/>
      <w:lvlJc w:val="left"/>
      <w:pPr>
        <w:tabs>
          <w:tab w:val="left" w:pos="1134"/>
        </w:tabs>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6B8EF00">
      <w:start w:val="1"/>
      <w:numFmt w:val="bullet"/>
      <w:lvlText w:val="·"/>
      <w:lvlJc w:val="left"/>
      <w:pPr>
        <w:tabs>
          <w:tab w:val="left" w:pos="1134"/>
        </w:tabs>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A9B76">
      <w:start w:val="1"/>
      <w:numFmt w:val="bullet"/>
      <w:lvlText w:val="·"/>
      <w:lvlJc w:val="left"/>
      <w:pPr>
        <w:tabs>
          <w:tab w:val="left" w:pos="1134"/>
        </w:tabs>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FE6682">
      <w:start w:val="1"/>
      <w:numFmt w:val="bullet"/>
      <w:lvlText w:val="·"/>
      <w:lvlJc w:val="left"/>
      <w:pPr>
        <w:tabs>
          <w:tab w:val="left" w:pos="1134"/>
        </w:tabs>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1F867FC">
      <w:start w:val="1"/>
      <w:numFmt w:val="bullet"/>
      <w:lvlText w:val="·"/>
      <w:lvlJc w:val="left"/>
      <w:pPr>
        <w:tabs>
          <w:tab w:val="left" w:pos="1134"/>
        </w:tabs>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36180E">
      <w:start w:val="1"/>
      <w:numFmt w:val="bullet"/>
      <w:lvlText w:val="·"/>
      <w:lvlJc w:val="left"/>
      <w:pPr>
        <w:tabs>
          <w:tab w:val="left" w:pos="1134"/>
        </w:tabs>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03E6DDA">
      <w:start w:val="1"/>
      <w:numFmt w:val="bullet"/>
      <w:lvlText w:val="·"/>
      <w:lvlJc w:val="left"/>
      <w:pPr>
        <w:tabs>
          <w:tab w:val="left" w:pos="1134"/>
        </w:tabs>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5DA6689"/>
    <w:multiLevelType w:val="hybridMultilevel"/>
    <w:tmpl w:val="B94291A0"/>
    <w:styleLink w:val="ImportedStyle12"/>
    <w:lvl w:ilvl="0" w:tplc="4320B248">
      <w:start w:val="1"/>
      <w:numFmt w:val="bullet"/>
      <w:lvlText w:val="·"/>
      <w:lvlJc w:val="left"/>
      <w:pPr>
        <w:tabs>
          <w:tab w:val="left" w:pos="113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D4E638">
      <w:start w:val="1"/>
      <w:numFmt w:val="bullet"/>
      <w:lvlText w:val="o"/>
      <w:lvlJc w:val="left"/>
      <w:pPr>
        <w:tabs>
          <w:tab w:val="left" w:pos="1134"/>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9E31F2">
      <w:start w:val="1"/>
      <w:numFmt w:val="bullet"/>
      <w:lvlText w:val="▪"/>
      <w:lvlJc w:val="left"/>
      <w:pPr>
        <w:tabs>
          <w:tab w:val="left" w:pos="1134"/>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4A5016">
      <w:start w:val="1"/>
      <w:numFmt w:val="bullet"/>
      <w:lvlText w:val="·"/>
      <w:lvlJc w:val="left"/>
      <w:pPr>
        <w:tabs>
          <w:tab w:val="left" w:pos="1134"/>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AAB14">
      <w:start w:val="1"/>
      <w:numFmt w:val="bullet"/>
      <w:lvlText w:val="o"/>
      <w:lvlJc w:val="left"/>
      <w:pPr>
        <w:tabs>
          <w:tab w:val="left" w:pos="1134"/>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82DE08">
      <w:start w:val="1"/>
      <w:numFmt w:val="bullet"/>
      <w:lvlText w:val="▪"/>
      <w:lvlJc w:val="left"/>
      <w:pPr>
        <w:tabs>
          <w:tab w:val="left" w:pos="1134"/>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423632">
      <w:start w:val="1"/>
      <w:numFmt w:val="bullet"/>
      <w:lvlText w:val="·"/>
      <w:lvlJc w:val="left"/>
      <w:pPr>
        <w:tabs>
          <w:tab w:val="left" w:pos="1134"/>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90D314">
      <w:start w:val="1"/>
      <w:numFmt w:val="bullet"/>
      <w:lvlText w:val="o"/>
      <w:lvlJc w:val="left"/>
      <w:pPr>
        <w:tabs>
          <w:tab w:val="left" w:pos="1134"/>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A0CF52">
      <w:start w:val="1"/>
      <w:numFmt w:val="bullet"/>
      <w:lvlText w:val="▪"/>
      <w:lvlJc w:val="left"/>
      <w:pPr>
        <w:tabs>
          <w:tab w:val="left" w:pos="1134"/>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A0F34A9"/>
    <w:multiLevelType w:val="hybridMultilevel"/>
    <w:tmpl w:val="0E728E2E"/>
    <w:styleLink w:val="ImportedStyle15"/>
    <w:lvl w:ilvl="0" w:tplc="1EECC636">
      <w:start w:val="1"/>
      <w:numFmt w:val="bullet"/>
      <w:lvlText w:val="·"/>
      <w:lvlJc w:val="left"/>
      <w:pPr>
        <w:tabs>
          <w:tab w:val="left" w:pos="113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0E4886">
      <w:start w:val="1"/>
      <w:numFmt w:val="bullet"/>
      <w:lvlText w:val="o"/>
      <w:lvlJc w:val="left"/>
      <w:pPr>
        <w:tabs>
          <w:tab w:val="left" w:pos="1134"/>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34DAEC">
      <w:start w:val="1"/>
      <w:numFmt w:val="bullet"/>
      <w:lvlText w:val="▪"/>
      <w:lvlJc w:val="left"/>
      <w:pPr>
        <w:tabs>
          <w:tab w:val="left" w:pos="1134"/>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A690EE">
      <w:start w:val="1"/>
      <w:numFmt w:val="bullet"/>
      <w:lvlText w:val="·"/>
      <w:lvlJc w:val="left"/>
      <w:pPr>
        <w:tabs>
          <w:tab w:val="left" w:pos="1134"/>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F80CA6">
      <w:start w:val="1"/>
      <w:numFmt w:val="bullet"/>
      <w:lvlText w:val="o"/>
      <w:lvlJc w:val="left"/>
      <w:pPr>
        <w:tabs>
          <w:tab w:val="left" w:pos="1134"/>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1AF5EE">
      <w:start w:val="1"/>
      <w:numFmt w:val="bullet"/>
      <w:lvlText w:val="▪"/>
      <w:lvlJc w:val="left"/>
      <w:pPr>
        <w:tabs>
          <w:tab w:val="left" w:pos="1134"/>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D07548">
      <w:start w:val="1"/>
      <w:numFmt w:val="bullet"/>
      <w:lvlText w:val="·"/>
      <w:lvlJc w:val="left"/>
      <w:pPr>
        <w:tabs>
          <w:tab w:val="left" w:pos="1134"/>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14AA34">
      <w:start w:val="1"/>
      <w:numFmt w:val="bullet"/>
      <w:lvlText w:val="o"/>
      <w:lvlJc w:val="left"/>
      <w:pPr>
        <w:tabs>
          <w:tab w:val="left" w:pos="1134"/>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AE7AF2">
      <w:start w:val="1"/>
      <w:numFmt w:val="bullet"/>
      <w:lvlText w:val="▪"/>
      <w:lvlJc w:val="left"/>
      <w:pPr>
        <w:tabs>
          <w:tab w:val="left" w:pos="1134"/>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E646EC"/>
    <w:multiLevelType w:val="hybridMultilevel"/>
    <w:tmpl w:val="3F643F50"/>
    <w:styleLink w:val="ImportedStyle16"/>
    <w:lvl w:ilvl="0" w:tplc="3E0CBAB0">
      <w:start w:val="1"/>
      <w:numFmt w:val="bullet"/>
      <w:lvlText w:val="·"/>
      <w:lvlJc w:val="left"/>
      <w:pPr>
        <w:tabs>
          <w:tab w:val="left" w:pos="113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389D84">
      <w:start w:val="1"/>
      <w:numFmt w:val="bullet"/>
      <w:lvlText w:val="o"/>
      <w:lvlJc w:val="left"/>
      <w:pPr>
        <w:tabs>
          <w:tab w:val="left" w:pos="1134"/>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1C96DA">
      <w:start w:val="1"/>
      <w:numFmt w:val="bullet"/>
      <w:lvlText w:val="▪"/>
      <w:lvlJc w:val="left"/>
      <w:pPr>
        <w:tabs>
          <w:tab w:val="left" w:pos="1134"/>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DC98FE">
      <w:start w:val="1"/>
      <w:numFmt w:val="bullet"/>
      <w:lvlText w:val="·"/>
      <w:lvlJc w:val="left"/>
      <w:pPr>
        <w:tabs>
          <w:tab w:val="left" w:pos="1134"/>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4E0558">
      <w:start w:val="1"/>
      <w:numFmt w:val="bullet"/>
      <w:lvlText w:val="o"/>
      <w:lvlJc w:val="left"/>
      <w:pPr>
        <w:tabs>
          <w:tab w:val="left" w:pos="1134"/>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4268B6">
      <w:start w:val="1"/>
      <w:numFmt w:val="bullet"/>
      <w:lvlText w:val="▪"/>
      <w:lvlJc w:val="left"/>
      <w:pPr>
        <w:tabs>
          <w:tab w:val="left" w:pos="1134"/>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E81F8E">
      <w:start w:val="1"/>
      <w:numFmt w:val="bullet"/>
      <w:lvlText w:val="·"/>
      <w:lvlJc w:val="left"/>
      <w:pPr>
        <w:tabs>
          <w:tab w:val="left" w:pos="1134"/>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BCE3CC">
      <w:start w:val="1"/>
      <w:numFmt w:val="bullet"/>
      <w:lvlText w:val="o"/>
      <w:lvlJc w:val="left"/>
      <w:pPr>
        <w:tabs>
          <w:tab w:val="left" w:pos="1134"/>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A485E8">
      <w:start w:val="1"/>
      <w:numFmt w:val="bullet"/>
      <w:lvlText w:val="▪"/>
      <w:lvlJc w:val="left"/>
      <w:pPr>
        <w:tabs>
          <w:tab w:val="left" w:pos="1134"/>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C207BCD"/>
    <w:multiLevelType w:val="hybridMultilevel"/>
    <w:tmpl w:val="229AF5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8D26CD"/>
    <w:multiLevelType w:val="hybridMultilevel"/>
    <w:tmpl w:val="6EEA72FE"/>
    <w:lvl w:ilvl="0" w:tplc="0C090001">
      <w:start w:val="1"/>
      <w:numFmt w:val="bullet"/>
      <w:lvlText w:val=""/>
      <w:lvlJc w:val="left"/>
      <w:pPr>
        <w:ind w:left="1500" w:hanging="360"/>
      </w:pPr>
      <w:rPr>
        <w:rFonts w:hint="default" w:ascii="Symbol" w:hAnsi="Symbol"/>
      </w:rPr>
    </w:lvl>
    <w:lvl w:ilvl="1" w:tplc="0C090003" w:tentative="1">
      <w:start w:val="1"/>
      <w:numFmt w:val="bullet"/>
      <w:lvlText w:val="o"/>
      <w:lvlJc w:val="left"/>
      <w:pPr>
        <w:ind w:left="2220" w:hanging="360"/>
      </w:pPr>
      <w:rPr>
        <w:rFonts w:hint="default" w:ascii="Courier New" w:hAnsi="Courier New" w:cs="Courier New"/>
      </w:rPr>
    </w:lvl>
    <w:lvl w:ilvl="2" w:tplc="0C090005" w:tentative="1">
      <w:start w:val="1"/>
      <w:numFmt w:val="bullet"/>
      <w:lvlText w:val=""/>
      <w:lvlJc w:val="left"/>
      <w:pPr>
        <w:ind w:left="2940" w:hanging="360"/>
      </w:pPr>
      <w:rPr>
        <w:rFonts w:hint="default" w:ascii="Wingdings" w:hAnsi="Wingdings"/>
      </w:rPr>
    </w:lvl>
    <w:lvl w:ilvl="3" w:tplc="0C090001" w:tentative="1">
      <w:start w:val="1"/>
      <w:numFmt w:val="bullet"/>
      <w:lvlText w:val=""/>
      <w:lvlJc w:val="left"/>
      <w:pPr>
        <w:ind w:left="3660" w:hanging="360"/>
      </w:pPr>
      <w:rPr>
        <w:rFonts w:hint="default" w:ascii="Symbol" w:hAnsi="Symbol"/>
      </w:rPr>
    </w:lvl>
    <w:lvl w:ilvl="4" w:tplc="0C090003" w:tentative="1">
      <w:start w:val="1"/>
      <w:numFmt w:val="bullet"/>
      <w:lvlText w:val="o"/>
      <w:lvlJc w:val="left"/>
      <w:pPr>
        <w:ind w:left="4380" w:hanging="360"/>
      </w:pPr>
      <w:rPr>
        <w:rFonts w:hint="default" w:ascii="Courier New" w:hAnsi="Courier New" w:cs="Courier New"/>
      </w:rPr>
    </w:lvl>
    <w:lvl w:ilvl="5" w:tplc="0C090005" w:tentative="1">
      <w:start w:val="1"/>
      <w:numFmt w:val="bullet"/>
      <w:lvlText w:val=""/>
      <w:lvlJc w:val="left"/>
      <w:pPr>
        <w:ind w:left="5100" w:hanging="360"/>
      </w:pPr>
      <w:rPr>
        <w:rFonts w:hint="default" w:ascii="Wingdings" w:hAnsi="Wingdings"/>
      </w:rPr>
    </w:lvl>
    <w:lvl w:ilvl="6" w:tplc="0C090001" w:tentative="1">
      <w:start w:val="1"/>
      <w:numFmt w:val="bullet"/>
      <w:lvlText w:val=""/>
      <w:lvlJc w:val="left"/>
      <w:pPr>
        <w:ind w:left="5820" w:hanging="360"/>
      </w:pPr>
      <w:rPr>
        <w:rFonts w:hint="default" w:ascii="Symbol" w:hAnsi="Symbol"/>
      </w:rPr>
    </w:lvl>
    <w:lvl w:ilvl="7" w:tplc="0C090003" w:tentative="1">
      <w:start w:val="1"/>
      <w:numFmt w:val="bullet"/>
      <w:lvlText w:val="o"/>
      <w:lvlJc w:val="left"/>
      <w:pPr>
        <w:ind w:left="6540" w:hanging="360"/>
      </w:pPr>
      <w:rPr>
        <w:rFonts w:hint="default" w:ascii="Courier New" w:hAnsi="Courier New" w:cs="Courier New"/>
      </w:rPr>
    </w:lvl>
    <w:lvl w:ilvl="8" w:tplc="0C090005" w:tentative="1">
      <w:start w:val="1"/>
      <w:numFmt w:val="bullet"/>
      <w:lvlText w:val=""/>
      <w:lvlJc w:val="left"/>
      <w:pPr>
        <w:ind w:left="7260" w:hanging="360"/>
      </w:pPr>
      <w:rPr>
        <w:rFonts w:hint="default" w:ascii="Wingdings" w:hAnsi="Wingdings"/>
      </w:rPr>
    </w:lvl>
  </w:abstractNum>
  <w:abstractNum w:abstractNumId="23" w15:restartNumberingAfterBreak="0">
    <w:nsid w:val="36342E82"/>
    <w:multiLevelType w:val="hybridMultilevel"/>
    <w:tmpl w:val="E174CC4C"/>
    <w:lvl w:ilvl="0" w:tplc="0C090001">
      <w:start w:val="1"/>
      <w:numFmt w:val="bullet"/>
      <w:lvlText w:val=""/>
      <w:lvlJc w:val="left"/>
      <w:pPr>
        <w:ind w:left="1684" w:hanging="360"/>
      </w:pPr>
      <w:rPr>
        <w:rFonts w:hint="default" w:ascii="Symbol" w:hAnsi="Symbol"/>
      </w:rPr>
    </w:lvl>
    <w:lvl w:ilvl="1" w:tplc="0C090003" w:tentative="1">
      <w:start w:val="1"/>
      <w:numFmt w:val="bullet"/>
      <w:lvlText w:val="o"/>
      <w:lvlJc w:val="left"/>
      <w:pPr>
        <w:ind w:left="2404" w:hanging="360"/>
      </w:pPr>
      <w:rPr>
        <w:rFonts w:hint="default" w:ascii="Courier New" w:hAnsi="Courier New" w:cs="Courier New"/>
      </w:rPr>
    </w:lvl>
    <w:lvl w:ilvl="2" w:tplc="0C090005" w:tentative="1">
      <w:start w:val="1"/>
      <w:numFmt w:val="bullet"/>
      <w:lvlText w:val=""/>
      <w:lvlJc w:val="left"/>
      <w:pPr>
        <w:ind w:left="3124" w:hanging="360"/>
      </w:pPr>
      <w:rPr>
        <w:rFonts w:hint="default" w:ascii="Wingdings" w:hAnsi="Wingdings"/>
      </w:rPr>
    </w:lvl>
    <w:lvl w:ilvl="3" w:tplc="0C090001" w:tentative="1">
      <w:start w:val="1"/>
      <w:numFmt w:val="bullet"/>
      <w:lvlText w:val=""/>
      <w:lvlJc w:val="left"/>
      <w:pPr>
        <w:ind w:left="3844" w:hanging="360"/>
      </w:pPr>
      <w:rPr>
        <w:rFonts w:hint="default" w:ascii="Symbol" w:hAnsi="Symbol"/>
      </w:rPr>
    </w:lvl>
    <w:lvl w:ilvl="4" w:tplc="0C090003" w:tentative="1">
      <w:start w:val="1"/>
      <w:numFmt w:val="bullet"/>
      <w:lvlText w:val="o"/>
      <w:lvlJc w:val="left"/>
      <w:pPr>
        <w:ind w:left="4564" w:hanging="360"/>
      </w:pPr>
      <w:rPr>
        <w:rFonts w:hint="default" w:ascii="Courier New" w:hAnsi="Courier New" w:cs="Courier New"/>
      </w:rPr>
    </w:lvl>
    <w:lvl w:ilvl="5" w:tplc="0C090005" w:tentative="1">
      <w:start w:val="1"/>
      <w:numFmt w:val="bullet"/>
      <w:lvlText w:val=""/>
      <w:lvlJc w:val="left"/>
      <w:pPr>
        <w:ind w:left="5284" w:hanging="360"/>
      </w:pPr>
      <w:rPr>
        <w:rFonts w:hint="default" w:ascii="Wingdings" w:hAnsi="Wingdings"/>
      </w:rPr>
    </w:lvl>
    <w:lvl w:ilvl="6" w:tplc="0C090001" w:tentative="1">
      <w:start w:val="1"/>
      <w:numFmt w:val="bullet"/>
      <w:lvlText w:val=""/>
      <w:lvlJc w:val="left"/>
      <w:pPr>
        <w:ind w:left="6004" w:hanging="360"/>
      </w:pPr>
      <w:rPr>
        <w:rFonts w:hint="default" w:ascii="Symbol" w:hAnsi="Symbol"/>
      </w:rPr>
    </w:lvl>
    <w:lvl w:ilvl="7" w:tplc="0C090003" w:tentative="1">
      <w:start w:val="1"/>
      <w:numFmt w:val="bullet"/>
      <w:lvlText w:val="o"/>
      <w:lvlJc w:val="left"/>
      <w:pPr>
        <w:ind w:left="6724" w:hanging="360"/>
      </w:pPr>
      <w:rPr>
        <w:rFonts w:hint="default" w:ascii="Courier New" w:hAnsi="Courier New" w:cs="Courier New"/>
      </w:rPr>
    </w:lvl>
    <w:lvl w:ilvl="8" w:tplc="0C090005" w:tentative="1">
      <w:start w:val="1"/>
      <w:numFmt w:val="bullet"/>
      <w:lvlText w:val=""/>
      <w:lvlJc w:val="left"/>
      <w:pPr>
        <w:ind w:left="7444" w:hanging="360"/>
      </w:pPr>
      <w:rPr>
        <w:rFonts w:hint="default" w:ascii="Wingdings" w:hAnsi="Wingdings"/>
      </w:rPr>
    </w:lvl>
  </w:abstractNum>
  <w:abstractNum w:abstractNumId="24" w15:restartNumberingAfterBreak="0">
    <w:nsid w:val="3AB158D5"/>
    <w:multiLevelType w:val="hybridMultilevel"/>
    <w:tmpl w:val="644076A6"/>
    <w:lvl w:ilvl="0" w:tplc="0C090001">
      <w:start w:val="1"/>
      <w:numFmt w:val="bullet"/>
      <w:lvlText w:val=""/>
      <w:lvlJc w:val="left"/>
      <w:pPr>
        <w:ind w:left="1484" w:hanging="360"/>
      </w:pPr>
      <w:rPr>
        <w:rFonts w:hint="default" w:ascii="Symbol" w:hAnsi="Symbol"/>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E406BA"/>
    <w:multiLevelType w:val="hybridMultilevel"/>
    <w:tmpl w:val="798E98CE"/>
    <w:styleLink w:val="ImportedStyle19"/>
    <w:lvl w:ilvl="0" w:tplc="BF9658D6">
      <w:start w:val="1"/>
      <w:numFmt w:val="bullet"/>
      <w:lvlText w:val="·"/>
      <w:lvlJc w:val="left"/>
      <w:pPr>
        <w:tabs>
          <w:tab w:val="left" w:pos="113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76989C">
      <w:start w:val="1"/>
      <w:numFmt w:val="bullet"/>
      <w:lvlText w:val="o"/>
      <w:lvlJc w:val="left"/>
      <w:pPr>
        <w:tabs>
          <w:tab w:val="left" w:pos="1134"/>
        </w:tabs>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C8B456">
      <w:start w:val="1"/>
      <w:numFmt w:val="bullet"/>
      <w:lvlText w:val="▪"/>
      <w:lvlJc w:val="left"/>
      <w:pPr>
        <w:tabs>
          <w:tab w:val="left" w:pos="1134"/>
        </w:tabs>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5FAAC8A">
      <w:start w:val="1"/>
      <w:numFmt w:val="bullet"/>
      <w:lvlText w:val="•"/>
      <w:lvlJc w:val="left"/>
      <w:pPr>
        <w:tabs>
          <w:tab w:val="left" w:pos="1134"/>
        </w:tabs>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D3C3674">
      <w:start w:val="1"/>
      <w:numFmt w:val="bullet"/>
      <w:lvlText w:val="o"/>
      <w:lvlJc w:val="left"/>
      <w:pPr>
        <w:tabs>
          <w:tab w:val="left" w:pos="1134"/>
        </w:tabs>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750863E">
      <w:start w:val="1"/>
      <w:numFmt w:val="bullet"/>
      <w:lvlText w:val="▪"/>
      <w:lvlJc w:val="left"/>
      <w:pPr>
        <w:tabs>
          <w:tab w:val="left" w:pos="1134"/>
        </w:tabs>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527212">
      <w:start w:val="1"/>
      <w:numFmt w:val="bullet"/>
      <w:lvlText w:val="•"/>
      <w:lvlJc w:val="left"/>
      <w:pPr>
        <w:tabs>
          <w:tab w:val="left" w:pos="1134"/>
        </w:tabs>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F02E9C8">
      <w:start w:val="1"/>
      <w:numFmt w:val="bullet"/>
      <w:lvlText w:val="o"/>
      <w:lvlJc w:val="left"/>
      <w:pPr>
        <w:tabs>
          <w:tab w:val="left" w:pos="1134"/>
        </w:tabs>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2E8AAB0">
      <w:start w:val="1"/>
      <w:numFmt w:val="bullet"/>
      <w:lvlText w:val="▪"/>
      <w:lvlJc w:val="left"/>
      <w:pPr>
        <w:tabs>
          <w:tab w:val="left" w:pos="1134"/>
        </w:tabs>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242278A"/>
    <w:multiLevelType w:val="hybridMultilevel"/>
    <w:tmpl w:val="2534BA56"/>
    <w:styleLink w:val="ImportedStyle10"/>
    <w:lvl w:ilvl="0" w:tplc="F1248450">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16C012">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6501284">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04E82FA">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0C987E">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8E64BBE">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FD2D04C">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F81F0C">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42217EA">
      <w:start w:val="1"/>
      <w:numFmt w:val="bullet"/>
      <w:lvlText w:val="·"/>
      <w:lvlJc w:val="left"/>
      <w:pPr>
        <w:ind w:left="1077"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9FF7A73"/>
    <w:multiLevelType w:val="multilevel"/>
    <w:tmpl w:val="C8A297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b/>
        <w:bCs w:val="0"/>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9" w15:restartNumberingAfterBreak="0">
    <w:nsid w:val="4B635715"/>
    <w:multiLevelType w:val="hybridMultilevel"/>
    <w:tmpl w:val="0442D73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0" w15:restartNumberingAfterBreak="0">
    <w:nsid w:val="4BB113B1"/>
    <w:multiLevelType w:val="hybridMultilevel"/>
    <w:tmpl w:val="675A71C2"/>
    <w:lvl w:ilvl="0" w:tplc="0C090001">
      <w:start w:val="1"/>
      <w:numFmt w:val="bullet"/>
      <w:lvlText w:val=""/>
      <w:lvlJc w:val="left"/>
      <w:pPr>
        <w:ind w:left="1400" w:hanging="360"/>
      </w:pPr>
      <w:rPr>
        <w:rFonts w:hint="default" w:ascii="Symbol" w:hAnsi="Symbol"/>
      </w:rPr>
    </w:lvl>
    <w:lvl w:ilvl="1" w:tplc="0C090003" w:tentative="1">
      <w:start w:val="1"/>
      <w:numFmt w:val="bullet"/>
      <w:lvlText w:val="o"/>
      <w:lvlJc w:val="left"/>
      <w:pPr>
        <w:ind w:left="2120" w:hanging="360"/>
      </w:pPr>
      <w:rPr>
        <w:rFonts w:hint="default" w:ascii="Courier New" w:hAnsi="Courier New" w:cs="Courier New"/>
      </w:rPr>
    </w:lvl>
    <w:lvl w:ilvl="2" w:tplc="0C090005" w:tentative="1">
      <w:start w:val="1"/>
      <w:numFmt w:val="bullet"/>
      <w:lvlText w:val=""/>
      <w:lvlJc w:val="left"/>
      <w:pPr>
        <w:ind w:left="2840" w:hanging="360"/>
      </w:pPr>
      <w:rPr>
        <w:rFonts w:hint="default" w:ascii="Wingdings" w:hAnsi="Wingdings"/>
      </w:rPr>
    </w:lvl>
    <w:lvl w:ilvl="3" w:tplc="0C090001" w:tentative="1">
      <w:start w:val="1"/>
      <w:numFmt w:val="bullet"/>
      <w:lvlText w:val=""/>
      <w:lvlJc w:val="left"/>
      <w:pPr>
        <w:ind w:left="3560" w:hanging="360"/>
      </w:pPr>
      <w:rPr>
        <w:rFonts w:hint="default" w:ascii="Symbol" w:hAnsi="Symbol"/>
      </w:rPr>
    </w:lvl>
    <w:lvl w:ilvl="4" w:tplc="0C090003" w:tentative="1">
      <w:start w:val="1"/>
      <w:numFmt w:val="bullet"/>
      <w:lvlText w:val="o"/>
      <w:lvlJc w:val="left"/>
      <w:pPr>
        <w:ind w:left="4280" w:hanging="360"/>
      </w:pPr>
      <w:rPr>
        <w:rFonts w:hint="default" w:ascii="Courier New" w:hAnsi="Courier New" w:cs="Courier New"/>
      </w:rPr>
    </w:lvl>
    <w:lvl w:ilvl="5" w:tplc="0C090005" w:tentative="1">
      <w:start w:val="1"/>
      <w:numFmt w:val="bullet"/>
      <w:lvlText w:val=""/>
      <w:lvlJc w:val="left"/>
      <w:pPr>
        <w:ind w:left="5000" w:hanging="360"/>
      </w:pPr>
      <w:rPr>
        <w:rFonts w:hint="default" w:ascii="Wingdings" w:hAnsi="Wingdings"/>
      </w:rPr>
    </w:lvl>
    <w:lvl w:ilvl="6" w:tplc="0C090001" w:tentative="1">
      <w:start w:val="1"/>
      <w:numFmt w:val="bullet"/>
      <w:lvlText w:val=""/>
      <w:lvlJc w:val="left"/>
      <w:pPr>
        <w:ind w:left="5720" w:hanging="360"/>
      </w:pPr>
      <w:rPr>
        <w:rFonts w:hint="default" w:ascii="Symbol" w:hAnsi="Symbol"/>
      </w:rPr>
    </w:lvl>
    <w:lvl w:ilvl="7" w:tplc="0C090003" w:tentative="1">
      <w:start w:val="1"/>
      <w:numFmt w:val="bullet"/>
      <w:lvlText w:val="o"/>
      <w:lvlJc w:val="left"/>
      <w:pPr>
        <w:ind w:left="6440" w:hanging="360"/>
      </w:pPr>
      <w:rPr>
        <w:rFonts w:hint="default" w:ascii="Courier New" w:hAnsi="Courier New" w:cs="Courier New"/>
      </w:rPr>
    </w:lvl>
    <w:lvl w:ilvl="8" w:tplc="0C090005" w:tentative="1">
      <w:start w:val="1"/>
      <w:numFmt w:val="bullet"/>
      <w:lvlText w:val=""/>
      <w:lvlJc w:val="left"/>
      <w:pPr>
        <w:ind w:left="7160" w:hanging="360"/>
      </w:pPr>
      <w:rPr>
        <w:rFonts w:hint="default" w:ascii="Wingdings" w:hAnsi="Wingdings"/>
      </w:rPr>
    </w:lvl>
  </w:abstractNum>
  <w:abstractNum w:abstractNumId="3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EEF6C78"/>
    <w:multiLevelType w:val="hybridMultilevel"/>
    <w:tmpl w:val="07C46E8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33" w15:restartNumberingAfterBreak="0">
    <w:nsid w:val="4F8E414F"/>
    <w:multiLevelType w:val="hybridMultilevel"/>
    <w:tmpl w:val="3C04E3AE"/>
    <w:lvl w:ilvl="0" w:tplc="690E989C">
      <w:start w:val="1"/>
      <w:numFmt w:val="bullet"/>
      <w:lvlText w:val="-"/>
      <w:lvlJc w:val="left"/>
      <w:pPr>
        <w:ind w:left="720" w:hanging="360"/>
      </w:pPr>
      <w:rPr>
        <w:rFonts w:hint="default" w:ascii="Open Sans" w:hAnsi="Open Sans" w:eastAsia="MS Mincho" w:cs="Open San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4FD6031A"/>
    <w:multiLevelType w:val="hybridMultilevel"/>
    <w:tmpl w:val="44140F18"/>
    <w:lvl w:ilvl="0" w:tplc="0C090001">
      <w:start w:val="1"/>
      <w:numFmt w:val="bullet"/>
      <w:lvlText w:val=""/>
      <w:lvlJc w:val="left"/>
      <w:pPr>
        <w:ind w:left="1494" w:hanging="360"/>
      </w:pPr>
      <w:rPr>
        <w:rFonts w:hint="default" w:ascii="Symbol" w:hAnsi="Symbol"/>
      </w:rPr>
    </w:lvl>
    <w:lvl w:ilvl="1" w:tplc="0C090003" w:tentative="1">
      <w:start w:val="1"/>
      <w:numFmt w:val="bullet"/>
      <w:lvlText w:val="o"/>
      <w:lvlJc w:val="left"/>
      <w:pPr>
        <w:ind w:left="2214" w:hanging="360"/>
      </w:pPr>
      <w:rPr>
        <w:rFonts w:hint="default" w:ascii="Courier New" w:hAnsi="Courier New" w:cs="Courier New"/>
      </w:rPr>
    </w:lvl>
    <w:lvl w:ilvl="2" w:tplc="0C090005" w:tentative="1">
      <w:start w:val="1"/>
      <w:numFmt w:val="bullet"/>
      <w:lvlText w:val=""/>
      <w:lvlJc w:val="left"/>
      <w:pPr>
        <w:ind w:left="2934" w:hanging="360"/>
      </w:pPr>
      <w:rPr>
        <w:rFonts w:hint="default" w:ascii="Wingdings" w:hAnsi="Wingdings"/>
      </w:rPr>
    </w:lvl>
    <w:lvl w:ilvl="3" w:tplc="0C090001" w:tentative="1">
      <w:start w:val="1"/>
      <w:numFmt w:val="bullet"/>
      <w:lvlText w:val=""/>
      <w:lvlJc w:val="left"/>
      <w:pPr>
        <w:ind w:left="3654" w:hanging="360"/>
      </w:pPr>
      <w:rPr>
        <w:rFonts w:hint="default" w:ascii="Symbol" w:hAnsi="Symbol"/>
      </w:rPr>
    </w:lvl>
    <w:lvl w:ilvl="4" w:tplc="0C090003" w:tentative="1">
      <w:start w:val="1"/>
      <w:numFmt w:val="bullet"/>
      <w:lvlText w:val="o"/>
      <w:lvlJc w:val="left"/>
      <w:pPr>
        <w:ind w:left="4374" w:hanging="360"/>
      </w:pPr>
      <w:rPr>
        <w:rFonts w:hint="default" w:ascii="Courier New" w:hAnsi="Courier New" w:cs="Courier New"/>
      </w:rPr>
    </w:lvl>
    <w:lvl w:ilvl="5" w:tplc="0C090005" w:tentative="1">
      <w:start w:val="1"/>
      <w:numFmt w:val="bullet"/>
      <w:lvlText w:val=""/>
      <w:lvlJc w:val="left"/>
      <w:pPr>
        <w:ind w:left="5094" w:hanging="360"/>
      </w:pPr>
      <w:rPr>
        <w:rFonts w:hint="default" w:ascii="Wingdings" w:hAnsi="Wingdings"/>
      </w:rPr>
    </w:lvl>
    <w:lvl w:ilvl="6" w:tplc="0C090001" w:tentative="1">
      <w:start w:val="1"/>
      <w:numFmt w:val="bullet"/>
      <w:lvlText w:val=""/>
      <w:lvlJc w:val="left"/>
      <w:pPr>
        <w:ind w:left="5814" w:hanging="360"/>
      </w:pPr>
      <w:rPr>
        <w:rFonts w:hint="default" w:ascii="Symbol" w:hAnsi="Symbol"/>
      </w:rPr>
    </w:lvl>
    <w:lvl w:ilvl="7" w:tplc="0C090003" w:tentative="1">
      <w:start w:val="1"/>
      <w:numFmt w:val="bullet"/>
      <w:lvlText w:val="o"/>
      <w:lvlJc w:val="left"/>
      <w:pPr>
        <w:ind w:left="6534" w:hanging="360"/>
      </w:pPr>
      <w:rPr>
        <w:rFonts w:hint="default" w:ascii="Courier New" w:hAnsi="Courier New" w:cs="Courier New"/>
      </w:rPr>
    </w:lvl>
    <w:lvl w:ilvl="8" w:tplc="0C090005" w:tentative="1">
      <w:start w:val="1"/>
      <w:numFmt w:val="bullet"/>
      <w:lvlText w:val=""/>
      <w:lvlJc w:val="left"/>
      <w:pPr>
        <w:ind w:left="7254" w:hanging="360"/>
      </w:pPr>
      <w:rPr>
        <w:rFonts w:hint="default" w:ascii="Wingdings" w:hAnsi="Wingdings"/>
      </w:rPr>
    </w:lvl>
  </w:abstractNum>
  <w:abstractNum w:abstractNumId="35" w15:restartNumberingAfterBreak="0">
    <w:nsid w:val="5267103B"/>
    <w:multiLevelType w:val="hybridMultilevel"/>
    <w:tmpl w:val="9C9C78C0"/>
    <w:styleLink w:val="ImportedStyle17"/>
    <w:lvl w:ilvl="0" w:tplc="F68E6AD2">
      <w:start w:val="1"/>
      <w:numFmt w:val="bullet"/>
      <w:lvlText w:val="·"/>
      <w:lvlJc w:val="left"/>
      <w:pPr>
        <w:ind w:left="111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A63D5E">
      <w:start w:val="1"/>
      <w:numFmt w:val="bullet"/>
      <w:lvlText w:val="o"/>
      <w:lvlJc w:val="left"/>
      <w:pPr>
        <w:ind w:left="18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AA09518">
      <w:start w:val="1"/>
      <w:numFmt w:val="bullet"/>
      <w:lvlText w:val="▪"/>
      <w:lvlJc w:val="left"/>
      <w:pPr>
        <w:ind w:left="25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9C7184">
      <w:start w:val="1"/>
      <w:numFmt w:val="bullet"/>
      <w:lvlText w:val="•"/>
      <w:lvlJc w:val="left"/>
      <w:pPr>
        <w:ind w:left="32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2084094">
      <w:start w:val="1"/>
      <w:numFmt w:val="bullet"/>
      <w:lvlText w:val="o"/>
      <w:lvlJc w:val="left"/>
      <w:pPr>
        <w:ind w:left="39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4B20060">
      <w:start w:val="1"/>
      <w:numFmt w:val="bullet"/>
      <w:lvlText w:val="▪"/>
      <w:lvlJc w:val="left"/>
      <w:pPr>
        <w:ind w:left="46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0F2612E">
      <w:start w:val="1"/>
      <w:numFmt w:val="bullet"/>
      <w:lvlText w:val="•"/>
      <w:lvlJc w:val="left"/>
      <w:pPr>
        <w:ind w:left="54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DDA018C">
      <w:start w:val="1"/>
      <w:numFmt w:val="bullet"/>
      <w:lvlText w:val="o"/>
      <w:lvlJc w:val="left"/>
      <w:pPr>
        <w:ind w:left="61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0FA8230">
      <w:start w:val="1"/>
      <w:numFmt w:val="bullet"/>
      <w:lvlText w:val="▪"/>
      <w:lvlJc w:val="left"/>
      <w:pPr>
        <w:ind w:left="68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2E44BE5"/>
    <w:multiLevelType w:val="hybridMultilevel"/>
    <w:tmpl w:val="A11AD17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7" w15:restartNumberingAfterBreak="0">
    <w:nsid w:val="559F0E81"/>
    <w:multiLevelType w:val="hybridMultilevel"/>
    <w:tmpl w:val="2BA85A32"/>
    <w:lvl w:ilvl="0" w:tplc="0C090001">
      <w:start w:val="1"/>
      <w:numFmt w:val="bullet"/>
      <w:lvlText w:val=""/>
      <w:lvlJc w:val="left"/>
      <w:pPr>
        <w:ind w:left="1154" w:hanging="360"/>
      </w:pPr>
      <w:rPr>
        <w:rFonts w:hint="default" w:ascii="Symbol" w:hAnsi="Symbol"/>
      </w:rPr>
    </w:lvl>
    <w:lvl w:ilvl="1" w:tplc="0C090003" w:tentative="1">
      <w:start w:val="1"/>
      <w:numFmt w:val="bullet"/>
      <w:lvlText w:val="o"/>
      <w:lvlJc w:val="left"/>
      <w:pPr>
        <w:ind w:left="1874" w:hanging="360"/>
      </w:pPr>
      <w:rPr>
        <w:rFonts w:hint="default" w:ascii="Courier New" w:hAnsi="Courier New" w:cs="Courier New"/>
      </w:rPr>
    </w:lvl>
    <w:lvl w:ilvl="2" w:tplc="0C090005" w:tentative="1">
      <w:start w:val="1"/>
      <w:numFmt w:val="bullet"/>
      <w:lvlText w:val=""/>
      <w:lvlJc w:val="left"/>
      <w:pPr>
        <w:ind w:left="2594" w:hanging="360"/>
      </w:pPr>
      <w:rPr>
        <w:rFonts w:hint="default" w:ascii="Wingdings" w:hAnsi="Wingdings"/>
      </w:rPr>
    </w:lvl>
    <w:lvl w:ilvl="3" w:tplc="0C090001" w:tentative="1">
      <w:start w:val="1"/>
      <w:numFmt w:val="bullet"/>
      <w:lvlText w:val=""/>
      <w:lvlJc w:val="left"/>
      <w:pPr>
        <w:ind w:left="3314" w:hanging="360"/>
      </w:pPr>
      <w:rPr>
        <w:rFonts w:hint="default" w:ascii="Symbol" w:hAnsi="Symbol"/>
      </w:rPr>
    </w:lvl>
    <w:lvl w:ilvl="4" w:tplc="0C090003" w:tentative="1">
      <w:start w:val="1"/>
      <w:numFmt w:val="bullet"/>
      <w:lvlText w:val="o"/>
      <w:lvlJc w:val="left"/>
      <w:pPr>
        <w:ind w:left="4034" w:hanging="360"/>
      </w:pPr>
      <w:rPr>
        <w:rFonts w:hint="default" w:ascii="Courier New" w:hAnsi="Courier New" w:cs="Courier New"/>
      </w:rPr>
    </w:lvl>
    <w:lvl w:ilvl="5" w:tplc="0C090005" w:tentative="1">
      <w:start w:val="1"/>
      <w:numFmt w:val="bullet"/>
      <w:lvlText w:val=""/>
      <w:lvlJc w:val="left"/>
      <w:pPr>
        <w:ind w:left="4754" w:hanging="360"/>
      </w:pPr>
      <w:rPr>
        <w:rFonts w:hint="default" w:ascii="Wingdings" w:hAnsi="Wingdings"/>
      </w:rPr>
    </w:lvl>
    <w:lvl w:ilvl="6" w:tplc="0C090001" w:tentative="1">
      <w:start w:val="1"/>
      <w:numFmt w:val="bullet"/>
      <w:lvlText w:val=""/>
      <w:lvlJc w:val="left"/>
      <w:pPr>
        <w:ind w:left="5474" w:hanging="360"/>
      </w:pPr>
      <w:rPr>
        <w:rFonts w:hint="default" w:ascii="Symbol" w:hAnsi="Symbol"/>
      </w:rPr>
    </w:lvl>
    <w:lvl w:ilvl="7" w:tplc="0C090003" w:tentative="1">
      <w:start w:val="1"/>
      <w:numFmt w:val="bullet"/>
      <w:lvlText w:val="o"/>
      <w:lvlJc w:val="left"/>
      <w:pPr>
        <w:ind w:left="6194" w:hanging="360"/>
      </w:pPr>
      <w:rPr>
        <w:rFonts w:hint="default" w:ascii="Courier New" w:hAnsi="Courier New" w:cs="Courier New"/>
      </w:rPr>
    </w:lvl>
    <w:lvl w:ilvl="8" w:tplc="0C090005" w:tentative="1">
      <w:start w:val="1"/>
      <w:numFmt w:val="bullet"/>
      <w:lvlText w:val=""/>
      <w:lvlJc w:val="left"/>
      <w:pPr>
        <w:ind w:left="6914" w:hanging="360"/>
      </w:pPr>
      <w:rPr>
        <w:rFonts w:hint="default" w:ascii="Wingdings" w:hAnsi="Wingdings"/>
      </w:rPr>
    </w:lvl>
  </w:abstractNum>
  <w:abstractNum w:abstractNumId="38" w15:restartNumberingAfterBreak="0">
    <w:nsid w:val="5A13582B"/>
    <w:multiLevelType w:val="hybridMultilevel"/>
    <w:tmpl w:val="893C3780"/>
    <w:lvl w:ilvl="0" w:tplc="0C090001">
      <w:start w:val="1"/>
      <w:numFmt w:val="bullet"/>
      <w:lvlText w:val=""/>
      <w:lvlJc w:val="left"/>
      <w:pPr>
        <w:ind w:left="1145" w:hanging="360"/>
      </w:pPr>
      <w:rPr>
        <w:rFonts w:hint="default" w:ascii="Symbol" w:hAnsi="Symbol"/>
      </w:rPr>
    </w:lvl>
    <w:lvl w:ilvl="1" w:tplc="0C090003" w:tentative="1">
      <w:start w:val="1"/>
      <w:numFmt w:val="bullet"/>
      <w:lvlText w:val="o"/>
      <w:lvlJc w:val="left"/>
      <w:pPr>
        <w:ind w:left="1865" w:hanging="360"/>
      </w:pPr>
      <w:rPr>
        <w:rFonts w:hint="default" w:ascii="Courier New" w:hAnsi="Courier New" w:cs="Courier New"/>
      </w:rPr>
    </w:lvl>
    <w:lvl w:ilvl="2" w:tplc="0C090005" w:tentative="1">
      <w:start w:val="1"/>
      <w:numFmt w:val="bullet"/>
      <w:lvlText w:val=""/>
      <w:lvlJc w:val="left"/>
      <w:pPr>
        <w:ind w:left="2585" w:hanging="360"/>
      </w:pPr>
      <w:rPr>
        <w:rFonts w:hint="default" w:ascii="Wingdings" w:hAnsi="Wingdings"/>
      </w:rPr>
    </w:lvl>
    <w:lvl w:ilvl="3" w:tplc="0C090001" w:tentative="1">
      <w:start w:val="1"/>
      <w:numFmt w:val="bullet"/>
      <w:lvlText w:val=""/>
      <w:lvlJc w:val="left"/>
      <w:pPr>
        <w:ind w:left="3305" w:hanging="360"/>
      </w:pPr>
      <w:rPr>
        <w:rFonts w:hint="default" w:ascii="Symbol" w:hAnsi="Symbol"/>
      </w:rPr>
    </w:lvl>
    <w:lvl w:ilvl="4" w:tplc="0C090003" w:tentative="1">
      <w:start w:val="1"/>
      <w:numFmt w:val="bullet"/>
      <w:lvlText w:val="o"/>
      <w:lvlJc w:val="left"/>
      <w:pPr>
        <w:ind w:left="4025" w:hanging="360"/>
      </w:pPr>
      <w:rPr>
        <w:rFonts w:hint="default" w:ascii="Courier New" w:hAnsi="Courier New" w:cs="Courier New"/>
      </w:rPr>
    </w:lvl>
    <w:lvl w:ilvl="5" w:tplc="0C090005" w:tentative="1">
      <w:start w:val="1"/>
      <w:numFmt w:val="bullet"/>
      <w:lvlText w:val=""/>
      <w:lvlJc w:val="left"/>
      <w:pPr>
        <w:ind w:left="4745" w:hanging="360"/>
      </w:pPr>
      <w:rPr>
        <w:rFonts w:hint="default" w:ascii="Wingdings" w:hAnsi="Wingdings"/>
      </w:rPr>
    </w:lvl>
    <w:lvl w:ilvl="6" w:tplc="0C090001" w:tentative="1">
      <w:start w:val="1"/>
      <w:numFmt w:val="bullet"/>
      <w:lvlText w:val=""/>
      <w:lvlJc w:val="left"/>
      <w:pPr>
        <w:ind w:left="5465" w:hanging="360"/>
      </w:pPr>
      <w:rPr>
        <w:rFonts w:hint="default" w:ascii="Symbol" w:hAnsi="Symbol"/>
      </w:rPr>
    </w:lvl>
    <w:lvl w:ilvl="7" w:tplc="0C090003" w:tentative="1">
      <w:start w:val="1"/>
      <w:numFmt w:val="bullet"/>
      <w:lvlText w:val="o"/>
      <w:lvlJc w:val="left"/>
      <w:pPr>
        <w:ind w:left="6185" w:hanging="360"/>
      </w:pPr>
      <w:rPr>
        <w:rFonts w:hint="default" w:ascii="Courier New" w:hAnsi="Courier New" w:cs="Courier New"/>
      </w:rPr>
    </w:lvl>
    <w:lvl w:ilvl="8" w:tplc="0C090005" w:tentative="1">
      <w:start w:val="1"/>
      <w:numFmt w:val="bullet"/>
      <w:lvlText w:val=""/>
      <w:lvlJc w:val="left"/>
      <w:pPr>
        <w:ind w:left="6905" w:hanging="360"/>
      </w:pPr>
      <w:rPr>
        <w:rFonts w:hint="default" w:ascii="Wingdings" w:hAnsi="Wingdings"/>
      </w:rPr>
    </w:lvl>
  </w:abstractNum>
  <w:abstractNum w:abstractNumId="39" w15:restartNumberingAfterBreak="0">
    <w:nsid w:val="5E74536E"/>
    <w:multiLevelType w:val="hybridMultilevel"/>
    <w:tmpl w:val="E12E4C8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5FAB77EF"/>
    <w:multiLevelType w:val="hybridMultilevel"/>
    <w:tmpl w:val="F25C6666"/>
    <w:numStyleLink w:val="ImportedStyle11"/>
  </w:abstractNum>
  <w:abstractNum w:abstractNumId="41" w15:restartNumberingAfterBreak="0">
    <w:nsid w:val="61F41106"/>
    <w:multiLevelType w:val="hybridMultilevel"/>
    <w:tmpl w:val="6F58EBC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2" w15:restartNumberingAfterBreak="0">
    <w:nsid w:val="632B283C"/>
    <w:multiLevelType w:val="hybridMultilevel"/>
    <w:tmpl w:val="7BC6C038"/>
    <w:styleLink w:val="ImportedStyle14"/>
    <w:lvl w:ilvl="0" w:tplc="BA80352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6E0E6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8AC04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3028F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62182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BED0A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2F07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A6B2F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84B2D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4432F58"/>
    <w:multiLevelType w:val="hybridMultilevel"/>
    <w:tmpl w:val="15DE4AE2"/>
    <w:lvl w:ilvl="0" w:tplc="9D427E1A">
      <w:start w:val="1"/>
      <w:numFmt w:val="lowerLetter"/>
      <w:lvlText w:val="%1)"/>
      <w:lvlJc w:val="left"/>
      <w:pPr>
        <w:ind w:left="1484" w:hanging="360"/>
      </w:pPr>
      <w:rPr>
        <w:rFonts w:hint="default"/>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44" w15:restartNumberingAfterBreak="0">
    <w:nsid w:val="64BF4457"/>
    <w:multiLevelType w:val="hybridMultilevel"/>
    <w:tmpl w:val="8AECFE2E"/>
    <w:lvl w:ilvl="0" w:tplc="F192052C">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BFD222A"/>
    <w:multiLevelType w:val="hybridMultilevel"/>
    <w:tmpl w:val="BA5046E4"/>
    <w:styleLink w:val="ImportedStyle6"/>
    <w:lvl w:ilvl="0" w:tplc="2C74DF8C">
      <w:start w:val="1"/>
      <w:numFmt w:val="bullet"/>
      <w:lvlText w:val="·"/>
      <w:lvlJc w:val="left"/>
      <w:pPr>
        <w:tabs>
          <w:tab w:val="left" w:pos="1134"/>
        </w:tabs>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6C01D4">
      <w:start w:val="1"/>
      <w:numFmt w:val="bullet"/>
      <w:lvlText w:val="o"/>
      <w:lvlJc w:val="left"/>
      <w:pPr>
        <w:tabs>
          <w:tab w:val="left" w:pos="1134"/>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5E0A10">
      <w:start w:val="1"/>
      <w:numFmt w:val="bullet"/>
      <w:lvlText w:val="▪"/>
      <w:lvlJc w:val="left"/>
      <w:pPr>
        <w:tabs>
          <w:tab w:val="left" w:pos="1134"/>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0A7A6">
      <w:start w:val="1"/>
      <w:numFmt w:val="bullet"/>
      <w:lvlText w:val="·"/>
      <w:lvlJc w:val="left"/>
      <w:pPr>
        <w:tabs>
          <w:tab w:val="left" w:pos="1134"/>
        </w:tabs>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0A059E">
      <w:start w:val="1"/>
      <w:numFmt w:val="bullet"/>
      <w:lvlText w:val="o"/>
      <w:lvlJc w:val="left"/>
      <w:pPr>
        <w:tabs>
          <w:tab w:val="left" w:pos="1134"/>
        </w:tabs>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746CDE">
      <w:start w:val="1"/>
      <w:numFmt w:val="bullet"/>
      <w:lvlText w:val="▪"/>
      <w:lvlJc w:val="left"/>
      <w:pPr>
        <w:tabs>
          <w:tab w:val="left" w:pos="1134"/>
        </w:tabs>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48142C">
      <w:start w:val="1"/>
      <w:numFmt w:val="bullet"/>
      <w:lvlText w:val="·"/>
      <w:lvlJc w:val="left"/>
      <w:pPr>
        <w:tabs>
          <w:tab w:val="left" w:pos="1134"/>
        </w:tabs>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1A60D4">
      <w:start w:val="1"/>
      <w:numFmt w:val="bullet"/>
      <w:lvlText w:val="o"/>
      <w:lvlJc w:val="left"/>
      <w:pPr>
        <w:tabs>
          <w:tab w:val="left" w:pos="1134"/>
        </w:tabs>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28EF60">
      <w:start w:val="1"/>
      <w:numFmt w:val="bullet"/>
      <w:lvlText w:val="▪"/>
      <w:lvlJc w:val="left"/>
      <w:pPr>
        <w:tabs>
          <w:tab w:val="left" w:pos="1134"/>
        </w:tabs>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C442D95"/>
    <w:multiLevelType w:val="hybridMultilevel"/>
    <w:tmpl w:val="BB8211C0"/>
    <w:lvl w:ilvl="0" w:tplc="0C090001">
      <w:start w:val="1"/>
      <w:numFmt w:val="bullet"/>
      <w:lvlText w:val=""/>
      <w:lvlJc w:val="left"/>
      <w:pPr>
        <w:ind w:left="1080" w:hanging="360"/>
      </w:pPr>
      <w:rPr>
        <w:rFonts w:hint="default" w:ascii="Symbol" w:hAnsi="Symbo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E3379CE"/>
    <w:multiLevelType w:val="hybridMultilevel"/>
    <w:tmpl w:val="323A5C48"/>
    <w:lvl w:ilvl="0" w:tplc="0C090001">
      <w:start w:val="1"/>
      <w:numFmt w:val="bullet"/>
      <w:lvlText w:val=""/>
      <w:lvlJc w:val="left"/>
      <w:pPr>
        <w:ind w:left="1400" w:hanging="360"/>
      </w:pPr>
      <w:rPr>
        <w:rFonts w:hint="default" w:ascii="Symbol" w:hAnsi="Symbol"/>
      </w:rPr>
    </w:lvl>
    <w:lvl w:ilvl="1" w:tplc="0C090003" w:tentative="1">
      <w:start w:val="1"/>
      <w:numFmt w:val="bullet"/>
      <w:lvlText w:val="o"/>
      <w:lvlJc w:val="left"/>
      <w:pPr>
        <w:ind w:left="2120" w:hanging="360"/>
      </w:pPr>
      <w:rPr>
        <w:rFonts w:hint="default" w:ascii="Courier New" w:hAnsi="Courier New" w:cs="Courier New"/>
      </w:rPr>
    </w:lvl>
    <w:lvl w:ilvl="2" w:tplc="0C090005" w:tentative="1">
      <w:start w:val="1"/>
      <w:numFmt w:val="bullet"/>
      <w:lvlText w:val=""/>
      <w:lvlJc w:val="left"/>
      <w:pPr>
        <w:ind w:left="2840" w:hanging="360"/>
      </w:pPr>
      <w:rPr>
        <w:rFonts w:hint="default" w:ascii="Wingdings" w:hAnsi="Wingdings"/>
      </w:rPr>
    </w:lvl>
    <w:lvl w:ilvl="3" w:tplc="0C090001" w:tentative="1">
      <w:start w:val="1"/>
      <w:numFmt w:val="bullet"/>
      <w:lvlText w:val=""/>
      <w:lvlJc w:val="left"/>
      <w:pPr>
        <w:ind w:left="3560" w:hanging="360"/>
      </w:pPr>
      <w:rPr>
        <w:rFonts w:hint="default" w:ascii="Symbol" w:hAnsi="Symbol"/>
      </w:rPr>
    </w:lvl>
    <w:lvl w:ilvl="4" w:tplc="0C090003" w:tentative="1">
      <w:start w:val="1"/>
      <w:numFmt w:val="bullet"/>
      <w:lvlText w:val="o"/>
      <w:lvlJc w:val="left"/>
      <w:pPr>
        <w:ind w:left="4280" w:hanging="360"/>
      </w:pPr>
      <w:rPr>
        <w:rFonts w:hint="default" w:ascii="Courier New" w:hAnsi="Courier New" w:cs="Courier New"/>
      </w:rPr>
    </w:lvl>
    <w:lvl w:ilvl="5" w:tplc="0C090005" w:tentative="1">
      <w:start w:val="1"/>
      <w:numFmt w:val="bullet"/>
      <w:lvlText w:val=""/>
      <w:lvlJc w:val="left"/>
      <w:pPr>
        <w:ind w:left="5000" w:hanging="360"/>
      </w:pPr>
      <w:rPr>
        <w:rFonts w:hint="default" w:ascii="Wingdings" w:hAnsi="Wingdings"/>
      </w:rPr>
    </w:lvl>
    <w:lvl w:ilvl="6" w:tplc="0C090001" w:tentative="1">
      <w:start w:val="1"/>
      <w:numFmt w:val="bullet"/>
      <w:lvlText w:val=""/>
      <w:lvlJc w:val="left"/>
      <w:pPr>
        <w:ind w:left="5720" w:hanging="360"/>
      </w:pPr>
      <w:rPr>
        <w:rFonts w:hint="default" w:ascii="Symbol" w:hAnsi="Symbol"/>
      </w:rPr>
    </w:lvl>
    <w:lvl w:ilvl="7" w:tplc="0C090003" w:tentative="1">
      <w:start w:val="1"/>
      <w:numFmt w:val="bullet"/>
      <w:lvlText w:val="o"/>
      <w:lvlJc w:val="left"/>
      <w:pPr>
        <w:ind w:left="6440" w:hanging="360"/>
      </w:pPr>
      <w:rPr>
        <w:rFonts w:hint="default" w:ascii="Courier New" w:hAnsi="Courier New" w:cs="Courier New"/>
      </w:rPr>
    </w:lvl>
    <w:lvl w:ilvl="8" w:tplc="0C090005" w:tentative="1">
      <w:start w:val="1"/>
      <w:numFmt w:val="bullet"/>
      <w:lvlText w:val=""/>
      <w:lvlJc w:val="left"/>
      <w:pPr>
        <w:ind w:left="7160" w:hanging="360"/>
      </w:pPr>
      <w:rPr>
        <w:rFonts w:hint="default" w:ascii="Wingdings" w:hAnsi="Wingdings"/>
      </w:rPr>
    </w:lvl>
  </w:abstractNum>
  <w:abstractNum w:abstractNumId="48" w15:restartNumberingAfterBreak="0">
    <w:nsid w:val="73B70252"/>
    <w:multiLevelType w:val="hybridMultilevel"/>
    <w:tmpl w:val="816229D2"/>
    <w:styleLink w:val="ImportedStyle18"/>
    <w:lvl w:ilvl="0" w:tplc="D21E7268">
      <w:start w:val="1"/>
      <w:numFmt w:val="decimal"/>
      <w:lvlText w:val="%1."/>
      <w:lvlJc w:val="left"/>
      <w:pPr>
        <w:tabs>
          <w:tab w:val="left" w:pos="776"/>
        </w:tabs>
        <w:ind w:left="753" w:hanging="393"/>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F620F40">
      <w:start w:val="1"/>
      <w:numFmt w:val="lowerLetter"/>
      <w:lvlText w:val="%2."/>
      <w:lvlJc w:val="left"/>
      <w:pPr>
        <w:tabs>
          <w:tab w:val="left" w:pos="776"/>
        </w:tabs>
        <w:ind w:left="393" w:hanging="393"/>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DA236EA">
      <w:start w:val="1"/>
      <w:numFmt w:val="lowerRoman"/>
      <w:lvlText w:val="%3."/>
      <w:lvlJc w:val="left"/>
      <w:pPr>
        <w:tabs>
          <w:tab w:val="left" w:pos="776"/>
        </w:tabs>
        <w:ind w:left="322" w:hanging="32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86C4396">
      <w:start w:val="1"/>
      <w:numFmt w:val="decimal"/>
      <w:lvlText w:val="%4."/>
      <w:lvlJc w:val="left"/>
      <w:pPr>
        <w:tabs>
          <w:tab w:val="left" w:pos="776"/>
        </w:tabs>
        <w:ind w:left="393" w:hanging="393"/>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DAA9A7C">
      <w:start w:val="1"/>
      <w:numFmt w:val="lowerLetter"/>
      <w:lvlText w:val="%5."/>
      <w:lvlJc w:val="left"/>
      <w:pPr>
        <w:tabs>
          <w:tab w:val="left" w:pos="776"/>
        </w:tabs>
        <w:ind w:left="77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0556281A">
      <w:start w:val="1"/>
      <w:numFmt w:val="lowerRoman"/>
      <w:lvlText w:val="%6."/>
      <w:lvlJc w:val="left"/>
      <w:pPr>
        <w:tabs>
          <w:tab w:val="left" w:pos="776"/>
        </w:tabs>
        <w:ind w:left="1491"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6" w:tplc="FBE66D0E">
      <w:start w:val="1"/>
      <w:numFmt w:val="decimal"/>
      <w:lvlText w:val="%7."/>
      <w:lvlJc w:val="left"/>
      <w:pPr>
        <w:tabs>
          <w:tab w:val="left" w:pos="776"/>
        </w:tabs>
        <w:ind w:left="221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389C3096">
      <w:start w:val="1"/>
      <w:numFmt w:val="lowerLetter"/>
      <w:lvlText w:val="%8."/>
      <w:lvlJc w:val="left"/>
      <w:pPr>
        <w:tabs>
          <w:tab w:val="left" w:pos="776"/>
        </w:tabs>
        <w:ind w:left="293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32BE02F0">
      <w:start w:val="1"/>
      <w:numFmt w:val="lowerRoman"/>
      <w:lvlText w:val="%9."/>
      <w:lvlJc w:val="left"/>
      <w:pPr>
        <w:tabs>
          <w:tab w:val="left" w:pos="776"/>
        </w:tabs>
        <w:ind w:left="3651" w:hanging="3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A724D2A"/>
    <w:multiLevelType w:val="hybridMultilevel"/>
    <w:tmpl w:val="135E7FD2"/>
    <w:styleLink w:val="ImportedStyle13"/>
    <w:lvl w:ilvl="0" w:tplc="349809AE">
      <w:start w:val="1"/>
      <w:numFmt w:val="bullet"/>
      <w:lvlText w:val="·"/>
      <w:lvlJc w:val="left"/>
      <w:pPr>
        <w:tabs>
          <w:tab w:val="left" w:pos="1134"/>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1A7A92">
      <w:start w:val="1"/>
      <w:numFmt w:val="bullet"/>
      <w:lvlText w:val="o"/>
      <w:lvlJc w:val="left"/>
      <w:pPr>
        <w:tabs>
          <w:tab w:val="left" w:pos="1134"/>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C65592">
      <w:start w:val="1"/>
      <w:numFmt w:val="bullet"/>
      <w:lvlText w:val="▪"/>
      <w:lvlJc w:val="left"/>
      <w:pPr>
        <w:tabs>
          <w:tab w:val="left" w:pos="1134"/>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EE6038">
      <w:start w:val="1"/>
      <w:numFmt w:val="bullet"/>
      <w:lvlText w:val="·"/>
      <w:lvlJc w:val="left"/>
      <w:pPr>
        <w:tabs>
          <w:tab w:val="left" w:pos="1134"/>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2C3C66">
      <w:start w:val="1"/>
      <w:numFmt w:val="bullet"/>
      <w:lvlText w:val="o"/>
      <w:lvlJc w:val="left"/>
      <w:pPr>
        <w:tabs>
          <w:tab w:val="left" w:pos="1134"/>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40DA28">
      <w:start w:val="1"/>
      <w:numFmt w:val="bullet"/>
      <w:lvlText w:val="▪"/>
      <w:lvlJc w:val="left"/>
      <w:pPr>
        <w:tabs>
          <w:tab w:val="left" w:pos="1134"/>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4E2414">
      <w:start w:val="1"/>
      <w:numFmt w:val="bullet"/>
      <w:lvlText w:val="·"/>
      <w:lvlJc w:val="left"/>
      <w:pPr>
        <w:tabs>
          <w:tab w:val="left" w:pos="1134"/>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6C5778">
      <w:start w:val="1"/>
      <w:numFmt w:val="bullet"/>
      <w:lvlText w:val="o"/>
      <w:lvlJc w:val="left"/>
      <w:pPr>
        <w:tabs>
          <w:tab w:val="left" w:pos="1134"/>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40D3E">
      <w:start w:val="1"/>
      <w:numFmt w:val="bullet"/>
      <w:lvlText w:val="▪"/>
      <w:lvlJc w:val="left"/>
      <w:pPr>
        <w:tabs>
          <w:tab w:val="left" w:pos="1134"/>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DB56F76"/>
    <w:multiLevelType w:val="hybridMultilevel"/>
    <w:tmpl w:val="A602123A"/>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51" w15:restartNumberingAfterBreak="0">
    <w:nsid w:val="7E247560"/>
    <w:multiLevelType w:val="hybridMultilevel"/>
    <w:tmpl w:val="642C4A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1"/>
  </w:num>
  <w:num w:numId="8">
    <w:abstractNumId w:val="0"/>
  </w:num>
  <w:num w:numId="9">
    <w:abstractNumId w:val="3"/>
  </w:num>
  <w:num w:numId="10">
    <w:abstractNumId w:val="2"/>
  </w:num>
  <w:num w:numId="11">
    <w:abstractNumId w:val="31"/>
  </w:num>
  <w:num w:numId="12">
    <w:abstractNumId w:val="25"/>
  </w:num>
  <w:num w:numId="13">
    <w:abstractNumId w:val="17"/>
  </w:num>
  <w:num w:numId="14">
    <w:abstractNumId w:val="16"/>
  </w:num>
  <w:num w:numId="15">
    <w:abstractNumId w:val="45"/>
  </w:num>
  <w:num w:numId="16">
    <w:abstractNumId w:val="27"/>
  </w:num>
  <w:num w:numId="17">
    <w:abstractNumId w:val="15"/>
  </w:num>
  <w:num w:numId="18">
    <w:abstractNumId w:val="40"/>
  </w:num>
  <w:num w:numId="19">
    <w:abstractNumId w:val="18"/>
  </w:num>
  <w:num w:numId="20">
    <w:abstractNumId w:val="49"/>
  </w:num>
  <w:num w:numId="21">
    <w:abstractNumId w:val="42"/>
  </w:num>
  <w:num w:numId="22">
    <w:abstractNumId w:val="19"/>
  </w:num>
  <w:num w:numId="23">
    <w:abstractNumId w:val="20"/>
  </w:num>
  <w:num w:numId="24">
    <w:abstractNumId w:val="35"/>
  </w:num>
  <w:num w:numId="25">
    <w:abstractNumId w:val="48"/>
  </w:num>
  <w:num w:numId="26">
    <w:abstractNumId w:val="26"/>
  </w:num>
  <w:num w:numId="27">
    <w:abstractNumId w:val="12"/>
  </w:num>
  <w:num w:numId="28">
    <w:abstractNumId w:val="11"/>
  </w:num>
  <w:num w:numId="29">
    <w:abstractNumId w:val="22"/>
  </w:num>
  <w:num w:numId="30">
    <w:abstractNumId w:val="29"/>
  </w:num>
  <w:num w:numId="31">
    <w:abstractNumId w:val="36"/>
  </w:num>
  <w:num w:numId="32">
    <w:abstractNumId w:val="37"/>
  </w:num>
  <w:num w:numId="33">
    <w:abstractNumId w:val="34"/>
  </w:num>
  <w:num w:numId="34">
    <w:abstractNumId w:val="43"/>
  </w:num>
  <w:num w:numId="35">
    <w:abstractNumId w:val="30"/>
  </w:num>
  <w:num w:numId="36">
    <w:abstractNumId w:val="47"/>
  </w:num>
  <w:num w:numId="37">
    <w:abstractNumId w:val="23"/>
  </w:num>
  <w:num w:numId="38">
    <w:abstractNumId w:val="38"/>
  </w:num>
  <w:num w:numId="39">
    <w:abstractNumId w:val="50"/>
  </w:num>
  <w:num w:numId="40">
    <w:abstractNumId w:val="41"/>
  </w:num>
  <w:num w:numId="41">
    <w:abstractNumId w:val="51"/>
  </w:num>
  <w:num w:numId="42">
    <w:abstractNumId w:val="44"/>
  </w:num>
  <w:num w:numId="43">
    <w:abstractNumId w:val="28"/>
  </w:num>
  <w:num w:numId="44">
    <w:abstractNumId w:val="14"/>
  </w:num>
  <w:num w:numId="45">
    <w:abstractNumId w:val="13"/>
  </w:num>
  <w:num w:numId="46">
    <w:abstractNumId w:val="8"/>
  </w:num>
  <w:num w:numId="47">
    <w:abstractNumId w:val="46"/>
  </w:num>
  <w:num w:numId="48">
    <w:abstractNumId w:val="32"/>
  </w:num>
  <w:num w:numId="49">
    <w:abstractNumId w:val="24"/>
  </w:num>
  <w:num w:numId="50">
    <w:abstractNumId w:val="39"/>
  </w:num>
  <w:num w:numId="51">
    <w:abstractNumId w:val="10"/>
  </w:num>
  <w:num w:numId="52">
    <w:abstractNumId w:val="44"/>
  </w:num>
  <w:num w:numId="53">
    <w:abstractNumId w:val="21"/>
  </w:num>
  <w:num w:numId="54">
    <w:abstractNumId w:val="44"/>
  </w:num>
  <w:num w:numId="55">
    <w:abstractNumId w:val="44"/>
  </w:num>
  <w:num w:numId="56">
    <w:abstractNumId w:val="44"/>
  </w:num>
  <w:num w:numId="57">
    <w:abstractNumId w:val="44"/>
  </w:num>
  <w:num w:numId="58">
    <w:abstractNumId w:val="33"/>
  </w:num>
  <w:num w:numId="59">
    <w:abstractNumId w:val="44"/>
  </w:num>
  <w:num w:numId="60">
    <w:abstractNumId w:val="44"/>
  </w:num>
  <w:num w:numId="61">
    <w:abstractNumId w:val="44"/>
  </w:num>
  <w:num w:numId="62">
    <w:abstractNumId w:val="44"/>
  </w:num>
  <w:num w:numId="63">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8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3"/>
    <w:rsid w:val="0000045C"/>
    <w:rsid w:val="000004CA"/>
    <w:rsid w:val="00000550"/>
    <w:rsid w:val="00000902"/>
    <w:rsid w:val="0000149D"/>
    <w:rsid w:val="000015EC"/>
    <w:rsid w:val="00002077"/>
    <w:rsid w:val="000022C3"/>
    <w:rsid w:val="00002859"/>
    <w:rsid w:val="000028BE"/>
    <w:rsid w:val="00002C85"/>
    <w:rsid w:val="00003037"/>
    <w:rsid w:val="000031CA"/>
    <w:rsid w:val="000036DB"/>
    <w:rsid w:val="00003926"/>
    <w:rsid w:val="000039E8"/>
    <w:rsid w:val="00003A67"/>
    <w:rsid w:val="00003EA5"/>
    <w:rsid w:val="00004155"/>
    <w:rsid w:val="000042C7"/>
    <w:rsid w:val="000047AB"/>
    <w:rsid w:val="00004CB3"/>
    <w:rsid w:val="00005000"/>
    <w:rsid w:val="0000524F"/>
    <w:rsid w:val="00005765"/>
    <w:rsid w:val="00005B88"/>
    <w:rsid w:val="00005E17"/>
    <w:rsid w:val="0000623D"/>
    <w:rsid w:val="0000676C"/>
    <w:rsid w:val="00006B7F"/>
    <w:rsid w:val="000076A3"/>
    <w:rsid w:val="000076FC"/>
    <w:rsid w:val="00007834"/>
    <w:rsid w:val="00007974"/>
    <w:rsid w:val="000079BA"/>
    <w:rsid w:val="00007E40"/>
    <w:rsid w:val="000104A2"/>
    <w:rsid w:val="000105CE"/>
    <w:rsid w:val="00010AD9"/>
    <w:rsid w:val="00010B22"/>
    <w:rsid w:val="00010FA2"/>
    <w:rsid w:val="00010FA5"/>
    <w:rsid w:val="0001105E"/>
    <w:rsid w:val="000114DB"/>
    <w:rsid w:val="00011827"/>
    <w:rsid w:val="00011A3B"/>
    <w:rsid w:val="0001221B"/>
    <w:rsid w:val="00012C89"/>
    <w:rsid w:val="00012F5E"/>
    <w:rsid w:val="000130CA"/>
    <w:rsid w:val="0001334E"/>
    <w:rsid w:val="00013645"/>
    <w:rsid w:val="000136C1"/>
    <w:rsid w:val="00013E0B"/>
    <w:rsid w:val="00014394"/>
    <w:rsid w:val="000145BC"/>
    <w:rsid w:val="000149BD"/>
    <w:rsid w:val="00014EFC"/>
    <w:rsid w:val="000151B0"/>
    <w:rsid w:val="00015E5E"/>
    <w:rsid w:val="000161C2"/>
    <w:rsid w:val="000162E9"/>
    <w:rsid w:val="00016861"/>
    <w:rsid w:val="00016A36"/>
    <w:rsid w:val="0001721A"/>
    <w:rsid w:val="00017430"/>
    <w:rsid w:val="000176F2"/>
    <w:rsid w:val="00017779"/>
    <w:rsid w:val="00017A98"/>
    <w:rsid w:val="00017AFE"/>
    <w:rsid w:val="00017E85"/>
    <w:rsid w:val="0002000B"/>
    <w:rsid w:val="000201E9"/>
    <w:rsid w:val="0002039D"/>
    <w:rsid w:val="0002070C"/>
    <w:rsid w:val="0002116F"/>
    <w:rsid w:val="0002147E"/>
    <w:rsid w:val="000218B5"/>
    <w:rsid w:val="00021E61"/>
    <w:rsid w:val="00021FEE"/>
    <w:rsid w:val="0002215A"/>
    <w:rsid w:val="0002228C"/>
    <w:rsid w:val="0002286B"/>
    <w:rsid w:val="00022A82"/>
    <w:rsid w:val="00022B2C"/>
    <w:rsid w:val="00022E22"/>
    <w:rsid w:val="000238CD"/>
    <w:rsid w:val="00023F38"/>
    <w:rsid w:val="00024279"/>
    <w:rsid w:val="0002445A"/>
    <w:rsid w:val="000244FA"/>
    <w:rsid w:val="0002476A"/>
    <w:rsid w:val="00024BE9"/>
    <w:rsid w:val="00024C48"/>
    <w:rsid w:val="0002511D"/>
    <w:rsid w:val="0002564E"/>
    <w:rsid w:val="00026779"/>
    <w:rsid w:val="000271A4"/>
    <w:rsid w:val="000271A6"/>
    <w:rsid w:val="00027446"/>
    <w:rsid w:val="0002753A"/>
    <w:rsid w:val="000276AE"/>
    <w:rsid w:val="000277DA"/>
    <w:rsid w:val="00027A55"/>
    <w:rsid w:val="00027D23"/>
    <w:rsid w:val="00027F55"/>
    <w:rsid w:val="00030313"/>
    <w:rsid w:val="000303AF"/>
    <w:rsid w:val="0003041C"/>
    <w:rsid w:val="000304B9"/>
    <w:rsid w:val="000306A4"/>
    <w:rsid w:val="000307FB"/>
    <w:rsid w:val="000308C1"/>
    <w:rsid w:val="000311F8"/>
    <w:rsid w:val="00031D04"/>
    <w:rsid w:val="00031E5D"/>
    <w:rsid w:val="00031FA8"/>
    <w:rsid w:val="000321A7"/>
    <w:rsid w:val="00032313"/>
    <w:rsid w:val="00032411"/>
    <w:rsid w:val="000326E2"/>
    <w:rsid w:val="00032804"/>
    <w:rsid w:val="000332E2"/>
    <w:rsid w:val="00033787"/>
    <w:rsid w:val="000337C8"/>
    <w:rsid w:val="00033E84"/>
    <w:rsid w:val="0003407E"/>
    <w:rsid w:val="00034381"/>
    <w:rsid w:val="000348B2"/>
    <w:rsid w:val="00034D0A"/>
    <w:rsid w:val="0003517E"/>
    <w:rsid w:val="00035EC4"/>
    <w:rsid w:val="00035F73"/>
    <w:rsid w:val="0003658E"/>
    <w:rsid w:val="00036901"/>
    <w:rsid w:val="00036970"/>
    <w:rsid w:val="00036BE4"/>
    <w:rsid w:val="00037175"/>
    <w:rsid w:val="00037195"/>
    <w:rsid w:val="00037DB8"/>
    <w:rsid w:val="00040308"/>
    <w:rsid w:val="0004038B"/>
    <w:rsid w:val="00040606"/>
    <w:rsid w:val="0004060B"/>
    <w:rsid w:val="00040A39"/>
    <w:rsid w:val="00041239"/>
    <w:rsid w:val="00041BDC"/>
    <w:rsid w:val="00041ECA"/>
    <w:rsid w:val="000428A8"/>
    <w:rsid w:val="00042D53"/>
    <w:rsid w:val="00042E32"/>
    <w:rsid w:val="00043011"/>
    <w:rsid w:val="000430B8"/>
    <w:rsid w:val="000430DA"/>
    <w:rsid w:val="00043456"/>
    <w:rsid w:val="000434FE"/>
    <w:rsid w:val="00043D97"/>
    <w:rsid w:val="00043E6C"/>
    <w:rsid w:val="00043F62"/>
    <w:rsid w:val="0004471B"/>
    <w:rsid w:val="00044A65"/>
    <w:rsid w:val="00045372"/>
    <w:rsid w:val="00045712"/>
    <w:rsid w:val="0004585E"/>
    <w:rsid w:val="00045C28"/>
    <w:rsid w:val="00045C4B"/>
    <w:rsid w:val="00045C51"/>
    <w:rsid w:val="00046590"/>
    <w:rsid w:val="000465F1"/>
    <w:rsid w:val="0004692D"/>
    <w:rsid w:val="00046A07"/>
    <w:rsid w:val="00046A2D"/>
    <w:rsid w:val="00046FB4"/>
    <w:rsid w:val="00047249"/>
    <w:rsid w:val="000475D1"/>
    <w:rsid w:val="00047621"/>
    <w:rsid w:val="00047929"/>
    <w:rsid w:val="00047D4E"/>
    <w:rsid w:val="00047E82"/>
    <w:rsid w:val="00047F7F"/>
    <w:rsid w:val="00050016"/>
    <w:rsid w:val="00050878"/>
    <w:rsid w:val="00050D22"/>
    <w:rsid w:val="00051241"/>
    <w:rsid w:val="000512A1"/>
    <w:rsid w:val="0005132C"/>
    <w:rsid w:val="00051412"/>
    <w:rsid w:val="000518E8"/>
    <w:rsid w:val="00051962"/>
    <w:rsid w:val="00051973"/>
    <w:rsid w:val="00052243"/>
    <w:rsid w:val="00052417"/>
    <w:rsid w:val="00052925"/>
    <w:rsid w:val="00052E40"/>
    <w:rsid w:val="00052F23"/>
    <w:rsid w:val="00052F3E"/>
    <w:rsid w:val="00052FB9"/>
    <w:rsid w:val="000531A0"/>
    <w:rsid w:val="000531F5"/>
    <w:rsid w:val="000536E9"/>
    <w:rsid w:val="00053759"/>
    <w:rsid w:val="000539DF"/>
    <w:rsid w:val="00053F14"/>
    <w:rsid w:val="000542A2"/>
    <w:rsid w:val="000544CF"/>
    <w:rsid w:val="00054D26"/>
    <w:rsid w:val="00054F06"/>
    <w:rsid w:val="000550AC"/>
    <w:rsid w:val="000554DB"/>
    <w:rsid w:val="00055B09"/>
    <w:rsid w:val="00056873"/>
    <w:rsid w:val="000568BA"/>
    <w:rsid w:val="00056B2F"/>
    <w:rsid w:val="00057165"/>
    <w:rsid w:val="000572AE"/>
    <w:rsid w:val="00057474"/>
    <w:rsid w:val="0005779A"/>
    <w:rsid w:val="00057966"/>
    <w:rsid w:val="000579B1"/>
    <w:rsid w:val="00057A75"/>
    <w:rsid w:val="00057B79"/>
    <w:rsid w:val="00057C88"/>
    <w:rsid w:val="00057CB1"/>
    <w:rsid w:val="00057EE9"/>
    <w:rsid w:val="00060714"/>
    <w:rsid w:val="00060CDC"/>
    <w:rsid w:val="000612FE"/>
    <w:rsid w:val="000615F4"/>
    <w:rsid w:val="000618FE"/>
    <w:rsid w:val="00061C6C"/>
    <w:rsid w:val="00061D3A"/>
    <w:rsid w:val="00061F36"/>
    <w:rsid w:val="0006225E"/>
    <w:rsid w:val="000623A2"/>
    <w:rsid w:val="00062B31"/>
    <w:rsid w:val="00062BB1"/>
    <w:rsid w:val="00063053"/>
    <w:rsid w:val="000637FB"/>
    <w:rsid w:val="00063A4C"/>
    <w:rsid w:val="00063B43"/>
    <w:rsid w:val="00063BAE"/>
    <w:rsid w:val="0006440A"/>
    <w:rsid w:val="000649F0"/>
    <w:rsid w:val="00064A72"/>
    <w:rsid w:val="00064BAD"/>
    <w:rsid w:val="00065803"/>
    <w:rsid w:val="00065B4D"/>
    <w:rsid w:val="00065C5D"/>
    <w:rsid w:val="00066369"/>
    <w:rsid w:val="00066C1B"/>
    <w:rsid w:val="00066F5F"/>
    <w:rsid w:val="0006710B"/>
    <w:rsid w:val="00067278"/>
    <w:rsid w:val="00067441"/>
    <w:rsid w:val="00067A20"/>
    <w:rsid w:val="00070012"/>
    <w:rsid w:val="00070068"/>
    <w:rsid w:val="00070312"/>
    <w:rsid w:val="00070584"/>
    <w:rsid w:val="000705F2"/>
    <w:rsid w:val="0007067A"/>
    <w:rsid w:val="00070C7C"/>
    <w:rsid w:val="00070DB1"/>
    <w:rsid w:val="00070F4F"/>
    <w:rsid w:val="00071107"/>
    <w:rsid w:val="00071432"/>
    <w:rsid w:val="00071628"/>
    <w:rsid w:val="00071B9E"/>
    <w:rsid w:val="0007253D"/>
    <w:rsid w:val="00072EDA"/>
    <w:rsid w:val="00073467"/>
    <w:rsid w:val="00073A32"/>
    <w:rsid w:val="00074155"/>
    <w:rsid w:val="000742B8"/>
    <w:rsid w:val="00074C33"/>
    <w:rsid w:val="00074F63"/>
    <w:rsid w:val="00074F83"/>
    <w:rsid w:val="0007523E"/>
    <w:rsid w:val="000755A3"/>
    <w:rsid w:val="000756C6"/>
    <w:rsid w:val="00075EF5"/>
    <w:rsid w:val="000762E3"/>
    <w:rsid w:val="000763FA"/>
    <w:rsid w:val="000766D7"/>
    <w:rsid w:val="000768AD"/>
    <w:rsid w:val="00076B1F"/>
    <w:rsid w:val="00076FFB"/>
    <w:rsid w:val="000772D4"/>
    <w:rsid w:val="0007768E"/>
    <w:rsid w:val="00077992"/>
    <w:rsid w:val="000779C6"/>
    <w:rsid w:val="0008023B"/>
    <w:rsid w:val="00080719"/>
    <w:rsid w:val="00080F5B"/>
    <w:rsid w:val="00081BD9"/>
    <w:rsid w:val="00081BDB"/>
    <w:rsid w:val="0008237E"/>
    <w:rsid w:val="000824C7"/>
    <w:rsid w:val="00082536"/>
    <w:rsid w:val="000826DD"/>
    <w:rsid w:val="000826FF"/>
    <w:rsid w:val="00082A7B"/>
    <w:rsid w:val="00082D26"/>
    <w:rsid w:val="00083217"/>
    <w:rsid w:val="0008339D"/>
    <w:rsid w:val="00083498"/>
    <w:rsid w:val="000834BF"/>
    <w:rsid w:val="00083B6B"/>
    <w:rsid w:val="00083BDE"/>
    <w:rsid w:val="00083D44"/>
    <w:rsid w:val="00083D4A"/>
    <w:rsid w:val="00083F47"/>
    <w:rsid w:val="0008405E"/>
    <w:rsid w:val="000841BF"/>
    <w:rsid w:val="0008427D"/>
    <w:rsid w:val="0008444F"/>
    <w:rsid w:val="00084A97"/>
    <w:rsid w:val="00084E16"/>
    <w:rsid w:val="00085669"/>
    <w:rsid w:val="000857A7"/>
    <w:rsid w:val="00085C2F"/>
    <w:rsid w:val="00086259"/>
    <w:rsid w:val="00086339"/>
    <w:rsid w:val="00086390"/>
    <w:rsid w:val="00086475"/>
    <w:rsid w:val="000866AE"/>
    <w:rsid w:val="00086919"/>
    <w:rsid w:val="00086DDB"/>
    <w:rsid w:val="00086EC9"/>
    <w:rsid w:val="00086F12"/>
    <w:rsid w:val="0008796D"/>
    <w:rsid w:val="00087C54"/>
    <w:rsid w:val="00087D93"/>
    <w:rsid w:val="00087DB4"/>
    <w:rsid w:val="00090150"/>
    <w:rsid w:val="000903F4"/>
    <w:rsid w:val="00090889"/>
    <w:rsid w:val="00090E2C"/>
    <w:rsid w:val="00090F11"/>
    <w:rsid w:val="000915EB"/>
    <w:rsid w:val="00092CCA"/>
    <w:rsid w:val="00092D71"/>
    <w:rsid w:val="00092E25"/>
    <w:rsid w:val="000930FD"/>
    <w:rsid w:val="00093E82"/>
    <w:rsid w:val="00094C2A"/>
    <w:rsid w:val="00094C45"/>
    <w:rsid w:val="0009502D"/>
    <w:rsid w:val="000950E7"/>
    <w:rsid w:val="00095661"/>
    <w:rsid w:val="000957D4"/>
    <w:rsid w:val="00095939"/>
    <w:rsid w:val="000963E4"/>
    <w:rsid w:val="000968DC"/>
    <w:rsid w:val="00096A5B"/>
    <w:rsid w:val="000977E6"/>
    <w:rsid w:val="00097D99"/>
    <w:rsid w:val="000A00C0"/>
    <w:rsid w:val="000A01B7"/>
    <w:rsid w:val="000A0385"/>
    <w:rsid w:val="000A0A79"/>
    <w:rsid w:val="000A0EA9"/>
    <w:rsid w:val="000A1254"/>
    <w:rsid w:val="000A13E8"/>
    <w:rsid w:val="000A1842"/>
    <w:rsid w:val="000A1D8E"/>
    <w:rsid w:val="000A1DB8"/>
    <w:rsid w:val="000A1F30"/>
    <w:rsid w:val="000A1F58"/>
    <w:rsid w:val="000A231A"/>
    <w:rsid w:val="000A2550"/>
    <w:rsid w:val="000A25D9"/>
    <w:rsid w:val="000A28F9"/>
    <w:rsid w:val="000A2EB5"/>
    <w:rsid w:val="000A361B"/>
    <w:rsid w:val="000A3692"/>
    <w:rsid w:val="000A39B1"/>
    <w:rsid w:val="000A3B2F"/>
    <w:rsid w:val="000A3EAF"/>
    <w:rsid w:val="000A40FC"/>
    <w:rsid w:val="000A4552"/>
    <w:rsid w:val="000A48AC"/>
    <w:rsid w:val="000A49E9"/>
    <w:rsid w:val="000A4BCC"/>
    <w:rsid w:val="000A520E"/>
    <w:rsid w:val="000A526A"/>
    <w:rsid w:val="000A5FD1"/>
    <w:rsid w:val="000A6716"/>
    <w:rsid w:val="000A6A16"/>
    <w:rsid w:val="000A6BD1"/>
    <w:rsid w:val="000A6C2F"/>
    <w:rsid w:val="000A6EE3"/>
    <w:rsid w:val="000A6F2A"/>
    <w:rsid w:val="000A77D6"/>
    <w:rsid w:val="000B0022"/>
    <w:rsid w:val="000B02C9"/>
    <w:rsid w:val="000B05BF"/>
    <w:rsid w:val="000B0603"/>
    <w:rsid w:val="000B09F9"/>
    <w:rsid w:val="000B0A5D"/>
    <w:rsid w:val="000B145B"/>
    <w:rsid w:val="000B1BF4"/>
    <w:rsid w:val="000B1C31"/>
    <w:rsid w:val="000B1C35"/>
    <w:rsid w:val="000B2851"/>
    <w:rsid w:val="000B28BB"/>
    <w:rsid w:val="000B2BA5"/>
    <w:rsid w:val="000B2F4B"/>
    <w:rsid w:val="000B317B"/>
    <w:rsid w:val="000B331C"/>
    <w:rsid w:val="000B3999"/>
    <w:rsid w:val="000B39CF"/>
    <w:rsid w:val="000B3B55"/>
    <w:rsid w:val="000B3E20"/>
    <w:rsid w:val="000B4721"/>
    <w:rsid w:val="000B477F"/>
    <w:rsid w:val="000B508B"/>
    <w:rsid w:val="000B57A9"/>
    <w:rsid w:val="000B5909"/>
    <w:rsid w:val="000B5B68"/>
    <w:rsid w:val="000B5DA1"/>
    <w:rsid w:val="000B5EEF"/>
    <w:rsid w:val="000B6552"/>
    <w:rsid w:val="000B6B2E"/>
    <w:rsid w:val="000B6ED7"/>
    <w:rsid w:val="000B6F54"/>
    <w:rsid w:val="000B6F69"/>
    <w:rsid w:val="000B6FC7"/>
    <w:rsid w:val="000B7036"/>
    <w:rsid w:val="000B7352"/>
    <w:rsid w:val="000B7399"/>
    <w:rsid w:val="000B7F82"/>
    <w:rsid w:val="000C04A8"/>
    <w:rsid w:val="000C0677"/>
    <w:rsid w:val="000C0CE1"/>
    <w:rsid w:val="000C0DC5"/>
    <w:rsid w:val="000C0F81"/>
    <w:rsid w:val="000C11AF"/>
    <w:rsid w:val="000C16D7"/>
    <w:rsid w:val="000C1DF7"/>
    <w:rsid w:val="000C2A5F"/>
    <w:rsid w:val="000C2F7B"/>
    <w:rsid w:val="000C328F"/>
    <w:rsid w:val="000C3C96"/>
    <w:rsid w:val="000C3D0F"/>
    <w:rsid w:val="000C41D9"/>
    <w:rsid w:val="000C465D"/>
    <w:rsid w:val="000C46B0"/>
    <w:rsid w:val="000C494F"/>
    <w:rsid w:val="000C4A34"/>
    <w:rsid w:val="000C4BAB"/>
    <w:rsid w:val="000C5212"/>
    <w:rsid w:val="000C55E7"/>
    <w:rsid w:val="000C5608"/>
    <w:rsid w:val="000C578A"/>
    <w:rsid w:val="000C58F7"/>
    <w:rsid w:val="000C5DA6"/>
    <w:rsid w:val="000C691C"/>
    <w:rsid w:val="000C6EDC"/>
    <w:rsid w:val="000C79CD"/>
    <w:rsid w:val="000D0151"/>
    <w:rsid w:val="000D05D9"/>
    <w:rsid w:val="000D0820"/>
    <w:rsid w:val="000D084A"/>
    <w:rsid w:val="000D097A"/>
    <w:rsid w:val="000D0D53"/>
    <w:rsid w:val="000D0E89"/>
    <w:rsid w:val="000D11E4"/>
    <w:rsid w:val="000D1277"/>
    <w:rsid w:val="000D12CE"/>
    <w:rsid w:val="000D150E"/>
    <w:rsid w:val="000D179D"/>
    <w:rsid w:val="000D1851"/>
    <w:rsid w:val="000D1977"/>
    <w:rsid w:val="000D1979"/>
    <w:rsid w:val="000D1D90"/>
    <w:rsid w:val="000D3113"/>
    <w:rsid w:val="000D31DE"/>
    <w:rsid w:val="000D31E7"/>
    <w:rsid w:val="000D36B7"/>
    <w:rsid w:val="000D372F"/>
    <w:rsid w:val="000D37AD"/>
    <w:rsid w:val="000D3910"/>
    <w:rsid w:val="000D3962"/>
    <w:rsid w:val="000D3B09"/>
    <w:rsid w:val="000D3B57"/>
    <w:rsid w:val="000D3C5F"/>
    <w:rsid w:val="000D4727"/>
    <w:rsid w:val="000D48A8"/>
    <w:rsid w:val="000D4A04"/>
    <w:rsid w:val="000D5180"/>
    <w:rsid w:val="000D52C7"/>
    <w:rsid w:val="000D5335"/>
    <w:rsid w:val="000D54C0"/>
    <w:rsid w:val="000D5EFB"/>
    <w:rsid w:val="000D61DE"/>
    <w:rsid w:val="000D6277"/>
    <w:rsid w:val="000D66C1"/>
    <w:rsid w:val="000D6B15"/>
    <w:rsid w:val="000D6B25"/>
    <w:rsid w:val="000D71A7"/>
    <w:rsid w:val="000D74B7"/>
    <w:rsid w:val="000D7577"/>
    <w:rsid w:val="000D7669"/>
    <w:rsid w:val="000D7E3E"/>
    <w:rsid w:val="000E0059"/>
    <w:rsid w:val="000E007C"/>
    <w:rsid w:val="000E0238"/>
    <w:rsid w:val="000E04DA"/>
    <w:rsid w:val="000E0947"/>
    <w:rsid w:val="000E0F26"/>
    <w:rsid w:val="000E12FD"/>
    <w:rsid w:val="000E130A"/>
    <w:rsid w:val="000E175E"/>
    <w:rsid w:val="000E1BA1"/>
    <w:rsid w:val="000E1C6C"/>
    <w:rsid w:val="000E1EB1"/>
    <w:rsid w:val="000E1F51"/>
    <w:rsid w:val="000E2259"/>
    <w:rsid w:val="000E24C3"/>
    <w:rsid w:val="000E25EB"/>
    <w:rsid w:val="000E3808"/>
    <w:rsid w:val="000E398E"/>
    <w:rsid w:val="000E3F60"/>
    <w:rsid w:val="000E4721"/>
    <w:rsid w:val="000E4837"/>
    <w:rsid w:val="000E4838"/>
    <w:rsid w:val="000E49B9"/>
    <w:rsid w:val="000E4C6F"/>
    <w:rsid w:val="000E4F1E"/>
    <w:rsid w:val="000E4F74"/>
    <w:rsid w:val="000E583D"/>
    <w:rsid w:val="000E5AEA"/>
    <w:rsid w:val="000E5BED"/>
    <w:rsid w:val="000E613D"/>
    <w:rsid w:val="000E6C8D"/>
    <w:rsid w:val="000E7366"/>
    <w:rsid w:val="000E7C29"/>
    <w:rsid w:val="000E7EE1"/>
    <w:rsid w:val="000F004C"/>
    <w:rsid w:val="000F04A3"/>
    <w:rsid w:val="000F058E"/>
    <w:rsid w:val="000F0A53"/>
    <w:rsid w:val="000F0A80"/>
    <w:rsid w:val="000F0D03"/>
    <w:rsid w:val="000F10BB"/>
    <w:rsid w:val="000F10CF"/>
    <w:rsid w:val="000F12B6"/>
    <w:rsid w:val="000F170C"/>
    <w:rsid w:val="000F1B04"/>
    <w:rsid w:val="000F1B58"/>
    <w:rsid w:val="000F1EEB"/>
    <w:rsid w:val="000F1F23"/>
    <w:rsid w:val="000F1FB8"/>
    <w:rsid w:val="000F240F"/>
    <w:rsid w:val="000F26CB"/>
    <w:rsid w:val="000F2B97"/>
    <w:rsid w:val="000F324E"/>
    <w:rsid w:val="000F36A4"/>
    <w:rsid w:val="000F38C2"/>
    <w:rsid w:val="000F3B44"/>
    <w:rsid w:val="000F3F7D"/>
    <w:rsid w:val="000F4202"/>
    <w:rsid w:val="000F4655"/>
    <w:rsid w:val="000F4E05"/>
    <w:rsid w:val="000F5ED9"/>
    <w:rsid w:val="000F6641"/>
    <w:rsid w:val="000F6A84"/>
    <w:rsid w:val="000F769C"/>
    <w:rsid w:val="000F7927"/>
    <w:rsid w:val="000F79F0"/>
    <w:rsid w:val="000F7CB1"/>
    <w:rsid w:val="000F7F58"/>
    <w:rsid w:val="00100136"/>
    <w:rsid w:val="00100239"/>
    <w:rsid w:val="001002EF"/>
    <w:rsid w:val="001003F1"/>
    <w:rsid w:val="0010047E"/>
    <w:rsid w:val="001006A7"/>
    <w:rsid w:val="00100A84"/>
    <w:rsid w:val="00100F37"/>
    <w:rsid w:val="00101135"/>
    <w:rsid w:val="001015BB"/>
    <w:rsid w:val="00101CBA"/>
    <w:rsid w:val="001020AC"/>
    <w:rsid w:val="001021D6"/>
    <w:rsid w:val="001025A1"/>
    <w:rsid w:val="00102885"/>
    <w:rsid w:val="00102EDD"/>
    <w:rsid w:val="00103296"/>
    <w:rsid w:val="0010339C"/>
    <w:rsid w:val="00103855"/>
    <w:rsid w:val="00103C21"/>
    <w:rsid w:val="0010421D"/>
    <w:rsid w:val="001042E8"/>
    <w:rsid w:val="0010468B"/>
    <w:rsid w:val="00104693"/>
    <w:rsid w:val="001048A2"/>
    <w:rsid w:val="00104D75"/>
    <w:rsid w:val="00104FF4"/>
    <w:rsid w:val="00105132"/>
    <w:rsid w:val="0010521C"/>
    <w:rsid w:val="00105C0F"/>
    <w:rsid w:val="00105C1D"/>
    <w:rsid w:val="00105E98"/>
    <w:rsid w:val="00106B5C"/>
    <w:rsid w:val="0010720A"/>
    <w:rsid w:val="001075A3"/>
    <w:rsid w:val="0010765E"/>
    <w:rsid w:val="00107A6E"/>
    <w:rsid w:val="001105DE"/>
    <w:rsid w:val="00110ADB"/>
    <w:rsid w:val="00110C9F"/>
    <w:rsid w:val="00111066"/>
    <w:rsid w:val="001112F3"/>
    <w:rsid w:val="001114B5"/>
    <w:rsid w:val="00111839"/>
    <w:rsid w:val="0011184A"/>
    <w:rsid w:val="00111CCA"/>
    <w:rsid w:val="00111D9B"/>
    <w:rsid w:val="00111E3E"/>
    <w:rsid w:val="00111F42"/>
    <w:rsid w:val="001128C1"/>
    <w:rsid w:val="00112CAC"/>
    <w:rsid w:val="00112EAB"/>
    <w:rsid w:val="00112FFB"/>
    <w:rsid w:val="001133B0"/>
    <w:rsid w:val="00113740"/>
    <w:rsid w:val="001137C1"/>
    <w:rsid w:val="0011398D"/>
    <w:rsid w:val="00113CBD"/>
    <w:rsid w:val="00113D0B"/>
    <w:rsid w:val="00113E51"/>
    <w:rsid w:val="0011435F"/>
    <w:rsid w:val="00114491"/>
    <w:rsid w:val="001144BF"/>
    <w:rsid w:val="001148B9"/>
    <w:rsid w:val="001157B9"/>
    <w:rsid w:val="001157D7"/>
    <w:rsid w:val="00115A06"/>
    <w:rsid w:val="00115C4E"/>
    <w:rsid w:val="00115CD8"/>
    <w:rsid w:val="00116001"/>
    <w:rsid w:val="00116624"/>
    <w:rsid w:val="0011683C"/>
    <w:rsid w:val="00116A3C"/>
    <w:rsid w:val="00116B99"/>
    <w:rsid w:val="00117358"/>
    <w:rsid w:val="001175E3"/>
    <w:rsid w:val="001179F8"/>
    <w:rsid w:val="00117F3A"/>
    <w:rsid w:val="0012063F"/>
    <w:rsid w:val="001208A9"/>
    <w:rsid w:val="00120A5C"/>
    <w:rsid w:val="001211D9"/>
    <w:rsid w:val="00121415"/>
    <w:rsid w:val="001217AE"/>
    <w:rsid w:val="00121C5D"/>
    <w:rsid w:val="00121EA0"/>
    <w:rsid w:val="001220BB"/>
    <w:rsid w:val="0012284C"/>
    <w:rsid w:val="00122858"/>
    <w:rsid w:val="00123025"/>
    <w:rsid w:val="00123288"/>
    <w:rsid w:val="00123846"/>
    <w:rsid w:val="00123A23"/>
    <w:rsid w:val="0012487C"/>
    <w:rsid w:val="00124B21"/>
    <w:rsid w:val="00124C18"/>
    <w:rsid w:val="00124C75"/>
    <w:rsid w:val="00124E84"/>
    <w:rsid w:val="00125020"/>
    <w:rsid w:val="0012534F"/>
    <w:rsid w:val="001253FD"/>
    <w:rsid w:val="00125461"/>
    <w:rsid w:val="0012598F"/>
    <w:rsid w:val="00125B80"/>
    <w:rsid w:val="0012648F"/>
    <w:rsid w:val="00126FDC"/>
    <w:rsid w:val="001274BF"/>
    <w:rsid w:val="001275C1"/>
    <w:rsid w:val="001276C0"/>
    <w:rsid w:val="00127BBE"/>
    <w:rsid w:val="00127C2C"/>
    <w:rsid w:val="00127CF3"/>
    <w:rsid w:val="0013014A"/>
    <w:rsid w:val="00130174"/>
    <w:rsid w:val="00130DA3"/>
    <w:rsid w:val="00130EB1"/>
    <w:rsid w:val="00131888"/>
    <w:rsid w:val="00131B1F"/>
    <w:rsid w:val="00131C13"/>
    <w:rsid w:val="001320EA"/>
    <w:rsid w:val="00132785"/>
    <w:rsid w:val="00132A4E"/>
    <w:rsid w:val="00132B53"/>
    <w:rsid w:val="00132DAE"/>
    <w:rsid w:val="0013306B"/>
    <w:rsid w:val="00133086"/>
    <w:rsid w:val="00133205"/>
    <w:rsid w:val="00133697"/>
    <w:rsid w:val="00133C26"/>
    <w:rsid w:val="00134086"/>
    <w:rsid w:val="00134367"/>
    <w:rsid w:val="001346BD"/>
    <w:rsid w:val="00134774"/>
    <w:rsid w:val="001348BB"/>
    <w:rsid w:val="00134937"/>
    <w:rsid w:val="00134B16"/>
    <w:rsid w:val="00134CCA"/>
    <w:rsid w:val="00135452"/>
    <w:rsid w:val="001356A6"/>
    <w:rsid w:val="00135711"/>
    <w:rsid w:val="00135825"/>
    <w:rsid w:val="0013627B"/>
    <w:rsid w:val="00136535"/>
    <w:rsid w:val="00136976"/>
    <w:rsid w:val="0013747A"/>
    <w:rsid w:val="001374FF"/>
    <w:rsid w:val="00140274"/>
    <w:rsid w:val="001404CB"/>
    <w:rsid w:val="001404FC"/>
    <w:rsid w:val="00140500"/>
    <w:rsid w:val="001409C8"/>
    <w:rsid w:val="00140F26"/>
    <w:rsid w:val="001410B1"/>
    <w:rsid w:val="001410F2"/>
    <w:rsid w:val="00141196"/>
    <w:rsid w:val="0014126A"/>
    <w:rsid w:val="001412BC"/>
    <w:rsid w:val="00141330"/>
    <w:rsid w:val="00141592"/>
    <w:rsid w:val="00141DA4"/>
    <w:rsid w:val="00141DD5"/>
    <w:rsid w:val="00141E0B"/>
    <w:rsid w:val="00141FDC"/>
    <w:rsid w:val="00142357"/>
    <w:rsid w:val="001425A3"/>
    <w:rsid w:val="00142B70"/>
    <w:rsid w:val="00142C44"/>
    <w:rsid w:val="00142D4B"/>
    <w:rsid w:val="00143487"/>
    <w:rsid w:val="001437AF"/>
    <w:rsid w:val="00143A46"/>
    <w:rsid w:val="00143EBC"/>
    <w:rsid w:val="001440C0"/>
    <w:rsid w:val="001441CA"/>
    <w:rsid w:val="00144547"/>
    <w:rsid w:val="00144E87"/>
    <w:rsid w:val="00144ED5"/>
    <w:rsid w:val="0014503E"/>
    <w:rsid w:val="001452F0"/>
    <w:rsid w:val="00145788"/>
    <w:rsid w:val="00145968"/>
    <w:rsid w:val="00145AEA"/>
    <w:rsid w:val="00145DF5"/>
    <w:rsid w:val="0014623D"/>
    <w:rsid w:val="001463A4"/>
    <w:rsid w:val="00146477"/>
    <w:rsid w:val="00146565"/>
    <w:rsid w:val="001466F0"/>
    <w:rsid w:val="00146765"/>
    <w:rsid w:val="00146D0A"/>
    <w:rsid w:val="00146E49"/>
    <w:rsid w:val="00146F44"/>
    <w:rsid w:val="001470F2"/>
    <w:rsid w:val="001471C9"/>
    <w:rsid w:val="0014780C"/>
    <w:rsid w:val="00147E2A"/>
    <w:rsid w:val="00147EE7"/>
    <w:rsid w:val="0015042E"/>
    <w:rsid w:val="0015066D"/>
    <w:rsid w:val="001507A2"/>
    <w:rsid w:val="001507C3"/>
    <w:rsid w:val="001509B8"/>
    <w:rsid w:val="00150C22"/>
    <w:rsid w:val="00150EC3"/>
    <w:rsid w:val="001511FE"/>
    <w:rsid w:val="00151263"/>
    <w:rsid w:val="0015151A"/>
    <w:rsid w:val="001516FA"/>
    <w:rsid w:val="00151737"/>
    <w:rsid w:val="00151AF0"/>
    <w:rsid w:val="00151F4E"/>
    <w:rsid w:val="00152254"/>
    <w:rsid w:val="0015239E"/>
    <w:rsid w:val="0015245F"/>
    <w:rsid w:val="00152B68"/>
    <w:rsid w:val="00152C15"/>
    <w:rsid w:val="00152F36"/>
    <w:rsid w:val="00153956"/>
    <w:rsid w:val="00153C0E"/>
    <w:rsid w:val="00153F0A"/>
    <w:rsid w:val="00154184"/>
    <w:rsid w:val="001541A5"/>
    <w:rsid w:val="001541ED"/>
    <w:rsid w:val="00154670"/>
    <w:rsid w:val="00154AFE"/>
    <w:rsid w:val="00154C26"/>
    <w:rsid w:val="00154D09"/>
    <w:rsid w:val="00154D85"/>
    <w:rsid w:val="001553F0"/>
    <w:rsid w:val="001554EB"/>
    <w:rsid w:val="00155999"/>
    <w:rsid w:val="00155B9D"/>
    <w:rsid w:val="00155BA1"/>
    <w:rsid w:val="00155BAA"/>
    <w:rsid w:val="0015643F"/>
    <w:rsid w:val="00156707"/>
    <w:rsid w:val="001572A9"/>
    <w:rsid w:val="00157351"/>
    <w:rsid w:val="00157445"/>
    <w:rsid w:val="00157533"/>
    <w:rsid w:val="001576B6"/>
    <w:rsid w:val="00157D3A"/>
    <w:rsid w:val="00157E8A"/>
    <w:rsid w:val="00160395"/>
    <w:rsid w:val="0016088C"/>
    <w:rsid w:val="00160A83"/>
    <w:rsid w:val="00160AAD"/>
    <w:rsid w:val="00160C9B"/>
    <w:rsid w:val="001611FD"/>
    <w:rsid w:val="00161399"/>
    <w:rsid w:val="0016153B"/>
    <w:rsid w:val="001618F3"/>
    <w:rsid w:val="00161D2E"/>
    <w:rsid w:val="00161F52"/>
    <w:rsid w:val="00161F98"/>
    <w:rsid w:val="001621D3"/>
    <w:rsid w:val="0016229F"/>
    <w:rsid w:val="00162303"/>
    <w:rsid w:val="0016266F"/>
    <w:rsid w:val="001628A8"/>
    <w:rsid w:val="00162A8D"/>
    <w:rsid w:val="00163189"/>
    <w:rsid w:val="001633AA"/>
    <w:rsid w:val="001637BE"/>
    <w:rsid w:val="001640BA"/>
    <w:rsid w:val="0016429E"/>
    <w:rsid w:val="00164302"/>
    <w:rsid w:val="00164326"/>
    <w:rsid w:val="001644D6"/>
    <w:rsid w:val="001645E9"/>
    <w:rsid w:val="00164913"/>
    <w:rsid w:val="00164CAF"/>
    <w:rsid w:val="00164E1C"/>
    <w:rsid w:val="00165266"/>
    <w:rsid w:val="001656EE"/>
    <w:rsid w:val="001658A2"/>
    <w:rsid w:val="001659EA"/>
    <w:rsid w:val="00165E3C"/>
    <w:rsid w:val="00166039"/>
    <w:rsid w:val="001661B3"/>
    <w:rsid w:val="0016632E"/>
    <w:rsid w:val="001664F4"/>
    <w:rsid w:val="001666A2"/>
    <w:rsid w:val="001666BE"/>
    <w:rsid w:val="00166AF5"/>
    <w:rsid w:val="001672C0"/>
    <w:rsid w:val="0016776A"/>
    <w:rsid w:val="00167789"/>
    <w:rsid w:val="0016779E"/>
    <w:rsid w:val="0016795C"/>
    <w:rsid w:val="00167ECA"/>
    <w:rsid w:val="001702F2"/>
    <w:rsid w:val="00170489"/>
    <w:rsid w:val="00170586"/>
    <w:rsid w:val="001710E0"/>
    <w:rsid w:val="001717BF"/>
    <w:rsid w:val="00171D18"/>
    <w:rsid w:val="001723E4"/>
    <w:rsid w:val="00172835"/>
    <w:rsid w:val="00172A7C"/>
    <w:rsid w:val="00172C0A"/>
    <w:rsid w:val="00172D1B"/>
    <w:rsid w:val="00172F03"/>
    <w:rsid w:val="00173213"/>
    <w:rsid w:val="0017341A"/>
    <w:rsid w:val="001734B8"/>
    <w:rsid w:val="00173684"/>
    <w:rsid w:val="00173C95"/>
    <w:rsid w:val="00173DAA"/>
    <w:rsid w:val="00173E33"/>
    <w:rsid w:val="00173F51"/>
    <w:rsid w:val="00173F6C"/>
    <w:rsid w:val="00173FB5"/>
    <w:rsid w:val="00174445"/>
    <w:rsid w:val="0017465B"/>
    <w:rsid w:val="00174965"/>
    <w:rsid w:val="001749D4"/>
    <w:rsid w:val="00174B2D"/>
    <w:rsid w:val="00174CBF"/>
    <w:rsid w:val="00174D9A"/>
    <w:rsid w:val="0017613E"/>
    <w:rsid w:val="00176223"/>
    <w:rsid w:val="001765D4"/>
    <w:rsid w:val="0017686A"/>
    <w:rsid w:val="00176B13"/>
    <w:rsid w:val="00176F7F"/>
    <w:rsid w:val="00177035"/>
    <w:rsid w:val="00177487"/>
    <w:rsid w:val="00177817"/>
    <w:rsid w:val="00177B87"/>
    <w:rsid w:val="00177CAB"/>
    <w:rsid w:val="001801E6"/>
    <w:rsid w:val="00180291"/>
    <w:rsid w:val="001802B3"/>
    <w:rsid w:val="00180592"/>
    <w:rsid w:val="0018095E"/>
    <w:rsid w:val="00180A5B"/>
    <w:rsid w:val="00181115"/>
    <w:rsid w:val="001813C0"/>
    <w:rsid w:val="00181641"/>
    <w:rsid w:val="00181C32"/>
    <w:rsid w:val="00181D86"/>
    <w:rsid w:val="00181F9E"/>
    <w:rsid w:val="001822E8"/>
    <w:rsid w:val="00182457"/>
    <w:rsid w:val="00182AC2"/>
    <w:rsid w:val="00182BB7"/>
    <w:rsid w:val="00182D81"/>
    <w:rsid w:val="00183178"/>
    <w:rsid w:val="00183EF7"/>
    <w:rsid w:val="001841AA"/>
    <w:rsid w:val="00184A8E"/>
    <w:rsid w:val="00184CA6"/>
    <w:rsid w:val="00184EE3"/>
    <w:rsid w:val="00184F60"/>
    <w:rsid w:val="00185193"/>
    <w:rsid w:val="0018548F"/>
    <w:rsid w:val="0018676D"/>
    <w:rsid w:val="00187035"/>
    <w:rsid w:val="001873F3"/>
    <w:rsid w:val="001874EC"/>
    <w:rsid w:val="0018758F"/>
    <w:rsid w:val="0018784C"/>
    <w:rsid w:val="001902B6"/>
    <w:rsid w:val="001905BF"/>
    <w:rsid w:val="00190AC4"/>
    <w:rsid w:val="00190C1A"/>
    <w:rsid w:val="00190CA4"/>
    <w:rsid w:val="00190D2D"/>
    <w:rsid w:val="00191374"/>
    <w:rsid w:val="00191399"/>
    <w:rsid w:val="0019154A"/>
    <w:rsid w:val="00191676"/>
    <w:rsid w:val="001917C7"/>
    <w:rsid w:val="00191B5F"/>
    <w:rsid w:val="00191BCD"/>
    <w:rsid w:val="00191DD3"/>
    <w:rsid w:val="00192565"/>
    <w:rsid w:val="00192648"/>
    <w:rsid w:val="0019301A"/>
    <w:rsid w:val="001930B9"/>
    <w:rsid w:val="0019366B"/>
    <w:rsid w:val="001939AC"/>
    <w:rsid w:val="00193B22"/>
    <w:rsid w:val="00193F09"/>
    <w:rsid w:val="001940F2"/>
    <w:rsid w:val="00194860"/>
    <w:rsid w:val="00194A35"/>
    <w:rsid w:val="00194CA6"/>
    <w:rsid w:val="001952DC"/>
    <w:rsid w:val="001954F8"/>
    <w:rsid w:val="00195EDE"/>
    <w:rsid w:val="00196179"/>
    <w:rsid w:val="0019653A"/>
    <w:rsid w:val="0019658E"/>
    <w:rsid w:val="001965D2"/>
    <w:rsid w:val="00196E28"/>
    <w:rsid w:val="001976CD"/>
    <w:rsid w:val="001978A0"/>
    <w:rsid w:val="00197A3D"/>
    <w:rsid w:val="00197C5C"/>
    <w:rsid w:val="00197FAF"/>
    <w:rsid w:val="00197FC2"/>
    <w:rsid w:val="001A0AED"/>
    <w:rsid w:val="001A0E23"/>
    <w:rsid w:val="001A14DB"/>
    <w:rsid w:val="001A194B"/>
    <w:rsid w:val="001A19DA"/>
    <w:rsid w:val="001A1E53"/>
    <w:rsid w:val="001A21FD"/>
    <w:rsid w:val="001A2271"/>
    <w:rsid w:val="001A2322"/>
    <w:rsid w:val="001A2485"/>
    <w:rsid w:val="001A2815"/>
    <w:rsid w:val="001A28CD"/>
    <w:rsid w:val="001A2A1A"/>
    <w:rsid w:val="001A2F99"/>
    <w:rsid w:val="001A3149"/>
    <w:rsid w:val="001A334B"/>
    <w:rsid w:val="001A3B27"/>
    <w:rsid w:val="001A4919"/>
    <w:rsid w:val="001A4D7C"/>
    <w:rsid w:val="001A4FE1"/>
    <w:rsid w:val="001A54AD"/>
    <w:rsid w:val="001A6626"/>
    <w:rsid w:val="001A6965"/>
    <w:rsid w:val="001A6A00"/>
    <w:rsid w:val="001A6D0B"/>
    <w:rsid w:val="001A6E26"/>
    <w:rsid w:val="001A72E6"/>
    <w:rsid w:val="001A743A"/>
    <w:rsid w:val="001A7D3C"/>
    <w:rsid w:val="001A7E81"/>
    <w:rsid w:val="001A7F82"/>
    <w:rsid w:val="001B004E"/>
    <w:rsid w:val="001B0103"/>
    <w:rsid w:val="001B0353"/>
    <w:rsid w:val="001B0BF9"/>
    <w:rsid w:val="001B0C3E"/>
    <w:rsid w:val="001B0FDD"/>
    <w:rsid w:val="001B1457"/>
    <w:rsid w:val="001B155E"/>
    <w:rsid w:val="001B1CAC"/>
    <w:rsid w:val="001B22F4"/>
    <w:rsid w:val="001B2574"/>
    <w:rsid w:val="001B2A59"/>
    <w:rsid w:val="001B2AC0"/>
    <w:rsid w:val="001B2AC8"/>
    <w:rsid w:val="001B3349"/>
    <w:rsid w:val="001B3AF8"/>
    <w:rsid w:val="001B43B3"/>
    <w:rsid w:val="001B44E2"/>
    <w:rsid w:val="001B4B51"/>
    <w:rsid w:val="001B54D3"/>
    <w:rsid w:val="001B5522"/>
    <w:rsid w:val="001B55B2"/>
    <w:rsid w:val="001B5D48"/>
    <w:rsid w:val="001B63CF"/>
    <w:rsid w:val="001B6A74"/>
    <w:rsid w:val="001B6BBB"/>
    <w:rsid w:val="001B6DE7"/>
    <w:rsid w:val="001B7C36"/>
    <w:rsid w:val="001B7C9F"/>
    <w:rsid w:val="001B7E43"/>
    <w:rsid w:val="001C009B"/>
    <w:rsid w:val="001C023B"/>
    <w:rsid w:val="001C02F0"/>
    <w:rsid w:val="001C032B"/>
    <w:rsid w:val="001C04F6"/>
    <w:rsid w:val="001C0518"/>
    <w:rsid w:val="001C0998"/>
    <w:rsid w:val="001C0D0A"/>
    <w:rsid w:val="001C11C7"/>
    <w:rsid w:val="001C132A"/>
    <w:rsid w:val="001C13A0"/>
    <w:rsid w:val="001C1F8B"/>
    <w:rsid w:val="001C208F"/>
    <w:rsid w:val="001C2147"/>
    <w:rsid w:val="001C26E6"/>
    <w:rsid w:val="001C283E"/>
    <w:rsid w:val="001C3292"/>
    <w:rsid w:val="001C331B"/>
    <w:rsid w:val="001C3470"/>
    <w:rsid w:val="001C34E5"/>
    <w:rsid w:val="001C3836"/>
    <w:rsid w:val="001C3BA4"/>
    <w:rsid w:val="001C3E45"/>
    <w:rsid w:val="001C3E77"/>
    <w:rsid w:val="001C447F"/>
    <w:rsid w:val="001C4E52"/>
    <w:rsid w:val="001C4F03"/>
    <w:rsid w:val="001C54D2"/>
    <w:rsid w:val="001C55A1"/>
    <w:rsid w:val="001C5B44"/>
    <w:rsid w:val="001C623C"/>
    <w:rsid w:val="001C6572"/>
    <w:rsid w:val="001C6B7E"/>
    <w:rsid w:val="001C79F5"/>
    <w:rsid w:val="001C7A46"/>
    <w:rsid w:val="001C7B41"/>
    <w:rsid w:val="001D0174"/>
    <w:rsid w:val="001D025A"/>
    <w:rsid w:val="001D118A"/>
    <w:rsid w:val="001D1754"/>
    <w:rsid w:val="001D1986"/>
    <w:rsid w:val="001D1DD6"/>
    <w:rsid w:val="001D20F8"/>
    <w:rsid w:val="001D2347"/>
    <w:rsid w:val="001D2543"/>
    <w:rsid w:val="001D2A84"/>
    <w:rsid w:val="001D2EC7"/>
    <w:rsid w:val="001D2F9D"/>
    <w:rsid w:val="001D38DA"/>
    <w:rsid w:val="001D398C"/>
    <w:rsid w:val="001D3A83"/>
    <w:rsid w:val="001D4349"/>
    <w:rsid w:val="001D4578"/>
    <w:rsid w:val="001D45CE"/>
    <w:rsid w:val="001D47F4"/>
    <w:rsid w:val="001D4DFA"/>
    <w:rsid w:val="001D4E11"/>
    <w:rsid w:val="001D4E9F"/>
    <w:rsid w:val="001D5598"/>
    <w:rsid w:val="001D559E"/>
    <w:rsid w:val="001D5852"/>
    <w:rsid w:val="001D63AF"/>
    <w:rsid w:val="001D6626"/>
    <w:rsid w:val="001D68BD"/>
    <w:rsid w:val="001D69E0"/>
    <w:rsid w:val="001D6A22"/>
    <w:rsid w:val="001D6C07"/>
    <w:rsid w:val="001D6F08"/>
    <w:rsid w:val="001D7067"/>
    <w:rsid w:val="001D71F8"/>
    <w:rsid w:val="001D751D"/>
    <w:rsid w:val="001D7C15"/>
    <w:rsid w:val="001E0285"/>
    <w:rsid w:val="001E0308"/>
    <w:rsid w:val="001E032F"/>
    <w:rsid w:val="001E03FD"/>
    <w:rsid w:val="001E04BF"/>
    <w:rsid w:val="001E0F20"/>
    <w:rsid w:val="001E1210"/>
    <w:rsid w:val="001E1290"/>
    <w:rsid w:val="001E1AEA"/>
    <w:rsid w:val="001E1B27"/>
    <w:rsid w:val="001E1D14"/>
    <w:rsid w:val="001E1D62"/>
    <w:rsid w:val="001E1DA0"/>
    <w:rsid w:val="001E1E3A"/>
    <w:rsid w:val="001E2214"/>
    <w:rsid w:val="001E2371"/>
    <w:rsid w:val="001E2634"/>
    <w:rsid w:val="001E26B3"/>
    <w:rsid w:val="001E35FB"/>
    <w:rsid w:val="001E3FC4"/>
    <w:rsid w:val="001E515C"/>
    <w:rsid w:val="001E51C3"/>
    <w:rsid w:val="001E523A"/>
    <w:rsid w:val="001E52F9"/>
    <w:rsid w:val="001E54C4"/>
    <w:rsid w:val="001E5613"/>
    <w:rsid w:val="001E5676"/>
    <w:rsid w:val="001E56D0"/>
    <w:rsid w:val="001E57DD"/>
    <w:rsid w:val="001E5FDD"/>
    <w:rsid w:val="001E611F"/>
    <w:rsid w:val="001E648B"/>
    <w:rsid w:val="001E6744"/>
    <w:rsid w:val="001E6B64"/>
    <w:rsid w:val="001E706D"/>
    <w:rsid w:val="001E74BE"/>
    <w:rsid w:val="001E7597"/>
    <w:rsid w:val="001E7903"/>
    <w:rsid w:val="001E7AED"/>
    <w:rsid w:val="001E7BBE"/>
    <w:rsid w:val="001E7DB9"/>
    <w:rsid w:val="001F0468"/>
    <w:rsid w:val="001F09C2"/>
    <w:rsid w:val="001F0F36"/>
    <w:rsid w:val="001F117C"/>
    <w:rsid w:val="001F13F1"/>
    <w:rsid w:val="001F1451"/>
    <w:rsid w:val="001F1538"/>
    <w:rsid w:val="001F154A"/>
    <w:rsid w:val="001F1800"/>
    <w:rsid w:val="001F23D3"/>
    <w:rsid w:val="001F2A37"/>
    <w:rsid w:val="001F2BBB"/>
    <w:rsid w:val="001F2C80"/>
    <w:rsid w:val="001F2FFF"/>
    <w:rsid w:val="001F3175"/>
    <w:rsid w:val="001F31EE"/>
    <w:rsid w:val="001F3865"/>
    <w:rsid w:val="001F38F0"/>
    <w:rsid w:val="001F3AF8"/>
    <w:rsid w:val="001F3CEE"/>
    <w:rsid w:val="001F3F1C"/>
    <w:rsid w:val="001F4287"/>
    <w:rsid w:val="001F44E1"/>
    <w:rsid w:val="001F4661"/>
    <w:rsid w:val="001F4E5E"/>
    <w:rsid w:val="001F4F70"/>
    <w:rsid w:val="001F5088"/>
    <w:rsid w:val="001F5224"/>
    <w:rsid w:val="001F52FD"/>
    <w:rsid w:val="001F5AB4"/>
    <w:rsid w:val="001F5D9B"/>
    <w:rsid w:val="001F5EDD"/>
    <w:rsid w:val="001F5EF3"/>
    <w:rsid w:val="001F62CC"/>
    <w:rsid w:val="001F6533"/>
    <w:rsid w:val="001F655B"/>
    <w:rsid w:val="001F6AD1"/>
    <w:rsid w:val="001F6C55"/>
    <w:rsid w:val="001F6E9F"/>
    <w:rsid w:val="001F742A"/>
    <w:rsid w:val="001F744C"/>
    <w:rsid w:val="001F773D"/>
    <w:rsid w:val="001F7A75"/>
    <w:rsid w:val="001F7BB6"/>
    <w:rsid w:val="001F7D73"/>
    <w:rsid w:val="001F7FAF"/>
    <w:rsid w:val="0020038D"/>
    <w:rsid w:val="00200632"/>
    <w:rsid w:val="00200669"/>
    <w:rsid w:val="00200677"/>
    <w:rsid w:val="002006E2"/>
    <w:rsid w:val="0020089B"/>
    <w:rsid w:val="00200C24"/>
    <w:rsid w:val="00200EE5"/>
    <w:rsid w:val="00200F05"/>
    <w:rsid w:val="002012F7"/>
    <w:rsid w:val="002017A8"/>
    <w:rsid w:val="00201932"/>
    <w:rsid w:val="00201975"/>
    <w:rsid w:val="00201B39"/>
    <w:rsid w:val="002020D2"/>
    <w:rsid w:val="00202274"/>
    <w:rsid w:val="002023DF"/>
    <w:rsid w:val="00202730"/>
    <w:rsid w:val="002027C3"/>
    <w:rsid w:val="002027F6"/>
    <w:rsid w:val="00202CB1"/>
    <w:rsid w:val="00202DFF"/>
    <w:rsid w:val="00202F5B"/>
    <w:rsid w:val="002030BE"/>
    <w:rsid w:val="0020314B"/>
    <w:rsid w:val="002039B6"/>
    <w:rsid w:val="00203BA1"/>
    <w:rsid w:val="002041F1"/>
    <w:rsid w:val="00204217"/>
    <w:rsid w:val="00204EF2"/>
    <w:rsid w:val="0020537D"/>
    <w:rsid w:val="00205A32"/>
    <w:rsid w:val="00205B35"/>
    <w:rsid w:val="00205D80"/>
    <w:rsid w:val="002061A7"/>
    <w:rsid w:val="002062AE"/>
    <w:rsid w:val="002062D5"/>
    <w:rsid w:val="002068EB"/>
    <w:rsid w:val="00206BA9"/>
    <w:rsid w:val="00206D3E"/>
    <w:rsid w:val="00207183"/>
    <w:rsid w:val="0020730C"/>
    <w:rsid w:val="00207362"/>
    <w:rsid w:val="00207646"/>
    <w:rsid w:val="00207712"/>
    <w:rsid w:val="0020779D"/>
    <w:rsid w:val="00210087"/>
    <w:rsid w:val="00210EC5"/>
    <w:rsid w:val="0021137B"/>
    <w:rsid w:val="0021151D"/>
    <w:rsid w:val="002116B5"/>
    <w:rsid w:val="00211744"/>
    <w:rsid w:val="0021197A"/>
    <w:rsid w:val="00211AF0"/>
    <w:rsid w:val="00211BE6"/>
    <w:rsid w:val="00211E2B"/>
    <w:rsid w:val="00211FB8"/>
    <w:rsid w:val="00212233"/>
    <w:rsid w:val="00212535"/>
    <w:rsid w:val="002125B7"/>
    <w:rsid w:val="00212AE9"/>
    <w:rsid w:val="00212B56"/>
    <w:rsid w:val="00212D5C"/>
    <w:rsid w:val="00212E97"/>
    <w:rsid w:val="00212EB9"/>
    <w:rsid w:val="00212EFE"/>
    <w:rsid w:val="0021327D"/>
    <w:rsid w:val="00213655"/>
    <w:rsid w:val="00213987"/>
    <w:rsid w:val="00213A1B"/>
    <w:rsid w:val="00213EC1"/>
    <w:rsid w:val="00213FCF"/>
    <w:rsid w:val="00214052"/>
    <w:rsid w:val="00214125"/>
    <w:rsid w:val="0021457B"/>
    <w:rsid w:val="0021490B"/>
    <w:rsid w:val="0021559D"/>
    <w:rsid w:val="00215CCE"/>
    <w:rsid w:val="00215EF7"/>
    <w:rsid w:val="002168DB"/>
    <w:rsid w:val="002169BF"/>
    <w:rsid w:val="00217664"/>
    <w:rsid w:val="00217784"/>
    <w:rsid w:val="00217E1A"/>
    <w:rsid w:val="00220AA6"/>
    <w:rsid w:val="00221588"/>
    <w:rsid w:val="00221620"/>
    <w:rsid w:val="00221903"/>
    <w:rsid w:val="00221D00"/>
    <w:rsid w:val="00221EE3"/>
    <w:rsid w:val="00222052"/>
    <w:rsid w:val="002222F2"/>
    <w:rsid w:val="002223A1"/>
    <w:rsid w:val="002223D6"/>
    <w:rsid w:val="002223F0"/>
    <w:rsid w:val="002224FE"/>
    <w:rsid w:val="002228C4"/>
    <w:rsid w:val="00222B7E"/>
    <w:rsid w:val="00222C52"/>
    <w:rsid w:val="00223D5A"/>
    <w:rsid w:val="00223F49"/>
    <w:rsid w:val="0022414B"/>
    <w:rsid w:val="0022447A"/>
    <w:rsid w:val="00224575"/>
    <w:rsid w:val="00224639"/>
    <w:rsid w:val="0022472E"/>
    <w:rsid w:val="00224BBB"/>
    <w:rsid w:val="00224EC5"/>
    <w:rsid w:val="002253DE"/>
    <w:rsid w:val="00225697"/>
    <w:rsid w:val="0022575C"/>
    <w:rsid w:val="00225C9F"/>
    <w:rsid w:val="00225CAF"/>
    <w:rsid w:val="00225E03"/>
    <w:rsid w:val="00225FAD"/>
    <w:rsid w:val="00226246"/>
    <w:rsid w:val="002263AE"/>
    <w:rsid w:val="00226440"/>
    <w:rsid w:val="002265EA"/>
    <w:rsid w:val="00226B8E"/>
    <w:rsid w:val="00226BCE"/>
    <w:rsid w:val="002270D7"/>
    <w:rsid w:val="002273BA"/>
    <w:rsid w:val="0022742D"/>
    <w:rsid w:val="002275E6"/>
    <w:rsid w:val="002276DE"/>
    <w:rsid w:val="002276ED"/>
    <w:rsid w:val="0022781E"/>
    <w:rsid w:val="002278D6"/>
    <w:rsid w:val="00227E58"/>
    <w:rsid w:val="00230327"/>
    <w:rsid w:val="0023044E"/>
    <w:rsid w:val="002306FE"/>
    <w:rsid w:val="00230952"/>
    <w:rsid w:val="002309AF"/>
    <w:rsid w:val="00230BDE"/>
    <w:rsid w:val="00230E7F"/>
    <w:rsid w:val="00231006"/>
    <w:rsid w:val="00231176"/>
    <w:rsid w:val="00231664"/>
    <w:rsid w:val="00231A53"/>
    <w:rsid w:val="00231B3F"/>
    <w:rsid w:val="00231ED1"/>
    <w:rsid w:val="00232A61"/>
    <w:rsid w:val="00232EED"/>
    <w:rsid w:val="00233303"/>
    <w:rsid w:val="002333F0"/>
    <w:rsid w:val="0023351F"/>
    <w:rsid w:val="00233BF5"/>
    <w:rsid w:val="00234395"/>
    <w:rsid w:val="00234A10"/>
    <w:rsid w:val="0023500F"/>
    <w:rsid w:val="00235541"/>
    <w:rsid w:val="00235F92"/>
    <w:rsid w:val="002361BB"/>
    <w:rsid w:val="0023622A"/>
    <w:rsid w:val="00236249"/>
    <w:rsid w:val="002362FA"/>
    <w:rsid w:val="00236453"/>
    <w:rsid w:val="00236EC0"/>
    <w:rsid w:val="00236F95"/>
    <w:rsid w:val="00236FA8"/>
    <w:rsid w:val="00237217"/>
    <w:rsid w:val="00237896"/>
    <w:rsid w:val="0023791A"/>
    <w:rsid w:val="00237D0B"/>
    <w:rsid w:val="00237D72"/>
    <w:rsid w:val="0024018F"/>
    <w:rsid w:val="00240846"/>
    <w:rsid w:val="00240FD2"/>
    <w:rsid w:val="00241258"/>
    <w:rsid w:val="00241289"/>
    <w:rsid w:val="00241523"/>
    <w:rsid w:val="002417F0"/>
    <w:rsid w:val="00241FDC"/>
    <w:rsid w:val="00242624"/>
    <w:rsid w:val="0024314E"/>
    <w:rsid w:val="002431B2"/>
    <w:rsid w:val="002438E2"/>
    <w:rsid w:val="00243C7B"/>
    <w:rsid w:val="00244160"/>
    <w:rsid w:val="00244301"/>
    <w:rsid w:val="0024494B"/>
    <w:rsid w:val="00244B46"/>
    <w:rsid w:val="00245260"/>
    <w:rsid w:val="0024557E"/>
    <w:rsid w:val="00245D0A"/>
    <w:rsid w:val="00245D32"/>
    <w:rsid w:val="00245D47"/>
    <w:rsid w:val="00246077"/>
    <w:rsid w:val="0024611A"/>
    <w:rsid w:val="00246702"/>
    <w:rsid w:val="00246718"/>
    <w:rsid w:val="00246A92"/>
    <w:rsid w:val="00247085"/>
    <w:rsid w:val="002471FD"/>
    <w:rsid w:val="00247B14"/>
    <w:rsid w:val="00250261"/>
    <w:rsid w:val="002503A0"/>
    <w:rsid w:val="00250697"/>
    <w:rsid w:val="002509EF"/>
    <w:rsid w:val="00250DFA"/>
    <w:rsid w:val="00250E28"/>
    <w:rsid w:val="00250ED1"/>
    <w:rsid w:val="00251531"/>
    <w:rsid w:val="00251E4F"/>
    <w:rsid w:val="00251FCE"/>
    <w:rsid w:val="00252479"/>
    <w:rsid w:val="0025261D"/>
    <w:rsid w:val="00252C15"/>
    <w:rsid w:val="002532FA"/>
    <w:rsid w:val="00253421"/>
    <w:rsid w:val="00253636"/>
    <w:rsid w:val="0025365A"/>
    <w:rsid w:val="00253C01"/>
    <w:rsid w:val="00253CAD"/>
    <w:rsid w:val="0025410A"/>
    <w:rsid w:val="002546CD"/>
    <w:rsid w:val="00254C20"/>
    <w:rsid w:val="00254D9C"/>
    <w:rsid w:val="00255610"/>
    <w:rsid w:val="00255674"/>
    <w:rsid w:val="00255DA6"/>
    <w:rsid w:val="00255EF2"/>
    <w:rsid w:val="0025626E"/>
    <w:rsid w:val="0025672F"/>
    <w:rsid w:val="00256D66"/>
    <w:rsid w:val="002574B8"/>
    <w:rsid w:val="0025755B"/>
    <w:rsid w:val="00257934"/>
    <w:rsid w:val="00257D81"/>
    <w:rsid w:val="00257DDF"/>
    <w:rsid w:val="00257F29"/>
    <w:rsid w:val="00260164"/>
    <w:rsid w:val="0026033B"/>
    <w:rsid w:val="00260D8B"/>
    <w:rsid w:val="00260F11"/>
    <w:rsid w:val="00261DBE"/>
    <w:rsid w:val="00261E24"/>
    <w:rsid w:val="002621AE"/>
    <w:rsid w:val="00262207"/>
    <w:rsid w:val="002623E5"/>
    <w:rsid w:val="00262417"/>
    <w:rsid w:val="0026242F"/>
    <w:rsid w:val="002624DD"/>
    <w:rsid w:val="002624EC"/>
    <w:rsid w:val="00262614"/>
    <w:rsid w:val="0026268A"/>
    <w:rsid w:val="002626C8"/>
    <w:rsid w:val="00262764"/>
    <w:rsid w:val="002628CE"/>
    <w:rsid w:val="002632EA"/>
    <w:rsid w:val="0026365F"/>
    <w:rsid w:val="00263D0D"/>
    <w:rsid w:val="00263DA8"/>
    <w:rsid w:val="00263E16"/>
    <w:rsid w:val="00263EB0"/>
    <w:rsid w:val="00263F2C"/>
    <w:rsid w:val="0026409C"/>
    <w:rsid w:val="00264955"/>
    <w:rsid w:val="00264A06"/>
    <w:rsid w:val="002655F8"/>
    <w:rsid w:val="00265BBB"/>
    <w:rsid w:val="0026614B"/>
    <w:rsid w:val="002665A6"/>
    <w:rsid w:val="00266836"/>
    <w:rsid w:val="00266AE1"/>
    <w:rsid w:val="00266C26"/>
    <w:rsid w:val="00266F65"/>
    <w:rsid w:val="002672B8"/>
    <w:rsid w:val="002675E8"/>
    <w:rsid w:val="00267A65"/>
    <w:rsid w:val="0027030D"/>
    <w:rsid w:val="0027039D"/>
    <w:rsid w:val="00270780"/>
    <w:rsid w:val="00270F77"/>
    <w:rsid w:val="00271CC2"/>
    <w:rsid w:val="002729AC"/>
    <w:rsid w:val="002729C9"/>
    <w:rsid w:val="00272A3A"/>
    <w:rsid w:val="00272DB1"/>
    <w:rsid w:val="00272FC9"/>
    <w:rsid w:val="00273332"/>
    <w:rsid w:val="00273471"/>
    <w:rsid w:val="00273790"/>
    <w:rsid w:val="00273BE9"/>
    <w:rsid w:val="00273D49"/>
    <w:rsid w:val="00274292"/>
    <w:rsid w:val="002748B7"/>
    <w:rsid w:val="00274912"/>
    <w:rsid w:val="00274B0F"/>
    <w:rsid w:val="00274BA8"/>
    <w:rsid w:val="00274D6D"/>
    <w:rsid w:val="00274F54"/>
    <w:rsid w:val="002752D7"/>
    <w:rsid w:val="00275326"/>
    <w:rsid w:val="002755CB"/>
    <w:rsid w:val="002757B1"/>
    <w:rsid w:val="00275C10"/>
    <w:rsid w:val="002760E0"/>
    <w:rsid w:val="002763C7"/>
    <w:rsid w:val="0027658D"/>
    <w:rsid w:val="00276D9A"/>
    <w:rsid w:val="00277824"/>
    <w:rsid w:val="00280C36"/>
    <w:rsid w:val="00280DCB"/>
    <w:rsid w:val="0028112B"/>
    <w:rsid w:val="002814EF"/>
    <w:rsid w:val="002815E5"/>
    <w:rsid w:val="00281AEA"/>
    <w:rsid w:val="00281B76"/>
    <w:rsid w:val="00281E12"/>
    <w:rsid w:val="00282359"/>
    <w:rsid w:val="00282C28"/>
    <w:rsid w:val="00282F3D"/>
    <w:rsid w:val="002830E1"/>
    <w:rsid w:val="00284008"/>
    <w:rsid w:val="00284144"/>
    <w:rsid w:val="00284F31"/>
    <w:rsid w:val="0028506A"/>
    <w:rsid w:val="002850B0"/>
    <w:rsid w:val="0028536E"/>
    <w:rsid w:val="002863D7"/>
    <w:rsid w:val="00286714"/>
    <w:rsid w:val="00286827"/>
    <w:rsid w:val="0028697E"/>
    <w:rsid w:val="00286EEF"/>
    <w:rsid w:val="00286FBE"/>
    <w:rsid w:val="00286FC6"/>
    <w:rsid w:val="002873B4"/>
    <w:rsid w:val="002876BD"/>
    <w:rsid w:val="0028791B"/>
    <w:rsid w:val="0028795E"/>
    <w:rsid w:val="00287C69"/>
    <w:rsid w:val="00287DAB"/>
    <w:rsid w:val="00287DE1"/>
    <w:rsid w:val="00287E07"/>
    <w:rsid w:val="002901C9"/>
    <w:rsid w:val="00290324"/>
    <w:rsid w:val="002905EC"/>
    <w:rsid w:val="002906CE"/>
    <w:rsid w:val="002907D9"/>
    <w:rsid w:val="00290A05"/>
    <w:rsid w:val="00290E06"/>
    <w:rsid w:val="00291008"/>
    <w:rsid w:val="00291602"/>
    <w:rsid w:val="002920A1"/>
    <w:rsid w:val="0029216E"/>
    <w:rsid w:val="00292482"/>
    <w:rsid w:val="00292AB5"/>
    <w:rsid w:val="00293955"/>
    <w:rsid w:val="00293B61"/>
    <w:rsid w:val="00293C47"/>
    <w:rsid w:val="002940E9"/>
    <w:rsid w:val="00294272"/>
    <w:rsid w:val="00294358"/>
    <w:rsid w:val="0029496B"/>
    <w:rsid w:val="002949E6"/>
    <w:rsid w:val="00294A9F"/>
    <w:rsid w:val="00294D37"/>
    <w:rsid w:val="00295350"/>
    <w:rsid w:val="002953BA"/>
    <w:rsid w:val="00295A2B"/>
    <w:rsid w:val="00295CC0"/>
    <w:rsid w:val="00295D54"/>
    <w:rsid w:val="00296693"/>
    <w:rsid w:val="002967A0"/>
    <w:rsid w:val="00297085"/>
    <w:rsid w:val="002972E0"/>
    <w:rsid w:val="002A02C6"/>
    <w:rsid w:val="002A0639"/>
    <w:rsid w:val="002A0A38"/>
    <w:rsid w:val="002A0BAF"/>
    <w:rsid w:val="002A10A8"/>
    <w:rsid w:val="002A12C9"/>
    <w:rsid w:val="002A1668"/>
    <w:rsid w:val="002A1C26"/>
    <w:rsid w:val="002A21CF"/>
    <w:rsid w:val="002A23B5"/>
    <w:rsid w:val="002A256F"/>
    <w:rsid w:val="002A25B0"/>
    <w:rsid w:val="002A26BD"/>
    <w:rsid w:val="002A2835"/>
    <w:rsid w:val="002A311F"/>
    <w:rsid w:val="002A33AA"/>
    <w:rsid w:val="002A37EF"/>
    <w:rsid w:val="002A3C9B"/>
    <w:rsid w:val="002A3D3C"/>
    <w:rsid w:val="002A402F"/>
    <w:rsid w:val="002A4197"/>
    <w:rsid w:val="002A43C2"/>
    <w:rsid w:val="002A4665"/>
    <w:rsid w:val="002A4A8F"/>
    <w:rsid w:val="002A4DE5"/>
    <w:rsid w:val="002A50B4"/>
    <w:rsid w:val="002A5299"/>
    <w:rsid w:val="002A5421"/>
    <w:rsid w:val="002A5456"/>
    <w:rsid w:val="002A5C0F"/>
    <w:rsid w:val="002A5C25"/>
    <w:rsid w:val="002A5CA2"/>
    <w:rsid w:val="002A5DF4"/>
    <w:rsid w:val="002A5F12"/>
    <w:rsid w:val="002A63F9"/>
    <w:rsid w:val="002A6422"/>
    <w:rsid w:val="002A6A24"/>
    <w:rsid w:val="002A6F52"/>
    <w:rsid w:val="002A7751"/>
    <w:rsid w:val="002B00E4"/>
    <w:rsid w:val="002B024A"/>
    <w:rsid w:val="002B04CD"/>
    <w:rsid w:val="002B058D"/>
    <w:rsid w:val="002B0D33"/>
    <w:rsid w:val="002B11BC"/>
    <w:rsid w:val="002B1547"/>
    <w:rsid w:val="002B1B65"/>
    <w:rsid w:val="002B200D"/>
    <w:rsid w:val="002B28A8"/>
    <w:rsid w:val="002B2F48"/>
    <w:rsid w:val="002B334F"/>
    <w:rsid w:val="002B37E0"/>
    <w:rsid w:val="002B3934"/>
    <w:rsid w:val="002B3A6A"/>
    <w:rsid w:val="002B3BD0"/>
    <w:rsid w:val="002B3CFD"/>
    <w:rsid w:val="002B3E5D"/>
    <w:rsid w:val="002B4203"/>
    <w:rsid w:val="002B4885"/>
    <w:rsid w:val="002B4C19"/>
    <w:rsid w:val="002B4EE7"/>
    <w:rsid w:val="002B4FAE"/>
    <w:rsid w:val="002B67EC"/>
    <w:rsid w:val="002B6966"/>
    <w:rsid w:val="002B7816"/>
    <w:rsid w:val="002B7A49"/>
    <w:rsid w:val="002B7D7E"/>
    <w:rsid w:val="002C0128"/>
    <w:rsid w:val="002C02DB"/>
    <w:rsid w:val="002C051C"/>
    <w:rsid w:val="002C076D"/>
    <w:rsid w:val="002C09D9"/>
    <w:rsid w:val="002C0EDC"/>
    <w:rsid w:val="002C14B2"/>
    <w:rsid w:val="002C158A"/>
    <w:rsid w:val="002C161A"/>
    <w:rsid w:val="002C1866"/>
    <w:rsid w:val="002C1907"/>
    <w:rsid w:val="002C191B"/>
    <w:rsid w:val="002C1AEB"/>
    <w:rsid w:val="002C1AFF"/>
    <w:rsid w:val="002C1D07"/>
    <w:rsid w:val="002C1DE2"/>
    <w:rsid w:val="002C2A8B"/>
    <w:rsid w:val="002C2E21"/>
    <w:rsid w:val="002C317C"/>
    <w:rsid w:val="002C3737"/>
    <w:rsid w:val="002C3DA3"/>
    <w:rsid w:val="002C4450"/>
    <w:rsid w:val="002C491C"/>
    <w:rsid w:val="002C4CBD"/>
    <w:rsid w:val="002C4F3D"/>
    <w:rsid w:val="002C51C2"/>
    <w:rsid w:val="002C5355"/>
    <w:rsid w:val="002C5749"/>
    <w:rsid w:val="002C5831"/>
    <w:rsid w:val="002C5B1B"/>
    <w:rsid w:val="002C5B97"/>
    <w:rsid w:val="002C63A0"/>
    <w:rsid w:val="002C683D"/>
    <w:rsid w:val="002C6FCC"/>
    <w:rsid w:val="002C723E"/>
    <w:rsid w:val="002C7317"/>
    <w:rsid w:val="002C745D"/>
    <w:rsid w:val="002C753A"/>
    <w:rsid w:val="002C76F3"/>
    <w:rsid w:val="002C79A0"/>
    <w:rsid w:val="002C7FE5"/>
    <w:rsid w:val="002D0718"/>
    <w:rsid w:val="002D0B0C"/>
    <w:rsid w:val="002D0D90"/>
    <w:rsid w:val="002D0ECF"/>
    <w:rsid w:val="002D12C2"/>
    <w:rsid w:val="002D1323"/>
    <w:rsid w:val="002D15D5"/>
    <w:rsid w:val="002D1679"/>
    <w:rsid w:val="002D1A26"/>
    <w:rsid w:val="002D1D2A"/>
    <w:rsid w:val="002D21B7"/>
    <w:rsid w:val="002D24FC"/>
    <w:rsid w:val="002D2768"/>
    <w:rsid w:val="002D2918"/>
    <w:rsid w:val="002D2F1C"/>
    <w:rsid w:val="002D35E3"/>
    <w:rsid w:val="002D37CA"/>
    <w:rsid w:val="002D413E"/>
    <w:rsid w:val="002D4AD6"/>
    <w:rsid w:val="002D4DDA"/>
    <w:rsid w:val="002D4E5F"/>
    <w:rsid w:val="002D4F1E"/>
    <w:rsid w:val="002D51D6"/>
    <w:rsid w:val="002D5F86"/>
    <w:rsid w:val="002D68FE"/>
    <w:rsid w:val="002D6B28"/>
    <w:rsid w:val="002D6D04"/>
    <w:rsid w:val="002D73E3"/>
    <w:rsid w:val="002D7479"/>
    <w:rsid w:val="002D7B22"/>
    <w:rsid w:val="002E0157"/>
    <w:rsid w:val="002E02AA"/>
    <w:rsid w:val="002E0D71"/>
    <w:rsid w:val="002E0F36"/>
    <w:rsid w:val="002E14DD"/>
    <w:rsid w:val="002E1B97"/>
    <w:rsid w:val="002E1C45"/>
    <w:rsid w:val="002E2AEE"/>
    <w:rsid w:val="002E2C06"/>
    <w:rsid w:val="002E2C50"/>
    <w:rsid w:val="002E2E9E"/>
    <w:rsid w:val="002E333D"/>
    <w:rsid w:val="002E368C"/>
    <w:rsid w:val="002E40B1"/>
    <w:rsid w:val="002E4475"/>
    <w:rsid w:val="002E4993"/>
    <w:rsid w:val="002E4C42"/>
    <w:rsid w:val="002E4E01"/>
    <w:rsid w:val="002E53D1"/>
    <w:rsid w:val="002E5A1B"/>
    <w:rsid w:val="002E5D7F"/>
    <w:rsid w:val="002E5DD3"/>
    <w:rsid w:val="002E6967"/>
    <w:rsid w:val="002E6BFC"/>
    <w:rsid w:val="002E6E31"/>
    <w:rsid w:val="002E6EB0"/>
    <w:rsid w:val="002E6FF6"/>
    <w:rsid w:val="002E7061"/>
    <w:rsid w:val="002E730B"/>
    <w:rsid w:val="002E7719"/>
    <w:rsid w:val="002E7BDC"/>
    <w:rsid w:val="002F01B9"/>
    <w:rsid w:val="002F0505"/>
    <w:rsid w:val="002F0768"/>
    <w:rsid w:val="002F0BD2"/>
    <w:rsid w:val="002F0ED1"/>
    <w:rsid w:val="002F116B"/>
    <w:rsid w:val="002F1A4E"/>
    <w:rsid w:val="002F1CFA"/>
    <w:rsid w:val="002F22DE"/>
    <w:rsid w:val="002F237F"/>
    <w:rsid w:val="002F26C9"/>
    <w:rsid w:val="002F2785"/>
    <w:rsid w:val="002F2793"/>
    <w:rsid w:val="002F2939"/>
    <w:rsid w:val="002F2CF1"/>
    <w:rsid w:val="002F3112"/>
    <w:rsid w:val="002F36D7"/>
    <w:rsid w:val="002F3B51"/>
    <w:rsid w:val="002F47D9"/>
    <w:rsid w:val="002F4977"/>
    <w:rsid w:val="002F4CE1"/>
    <w:rsid w:val="002F50DA"/>
    <w:rsid w:val="002F5340"/>
    <w:rsid w:val="002F5A4D"/>
    <w:rsid w:val="002F5E96"/>
    <w:rsid w:val="002F685B"/>
    <w:rsid w:val="002F6AF8"/>
    <w:rsid w:val="002F70FC"/>
    <w:rsid w:val="002F72E9"/>
    <w:rsid w:val="002F7392"/>
    <w:rsid w:val="002F73BC"/>
    <w:rsid w:val="002F7690"/>
    <w:rsid w:val="002F7968"/>
    <w:rsid w:val="002F7E05"/>
    <w:rsid w:val="00300019"/>
    <w:rsid w:val="003001FB"/>
    <w:rsid w:val="0030053D"/>
    <w:rsid w:val="00300711"/>
    <w:rsid w:val="0030099F"/>
    <w:rsid w:val="00300C6F"/>
    <w:rsid w:val="00300F22"/>
    <w:rsid w:val="003011F9"/>
    <w:rsid w:val="0030127D"/>
    <w:rsid w:val="0030139E"/>
    <w:rsid w:val="003017FF"/>
    <w:rsid w:val="00301B82"/>
    <w:rsid w:val="00302157"/>
    <w:rsid w:val="0030254F"/>
    <w:rsid w:val="003026D2"/>
    <w:rsid w:val="003028E7"/>
    <w:rsid w:val="00302A11"/>
    <w:rsid w:val="00302AAB"/>
    <w:rsid w:val="00302ABC"/>
    <w:rsid w:val="00302C42"/>
    <w:rsid w:val="00302CEB"/>
    <w:rsid w:val="00302FC6"/>
    <w:rsid w:val="0030392C"/>
    <w:rsid w:val="00303DA7"/>
    <w:rsid w:val="00304A37"/>
    <w:rsid w:val="00304B1F"/>
    <w:rsid w:val="00305425"/>
    <w:rsid w:val="003054E4"/>
    <w:rsid w:val="00305652"/>
    <w:rsid w:val="00305768"/>
    <w:rsid w:val="00305A3A"/>
    <w:rsid w:val="003060A1"/>
    <w:rsid w:val="00306669"/>
    <w:rsid w:val="00306A43"/>
    <w:rsid w:val="00306CA2"/>
    <w:rsid w:val="003070C3"/>
    <w:rsid w:val="003070E4"/>
    <w:rsid w:val="0030717C"/>
    <w:rsid w:val="003073D6"/>
    <w:rsid w:val="0030760A"/>
    <w:rsid w:val="00307E21"/>
    <w:rsid w:val="0031040E"/>
    <w:rsid w:val="0031052A"/>
    <w:rsid w:val="00310D9E"/>
    <w:rsid w:val="00310ED4"/>
    <w:rsid w:val="00311193"/>
    <w:rsid w:val="0031146F"/>
    <w:rsid w:val="003114D4"/>
    <w:rsid w:val="003116F9"/>
    <w:rsid w:val="00311D94"/>
    <w:rsid w:val="00312301"/>
    <w:rsid w:val="003125DC"/>
    <w:rsid w:val="00312B16"/>
    <w:rsid w:val="00312FF6"/>
    <w:rsid w:val="003130B8"/>
    <w:rsid w:val="0031312E"/>
    <w:rsid w:val="003132BE"/>
    <w:rsid w:val="003137DB"/>
    <w:rsid w:val="0031382B"/>
    <w:rsid w:val="0031391D"/>
    <w:rsid w:val="003141FE"/>
    <w:rsid w:val="00314371"/>
    <w:rsid w:val="00314445"/>
    <w:rsid w:val="0031480B"/>
    <w:rsid w:val="0031492A"/>
    <w:rsid w:val="00314A7B"/>
    <w:rsid w:val="00314C6C"/>
    <w:rsid w:val="00315248"/>
    <w:rsid w:val="0031601B"/>
    <w:rsid w:val="003164ED"/>
    <w:rsid w:val="0031693A"/>
    <w:rsid w:val="00316AB9"/>
    <w:rsid w:val="00316B9B"/>
    <w:rsid w:val="00316C1A"/>
    <w:rsid w:val="00316D55"/>
    <w:rsid w:val="0031748E"/>
    <w:rsid w:val="00317845"/>
    <w:rsid w:val="003201B6"/>
    <w:rsid w:val="003206E3"/>
    <w:rsid w:val="00320EF4"/>
    <w:rsid w:val="003210B9"/>
    <w:rsid w:val="00321208"/>
    <w:rsid w:val="00321431"/>
    <w:rsid w:val="00321AA0"/>
    <w:rsid w:val="00321C8A"/>
    <w:rsid w:val="00321E73"/>
    <w:rsid w:val="00322415"/>
    <w:rsid w:val="00322444"/>
    <w:rsid w:val="00322E11"/>
    <w:rsid w:val="00322EB7"/>
    <w:rsid w:val="00323774"/>
    <w:rsid w:val="003239E9"/>
    <w:rsid w:val="00323B1D"/>
    <w:rsid w:val="00323C73"/>
    <w:rsid w:val="00324A10"/>
    <w:rsid w:val="00324F8F"/>
    <w:rsid w:val="00325940"/>
    <w:rsid w:val="00325A4E"/>
    <w:rsid w:val="00325AEB"/>
    <w:rsid w:val="00325C0F"/>
    <w:rsid w:val="00325D3D"/>
    <w:rsid w:val="00326387"/>
    <w:rsid w:val="003264E8"/>
    <w:rsid w:val="00326814"/>
    <w:rsid w:val="00326FC9"/>
    <w:rsid w:val="003272A5"/>
    <w:rsid w:val="00327B43"/>
    <w:rsid w:val="00327DF3"/>
    <w:rsid w:val="00327E8E"/>
    <w:rsid w:val="003302FD"/>
    <w:rsid w:val="00330AD8"/>
    <w:rsid w:val="00330E19"/>
    <w:rsid w:val="00331141"/>
    <w:rsid w:val="00331279"/>
    <w:rsid w:val="00331756"/>
    <w:rsid w:val="0033284B"/>
    <w:rsid w:val="00332B4D"/>
    <w:rsid w:val="003331E4"/>
    <w:rsid w:val="00333380"/>
    <w:rsid w:val="0033359C"/>
    <w:rsid w:val="00333B98"/>
    <w:rsid w:val="00334231"/>
    <w:rsid w:val="00334608"/>
    <w:rsid w:val="00334C14"/>
    <w:rsid w:val="00334EA6"/>
    <w:rsid w:val="0033572C"/>
    <w:rsid w:val="00335A2B"/>
    <w:rsid w:val="00335C0D"/>
    <w:rsid w:val="0033705F"/>
    <w:rsid w:val="00337272"/>
    <w:rsid w:val="00337BCB"/>
    <w:rsid w:val="00340293"/>
    <w:rsid w:val="0034032F"/>
    <w:rsid w:val="003405AD"/>
    <w:rsid w:val="003405CD"/>
    <w:rsid w:val="00340686"/>
    <w:rsid w:val="00340A7A"/>
    <w:rsid w:val="003410B0"/>
    <w:rsid w:val="00341145"/>
    <w:rsid w:val="003411B7"/>
    <w:rsid w:val="003423F4"/>
    <w:rsid w:val="00342EDF"/>
    <w:rsid w:val="00342F42"/>
    <w:rsid w:val="003438E9"/>
    <w:rsid w:val="003439B2"/>
    <w:rsid w:val="00343A9E"/>
    <w:rsid w:val="003442C6"/>
    <w:rsid w:val="00344758"/>
    <w:rsid w:val="00344E86"/>
    <w:rsid w:val="003452E4"/>
    <w:rsid w:val="0034545C"/>
    <w:rsid w:val="0034569E"/>
    <w:rsid w:val="00345E1B"/>
    <w:rsid w:val="003467D6"/>
    <w:rsid w:val="00346C75"/>
    <w:rsid w:val="00347142"/>
    <w:rsid w:val="003471DD"/>
    <w:rsid w:val="00347452"/>
    <w:rsid w:val="0034758F"/>
    <w:rsid w:val="003476BB"/>
    <w:rsid w:val="003476FC"/>
    <w:rsid w:val="00347876"/>
    <w:rsid w:val="0034789E"/>
    <w:rsid w:val="003478AB"/>
    <w:rsid w:val="003478B3"/>
    <w:rsid w:val="003478D8"/>
    <w:rsid w:val="00347BEF"/>
    <w:rsid w:val="00347D7D"/>
    <w:rsid w:val="0035014F"/>
    <w:rsid w:val="00350426"/>
    <w:rsid w:val="00350813"/>
    <w:rsid w:val="00350B73"/>
    <w:rsid w:val="00350D1B"/>
    <w:rsid w:val="00351428"/>
    <w:rsid w:val="0035164B"/>
    <w:rsid w:val="00351B92"/>
    <w:rsid w:val="00351CD4"/>
    <w:rsid w:val="00352221"/>
    <w:rsid w:val="0035227D"/>
    <w:rsid w:val="0035236B"/>
    <w:rsid w:val="0035237E"/>
    <w:rsid w:val="003524DE"/>
    <w:rsid w:val="00352E79"/>
    <w:rsid w:val="00352F04"/>
    <w:rsid w:val="003532D7"/>
    <w:rsid w:val="00353439"/>
    <w:rsid w:val="00353A3D"/>
    <w:rsid w:val="003541E7"/>
    <w:rsid w:val="00354666"/>
    <w:rsid w:val="003549FB"/>
    <w:rsid w:val="00354E68"/>
    <w:rsid w:val="00355414"/>
    <w:rsid w:val="00355732"/>
    <w:rsid w:val="003558E2"/>
    <w:rsid w:val="00355CAE"/>
    <w:rsid w:val="00355DE8"/>
    <w:rsid w:val="0035612D"/>
    <w:rsid w:val="003565A8"/>
    <w:rsid w:val="003566EA"/>
    <w:rsid w:val="00357858"/>
    <w:rsid w:val="00357AFC"/>
    <w:rsid w:val="00357D19"/>
    <w:rsid w:val="00360BBD"/>
    <w:rsid w:val="00360DD7"/>
    <w:rsid w:val="003610D9"/>
    <w:rsid w:val="00361AB5"/>
    <w:rsid w:val="00361E7A"/>
    <w:rsid w:val="0036219A"/>
    <w:rsid w:val="00362A2C"/>
    <w:rsid w:val="00362E9E"/>
    <w:rsid w:val="00362EEC"/>
    <w:rsid w:val="00362FE4"/>
    <w:rsid w:val="00363092"/>
    <w:rsid w:val="003632CA"/>
    <w:rsid w:val="0036381C"/>
    <w:rsid w:val="003638A3"/>
    <w:rsid w:val="003638EE"/>
    <w:rsid w:val="00363C7C"/>
    <w:rsid w:val="003640C1"/>
    <w:rsid w:val="003642CC"/>
    <w:rsid w:val="00364B1D"/>
    <w:rsid w:val="00364D24"/>
    <w:rsid w:val="0036532A"/>
    <w:rsid w:val="0036542B"/>
    <w:rsid w:val="00365707"/>
    <w:rsid w:val="00365CE3"/>
    <w:rsid w:val="00365F80"/>
    <w:rsid w:val="003666A5"/>
    <w:rsid w:val="00366E96"/>
    <w:rsid w:val="0036742B"/>
    <w:rsid w:val="003675AC"/>
    <w:rsid w:val="0036764D"/>
    <w:rsid w:val="00367A6A"/>
    <w:rsid w:val="003700CE"/>
    <w:rsid w:val="00370806"/>
    <w:rsid w:val="00370C89"/>
    <w:rsid w:val="00370F84"/>
    <w:rsid w:val="0037122C"/>
    <w:rsid w:val="00371570"/>
    <w:rsid w:val="0037182E"/>
    <w:rsid w:val="00371E07"/>
    <w:rsid w:val="00371EE0"/>
    <w:rsid w:val="003721E5"/>
    <w:rsid w:val="003728B3"/>
    <w:rsid w:val="00372C79"/>
    <w:rsid w:val="0037305B"/>
    <w:rsid w:val="003737A7"/>
    <w:rsid w:val="0037390A"/>
    <w:rsid w:val="00373966"/>
    <w:rsid w:val="00373FFB"/>
    <w:rsid w:val="00374FB7"/>
    <w:rsid w:val="00375261"/>
    <w:rsid w:val="00375642"/>
    <w:rsid w:val="00375C1B"/>
    <w:rsid w:val="00376132"/>
    <w:rsid w:val="00376BDA"/>
    <w:rsid w:val="003771A8"/>
    <w:rsid w:val="00377604"/>
    <w:rsid w:val="00377955"/>
    <w:rsid w:val="00377A71"/>
    <w:rsid w:val="00380743"/>
    <w:rsid w:val="003814C0"/>
    <w:rsid w:val="003818D0"/>
    <w:rsid w:val="003824B0"/>
    <w:rsid w:val="00382A8B"/>
    <w:rsid w:val="00382ACF"/>
    <w:rsid w:val="00382DE3"/>
    <w:rsid w:val="00382EF9"/>
    <w:rsid w:val="003833A9"/>
    <w:rsid w:val="003837BD"/>
    <w:rsid w:val="003846B5"/>
    <w:rsid w:val="0038474C"/>
    <w:rsid w:val="003847E1"/>
    <w:rsid w:val="0038486D"/>
    <w:rsid w:val="00384EC3"/>
    <w:rsid w:val="00385183"/>
    <w:rsid w:val="00385AD5"/>
    <w:rsid w:val="00385B29"/>
    <w:rsid w:val="00385D81"/>
    <w:rsid w:val="00385DA2"/>
    <w:rsid w:val="00386616"/>
    <w:rsid w:val="00386B0A"/>
    <w:rsid w:val="00386C2A"/>
    <w:rsid w:val="0038712F"/>
    <w:rsid w:val="003872F4"/>
    <w:rsid w:val="003873B0"/>
    <w:rsid w:val="00387922"/>
    <w:rsid w:val="00387981"/>
    <w:rsid w:val="003879FC"/>
    <w:rsid w:val="00387BFD"/>
    <w:rsid w:val="00390399"/>
    <w:rsid w:val="00390544"/>
    <w:rsid w:val="003909AA"/>
    <w:rsid w:val="00390DB0"/>
    <w:rsid w:val="00391174"/>
    <w:rsid w:val="00391241"/>
    <w:rsid w:val="003915B3"/>
    <w:rsid w:val="00391AF1"/>
    <w:rsid w:val="00391B2F"/>
    <w:rsid w:val="00391CEA"/>
    <w:rsid w:val="00391E57"/>
    <w:rsid w:val="00391F2A"/>
    <w:rsid w:val="0039249F"/>
    <w:rsid w:val="003926F0"/>
    <w:rsid w:val="00392E2F"/>
    <w:rsid w:val="00392F14"/>
    <w:rsid w:val="0039391B"/>
    <w:rsid w:val="00394035"/>
    <w:rsid w:val="003941D2"/>
    <w:rsid w:val="00394CFD"/>
    <w:rsid w:val="00395055"/>
    <w:rsid w:val="00395475"/>
    <w:rsid w:val="003957E5"/>
    <w:rsid w:val="00395B4E"/>
    <w:rsid w:val="00396269"/>
    <w:rsid w:val="0039640A"/>
    <w:rsid w:val="00396615"/>
    <w:rsid w:val="00396C43"/>
    <w:rsid w:val="00396E68"/>
    <w:rsid w:val="003970BE"/>
    <w:rsid w:val="0039728F"/>
    <w:rsid w:val="00397477"/>
    <w:rsid w:val="00397873"/>
    <w:rsid w:val="00397BF9"/>
    <w:rsid w:val="003A0024"/>
    <w:rsid w:val="003A07B6"/>
    <w:rsid w:val="003A0CD8"/>
    <w:rsid w:val="003A0DB3"/>
    <w:rsid w:val="003A13EC"/>
    <w:rsid w:val="003A168E"/>
    <w:rsid w:val="003A19F8"/>
    <w:rsid w:val="003A1EB2"/>
    <w:rsid w:val="003A217F"/>
    <w:rsid w:val="003A23F3"/>
    <w:rsid w:val="003A24A1"/>
    <w:rsid w:val="003A27F1"/>
    <w:rsid w:val="003A2D83"/>
    <w:rsid w:val="003A353B"/>
    <w:rsid w:val="003A356A"/>
    <w:rsid w:val="003A35B0"/>
    <w:rsid w:val="003A3B55"/>
    <w:rsid w:val="003A3F44"/>
    <w:rsid w:val="003A3F82"/>
    <w:rsid w:val="003A419F"/>
    <w:rsid w:val="003A45BB"/>
    <w:rsid w:val="003A45BF"/>
    <w:rsid w:val="003A48B7"/>
    <w:rsid w:val="003A4A31"/>
    <w:rsid w:val="003A4B44"/>
    <w:rsid w:val="003A4B8A"/>
    <w:rsid w:val="003A4FE0"/>
    <w:rsid w:val="003A57FE"/>
    <w:rsid w:val="003A5AE8"/>
    <w:rsid w:val="003A5D5A"/>
    <w:rsid w:val="003A5EFB"/>
    <w:rsid w:val="003A6492"/>
    <w:rsid w:val="003A68AA"/>
    <w:rsid w:val="003A68F0"/>
    <w:rsid w:val="003A6C91"/>
    <w:rsid w:val="003A6D65"/>
    <w:rsid w:val="003A739E"/>
    <w:rsid w:val="003A7752"/>
    <w:rsid w:val="003A790F"/>
    <w:rsid w:val="003A7A0C"/>
    <w:rsid w:val="003A7AC6"/>
    <w:rsid w:val="003B01B6"/>
    <w:rsid w:val="003B068E"/>
    <w:rsid w:val="003B0ADD"/>
    <w:rsid w:val="003B0E24"/>
    <w:rsid w:val="003B0EBC"/>
    <w:rsid w:val="003B11E5"/>
    <w:rsid w:val="003B11F3"/>
    <w:rsid w:val="003B14D4"/>
    <w:rsid w:val="003B20AD"/>
    <w:rsid w:val="003B222B"/>
    <w:rsid w:val="003B22BE"/>
    <w:rsid w:val="003B2E74"/>
    <w:rsid w:val="003B2ECD"/>
    <w:rsid w:val="003B3099"/>
    <w:rsid w:val="003B34C6"/>
    <w:rsid w:val="003B3913"/>
    <w:rsid w:val="003B3CF5"/>
    <w:rsid w:val="003B43A1"/>
    <w:rsid w:val="003B43FA"/>
    <w:rsid w:val="003B4B0A"/>
    <w:rsid w:val="003B4B76"/>
    <w:rsid w:val="003B4BDA"/>
    <w:rsid w:val="003B5989"/>
    <w:rsid w:val="003B5DE2"/>
    <w:rsid w:val="003B60B5"/>
    <w:rsid w:val="003B64B3"/>
    <w:rsid w:val="003B6513"/>
    <w:rsid w:val="003B679A"/>
    <w:rsid w:val="003B6A06"/>
    <w:rsid w:val="003B6E50"/>
    <w:rsid w:val="003B6F63"/>
    <w:rsid w:val="003B7AC8"/>
    <w:rsid w:val="003B7CF0"/>
    <w:rsid w:val="003C014F"/>
    <w:rsid w:val="003C0C36"/>
    <w:rsid w:val="003C0F25"/>
    <w:rsid w:val="003C10FA"/>
    <w:rsid w:val="003C12D4"/>
    <w:rsid w:val="003C19C4"/>
    <w:rsid w:val="003C1A28"/>
    <w:rsid w:val="003C1DF1"/>
    <w:rsid w:val="003C213A"/>
    <w:rsid w:val="003C220C"/>
    <w:rsid w:val="003C24FD"/>
    <w:rsid w:val="003C2683"/>
    <w:rsid w:val="003C29E9"/>
    <w:rsid w:val="003C2C26"/>
    <w:rsid w:val="003C2D40"/>
    <w:rsid w:val="003C32AC"/>
    <w:rsid w:val="003C3540"/>
    <w:rsid w:val="003C362B"/>
    <w:rsid w:val="003C3B51"/>
    <w:rsid w:val="003C44D2"/>
    <w:rsid w:val="003C48C5"/>
    <w:rsid w:val="003C4DFD"/>
    <w:rsid w:val="003C5C6A"/>
    <w:rsid w:val="003C60D8"/>
    <w:rsid w:val="003C6165"/>
    <w:rsid w:val="003C6C4B"/>
    <w:rsid w:val="003C6E2F"/>
    <w:rsid w:val="003C7A80"/>
    <w:rsid w:val="003C7BC2"/>
    <w:rsid w:val="003D050E"/>
    <w:rsid w:val="003D064F"/>
    <w:rsid w:val="003D099D"/>
    <w:rsid w:val="003D0C2C"/>
    <w:rsid w:val="003D109A"/>
    <w:rsid w:val="003D10E5"/>
    <w:rsid w:val="003D111E"/>
    <w:rsid w:val="003D1852"/>
    <w:rsid w:val="003D18CC"/>
    <w:rsid w:val="003D1A42"/>
    <w:rsid w:val="003D1B3C"/>
    <w:rsid w:val="003D20AA"/>
    <w:rsid w:val="003D2707"/>
    <w:rsid w:val="003D27E1"/>
    <w:rsid w:val="003D2BCA"/>
    <w:rsid w:val="003D2BFC"/>
    <w:rsid w:val="003D2BFD"/>
    <w:rsid w:val="003D2D56"/>
    <w:rsid w:val="003D3244"/>
    <w:rsid w:val="003D368D"/>
    <w:rsid w:val="003D390D"/>
    <w:rsid w:val="003D39B0"/>
    <w:rsid w:val="003D3A03"/>
    <w:rsid w:val="003D4610"/>
    <w:rsid w:val="003D4ED4"/>
    <w:rsid w:val="003D4F98"/>
    <w:rsid w:val="003D4FF5"/>
    <w:rsid w:val="003D5143"/>
    <w:rsid w:val="003D5168"/>
    <w:rsid w:val="003D5824"/>
    <w:rsid w:val="003D60FE"/>
    <w:rsid w:val="003D6292"/>
    <w:rsid w:val="003D7E19"/>
    <w:rsid w:val="003E06F2"/>
    <w:rsid w:val="003E0951"/>
    <w:rsid w:val="003E0AD1"/>
    <w:rsid w:val="003E0DDA"/>
    <w:rsid w:val="003E12D1"/>
    <w:rsid w:val="003E15A7"/>
    <w:rsid w:val="003E19C3"/>
    <w:rsid w:val="003E19E1"/>
    <w:rsid w:val="003E1A60"/>
    <w:rsid w:val="003E2046"/>
    <w:rsid w:val="003E224C"/>
    <w:rsid w:val="003E29E8"/>
    <w:rsid w:val="003E2B9B"/>
    <w:rsid w:val="003E2E49"/>
    <w:rsid w:val="003E362A"/>
    <w:rsid w:val="003E371A"/>
    <w:rsid w:val="003E3E36"/>
    <w:rsid w:val="003E3FFE"/>
    <w:rsid w:val="003E4514"/>
    <w:rsid w:val="003E5BF0"/>
    <w:rsid w:val="003E5DEF"/>
    <w:rsid w:val="003E5FCD"/>
    <w:rsid w:val="003E642C"/>
    <w:rsid w:val="003E65CF"/>
    <w:rsid w:val="003E6A3A"/>
    <w:rsid w:val="003E6C19"/>
    <w:rsid w:val="003E6F12"/>
    <w:rsid w:val="003E724A"/>
    <w:rsid w:val="003E7A60"/>
    <w:rsid w:val="003E7AFE"/>
    <w:rsid w:val="003E7FAB"/>
    <w:rsid w:val="003F0451"/>
    <w:rsid w:val="003F0BA4"/>
    <w:rsid w:val="003F1C15"/>
    <w:rsid w:val="003F2187"/>
    <w:rsid w:val="003F248E"/>
    <w:rsid w:val="003F2AD6"/>
    <w:rsid w:val="003F2DAB"/>
    <w:rsid w:val="003F2DE7"/>
    <w:rsid w:val="003F2F0C"/>
    <w:rsid w:val="003F2FCD"/>
    <w:rsid w:val="003F3837"/>
    <w:rsid w:val="003F4AAF"/>
    <w:rsid w:val="003F4C02"/>
    <w:rsid w:val="003F4C37"/>
    <w:rsid w:val="003F5088"/>
    <w:rsid w:val="003F522F"/>
    <w:rsid w:val="003F5577"/>
    <w:rsid w:val="003F5D96"/>
    <w:rsid w:val="003F5E58"/>
    <w:rsid w:val="003F60B8"/>
    <w:rsid w:val="003F69F0"/>
    <w:rsid w:val="003F6AC2"/>
    <w:rsid w:val="003F6C1B"/>
    <w:rsid w:val="003F6D0F"/>
    <w:rsid w:val="003F6F2D"/>
    <w:rsid w:val="003F6FEB"/>
    <w:rsid w:val="003F75B0"/>
    <w:rsid w:val="003F7635"/>
    <w:rsid w:val="003F76DE"/>
    <w:rsid w:val="004002B6"/>
    <w:rsid w:val="00400377"/>
    <w:rsid w:val="00400539"/>
    <w:rsid w:val="00400636"/>
    <w:rsid w:val="004006D2"/>
    <w:rsid w:val="00400961"/>
    <w:rsid w:val="00400A36"/>
    <w:rsid w:val="00400BB1"/>
    <w:rsid w:val="00400C0B"/>
    <w:rsid w:val="00400EC0"/>
    <w:rsid w:val="0040118A"/>
    <w:rsid w:val="004012BF"/>
    <w:rsid w:val="0040164E"/>
    <w:rsid w:val="00401711"/>
    <w:rsid w:val="00401766"/>
    <w:rsid w:val="00401818"/>
    <w:rsid w:val="00401C8D"/>
    <w:rsid w:val="00401E37"/>
    <w:rsid w:val="00401F3C"/>
    <w:rsid w:val="00401F68"/>
    <w:rsid w:val="00402140"/>
    <w:rsid w:val="00402602"/>
    <w:rsid w:val="00402C6B"/>
    <w:rsid w:val="00403802"/>
    <w:rsid w:val="00403B10"/>
    <w:rsid w:val="00403BAB"/>
    <w:rsid w:val="00403D3E"/>
    <w:rsid w:val="004040C7"/>
    <w:rsid w:val="004040E6"/>
    <w:rsid w:val="0040467F"/>
    <w:rsid w:val="00404972"/>
    <w:rsid w:val="0040497E"/>
    <w:rsid w:val="00404A24"/>
    <w:rsid w:val="00404B0A"/>
    <w:rsid w:val="00404C4F"/>
    <w:rsid w:val="0040525D"/>
    <w:rsid w:val="004052B0"/>
    <w:rsid w:val="00405C81"/>
    <w:rsid w:val="004060BC"/>
    <w:rsid w:val="004061E8"/>
    <w:rsid w:val="0040668C"/>
    <w:rsid w:val="00406C6C"/>
    <w:rsid w:val="00406D35"/>
    <w:rsid w:val="0040709D"/>
    <w:rsid w:val="004070C8"/>
    <w:rsid w:val="00407269"/>
    <w:rsid w:val="00407339"/>
    <w:rsid w:val="0040768A"/>
    <w:rsid w:val="004079A7"/>
    <w:rsid w:val="00407A79"/>
    <w:rsid w:val="00407BB6"/>
    <w:rsid w:val="00407DA5"/>
    <w:rsid w:val="004100B4"/>
    <w:rsid w:val="0041030D"/>
    <w:rsid w:val="00410825"/>
    <w:rsid w:val="00410CD7"/>
    <w:rsid w:val="00410D84"/>
    <w:rsid w:val="00410D8C"/>
    <w:rsid w:val="00410DF7"/>
    <w:rsid w:val="00411D95"/>
    <w:rsid w:val="00411F8D"/>
    <w:rsid w:val="00411FE2"/>
    <w:rsid w:val="0041278C"/>
    <w:rsid w:val="004127E9"/>
    <w:rsid w:val="00412C62"/>
    <w:rsid w:val="004133C3"/>
    <w:rsid w:val="00414684"/>
    <w:rsid w:val="004146F6"/>
    <w:rsid w:val="00414856"/>
    <w:rsid w:val="0041487E"/>
    <w:rsid w:val="00414A62"/>
    <w:rsid w:val="00414A96"/>
    <w:rsid w:val="00414B80"/>
    <w:rsid w:val="00415E9F"/>
    <w:rsid w:val="00416432"/>
    <w:rsid w:val="00416A51"/>
    <w:rsid w:val="00416C79"/>
    <w:rsid w:val="00416ED1"/>
    <w:rsid w:val="00416F85"/>
    <w:rsid w:val="004176A5"/>
    <w:rsid w:val="004200FC"/>
    <w:rsid w:val="00420890"/>
    <w:rsid w:val="00420A2A"/>
    <w:rsid w:val="00420E50"/>
    <w:rsid w:val="00421600"/>
    <w:rsid w:val="0042171F"/>
    <w:rsid w:val="0042188F"/>
    <w:rsid w:val="004218DD"/>
    <w:rsid w:val="00421C09"/>
    <w:rsid w:val="00421E49"/>
    <w:rsid w:val="00421FA3"/>
    <w:rsid w:val="00422417"/>
    <w:rsid w:val="0042252B"/>
    <w:rsid w:val="0042303E"/>
    <w:rsid w:val="004235DF"/>
    <w:rsid w:val="00423726"/>
    <w:rsid w:val="00423969"/>
    <w:rsid w:val="0042396F"/>
    <w:rsid w:val="00424171"/>
    <w:rsid w:val="00424233"/>
    <w:rsid w:val="00424286"/>
    <w:rsid w:val="00424725"/>
    <w:rsid w:val="004247C1"/>
    <w:rsid w:val="00424B48"/>
    <w:rsid w:val="0042502C"/>
    <w:rsid w:val="00425392"/>
    <w:rsid w:val="00425559"/>
    <w:rsid w:val="004255A9"/>
    <w:rsid w:val="00425657"/>
    <w:rsid w:val="0042574B"/>
    <w:rsid w:val="00425B62"/>
    <w:rsid w:val="00425D19"/>
    <w:rsid w:val="004268F7"/>
    <w:rsid w:val="00426EC9"/>
    <w:rsid w:val="00426F26"/>
    <w:rsid w:val="004270F0"/>
    <w:rsid w:val="00427299"/>
    <w:rsid w:val="004274FC"/>
    <w:rsid w:val="00427A3D"/>
    <w:rsid w:val="00427D8E"/>
    <w:rsid w:val="0043034A"/>
    <w:rsid w:val="0043057F"/>
    <w:rsid w:val="004306EB"/>
    <w:rsid w:val="004308BF"/>
    <w:rsid w:val="00430A31"/>
    <w:rsid w:val="00430A86"/>
    <w:rsid w:val="00430CF0"/>
    <w:rsid w:val="00431192"/>
    <w:rsid w:val="004315BC"/>
    <w:rsid w:val="00431600"/>
    <w:rsid w:val="00431D8E"/>
    <w:rsid w:val="00431F4C"/>
    <w:rsid w:val="0043203B"/>
    <w:rsid w:val="0043332C"/>
    <w:rsid w:val="0043340F"/>
    <w:rsid w:val="00433C14"/>
    <w:rsid w:val="00433DEC"/>
    <w:rsid w:val="00434DB6"/>
    <w:rsid w:val="00435012"/>
    <w:rsid w:val="00435446"/>
    <w:rsid w:val="00435C8B"/>
    <w:rsid w:val="00435D41"/>
    <w:rsid w:val="00436193"/>
    <w:rsid w:val="004363DC"/>
    <w:rsid w:val="0043681C"/>
    <w:rsid w:val="00436E2C"/>
    <w:rsid w:val="00437323"/>
    <w:rsid w:val="004378FE"/>
    <w:rsid w:val="00437F57"/>
    <w:rsid w:val="00437F8A"/>
    <w:rsid w:val="00440099"/>
    <w:rsid w:val="00440631"/>
    <w:rsid w:val="00440981"/>
    <w:rsid w:val="00440B6E"/>
    <w:rsid w:val="00440FE5"/>
    <w:rsid w:val="00441110"/>
    <w:rsid w:val="00441659"/>
    <w:rsid w:val="00442138"/>
    <w:rsid w:val="00442157"/>
    <w:rsid w:val="0044280B"/>
    <w:rsid w:val="00443308"/>
    <w:rsid w:val="004433A5"/>
    <w:rsid w:val="004434BC"/>
    <w:rsid w:val="004435B7"/>
    <w:rsid w:val="004436C1"/>
    <w:rsid w:val="00443CD2"/>
    <w:rsid w:val="00443FF2"/>
    <w:rsid w:val="00444089"/>
    <w:rsid w:val="004440A4"/>
    <w:rsid w:val="004441C4"/>
    <w:rsid w:val="00444448"/>
    <w:rsid w:val="004444ED"/>
    <w:rsid w:val="0044500A"/>
    <w:rsid w:val="0044543F"/>
    <w:rsid w:val="004457AB"/>
    <w:rsid w:val="004459B4"/>
    <w:rsid w:val="00445ACD"/>
    <w:rsid w:val="00445B3D"/>
    <w:rsid w:val="00445CB5"/>
    <w:rsid w:val="00445EF5"/>
    <w:rsid w:val="004463EE"/>
    <w:rsid w:val="004465C3"/>
    <w:rsid w:val="004466B6"/>
    <w:rsid w:val="0044676B"/>
    <w:rsid w:val="004469B7"/>
    <w:rsid w:val="0044706D"/>
    <w:rsid w:val="00447387"/>
    <w:rsid w:val="004473DE"/>
    <w:rsid w:val="00447A0B"/>
    <w:rsid w:val="00447D09"/>
    <w:rsid w:val="00447F87"/>
    <w:rsid w:val="004501C5"/>
    <w:rsid w:val="004503E5"/>
    <w:rsid w:val="0045080F"/>
    <w:rsid w:val="004509F6"/>
    <w:rsid w:val="00450ADB"/>
    <w:rsid w:val="00450CB0"/>
    <w:rsid w:val="00451E05"/>
    <w:rsid w:val="00452750"/>
    <w:rsid w:val="0045289A"/>
    <w:rsid w:val="00452D85"/>
    <w:rsid w:val="0045310A"/>
    <w:rsid w:val="00453AA3"/>
    <w:rsid w:val="00453CAE"/>
    <w:rsid w:val="00454006"/>
    <w:rsid w:val="0045536D"/>
    <w:rsid w:val="00455A02"/>
    <w:rsid w:val="00455E19"/>
    <w:rsid w:val="00455E86"/>
    <w:rsid w:val="004563D8"/>
    <w:rsid w:val="004565D6"/>
    <w:rsid w:val="00457065"/>
    <w:rsid w:val="00457138"/>
    <w:rsid w:val="00457366"/>
    <w:rsid w:val="004573AA"/>
    <w:rsid w:val="0045750D"/>
    <w:rsid w:val="00457665"/>
    <w:rsid w:val="0045770D"/>
    <w:rsid w:val="00457A98"/>
    <w:rsid w:val="00457EA2"/>
    <w:rsid w:val="004609B0"/>
    <w:rsid w:val="00460EE0"/>
    <w:rsid w:val="00461107"/>
    <w:rsid w:val="004613BF"/>
    <w:rsid w:val="00461996"/>
    <w:rsid w:val="0046206F"/>
    <w:rsid w:val="004626B2"/>
    <w:rsid w:val="00462AF6"/>
    <w:rsid w:val="00463178"/>
    <w:rsid w:val="0046361B"/>
    <w:rsid w:val="004638A9"/>
    <w:rsid w:val="0046437A"/>
    <w:rsid w:val="004644B5"/>
    <w:rsid w:val="00464BFA"/>
    <w:rsid w:val="00464DB7"/>
    <w:rsid w:val="00465089"/>
    <w:rsid w:val="00465481"/>
    <w:rsid w:val="00465800"/>
    <w:rsid w:val="00465DEB"/>
    <w:rsid w:val="004665EA"/>
    <w:rsid w:val="004666D8"/>
    <w:rsid w:val="00467067"/>
    <w:rsid w:val="004679CA"/>
    <w:rsid w:val="00467D1B"/>
    <w:rsid w:val="004701DE"/>
    <w:rsid w:val="004706C9"/>
    <w:rsid w:val="00470782"/>
    <w:rsid w:val="00470C33"/>
    <w:rsid w:val="004712FB"/>
    <w:rsid w:val="00471BB7"/>
    <w:rsid w:val="004723AC"/>
    <w:rsid w:val="00472EFF"/>
    <w:rsid w:val="00472FCE"/>
    <w:rsid w:val="00473183"/>
    <w:rsid w:val="0047325E"/>
    <w:rsid w:val="004732D8"/>
    <w:rsid w:val="00473983"/>
    <w:rsid w:val="004739F3"/>
    <w:rsid w:val="00473A64"/>
    <w:rsid w:val="00473AA2"/>
    <w:rsid w:val="00473EA0"/>
    <w:rsid w:val="00473EE2"/>
    <w:rsid w:val="00474063"/>
    <w:rsid w:val="004743DC"/>
    <w:rsid w:val="004746B2"/>
    <w:rsid w:val="004747CF"/>
    <w:rsid w:val="0047487B"/>
    <w:rsid w:val="004749D5"/>
    <w:rsid w:val="00475327"/>
    <w:rsid w:val="0047535B"/>
    <w:rsid w:val="00475D51"/>
    <w:rsid w:val="00476152"/>
    <w:rsid w:val="0047675C"/>
    <w:rsid w:val="00476793"/>
    <w:rsid w:val="0047709D"/>
    <w:rsid w:val="004772BB"/>
    <w:rsid w:val="00477525"/>
    <w:rsid w:val="0047779D"/>
    <w:rsid w:val="00477B7F"/>
    <w:rsid w:val="00480971"/>
    <w:rsid w:val="00480D66"/>
    <w:rsid w:val="004810CC"/>
    <w:rsid w:val="0048116F"/>
    <w:rsid w:val="0048130B"/>
    <w:rsid w:val="00481381"/>
    <w:rsid w:val="00481420"/>
    <w:rsid w:val="00481521"/>
    <w:rsid w:val="004815A9"/>
    <w:rsid w:val="00481A7A"/>
    <w:rsid w:val="00481B2A"/>
    <w:rsid w:val="00481D32"/>
    <w:rsid w:val="00482091"/>
    <w:rsid w:val="00482628"/>
    <w:rsid w:val="004826EF"/>
    <w:rsid w:val="004827EF"/>
    <w:rsid w:val="00482848"/>
    <w:rsid w:val="00482CE4"/>
    <w:rsid w:val="00482DD8"/>
    <w:rsid w:val="00482F7D"/>
    <w:rsid w:val="00483017"/>
    <w:rsid w:val="004830B8"/>
    <w:rsid w:val="00483B59"/>
    <w:rsid w:val="00483DB8"/>
    <w:rsid w:val="004847DA"/>
    <w:rsid w:val="004848A5"/>
    <w:rsid w:val="00484FCB"/>
    <w:rsid w:val="004855B7"/>
    <w:rsid w:val="00485D48"/>
    <w:rsid w:val="00485DEB"/>
    <w:rsid w:val="00485E3F"/>
    <w:rsid w:val="00486476"/>
    <w:rsid w:val="004864D4"/>
    <w:rsid w:val="00486914"/>
    <w:rsid w:val="00486995"/>
    <w:rsid w:val="00486B4C"/>
    <w:rsid w:val="00486C5B"/>
    <w:rsid w:val="004870F1"/>
    <w:rsid w:val="0048719E"/>
    <w:rsid w:val="004873B7"/>
    <w:rsid w:val="00487743"/>
    <w:rsid w:val="0048774D"/>
    <w:rsid w:val="0048796A"/>
    <w:rsid w:val="00487CE0"/>
    <w:rsid w:val="00487D82"/>
    <w:rsid w:val="00490176"/>
    <w:rsid w:val="0049085D"/>
    <w:rsid w:val="00490CC0"/>
    <w:rsid w:val="00490D9E"/>
    <w:rsid w:val="00491C8B"/>
    <w:rsid w:val="0049210A"/>
    <w:rsid w:val="00492334"/>
    <w:rsid w:val="00492E8D"/>
    <w:rsid w:val="004932EB"/>
    <w:rsid w:val="004936A0"/>
    <w:rsid w:val="00493B48"/>
    <w:rsid w:val="00493C20"/>
    <w:rsid w:val="00493DC6"/>
    <w:rsid w:val="00493FCB"/>
    <w:rsid w:val="004942BE"/>
    <w:rsid w:val="004947CF"/>
    <w:rsid w:val="004949C4"/>
    <w:rsid w:val="00495166"/>
    <w:rsid w:val="004959AF"/>
    <w:rsid w:val="00495C9B"/>
    <w:rsid w:val="00495FC9"/>
    <w:rsid w:val="00496455"/>
    <w:rsid w:val="00496795"/>
    <w:rsid w:val="00496EBE"/>
    <w:rsid w:val="00497250"/>
    <w:rsid w:val="004976B7"/>
    <w:rsid w:val="004977F9"/>
    <w:rsid w:val="00497CBB"/>
    <w:rsid w:val="00497D15"/>
    <w:rsid w:val="00497DA5"/>
    <w:rsid w:val="004A02C1"/>
    <w:rsid w:val="004A0505"/>
    <w:rsid w:val="004A0945"/>
    <w:rsid w:val="004A0AEC"/>
    <w:rsid w:val="004A117C"/>
    <w:rsid w:val="004A1259"/>
    <w:rsid w:val="004A136E"/>
    <w:rsid w:val="004A187B"/>
    <w:rsid w:val="004A1A86"/>
    <w:rsid w:val="004A1ACF"/>
    <w:rsid w:val="004A2092"/>
    <w:rsid w:val="004A2593"/>
    <w:rsid w:val="004A2B0A"/>
    <w:rsid w:val="004A2C68"/>
    <w:rsid w:val="004A2D3C"/>
    <w:rsid w:val="004A351F"/>
    <w:rsid w:val="004A38FA"/>
    <w:rsid w:val="004A393E"/>
    <w:rsid w:val="004A39DB"/>
    <w:rsid w:val="004A3EEB"/>
    <w:rsid w:val="004A3FF6"/>
    <w:rsid w:val="004A4C89"/>
    <w:rsid w:val="004A4F80"/>
    <w:rsid w:val="004A5698"/>
    <w:rsid w:val="004A5D32"/>
    <w:rsid w:val="004A620D"/>
    <w:rsid w:val="004A66C1"/>
    <w:rsid w:val="004A698F"/>
    <w:rsid w:val="004A69EF"/>
    <w:rsid w:val="004A6A76"/>
    <w:rsid w:val="004A7092"/>
    <w:rsid w:val="004A76E9"/>
    <w:rsid w:val="004A77C9"/>
    <w:rsid w:val="004A7AEE"/>
    <w:rsid w:val="004A7BE8"/>
    <w:rsid w:val="004A7F00"/>
    <w:rsid w:val="004B0130"/>
    <w:rsid w:val="004B0312"/>
    <w:rsid w:val="004B076A"/>
    <w:rsid w:val="004B1132"/>
    <w:rsid w:val="004B139D"/>
    <w:rsid w:val="004B1927"/>
    <w:rsid w:val="004B1CDE"/>
    <w:rsid w:val="004B20C6"/>
    <w:rsid w:val="004B224F"/>
    <w:rsid w:val="004B24E9"/>
    <w:rsid w:val="004B274E"/>
    <w:rsid w:val="004B285A"/>
    <w:rsid w:val="004B2B74"/>
    <w:rsid w:val="004B2FDF"/>
    <w:rsid w:val="004B322B"/>
    <w:rsid w:val="004B34F8"/>
    <w:rsid w:val="004B38A0"/>
    <w:rsid w:val="004B3D50"/>
    <w:rsid w:val="004B40A5"/>
    <w:rsid w:val="004B46AE"/>
    <w:rsid w:val="004B4825"/>
    <w:rsid w:val="004B49D5"/>
    <w:rsid w:val="004B4FFB"/>
    <w:rsid w:val="004B52F7"/>
    <w:rsid w:val="004B5A67"/>
    <w:rsid w:val="004B5DDB"/>
    <w:rsid w:val="004B6018"/>
    <w:rsid w:val="004B60EF"/>
    <w:rsid w:val="004B6184"/>
    <w:rsid w:val="004B6284"/>
    <w:rsid w:val="004B6A80"/>
    <w:rsid w:val="004B6CA1"/>
    <w:rsid w:val="004B7172"/>
    <w:rsid w:val="004B7199"/>
    <w:rsid w:val="004B71C2"/>
    <w:rsid w:val="004B77F8"/>
    <w:rsid w:val="004B7957"/>
    <w:rsid w:val="004B7B81"/>
    <w:rsid w:val="004C021A"/>
    <w:rsid w:val="004C0223"/>
    <w:rsid w:val="004C04EB"/>
    <w:rsid w:val="004C0527"/>
    <w:rsid w:val="004C092D"/>
    <w:rsid w:val="004C0B9A"/>
    <w:rsid w:val="004C0CA1"/>
    <w:rsid w:val="004C0CFF"/>
    <w:rsid w:val="004C0D66"/>
    <w:rsid w:val="004C129F"/>
    <w:rsid w:val="004C152E"/>
    <w:rsid w:val="004C1651"/>
    <w:rsid w:val="004C1712"/>
    <w:rsid w:val="004C1CFF"/>
    <w:rsid w:val="004C1E25"/>
    <w:rsid w:val="004C2467"/>
    <w:rsid w:val="004C2BAD"/>
    <w:rsid w:val="004C2BFF"/>
    <w:rsid w:val="004C2C2B"/>
    <w:rsid w:val="004C2E21"/>
    <w:rsid w:val="004C30F8"/>
    <w:rsid w:val="004C31BF"/>
    <w:rsid w:val="004C383E"/>
    <w:rsid w:val="004C3B62"/>
    <w:rsid w:val="004C3E0B"/>
    <w:rsid w:val="004C43E8"/>
    <w:rsid w:val="004C4416"/>
    <w:rsid w:val="004C477A"/>
    <w:rsid w:val="004C4FB6"/>
    <w:rsid w:val="004C54BF"/>
    <w:rsid w:val="004C55EF"/>
    <w:rsid w:val="004C5765"/>
    <w:rsid w:val="004C5DC8"/>
    <w:rsid w:val="004C5EEB"/>
    <w:rsid w:val="004C6062"/>
    <w:rsid w:val="004C6432"/>
    <w:rsid w:val="004C6785"/>
    <w:rsid w:val="004C6863"/>
    <w:rsid w:val="004C69EB"/>
    <w:rsid w:val="004C6B85"/>
    <w:rsid w:val="004C6D9C"/>
    <w:rsid w:val="004C6EAB"/>
    <w:rsid w:val="004C7202"/>
    <w:rsid w:val="004C7392"/>
    <w:rsid w:val="004C7412"/>
    <w:rsid w:val="004C7570"/>
    <w:rsid w:val="004C759E"/>
    <w:rsid w:val="004C75A9"/>
    <w:rsid w:val="004C7761"/>
    <w:rsid w:val="004C79AF"/>
    <w:rsid w:val="004C7BD9"/>
    <w:rsid w:val="004D006A"/>
    <w:rsid w:val="004D023B"/>
    <w:rsid w:val="004D04BF"/>
    <w:rsid w:val="004D05D4"/>
    <w:rsid w:val="004D0630"/>
    <w:rsid w:val="004D063F"/>
    <w:rsid w:val="004D0952"/>
    <w:rsid w:val="004D0B27"/>
    <w:rsid w:val="004D0C7A"/>
    <w:rsid w:val="004D0DFF"/>
    <w:rsid w:val="004D1018"/>
    <w:rsid w:val="004D158D"/>
    <w:rsid w:val="004D1BC4"/>
    <w:rsid w:val="004D1CF3"/>
    <w:rsid w:val="004D1F86"/>
    <w:rsid w:val="004D25DF"/>
    <w:rsid w:val="004D28F9"/>
    <w:rsid w:val="004D2923"/>
    <w:rsid w:val="004D31BF"/>
    <w:rsid w:val="004D337E"/>
    <w:rsid w:val="004D3D40"/>
    <w:rsid w:val="004D3DF8"/>
    <w:rsid w:val="004D4C58"/>
    <w:rsid w:val="004D5124"/>
    <w:rsid w:val="004D57AA"/>
    <w:rsid w:val="004D5978"/>
    <w:rsid w:val="004D5ED8"/>
    <w:rsid w:val="004D648F"/>
    <w:rsid w:val="004D6E6C"/>
    <w:rsid w:val="004D6EBF"/>
    <w:rsid w:val="004D76A1"/>
    <w:rsid w:val="004D7951"/>
    <w:rsid w:val="004E0B64"/>
    <w:rsid w:val="004E0DFF"/>
    <w:rsid w:val="004E1285"/>
    <w:rsid w:val="004E14CA"/>
    <w:rsid w:val="004E18C3"/>
    <w:rsid w:val="004E1AB8"/>
    <w:rsid w:val="004E2030"/>
    <w:rsid w:val="004E25C6"/>
    <w:rsid w:val="004E27A8"/>
    <w:rsid w:val="004E293E"/>
    <w:rsid w:val="004E2A67"/>
    <w:rsid w:val="004E2F2B"/>
    <w:rsid w:val="004E343B"/>
    <w:rsid w:val="004E4121"/>
    <w:rsid w:val="004E413B"/>
    <w:rsid w:val="004E4467"/>
    <w:rsid w:val="004E4A64"/>
    <w:rsid w:val="004E4E0E"/>
    <w:rsid w:val="004E537F"/>
    <w:rsid w:val="004E580E"/>
    <w:rsid w:val="004E59F8"/>
    <w:rsid w:val="004E5B1D"/>
    <w:rsid w:val="004E6297"/>
    <w:rsid w:val="004E6317"/>
    <w:rsid w:val="004E6AB3"/>
    <w:rsid w:val="004E6CB0"/>
    <w:rsid w:val="004E6CE9"/>
    <w:rsid w:val="004E722D"/>
    <w:rsid w:val="004E736F"/>
    <w:rsid w:val="004E7425"/>
    <w:rsid w:val="004E7563"/>
    <w:rsid w:val="004E7ABB"/>
    <w:rsid w:val="004E7BF4"/>
    <w:rsid w:val="004E7C13"/>
    <w:rsid w:val="004F01CB"/>
    <w:rsid w:val="004F0C1D"/>
    <w:rsid w:val="004F1021"/>
    <w:rsid w:val="004F1366"/>
    <w:rsid w:val="004F144E"/>
    <w:rsid w:val="004F14B5"/>
    <w:rsid w:val="004F1C7C"/>
    <w:rsid w:val="004F1EAF"/>
    <w:rsid w:val="004F1ED0"/>
    <w:rsid w:val="004F2096"/>
    <w:rsid w:val="004F2674"/>
    <w:rsid w:val="004F285C"/>
    <w:rsid w:val="004F29DB"/>
    <w:rsid w:val="004F2C85"/>
    <w:rsid w:val="004F2DE3"/>
    <w:rsid w:val="004F31A7"/>
    <w:rsid w:val="004F35A8"/>
    <w:rsid w:val="004F37ED"/>
    <w:rsid w:val="004F3A64"/>
    <w:rsid w:val="004F3DE7"/>
    <w:rsid w:val="004F3FA0"/>
    <w:rsid w:val="004F402E"/>
    <w:rsid w:val="004F444C"/>
    <w:rsid w:val="004F44AF"/>
    <w:rsid w:val="004F458C"/>
    <w:rsid w:val="004F4EE7"/>
    <w:rsid w:val="004F5221"/>
    <w:rsid w:val="004F5D3C"/>
    <w:rsid w:val="004F5E38"/>
    <w:rsid w:val="004F5F8B"/>
    <w:rsid w:val="004F6264"/>
    <w:rsid w:val="004F66FC"/>
    <w:rsid w:val="004F67B2"/>
    <w:rsid w:val="004F6ADC"/>
    <w:rsid w:val="004F6B16"/>
    <w:rsid w:val="004F6F3E"/>
    <w:rsid w:val="004F6F78"/>
    <w:rsid w:val="004F744F"/>
    <w:rsid w:val="004F7B7B"/>
    <w:rsid w:val="00500413"/>
    <w:rsid w:val="00500453"/>
    <w:rsid w:val="00500483"/>
    <w:rsid w:val="005009BA"/>
    <w:rsid w:val="00500EC0"/>
    <w:rsid w:val="0050137C"/>
    <w:rsid w:val="0050163B"/>
    <w:rsid w:val="00501B13"/>
    <w:rsid w:val="00501DB6"/>
    <w:rsid w:val="005021A1"/>
    <w:rsid w:val="00502B17"/>
    <w:rsid w:val="00502B21"/>
    <w:rsid w:val="00502FEF"/>
    <w:rsid w:val="00503328"/>
    <w:rsid w:val="0050373B"/>
    <w:rsid w:val="005038E5"/>
    <w:rsid w:val="00503915"/>
    <w:rsid w:val="00503FF7"/>
    <w:rsid w:val="00504175"/>
    <w:rsid w:val="005046C4"/>
    <w:rsid w:val="00504E4C"/>
    <w:rsid w:val="00505872"/>
    <w:rsid w:val="00505C0B"/>
    <w:rsid w:val="00505C70"/>
    <w:rsid w:val="00505EA5"/>
    <w:rsid w:val="00506264"/>
    <w:rsid w:val="005069BE"/>
    <w:rsid w:val="00506B20"/>
    <w:rsid w:val="005071A2"/>
    <w:rsid w:val="005075BE"/>
    <w:rsid w:val="005076A5"/>
    <w:rsid w:val="00507CFD"/>
    <w:rsid w:val="005101AF"/>
    <w:rsid w:val="00510390"/>
    <w:rsid w:val="00510653"/>
    <w:rsid w:val="00510EF6"/>
    <w:rsid w:val="00510FCA"/>
    <w:rsid w:val="00511123"/>
    <w:rsid w:val="0051178C"/>
    <w:rsid w:val="0051182F"/>
    <w:rsid w:val="0051189A"/>
    <w:rsid w:val="00511968"/>
    <w:rsid w:val="0051197E"/>
    <w:rsid w:val="00511A2C"/>
    <w:rsid w:val="00512246"/>
    <w:rsid w:val="0051236F"/>
    <w:rsid w:val="005123C2"/>
    <w:rsid w:val="005123F0"/>
    <w:rsid w:val="005124E1"/>
    <w:rsid w:val="00512BBC"/>
    <w:rsid w:val="00512C2F"/>
    <w:rsid w:val="00512C78"/>
    <w:rsid w:val="00512EC8"/>
    <w:rsid w:val="00513540"/>
    <w:rsid w:val="00513941"/>
    <w:rsid w:val="00513B99"/>
    <w:rsid w:val="00513BB7"/>
    <w:rsid w:val="00513E24"/>
    <w:rsid w:val="005140B4"/>
    <w:rsid w:val="005142E0"/>
    <w:rsid w:val="00514481"/>
    <w:rsid w:val="00514C53"/>
    <w:rsid w:val="005156A0"/>
    <w:rsid w:val="005159B8"/>
    <w:rsid w:val="00515BBA"/>
    <w:rsid w:val="00517316"/>
    <w:rsid w:val="00517DCB"/>
    <w:rsid w:val="00520970"/>
    <w:rsid w:val="00520A8C"/>
    <w:rsid w:val="00520DC5"/>
    <w:rsid w:val="00521404"/>
    <w:rsid w:val="00521554"/>
    <w:rsid w:val="0052163C"/>
    <w:rsid w:val="00521D6C"/>
    <w:rsid w:val="00521DFD"/>
    <w:rsid w:val="00521EBB"/>
    <w:rsid w:val="005224B7"/>
    <w:rsid w:val="005225C1"/>
    <w:rsid w:val="005226B2"/>
    <w:rsid w:val="00522A96"/>
    <w:rsid w:val="00522C3D"/>
    <w:rsid w:val="00522CBF"/>
    <w:rsid w:val="00523C2C"/>
    <w:rsid w:val="00523EFB"/>
    <w:rsid w:val="005245A9"/>
    <w:rsid w:val="00524AC9"/>
    <w:rsid w:val="00524D8A"/>
    <w:rsid w:val="005259B2"/>
    <w:rsid w:val="00525A4E"/>
    <w:rsid w:val="0052609E"/>
    <w:rsid w:val="005264CA"/>
    <w:rsid w:val="00526558"/>
    <w:rsid w:val="005266C0"/>
    <w:rsid w:val="005269F1"/>
    <w:rsid w:val="00526F35"/>
    <w:rsid w:val="005274D6"/>
    <w:rsid w:val="00527C53"/>
    <w:rsid w:val="00527E7A"/>
    <w:rsid w:val="00527E92"/>
    <w:rsid w:val="0053051D"/>
    <w:rsid w:val="0053076B"/>
    <w:rsid w:val="00530CB4"/>
    <w:rsid w:val="005310F7"/>
    <w:rsid w:val="005313CA"/>
    <w:rsid w:val="0053191A"/>
    <w:rsid w:val="00531AE9"/>
    <w:rsid w:val="005323DF"/>
    <w:rsid w:val="00532781"/>
    <w:rsid w:val="00532AEA"/>
    <w:rsid w:val="00532DD5"/>
    <w:rsid w:val="0053310E"/>
    <w:rsid w:val="005333ED"/>
    <w:rsid w:val="0053361F"/>
    <w:rsid w:val="0053386F"/>
    <w:rsid w:val="00533DF7"/>
    <w:rsid w:val="00533E5A"/>
    <w:rsid w:val="00533F27"/>
    <w:rsid w:val="00533FA5"/>
    <w:rsid w:val="00534043"/>
    <w:rsid w:val="0053408D"/>
    <w:rsid w:val="00534123"/>
    <w:rsid w:val="00534173"/>
    <w:rsid w:val="00534492"/>
    <w:rsid w:val="005347A4"/>
    <w:rsid w:val="005348D7"/>
    <w:rsid w:val="00535220"/>
    <w:rsid w:val="005353BF"/>
    <w:rsid w:val="005357E4"/>
    <w:rsid w:val="00535BF8"/>
    <w:rsid w:val="00535FC0"/>
    <w:rsid w:val="0053641D"/>
    <w:rsid w:val="00536AD6"/>
    <w:rsid w:val="00537048"/>
    <w:rsid w:val="0053724E"/>
    <w:rsid w:val="00537964"/>
    <w:rsid w:val="00537B24"/>
    <w:rsid w:val="00537C5F"/>
    <w:rsid w:val="00537E4E"/>
    <w:rsid w:val="00537E8B"/>
    <w:rsid w:val="00540193"/>
    <w:rsid w:val="00540C3C"/>
    <w:rsid w:val="00540C7A"/>
    <w:rsid w:val="00541110"/>
    <w:rsid w:val="005413B2"/>
    <w:rsid w:val="00541A9F"/>
    <w:rsid w:val="00541B82"/>
    <w:rsid w:val="005428F8"/>
    <w:rsid w:val="00542D88"/>
    <w:rsid w:val="00542EB4"/>
    <w:rsid w:val="005430C4"/>
    <w:rsid w:val="005430F8"/>
    <w:rsid w:val="00543586"/>
    <w:rsid w:val="005436F7"/>
    <w:rsid w:val="00543816"/>
    <w:rsid w:val="00543F5C"/>
    <w:rsid w:val="00544134"/>
    <w:rsid w:val="00544C20"/>
    <w:rsid w:val="00545466"/>
    <w:rsid w:val="0054562D"/>
    <w:rsid w:val="005458AF"/>
    <w:rsid w:val="00545A09"/>
    <w:rsid w:val="00545D72"/>
    <w:rsid w:val="00545F38"/>
    <w:rsid w:val="00546433"/>
    <w:rsid w:val="00546616"/>
    <w:rsid w:val="00546894"/>
    <w:rsid w:val="005469F5"/>
    <w:rsid w:val="00546CFF"/>
    <w:rsid w:val="00546EAB"/>
    <w:rsid w:val="005501F9"/>
    <w:rsid w:val="005505B4"/>
    <w:rsid w:val="0055061A"/>
    <w:rsid w:val="005517CC"/>
    <w:rsid w:val="00551ADA"/>
    <w:rsid w:val="00551FC6"/>
    <w:rsid w:val="005520D3"/>
    <w:rsid w:val="0055226F"/>
    <w:rsid w:val="00552724"/>
    <w:rsid w:val="005528AE"/>
    <w:rsid w:val="00552F88"/>
    <w:rsid w:val="00552F99"/>
    <w:rsid w:val="0055308D"/>
    <w:rsid w:val="0055309E"/>
    <w:rsid w:val="0055355B"/>
    <w:rsid w:val="00553801"/>
    <w:rsid w:val="005538BE"/>
    <w:rsid w:val="00553930"/>
    <w:rsid w:val="00553B0B"/>
    <w:rsid w:val="00553BBB"/>
    <w:rsid w:val="00555168"/>
    <w:rsid w:val="0055562B"/>
    <w:rsid w:val="00555B7D"/>
    <w:rsid w:val="00555EDD"/>
    <w:rsid w:val="00556086"/>
    <w:rsid w:val="00556408"/>
    <w:rsid w:val="0055685B"/>
    <w:rsid w:val="00556F15"/>
    <w:rsid w:val="0055733D"/>
    <w:rsid w:val="005573A2"/>
    <w:rsid w:val="005575AC"/>
    <w:rsid w:val="00557AC0"/>
    <w:rsid w:val="0056019A"/>
    <w:rsid w:val="005603C7"/>
    <w:rsid w:val="0056121A"/>
    <w:rsid w:val="00561470"/>
    <w:rsid w:val="00561C8F"/>
    <w:rsid w:val="00562073"/>
    <w:rsid w:val="00562682"/>
    <w:rsid w:val="00562E66"/>
    <w:rsid w:val="00562F65"/>
    <w:rsid w:val="005632FF"/>
    <w:rsid w:val="005634F3"/>
    <w:rsid w:val="00563634"/>
    <w:rsid w:val="00563D1A"/>
    <w:rsid w:val="00564067"/>
    <w:rsid w:val="00564208"/>
    <w:rsid w:val="0056451F"/>
    <w:rsid w:val="0056466C"/>
    <w:rsid w:val="005652EE"/>
    <w:rsid w:val="00565400"/>
    <w:rsid w:val="0056546E"/>
    <w:rsid w:val="005654E5"/>
    <w:rsid w:val="00565C47"/>
    <w:rsid w:val="00565DAD"/>
    <w:rsid w:val="00565E64"/>
    <w:rsid w:val="00566288"/>
    <w:rsid w:val="00566875"/>
    <w:rsid w:val="00566DEC"/>
    <w:rsid w:val="00567118"/>
    <w:rsid w:val="00567310"/>
    <w:rsid w:val="005677D6"/>
    <w:rsid w:val="00567A46"/>
    <w:rsid w:val="00570195"/>
    <w:rsid w:val="0057037D"/>
    <w:rsid w:val="00570740"/>
    <w:rsid w:val="0057079C"/>
    <w:rsid w:val="00570842"/>
    <w:rsid w:val="00570BCC"/>
    <w:rsid w:val="00570CBD"/>
    <w:rsid w:val="00570EC8"/>
    <w:rsid w:val="00571C52"/>
    <w:rsid w:val="00571CEB"/>
    <w:rsid w:val="00571EEF"/>
    <w:rsid w:val="0057227C"/>
    <w:rsid w:val="00572C45"/>
    <w:rsid w:val="00573131"/>
    <w:rsid w:val="005731C6"/>
    <w:rsid w:val="00573768"/>
    <w:rsid w:val="00573A62"/>
    <w:rsid w:val="00573FDF"/>
    <w:rsid w:val="005741F8"/>
    <w:rsid w:val="00574368"/>
    <w:rsid w:val="005743B7"/>
    <w:rsid w:val="00574C65"/>
    <w:rsid w:val="00574F3F"/>
    <w:rsid w:val="00575332"/>
    <w:rsid w:val="00575452"/>
    <w:rsid w:val="00575799"/>
    <w:rsid w:val="005757CF"/>
    <w:rsid w:val="00576156"/>
    <w:rsid w:val="00576316"/>
    <w:rsid w:val="0057635E"/>
    <w:rsid w:val="005768E6"/>
    <w:rsid w:val="00576C6F"/>
    <w:rsid w:val="00576CA9"/>
    <w:rsid w:val="00576FA4"/>
    <w:rsid w:val="0057704C"/>
    <w:rsid w:val="00577378"/>
    <w:rsid w:val="00577940"/>
    <w:rsid w:val="00577EED"/>
    <w:rsid w:val="005800FF"/>
    <w:rsid w:val="00580609"/>
    <w:rsid w:val="005809B8"/>
    <w:rsid w:val="00580A4C"/>
    <w:rsid w:val="005811E9"/>
    <w:rsid w:val="005812E7"/>
    <w:rsid w:val="0058178F"/>
    <w:rsid w:val="00581927"/>
    <w:rsid w:val="00581CDD"/>
    <w:rsid w:val="00581F19"/>
    <w:rsid w:val="005825EB"/>
    <w:rsid w:val="0058269E"/>
    <w:rsid w:val="005832C0"/>
    <w:rsid w:val="005833A3"/>
    <w:rsid w:val="00583D20"/>
    <w:rsid w:val="00583F2E"/>
    <w:rsid w:val="00583F94"/>
    <w:rsid w:val="00584173"/>
    <w:rsid w:val="005842C0"/>
    <w:rsid w:val="00584398"/>
    <w:rsid w:val="00584748"/>
    <w:rsid w:val="005849CC"/>
    <w:rsid w:val="0058513C"/>
    <w:rsid w:val="005851D8"/>
    <w:rsid w:val="0058558E"/>
    <w:rsid w:val="0058581C"/>
    <w:rsid w:val="005858E8"/>
    <w:rsid w:val="00586943"/>
    <w:rsid w:val="00586A84"/>
    <w:rsid w:val="00586C01"/>
    <w:rsid w:val="00587342"/>
    <w:rsid w:val="00587AB4"/>
    <w:rsid w:val="00587C72"/>
    <w:rsid w:val="00587CC0"/>
    <w:rsid w:val="005900BB"/>
    <w:rsid w:val="0059026C"/>
    <w:rsid w:val="0059033C"/>
    <w:rsid w:val="0059054A"/>
    <w:rsid w:val="005909FF"/>
    <w:rsid w:val="005911EA"/>
    <w:rsid w:val="005916EC"/>
    <w:rsid w:val="00591951"/>
    <w:rsid w:val="00592087"/>
    <w:rsid w:val="00592217"/>
    <w:rsid w:val="0059222A"/>
    <w:rsid w:val="005923EB"/>
    <w:rsid w:val="005924C1"/>
    <w:rsid w:val="0059269D"/>
    <w:rsid w:val="00592A58"/>
    <w:rsid w:val="00592CA4"/>
    <w:rsid w:val="0059379B"/>
    <w:rsid w:val="00593909"/>
    <w:rsid w:val="0059409B"/>
    <w:rsid w:val="00594391"/>
    <w:rsid w:val="0059454B"/>
    <w:rsid w:val="00595CB7"/>
    <w:rsid w:val="005962D5"/>
    <w:rsid w:val="00596532"/>
    <w:rsid w:val="005967F1"/>
    <w:rsid w:val="00596833"/>
    <w:rsid w:val="00596A95"/>
    <w:rsid w:val="00596C4E"/>
    <w:rsid w:val="00597290"/>
    <w:rsid w:val="005978CD"/>
    <w:rsid w:val="00597DC0"/>
    <w:rsid w:val="00597E61"/>
    <w:rsid w:val="00597F94"/>
    <w:rsid w:val="005A00C5"/>
    <w:rsid w:val="005A0964"/>
    <w:rsid w:val="005A0B78"/>
    <w:rsid w:val="005A118B"/>
    <w:rsid w:val="005A13EB"/>
    <w:rsid w:val="005A1498"/>
    <w:rsid w:val="005A180F"/>
    <w:rsid w:val="005A1C69"/>
    <w:rsid w:val="005A1FD9"/>
    <w:rsid w:val="005A204A"/>
    <w:rsid w:val="005A204E"/>
    <w:rsid w:val="005A2066"/>
    <w:rsid w:val="005A2201"/>
    <w:rsid w:val="005A230F"/>
    <w:rsid w:val="005A258B"/>
    <w:rsid w:val="005A29D4"/>
    <w:rsid w:val="005A2F19"/>
    <w:rsid w:val="005A393E"/>
    <w:rsid w:val="005A3AEE"/>
    <w:rsid w:val="005A3E78"/>
    <w:rsid w:val="005A3EA2"/>
    <w:rsid w:val="005A406D"/>
    <w:rsid w:val="005A41AC"/>
    <w:rsid w:val="005A4862"/>
    <w:rsid w:val="005A48A1"/>
    <w:rsid w:val="005A4E69"/>
    <w:rsid w:val="005A5F1E"/>
    <w:rsid w:val="005A5F79"/>
    <w:rsid w:val="005A67BF"/>
    <w:rsid w:val="005A68B1"/>
    <w:rsid w:val="005A6C34"/>
    <w:rsid w:val="005A775E"/>
    <w:rsid w:val="005A7C6C"/>
    <w:rsid w:val="005B0006"/>
    <w:rsid w:val="005B0E5A"/>
    <w:rsid w:val="005B0F4C"/>
    <w:rsid w:val="005B1FD3"/>
    <w:rsid w:val="005B2749"/>
    <w:rsid w:val="005B2AD0"/>
    <w:rsid w:val="005B36F6"/>
    <w:rsid w:val="005B3709"/>
    <w:rsid w:val="005B3AAE"/>
    <w:rsid w:val="005B3CD8"/>
    <w:rsid w:val="005B4427"/>
    <w:rsid w:val="005B4B79"/>
    <w:rsid w:val="005B4C63"/>
    <w:rsid w:val="005B517B"/>
    <w:rsid w:val="005B5859"/>
    <w:rsid w:val="005B59A9"/>
    <w:rsid w:val="005B5A61"/>
    <w:rsid w:val="005B5C4C"/>
    <w:rsid w:val="005B5D18"/>
    <w:rsid w:val="005B5FFE"/>
    <w:rsid w:val="005B672D"/>
    <w:rsid w:val="005B69E2"/>
    <w:rsid w:val="005B752F"/>
    <w:rsid w:val="005B7A82"/>
    <w:rsid w:val="005B7FE1"/>
    <w:rsid w:val="005C02C5"/>
    <w:rsid w:val="005C0453"/>
    <w:rsid w:val="005C0C88"/>
    <w:rsid w:val="005C0ED0"/>
    <w:rsid w:val="005C10A6"/>
    <w:rsid w:val="005C13B8"/>
    <w:rsid w:val="005C13BF"/>
    <w:rsid w:val="005C1684"/>
    <w:rsid w:val="005C1B20"/>
    <w:rsid w:val="005C1D5B"/>
    <w:rsid w:val="005C20BF"/>
    <w:rsid w:val="005C2558"/>
    <w:rsid w:val="005C2D32"/>
    <w:rsid w:val="005C2ECF"/>
    <w:rsid w:val="005C311A"/>
    <w:rsid w:val="005C31C1"/>
    <w:rsid w:val="005C325E"/>
    <w:rsid w:val="005C380F"/>
    <w:rsid w:val="005C3BFB"/>
    <w:rsid w:val="005C3D5D"/>
    <w:rsid w:val="005C403F"/>
    <w:rsid w:val="005C419D"/>
    <w:rsid w:val="005C4346"/>
    <w:rsid w:val="005C44A8"/>
    <w:rsid w:val="005C47B4"/>
    <w:rsid w:val="005C4905"/>
    <w:rsid w:val="005C4B7D"/>
    <w:rsid w:val="005C4F66"/>
    <w:rsid w:val="005C4FB1"/>
    <w:rsid w:val="005C565C"/>
    <w:rsid w:val="005C569D"/>
    <w:rsid w:val="005C56EE"/>
    <w:rsid w:val="005C570C"/>
    <w:rsid w:val="005C5D41"/>
    <w:rsid w:val="005C5D58"/>
    <w:rsid w:val="005C5F26"/>
    <w:rsid w:val="005C6086"/>
    <w:rsid w:val="005C61B8"/>
    <w:rsid w:val="005C63A7"/>
    <w:rsid w:val="005C6598"/>
    <w:rsid w:val="005C66B4"/>
    <w:rsid w:val="005C66D2"/>
    <w:rsid w:val="005C6797"/>
    <w:rsid w:val="005C6B16"/>
    <w:rsid w:val="005C7271"/>
    <w:rsid w:val="005C75F8"/>
    <w:rsid w:val="005C7772"/>
    <w:rsid w:val="005C78C3"/>
    <w:rsid w:val="005C7A05"/>
    <w:rsid w:val="005C7A14"/>
    <w:rsid w:val="005D01A0"/>
    <w:rsid w:val="005D0BEA"/>
    <w:rsid w:val="005D10D4"/>
    <w:rsid w:val="005D1347"/>
    <w:rsid w:val="005D1F34"/>
    <w:rsid w:val="005D2414"/>
    <w:rsid w:val="005D2A73"/>
    <w:rsid w:val="005D2BAD"/>
    <w:rsid w:val="005D2BD5"/>
    <w:rsid w:val="005D2F3E"/>
    <w:rsid w:val="005D3726"/>
    <w:rsid w:val="005D3731"/>
    <w:rsid w:val="005D383D"/>
    <w:rsid w:val="005D39B4"/>
    <w:rsid w:val="005D3B6F"/>
    <w:rsid w:val="005D3BE8"/>
    <w:rsid w:val="005D421D"/>
    <w:rsid w:val="005D42BC"/>
    <w:rsid w:val="005D4766"/>
    <w:rsid w:val="005D4BEB"/>
    <w:rsid w:val="005D4D4A"/>
    <w:rsid w:val="005D4E55"/>
    <w:rsid w:val="005D4E63"/>
    <w:rsid w:val="005D504E"/>
    <w:rsid w:val="005D5AFF"/>
    <w:rsid w:val="005D5B67"/>
    <w:rsid w:val="005D5BCD"/>
    <w:rsid w:val="005D5CBD"/>
    <w:rsid w:val="005D62CB"/>
    <w:rsid w:val="005D6CA7"/>
    <w:rsid w:val="005D781D"/>
    <w:rsid w:val="005D7948"/>
    <w:rsid w:val="005D7A3F"/>
    <w:rsid w:val="005E013D"/>
    <w:rsid w:val="005E014F"/>
    <w:rsid w:val="005E03BA"/>
    <w:rsid w:val="005E0B5E"/>
    <w:rsid w:val="005E0BAA"/>
    <w:rsid w:val="005E1582"/>
    <w:rsid w:val="005E1E3E"/>
    <w:rsid w:val="005E1EDA"/>
    <w:rsid w:val="005E1FAB"/>
    <w:rsid w:val="005E246B"/>
    <w:rsid w:val="005E2E79"/>
    <w:rsid w:val="005E30A8"/>
    <w:rsid w:val="005E311A"/>
    <w:rsid w:val="005E3413"/>
    <w:rsid w:val="005E3534"/>
    <w:rsid w:val="005E3B4D"/>
    <w:rsid w:val="005E4826"/>
    <w:rsid w:val="005E4970"/>
    <w:rsid w:val="005E4A23"/>
    <w:rsid w:val="005E4F41"/>
    <w:rsid w:val="005E5351"/>
    <w:rsid w:val="005E55F4"/>
    <w:rsid w:val="005E570C"/>
    <w:rsid w:val="005E60EC"/>
    <w:rsid w:val="005E63CC"/>
    <w:rsid w:val="005E66FB"/>
    <w:rsid w:val="005E6A03"/>
    <w:rsid w:val="005E6EC3"/>
    <w:rsid w:val="005E6FCA"/>
    <w:rsid w:val="005E6FFC"/>
    <w:rsid w:val="005E7583"/>
    <w:rsid w:val="005E7860"/>
    <w:rsid w:val="005E7D76"/>
    <w:rsid w:val="005F03BD"/>
    <w:rsid w:val="005F0570"/>
    <w:rsid w:val="005F0700"/>
    <w:rsid w:val="005F0AA6"/>
    <w:rsid w:val="005F1879"/>
    <w:rsid w:val="005F1BEB"/>
    <w:rsid w:val="005F1CC3"/>
    <w:rsid w:val="005F20BD"/>
    <w:rsid w:val="005F2300"/>
    <w:rsid w:val="005F366B"/>
    <w:rsid w:val="005F3C01"/>
    <w:rsid w:val="005F4852"/>
    <w:rsid w:val="005F4F8B"/>
    <w:rsid w:val="005F50E6"/>
    <w:rsid w:val="005F513D"/>
    <w:rsid w:val="005F533A"/>
    <w:rsid w:val="005F54EF"/>
    <w:rsid w:val="005F55A0"/>
    <w:rsid w:val="005F569A"/>
    <w:rsid w:val="005F5B9B"/>
    <w:rsid w:val="005F5DDA"/>
    <w:rsid w:val="005F5F18"/>
    <w:rsid w:val="005F600F"/>
    <w:rsid w:val="005F64DB"/>
    <w:rsid w:val="005F6565"/>
    <w:rsid w:val="005F6666"/>
    <w:rsid w:val="005F6AB3"/>
    <w:rsid w:val="005F7438"/>
    <w:rsid w:val="005F758E"/>
    <w:rsid w:val="005F7758"/>
    <w:rsid w:val="005F79B2"/>
    <w:rsid w:val="005F7AB2"/>
    <w:rsid w:val="006000F8"/>
    <w:rsid w:val="00600D0B"/>
    <w:rsid w:val="00600F51"/>
    <w:rsid w:val="006010CA"/>
    <w:rsid w:val="0060116B"/>
    <w:rsid w:val="006012D7"/>
    <w:rsid w:val="00601468"/>
    <w:rsid w:val="0060168A"/>
    <w:rsid w:val="00601BA8"/>
    <w:rsid w:val="00601CAB"/>
    <w:rsid w:val="00601EA1"/>
    <w:rsid w:val="006024A2"/>
    <w:rsid w:val="006024A8"/>
    <w:rsid w:val="00602832"/>
    <w:rsid w:val="0060310D"/>
    <w:rsid w:val="0060361E"/>
    <w:rsid w:val="006040A1"/>
    <w:rsid w:val="0060411A"/>
    <w:rsid w:val="0060429B"/>
    <w:rsid w:val="006043C7"/>
    <w:rsid w:val="0060459A"/>
    <w:rsid w:val="00604F83"/>
    <w:rsid w:val="006050CE"/>
    <w:rsid w:val="00605280"/>
    <w:rsid w:val="0060575D"/>
    <w:rsid w:val="006059E1"/>
    <w:rsid w:val="00605BEF"/>
    <w:rsid w:val="006063EA"/>
    <w:rsid w:val="0060640E"/>
    <w:rsid w:val="006064D4"/>
    <w:rsid w:val="006070A7"/>
    <w:rsid w:val="006072DE"/>
    <w:rsid w:val="00607513"/>
    <w:rsid w:val="00607FD2"/>
    <w:rsid w:val="00610050"/>
    <w:rsid w:val="006101AD"/>
    <w:rsid w:val="006102D0"/>
    <w:rsid w:val="006107A9"/>
    <w:rsid w:val="00610CD0"/>
    <w:rsid w:val="00610FDB"/>
    <w:rsid w:val="00611251"/>
    <w:rsid w:val="00611616"/>
    <w:rsid w:val="0061193A"/>
    <w:rsid w:val="006119A7"/>
    <w:rsid w:val="00611E8C"/>
    <w:rsid w:val="006120CD"/>
    <w:rsid w:val="0061232E"/>
    <w:rsid w:val="006123B7"/>
    <w:rsid w:val="006127DD"/>
    <w:rsid w:val="006129AC"/>
    <w:rsid w:val="006132EA"/>
    <w:rsid w:val="00613368"/>
    <w:rsid w:val="006137BB"/>
    <w:rsid w:val="00614BCC"/>
    <w:rsid w:val="00614ED2"/>
    <w:rsid w:val="00615309"/>
    <w:rsid w:val="00615992"/>
    <w:rsid w:val="00615CB9"/>
    <w:rsid w:val="006163DD"/>
    <w:rsid w:val="006165D6"/>
    <w:rsid w:val="0061698C"/>
    <w:rsid w:val="00616F88"/>
    <w:rsid w:val="00616F94"/>
    <w:rsid w:val="00617A7E"/>
    <w:rsid w:val="00620262"/>
    <w:rsid w:val="006207AD"/>
    <w:rsid w:val="00620806"/>
    <w:rsid w:val="00620D0B"/>
    <w:rsid w:val="00621619"/>
    <w:rsid w:val="0062193B"/>
    <w:rsid w:val="00621A63"/>
    <w:rsid w:val="00621AD1"/>
    <w:rsid w:val="00621CE9"/>
    <w:rsid w:val="0062220D"/>
    <w:rsid w:val="00622508"/>
    <w:rsid w:val="00622549"/>
    <w:rsid w:val="00622CD6"/>
    <w:rsid w:val="00622DD6"/>
    <w:rsid w:val="00623029"/>
    <w:rsid w:val="00623269"/>
    <w:rsid w:val="006233BF"/>
    <w:rsid w:val="00623683"/>
    <w:rsid w:val="00623BBF"/>
    <w:rsid w:val="00623ECE"/>
    <w:rsid w:val="00623F1E"/>
    <w:rsid w:val="006249B2"/>
    <w:rsid w:val="00624BCC"/>
    <w:rsid w:val="00624C16"/>
    <w:rsid w:val="006251EF"/>
    <w:rsid w:val="00625682"/>
    <w:rsid w:val="00625A30"/>
    <w:rsid w:val="00625C43"/>
    <w:rsid w:val="00626454"/>
    <w:rsid w:val="00626E3B"/>
    <w:rsid w:val="00626FBA"/>
    <w:rsid w:val="006272E6"/>
    <w:rsid w:val="006274B8"/>
    <w:rsid w:val="00627832"/>
    <w:rsid w:val="00627EF5"/>
    <w:rsid w:val="00627F00"/>
    <w:rsid w:val="0063009F"/>
    <w:rsid w:val="006310F5"/>
    <w:rsid w:val="006313DE"/>
    <w:rsid w:val="00631E1F"/>
    <w:rsid w:val="00632284"/>
    <w:rsid w:val="006328E5"/>
    <w:rsid w:val="00632A0E"/>
    <w:rsid w:val="00632A69"/>
    <w:rsid w:val="00632AB5"/>
    <w:rsid w:val="00632CD0"/>
    <w:rsid w:val="00632E07"/>
    <w:rsid w:val="00633192"/>
    <w:rsid w:val="00633552"/>
    <w:rsid w:val="00634390"/>
    <w:rsid w:val="0063460D"/>
    <w:rsid w:val="00634EBF"/>
    <w:rsid w:val="0063507C"/>
    <w:rsid w:val="00635286"/>
    <w:rsid w:val="006356C5"/>
    <w:rsid w:val="0063570A"/>
    <w:rsid w:val="00635A1E"/>
    <w:rsid w:val="00635B69"/>
    <w:rsid w:val="00635EE7"/>
    <w:rsid w:val="00635F0D"/>
    <w:rsid w:val="0063606E"/>
    <w:rsid w:val="0063639B"/>
    <w:rsid w:val="00636C0F"/>
    <w:rsid w:val="00636D7F"/>
    <w:rsid w:val="00636DA0"/>
    <w:rsid w:val="00636F94"/>
    <w:rsid w:val="00637126"/>
    <w:rsid w:val="0063719D"/>
    <w:rsid w:val="0063735C"/>
    <w:rsid w:val="006373C5"/>
    <w:rsid w:val="006375B6"/>
    <w:rsid w:val="0063791C"/>
    <w:rsid w:val="00637C9B"/>
    <w:rsid w:val="00637F6F"/>
    <w:rsid w:val="00637FAF"/>
    <w:rsid w:val="00640C39"/>
    <w:rsid w:val="00640C57"/>
    <w:rsid w:val="00641226"/>
    <w:rsid w:val="006416AA"/>
    <w:rsid w:val="00641783"/>
    <w:rsid w:val="00641824"/>
    <w:rsid w:val="00641862"/>
    <w:rsid w:val="0064192B"/>
    <w:rsid w:val="00641DD0"/>
    <w:rsid w:val="00642C5C"/>
    <w:rsid w:val="00642E08"/>
    <w:rsid w:val="00642F23"/>
    <w:rsid w:val="00643581"/>
    <w:rsid w:val="006435F3"/>
    <w:rsid w:val="0064394D"/>
    <w:rsid w:val="00643E50"/>
    <w:rsid w:val="00644A18"/>
    <w:rsid w:val="0064548A"/>
    <w:rsid w:val="00645638"/>
    <w:rsid w:val="006456D8"/>
    <w:rsid w:val="00645871"/>
    <w:rsid w:val="0064612F"/>
    <w:rsid w:val="0064659A"/>
    <w:rsid w:val="0064683C"/>
    <w:rsid w:val="00647048"/>
    <w:rsid w:val="0064742C"/>
    <w:rsid w:val="0064742D"/>
    <w:rsid w:val="00647632"/>
    <w:rsid w:val="006478C9"/>
    <w:rsid w:val="00647A17"/>
    <w:rsid w:val="00647BBF"/>
    <w:rsid w:val="00647F4A"/>
    <w:rsid w:val="00650219"/>
    <w:rsid w:val="00650AF1"/>
    <w:rsid w:val="00650B7A"/>
    <w:rsid w:val="00650E26"/>
    <w:rsid w:val="00650F4F"/>
    <w:rsid w:val="00651274"/>
    <w:rsid w:val="0065150C"/>
    <w:rsid w:val="00651949"/>
    <w:rsid w:val="00652103"/>
    <w:rsid w:val="0065213B"/>
    <w:rsid w:val="006529AA"/>
    <w:rsid w:val="00652AAD"/>
    <w:rsid w:val="00652D64"/>
    <w:rsid w:val="00652D8D"/>
    <w:rsid w:val="00652E07"/>
    <w:rsid w:val="00653014"/>
    <w:rsid w:val="00653220"/>
    <w:rsid w:val="006533F6"/>
    <w:rsid w:val="00653693"/>
    <w:rsid w:val="00653BE0"/>
    <w:rsid w:val="00653DFB"/>
    <w:rsid w:val="00653EA5"/>
    <w:rsid w:val="00654793"/>
    <w:rsid w:val="00654C62"/>
    <w:rsid w:val="00654D2A"/>
    <w:rsid w:val="00654FAC"/>
    <w:rsid w:val="00655401"/>
    <w:rsid w:val="00655529"/>
    <w:rsid w:val="00655552"/>
    <w:rsid w:val="006557A4"/>
    <w:rsid w:val="006557F0"/>
    <w:rsid w:val="00655840"/>
    <w:rsid w:val="00655A18"/>
    <w:rsid w:val="00655AEF"/>
    <w:rsid w:val="00655CFF"/>
    <w:rsid w:val="00655D68"/>
    <w:rsid w:val="00656786"/>
    <w:rsid w:val="00656944"/>
    <w:rsid w:val="00656A69"/>
    <w:rsid w:val="00656DF7"/>
    <w:rsid w:val="0065790C"/>
    <w:rsid w:val="00657CEE"/>
    <w:rsid w:val="00657F77"/>
    <w:rsid w:val="00657FD3"/>
    <w:rsid w:val="0066064A"/>
    <w:rsid w:val="00661381"/>
    <w:rsid w:val="00661B7C"/>
    <w:rsid w:val="00662039"/>
    <w:rsid w:val="0066222A"/>
    <w:rsid w:val="00663057"/>
    <w:rsid w:val="00663112"/>
    <w:rsid w:val="0066393B"/>
    <w:rsid w:val="00663BF6"/>
    <w:rsid w:val="00663E4E"/>
    <w:rsid w:val="00663EF7"/>
    <w:rsid w:val="006641A7"/>
    <w:rsid w:val="00664308"/>
    <w:rsid w:val="0066536D"/>
    <w:rsid w:val="006654FB"/>
    <w:rsid w:val="006655C3"/>
    <w:rsid w:val="0066563F"/>
    <w:rsid w:val="00665729"/>
    <w:rsid w:val="00665C48"/>
    <w:rsid w:val="00665E05"/>
    <w:rsid w:val="006660B4"/>
    <w:rsid w:val="006660EE"/>
    <w:rsid w:val="0066622E"/>
    <w:rsid w:val="00666270"/>
    <w:rsid w:val="006663A6"/>
    <w:rsid w:val="006666D1"/>
    <w:rsid w:val="00666956"/>
    <w:rsid w:val="00666A06"/>
    <w:rsid w:val="0066769C"/>
    <w:rsid w:val="00667F74"/>
    <w:rsid w:val="00670048"/>
    <w:rsid w:val="0067025D"/>
    <w:rsid w:val="00670399"/>
    <w:rsid w:val="00670432"/>
    <w:rsid w:val="00670577"/>
    <w:rsid w:val="006705E5"/>
    <w:rsid w:val="00670612"/>
    <w:rsid w:val="00670C73"/>
    <w:rsid w:val="00670F1D"/>
    <w:rsid w:val="00671D8B"/>
    <w:rsid w:val="0067246A"/>
    <w:rsid w:val="00672BF8"/>
    <w:rsid w:val="006731BF"/>
    <w:rsid w:val="00673A5E"/>
    <w:rsid w:val="00673D44"/>
    <w:rsid w:val="00673DBA"/>
    <w:rsid w:val="006741DC"/>
    <w:rsid w:val="006742C6"/>
    <w:rsid w:val="006743A4"/>
    <w:rsid w:val="006748E6"/>
    <w:rsid w:val="00674C9A"/>
    <w:rsid w:val="006751B8"/>
    <w:rsid w:val="006756EF"/>
    <w:rsid w:val="00675C27"/>
    <w:rsid w:val="00676FBA"/>
    <w:rsid w:val="00677185"/>
    <w:rsid w:val="00677FE7"/>
    <w:rsid w:val="006803E1"/>
    <w:rsid w:val="00680A3F"/>
    <w:rsid w:val="00680BF5"/>
    <w:rsid w:val="00680D33"/>
    <w:rsid w:val="00680E94"/>
    <w:rsid w:val="006819E7"/>
    <w:rsid w:val="00681EDF"/>
    <w:rsid w:val="00681FC1"/>
    <w:rsid w:val="006824FB"/>
    <w:rsid w:val="00682508"/>
    <w:rsid w:val="00682527"/>
    <w:rsid w:val="00682543"/>
    <w:rsid w:val="0068255B"/>
    <w:rsid w:val="00682A20"/>
    <w:rsid w:val="00682C93"/>
    <w:rsid w:val="00682CC6"/>
    <w:rsid w:val="00682F0D"/>
    <w:rsid w:val="00683397"/>
    <w:rsid w:val="006833FB"/>
    <w:rsid w:val="0068347C"/>
    <w:rsid w:val="00683482"/>
    <w:rsid w:val="00683B26"/>
    <w:rsid w:val="00683C01"/>
    <w:rsid w:val="00683DD2"/>
    <w:rsid w:val="00683DEB"/>
    <w:rsid w:val="006841DE"/>
    <w:rsid w:val="00684719"/>
    <w:rsid w:val="00684768"/>
    <w:rsid w:val="00684808"/>
    <w:rsid w:val="00684910"/>
    <w:rsid w:val="00684D28"/>
    <w:rsid w:val="006856F1"/>
    <w:rsid w:val="00685703"/>
    <w:rsid w:val="00685BE4"/>
    <w:rsid w:val="00685C56"/>
    <w:rsid w:val="00685EC5"/>
    <w:rsid w:val="00686074"/>
    <w:rsid w:val="006860B8"/>
    <w:rsid w:val="00686117"/>
    <w:rsid w:val="00686133"/>
    <w:rsid w:val="00686189"/>
    <w:rsid w:val="0068638B"/>
    <w:rsid w:val="0068688D"/>
    <w:rsid w:val="00686DBC"/>
    <w:rsid w:val="006870CE"/>
    <w:rsid w:val="00687138"/>
    <w:rsid w:val="00687196"/>
    <w:rsid w:val="006873E1"/>
    <w:rsid w:val="0068798F"/>
    <w:rsid w:val="00687D16"/>
    <w:rsid w:val="00687F3C"/>
    <w:rsid w:val="00687FFC"/>
    <w:rsid w:val="00690711"/>
    <w:rsid w:val="006909C0"/>
    <w:rsid w:val="00690C4D"/>
    <w:rsid w:val="00690EEA"/>
    <w:rsid w:val="006918A3"/>
    <w:rsid w:val="006918F7"/>
    <w:rsid w:val="00691C8C"/>
    <w:rsid w:val="00691F26"/>
    <w:rsid w:val="00692350"/>
    <w:rsid w:val="0069292D"/>
    <w:rsid w:val="00692FD6"/>
    <w:rsid w:val="0069300E"/>
    <w:rsid w:val="00693218"/>
    <w:rsid w:val="006933C4"/>
    <w:rsid w:val="006934EF"/>
    <w:rsid w:val="0069381A"/>
    <w:rsid w:val="0069386C"/>
    <w:rsid w:val="00693C47"/>
    <w:rsid w:val="00693D71"/>
    <w:rsid w:val="00694434"/>
    <w:rsid w:val="00695040"/>
    <w:rsid w:val="00695784"/>
    <w:rsid w:val="006959FD"/>
    <w:rsid w:val="0069613D"/>
    <w:rsid w:val="006967E5"/>
    <w:rsid w:val="00696E0F"/>
    <w:rsid w:val="00697359"/>
    <w:rsid w:val="00697432"/>
    <w:rsid w:val="0069788A"/>
    <w:rsid w:val="006A00DB"/>
    <w:rsid w:val="006A021D"/>
    <w:rsid w:val="006A043C"/>
    <w:rsid w:val="006A0BC0"/>
    <w:rsid w:val="006A0EAA"/>
    <w:rsid w:val="006A169A"/>
    <w:rsid w:val="006A16DF"/>
    <w:rsid w:val="006A1A78"/>
    <w:rsid w:val="006A1DA9"/>
    <w:rsid w:val="006A2C50"/>
    <w:rsid w:val="006A3194"/>
    <w:rsid w:val="006A31F2"/>
    <w:rsid w:val="006A3239"/>
    <w:rsid w:val="006A3765"/>
    <w:rsid w:val="006A3776"/>
    <w:rsid w:val="006A3EB0"/>
    <w:rsid w:val="006A3F42"/>
    <w:rsid w:val="006A4110"/>
    <w:rsid w:val="006A43C9"/>
    <w:rsid w:val="006A44BE"/>
    <w:rsid w:val="006A49C2"/>
    <w:rsid w:val="006A49D9"/>
    <w:rsid w:val="006A4F62"/>
    <w:rsid w:val="006A503B"/>
    <w:rsid w:val="006A547E"/>
    <w:rsid w:val="006A59A2"/>
    <w:rsid w:val="006A5ABC"/>
    <w:rsid w:val="006A62A2"/>
    <w:rsid w:val="006A6BB3"/>
    <w:rsid w:val="006A6D49"/>
    <w:rsid w:val="006A6FDD"/>
    <w:rsid w:val="006A7031"/>
    <w:rsid w:val="006A7602"/>
    <w:rsid w:val="006A7F7F"/>
    <w:rsid w:val="006B013A"/>
    <w:rsid w:val="006B053B"/>
    <w:rsid w:val="006B07EE"/>
    <w:rsid w:val="006B0AD0"/>
    <w:rsid w:val="006B12A5"/>
    <w:rsid w:val="006B1A1B"/>
    <w:rsid w:val="006B1B65"/>
    <w:rsid w:val="006B2473"/>
    <w:rsid w:val="006B25DC"/>
    <w:rsid w:val="006B261B"/>
    <w:rsid w:val="006B28BE"/>
    <w:rsid w:val="006B38EA"/>
    <w:rsid w:val="006B3DE1"/>
    <w:rsid w:val="006B4162"/>
    <w:rsid w:val="006B47DE"/>
    <w:rsid w:val="006B48F5"/>
    <w:rsid w:val="006B4A72"/>
    <w:rsid w:val="006B4AF9"/>
    <w:rsid w:val="006B4E4D"/>
    <w:rsid w:val="006B56A7"/>
    <w:rsid w:val="006B5B2E"/>
    <w:rsid w:val="006B5BE7"/>
    <w:rsid w:val="006B5E67"/>
    <w:rsid w:val="006B65A4"/>
    <w:rsid w:val="006B6AEF"/>
    <w:rsid w:val="006B72A8"/>
    <w:rsid w:val="006B7592"/>
    <w:rsid w:val="006B7B4C"/>
    <w:rsid w:val="006B7FAD"/>
    <w:rsid w:val="006C014F"/>
    <w:rsid w:val="006C0642"/>
    <w:rsid w:val="006C0C48"/>
    <w:rsid w:val="006C0F19"/>
    <w:rsid w:val="006C19C3"/>
    <w:rsid w:val="006C1BF7"/>
    <w:rsid w:val="006C1E31"/>
    <w:rsid w:val="006C1F31"/>
    <w:rsid w:val="006C22F1"/>
    <w:rsid w:val="006C262E"/>
    <w:rsid w:val="006C2750"/>
    <w:rsid w:val="006C2D68"/>
    <w:rsid w:val="006C2E94"/>
    <w:rsid w:val="006C32E8"/>
    <w:rsid w:val="006C3760"/>
    <w:rsid w:val="006C3B7C"/>
    <w:rsid w:val="006C3C94"/>
    <w:rsid w:val="006C3CD9"/>
    <w:rsid w:val="006C43DB"/>
    <w:rsid w:val="006C44E0"/>
    <w:rsid w:val="006C4622"/>
    <w:rsid w:val="006C5839"/>
    <w:rsid w:val="006C6057"/>
    <w:rsid w:val="006C636B"/>
    <w:rsid w:val="006C66A7"/>
    <w:rsid w:val="006C6C4E"/>
    <w:rsid w:val="006C6DA2"/>
    <w:rsid w:val="006C740B"/>
    <w:rsid w:val="006C74D4"/>
    <w:rsid w:val="006C7529"/>
    <w:rsid w:val="006C78A6"/>
    <w:rsid w:val="006C78D7"/>
    <w:rsid w:val="006C7999"/>
    <w:rsid w:val="006D0407"/>
    <w:rsid w:val="006D063F"/>
    <w:rsid w:val="006D06FD"/>
    <w:rsid w:val="006D0C36"/>
    <w:rsid w:val="006D1D07"/>
    <w:rsid w:val="006D1D2D"/>
    <w:rsid w:val="006D1E27"/>
    <w:rsid w:val="006D1ECD"/>
    <w:rsid w:val="006D2041"/>
    <w:rsid w:val="006D25CC"/>
    <w:rsid w:val="006D31B3"/>
    <w:rsid w:val="006D3238"/>
    <w:rsid w:val="006D4100"/>
    <w:rsid w:val="006D44A4"/>
    <w:rsid w:val="006D45A2"/>
    <w:rsid w:val="006D495D"/>
    <w:rsid w:val="006D496C"/>
    <w:rsid w:val="006D5136"/>
    <w:rsid w:val="006D5566"/>
    <w:rsid w:val="006D561E"/>
    <w:rsid w:val="006D5AF0"/>
    <w:rsid w:val="006D5B4B"/>
    <w:rsid w:val="006D5C11"/>
    <w:rsid w:val="006D5D08"/>
    <w:rsid w:val="006D5D19"/>
    <w:rsid w:val="006D5E0B"/>
    <w:rsid w:val="006D5EE5"/>
    <w:rsid w:val="006D6C52"/>
    <w:rsid w:val="006D7505"/>
    <w:rsid w:val="006D7DC7"/>
    <w:rsid w:val="006D7EB6"/>
    <w:rsid w:val="006D7FD2"/>
    <w:rsid w:val="006E068C"/>
    <w:rsid w:val="006E06AB"/>
    <w:rsid w:val="006E08D5"/>
    <w:rsid w:val="006E0E68"/>
    <w:rsid w:val="006E141F"/>
    <w:rsid w:val="006E1A13"/>
    <w:rsid w:val="006E1D18"/>
    <w:rsid w:val="006E1D51"/>
    <w:rsid w:val="006E2273"/>
    <w:rsid w:val="006E25EB"/>
    <w:rsid w:val="006E2992"/>
    <w:rsid w:val="006E29A6"/>
    <w:rsid w:val="006E2BB6"/>
    <w:rsid w:val="006E301B"/>
    <w:rsid w:val="006E3174"/>
    <w:rsid w:val="006E3B1E"/>
    <w:rsid w:val="006E3CA4"/>
    <w:rsid w:val="006E3E8E"/>
    <w:rsid w:val="006E3F54"/>
    <w:rsid w:val="006E40E0"/>
    <w:rsid w:val="006E4349"/>
    <w:rsid w:val="006E4417"/>
    <w:rsid w:val="006E4906"/>
    <w:rsid w:val="006E4A59"/>
    <w:rsid w:val="006E4C0C"/>
    <w:rsid w:val="006E4CA4"/>
    <w:rsid w:val="006E4D3F"/>
    <w:rsid w:val="006E532F"/>
    <w:rsid w:val="006E578D"/>
    <w:rsid w:val="006E5A95"/>
    <w:rsid w:val="006E5F96"/>
    <w:rsid w:val="006E676E"/>
    <w:rsid w:val="006E6B86"/>
    <w:rsid w:val="006E6D3B"/>
    <w:rsid w:val="006E6DCD"/>
    <w:rsid w:val="006E700B"/>
    <w:rsid w:val="006E72BF"/>
    <w:rsid w:val="006E75BE"/>
    <w:rsid w:val="006E7608"/>
    <w:rsid w:val="006E7D83"/>
    <w:rsid w:val="006F0CFD"/>
    <w:rsid w:val="006F1692"/>
    <w:rsid w:val="006F1B03"/>
    <w:rsid w:val="006F1B80"/>
    <w:rsid w:val="006F2983"/>
    <w:rsid w:val="006F2A41"/>
    <w:rsid w:val="006F2B32"/>
    <w:rsid w:val="006F2C10"/>
    <w:rsid w:val="006F2E6D"/>
    <w:rsid w:val="006F30CC"/>
    <w:rsid w:val="006F3200"/>
    <w:rsid w:val="006F3533"/>
    <w:rsid w:val="006F4023"/>
    <w:rsid w:val="006F40A6"/>
    <w:rsid w:val="006F48CF"/>
    <w:rsid w:val="006F50CB"/>
    <w:rsid w:val="006F50F8"/>
    <w:rsid w:val="006F5216"/>
    <w:rsid w:val="006F56BB"/>
    <w:rsid w:val="006F5742"/>
    <w:rsid w:val="006F5A2B"/>
    <w:rsid w:val="006F5ABF"/>
    <w:rsid w:val="006F5C7F"/>
    <w:rsid w:val="006F61B4"/>
    <w:rsid w:val="006F61EF"/>
    <w:rsid w:val="006F6212"/>
    <w:rsid w:val="006F626B"/>
    <w:rsid w:val="006F64B1"/>
    <w:rsid w:val="006F65E8"/>
    <w:rsid w:val="006F6705"/>
    <w:rsid w:val="006F67DD"/>
    <w:rsid w:val="006F74A1"/>
    <w:rsid w:val="006F7557"/>
    <w:rsid w:val="006F76B5"/>
    <w:rsid w:val="006F7EF4"/>
    <w:rsid w:val="007006ED"/>
    <w:rsid w:val="007008F7"/>
    <w:rsid w:val="00700970"/>
    <w:rsid w:val="00700ABD"/>
    <w:rsid w:val="00700AC9"/>
    <w:rsid w:val="00700B2A"/>
    <w:rsid w:val="00700B70"/>
    <w:rsid w:val="00701870"/>
    <w:rsid w:val="00702135"/>
    <w:rsid w:val="00702B7D"/>
    <w:rsid w:val="00702DB8"/>
    <w:rsid w:val="00702E63"/>
    <w:rsid w:val="00702FE7"/>
    <w:rsid w:val="007039A7"/>
    <w:rsid w:val="007039FE"/>
    <w:rsid w:val="00703BC9"/>
    <w:rsid w:val="007043EA"/>
    <w:rsid w:val="007044FE"/>
    <w:rsid w:val="00704AAE"/>
    <w:rsid w:val="007052B1"/>
    <w:rsid w:val="007052D8"/>
    <w:rsid w:val="0070613B"/>
    <w:rsid w:val="00706373"/>
    <w:rsid w:val="0070697F"/>
    <w:rsid w:val="00706FA9"/>
    <w:rsid w:val="00707DF7"/>
    <w:rsid w:val="00707E13"/>
    <w:rsid w:val="00710925"/>
    <w:rsid w:val="00710A15"/>
    <w:rsid w:val="00710B1C"/>
    <w:rsid w:val="00710F9E"/>
    <w:rsid w:val="00711066"/>
    <w:rsid w:val="00711136"/>
    <w:rsid w:val="007115A8"/>
    <w:rsid w:val="007115BC"/>
    <w:rsid w:val="0071170C"/>
    <w:rsid w:val="0071176D"/>
    <w:rsid w:val="00711986"/>
    <w:rsid w:val="00711C12"/>
    <w:rsid w:val="00712303"/>
    <w:rsid w:val="007123AC"/>
    <w:rsid w:val="007124C5"/>
    <w:rsid w:val="0071252E"/>
    <w:rsid w:val="0071266F"/>
    <w:rsid w:val="00712BDF"/>
    <w:rsid w:val="0071343F"/>
    <w:rsid w:val="007134FD"/>
    <w:rsid w:val="00713E5E"/>
    <w:rsid w:val="00713EA4"/>
    <w:rsid w:val="0071428D"/>
    <w:rsid w:val="007147B4"/>
    <w:rsid w:val="00714A39"/>
    <w:rsid w:val="00714CD6"/>
    <w:rsid w:val="00714E44"/>
    <w:rsid w:val="00714FF5"/>
    <w:rsid w:val="00715A15"/>
    <w:rsid w:val="00715D95"/>
    <w:rsid w:val="00717243"/>
    <w:rsid w:val="00717E65"/>
    <w:rsid w:val="00717EC1"/>
    <w:rsid w:val="00720102"/>
    <w:rsid w:val="00720161"/>
    <w:rsid w:val="00720555"/>
    <w:rsid w:val="0072062D"/>
    <w:rsid w:val="00720C65"/>
    <w:rsid w:val="007213F5"/>
    <w:rsid w:val="00721D17"/>
    <w:rsid w:val="007225CB"/>
    <w:rsid w:val="00722C35"/>
    <w:rsid w:val="00723140"/>
    <w:rsid w:val="00723164"/>
    <w:rsid w:val="0072319D"/>
    <w:rsid w:val="007231B5"/>
    <w:rsid w:val="007233E1"/>
    <w:rsid w:val="00723827"/>
    <w:rsid w:val="00723C7F"/>
    <w:rsid w:val="00723F4B"/>
    <w:rsid w:val="007240CB"/>
    <w:rsid w:val="0072433A"/>
    <w:rsid w:val="007249ED"/>
    <w:rsid w:val="00724A0F"/>
    <w:rsid w:val="00724E6D"/>
    <w:rsid w:val="007253C8"/>
    <w:rsid w:val="0072648E"/>
    <w:rsid w:val="0072661C"/>
    <w:rsid w:val="007266D5"/>
    <w:rsid w:val="0072695F"/>
    <w:rsid w:val="007269C2"/>
    <w:rsid w:val="007269E5"/>
    <w:rsid w:val="007269F4"/>
    <w:rsid w:val="00726D79"/>
    <w:rsid w:val="007276C3"/>
    <w:rsid w:val="00727D69"/>
    <w:rsid w:val="0073033D"/>
    <w:rsid w:val="007308C6"/>
    <w:rsid w:val="007308CA"/>
    <w:rsid w:val="00730AD2"/>
    <w:rsid w:val="00730BD2"/>
    <w:rsid w:val="00730F09"/>
    <w:rsid w:val="007314EB"/>
    <w:rsid w:val="007317B5"/>
    <w:rsid w:val="00731D92"/>
    <w:rsid w:val="0073211D"/>
    <w:rsid w:val="00732476"/>
    <w:rsid w:val="00732DC2"/>
    <w:rsid w:val="00732F3F"/>
    <w:rsid w:val="00733006"/>
    <w:rsid w:val="00733369"/>
    <w:rsid w:val="00733442"/>
    <w:rsid w:val="00733A02"/>
    <w:rsid w:val="00733B40"/>
    <w:rsid w:val="00733D24"/>
    <w:rsid w:val="0073440D"/>
    <w:rsid w:val="00734417"/>
    <w:rsid w:val="007345B2"/>
    <w:rsid w:val="00734B25"/>
    <w:rsid w:val="00734CC5"/>
    <w:rsid w:val="00734EFB"/>
    <w:rsid w:val="00734F50"/>
    <w:rsid w:val="00735424"/>
    <w:rsid w:val="00735543"/>
    <w:rsid w:val="0073608A"/>
    <w:rsid w:val="0073641C"/>
    <w:rsid w:val="007364CF"/>
    <w:rsid w:val="00736CB7"/>
    <w:rsid w:val="00736E23"/>
    <w:rsid w:val="00737311"/>
    <w:rsid w:val="007374B5"/>
    <w:rsid w:val="00737DD7"/>
    <w:rsid w:val="00740A0C"/>
    <w:rsid w:val="00740AB7"/>
    <w:rsid w:val="00740BC9"/>
    <w:rsid w:val="007411FD"/>
    <w:rsid w:val="00741251"/>
    <w:rsid w:val="00741422"/>
    <w:rsid w:val="007414BA"/>
    <w:rsid w:val="00741589"/>
    <w:rsid w:val="0074181A"/>
    <w:rsid w:val="0074195C"/>
    <w:rsid w:val="00741BC4"/>
    <w:rsid w:val="00742965"/>
    <w:rsid w:val="00742989"/>
    <w:rsid w:val="00742A56"/>
    <w:rsid w:val="00742ADD"/>
    <w:rsid w:val="0074325E"/>
    <w:rsid w:val="00743978"/>
    <w:rsid w:val="00743FF0"/>
    <w:rsid w:val="0074403B"/>
    <w:rsid w:val="00744541"/>
    <w:rsid w:val="0074461D"/>
    <w:rsid w:val="00744A46"/>
    <w:rsid w:val="00744B22"/>
    <w:rsid w:val="00744BFA"/>
    <w:rsid w:val="00744D56"/>
    <w:rsid w:val="007453F4"/>
    <w:rsid w:val="0074555E"/>
    <w:rsid w:val="00745573"/>
    <w:rsid w:val="00745726"/>
    <w:rsid w:val="00745735"/>
    <w:rsid w:val="00745C22"/>
    <w:rsid w:val="00745CB6"/>
    <w:rsid w:val="00745E4A"/>
    <w:rsid w:val="00745E75"/>
    <w:rsid w:val="007466A2"/>
    <w:rsid w:val="00746B44"/>
    <w:rsid w:val="007472D3"/>
    <w:rsid w:val="007473AF"/>
    <w:rsid w:val="007477BF"/>
    <w:rsid w:val="00747BAC"/>
    <w:rsid w:val="007502B3"/>
    <w:rsid w:val="00750DBF"/>
    <w:rsid w:val="00751A2F"/>
    <w:rsid w:val="00751BA6"/>
    <w:rsid w:val="00751C3F"/>
    <w:rsid w:val="00751CBB"/>
    <w:rsid w:val="007523B5"/>
    <w:rsid w:val="007526FB"/>
    <w:rsid w:val="00752EB7"/>
    <w:rsid w:val="00753E4A"/>
    <w:rsid w:val="007540BF"/>
    <w:rsid w:val="007543D7"/>
    <w:rsid w:val="00754454"/>
    <w:rsid w:val="00754C8E"/>
    <w:rsid w:val="00754F4F"/>
    <w:rsid w:val="007556EF"/>
    <w:rsid w:val="0075573D"/>
    <w:rsid w:val="00755E62"/>
    <w:rsid w:val="00756003"/>
    <w:rsid w:val="007567B8"/>
    <w:rsid w:val="00756B2B"/>
    <w:rsid w:val="00756CAB"/>
    <w:rsid w:val="007572DA"/>
    <w:rsid w:val="00757353"/>
    <w:rsid w:val="0075748B"/>
    <w:rsid w:val="00757770"/>
    <w:rsid w:val="00757818"/>
    <w:rsid w:val="00757CE7"/>
    <w:rsid w:val="00757EB6"/>
    <w:rsid w:val="00760077"/>
    <w:rsid w:val="0076047B"/>
    <w:rsid w:val="00760AA3"/>
    <w:rsid w:val="00760C39"/>
    <w:rsid w:val="0076195D"/>
    <w:rsid w:val="00761E2E"/>
    <w:rsid w:val="007625D9"/>
    <w:rsid w:val="00762837"/>
    <w:rsid w:val="00762962"/>
    <w:rsid w:val="007637A8"/>
    <w:rsid w:val="007637FF"/>
    <w:rsid w:val="00763A3C"/>
    <w:rsid w:val="00763A88"/>
    <w:rsid w:val="00763B3E"/>
    <w:rsid w:val="00763C2A"/>
    <w:rsid w:val="0076411D"/>
    <w:rsid w:val="007644FD"/>
    <w:rsid w:val="00764987"/>
    <w:rsid w:val="00764B51"/>
    <w:rsid w:val="00764FBD"/>
    <w:rsid w:val="007653C8"/>
    <w:rsid w:val="007658C1"/>
    <w:rsid w:val="007658E1"/>
    <w:rsid w:val="00765B58"/>
    <w:rsid w:val="00766225"/>
    <w:rsid w:val="00766237"/>
    <w:rsid w:val="007665D7"/>
    <w:rsid w:val="00766625"/>
    <w:rsid w:val="00766B73"/>
    <w:rsid w:val="00766E1C"/>
    <w:rsid w:val="00766F81"/>
    <w:rsid w:val="00766FAB"/>
    <w:rsid w:val="0076789D"/>
    <w:rsid w:val="00767AAB"/>
    <w:rsid w:val="00770105"/>
    <w:rsid w:val="00770174"/>
    <w:rsid w:val="007707AE"/>
    <w:rsid w:val="00770AD5"/>
    <w:rsid w:val="00770B54"/>
    <w:rsid w:val="00770B71"/>
    <w:rsid w:val="00770CEB"/>
    <w:rsid w:val="00770DCB"/>
    <w:rsid w:val="00771247"/>
    <w:rsid w:val="007719CC"/>
    <w:rsid w:val="00771B9F"/>
    <w:rsid w:val="00771BB3"/>
    <w:rsid w:val="007729FB"/>
    <w:rsid w:val="00772A13"/>
    <w:rsid w:val="00772A93"/>
    <w:rsid w:val="00772C0E"/>
    <w:rsid w:val="00772DB0"/>
    <w:rsid w:val="00772E52"/>
    <w:rsid w:val="00773092"/>
    <w:rsid w:val="00773329"/>
    <w:rsid w:val="00773568"/>
    <w:rsid w:val="0077365F"/>
    <w:rsid w:val="00773A44"/>
    <w:rsid w:val="00773D6A"/>
    <w:rsid w:val="007741BD"/>
    <w:rsid w:val="0077493A"/>
    <w:rsid w:val="00774B66"/>
    <w:rsid w:val="00774FB1"/>
    <w:rsid w:val="00775485"/>
    <w:rsid w:val="0077558D"/>
    <w:rsid w:val="00775619"/>
    <w:rsid w:val="00775BD8"/>
    <w:rsid w:val="007761DC"/>
    <w:rsid w:val="00777731"/>
    <w:rsid w:val="007807EB"/>
    <w:rsid w:val="00780A20"/>
    <w:rsid w:val="00780A23"/>
    <w:rsid w:val="00780B75"/>
    <w:rsid w:val="00780B8F"/>
    <w:rsid w:val="007813EA"/>
    <w:rsid w:val="0078190C"/>
    <w:rsid w:val="00781D37"/>
    <w:rsid w:val="00782130"/>
    <w:rsid w:val="007821A8"/>
    <w:rsid w:val="007825A9"/>
    <w:rsid w:val="00782726"/>
    <w:rsid w:val="00782844"/>
    <w:rsid w:val="00782F02"/>
    <w:rsid w:val="00783423"/>
    <w:rsid w:val="00783532"/>
    <w:rsid w:val="00783C23"/>
    <w:rsid w:val="007842E0"/>
    <w:rsid w:val="007846B5"/>
    <w:rsid w:val="007846E0"/>
    <w:rsid w:val="0078470C"/>
    <w:rsid w:val="00784AFA"/>
    <w:rsid w:val="00785418"/>
    <w:rsid w:val="007855BF"/>
    <w:rsid w:val="007855DF"/>
    <w:rsid w:val="00785775"/>
    <w:rsid w:val="00785878"/>
    <w:rsid w:val="00785AA9"/>
    <w:rsid w:val="00785B28"/>
    <w:rsid w:val="00786731"/>
    <w:rsid w:val="00786F2E"/>
    <w:rsid w:val="007873B6"/>
    <w:rsid w:val="00787882"/>
    <w:rsid w:val="00787D9D"/>
    <w:rsid w:val="00787F35"/>
    <w:rsid w:val="007900B0"/>
    <w:rsid w:val="007902FA"/>
    <w:rsid w:val="00790BFF"/>
    <w:rsid w:val="00791719"/>
    <w:rsid w:val="00791774"/>
    <w:rsid w:val="007926AD"/>
    <w:rsid w:val="00792778"/>
    <w:rsid w:val="00793207"/>
    <w:rsid w:val="00793448"/>
    <w:rsid w:val="007935DD"/>
    <w:rsid w:val="007938B8"/>
    <w:rsid w:val="00793CF3"/>
    <w:rsid w:val="00793D72"/>
    <w:rsid w:val="007942F7"/>
    <w:rsid w:val="00794378"/>
    <w:rsid w:val="007951FB"/>
    <w:rsid w:val="007960C4"/>
    <w:rsid w:val="00796326"/>
    <w:rsid w:val="00796458"/>
    <w:rsid w:val="0079687F"/>
    <w:rsid w:val="00796C28"/>
    <w:rsid w:val="0079700A"/>
    <w:rsid w:val="007974D3"/>
    <w:rsid w:val="007975D2"/>
    <w:rsid w:val="00797CBE"/>
    <w:rsid w:val="00797DA9"/>
    <w:rsid w:val="007A0A84"/>
    <w:rsid w:val="007A16A8"/>
    <w:rsid w:val="007A217F"/>
    <w:rsid w:val="007A2A00"/>
    <w:rsid w:val="007A2C28"/>
    <w:rsid w:val="007A2C36"/>
    <w:rsid w:val="007A3F32"/>
    <w:rsid w:val="007A4716"/>
    <w:rsid w:val="007A4784"/>
    <w:rsid w:val="007A4B87"/>
    <w:rsid w:val="007A4C8C"/>
    <w:rsid w:val="007A4E2A"/>
    <w:rsid w:val="007A51DD"/>
    <w:rsid w:val="007A51E8"/>
    <w:rsid w:val="007A521B"/>
    <w:rsid w:val="007A52AC"/>
    <w:rsid w:val="007A5526"/>
    <w:rsid w:val="007A5C94"/>
    <w:rsid w:val="007A5EB2"/>
    <w:rsid w:val="007A5ED3"/>
    <w:rsid w:val="007A63E4"/>
    <w:rsid w:val="007A648A"/>
    <w:rsid w:val="007A69B8"/>
    <w:rsid w:val="007A6A57"/>
    <w:rsid w:val="007A6C44"/>
    <w:rsid w:val="007A72FC"/>
    <w:rsid w:val="007A7454"/>
    <w:rsid w:val="007A7ABE"/>
    <w:rsid w:val="007A7B4D"/>
    <w:rsid w:val="007B02E7"/>
    <w:rsid w:val="007B0375"/>
    <w:rsid w:val="007B04A5"/>
    <w:rsid w:val="007B06EA"/>
    <w:rsid w:val="007B08B3"/>
    <w:rsid w:val="007B09D3"/>
    <w:rsid w:val="007B1108"/>
    <w:rsid w:val="007B16FB"/>
    <w:rsid w:val="007B1B2D"/>
    <w:rsid w:val="007B1FB5"/>
    <w:rsid w:val="007B2038"/>
    <w:rsid w:val="007B231B"/>
    <w:rsid w:val="007B232B"/>
    <w:rsid w:val="007B25E4"/>
    <w:rsid w:val="007B2DC3"/>
    <w:rsid w:val="007B2E5A"/>
    <w:rsid w:val="007B2EA6"/>
    <w:rsid w:val="007B2F62"/>
    <w:rsid w:val="007B3CAA"/>
    <w:rsid w:val="007B3D29"/>
    <w:rsid w:val="007B3E24"/>
    <w:rsid w:val="007B3E2B"/>
    <w:rsid w:val="007B4367"/>
    <w:rsid w:val="007B45F8"/>
    <w:rsid w:val="007B4B9B"/>
    <w:rsid w:val="007B4DF8"/>
    <w:rsid w:val="007B5126"/>
    <w:rsid w:val="007B5CC7"/>
    <w:rsid w:val="007B654D"/>
    <w:rsid w:val="007B69F7"/>
    <w:rsid w:val="007B6EE4"/>
    <w:rsid w:val="007B7018"/>
    <w:rsid w:val="007B71DD"/>
    <w:rsid w:val="007B7728"/>
    <w:rsid w:val="007B7964"/>
    <w:rsid w:val="007B7C02"/>
    <w:rsid w:val="007B7FE7"/>
    <w:rsid w:val="007C08E6"/>
    <w:rsid w:val="007C0A45"/>
    <w:rsid w:val="007C0A86"/>
    <w:rsid w:val="007C0AD4"/>
    <w:rsid w:val="007C0C7F"/>
    <w:rsid w:val="007C10F8"/>
    <w:rsid w:val="007C15E9"/>
    <w:rsid w:val="007C18C9"/>
    <w:rsid w:val="007C1D9D"/>
    <w:rsid w:val="007C22FC"/>
    <w:rsid w:val="007C25C0"/>
    <w:rsid w:val="007C286A"/>
    <w:rsid w:val="007C3655"/>
    <w:rsid w:val="007C3BDC"/>
    <w:rsid w:val="007C40A9"/>
    <w:rsid w:val="007C5033"/>
    <w:rsid w:val="007C52E0"/>
    <w:rsid w:val="007C5692"/>
    <w:rsid w:val="007C5826"/>
    <w:rsid w:val="007C5ACD"/>
    <w:rsid w:val="007C6706"/>
    <w:rsid w:val="007C683E"/>
    <w:rsid w:val="007C6D6F"/>
    <w:rsid w:val="007C6DC9"/>
    <w:rsid w:val="007C6EE3"/>
    <w:rsid w:val="007C6F0A"/>
    <w:rsid w:val="007C6F8F"/>
    <w:rsid w:val="007C70B9"/>
    <w:rsid w:val="007C738C"/>
    <w:rsid w:val="007C76B1"/>
    <w:rsid w:val="007C784C"/>
    <w:rsid w:val="007C7DD8"/>
    <w:rsid w:val="007D16F7"/>
    <w:rsid w:val="007D17C0"/>
    <w:rsid w:val="007D1A80"/>
    <w:rsid w:val="007D1B51"/>
    <w:rsid w:val="007D20F1"/>
    <w:rsid w:val="007D22AE"/>
    <w:rsid w:val="007D2607"/>
    <w:rsid w:val="007D2642"/>
    <w:rsid w:val="007D2A1E"/>
    <w:rsid w:val="007D2F00"/>
    <w:rsid w:val="007D37BB"/>
    <w:rsid w:val="007D3804"/>
    <w:rsid w:val="007D3A5F"/>
    <w:rsid w:val="007D3D81"/>
    <w:rsid w:val="007D3F5D"/>
    <w:rsid w:val="007D4756"/>
    <w:rsid w:val="007D50EF"/>
    <w:rsid w:val="007D523A"/>
    <w:rsid w:val="007D53B6"/>
    <w:rsid w:val="007D6198"/>
    <w:rsid w:val="007D6544"/>
    <w:rsid w:val="007D65FB"/>
    <w:rsid w:val="007D66DC"/>
    <w:rsid w:val="007D685D"/>
    <w:rsid w:val="007D6AE0"/>
    <w:rsid w:val="007D7371"/>
    <w:rsid w:val="007D741B"/>
    <w:rsid w:val="007D754A"/>
    <w:rsid w:val="007D7696"/>
    <w:rsid w:val="007D7D50"/>
    <w:rsid w:val="007D7D53"/>
    <w:rsid w:val="007E008F"/>
    <w:rsid w:val="007E08E6"/>
    <w:rsid w:val="007E0E6A"/>
    <w:rsid w:val="007E1032"/>
    <w:rsid w:val="007E1119"/>
    <w:rsid w:val="007E12F7"/>
    <w:rsid w:val="007E14CE"/>
    <w:rsid w:val="007E191A"/>
    <w:rsid w:val="007E213D"/>
    <w:rsid w:val="007E2AFD"/>
    <w:rsid w:val="007E2B74"/>
    <w:rsid w:val="007E2EDA"/>
    <w:rsid w:val="007E3005"/>
    <w:rsid w:val="007E3A91"/>
    <w:rsid w:val="007E3AD7"/>
    <w:rsid w:val="007E430C"/>
    <w:rsid w:val="007E4BE6"/>
    <w:rsid w:val="007E4E53"/>
    <w:rsid w:val="007E500F"/>
    <w:rsid w:val="007E513E"/>
    <w:rsid w:val="007E5233"/>
    <w:rsid w:val="007E5297"/>
    <w:rsid w:val="007E52F2"/>
    <w:rsid w:val="007E5B88"/>
    <w:rsid w:val="007E5BA7"/>
    <w:rsid w:val="007E5EC1"/>
    <w:rsid w:val="007E663A"/>
    <w:rsid w:val="007E6CC8"/>
    <w:rsid w:val="007E6E34"/>
    <w:rsid w:val="007E7184"/>
    <w:rsid w:val="007E7564"/>
    <w:rsid w:val="007E7643"/>
    <w:rsid w:val="007E7B3E"/>
    <w:rsid w:val="007F07FF"/>
    <w:rsid w:val="007F0A40"/>
    <w:rsid w:val="007F0B79"/>
    <w:rsid w:val="007F0CEA"/>
    <w:rsid w:val="007F0D0B"/>
    <w:rsid w:val="007F0F81"/>
    <w:rsid w:val="007F0F91"/>
    <w:rsid w:val="007F104E"/>
    <w:rsid w:val="007F1204"/>
    <w:rsid w:val="007F123A"/>
    <w:rsid w:val="007F1766"/>
    <w:rsid w:val="007F1934"/>
    <w:rsid w:val="007F1B9F"/>
    <w:rsid w:val="007F1BB4"/>
    <w:rsid w:val="007F1C00"/>
    <w:rsid w:val="007F1D07"/>
    <w:rsid w:val="007F20A8"/>
    <w:rsid w:val="007F20BF"/>
    <w:rsid w:val="007F24F0"/>
    <w:rsid w:val="007F2628"/>
    <w:rsid w:val="007F2B29"/>
    <w:rsid w:val="007F2B37"/>
    <w:rsid w:val="007F2CA8"/>
    <w:rsid w:val="007F31B5"/>
    <w:rsid w:val="007F31FE"/>
    <w:rsid w:val="007F335D"/>
    <w:rsid w:val="007F377E"/>
    <w:rsid w:val="007F3D66"/>
    <w:rsid w:val="007F4170"/>
    <w:rsid w:val="007F41A9"/>
    <w:rsid w:val="007F47D4"/>
    <w:rsid w:val="007F5058"/>
    <w:rsid w:val="007F513D"/>
    <w:rsid w:val="007F5942"/>
    <w:rsid w:val="007F597E"/>
    <w:rsid w:val="007F5BC6"/>
    <w:rsid w:val="007F5CD8"/>
    <w:rsid w:val="007F5E3F"/>
    <w:rsid w:val="007F6713"/>
    <w:rsid w:val="007F6B61"/>
    <w:rsid w:val="007F6D5D"/>
    <w:rsid w:val="007F7208"/>
    <w:rsid w:val="007F76A2"/>
    <w:rsid w:val="008003DB"/>
    <w:rsid w:val="00800674"/>
    <w:rsid w:val="008007A8"/>
    <w:rsid w:val="0080086F"/>
    <w:rsid w:val="00800FCA"/>
    <w:rsid w:val="00800FD9"/>
    <w:rsid w:val="0080106C"/>
    <w:rsid w:val="0080155C"/>
    <w:rsid w:val="00801996"/>
    <w:rsid w:val="00801B8F"/>
    <w:rsid w:val="00801F19"/>
    <w:rsid w:val="0080263C"/>
    <w:rsid w:val="0080277B"/>
    <w:rsid w:val="00802854"/>
    <w:rsid w:val="00802AEA"/>
    <w:rsid w:val="00802E75"/>
    <w:rsid w:val="00802FEB"/>
    <w:rsid w:val="0080361C"/>
    <w:rsid w:val="00803876"/>
    <w:rsid w:val="00803B21"/>
    <w:rsid w:val="00803E87"/>
    <w:rsid w:val="008042D9"/>
    <w:rsid w:val="008043B7"/>
    <w:rsid w:val="00804A67"/>
    <w:rsid w:val="00804A8E"/>
    <w:rsid w:val="00804CAA"/>
    <w:rsid w:val="0080506E"/>
    <w:rsid w:val="00805170"/>
    <w:rsid w:val="0080553A"/>
    <w:rsid w:val="008057B0"/>
    <w:rsid w:val="008057DC"/>
    <w:rsid w:val="00805C63"/>
    <w:rsid w:val="00805D69"/>
    <w:rsid w:val="00805F00"/>
    <w:rsid w:val="0080635E"/>
    <w:rsid w:val="00806888"/>
    <w:rsid w:val="00806950"/>
    <w:rsid w:val="00806AB8"/>
    <w:rsid w:val="00806C85"/>
    <w:rsid w:val="00806ED1"/>
    <w:rsid w:val="00807162"/>
    <w:rsid w:val="0080724C"/>
    <w:rsid w:val="0080739A"/>
    <w:rsid w:val="008074A8"/>
    <w:rsid w:val="00807500"/>
    <w:rsid w:val="00807AEE"/>
    <w:rsid w:val="00810A36"/>
    <w:rsid w:val="00811132"/>
    <w:rsid w:val="00811654"/>
    <w:rsid w:val="0081196C"/>
    <w:rsid w:val="008119BD"/>
    <w:rsid w:val="008119D5"/>
    <w:rsid w:val="00811B50"/>
    <w:rsid w:val="0081246F"/>
    <w:rsid w:val="00812E92"/>
    <w:rsid w:val="00813A05"/>
    <w:rsid w:val="00813CB0"/>
    <w:rsid w:val="00813CB8"/>
    <w:rsid w:val="008140A5"/>
    <w:rsid w:val="00814102"/>
    <w:rsid w:val="008146D8"/>
    <w:rsid w:val="00814939"/>
    <w:rsid w:val="00814AFD"/>
    <w:rsid w:val="00814FC0"/>
    <w:rsid w:val="00815672"/>
    <w:rsid w:val="00815ADC"/>
    <w:rsid w:val="00815D5C"/>
    <w:rsid w:val="008162DD"/>
    <w:rsid w:val="00816512"/>
    <w:rsid w:val="00816A90"/>
    <w:rsid w:val="008171A5"/>
    <w:rsid w:val="00817AC3"/>
    <w:rsid w:val="00817AEE"/>
    <w:rsid w:val="00817C49"/>
    <w:rsid w:val="00817C73"/>
    <w:rsid w:val="00817EF3"/>
    <w:rsid w:val="00817FF4"/>
    <w:rsid w:val="008200DB"/>
    <w:rsid w:val="008204C9"/>
    <w:rsid w:val="008209CE"/>
    <w:rsid w:val="00820CDA"/>
    <w:rsid w:val="00820FFD"/>
    <w:rsid w:val="00821213"/>
    <w:rsid w:val="008212E3"/>
    <w:rsid w:val="00821DE8"/>
    <w:rsid w:val="0082203A"/>
    <w:rsid w:val="008221C3"/>
    <w:rsid w:val="0082251B"/>
    <w:rsid w:val="0082299D"/>
    <w:rsid w:val="00823005"/>
    <w:rsid w:val="0082334F"/>
    <w:rsid w:val="00823548"/>
    <w:rsid w:val="0082365F"/>
    <w:rsid w:val="008236ED"/>
    <w:rsid w:val="00823763"/>
    <w:rsid w:val="008238A4"/>
    <w:rsid w:val="00823C12"/>
    <w:rsid w:val="0082441B"/>
    <w:rsid w:val="008245F2"/>
    <w:rsid w:val="008248C0"/>
    <w:rsid w:val="00824E00"/>
    <w:rsid w:val="008251D0"/>
    <w:rsid w:val="00825951"/>
    <w:rsid w:val="00825DA5"/>
    <w:rsid w:val="00825E16"/>
    <w:rsid w:val="0082600D"/>
    <w:rsid w:val="0082605D"/>
    <w:rsid w:val="008261EF"/>
    <w:rsid w:val="008262E1"/>
    <w:rsid w:val="0082663F"/>
    <w:rsid w:val="008273F4"/>
    <w:rsid w:val="00827A76"/>
    <w:rsid w:val="00827AB0"/>
    <w:rsid w:val="008303E4"/>
    <w:rsid w:val="0083105D"/>
    <w:rsid w:val="008310BB"/>
    <w:rsid w:val="00831272"/>
    <w:rsid w:val="00831880"/>
    <w:rsid w:val="00831C6E"/>
    <w:rsid w:val="00831D70"/>
    <w:rsid w:val="00831E80"/>
    <w:rsid w:val="008330A7"/>
    <w:rsid w:val="00833609"/>
    <w:rsid w:val="008339C1"/>
    <w:rsid w:val="0083409B"/>
    <w:rsid w:val="0083451C"/>
    <w:rsid w:val="008346CD"/>
    <w:rsid w:val="00834A27"/>
    <w:rsid w:val="00834AFC"/>
    <w:rsid w:val="00834C14"/>
    <w:rsid w:val="00834C31"/>
    <w:rsid w:val="00835429"/>
    <w:rsid w:val="008355C5"/>
    <w:rsid w:val="00836219"/>
    <w:rsid w:val="00836450"/>
    <w:rsid w:val="00836879"/>
    <w:rsid w:val="00836E81"/>
    <w:rsid w:val="008371C9"/>
    <w:rsid w:val="0083740A"/>
    <w:rsid w:val="00837453"/>
    <w:rsid w:val="0083791D"/>
    <w:rsid w:val="00837B48"/>
    <w:rsid w:val="00837F0C"/>
    <w:rsid w:val="00837F6B"/>
    <w:rsid w:val="00837F95"/>
    <w:rsid w:val="00837FC2"/>
    <w:rsid w:val="00840496"/>
    <w:rsid w:val="00840746"/>
    <w:rsid w:val="008408CC"/>
    <w:rsid w:val="0084166F"/>
    <w:rsid w:val="00841691"/>
    <w:rsid w:val="0084189C"/>
    <w:rsid w:val="008418D5"/>
    <w:rsid w:val="008423D9"/>
    <w:rsid w:val="00842660"/>
    <w:rsid w:val="00842EC5"/>
    <w:rsid w:val="00843861"/>
    <w:rsid w:val="00844024"/>
    <w:rsid w:val="00844094"/>
    <w:rsid w:val="00844365"/>
    <w:rsid w:val="0084476F"/>
    <w:rsid w:val="008449B0"/>
    <w:rsid w:val="008449B9"/>
    <w:rsid w:val="00844DDD"/>
    <w:rsid w:val="008450F8"/>
    <w:rsid w:val="00845622"/>
    <w:rsid w:val="00845938"/>
    <w:rsid w:val="00845E53"/>
    <w:rsid w:val="00845FAB"/>
    <w:rsid w:val="00846064"/>
    <w:rsid w:val="00846134"/>
    <w:rsid w:val="008462F9"/>
    <w:rsid w:val="00846C3C"/>
    <w:rsid w:val="00847191"/>
    <w:rsid w:val="008472D2"/>
    <w:rsid w:val="008476FB"/>
    <w:rsid w:val="00847A33"/>
    <w:rsid w:val="00847A74"/>
    <w:rsid w:val="00847FA6"/>
    <w:rsid w:val="0085031D"/>
    <w:rsid w:val="00850760"/>
    <w:rsid w:val="008509B7"/>
    <w:rsid w:val="00850E7E"/>
    <w:rsid w:val="008519FF"/>
    <w:rsid w:val="00851BA3"/>
    <w:rsid w:val="008520B0"/>
    <w:rsid w:val="0085293D"/>
    <w:rsid w:val="00852C6E"/>
    <w:rsid w:val="00852ECA"/>
    <w:rsid w:val="008530E1"/>
    <w:rsid w:val="008546AC"/>
    <w:rsid w:val="00854C7D"/>
    <w:rsid w:val="00854E27"/>
    <w:rsid w:val="00854F89"/>
    <w:rsid w:val="0085518D"/>
    <w:rsid w:val="008556A3"/>
    <w:rsid w:val="00855E51"/>
    <w:rsid w:val="008562B8"/>
    <w:rsid w:val="00856377"/>
    <w:rsid w:val="0085688E"/>
    <w:rsid w:val="00856C03"/>
    <w:rsid w:val="0085717F"/>
    <w:rsid w:val="0085722C"/>
    <w:rsid w:val="00857577"/>
    <w:rsid w:val="00860158"/>
    <w:rsid w:val="008603A2"/>
    <w:rsid w:val="008607CF"/>
    <w:rsid w:val="00860A63"/>
    <w:rsid w:val="00860AC2"/>
    <w:rsid w:val="00860FF2"/>
    <w:rsid w:val="00861122"/>
    <w:rsid w:val="0086155F"/>
    <w:rsid w:val="00861660"/>
    <w:rsid w:val="00861973"/>
    <w:rsid w:val="00861A9C"/>
    <w:rsid w:val="00861B56"/>
    <w:rsid w:val="00861DD9"/>
    <w:rsid w:val="0086254F"/>
    <w:rsid w:val="00862D16"/>
    <w:rsid w:val="00862E0C"/>
    <w:rsid w:val="00862E42"/>
    <w:rsid w:val="00862EDF"/>
    <w:rsid w:val="00863153"/>
    <w:rsid w:val="0086355A"/>
    <w:rsid w:val="00863C53"/>
    <w:rsid w:val="00864D20"/>
    <w:rsid w:val="008652C2"/>
    <w:rsid w:val="00865909"/>
    <w:rsid w:val="0086599E"/>
    <w:rsid w:val="008659A8"/>
    <w:rsid w:val="00866400"/>
    <w:rsid w:val="00866C90"/>
    <w:rsid w:val="00867673"/>
    <w:rsid w:val="008678A5"/>
    <w:rsid w:val="00867EA0"/>
    <w:rsid w:val="00867F0F"/>
    <w:rsid w:val="008705F0"/>
    <w:rsid w:val="00870720"/>
    <w:rsid w:val="00870A7B"/>
    <w:rsid w:val="00870B8A"/>
    <w:rsid w:val="00870C4C"/>
    <w:rsid w:val="00870E26"/>
    <w:rsid w:val="00871301"/>
    <w:rsid w:val="00871A0B"/>
    <w:rsid w:val="00871EC0"/>
    <w:rsid w:val="008724DE"/>
    <w:rsid w:val="00872538"/>
    <w:rsid w:val="00872969"/>
    <w:rsid w:val="008729D2"/>
    <w:rsid w:val="00872B75"/>
    <w:rsid w:val="00872D0D"/>
    <w:rsid w:val="00872D3D"/>
    <w:rsid w:val="00872F00"/>
    <w:rsid w:val="00873429"/>
    <w:rsid w:val="0087391A"/>
    <w:rsid w:val="00873A21"/>
    <w:rsid w:val="00873BE6"/>
    <w:rsid w:val="00873F4E"/>
    <w:rsid w:val="00873F5B"/>
    <w:rsid w:val="008745EF"/>
    <w:rsid w:val="0087471D"/>
    <w:rsid w:val="00875363"/>
    <w:rsid w:val="008758D9"/>
    <w:rsid w:val="008759E7"/>
    <w:rsid w:val="00875CE5"/>
    <w:rsid w:val="00876475"/>
    <w:rsid w:val="00876699"/>
    <w:rsid w:val="00876868"/>
    <w:rsid w:val="00876B1F"/>
    <w:rsid w:val="00876B7F"/>
    <w:rsid w:val="00877124"/>
    <w:rsid w:val="008771EB"/>
    <w:rsid w:val="00877376"/>
    <w:rsid w:val="0087774C"/>
    <w:rsid w:val="00877909"/>
    <w:rsid w:val="00877B6A"/>
    <w:rsid w:val="00877BE2"/>
    <w:rsid w:val="00880AEC"/>
    <w:rsid w:val="00880E5A"/>
    <w:rsid w:val="0088144A"/>
    <w:rsid w:val="008818F2"/>
    <w:rsid w:val="0088235F"/>
    <w:rsid w:val="0088297E"/>
    <w:rsid w:val="00882B0A"/>
    <w:rsid w:val="00882C2F"/>
    <w:rsid w:val="00882E90"/>
    <w:rsid w:val="008833EF"/>
    <w:rsid w:val="00883879"/>
    <w:rsid w:val="00883882"/>
    <w:rsid w:val="00883921"/>
    <w:rsid w:val="00883B0A"/>
    <w:rsid w:val="00883FBC"/>
    <w:rsid w:val="008840AF"/>
    <w:rsid w:val="00884659"/>
    <w:rsid w:val="008846B3"/>
    <w:rsid w:val="00884908"/>
    <w:rsid w:val="00884A36"/>
    <w:rsid w:val="00884D06"/>
    <w:rsid w:val="008851FD"/>
    <w:rsid w:val="00885322"/>
    <w:rsid w:val="00885880"/>
    <w:rsid w:val="00885B6A"/>
    <w:rsid w:val="00886399"/>
    <w:rsid w:val="00886926"/>
    <w:rsid w:val="00886F94"/>
    <w:rsid w:val="00887278"/>
    <w:rsid w:val="008875E7"/>
    <w:rsid w:val="008875F6"/>
    <w:rsid w:val="00887A9D"/>
    <w:rsid w:val="00887B71"/>
    <w:rsid w:val="00887EC8"/>
    <w:rsid w:val="00887FB8"/>
    <w:rsid w:val="00890758"/>
    <w:rsid w:val="00891225"/>
    <w:rsid w:val="00891BE0"/>
    <w:rsid w:val="00891CA6"/>
    <w:rsid w:val="00892352"/>
    <w:rsid w:val="0089257C"/>
    <w:rsid w:val="0089262A"/>
    <w:rsid w:val="008926D1"/>
    <w:rsid w:val="00892D3E"/>
    <w:rsid w:val="0089301A"/>
    <w:rsid w:val="0089319B"/>
    <w:rsid w:val="008944DE"/>
    <w:rsid w:val="0089461D"/>
    <w:rsid w:val="0089495A"/>
    <w:rsid w:val="00894973"/>
    <w:rsid w:val="00894AE9"/>
    <w:rsid w:val="0089532B"/>
    <w:rsid w:val="008960C1"/>
    <w:rsid w:val="0089631D"/>
    <w:rsid w:val="00896A3E"/>
    <w:rsid w:val="00896A4D"/>
    <w:rsid w:val="00896D8E"/>
    <w:rsid w:val="008971F5"/>
    <w:rsid w:val="008976EB"/>
    <w:rsid w:val="0089786E"/>
    <w:rsid w:val="00897B95"/>
    <w:rsid w:val="00897D2F"/>
    <w:rsid w:val="008A03AF"/>
    <w:rsid w:val="008A055B"/>
    <w:rsid w:val="008A0E08"/>
    <w:rsid w:val="008A101A"/>
    <w:rsid w:val="008A147F"/>
    <w:rsid w:val="008A18B5"/>
    <w:rsid w:val="008A1941"/>
    <w:rsid w:val="008A2D88"/>
    <w:rsid w:val="008A3B79"/>
    <w:rsid w:val="008A3CB2"/>
    <w:rsid w:val="008A3D0C"/>
    <w:rsid w:val="008A3D57"/>
    <w:rsid w:val="008A3EB5"/>
    <w:rsid w:val="008A3F48"/>
    <w:rsid w:val="008A424A"/>
    <w:rsid w:val="008A4531"/>
    <w:rsid w:val="008A475E"/>
    <w:rsid w:val="008A4A32"/>
    <w:rsid w:val="008A5903"/>
    <w:rsid w:val="008A5974"/>
    <w:rsid w:val="008A59B1"/>
    <w:rsid w:val="008A5B25"/>
    <w:rsid w:val="008A5E7B"/>
    <w:rsid w:val="008A6347"/>
    <w:rsid w:val="008A64A5"/>
    <w:rsid w:val="008A6601"/>
    <w:rsid w:val="008A67B5"/>
    <w:rsid w:val="008A68C8"/>
    <w:rsid w:val="008A6B5A"/>
    <w:rsid w:val="008A7423"/>
    <w:rsid w:val="008A76F3"/>
    <w:rsid w:val="008A7DC4"/>
    <w:rsid w:val="008A7E0D"/>
    <w:rsid w:val="008B01C6"/>
    <w:rsid w:val="008B034D"/>
    <w:rsid w:val="008B092A"/>
    <w:rsid w:val="008B09F6"/>
    <w:rsid w:val="008B0E22"/>
    <w:rsid w:val="008B11D1"/>
    <w:rsid w:val="008B1DD6"/>
    <w:rsid w:val="008B224C"/>
    <w:rsid w:val="008B23BC"/>
    <w:rsid w:val="008B267A"/>
    <w:rsid w:val="008B2C17"/>
    <w:rsid w:val="008B2E41"/>
    <w:rsid w:val="008B2F64"/>
    <w:rsid w:val="008B30AC"/>
    <w:rsid w:val="008B3366"/>
    <w:rsid w:val="008B3560"/>
    <w:rsid w:val="008B377B"/>
    <w:rsid w:val="008B3899"/>
    <w:rsid w:val="008B3E8F"/>
    <w:rsid w:val="008B3FEA"/>
    <w:rsid w:val="008B428E"/>
    <w:rsid w:val="008B4527"/>
    <w:rsid w:val="008B4A6A"/>
    <w:rsid w:val="008B4B5F"/>
    <w:rsid w:val="008B5DF8"/>
    <w:rsid w:val="008B5F11"/>
    <w:rsid w:val="008B5FAC"/>
    <w:rsid w:val="008B5FB6"/>
    <w:rsid w:val="008B6216"/>
    <w:rsid w:val="008B6818"/>
    <w:rsid w:val="008B6AA8"/>
    <w:rsid w:val="008B72C4"/>
    <w:rsid w:val="008B72D5"/>
    <w:rsid w:val="008B77B7"/>
    <w:rsid w:val="008B7AE4"/>
    <w:rsid w:val="008B7EDB"/>
    <w:rsid w:val="008C03EB"/>
    <w:rsid w:val="008C0514"/>
    <w:rsid w:val="008C0963"/>
    <w:rsid w:val="008C0EAC"/>
    <w:rsid w:val="008C0F88"/>
    <w:rsid w:val="008C1945"/>
    <w:rsid w:val="008C1C8C"/>
    <w:rsid w:val="008C1F52"/>
    <w:rsid w:val="008C1FCB"/>
    <w:rsid w:val="008C2061"/>
    <w:rsid w:val="008C213E"/>
    <w:rsid w:val="008C2833"/>
    <w:rsid w:val="008C2BBC"/>
    <w:rsid w:val="008C2F5A"/>
    <w:rsid w:val="008C31FE"/>
    <w:rsid w:val="008C3E9C"/>
    <w:rsid w:val="008C3F12"/>
    <w:rsid w:val="008C4432"/>
    <w:rsid w:val="008C48B1"/>
    <w:rsid w:val="008C48BC"/>
    <w:rsid w:val="008C4B22"/>
    <w:rsid w:val="008C4C27"/>
    <w:rsid w:val="008C4D2B"/>
    <w:rsid w:val="008C5575"/>
    <w:rsid w:val="008C587C"/>
    <w:rsid w:val="008C58FA"/>
    <w:rsid w:val="008C5CCB"/>
    <w:rsid w:val="008C6356"/>
    <w:rsid w:val="008C6670"/>
    <w:rsid w:val="008C6AFF"/>
    <w:rsid w:val="008C705E"/>
    <w:rsid w:val="008C706E"/>
    <w:rsid w:val="008C73A7"/>
    <w:rsid w:val="008C765E"/>
    <w:rsid w:val="008C7C6A"/>
    <w:rsid w:val="008D02AE"/>
    <w:rsid w:val="008D032D"/>
    <w:rsid w:val="008D09A1"/>
    <w:rsid w:val="008D0A78"/>
    <w:rsid w:val="008D0B4D"/>
    <w:rsid w:val="008D0D14"/>
    <w:rsid w:val="008D174F"/>
    <w:rsid w:val="008D1E8F"/>
    <w:rsid w:val="008D20DD"/>
    <w:rsid w:val="008D2BC3"/>
    <w:rsid w:val="008D3AFF"/>
    <w:rsid w:val="008D4273"/>
    <w:rsid w:val="008D44A0"/>
    <w:rsid w:val="008D47AC"/>
    <w:rsid w:val="008D481A"/>
    <w:rsid w:val="008D4C9A"/>
    <w:rsid w:val="008D54BB"/>
    <w:rsid w:val="008D5646"/>
    <w:rsid w:val="008D57B9"/>
    <w:rsid w:val="008D59E2"/>
    <w:rsid w:val="008D5C84"/>
    <w:rsid w:val="008D5F59"/>
    <w:rsid w:val="008D600E"/>
    <w:rsid w:val="008D61A2"/>
    <w:rsid w:val="008D6233"/>
    <w:rsid w:val="008D6291"/>
    <w:rsid w:val="008D6547"/>
    <w:rsid w:val="008D7201"/>
    <w:rsid w:val="008D73F0"/>
    <w:rsid w:val="008D7817"/>
    <w:rsid w:val="008D79A0"/>
    <w:rsid w:val="008D7A9B"/>
    <w:rsid w:val="008D7B4F"/>
    <w:rsid w:val="008D7CA3"/>
    <w:rsid w:val="008D7E44"/>
    <w:rsid w:val="008E057C"/>
    <w:rsid w:val="008E05BA"/>
    <w:rsid w:val="008E08B4"/>
    <w:rsid w:val="008E0BBC"/>
    <w:rsid w:val="008E0D16"/>
    <w:rsid w:val="008E0E69"/>
    <w:rsid w:val="008E0FC2"/>
    <w:rsid w:val="008E1551"/>
    <w:rsid w:val="008E165B"/>
    <w:rsid w:val="008E17B6"/>
    <w:rsid w:val="008E1CED"/>
    <w:rsid w:val="008E1E7A"/>
    <w:rsid w:val="008E1EFD"/>
    <w:rsid w:val="008E2293"/>
    <w:rsid w:val="008E2688"/>
    <w:rsid w:val="008E2D00"/>
    <w:rsid w:val="008E3070"/>
    <w:rsid w:val="008E308B"/>
    <w:rsid w:val="008E3252"/>
    <w:rsid w:val="008E328C"/>
    <w:rsid w:val="008E37E0"/>
    <w:rsid w:val="008E3C37"/>
    <w:rsid w:val="008E3D60"/>
    <w:rsid w:val="008E3F4C"/>
    <w:rsid w:val="008E3F6C"/>
    <w:rsid w:val="008E3FDC"/>
    <w:rsid w:val="008E411E"/>
    <w:rsid w:val="008E423A"/>
    <w:rsid w:val="008E4473"/>
    <w:rsid w:val="008E4B74"/>
    <w:rsid w:val="008E4C58"/>
    <w:rsid w:val="008E4D8F"/>
    <w:rsid w:val="008E4EA5"/>
    <w:rsid w:val="008E5971"/>
    <w:rsid w:val="008E5BDA"/>
    <w:rsid w:val="008E5E8B"/>
    <w:rsid w:val="008E5EB3"/>
    <w:rsid w:val="008E5FAD"/>
    <w:rsid w:val="008E61FE"/>
    <w:rsid w:val="008E67FD"/>
    <w:rsid w:val="008E6BBD"/>
    <w:rsid w:val="008E6E18"/>
    <w:rsid w:val="008E76CD"/>
    <w:rsid w:val="008E780D"/>
    <w:rsid w:val="008E7DF8"/>
    <w:rsid w:val="008E7E05"/>
    <w:rsid w:val="008F062E"/>
    <w:rsid w:val="008F10BB"/>
    <w:rsid w:val="008F19D8"/>
    <w:rsid w:val="008F1BFC"/>
    <w:rsid w:val="008F22BF"/>
    <w:rsid w:val="008F266B"/>
    <w:rsid w:val="008F2791"/>
    <w:rsid w:val="008F27B3"/>
    <w:rsid w:val="008F2909"/>
    <w:rsid w:val="008F2A12"/>
    <w:rsid w:val="008F2B66"/>
    <w:rsid w:val="008F3355"/>
    <w:rsid w:val="008F37F0"/>
    <w:rsid w:val="008F3EE8"/>
    <w:rsid w:val="008F4402"/>
    <w:rsid w:val="008F4C06"/>
    <w:rsid w:val="008F5215"/>
    <w:rsid w:val="008F552E"/>
    <w:rsid w:val="008F56D3"/>
    <w:rsid w:val="008F598F"/>
    <w:rsid w:val="008F5B09"/>
    <w:rsid w:val="008F5B29"/>
    <w:rsid w:val="008F5EC6"/>
    <w:rsid w:val="008F6165"/>
    <w:rsid w:val="008F64DE"/>
    <w:rsid w:val="008F6560"/>
    <w:rsid w:val="008F6725"/>
    <w:rsid w:val="008F6B07"/>
    <w:rsid w:val="008F6C7E"/>
    <w:rsid w:val="008F6F96"/>
    <w:rsid w:val="008F7248"/>
    <w:rsid w:val="008F78F4"/>
    <w:rsid w:val="008F7A2D"/>
    <w:rsid w:val="008F7D41"/>
    <w:rsid w:val="008F7E59"/>
    <w:rsid w:val="0090035E"/>
    <w:rsid w:val="009007E6"/>
    <w:rsid w:val="00900804"/>
    <w:rsid w:val="00900BA8"/>
    <w:rsid w:val="00900C78"/>
    <w:rsid w:val="00900CED"/>
    <w:rsid w:val="00901087"/>
    <w:rsid w:val="00901651"/>
    <w:rsid w:val="0090165F"/>
    <w:rsid w:val="009019D2"/>
    <w:rsid w:val="00901B82"/>
    <w:rsid w:val="00901D88"/>
    <w:rsid w:val="009020AE"/>
    <w:rsid w:val="00902699"/>
    <w:rsid w:val="009029B3"/>
    <w:rsid w:val="00902B96"/>
    <w:rsid w:val="00902C0E"/>
    <w:rsid w:val="00903339"/>
    <w:rsid w:val="0090358A"/>
    <w:rsid w:val="00903B48"/>
    <w:rsid w:val="00903BC0"/>
    <w:rsid w:val="0090420A"/>
    <w:rsid w:val="009046A2"/>
    <w:rsid w:val="009049E3"/>
    <w:rsid w:val="00904C83"/>
    <w:rsid w:val="00906453"/>
    <w:rsid w:val="00906F64"/>
    <w:rsid w:val="00907208"/>
    <w:rsid w:val="009073D1"/>
    <w:rsid w:val="00907702"/>
    <w:rsid w:val="00907990"/>
    <w:rsid w:val="0091002D"/>
    <w:rsid w:val="0091035D"/>
    <w:rsid w:val="009103F6"/>
    <w:rsid w:val="00910583"/>
    <w:rsid w:val="009105BD"/>
    <w:rsid w:val="0091065F"/>
    <w:rsid w:val="0091066F"/>
    <w:rsid w:val="009107A5"/>
    <w:rsid w:val="00910B44"/>
    <w:rsid w:val="00911025"/>
    <w:rsid w:val="0091104B"/>
    <w:rsid w:val="00911464"/>
    <w:rsid w:val="009115AB"/>
    <w:rsid w:val="00911A64"/>
    <w:rsid w:val="00911ED1"/>
    <w:rsid w:val="0091211A"/>
    <w:rsid w:val="00912B09"/>
    <w:rsid w:val="00912BFF"/>
    <w:rsid w:val="00912D7C"/>
    <w:rsid w:val="00912DCF"/>
    <w:rsid w:val="00912E0C"/>
    <w:rsid w:val="00912FD5"/>
    <w:rsid w:val="00913402"/>
    <w:rsid w:val="009135D3"/>
    <w:rsid w:val="00914520"/>
    <w:rsid w:val="00914587"/>
    <w:rsid w:val="00914619"/>
    <w:rsid w:val="00914988"/>
    <w:rsid w:val="00914C32"/>
    <w:rsid w:val="00914C8D"/>
    <w:rsid w:val="00914CB6"/>
    <w:rsid w:val="00914DBE"/>
    <w:rsid w:val="00914EB4"/>
    <w:rsid w:val="009153F3"/>
    <w:rsid w:val="00915931"/>
    <w:rsid w:val="00915955"/>
    <w:rsid w:val="0091632B"/>
    <w:rsid w:val="00916737"/>
    <w:rsid w:val="00916826"/>
    <w:rsid w:val="00916FA4"/>
    <w:rsid w:val="0091720D"/>
    <w:rsid w:val="0091728D"/>
    <w:rsid w:val="0091791E"/>
    <w:rsid w:val="00917BE7"/>
    <w:rsid w:val="00917D9A"/>
    <w:rsid w:val="00917EC6"/>
    <w:rsid w:val="009201E9"/>
    <w:rsid w:val="009204CD"/>
    <w:rsid w:val="00920734"/>
    <w:rsid w:val="009207CD"/>
    <w:rsid w:val="00920AF1"/>
    <w:rsid w:val="00920B5E"/>
    <w:rsid w:val="00920BE0"/>
    <w:rsid w:val="009211E3"/>
    <w:rsid w:val="009214AE"/>
    <w:rsid w:val="009219B6"/>
    <w:rsid w:val="00921FF9"/>
    <w:rsid w:val="00922234"/>
    <w:rsid w:val="009222AC"/>
    <w:rsid w:val="0092259B"/>
    <w:rsid w:val="009229B8"/>
    <w:rsid w:val="00922A03"/>
    <w:rsid w:val="00922B1A"/>
    <w:rsid w:val="00922B72"/>
    <w:rsid w:val="00922CA3"/>
    <w:rsid w:val="00922D20"/>
    <w:rsid w:val="00922F5F"/>
    <w:rsid w:val="0092312D"/>
    <w:rsid w:val="009231B7"/>
    <w:rsid w:val="0092369E"/>
    <w:rsid w:val="009238E6"/>
    <w:rsid w:val="009240A3"/>
    <w:rsid w:val="00924262"/>
    <w:rsid w:val="009242C4"/>
    <w:rsid w:val="00924333"/>
    <w:rsid w:val="00924A7F"/>
    <w:rsid w:val="00924CA6"/>
    <w:rsid w:val="00925627"/>
    <w:rsid w:val="00925979"/>
    <w:rsid w:val="00925DB9"/>
    <w:rsid w:val="009260AB"/>
    <w:rsid w:val="00926290"/>
    <w:rsid w:val="00926482"/>
    <w:rsid w:val="00926585"/>
    <w:rsid w:val="00926916"/>
    <w:rsid w:val="00926A4D"/>
    <w:rsid w:val="009276EE"/>
    <w:rsid w:val="00927976"/>
    <w:rsid w:val="00930B4C"/>
    <w:rsid w:val="00930BD3"/>
    <w:rsid w:val="00930DA7"/>
    <w:rsid w:val="00930F04"/>
    <w:rsid w:val="00931684"/>
    <w:rsid w:val="00931D1B"/>
    <w:rsid w:val="009329EE"/>
    <w:rsid w:val="00932B40"/>
    <w:rsid w:val="00933041"/>
    <w:rsid w:val="009330CD"/>
    <w:rsid w:val="00933193"/>
    <w:rsid w:val="00933640"/>
    <w:rsid w:val="0093396D"/>
    <w:rsid w:val="00933CD1"/>
    <w:rsid w:val="00934328"/>
    <w:rsid w:val="009346D2"/>
    <w:rsid w:val="00934B4B"/>
    <w:rsid w:val="00935B20"/>
    <w:rsid w:val="00935C7E"/>
    <w:rsid w:val="00936127"/>
    <w:rsid w:val="009363E8"/>
    <w:rsid w:val="009368F4"/>
    <w:rsid w:val="0093695E"/>
    <w:rsid w:val="009377DF"/>
    <w:rsid w:val="0093794E"/>
    <w:rsid w:val="00937EB7"/>
    <w:rsid w:val="00937F32"/>
    <w:rsid w:val="00940013"/>
    <w:rsid w:val="009401A3"/>
    <w:rsid w:val="009405D9"/>
    <w:rsid w:val="009407C9"/>
    <w:rsid w:val="00940BF6"/>
    <w:rsid w:val="00941029"/>
    <w:rsid w:val="00941647"/>
    <w:rsid w:val="00941E46"/>
    <w:rsid w:val="00941E4F"/>
    <w:rsid w:val="009421BD"/>
    <w:rsid w:val="00942677"/>
    <w:rsid w:val="00942CA0"/>
    <w:rsid w:val="009432CF"/>
    <w:rsid w:val="009432F0"/>
    <w:rsid w:val="00943EF3"/>
    <w:rsid w:val="00944156"/>
    <w:rsid w:val="009446C2"/>
    <w:rsid w:val="00944B4B"/>
    <w:rsid w:val="00945186"/>
    <w:rsid w:val="009451CF"/>
    <w:rsid w:val="00945B9C"/>
    <w:rsid w:val="009468CD"/>
    <w:rsid w:val="00946BD1"/>
    <w:rsid w:val="00946C9D"/>
    <w:rsid w:val="00947930"/>
    <w:rsid w:val="00947CA7"/>
    <w:rsid w:val="00947CBE"/>
    <w:rsid w:val="00947D8B"/>
    <w:rsid w:val="00950099"/>
    <w:rsid w:val="009501BE"/>
    <w:rsid w:val="00950436"/>
    <w:rsid w:val="00950751"/>
    <w:rsid w:val="009509BF"/>
    <w:rsid w:val="00950CE6"/>
    <w:rsid w:val="009512A7"/>
    <w:rsid w:val="009515AF"/>
    <w:rsid w:val="00951912"/>
    <w:rsid w:val="00951F56"/>
    <w:rsid w:val="00951FEF"/>
    <w:rsid w:val="009520FA"/>
    <w:rsid w:val="009523C5"/>
    <w:rsid w:val="00952AA8"/>
    <w:rsid w:val="0095371E"/>
    <w:rsid w:val="00953A45"/>
    <w:rsid w:val="00953A65"/>
    <w:rsid w:val="00953AFB"/>
    <w:rsid w:val="00953CCA"/>
    <w:rsid w:val="0095470D"/>
    <w:rsid w:val="0095495B"/>
    <w:rsid w:val="00954E1D"/>
    <w:rsid w:val="00954E23"/>
    <w:rsid w:val="00954F91"/>
    <w:rsid w:val="009550DC"/>
    <w:rsid w:val="009551BB"/>
    <w:rsid w:val="00955309"/>
    <w:rsid w:val="009554AC"/>
    <w:rsid w:val="00955797"/>
    <w:rsid w:val="00955ADA"/>
    <w:rsid w:val="0095601C"/>
    <w:rsid w:val="0095647A"/>
    <w:rsid w:val="0095672C"/>
    <w:rsid w:val="00956733"/>
    <w:rsid w:val="00956B00"/>
    <w:rsid w:val="00956CC6"/>
    <w:rsid w:val="00956D9A"/>
    <w:rsid w:val="00956E70"/>
    <w:rsid w:val="00957804"/>
    <w:rsid w:val="00957EB4"/>
    <w:rsid w:val="00957F9F"/>
    <w:rsid w:val="00960223"/>
    <w:rsid w:val="00960322"/>
    <w:rsid w:val="009607F2"/>
    <w:rsid w:val="00960A37"/>
    <w:rsid w:val="00960BD0"/>
    <w:rsid w:val="00960CA4"/>
    <w:rsid w:val="00960CE4"/>
    <w:rsid w:val="00961155"/>
    <w:rsid w:val="009612F9"/>
    <w:rsid w:val="009615EA"/>
    <w:rsid w:val="00961668"/>
    <w:rsid w:val="00961AF6"/>
    <w:rsid w:val="00961B53"/>
    <w:rsid w:val="00961C11"/>
    <w:rsid w:val="00961CBA"/>
    <w:rsid w:val="009626B2"/>
    <w:rsid w:val="0096279A"/>
    <w:rsid w:val="00962A37"/>
    <w:rsid w:val="00962B24"/>
    <w:rsid w:val="00962C31"/>
    <w:rsid w:val="00962F2F"/>
    <w:rsid w:val="009634DB"/>
    <w:rsid w:val="009637DE"/>
    <w:rsid w:val="0096396D"/>
    <w:rsid w:val="00963A09"/>
    <w:rsid w:val="00963A89"/>
    <w:rsid w:val="00963B8D"/>
    <w:rsid w:val="00963F6C"/>
    <w:rsid w:val="0096413D"/>
    <w:rsid w:val="009642FF"/>
    <w:rsid w:val="009647BE"/>
    <w:rsid w:val="00965177"/>
    <w:rsid w:val="009653FE"/>
    <w:rsid w:val="00965735"/>
    <w:rsid w:val="00965B7D"/>
    <w:rsid w:val="00965BD9"/>
    <w:rsid w:val="00965E11"/>
    <w:rsid w:val="00965EB1"/>
    <w:rsid w:val="0096658A"/>
    <w:rsid w:val="0096663C"/>
    <w:rsid w:val="00966AE6"/>
    <w:rsid w:val="00966BD3"/>
    <w:rsid w:val="00966C2F"/>
    <w:rsid w:val="00966F3A"/>
    <w:rsid w:val="0096742A"/>
    <w:rsid w:val="00967F95"/>
    <w:rsid w:val="009703BD"/>
    <w:rsid w:val="00970896"/>
    <w:rsid w:val="00970B1F"/>
    <w:rsid w:val="0097144F"/>
    <w:rsid w:val="00971C9F"/>
    <w:rsid w:val="00971D65"/>
    <w:rsid w:val="00972F1D"/>
    <w:rsid w:val="009736B2"/>
    <w:rsid w:val="009736BD"/>
    <w:rsid w:val="0097395B"/>
    <w:rsid w:val="009742FE"/>
    <w:rsid w:val="00974492"/>
    <w:rsid w:val="00974668"/>
    <w:rsid w:val="00974EF3"/>
    <w:rsid w:val="00974F48"/>
    <w:rsid w:val="0097512B"/>
    <w:rsid w:val="009751CA"/>
    <w:rsid w:val="0097590C"/>
    <w:rsid w:val="00975E87"/>
    <w:rsid w:val="009760A6"/>
    <w:rsid w:val="009767B5"/>
    <w:rsid w:val="00976AFC"/>
    <w:rsid w:val="00976F7A"/>
    <w:rsid w:val="009770D1"/>
    <w:rsid w:val="00977749"/>
    <w:rsid w:val="009779BE"/>
    <w:rsid w:val="00977D93"/>
    <w:rsid w:val="00977F57"/>
    <w:rsid w:val="00980251"/>
    <w:rsid w:val="009802B6"/>
    <w:rsid w:val="009805F4"/>
    <w:rsid w:val="00980E7C"/>
    <w:rsid w:val="00980FF9"/>
    <w:rsid w:val="00981155"/>
    <w:rsid w:val="00981619"/>
    <w:rsid w:val="0098178E"/>
    <w:rsid w:val="00981CCE"/>
    <w:rsid w:val="00981ECC"/>
    <w:rsid w:val="00982404"/>
    <w:rsid w:val="00982828"/>
    <w:rsid w:val="009829AD"/>
    <w:rsid w:val="009829EF"/>
    <w:rsid w:val="00982AD6"/>
    <w:rsid w:val="00982F3F"/>
    <w:rsid w:val="00983051"/>
    <w:rsid w:val="00983150"/>
    <w:rsid w:val="00983845"/>
    <w:rsid w:val="009839EE"/>
    <w:rsid w:val="00984416"/>
    <w:rsid w:val="009848BE"/>
    <w:rsid w:val="00984A3B"/>
    <w:rsid w:val="00984B28"/>
    <w:rsid w:val="00984D51"/>
    <w:rsid w:val="00984FA5"/>
    <w:rsid w:val="00984FE9"/>
    <w:rsid w:val="00985872"/>
    <w:rsid w:val="00985BDA"/>
    <w:rsid w:val="00985CFB"/>
    <w:rsid w:val="00985DCC"/>
    <w:rsid w:val="009862C1"/>
    <w:rsid w:val="009863F5"/>
    <w:rsid w:val="0098658B"/>
    <w:rsid w:val="00986965"/>
    <w:rsid w:val="009869B2"/>
    <w:rsid w:val="00987F43"/>
    <w:rsid w:val="0099035B"/>
    <w:rsid w:val="00990618"/>
    <w:rsid w:val="0099067C"/>
    <w:rsid w:val="009911E6"/>
    <w:rsid w:val="00991444"/>
    <w:rsid w:val="009920E0"/>
    <w:rsid w:val="00992329"/>
    <w:rsid w:val="00992925"/>
    <w:rsid w:val="00992A3A"/>
    <w:rsid w:val="00992B17"/>
    <w:rsid w:val="00992DEA"/>
    <w:rsid w:val="00993026"/>
    <w:rsid w:val="009930B9"/>
    <w:rsid w:val="009935FD"/>
    <w:rsid w:val="009936A1"/>
    <w:rsid w:val="0099472A"/>
    <w:rsid w:val="0099475F"/>
    <w:rsid w:val="00994D23"/>
    <w:rsid w:val="00995061"/>
    <w:rsid w:val="0099532C"/>
    <w:rsid w:val="00995C9B"/>
    <w:rsid w:val="00995F18"/>
    <w:rsid w:val="00996019"/>
    <w:rsid w:val="00996195"/>
    <w:rsid w:val="00996416"/>
    <w:rsid w:val="0099653A"/>
    <w:rsid w:val="00996E4D"/>
    <w:rsid w:val="0099708C"/>
    <w:rsid w:val="00997CB6"/>
    <w:rsid w:val="00997D93"/>
    <w:rsid w:val="009A00C8"/>
    <w:rsid w:val="009A0248"/>
    <w:rsid w:val="009A0A62"/>
    <w:rsid w:val="009A0D05"/>
    <w:rsid w:val="009A1259"/>
    <w:rsid w:val="009A1727"/>
    <w:rsid w:val="009A19CC"/>
    <w:rsid w:val="009A1D96"/>
    <w:rsid w:val="009A25E0"/>
    <w:rsid w:val="009A2A8D"/>
    <w:rsid w:val="009A2D0B"/>
    <w:rsid w:val="009A3138"/>
    <w:rsid w:val="009A3149"/>
    <w:rsid w:val="009A36D3"/>
    <w:rsid w:val="009A38F4"/>
    <w:rsid w:val="009A3A0F"/>
    <w:rsid w:val="009A3A1B"/>
    <w:rsid w:val="009A3AC3"/>
    <w:rsid w:val="009A42B1"/>
    <w:rsid w:val="009A450F"/>
    <w:rsid w:val="009A465A"/>
    <w:rsid w:val="009A49F8"/>
    <w:rsid w:val="009A4A97"/>
    <w:rsid w:val="009A4ACB"/>
    <w:rsid w:val="009A4F97"/>
    <w:rsid w:val="009A533B"/>
    <w:rsid w:val="009A539B"/>
    <w:rsid w:val="009A54D1"/>
    <w:rsid w:val="009A5A53"/>
    <w:rsid w:val="009A5C34"/>
    <w:rsid w:val="009A5CA7"/>
    <w:rsid w:val="009A620C"/>
    <w:rsid w:val="009A634D"/>
    <w:rsid w:val="009A670C"/>
    <w:rsid w:val="009A68CC"/>
    <w:rsid w:val="009A6965"/>
    <w:rsid w:val="009A6C6D"/>
    <w:rsid w:val="009A6D59"/>
    <w:rsid w:val="009A6DAE"/>
    <w:rsid w:val="009A7A3B"/>
    <w:rsid w:val="009A7B38"/>
    <w:rsid w:val="009B001D"/>
    <w:rsid w:val="009B0315"/>
    <w:rsid w:val="009B0525"/>
    <w:rsid w:val="009B11B4"/>
    <w:rsid w:val="009B1A4B"/>
    <w:rsid w:val="009B2091"/>
    <w:rsid w:val="009B247F"/>
    <w:rsid w:val="009B2BD2"/>
    <w:rsid w:val="009B33C7"/>
    <w:rsid w:val="009B36AB"/>
    <w:rsid w:val="009B39FB"/>
    <w:rsid w:val="009B3AD8"/>
    <w:rsid w:val="009B3D3F"/>
    <w:rsid w:val="009B44F1"/>
    <w:rsid w:val="009B4EB9"/>
    <w:rsid w:val="009B4F43"/>
    <w:rsid w:val="009B55FA"/>
    <w:rsid w:val="009B57DE"/>
    <w:rsid w:val="009B5974"/>
    <w:rsid w:val="009B6770"/>
    <w:rsid w:val="009B67CD"/>
    <w:rsid w:val="009B68B6"/>
    <w:rsid w:val="009B6DF4"/>
    <w:rsid w:val="009B6F56"/>
    <w:rsid w:val="009B6FA8"/>
    <w:rsid w:val="009B7020"/>
    <w:rsid w:val="009B72A4"/>
    <w:rsid w:val="009B7497"/>
    <w:rsid w:val="009B7562"/>
    <w:rsid w:val="009B7565"/>
    <w:rsid w:val="009B794C"/>
    <w:rsid w:val="009B7EC5"/>
    <w:rsid w:val="009C01AE"/>
    <w:rsid w:val="009C0A44"/>
    <w:rsid w:val="009C0F4F"/>
    <w:rsid w:val="009C1283"/>
    <w:rsid w:val="009C1289"/>
    <w:rsid w:val="009C13D5"/>
    <w:rsid w:val="009C1A13"/>
    <w:rsid w:val="009C1A87"/>
    <w:rsid w:val="009C1E34"/>
    <w:rsid w:val="009C2242"/>
    <w:rsid w:val="009C27DE"/>
    <w:rsid w:val="009C2B7D"/>
    <w:rsid w:val="009C2BAC"/>
    <w:rsid w:val="009C2E27"/>
    <w:rsid w:val="009C2E3D"/>
    <w:rsid w:val="009C300E"/>
    <w:rsid w:val="009C354A"/>
    <w:rsid w:val="009C38E4"/>
    <w:rsid w:val="009C3D1C"/>
    <w:rsid w:val="009C3EF8"/>
    <w:rsid w:val="009C43A3"/>
    <w:rsid w:val="009C4945"/>
    <w:rsid w:val="009C50B1"/>
    <w:rsid w:val="009C510F"/>
    <w:rsid w:val="009C5139"/>
    <w:rsid w:val="009C52EB"/>
    <w:rsid w:val="009C5433"/>
    <w:rsid w:val="009C5DBE"/>
    <w:rsid w:val="009C62A1"/>
    <w:rsid w:val="009C683F"/>
    <w:rsid w:val="009C6CE0"/>
    <w:rsid w:val="009C6F88"/>
    <w:rsid w:val="009C740B"/>
    <w:rsid w:val="009C7E34"/>
    <w:rsid w:val="009C7E43"/>
    <w:rsid w:val="009D05B9"/>
    <w:rsid w:val="009D1263"/>
    <w:rsid w:val="009D14B6"/>
    <w:rsid w:val="009D156F"/>
    <w:rsid w:val="009D1656"/>
    <w:rsid w:val="009D1DD5"/>
    <w:rsid w:val="009D1E3C"/>
    <w:rsid w:val="009D1E90"/>
    <w:rsid w:val="009D21C6"/>
    <w:rsid w:val="009D21F8"/>
    <w:rsid w:val="009D221C"/>
    <w:rsid w:val="009D2633"/>
    <w:rsid w:val="009D2A78"/>
    <w:rsid w:val="009D3028"/>
    <w:rsid w:val="009D3278"/>
    <w:rsid w:val="009D3868"/>
    <w:rsid w:val="009D3BF4"/>
    <w:rsid w:val="009D3F2A"/>
    <w:rsid w:val="009D440B"/>
    <w:rsid w:val="009D45CD"/>
    <w:rsid w:val="009D57CB"/>
    <w:rsid w:val="009D59BD"/>
    <w:rsid w:val="009D5BE1"/>
    <w:rsid w:val="009D5D63"/>
    <w:rsid w:val="009D5E0F"/>
    <w:rsid w:val="009D5E96"/>
    <w:rsid w:val="009D674D"/>
    <w:rsid w:val="009D67F6"/>
    <w:rsid w:val="009D697D"/>
    <w:rsid w:val="009D6A29"/>
    <w:rsid w:val="009D6B25"/>
    <w:rsid w:val="009D6BCD"/>
    <w:rsid w:val="009D6CF2"/>
    <w:rsid w:val="009D6D17"/>
    <w:rsid w:val="009D6D1F"/>
    <w:rsid w:val="009D6D94"/>
    <w:rsid w:val="009D6EEC"/>
    <w:rsid w:val="009D716B"/>
    <w:rsid w:val="009D7263"/>
    <w:rsid w:val="009D7A59"/>
    <w:rsid w:val="009D7B53"/>
    <w:rsid w:val="009E04E9"/>
    <w:rsid w:val="009E087A"/>
    <w:rsid w:val="009E08D1"/>
    <w:rsid w:val="009E0E43"/>
    <w:rsid w:val="009E0FE1"/>
    <w:rsid w:val="009E1399"/>
    <w:rsid w:val="009E1603"/>
    <w:rsid w:val="009E1756"/>
    <w:rsid w:val="009E1AAB"/>
    <w:rsid w:val="009E1AD0"/>
    <w:rsid w:val="009E1B78"/>
    <w:rsid w:val="009E1D14"/>
    <w:rsid w:val="009E1DCD"/>
    <w:rsid w:val="009E1E34"/>
    <w:rsid w:val="009E1E80"/>
    <w:rsid w:val="009E1EF7"/>
    <w:rsid w:val="009E2279"/>
    <w:rsid w:val="009E22D4"/>
    <w:rsid w:val="009E24BD"/>
    <w:rsid w:val="009E2764"/>
    <w:rsid w:val="009E2F7B"/>
    <w:rsid w:val="009E3A6B"/>
    <w:rsid w:val="009E3CE5"/>
    <w:rsid w:val="009E41EF"/>
    <w:rsid w:val="009E42A2"/>
    <w:rsid w:val="009E43F7"/>
    <w:rsid w:val="009E46A7"/>
    <w:rsid w:val="009E46D8"/>
    <w:rsid w:val="009E4738"/>
    <w:rsid w:val="009E49BE"/>
    <w:rsid w:val="009E4BD0"/>
    <w:rsid w:val="009E4E78"/>
    <w:rsid w:val="009E57F9"/>
    <w:rsid w:val="009E5B95"/>
    <w:rsid w:val="009E6695"/>
    <w:rsid w:val="009E67E5"/>
    <w:rsid w:val="009E72EF"/>
    <w:rsid w:val="009E7432"/>
    <w:rsid w:val="009E74AF"/>
    <w:rsid w:val="009E7BDD"/>
    <w:rsid w:val="009F00AD"/>
    <w:rsid w:val="009F0AC3"/>
    <w:rsid w:val="009F0BA9"/>
    <w:rsid w:val="009F0DEB"/>
    <w:rsid w:val="009F0E73"/>
    <w:rsid w:val="009F10C5"/>
    <w:rsid w:val="009F114B"/>
    <w:rsid w:val="009F17A6"/>
    <w:rsid w:val="009F18EC"/>
    <w:rsid w:val="009F197A"/>
    <w:rsid w:val="009F1A75"/>
    <w:rsid w:val="009F1A7F"/>
    <w:rsid w:val="009F1B87"/>
    <w:rsid w:val="009F1FEC"/>
    <w:rsid w:val="009F2764"/>
    <w:rsid w:val="009F2D79"/>
    <w:rsid w:val="009F2D85"/>
    <w:rsid w:val="009F2D8F"/>
    <w:rsid w:val="009F35FC"/>
    <w:rsid w:val="009F3727"/>
    <w:rsid w:val="009F3AD9"/>
    <w:rsid w:val="009F3B96"/>
    <w:rsid w:val="009F3C55"/>
    <w:rsid w:val="009F4EB8"/>
    <w:rsid w:val="009F4FEC"/>
    <w:rsid w:val="009F5381"/>
    <w:rsid w:val="009F5724"/>
    <w:rsid w:val="009F6089"/>
    <w:rsid w:val="009F631B"/>
    <w:rsid w:val="009F64B8"/>
    <w:rsid w:val="009F67BF"/>
    <w:rsid w:val="009F6B76"/>
    <w:rsid w:val="009F6B8B"/>
    <w:rsid w:val="009F6F80"/>
    <w:rsid w:val="009F7386"/>
    <w:rsid w:val="009F762D"/>
    <w:rsid w:val="009F7AB3"/>
    <w:rsid w:val="009F7EAE"/>
    <w:rsid w:val="009F7EC0"/>
    <w:rsid w:val="00A0079B"/>
    <w:rsid w:val="00A00A6A"/>
    <w:rsid w:val="00A00C68"/>
    <w:rsid w:val="00A01053"/>
    <w:rsid w:val="00A01296"/>
    <w:rsid w:val="00A0149F"/>
    <w:rsid w:val="00A01715"/>
    <w:rsid w:val="00A01A20"/>
    <w:rsid w:val="00A01BDD"/>
    <w:rsid w:val="00A0216D"/>
    <w:rsid w:val="00A02230"/>
    <w:rsid w:val="00A02390"/>
    <w:rsid w:val="00A02D1E"/>
    <w:rsid w:val="00A03421"/>
    <w:rsid w:val="00A03802"/>
    <w:rsid w:val="00A03D09"/>
    <w:rsid w:val="00A0406E"/>
    <w:rsid w:val="00A040BB"/>
    <w:rsid w:val="00A040F1"/>
    <w:rsid w:val="00A041D2"/>
    <w:rsid w:val="00A047B9"/>
    <w:rsid w:val="00A048E3"/>
    <w:rsid w:val="00A04FAF"/>
    <w:rsid w:val="00A05B20"/>
    <w:rsid w:val="00A05C88"/>
    <w:rsid w:val="00A05CA0"/>
    <w:rsid w:val="00A05E77"/>
    <w:rsid w:val="00A0605E"/>
    <w:rsid w:val="00A06692"/>
    <w:rsid w:val="00A06F95"/>
    <w:rsid w:val="00A06FD1"/>
    <w:rsid w:val="00A075CF"/>
    <w:rsid w:val="00A078CE"/>
    <w:rsid w:val="00A078F6"/>
    <w:rsid w:val="00A07DA9"/>
    <w:rsid w:val="00A1002B"/>
    <w:rsid w:val="00A100C8"/>
    <w:rsid w:val="00A106DA"/>
    <w:rsid w:val="00A109E7"/>
    <w:rsid w:val="00A10D48"/>
    <w:rsid w:val="00A10FC7"/>
    <w:rsid w:val="00A1106D"/>
    <w:rsid w:val="00A11307"/>
    <w:rsid w:val="00A11403"/>
    <w:rsid w:val="00A11547"/>
    <w:rsid w:val="00A1180E"/>
    <w:rsid w:val="00A11F4C"/>
    <w:rsid w:val="00A122FE"/>
    <w:rsid w:val="00A12ACE"/>
    <w:rsid w:val="00A13017"/>
    <w:rsid w:val="00A131E5"/>
    <w:rsid w:val="00A13250"/>
    <w:rsid w:val="00A13350"/>
    <w:rsid w:val="00A139A5"/>
    <w:rsid w:val="00A13AF3"/>
    <w:rsid w:val="00A14012"/>
    <w:rsid w:val="00A1422C"/>
    <w:rsid w:val="00A14D2B"/>
    <w:rsid w:val="00A14DA4"/>
    <w:rsid w:val="00A15153"/>
    <w:rsid w:val="00A1530F"/>
    <w:rsid w:val="00A155B5"/>
    <w:rsid w:val="00A15DE4"/>
    <w:rsid w:val="00A16CDB"/>
    <w:rsid w:val="00A16F02"/>
    <w:rsid w:val="00A174D5"/>
    <w:rsid w:val="00A176A4"/>
    <w:rsid w:val="00A17990"/>
    <w:rsid w:val="00A17B80"/>
    <w:rsid w:val="00A2097F"/>
    <w:rsid w:val="00A20A44"/>
    <w:rsid w:val="00A20CBF"/>
    <w:rsid w:val="00A20EB2"/>
    <w:rsid w:val="00A21388"/>
    <w:rsid w:val="00A214E0"/>
    <w:rsid w:val="00A21A78"/>
    <w:rsid w:val="00A21D18"/>
    <w:rsid w:val="00A21FBA"/>
    <w:rsid w:val="00A22443"/>
    <w:rsid w:val="00A22C5D"/>
    <w:rsid w:val="00A22EF1"/>
    <w:rsid w:val="00A22FE0"/>
    <w:rsid w:val="00A234EF"/>
    <w:rsid w:val="00A234F7"/>
    <w:rsid w:val="00A23596"/>
    <w:rsid w:val="00A23672"/>
    <w:rsid w:val="00A23687"/>
    <w:rsid w:val="00A23AEA"/>
    <w:rsid w:val="00A23F85"/>
    <w:rsid w:val="00A2421D"/>
    <w:rsid w:val="00A24237"/>
    <w:rsid w:val="00A2437F"/>
    <w:rsid w:val="00A243CE"/>
    <w:rsid w:val="00A24440"/>
    <w:rsid w:val="00A246EF"/>
    <w:rsid w:val="00A246F8"/>
    <w:rsid w:val="00A249AC"/>
    <w:rsid w:val="00A249C3"/>
    <w:rsid w:val="00A24C8C"/>
    <w:rsid w:val="00A25804"/>
    <w:rsid w:val="00A25959"/>
    <w:rsid w:val="00A26006"/>
    <w:rsid w:val="00A264F2"/>
    <w:rsid w:val="00A26804"/>
    <w:rsid w:val="00A270EE"/>
    <w:rsid w:val="00A27171"/>
    <w:rsid w:val="00A2722C"/>
    <w:rsid w:val="00A2748E"/>
    <w:rsid w:val="00A27791"/>
    <w:rsid w:val="00A27ABE"/>
    <w:rsid w:val="00A27C36"/>
    <w:rsid w:val="00A27D2F"/>
    <w:rsid w:val="00A27F3E"/>
    <w:rsid w:val="00A309AA"/>
    <w:rsid w:val="00A30E6A"/>
    <w:rsid w:val="00A30E7C"/>
    <w:rsid w:val="00A316BF"/>
    <w:rsid w:val="00A3178B"/>
    <w:rsid w:val="00A31801"/>
    <w:rsid w:val="00A31D84"/>
    <w:rsid w:val="00A31EBF"/>
    <w:rsid w:val="00A31F2A"/>
    <w:rsid w:val="00A3203F"/>
    <w:rsid w:val="00A320E5"/>
    <w:rsid w:val="00A3220A"/>
    <w:rsid w:val="00A32B96"/>
    <w:rsid w:val="00A33308"/>
    <w:rsid w:val="00A338A1"/>
    <w:rsid w:val="00A34037"/>
    <w:rsid w:val="00A34151"/>
    <w:rsid w:val="00A349AB"/>
    <w:rsid w:val="00A34BFB"/>
    <w:rsid w:val="00A3502F"/>
    <w:rsid w:val="00A355F9"/>
    <w:rsid w:val="00A35A02"/>
    <w:rsid w:val="00A35A7D"/>
    <w:rsid w:val="00A35AD1"/>
    <w:rsid w:val="00A35D2C"/>
    <w:rsid w:val="00A35F3E"/>
    <w:rsid w:val="00A363EA"/>
    <w:rsid w:val="00A36837"/>
    <w:rsid w:val="00A3688D"/>
    <w:rsid w:val="00A36890"/>
    <w:rsid w:val="00A36BB3"/>
    <w:rsid w:val="00A36FB2"/>
    <w:rsid w:val="00A37202"/>
    <w:rsid w:val="00A372A5"/>
    <w:rsid w:val="00A373AC"/>
    <w:rsid w:val="00A373C2"/>
    <w:rsid w:val="00A3759E"/>
    <w:rsid w:val="00A375D1"/>
    <w:rsid w:val="00A37767"/>
    <w:rsid w:val="00A37962"/>
    <w:rsid w:val="00A40127"/>
    <w:rsid w:val="00A4030F"/>
    <w:rsid w:val="00A404A5"/>
    <w:rsid w:val="00A40969"/>
    <w:rsid w:val="00A40CBA"/>
    <w:rsid w:val="00A41219"/>
    <w:rsid w:val="00A41355"/>
    <w:rsid w:val="00A413B2"/>
    <w:rsid w:val="00A4140E"/>
    <w:rsid w:val="00A41852"/>
    <w:rsid w:val="00A41EC3"/>
    <w:rsid w:val="00A42052"/>
    <w:rsid w:val="00A42634"/>
    <w:rsid w:val="00A432C7"/>
    <w:rsid w:val="00A437B6"/>
    <w:rsid w:val="00A43B13"/>
    <w:rsid w:val="00A43B92"/>
    <w:rsid w:val="00A43D17"/>
    <w:rsid w:val="00A442AF"/>
    <w:rsid w:val="00A442E3"/>
    <w:rsid w:val="00A4463B"/>
    <w:rsid w:val="00A44693"/>
    <w:rsid w:val="00A44A0D"/>
    <w:rsid w:val="00A44F34"/>
    <w:rsid w:val="00A45860"/>
    <w:rsid w:val="00A45B88"/>
    <w:rsid w:val="00A45B93"/>
    <w:rsid w:val="00A460BC"/>
    <w:rsid w:val="00A463D6"/>
    <w:rsid w:val="00A46CA5"/>
    <w:rsid w:val="00A47038"/>
    <w:rsid w:val="00A47183"/>
    <w:rsid w:val="00A47465"/>
    <w:rsid w:val="00A47534"/>
    <w:rsid w:val="00A47CFF"/>
    <w:rsid w:val="00A47DF0"/>
    <w:rsid w:val="00A505ED"/>
    <w:rsid w:val="00A50829"/>
    <w:rsid w:val="00A509AE"/>
    <w:rsid w:val="00A50DB1"/>
    <w:rsid w:val="00A51457"/>
    <w:rsid w:val="00A51FDC"/>
    <w:rsid w:val="00A5222A"/>
    <w:rsid w:val="00A52420"/>
    <w:rsid w:val="00A52596"/>
    <w:rsid w:val="00A52D60"/>
    <w:rsid w:val="00A5346A"/>
    <w:rsid w:val="00A53515"/>
    <w:rsid w:val="00A53846"/>
    <w:rsid w:val="00A53A9C"/>
    <w:rsid w:val="00A53B00"/>
    <w:rsid w:val="00A53DDA"/>
    <w:rsid w:val="00A54198"/>
    <w:rsid w:val="00A54251"/>
    <w:rsid w:val="00A54840"/>
    <w:rsid w:val="00A54D56"/>
    <w:rsid w:val="00A55095"/>
    <w:rsid w:val="00A55156"/>
    <w:rsid w:val="00A55247"/>
    <w:rsid w:val="00A554E4"/>
    <w:rsid w:val="00A55BAE"/>
    <w:rsid w:val="00A55F79"/>
    <w:rsid w:val="00A56335"/>
    <w:rsid w:val="00A567DC"/>
    <w:rsid w:val="00A5681C"/>
    <w:rsid w:val="00A56CA8"/>
    <w:rsid w:val="00A56D57"/>
    <w:rsid w:val="00A57114"/>
    <w:rsid w:val="00A57598"/>
    <w:rsid w:val="00A605A3"/>
    <w:rsid w:val="00A6098F"/>
    <w:rsid w:val="00A612FA"/>
    <w:rsid w:val="00A613B0"/>
    <w:rsid w:val="00A614EB"/>
    <w:rsid w:val="00A6179E"/>
    <w:rsid w:val="00A61B98"/>
    <w:rsid w:val="00A6235B"/>
    <w:rsid w:val="00A623F5"/>
    <w:rsid w:val="00A62CCF"/>
    <w:rsid w:val="00A62DAF"/>
    <w:rsid w:val="00A62DE6"/>
    <w:rsid w:val="00A62F6C"/>
    <w:rsid w:val="00A630A5"/>
    <w:rsid w:val="00A631EF"/>
    <w:rsid w:val="00A6324F"/>
    <w:rsid w:val="00A63294"/>
    <w:rsid w:val="00A633BC"/>
    <w:rsid w:val="00A636C0"/>
    <w:rsid w:val="00A63C63"/>
    <w:rsid w:val="00A63EB1"/>
    <w:rsid w:val="00A64316"/>
    <w:rsid w:val="00A64385"/>
    <w:rsid w:val="00A64ADD"/>
    <w:rsid w:val="00A64DF8"/>
    <w:rsid w:val="00A65270"/>
    <w:rsid w:val="00A657F8"/>
    <w:rsid w:val="00A65CF6"/>
    <w:rsid w:val="00A6615F"/>
    <w:rsid w:val="00A66238"/>
    <w:rsid w:val="00A66736"/>
    <w:rsid w:val="00A66886"/>
    <w:rsid w:val="00A6732D"/>
    <w:rsid w:val="00A67756"/>
    <w:rsid w:val="00A67AFA"/>
    <w:rsid w:val="00A702DF"/>
    <w:rsid w:val="00A7071D"/>
    <w:rsid w:val="00A70ADA"/>
    <w:rsid w:val="00A70B06"/>
    <w:rsid w:val="00A70BA2"/>
    <w:rsid w:val="00A70E02"/>
    <w:rsid w:val="00A71028"/>
    <w:rsid w:val="00A711E7"/>
    <w:rsid w:val="00A71A6F"/>
    <w:rsid w:val="00A7207B"/>
    <w:rsid w:val="00A7285C"/>
    <w:rsid w:val="00A73056"/>
    <w:rsid w:val="00A73205"/>
    <w:rsid w:val="00A73388"/>
    <w:rsid w:val="00A73492"/>
    <w:rsid w:val="00A73497"/>
    <w:rsid w:val="00A734D8"/>
    <w:rsid w:val="00A7467C"/>
    <w:rsid w:val="00A74B07"/>
    <w:rsid w:val="00A74DCA"/>
    <w:rsid w:val="00A75327"/>
    <w:rsid w:val="00A754D4"/>
    <w:rsid w:val="00A7598D"/>
    <w:rsid w:val="00A75BBD"/>
    <w:rsid w:val="00A75BC0"/>
    <w:rsid w:val="00A75BE5"/>
    <w:rsid w:val="00A7615D"/>
    <w:rsid w:val="00A7620F"/>
    <w:rsid w:val="00A76598"/>
    <w:rsid w:val="00A76B82"/>
    <w:rsid w:val="00A7701A"/>
    <w:rsid w:val="00A77744"/>
    <w:rsid w:val="00A7775F"/>
    <w:rsid w:val="00A77B47"/>
    <w:rsid w:val="00A77DA3"/>
    <w:rsid w:val="00A77F62"/>
    <w:rsid w:val="00A8020F"/>
    <w:rsid w:val="00A804D9"/>
    <w:rsid w:val="00A8098A"/>
    <w:rsid w:val="00A80AAC"/>
    <w:rsid w:val="00A81083"/>
    <w:rsid w:val="00A81122"/>
    <w:rsid w:val="00A816D9"/>
    <w:rsid w:val="00A8178F"/>
    <w:rsid w:val="00A8195D"/>
    <w:rsid w:val="00A81AA3"/>
    <w:rsid w:val="00A81F75"/>
    <w:rsid w:val="00A8232B"/>
    <w:rsid w:val="00A825C5"/>
    <w:rsid w:val="00A82731"/>
    <w:rsid w:val="00A828C2"/>
    <w:rsid w:val="00A82ADF"/>
    <w:rsid w:val="00A82B06"/>
    <w:rsid w:val="00A82E8D"/>
    <w:rsid w:val="00A832DC"/>
    <w:rsid w:val="00A84C2C"/>
    <w:rsid w:val="00A84C7C"/>
    <w:rsid w:val="00A84CC7"/>
    <w:rsid w:val="00A84F70"/>
    <w:rsid w:val="00A8542D"/>
    <w:rsid w:val="00A8573B"/>
    <w:rsid w:val="00A85891"/>
    <w:rsid w:val="00A85913"/>
    <w:rsid w:val="00A85B4E"/>
    <w:rsid w:val="00A85E7D"/>
    <w:rsid w:val="00A861B8"/>
    <w:rsid w:val="00A864C6"/>
    <w:rsid w:val="00A86C33"/>
    <w:rsid w:val="00A86F46"/>
    <w:rsid w:val="00A87C24"/>
    <w:rsid w:val="00A90029"/>
    <w:rsid w:val="00A90261"/>
    <w:rsid w:val="00A90F19"/>
    <w:rsid w:val="00A90FDE"/>
    <w:rsid w:val="00A91E39"/>
    <w:rsid w:val="00A921DC"/>
    <w:rsid w:val="00A923C7"/>
    <w:rsid w:val="00A92408"/>
    <w:rsid w:val="00A92915"/>
    <w:rsid w:val="00A92F19"/>
    <w:rsid w:val="00A92F92"/>
    <w:rsid w:val="00A932AB"/>
    <w:rsid w:val="00A94157"/>
    <w:rsid w:val="00A94464"/>
    <w:rsid w:val="00A94510"/>
    <w:rsid w:val="00A94B66"/>
    <w:rsid w:val="00A94BAA"/>
    <w:rsid w:val="00A94BFA"/>
    <w:rsid w:val="00A94D08"/>
    <w:rsid w:val="00A94D54"/>
    <w:rsid w:val="00A94DC5"/>
    <w:rsid w:val="00A95DB4"/>
    <w:rsid w:val="00A962BB"/>
    <w:rsid w:val="00A966A9"/>
    <w:rsid w:val="00A966D8"/>
    <w:rsid w:val="00A96892"/>
    <w:rsid w:val="00A96BF9"/>
    <w:rsid w:val="00A96EEC"/>
    <w:rsid w:val="00A97254"/>
    <w:rsid w:val="00A97436"/>
    <w:rsid w:val="00A97942"/>
    <w:rsid w:val="00AA0127"/>
    <w:rsid w:val="00AA09B2"/>
    <w:rsid w:val="00AA0B7E"/>
    <w:rsid w:val="00AA0F34"/>
    <w:rsid w:val="00AA1427"/>
    <w:rsid w:val="00AA1743"/>
    <w:rsid w:val="00AA18AF"/>
    <w:rsid w:val="00AA1B88"/>
    <w:rsid w:val="00AA2051"/>
    <w:rsid w:val="00AA21C9"/>
    <w:rsid w:val="00AA24A6"/>
    <w:rsid w:val="00AA2C8A"/>
    <w:rsid w:val="00AA2F0F"/>
    <w:rsid w:val="00AA3021"/>
    <w:rsid w:val="00AA3477"/>
    <w:rsid w:val="00AA3517"/>
    <w:rsid w:val="00AA3883"/>
    <w:rsid w:val="00AA40E1"/>
    <w:rsid w:val="00AA4100"/>
    <w:rsid w:val="00AA431E"/>
    <w:rsid w:val="00AA488C"/>
    <w:rsid w:val="00AA4966"/>
    <w:rsid w:val="00AA4A79"/>
    <w:rsid w:val="00AA4EEA"/>
    <w:rsid w:val="00AA4FE5"/>
    <w:rsid w:val="00AA5208"/>
    <w:rsid w:val="00AA53B7"/>
    <w:rsid w:val="00AA67ED"/>
    <w:rsid w:val="00AA6AD3"/>
    <w:rsid w:val="00AA6B1D"/>
    <w:rsid w:val="00AA70C4"/>
    <w:rsid w:val="00AA71AB"/>
    <w:rsid w:val="00AA7C2C"/>
    <w:rsid w:val="00AA7CDA"/>
    <w:rsid w:val="00AA7CE8"/>
    <w:rsid w:val="00AA7F70"/>
    <w:rsid w:val="00AB0102"/>
    <w:rsid w:val="00AB0466"/>
    <w:rsid w:val="00AB0897"/>
    <w:rsid w:val="00AB0964"/>
    <w:rsid w:val="00AB0C25"/>
    <w:rsid w:val="00AB0F32"/>
    <w:rsid w:val="00AB1300"/>
    <w:rsid w:val="00AB14BA"/>
    <w:rsid w:val="00AB1A2D"/>
    <w:rsid w:val="00AB2E99"/>
    <w:rsid w:val="00AB3C2D"/>
    <w:rsid w:val="00AB4365"/>
    <w:rsid w:val="00AB4774"/>
    <w:rsid w:val="00AB4ABA"/>
    <w:rsid w:val="00AB4D0D"/>
    <w:rsid w:val="00AB4E11"/>
    <w:rsid w:val="00AB4E3F"/>
    <w:rsid w:val="00AB50F5"/>
    <w:rsid w:val="00AB54A9"/>
    <w:rsid w:val="00AB56B3"/>
    <w:rsid w:val="00AB5AA7"/>
    <w:rsid w:val="00AB6126"/>
    <w:rsid w:val="00AB62A7"/>
    <w:rsid w:val="00AB657E"/>
    <w:rsid w:val="00AB665D"/>
    <w:rsid w:val="00AB6799"/>
    <w:rsid w:val="00AB6A9C"/>
    <w:rsid w:val="00AB6E23"/>
    <w:rsid w:val="00AB6E7F"/>
    <w:rsid w:val="00AB78C4"/>
    <w:rsid w:val="00AB7A79"/>
    <w:rsid w:val="00AB7C8F"/>
    <w:rsid w:val="00AB7C98"/>
    <w:rsid w:val="00AC00A2"/>
    <w:rsid w:val="00AC0D32"/>
    <w:rsid w:val="00AC0F22"/>
    <w:rsid w:val="00AC118B"/>
    <w:rsid w:val="00AC122A"/>
    <w:rsid w:val="00AC12C2"/>
    <w:rsid w:val="00AC146F"/>
    <w:rsid w:val="00AC1E4B"/>
    <w:rsid w:val="00AC2192"/>
    <w:rsid w:val="00AC2443"/>
    <w:rsid w:val="00AC2518"/>
    <w:rsid w:val="00AC2A10"/>
    <w:rsid w:val="00AC2B56"/>
    <w:rsid w:val="00AC379C"/>
    <w:rsid w:val="00AC3A7B"/>
    <w:rsid w:val="00AC44DE"/>
    <w:rsid w:val="00AC4BEB"/>
    <w:rsid w:val="00AC4C13"/>
    <w:rsid w:val="00AC4D84"/>
    <w:rsid w:val="00AC5736"/>
    <w:rsid w:val="00AC5885"/>
    <w:rsid w:val="00AC58BC"/>
    <w:rsid w:val="00AC5CCE"/>
    <w:rsid w:val="00AC5DB9"/>
    <w:rsid w:val="00AC629C"/>
    <w:rsid w:val="00AC636D"/>
    <w:rsid w:val="00AC6379"/>
    <w:rsid w:val="00AC6D88"/>
    <w:rsid w:val="00AC75E9"/>
    <w:rsid w:val="00AC7613"/>
    <w:rsid w:val="00AC7C4C"/>
    <w:rsid w:val="00AC7E99"/>
    <w:rsid w:val="00AD042C"/>
    <w:rsid w:val="00AD0638"/>
    <w:rsid w:val="00AD07C4"/>
    <w:rsid w:val="00AD0F64"/>
    <w:rsid w:val="00AD13D3"/>
    <w:rsid w:val="00AD1552"/>
    <w:rsid w:val="00AD1C06"/>
    <w:rsid w:val="00AD1C59"/>
    <w:rsid w:val="00AD1CA9"/>
    <w:rsid w:val="00AD200F"/>
    <w:rsid w:val="00AD221A"/>
    <w:rsid w:val="00AD2D26"/>
    <w:rsid w:val="00AD32C1"/>
    <w:rsid w:val="00AD3431"/>
    <w:rsid w:val="00AD3982"/>
    <w:rsid w:val="00AD3BAA"/>
    <w:rsid w:val="00AD3CA2"/>
    <w:rsid w:val="00AD44A1"/>
    <w:rsid w:val="00AD45AC"/>
    <w:rsid w:val="00AD4AD6"/>
    <w:rsid w:val="00AD51D5"/>
    <w:rsid w:val="00AD52D1"/>
    <w:rsid w:val="00AD583F"/>
    <w:rsid w:val="00AD5A56"/>
    <w:rsid w:val="00AD5F34"/>
    <w:rsid w:val="00AD6220"/>
    <w:rsid w:val="00AD6C68"/>
    <w:rsid w:val="00AD6D31"/>
    <w:rsid w:val="00AD71E1"/>
    <w:rsid w:val="00AD71EC"/>
    <w:rsid w:val="00AD780E"/>
    <w:rsid w:val="00AD7DC6"/>
    <w:rsid w:val="00AD7EB6"/>
    <w:rsid w:val="00AE01B9"/>
    <w:rsid w:val="00AE055C"/>
    <w:rsid w:val="00AE0BEC"/>
    <w:rsid w:val="00AE0BF4"/>
    <w:rsid w:val="00AE1016"/>
    <w:rsid w:val="00AE16F7"/>
    <w:rsid w:val="00AE1BA7"/>
    <w:rsid w:val="00AE1D87"/>
    <w:rsid w:val="00AE201D"/>
    <w:rsid w:val="00AE2536"/>
    <w:rsid w:val="00AE2A49"/>
    <w:rsid w:val="00AE2B90"/>
    <w:rsid w:val="00AE2E36"/>
    <w:rsid w:val="00AE2F1B"/>
    <w:rsid w:val="00AE2F90"/>
    <w:rsid w:val="00AE3517"/>
    <w:rsid w:val="00AE379D"/>
    <w:rsid w:val="00AE3816"/>
    <w:rsid w:val="00AE4002"/>
    <w:rsid w:val="00AE431D"/>
    <w:rsid w:val="00AE47FE"/>
    <w:rsid w:val="00AE48D9"/>
    <w:rsid w:val="00AE4DBC"/>
    <w:rsid w:val="00AE4F61"/>
    <w:rsid w:val="00AE525A"/>
    <w:rsid w:val="00AE536D"/>
    <w:rsid w:val="00AE54B8"/>
    <w:rsid w:val="00AE579F"/>
    <w:rsid w:val="00AE5818"/>
    <w:rsid w:val="00AE5E12"/>
    <w:rsid w:val="00AE6213"/>
    <w:rsid w:val="00AE748A"/>
    <w:rsid w:val="00AE749B"/>
    <w:rsid w:val="00AE7C29"/>
    <w:rsid w:val="00AE7ECA"/>
    <w:rsid w:val="00AE7FD2"/>
    <w:rsid w:val="00AF0628"/>
    <w:rsid w:val="00AF06AF"/>
    <w:rsid w:val="00AF0A72"/>
    <w:rsid w:val="00AF0FAB"/>
    <w:rsid w:val="00AF1124"/>
    <w:rsid w:val="00AF1A67"/>
    <w:rsid w:val="00AF1EA1"/>
    <w:rsid w:val="00AF23CE"/>
    <w:rsid w:val="00AF279B"/>
    <w:rsid w:val="00AF291E"/>
    <w:rsid w:val="00AF2A44"/>
    <w:rsid w:val="00AF2EE9"/>
    <w:rsid w:val="00AF34F0"/>
    <w:rsid w:val="00AF3639"/>
    <w:rsid w:val="00AF3960"/>
    <w:rsid w:val="00AF40B3"/>
    <w:rsid w:val="00AF4531"/>
    <w:rsid w:val="00AF506B"/>
    <w:rsid w:val="00AF51A6"/>
    <w:rsid w:val="00AF5239"/>
    <w:rsid w:val="00AF567A"/>
    <w:rsid w:val="00AF59C6"/>
    <w:rsid w:val="00AF5A87"/>
    <w:rsid w:val="00AF5B61"/>
    <w:rsid w:val="00AF5C97"/>
    <w:rsid w:val="00AF62D0"/>
    <w:rsid w:val="00AF6750"/>
    <w:rsid w:val="00AF6D8D"/>
    <w:rsid w:val="00AF6DD3"/>
    <w:rsid w:val="00AF6E3A"/>
    <w:rsid w:val="00AF6FFB"/>
    <w:rsid w:val="00AF715F"/>
    <w:rsid w:val="00AF7593"/>
    <w:rsid w:val="00AF7639"/>
    <w:rsid w:val="00AF7655"/>
    <w:rsid w:val="00AF77E2"/>
    <w:rsid w:val="00AF78C4"/>
    <w:rsid w:val="00B000E5"/>
    <w:rsid w:val="00B0011A"/>
    <w:rsid w:val="00B004BA"/>
    <w:rsid w:val="00B00784"/>
    <w:rsid w:val="00B009F8"/>
    <w:rsid w:val="00B00ED5"/>
    <w:rsid w:val="00B00F61"/>
    <w:rsid w:val="00B011C2"/>
    <w:rsid w:val="00B014A8"/>
    <w:rsid w:val="00B015B8"/>
    <w:rsid w:val="00B0174C"/>
    <w:rsid w:val="00B01D2C"/>
    <w:rsid w:val="00B01DC9"/>
    <w:rsid w:val="00B023E1"/>
    <w:rsid w:val="00B02A58"/>
    <w:rsid w:val="00B02C73"/>
    <w:rsid w:val="00B02DAD"/>
    <w:rsid w:val="00B031AA"/>
    <w:rsid w:val="00B032EB"/>
    <w:rsid w:val="00B036DB"/>
    <w:rsid w:val="00B0383B"/>
    <w:rsid w:val="00B03FDF"/>
    <w:rsid w:val="00B04052"/>
    <w:rsid w:val="00B04666"/>
    <w:rsid w:val="00B0471C"/>
    <w:rsid w:val="00B048ED"/>
    <w:rsid w:val="00B049CB"/>
    <w:rsid w:val="00B04BB6"/>
    <w:rsid w:val="00B04DA1"/>
    <w:rsid w:val="00B0537B"/>
    <w:rsid w:val="00B055AD"/>
    <w:rsid w:val="00B05935"/>
    <w:rsid w:val="00B059CE"/>
    <w:rsid w:val="00B05C31"/>
    <w:rsid w:val="00B06220"/>
    <w:rsid w:val="00B0681E"/>
    <w:rsid w:val="00B074B3"/>
    <w:rsid w:val="00B0797B"/>
    <w:rsid w:val="00B07D0F"/>
    <w:rsid w:val="00B07DB7"/>
    <w:rsid w:val="00B07DD2"/>
    <w:rsid w:val="00B07E71"/>
    <w:rsid w:val="00B10046"/>
    <w:rsid w:val="00B10582"/>
    <w:rsid w:val="00B10C0D"/>
    <w:rsid w:val="00B10E35"/>
    <w:rsid w:val="00B1127A"/>
    <w:rsid w:val="00B11798"/>
    <w:rsid w:val="00B11D43"/>
    <w:rsid w:val="00B1247A"/>
    <w:rsid w:val="00B12858"/>
    <w:rsid w:val="00B132F4"/>
    <w:rsid w:val="00B13715"/>
    <w:rsid w:val="00B13947"/>
    <w:rsid w:val="00B13CDE"/>
    <w:rsid w:val="00B13FD7"/>
    <w:rsid w:val="00B140A3"/>
    <w:rsid w:val="00B14215"/>
    <w:rsid w:val="00B14762"/>
    <w:rsid w:val="00B15045"/>
    <w:rsid w:val="00B15227"/>
    <w:rsid w:val="00B15BB4"/>
    <w:rsid w:val="00B15C99"/>
    <w:rsid w:val="00B15E75"/>
    <w:rsid w:val="00B15EB4"/>
    <w:rsid w:val="00B16637"/>
    <w:rsid w:val="00B17063"/>
    <w:rsid w:val="00B17A48"/>
    <w:rsid w:val="00B201D4"/>
    <w:rsid w:val="00B20AC7"/>
    <w:rsid w:val="00B212D5"/>
    <w:rsid w:val="00B21AB5"/>
    <w:rsid w:val="00B21CB2"/>
    <w:rsid w:val="00B224CE"/>
    <w:rsid w:val="00B22881"/>
    <w:rsid w:val="00B2329A"/>
    <w:rsid w:val="00B237FB"/>
    <w:rsid w:val="00B23CF3"/>
    <w:rsid w:val="00B23F40"/>
    <w:rsid w:val="00B23FFF"/>
    <w:rsid w:val="00B24313"/>
    <w:rsid w:val="00B2450C"/>
    <w:rsid w:val="00B24A93"/>
    <w:rsid w:val="00B24B1D"/>
    <w:rsid w:val="00B24C3F"/>
    <w:rsid w:val="00B24DD3"/>
    <w:rsid w:val="00B24FD6"/>
    <w:rsid w:val="00B263C1"/>
    <w:rsid w:val="00B264AB"/>
    <w:rsid w:val="00B264DC"/>
    <w:rsid w:val="00B26770"/>
    <w:rsid w:val="00B26932"/>
    <w:rsid w:val="00B26A8E"/>
    <w:rsid w:val="00B26B99"/>
    <w:rsid w:val="00B26BC4"/>
    <w:rsid w:val="00B26C33"/>
    <w:rsid w:val="00B26F6D"/>
    <w:rsid w:val="00B26FA4"/>
    <w:rsid w:val="00B271EB"/>
    <w:rsid w:val="00B27309"/>
    <w:rsid w:val="00B277E0"/>
    <w:rsid w:val="00B2794A"/>
    <w:rsid w:val="00B27EE8"/>
    <w:rsid w:val="00B3147F"/>
    <w:rsid w:val="00B315A6"/>
    <w:rsid w:val="00B31B09"/>
    <w:rsid w:val="00B3269F"/>
    <w:rsid w:val="00B3299D"/>
    <w:rsid w:val="00B32B49"/>
    <w:rsid w:val="00B32B91"/>
    <w:rsid w:val="00B32BA2"/>
    <w:rsid w:val="00B32D1A"/>
    <w:rsid w:val="00B32E39"/>
    <w:rsid w:val="00B32EE1"/>
    <w:rsid w:val="00B33133"/>
    <w:rsid w:val="00B33AC3"/>
    <w:rsid w:val="00B33EB1"/>
    <w:rsid w:val="00B33EFC"/>
    <w:rsid w:val="00B3428E"/>
    <w:rsid w:val="00B34568"/>
    <w:rsid w:val="00B346A3"/>
    <w:rsid w:val="00B34946"/>
    <w:rsid w:val="00B34AFD"/>
    <w:rsid w:val="00B3514A"/>
    <w:rsid w:val="00B3535A"/>
    <w:rsid w:val="00B3598F"/>
    <w:rsid w:val="00B35B2B"/>
    <w:rsid w:val="00B35F98"/>
    <w:rsid w:val="00B360E6"/>
    <w:rsid w:val="00B364DD"/>
    <w:rsid w:val="00B36D76"/>
    <w:rsid w:val="00B36DE9"/>
    <w:rsid w:val="00B36E99"/>
    <w:rsid w:val="00B36FCF"/>
    <w:rsid w:val="00B37651"/>
    <w:rsid w:val="00B3766D"/>
    <w:rsid w:val="00B37F13"/>
    <w:rsid w:val="00B4019A"/>
    <w:rsid w:val="00B4038A"/>
    <w:rsid w:val="00B40579"/>
    <w:rsid w:val="00B405C5"/>
    <w:rsid w:val="00B4091B"/>
    <w:rsid w:val="00B40A04"/>
    <w:rsid w:val="00B40AB9"/>
    <w:rsid w:val="00B40F79"/>
    <w:rsid w:val="00B4112C"/>
    <w:rsid w:val="00B4116F"/>
    <w:rsid w:val="00B414DA"/>
    <w:rsid w:val="00B415A9"/>
    <w:rsid w:val="00B4237D"/>
    <w:rsid w:val="00B42ED7"/>
    <w:rsid w:val="00B42F92"/>
    <w:rsid w:val="00B42FEB"/>
    <w:rsid w:val="00B432D2"/>
    <w:rsid w:val="00B43C94"/>
    <w:rsid w:val="00B43CDD"/>
    <w:rsid w:val="00B43EAC"/>
    <w:rsid w:val="00B44118"/>
    <w:rsid w:val="00B445BA"/>
    <w:rsid w:val="00B44627"/>
    <w:rsid w:val="00B447D2"/>
    <w:rsid w:val="00B4487E"/>
    <w:rsid w:val="00B45388"/>
    <w:rsid w:val="00B45693"/>
    <w:rsid w:val="00B4596E"/>
    <w:rsid w:val="00B459ED"/>
    <w:rsid w:val="00B45B52"/>
    <w:rsid w:val="00B45BDF"/>
    <w:rsid w:val="00B45D50"/>
    <w:rsid w:val="00B45F98"/>
    <w:rsid w:val="00B4602B"/>
    <w:rsid w:val="00B46508"/>
    <w:rsid w:val="00B46668"/>
    <w:rsid w:val="00B46CD4"/>
    <w:rsid w:val="00B46ED5"/>
    <w:rsid w:val="00B475D3"/>
    <w:rsid w:val="00B47DB9"/>
    <w:rsid w:val="00B5004C"/>
    <w:rsid w:val="00B500CE"/>
    <w:rsid w:val="00B500FF"/>
    <w:rsid w:val="00B50138"/>
    <w:rsid w:val="00B50183"/>
    <w:rsid w:val="00B501A5"/>
    <w:rsid w:val="00B50307"/>
    <w:rsid w:val="00B5166D"/>
    <w:rsid w:val="00B518A0"/>
    <w:rsid w:val="00B5194C"/>
    <w:rsid w:val="00B519FD"/>
    <w:rsid w:val="00B520BC"/>
    <w:rsid w:val="00B526B0"/>
    <w:rsid w:val="00B529AC"/>
    <w:rsid w:val="00B52AAA"/>
    <w:rsid w:val="00B52C16"/>
    <w:rsid w:val="00B531DD"/>
    <w:rsid w:val="00B535ED"/>
    <w:rsid w:val="00B537FC"/>
    <w:rsid w:val="00B539CC"/>
    <w:rsid w:val="00B53AAD"/>
    <w:rsid w:val="00B53F02"/>
    <w:rsid w:val="00B53F46"/>
    <w:rsid w:val="00B540ED"/>
    <w:rsid w:val="00B541ED"/>
    <w:rsid w:val="00B54266"/>
    <w:rsid w:val="00B544C9"/>
    <w:rsid w:val="00B5456B"/>
    <w:rsid w:val="00B54610"/>
    <w:rsid w:val="00B5496B"/>
    <w:rsid w:val="00B54983"/>
    <w:rsid w:val="00B54B2D"/>
    <w:rsid w:val="00B54B71"/>
    <w:rsid w:val="00B54D32"/>
    <w:rsid w:val="00B550D9"/>
    <w:rsid w:val="00B55223"/>
    <w:rsid w:val="00B55227"/>
    <w:rsid w:val="00B5524E"/>
    <w:rsid w:val="00B55387"/>
    <w:rsid w:val="00B553CA"/>
    <w:rsid w:val="00B5542B"/>
    <w:rsid w:val="00B55B63"/>
    <w:rsid w:val="00B56993"/>
    <w:rsid w:val="00B57606"/>
    <w:rsid w:val="00B57F9E"/>
    <w:rsid w:val="00B6093B"/>
    <w:rsid w:val="00B60BA0"/>
    <w:rsid w:val="00B60C73"/>
    <w:rsid w:val="00B60E14"/>
    <w:rsid w:val="00B6143F"/>
    <w:rsid w:val="00B61585"/>
    <w:rsid w:val="00B61724"/>
    <w:rsid w:val="00B617FD"/>
    <w:rsid w:val="00B61F5F"/>
    <w:rsid w:val="00B620A6"/>
    <w:rsid w:val="00B6215E"/>
    <w:rsid w:val="00B6287D"/>
    <w:rsid w:val="00B629EB"/>
    <w:rsid w:val="00B62B43"/>
    <w:rsid w:val="00B62C97"/>
    <w:rsid w:val="00B63067"/>
    <w:rsid w:val="00B63215"/>
    <w:rsid w:val="00B6338E"/>
    <w:rsid w:val="00B636E8"/>
    <w:rsid w:val="00B63BD5"/>
    <w:rsid w:val="00B63D24"/>
    <w:rsid w:val="00B63F8E"/>
    <w:rsid w:val="00B649E2"/>
    <w:rsid w:val="00B64A36"/>
    <w:rsid w:val="00B64A79"/>
    <w:rsid w:val="00B64BB0"/>
    <w:rsid w:val="00B64DE0"/>
    <w:rsid w:val="00B6540D"/>
    <w:rsid w:val="00B6557F"/>
    <w:rsid w:val="00B65945"/>
    <w:rsid w:val="00B66523"/>
    <w:rsid w:val="00B667F3"/>
    <w:rsid w:val="00B668C3"/>
    <w:rsid w:val="00B66E21"/>
    <w:rsid w:val="00B677A1"/>
    <w:rsid w:val="00B6791C"/>
    <w:rsid w:val="00B67951"/>
    <w:rsid w:val="00B67A7C"/>
    <w:rsid w:val="00B67B3B"/>
    <w:rsid w:val="00B67EB5"/>
    <w:rsid w:val="00B7089B"/>
    <w:rsid w:val="00B70D39"/>
    <w:rsid w:val="00B717EB"/>
    <w:rsid w:val="00B71B3F"/>
    <w:rsid w:val="00B72100"/>
    <w:rsid w:val="00B7260E"/>
    <w:rsid w:val="00B7267D"/>
    <w:rsid w:val="00B72B55"/>
    <w:rsid w:val="00B72BCA"/>
    <w:rsid w:val="00B72C6B"/>
    <w:rsid w:val="00B72CA6"/>
    <w:rsid w:val="00B7302F"/>
    <w:rsid w:val="00B73057"/>
    <w:rsid w:val="00B73A33"/>
    <w:rsid w:val="00B73C80"/>
    <w:rsid w:val="00B73E8E"/>
    <w:rsid w:val="00B73F23"/>
    <w:rsid w:val="00B74531"/>
    <w:rsid w:val="00B7484E"/>
    <w:rsid w:val="00B74ABA"/>
    <w:rsid w:val="00B74F19"/>
    <w:rsid w:val="00B754E0"/>
    <w:rsid w:val="00B75796"/>
    <w:rsid w:val="00B757F3"/>
    <w:rsid w:val="00B75B90"/>
    <w:rsid w:val="00B763DF"/>
    <w:rsid w:val="00B7658D"/>
    <w:rsid w:val="00B766E2"/>
    <w:rsid w:val="00B775DB"/>
    <w:rsid w:val="00B77FDC"/>
    <w:rsid w:val="00B8007C"/>
    <w:rsid w:val="00B8027B"/>
    <w:rsid w:val="00B80292"/>
    <w:rsid w:val="00B80916"/>
    <w:rsid w:val="00B80DA5"/>
    <w:rsid w:val="00B810E0"/>
    <w:rsid w:val="00B810E9"/>
    <w:rsid w:val="00B81C2F"/>
    <w:rsid w:val="00B820C0"/>
    <w:rsid w:val="00B823AD"/>
    <w:rsid w:val="00B82456"/>
    <w:rsid w:val="00B8256D"/>
    <w:rsid w:val="00B82849"/>
    <w:rsid w:val="00B82D4D"/>
    <w:rsid w:val="00B82D82"/>
    <w:rsid w:val="00B82E61"/>
    <w:rsid w:val="00B83391"/>
    <w:rsid w:val="00B83456"/>
    <w:rsid w:val="00B83A62"/>
    <w:rsid w:val="00B83C7B"/>
    <w:rsid w:val="00B8407A"/>
    <w:rsid w:val="00B84404"/>
    <w:rsid w:val="00B84557"/>
    <w:rsid w:val="00B848CF"/>
    <w:rsid w:val="00B84D4A"/>
    <w:rsid w:val="00B84D53"/>
    <w:rsid w:val="00B84DE5"/>
    <w:rsid w:val="00B84F09"/>
    <w:rsid w:val="00B84F3D"/>
    <w:rsid w:val="00B861DD"/>
    <w:rsid w:val="00B8628B"/>
    <w:rsid w:val="00B863AE"/>
    <w:rsid w:val="00B865A3"/>
    <w:rsid w:val="00B87079"/>
    <w:rsid w:val="00B87317"/>
    <w:rsid w:val="00B873DC"/>
    <w:rsid w:val="00B87523"/>
    <w:rsid w:val="00B87BEB"/>
    <w:rsid w:val="00B87F73"/>
    <w:rsid w:val="00B903C0"/>
    <w:rsid w:val="00B91771"/>
    <w:rsid w:val="00B9195C"/>
    <w:rsid w:val="00B91987"/>
    <w:rsid w:val="00B91F88"/>
    <w:rsid w:val="00B924E6"/>
    <w:rsid w:val="00B925AF"/>
    <w:rsid w:val="00B92653"/>
    <w:rsid w:val="00B9267C"/>
    <w:rsid w:val="00B92692"/>
    <w:rsid w:val="00B92E14"/>
    <w:rsid w:val="00B92E2E"/>
    <w:rsid w:val="00B92E8B"/>
    <w:rsid w:val="00B92E94"/>
    <w:rsid w:val="00B936FD"/>
    <w:rsid w:val="00B93723"/>
    <w:rsid w:val="00B9383E"/>
    <w:rsid w:val="00B9392F"/>
    <w:rsid w:val="00B93983"/>
    <w:rsid w:val="00B93BC9"/>
    <w:rsid w:val="00B93FF5"/>
    <w:rsid w:val="00B9420A"/>
    <w:rsid w:val="00B94594"/>
    <w:rsid w:val="00B9477A"/>
    <w:rsid w:val="00B94C97"/>
    <w:rsid w:val="00B94D4B"/>
    <w:rsid w:val="00B94DD5"/>
    <w:rsid w:val="00B95128"/>
    <w:rsid w:val="00B95450"/>
    <w:rsid w:val="00B95ACC"/>
    <w:rsid w:val="00B95D1D"/>
    <w:rsid w:val="00B96019"/>
    <w:rsid w:val="00B9654E"/>
    <w:rsid w:val="00B968A0"/>
    <w:rsid w:val="00B96A37"/>
    <w:rsid w:val="00B96A9C"/>
    <w:rsid w:val="00B96B4F"/>
    <w:rsid w:val="00B96BAD"/>
    <w:rsid w:val="00B97119"/>
    <w:rsid w:val="00B974E6"/>
    <w:rsid w:val="00B9775B"/>
    <w:rsid w:val="00B977E2"/>
    <w:rsid w:val="00B97845"/>
    <w:rsid w:val="00B979B4"/>
    <w:rsid w:val="00B97B7F"/>
    <w:rsid w:val="00B97F47"/>
    <w:rsid w:val="00BA0694"/>
    <w:rsid w:val="00BA0D1B"/>
    <w:rsid w:val="00BA1402"/>
    <w:rsid w:val="00BA1426"/>
    <w:rsid w:val="00BA196A"/>
    <w:rsid w:val="00BA1A2B"/>
    <w:rsid w:val="00BA1D1A"/>
    <w:rsid w:val="00BA222D"/>
    <w:rsid w:val="00BA262D"/>
    <w:rsid w:val="00BA2B1F"/>
    <w:rsid w:val="00BA3C31"/>
    <w:rsid w:val="00BA3F8B"/>
    <w:rsid w:val="00BA416C"/>
    <w:rsid w:val="00BA4239"/>
    <w:rsid w:val="00BA4607"/>
    <w:rsid w:val="00BA4D4D"/>
    <w:rsid w:val="00BA548D"/>
    <w:rsid w:val="00BA5698"/>
    <w:rsid w:val="00BA5ACC"/>
    <w:rsid w:val="00BA5BED"/>
    <w:rsid w:val="00BA5F0A"/>
    <w:rsid w:val="00BA5F9D"/>
    <w:rsid w:val="00BA646A"/>
    <w:rsid w:val="00BA6818"/>
    <w:rsid w:val="00BA6EA0"/>
    <w:rsid w:val="00BA70A1"/>
    <w:rsid w:val="00BA7319"/>
    <w:rsid w:val="00BA7688"/>
    <w:rsid w:val="00BA7B07"/>
    <w:rsid w:val="00BA7CA3"/>
    <w:rsid w:val="00BA7F26"/>
    <w:rsid w:val="00BA7FE2"/>
    <w:rsid w:val="00BB0087"/>
    <w:rsid w:val="00BB02CE"/>
    <w:rsid w:val="00BB034B"/>
    <w:rsid w:val="00BB070F"/>
    <w:rsid w:val="00BB071D"/>
    <w:rsid w:val="00BB09BD"/>
    <w:rsid w:val="00BB0A8B"/>
    <w:rsid w:val="00BB0A97"/>
    <w:rsid w:val="00BB135F"/>
    <w:rsid w:val="00BB162D"/>
    <w:rsid w:val="00BB19C9"/>
    <w:rsid w:val="00BB1C1B"/>
    <w:rsid w:val="00BB2863"/>
    <w:rsid w:val="00BB2A70"/>
    <w:rsid w:val="00BB2C2F"/>
    <w:rsid w:val="00BB2DB0"/>
    <w:rsid w:val="00BB38F6"/>
    <w:rsid w:val="00BB398A"/>
    <w:rsid w:val="00BB3A8E"/>
    <w:rsid w:val="00BB3E70"/>
    <w:rsid w:val="00BB4207"/>
    <w:rsid w:val="00BB43AD"/>
    <w:rsid w:val="00BB449C"/>
    <w:rsid w:val="00BB44A8"/>
    <w:rsid w:val="00BB4D5B"/>
    <w:rsid w:val="00BB4FC4"/>
    <w:rsid w:val="00BB5121"/>
    <w:rsid w:val="00BB5F19"/>
    <w:rsid w:val="00BB608F"/>
    <w:rsid w:val="00BB60FA"/>
    <w:rsid w:val="00BB6163"/>
    <w:rsid w:val="00BB6460"/>
    <w:rsid w:val="00BB6613"/>
    <w:rsid w:val="00BB676D"/>
    <w:rsid w:val="00BB6D9F"/>
    <w:rsid w:val="00BB6E55"/>
    <w:rsid w:val="00BB7177"/>
    <w:rsid w:val="00BB71A8"/>
    <w:rsid w:val="00BB72EC"/>
    <w:rsid w:val="00BB7646"/>
    <w:rsid w:val="00BB7A6C"/>
    <w:rsid w:val="00BB7A9C"/>
    <w:rsid w:val="00BB7E00"/>
    <w:rsid w:val="00BB7E81"/>
    <w:rsid w:val="00BC0256"/>
    <w:rsid w:val="00BC025C"/>
    <w:rsid w:val="00BC0487"/>
    <w:rsid w:val="00BC0595"/>
    <w:rsid w:val="00BC072D"/>
    <w:rsid w:val="00BC075D"/>
    <w:rsid w:val="00BC08E0"/>
    <w:rsid w:val="00BC0C64"/>
    <w:rsid w:val="00BC0C7A"/>
    <w:rsid w:val="00BC1400"/>
    <w:rsid w:val="00BC1780"/>
    <w:rsid w:val="00BC1C1F"/>
    <w:rsid w:val="00BC20EB"/>
    <w:rsid w:val="00BC21B2"/>
    <w:rsid w:val="00BC2470"/>
    <w:rsid w:val="00BC255E"/>
    <w:rsid w:val="00BC2D3E"/>
    <w:rsid w:val="00BC32D6"/>
    <w:rsid w:val="00BC3308"/>
    <w:rsid w:val="00BC3949"/>
    <w:rsid w:val="00BC3A3C"/>
    <w:rsid w:val="00BC3DF8"/>
    <w:rsid w:val="00BC3E7C"/>
    <w:rsid w:val="00BC468B"/>
    <w:rsid w:val="00BC4912"/>
    <w:rsid w:val="00BC5427"/>
    <w:rsid w:val="00BC6C5E"/>
    <w:rsid w:val="00BC700B"/>
    <w:rsid w:val="00BC7622"/>
    <w:rsid w:val="00BC79EB"/>
    <w:rsid w:val="00BC7A77"/>
    <w:rsid w:val="00BC7B55"/>
    <w:rsid w:val="00BC7DB5"/>
    <w:rsid w:val="00BC7E0E"/>
    <w:rsid w:val="00BC7FE9"/>
    <w:rsid w:val="00BD0147"/>
    <w:rsid w:val="00BD02B2"/>
    <w:rsid w:val="00BD08FC"/>
    <w:rsid w:val="00BD0910"/>
    <w:rsid w:val="00BD0ACA"/>
    <w:rsid w:val="00BD0F3F"/>
    <w:rsid w:val="00BD0F79"/>
    <w:rsid w:val="00BD0FB4"/>
    <w:rsid w:val="00BD1199"/>
    <w:rsid w:val="00BD152E"/>
    <w:rsid w:val="00BD1590"/>
    <w:rsid w:val="00BD226E"/>
    <w:rsid w:val="00BD251F"/>
    <w:rsid w:val="00BD2780"/>
    <w:rsid w:val="00BD2D92"/>
    <w:rsid w:val="00BD30B8"/>
    <w:rsid w:val="00BD3D8B"/>
    <w:rsid w:val="00BD417F"/>
    <w:rsid w:val="00BD44DB"/>
    <w:rsid w:val="00BD459C"/>
    <w:rsid w:val="00BD4DB6"/>
    <w:rsid w:val="00BD4FE3"/>
    <w:rsid w:val="00BD53C3"/>
    <w:rsid w:val="00BD5493"/>
    <w:rsid w:val="00BD56DF"/>
    <w:rsid w:val="00BD5FD0"/>
    <w:rsid w:val="00BD66D0"/>
    <w:rsid w:val="00BD680B"/>
    <w:rsid w:val="00BD6A40"/>
    <w:rsid w:val="00BD6E80"/>
    <w:rsid w:val="00BD7CB0"/>
    <w:rsid w:val="00BD7FCF"/>
    <w:rsid w:val="00BE072D"/>
    <w:rsid w:val="00BE075A"/>
    <w:rsid w:val="00BE0835"/>
    <w:rsid w:val="00BE093D"/>
    <w:rsid w:val="00BE0981"/>
    <w:rsid w:val="00BE0AB2"/>
    <w:rsid w:val="00BE1815"/>
    <w:rsid w:val="00BE19EF"/>
    <w:rsid w:val="00BE1BE9"/>
    <w:rsid w:val="00BE2421"/>
    <w:rsid w:val="00BE24D0"/>
    <w:rsid w:val="00BE2E02"/>
    <w:rsid w:val="00BE303C"/>
    <w:rsid w:val="00BE44AF"/>
    <w:rsid w:val="00BE4529"/>
    <w:rsid w:val="00BE504D"/>
    <w:rsid w:val="00BE592C"/>
    <w:rsid w:val="00BE5CA7"/>
    <w:rsid w:val="00BE60D5"/>
    <w:rsid w:val="00BE631C"/>
    <w:rsid w:val="00BE6A8F"/>
    <w:rsid w:val="00BE6ACA"/>
    <w:rsid w:val="00BE6C9F"/>
    <w:rsid w:val="00BE729B"/>
    <w:rsid w:val="00BE73A7"/>
    <w:rsid w:val="00BE74A4"/>
    <w:rsid w:val="00BE763C"/>
    <w:rsid w:val="00BE77BF"/>
    <w:rsid w:val="00BE787C"/>
    <w:rsid w:val="00BF00B3"/>
    <w:rsid w:val="00BF1355"/>
    <w:rsid w:val="00BF14DC"/>
    <w:rsid w:val="00BF16C7"/>
    <w:rsid w:val="00BF1819"/>
    <w:rsid w:val="00BF1B2B"/>
    <w:rsid w:val="00BF1BC6"/>
    <w:rsid w:val="00BF1BCC"/>
    <w:rsid w:val="00BF1CE2"/>
    <w:rsid w:val="00BF1E26"/>
    <w:rsid w:val="00BF1FC0"/>
    <w:rsid w:val="00BF2436"/>
    <w:rsid w:val="00BF2710"/>
    <w:rsid w:val="00BF27BB"/>
    <w:rsid w:val="00BF309A"/>
    <w:rsid w:val="00BF3AB9"/>
    <w:rsid w:val="00BF4698"/>
    <w:rsid w:val="00BF481F"/>
    <w:rsid w:val="00BF4879"/>
    <w:rsid w:val="00BF4EE1"/>
    <w:rsid w:val="00BF52B2"/>
    <w:rsid w:val="00BF562C"/>
    <w:rsid w:val="00BF590E"/>
    <w:rsid w:val="00BF5D07"/>
    <w:rsid w:val="00BF5D18"/>
    <w:rsid w:val="00BF5D21"/>
    <w:rsid w:val="00BF60F8"/>
    <w:rsid w:val="00BF6406"/>
    <w:rsid w:val="00BF6448"/>
    <w:rsid w:val="00BF6B85"/>
    <w:rsid w:val="00BF7083"/>
    <w:rsid w:val="00BF7148"/>
    <w:rsid w:val="00BF76FE"/>
    <w:rsid w:val="00BF7A14"/>
    <w:rsid w:val="00BF7DB0"/>
    <w:rsid w:val="00C00696"/>
    <w:rsid w:val="00C00F08"/>
    <w:rsid w:val="00C00FAE"/>
    <w:rsid w:val="00C01205"/>
    <w:rsid w:val="00C01793"/>
    <w:rsid w:val="00C01F56"/>
    <w:rsid w:val="00C02725"/>
    <w:rsid w:val="00C028B5"/>
    <w:rsid w:val="00C02912"/>
    <w:rsid w:val="00C02B95"/>
    <w:rsid w:val="00C0328D"/>
    <w:rsid w:val="00C035AA"/>
    <w:rsid w:val="00C036A2"/>
    <w:rsid w:val="00C03B01"/>
    <w:rsid w:val="00C04161"/>
    <w:rsid w:val="00C0451C"/>
    <w:rsid w:val="00C046A7"/>
    <w:rsid w:val="00C04831"/>
    <w:rsid w:val="00C04FC7"/>
    <w:rsid w:val="00C05017"/>
    <w:rsid w:val="00C050C7"/>
    <w:rsid w:val="00C05216"/>
    <w:rsid w:val="00C052E0"/>
    <w:rsid w:val="00C057EA"/>
    <w:rsid w:val="00C05A3A"/>
    <w:rsid w:val="00C05E91"/>
    <w:rsid w:val="00C05FF2"/>
    <w:rsid w:val="00C062E2"/>
    <w:rsid w:val="00C064DC"/>
    <w:rsid w:val="00C068F2"/>
    <w:rsid w:val="00C06BEC"/>
    <w:rsid w:val="00C06DAF"/>
    <w:rsid w:val="00C0712B"/>
    <w:rsid w:val="00C0741A"/>
    <w:rsid w:val="00C10435"/>
    <w:rsid w:val="00C10E67"/>
    <w:rsid w:val="00C11094"/>
    <w:rsid w:val="00C1151F"/>
    <w:rsid w:val="00C11729"/>
    <w:rsid w:val="00C11B28"/>
    <w:rsid w:val="00C122CD"/>
    <w:rsid w:val="00C12B00"/>
    <w:rsid w:val="00C13290"/>
    <w:rsid w:val="00C139BB"/>
    <w:rsid w:val="00C13D43"/>
    <w:rsid w:val="00C143CA"/>
    <w:rsid w:val="00C149BD"/>
    <w:rsid w:val="00C14ACC"/>
    <w:rsid w:val="00C14C60"/>
    <w:rsid w:val="00C14E88"/>
    <w:rsid w:val="00C150A8"/>
    <w:rsid w:val="00C15188"/>
    <w:rsid w:val="00C169EA"/>
    <w:rsid w:val="00C16B5D"/>
    <w:rsid w:val="00C16D8C"/>
    <w:rsid w:val="00C1742F"/>
    <w:rsid w:val="00C1744C"/>
    <w:rsid w:val="00C1760A"/>
    <w:rsid w:val="00C1773B"/>
    <w:rsid w:val="00C17C41"/>
    <w:rsid w:val="00C201F1"/>
    <w:rsid w:val="00C20338"/>
    <w:rsid w:val="00C203BF"/>
    <w:rsid w:val="00C20D0E"/>
    <w:rsid w:val="00C20DA0"/>
    <w:rsid w:val="00C20FA5"/>
    <w:rsid w:val="00C21A3D"/>
    <w:rsid w:val="00C21C23"/>
    <w:rsid w:val="00C21DAA"/>
    <w:rsid w:val="00C222C6"/>
    <w:rsid w:val="00C22D2F"/>
    <w:rsid w:val="00C22FDD"/>
    <w:rsid w:val="00C23184"/>
    <w:rsid w:val="00C232C9"/>
    <w:rsid w:val="00C23300"/>
    <w:rsid w:val="00C2389F"/>
    <w:rsid w:val="00C23DC6"/>
    <w:rsid w:val="00C243FB"/>
    <w:rsid w:val="00C24467"/>
    <w:rsid w:val="00C24F4A"/>
    <w:rsid w:val="00C2547C"/>
    <w:rsid w:val="00C2548C"/>
    <w:rsid w:val="00C256BF"/>
    <w:rsid w:val="00C257CB"/>
    <w:rsid w:val="00C25BDA"/>
    <w:rsid w:val="00C25F54"/>
    <w:rsid w:val="00C267E8"/>
    <w:rsid w:val="00C26FA2"/>
    <w:rsid w:val="00C273EF"/>
    <w:rsid w:val="00C277AD"/>
    <w:rsid w:val="00C279D9"/>
    <w:rsid w:val="00C30B77"/>
    <w:rsid w:val="00C313D3"/>
    <w:rsid w:val="00C316A9"/>
    <w:rsid w:val="00C31B23"/>
    <w:rsid w:val="00C31C17"/>
    <w:rsid w:val="00C32450"/>
    <w:rsid w:val="00C325F1"/>
    <w:rsid w:val="00C329B8"/>
    <w:rsid w:val="00C329D6"/>
    <w:rsid w:val="00C32AD9"/>
    <w:rsid w:val="00C32C05"/>
    <w:rsid w:val="00C32C23"/>
    <w:rsid w:val="00C32DA1"/>
    <w:rsid w:val="00C32FA5"/>
    <w:rsid w:val="00C33104"/>
    <w:rsid w:val="00C332D4"/>
    <w:rsid w:val="00C33394"/>
    <w:rsid w:val="00C333C1"/>
    <w:rsid w:val="00C3346B"/>
    <w:rsid w:val="00C33A23"/>
    <w:rsid w:val="00C33AFC"/>
    <w:rsid w:val="00C33C1D"/>
    <w:rsid w:val="00C33EE6"/>
    <w:rsid w:val="00C3418C"/>
    <w:rsid w:val="00C3445B"/>
    <w:rsid w:val="00C34580"/>
    <w:rsid w:val="00C3492B"/>
    <w:rsid w:val="00C34A93"/>
    <w:rsid w:val="00C34BB0"/>
    <w:rsid w:val="00C34FF1"/>
    <w:rsid w:val="00C35231"/>
    <w:rsid w:val="00C35A08"/>
    <w:rsid w:val="00C35AFC"/>
    <w:rsid w:val="00C35FC5"/>
    <w:rsid w:val="00C35FEF"/>
    <w:rsid w:val="00C36581"/>
    <w:rsid w:val="00C366DF"/>
    <w:rsid w:val="00C36E7F"/>
    <w:rsid w:val="00C36ECE"/>
    <w:rsid w:val="00C37BDE"/>
    <w:rsid w:val="00C40472"/>
    <w:rsid w:val="00C4070C"/>
    <w:rsid w:val="00C40A15"/>
    <w:rsid w:val="00C40D11"/>
    <w:rsid w:val="00C40D74"/>
    <w:rsid w:val="00C42069"/>
    <w:rsid w:val="00C4218D"/>
    <w:rsid w:val="00C42735"/>
    <w:rsid w:val="00C42B73"/>
    <w:rsid w:val="00C42CF7"/>
    <w:rsid w:val="00C43163"/>
    <w:rsid w:val="00C43407"/>
    <w:rsid w:val="00C43480"/>
    <w:rsid w:val="00C438AB"/>
    <w:rsid w:val="00C43D31"/>
    <w:rsid w:val="00C4477A"/>
    <w:rsid w:val="00C44D57"/>
    <w:rsid w:val="00C44E1F"/>
    <w:rsid w:val="00C44F58"/>
    <w:rsid w:val="00C4500E"/>
    <w:rsid w:val="00C4535C"/>
    <w:rsid w:val="00C45578"/>
    <w:rsid w:val="00C45FC8"/>
    <w:rsid w:val="00C461D1"/>
    <w:rsid w:val="00C465EB"/>
    <w:rsid w:val="00C4660F"/>
    <w:rsid w:val="00C467BD"/>
    <w:rsid w:val="00C46D4B"/>
    <w:rsid w:val="00C47346"/>
    <w:rsid w:val="00C4741E"/>
    <w:rsid w:val="00C47E6F"/>
    <w:rsid w:val="00C5025B"/>
    <w:rsid w:val="00C504F5"/>
    <w:rsid w:val="00C50876"/>
    <w:rsid w:val="00C50CA6"/>
    <w:rsid w:val="00C51011"/>
    <w:rsid w:val="00C51307"/>
    <w:rsid w:val="00C516E1"/>
    <w:rsid w:val="00C518AD"/>
    <w:rsid w:val="00C51CC1"/>
    <w:rsid w:val="00C51EC8"/>
    <w:rsid w:val="00C51F77"/>
    <w:rsid w:val="00C52547"/>
    <w:rsid w:val="00C52579"/>
    <w:rsid w:val="00C52B65"/>
    <w:rsid w:val="00C53672"/>
    <w:rsid w:val="00C53975"/>
    <w:rsid w:val="00C53A60"/>
    <w:rsid w:val="00C53C21"/>
    <w:rsid w:val="00C54029"/>
    <w:rsid w:val="00C543A5"/>
    <w:rsid w:val="00C543AD"/>
    <w:rsid w:val="00C54650"/>
    <w:rsid w:val="00C547E5"/>
    <w:rsid w:val="00C54A44"/>
    <w:rsid w:val="00C54BAA"/>
    <w:rsid w:val="00C552B2"/>
    <w:rsid w:val="00C55E8F"/>
    <w:rsid w:val="00C560AC"/>
    <w:rsid w:val="00C561DF"/>
    <w:rsid w:val="00C567A8"/>
    <w:rsid w:val="00C567B9"/>
    <w:rsid w:val="00C56B1D"/>
    <w:rsid w:val="00C57283"/>
    <w:rsid w:val="00C57307"/>
    <w:rsid w:val="00C57574"/>
    <w:rsid w:val="00C5781C"/>
    <w:rsid w:val="00C57EB4"/>
    <w:rsid w:val="00C57EBD"/>
    <w:rsid w:val="00C57EF2"/>
    <w:rsid w:val="00C600F1"/>
    <w:rsid w:val="00C60343"/>
    <w:rsid w:val="00C604FB"/>
    <w:rsid w:val="00C60F59"/>
    <w:rsid w:val="00C61886"/>
    <w:rsid w:val="00C61E5D"/>
    <w:rsid w:val="00C61F96"/>
    <w:rsid w:val="00C62281"/>
    <w:rsid w:val="00C62520"/>
    <w:rsid w:val="00C625A3"/>
    <w:rsid w:val="00C626D7"/>
    <w:rsid w:val="00C62DDA"/>
    <w:rsid w:val="00C630D2"/>
    <w:rsid w:val="00C635DD"/>
    <w:rsid w:val="00C6368A"/>
    <w:rsid w:val="00C63A0F"/>
    <w:rsid w:val="00C63B39"/>
    <w:rsid w:val="00C63C54"/>
    <w:rsid w:val="00C63DFF"/>
    <w:rsid w:val="00C64112"/>
    <w:rsid w:val="00C64728"/>
    <w:rsid w:val="00C655E0"/>
    <w:rsid w:val="00C657B5"/>
    <w:rsid w:val="00C65C0F"/>
    <w:rsid w:val="00C65F7C"/>
    <w:rsid w:val="00C65FEC"/>
    <w:rsid w:val="00C660E9"/>
    <w:rsid w:val="00C66447"/>
    <w:rsid w:val="00C666CA"/>
    <w:rsid w:val="00C66DBF"/>
    <w:rsid w:val="00C670C6"/>
    <w:rsid w:val="00C670F2"/>
    <w:rsid w:val="00C6723E"/>
    <w:rsid w:val="00C6752A"/>
    <w:rsid w:val="00C6779A"/>
    <w:rsid w:val="00C67B36"/>
    <w:rsid w:val="00C67BE6"/>
    <w:rsid w:val="00C700D1"/>
    <w:rsid w:val="00C702C5"/>
    <w:rsid w:val="00C70496"/>
    <w:rsid w:val="00C7061D"/>
    <w:rsid w:val="00C709C7"/>
    <w:rsid w:val="00C714B0"/>
    <w:rsid w:val="00C71B44"/>
    <w:rsid w:val="00C720F5"/>
    <w:rsid w:val="00C73771"/>
    <w:rsid w:val="00C743D3"/>
    <w:rsid w:val="00C745B1"/>
    <w:rsid w:val="00C7465A"/>
    <w:rsid w:val="00C74A55"/>
    <w:rsid w:val="00C74F87"/>
    <w:rsid w:val="00C7575C"/>
    <w:rsid w:val="00C76328"/>
    <w:rsid w:val="00C7665D"/>
    <w:rsid w:val="00C767DB"/>
    <w:rsid w:val="00C76926"/>
    <w:rsid w:val="00C76A60"/>
    <w:rsid w:val="00C76E4F"/>
    <w:rsid w:val="00C771BC"/>
    <w:rsid w:val="00C77617"/>
    <w:rsid w:val="00C776DB"/>
    <w:rsid w:val="00C77965"/>
    <w:rsid w:val="00C80002"/>
    <w:rsid w:val="00C8063B"/>
    <w:rsid w:val="00C8141D"/>
    <w:rsid w:val="00C81866"/>
    <w:rsid w:val="00C818DB"/>
    <w:rsid w:val="00C81C65"/>
    <w:rsid w:val="00C8208F"/>
    <w:rsid w:val="00C820B4"/>
    <w:rsid w:val="00C82CBB"/>
    <w:rsid w:val="00C82E6A"/>
    <w:rsid w:val="00C835C0"/>
    <w:rsid w:val="00C83F73"/>
    <w:rsid w:val="00C84940"/>
    <w:rsid w:val="00C84DDB"/>
    <w:rsid w:val="00C85117"/>
    <w:rsid w:val="00C854D4"/>
    <w:rsid w:val="00C85892"/>
    <w:rsid w:val="00C85C62"/>
    <w:rsid w:val="00C85D3C"/>
    <w:rsid w:val="00C86324"/>
    <w:rsid w:val="00C86467"/>
    <w:rsid w:val="00C865B9"/>
    <w:rsid w:val="00C86A99"/>
    <w:rsid w:val="00C86E9D"/>
    <w:rsid w:val="00C86FE9"/>
    <w:rsid w:val="00C87360"/>
    <w:rsid w:val="00C8746F"/>
    <w:rsid w:val="00C87EC9"/>
    <w:rsid w:val="00C90556"/>
    <w:rsid w:val="00C90663"/>
    <w:rsid w:val="00C9086D"/>
    <w:rsid w:val="00C9157A"/>
    <w:rsid w:val="00C91656"/>
    <w:rsid w:val="00C91A9A"/>
    <w:rsid w:val="00C91B53"/>
    <w:rsid w:val="00C91B6D"/>
    <w:rsid w:val="00C922A8"/>
    <w:rsid w:val="00C92432"/>
    <w:rsid w:val="00C925E0"/>
    <w:rsid w:val="00C92B4D"/>
    <w:rsid w:val="00C92C7A"/>
    <w:rsid w:val="00C931BC"/>
    <w:rsid w:val="00C931CD"/>
    <w:rsid w:val="00C93478"/>
    <w:rsid w:val="00C9349B"/>
    <w:rsid w:val="00C934E8"/>
    <w:rsid w:val="00C93515"/>
    <w:rsid w:val="00C9351F"/>
    <w:rsid w:val="00C93878"/>
    <w:rsid w:val="00C9394A"/>
    <w:rsid w:val="00C94AE7"/>
    <w:rsid w:val="00C94B0F"/>
    <w:rsid w:val="00C94B1A"/>
    <w:rsid w:val="00C94DFE"/>
    <w:rsid w:val="00C9513C"/>
    <w:rsid w:val="00C95245"/>
    <w:rsid w:val="00C95832"/>
    <w:rsid w:val="00C95CA2"/>
    <w:rsid w:val="00C95D3C"/>
    <w:rsid w:val="00C96199"/>
    <w:rsid w:val="00C96CF5"/>
    <w:rsid w:val="00C96FEE"/>
    <w:rsid w:val="00C97B94"/>
    <w:rsid w:val="00C97C16"/>
    <w:rsid w:val="00CA014F"/>
    <w:rsid w:val="00CA0481"/>
    <w:rsid w:val="00CA072F"/>
    <w:rsid w:val="00CA0840"/>
    <w:rsid w:val="00CA0A62"/>
    <w:rsid w:val="00CA0D78"/>
    <w:rsid w:val="00CA0F27"/>
    <w:rsid w:val="00CA1258"/>
    <w:rsid w:val="00CA1DDA"/>
    <w:rsid w:val="00CA226E"/>
    <w:rsid w:val="00CA2A10"/>
    <w:rsid w:val="00CA2D61"/>
    <w:rsid w:val="00CA2F21"/>
    <w:rsid w:val="00CA3095"/>
    <w:rsid w:val="00CA3888"/>
    <w:rsid w:val="00CA3B41"/>
    <w:rsid w:val="00CA4287"/>
    <w:rsid w:val="00CA4580"/>
    <w:rsid w:val="00CA4855"/>
    <w:rsid w:val="00CA4AA6"/>
    <w:rsid w:val="00CA4CDD"/>
    <w:rsid w:val="00CA5418"/>
    <w:rsid w:val="00CA5870"/>
    <w:rsid w:val="00CA58C7"/>
    <w:rsid w:val="00CA5D90"/>
    <w:rsid w:val="00CA6013"/>
    <w:rsid w:val="00CA6468"/>
    <w:rsid w:val="00CA67A9"/>
    <w:rsid w:val="00CA7317"/>
    <w:rsid w:val="00CB01E2"/>
    <w:rsid w:val="00CB05FD"/>
    <w:rsid w:val="00CB07D0"/>
    <w:rsid w:val="00CB0D33"/>
    <w:rsid w:val="00CB13AA"/>
    <w:rsid w:val="00CB17E1"/>
    <w:rsid w:val="00CB1842"/>
    <w:rsid w:val="00CB188D"/>
    <w:rsid w:val="00CB1B48"/>
    <w:rsid w:val="00CB1E61"/>
    <w:rsid w:val="00CB246B"/>
    <w:rsid w:val="00CB24FE"/>
    <w:rsid w:val="00CB2C6E"/>
    <w:rsid w:val="00CB3658"/>
    <w:rsid w:val="00CB3AD3"/>
    <w:rsid w:val="00CB3F2F"/>
    <w:rsid w:val="00CB3F5C"/>
    <w:rsid w:val="00CB4450"/>
    <w:rsid w:val="00CB455F"/>
    <w:rsid w:val="00CB47A3"/>
    <w:rsid w:val="00CB4F4D"/>
    <w:rsid w:val="00CB51F1"/>
    <w:rsid w:val="00CB56BB"/>
    <w:rsid w:val="00CB5CAD"/>
    <w:rsid w:val="00CB60C4"/>
    <w:rsid w:val="00CB615E"/>
    <w:rsid w:val="00CB63C7"/>
    <w:rsid w:val="00CB6497"/>
    <w:rsid w:val="00CB6636"/>
    <w:rsid w:val="00CB6935"/>
    <w:rsid w:val="00CB6D30"/>
    <w:rsid w:val="00CB6E5B"/>
    <w:rsid w:val="00CB7168"/>
    <w:rsid w:val="00CB749E"/>
    <w:rsid w:val="00CB74D6"/>
    <w:rsid w:val="00CB7850"/>
    <w:rsid w:val="00CB7990"/>
    <w:rsid w:val="00CB79B1"/>
    <w:rsid w:val="00CB7B94"/>
    <w:rsid w:val="00CB7D83"/>
    <w:rsid w:val="00CB7ED7"/>
    <w:rsid w:val="00CC04D2"/>
    <w:rsid w:val="00CC0748"/>
    <w:rsid w:val="00CC106A"/>
    <w:rsid w:val="00CC15F0"/>
    <w:rsid w:val="00CC15F7"/>
    <w:rsid w:val="00CC1989"/>
    <w:rsid w:val="00CC1F78"/>
    <w:rsid w:val="00CC2681"/>
    <w:rsid w:val="00CC29E2"/>
    <w:rsid w:val="00CC2AA0"/>
    <w:rsid w:val="00CC2E91"/>
    <w:rsid w:val="00CC37E8"/>
    <w:rsid w:val="00CC3F3C"/>
    <w:rsid w:val="00CC4060"/>
    <w:rsid w:val="00CC42B9"/>
    <w:rsid w:val="00CC49F4"/>
    <w:rsid w:val="00CC4D10"/>
    <w:rsid w:val="00CC51A5"/>
    <w:rsid w:val="00CC5369"/>
    <w:rsid w:val="00CC5396"/>
    <w:rsid w:val="00CC578F"/>
    <w:rsid w:val="00CC57C2"/>
    <w:rsid w:val="00CC5883"/>
    <w:rsid w:val="00CC59FD"/>
    <w:rsid w:val="00CC5B2C"/>
    <w:rsid w:val="00CC6CEA"/>
    <w:rsid w:val="00CC6ED0"/>
    <w:rsid w:val="00CC71EB"/>
    <w:rsid w:val="00CC759A"/>
    <w:rsid w:val="00CD0192"/>
    <w:rsid w:val="00CD0201"/>
    <w:rsid w:val="00CD0575"/>
    <w:rsid w:val="00CD06F9"/>
    <w:rsid w:val="00CD07CC"/>
    <w:rsid w:val="00CD19E8"/>
    <w:rsid w:val="00CD1A8C"/>
    <w:rsid w:val="00CD1AE1"/>
    <w:rsid w:val="00CD1B81"/>
    <w:rsid w:val="00CD1E66"/>
    <w:rsid w:val="00CD1F23"/>
    <w:rsid w:val="00CD203B"/>
    <w:rsid w:val="00CD26A3"/>
    <w:rsid w:val="00CD28A0"/>
    <w:rsid w:val="00CD2953"/>
    <w:rsid w:val="00CD2AA8"/>
    <w:rsid w:val="00CD2ED1"/>
    <w:rsid w:val="00CD2F17"/>
    <w:rsid w:val="00CD3585"/>
    <w:rsid w:val="00CD4120"/>
    <w:rsid w:val="00CD4269"/>
    <w:rsid w:val="00CD43D7"/>
    <w:rsid w:val="00CD45B4"/>
    <w:rsid w:val="00CD4E74"/>
    <w:rsid w:val="00CD4FEE"/>
    <w:rsid w:val="00CD5531"/>
    <w:rsid w:val="00CD58FD"/>
    <w:rsid w:val="00CD5C2D"/>
    <w:rsid w:val="00CD5E4F"/>
    <w:rsid w:val="00CD6016"/>
    <w:rsid w:val="00CD65BC"/>
    <w:rsid w:val="00CD67E3"/>
    <w:rsid w:val="00CD69FC"/>
    <w:rsid w:val="00CD6FBD"/>
    <w:rsid w:val="00CD705F"/>
    <w:rsid w:val="00CD77EB"/>
    <w:rsid w:val="00CD7956"/>
    <w:rsid w:val="00CD7C01"/>
    <w:rsid w:val="00CE0075"/>
    <w:rsid w:val="00CE00B0"/>
    <w:rsid w:val="00CE0D71"/>
    <w:rsid w:val="00CE0FCC"/>
    <w:rsid w:val="00CE1109"/>
    <w:rsid w:val="00CE11F3"/>
    <w:rsid w:val="00CE1959"/>
    <w:rsid w:val="00CE1D80"/>
    <w:rsid w:val="00CE1E34"/>
    <w:rsid w:val="00CE294E"/>
    <w:rsid w:val="00CE295F"/>
    <w:rsid w:val="00CE2DC1"/>
    <w:rsid w:val="00CE31FD"/>
    <w:rsid w:val="00CE34D6"/>
    <w:rsid w:val="00CE3C2D"/>
    <w:rsid w:val="00CE3F19"/>
    <w:rsid w:val="00CE404C"/>
    <w:rsid w:val="00CE42C5"/>
    <w:rsid w:val="00CE43F7"/>
    <w:rsid w:val="00CE4403"/>
    <w:rsid w:val="00CE4BD2"/>
    <w:rsid w:val="00CE539B"/>
    <w:rsid w:val="00CE56F5"/>
    <w:rsid w:val="00CE58DE"/>
    <w:rsid w:val="00CE632D"/>
    <w:rsid w:val="00CE6388"/>
    <w:rsid w:val="00CE6409"/>
    <w:rsid w:val="00CE64AE"/>
    <w:rsid w:val="00CE66CD"/>
    <w:rsid w:val="00CE682E"/>
    <w:rsid w:val="00CE6A41"/>
    <w:rsid w:val="00CE6D45"/>
    <w:rsid w:val="00CE6E35"/>
    <w:rsid w:val="00CE6FD3"/>
    <w:rsid w:val="00CE71EC"/>
    <w:rsid w:val="00CE7227"/>
    <w:rsid w:val="00CE7350"/>
    <w:rsid w:val="00CE7748"/>
    <w:rsid w:val="00CE7A5D"/>
    <w:rsid w:val="00CF0234"/>
    <w:rsid w:val="00CF05D2"/>
    <w:rsid w:val="00CF06A5"/>
    <w:rsid w:val="00CF0E9F"/>
    <w:rsid w:val="00CF1A0F"/>
    <w:rsid w:val="00CF1B24"/>
    <w:rsid w:val="00CF1C9F"/>
    <w:rsid w:val="00CF1E21"/>
    <w:rsid w:val="00CF273E"/>
    <w:rsid w:val="00CF2845"/>
    <w:rsid w:val="00CF288E"/>
    <w:rsid w:val="00CF294D"/>
    <w:rsid w:val="00CF29AC"/>
    <w:rsid w:val="00CF2BF1"/>
    <w:rsid w:val="00CF2D05"/>
    <w:rsid w:val="00CF313B"/>
    <w:rsid w:val="00CF3414"/>
    <w:rsid w:val="00CF3AE5"/>
    <w:rsid w:val="00CF3B31"/>
    <w:rsid w:val="00CF3CD7"/>
    <w:rsid w:val="00CF42D8"/>
    <w:rsid w:val="00CF43FB"/>
    <w:rsid w:val="00CF4879"/>
    <w:rsid w:val="00CF4DA2"/>
    <w:rsid w:val="00CF4E4C"/>
    <w:rsid w:val="00CF4EE7"/>
    <w:rsid w:val="00CF51AA"/>
    <w:rsid w:val="00CF53C2"/>
    <w:rsid w:val="00CF57A6"/>
    <w:rsid w:val="00CF66E1"/>
    <w:rsid w:val="00CF682A"/>
    <w:rsid w:val="00CF6D45"/>
    <w:rsid w:val="00CF6F35"/>
    <w:rsid w:val="00CF6FC3"/>
    <w:rsid w:val="00CF74DB"/>
    <w:rsid w:val="00CF778E"/>
    <w:rsid w:val="00CF77F0"/>
    <w:rsid w:val="00CF7A83"/>
    <w:rsid w:val="00CF7E7D"/>
    <w:rsid w:val="00D0097C"/>
    <w:rsid w:val="00D00B63"/>
    <w:rsid w:val="00D00CE5"/>
    <w:rsid w:val="00D00CE7"/>
    <w:rsid w:val="00D00D97"/>
    <w:rsid w:val="00D0120A"/>
    <w:rsid w:val="00D015A4"/>
    <w:rsid w:val="00D0177A"/>
    <w:rsid w:val="00D01958"/>
    <w:rsid w:val="00D01BA4"/>
    <w:rsid w:val="00D01BF7"/>
    <w:rsid w:val="00D02074"/>
    <w:rsid w:val="00D02490"/>
    <w:rsid w:val="00D03303"/>
    <w:rsid w:val="00D03307"/>
    <w:rsid w:val="00D033CB"/>
    <w:rsid w:val="00D03468"/>
    <w:rsid w:val="00D03D89"/>
    <w:rsid w:val="00D04177"/>
    <w:rsid w:val="00D042BC"/>
    <w:rsid w:val="00D04424"/>
    <w:rsid w:val="00D04CE5"/>
    <w:rsid w:val="00D04D65"/>
    <w:rsid w:val="00D05227"/>
    <w:rsid w:val="00D0538F"/>
    <w:rsid w:val="00D05854"/>
    <w:rsid w:val="00D05885"/>
    <w:rsid w:val="00D05E12"/>
    <w:rsid w:val="00D06828"/>
    <w:rsid w:val="00D06BD2"/>
    <w:rsid w:val="00D06E9D"/>
    <w:rsid w:val="00D06F7F"/>
    <w:rsid w:val="00D07574"/>
    <w:rsid w:val="00D07754"/>
    <w:rsid w:val="00D07817"/>
    <w:rsid w:val="00D07D19"/>
    <w:rsid w:val="00D10141"/>
    <w:rsid w:val="00D1036D"/>
    <w:rsid w:val="00D109A0"/>
    <w:rsid w:val="00D10B28"/>
    <w:rsid w:val="00D10B43"/>
    <w:rsid w:val="00D10DC1"/>
    <w:rsid w:val="00D11003"/>
    <w:rsid w:val="00D1112D"/>
    <w:rsid w:val="00D1146D"/>
    <w:rsid w:val="00D1161B"/>
    <w:rsid w:val="00D11C1A"/>
    <w:rsid w:val="00D1267D"/>
    <w:rsid w:val="00D126A0"/>
    <w:rsid w:val="00D128AB"/>
    <w:rsid w:val="00D12B40"/>
    <w:rsid w:val="00D1365A"/>
    <w:rsid w:val="00D136E1"/>
    <w:rsid w:val="00D13A25"/>
    <w:rsid w:val="00D13A87"/>
    <w:rsid w:val="00D14162"/>
    <w:rsid w:val="00D144D2"/>
    <w:rsid w:val="00D14D2D"/>
    <w:rsid w:val="00D14DDD"/>
    <w:rsid w:val="00D14F66"/>
    <w:rsid w:val="00D15A3C"/>
    <w:rsid w:val="00D15A47"/>
    <w:rsid w:val="00D15F58"/>
    <w:rsid w:val="00D16110"/>
    <w:rsid w:val="00D165F2"/>
    <w:rsid w:val="00D16A1C"/>
    <w:rsid w:val="00D16B98"/>
    <w:rsid w:val="00D16D46"/>
    <w:rsid w:val="00D16EA6"/>
    <w:rsid w:val="00D1708F"/>
    <w:rsid w:val="00D170C3"/>
    <w:rsid w:val="00D171E7"/>
    <w:rsid w:val="00D17C4C"/>
    <w:rsid w:val="00D20058"/>
    <w:rsid w:val="00D2015D"/>
    <w:rsid w:val="00D203BE"/>
    <w:rsid w:val="00D20A03"/>
    <w:rsid w:val="00D20A0D"/>
    <w:rsid w:val="00D2170A"/>
    <w:rsid w:val="00D22255"/>
    <w:rsid w:val="00D22400"/>
    <w:rsid w:val="00D22D44"/>
    <w:rsid w:val="00D2354D"/>
    <w:rsid w:val="00D23638"/>
    <w:rsid w:val="00D23742"/>
    <w:rsid w:val="00D2377F"/>
    <w:rsid w:val="00D239D9"/>
    <w:rsid w:val="00D2410D"/>
    <w:rsid w:val="00D24166"/>
    <w:rsid w:val="00D247EE"/>
    <w:rsid w:val="00D24AB3"/>
    <w:rsid w:val="00D25E66"/>
    <w:rsid w:val="00D2642E"/>
    <w:rsid w:val="00D2663F"/>
    <w:rsid w:val="00D26C6C"/>
    <w:rsid w:val="00D26EB2"/>
    <w:rsid w:val="00D26F15"/>
    <w:rsid w:val="00D27671"/>
    <w:rsid w:val="00D27733"/>
    <w:rsid w:val="00D2794D"/>
    <w:rsid w:val="00D27952"/>
    <w:rsid w:val="00D27A75"/>
    <w:rsid w:val="00D3028E"/>
    <w:rsid w:val="00D30406"/>
    <w:rsid w:val="00D30D22"/>
    <w:rsid w:val="00D311F8"/>
    <w:rsid w:val="00D314B8"/>
    <w:rsid w:val="00D31570"/>
    <w:rsid w:val="00D3293A"/>
    <w:rsid w:val="00D3347B"/>
    <w:rsid w:val="00D33AED"/>
    <w:rsid w:val="00D33BA0"/>
    <w:rsid w:val="00D33F98"/>
    <w:rsid w:val="00D343FA"/>
    <w:rsid w:val="00D34648"/>
    <w:rsid w:val="00D35439"/>
    <w:rsid w:val="00D360BA"/>
    <w:rsid w:val="00D369E1"/>
    <w:rsid w:val="00D36B4C"/>
    <w:rsid w:val="00D36D24"/>
    <w:rsid w:val="00D36DA2"/>
    <w:rsid w:val="00D36FF3"/>
    <w:rsid w:val="00D37231"/>
    <w:rsid w:val="00D3734D"/>
    <w:rsid w:val="00D37517"/>
    <w:rsid w:val="00D37A7A"/>
    <w:rsid w:val="00D40382"/>
    <w:rsid w:val="00D403A7"/>
    <w:rsid w:val="00D40804"/>
    <w:rsid w:val="00D40891"/>
    <w:rsid w:val="00D41709"/>
    <w:rsid w:val="00D418FF"/>
    <w:rsid w:val="00D41B9F"/>
    <w:rsid w:val="00D41E7C"/>
    <w:rsid w:val="00D41FB3"/>
    <w:rsid w:val="00D426E9"/>
    <w:rsid w:val="00D42ABC"/>
    <w:rsid w:val="00D432BE"/>
    <w:rsid w:val="00D4374F"/>
    <w:rsid w:val="00D44659"/>
    <w:rsid w:val="00D4532F"/>
    <w:rsid w:val="00D4552A"/>
    <w:rsid w:val="00D4564B"/>
    <w:rsid w:val="00D45754"/>
    <w:rsid w:val="00D45CD4"/>
    <w:rsid w:val="00D46314"/>
    <w:rsid w:val="00D46569"/>
    <w:rsid w:val="00D46B97"/>
    <w:rsid w:val="00D46CFC"/>
    <w:rsid w:val="00D46DC4"/>
    <w:rsid w:val="00D46E8D"/>
    <w:rsid w:val="00D4708F"/>
    <w:rsid w:val="00D47143"/>
    <w:rsid w:val="00D47459"/>
    <w:rsid w:val="00D47A46"/>
    <w:rsid w:val="00D47F3A"/>
    <w:rsid w:val="00D47FC6"/>
    <w:rsid w:val="00D500E9"/>
    <w:rsid w:val="00D50464"/>
    <w:rsid w:val="00D508B2"/>
    <w:rsid w:val="00D5117F"/>
    <w:rsid w:val="00D5132D"/>
    <w:rsid w:val="00D513E1"/>
    <w:rsid w:val="00D513F0"/>
    <w:rsid w:val="00D516D2"/>
    <w:rsid w:val="00D517C5"/>
    <w:rsid w:val="00D52212"/>
    <w:rsid w:val="00D52805"/>
    <w:rsid w:val="00D529D5"/>
    <w:rsid w:val="00D5363C"/>
    <w:rsid w:val="00D538AB"/>
    <w:rsid w:val="00D53CB5"/>
    <w:rsid w:val="00D53CDA"/>
    <w:rsid w:val="00D53D86"/>
    <w:rsid w:val="00D53E13"/>
    <w:rsid w:val="00D540E5"/>
    <w:rsid w:val="00D54192"/>
    <w:rsid w:val="00D54336"/>
    <w:rsid w:val="00D54337"/>
    <w:rsid w:val="00D543D3"/>
    <w:rsid w:val="00D54451"/>
    <w:rsid w:val="00D5495C"/>
    <w:rsid w:val="00D54AEB"/>
    <w:rsid w:val="00D55431"/>
    <w:rsid w:val="00D56157"/>
    <w:rsid w:val="00D561FA"/>
    <w:rsid w:val="00D56544"/>
    <w:rsid w:val="00D56768"/>
    <w:rsid w:val="00D56831"/>
    <w:rsid w:val="00D569BB"/>
    <w:rsid w:val="00D56A9C"/>
    <w:rsid w:val="00D56D9E"/>
    <w:rsid w:val="00D56E7E"/>
    <w:rsid w:val="00D56F8F"/>
    <w:rsid w:val="00D57231"/>
    <w:rsid w:val="00D57715"/>
    <w:rsid w:val="00D5779A"/>
    <w:rsid w:val="00D57EDB"/>
    <w:rsid w:val="00D601F4"/>
    <w:rsid w:val="00D6027C"/>
    <w:rsid w:val="00D605C3"/>
    <w:rsid w:val="00D6092D"/>
    <w:rsid w:val="00D6111B"/>
    <w:rsid w:val="00D6127F"/>
    <w:rsid w:val="00D613F0"/>
    <w:rsid w:val="00D61491"/>
    <w:rsid w:val="00D6176D"/>
    <w:rsid w:val="00D61A43"/>
    <w:rsid w:val="00D61B03"/>
    <w:rsid w:val="00D61C61"/>
    <w:rsid w:val="00D61ED6"/>
    <w:rsid w:val="00D62A01"/>
    <w:rsid w:val="00D62B90"/>
    <w:rsid w:val="00D63A67"/>
    <w:rsid w:val="00D63CD7"/>
    <w:rsid w:val="00D6418C"/>
    <w:rsid w:val="00D64831"/>
    <w:rsid w:val="00D6489D"/>
    <w:rsid w:val="00D64D7D"/>
    <w:rsid w:val="00D650CF"/>
    <w:rsid w:val="00D6570A"/>
    <w:rsid w:val="00D65812"/>
    <w:rsid w:val="00D65A1D"/>
    <w:rsid w:val="00D65C76"/>
    <w:rsid w:val="00D672F8"/>
    <w:rsid w:val="00D67529"/>
    <w:rsid w:val="00D67700"/>
    <w:rsid w:val="00D6788A"/>
    <w:rsid w:val="00D67CD5"/>
    <w:rsid w:val="00D67FBD"/>
    <w:rsid w:val="00D7032A"/>
    <w:rsid w:val="00D705AA"/>
    <w:rsid w:val="00D7071C"/>
    <w:rsid w:val="00D70CFF"/>
    <w:rsid w:val="00D70F93"/>
    <w:rsid w:val="00D71504"/>
    <w:rsid w:val="00D71CCC"/>
    <w:rsid w:val="00D72129"/>
    <w:rsid w:val="00D725FB"/>
    <w:rsid w:val="00D72639"/>
    <w:rsid w:val="00D726EE"/>
    <w:rsid w:val="00D72F01"/>
    <w:rsid w:val="00D73254"/>
    <w:rsid w:val="00D734C7"/>
    <w:rsid w:val="00D73596"/>
    <w:rsid w:val="00D73A16"/>
    <w:rsid w:val="00D73D3B"/>
    <w:rsid w:val="00D74898"/>
    <w:rsid w:val="00D74B64"/>
    <w:rsid w:val="00D7542B"/>
    <w:rsid w:val="00D7549F"/>
    <w:rsid w:val="00D755E7"/>
    <w:rsid w:val="00D75A03"/>
    <w:rsid w:val="00D761DD"/>
    <w:rsid w:val="00D76457"/>
    <w:rsid w:val="00D76815"/>
    <w:rsid w:val="00D76CEB"/>
    <w:rsid w:val="00D77774"/>
    <w:rsid w:val="00D7797E"/>
    <w:rsid w:val="00D804C9"/>
    <w:rsid w:val="00D80765"/>
    <w:rsid w:val="00D8085B"/>
    <w:rsid w:val="00D80C2F"/>
    <w:rsid w:val="00D80DA6"/>
    <w:rsid w:val="00D8125D"/>
    <w:rsid w:val="00D81998"/>
    <w:rsid w:val="00D819D1"/>
    <w:rsid w:val="00D81CB2"/>
    <w:rsid w:val="00D82817"/>
    <w:rsid w:val="00D82CFA"/>
    <w:rsid w:val="00D83264"/>
    <w:rsid w:val="00D8351F"/>
    <w:rsid w:val="00D83660"/>
    <w:rsid w:val="00D8376C"/>
    <w:rsid w:val="00D839FD"/>
    <w:rsid w:val="00D83ADE"/>
    <w:rsid w:val="00D83B9E"/>
    <w:rsid w:val="00D84106"/>
    <w:rsid w:val="00D84171"/>
    <w:rsid w:val="00D8485F"/>
    <w:rsid w:val="00D84A08"/>
    <w:rsid w:val="00D84E28"/>
    <w:rsid w:val="00D8548B"/>
    <w:rsid w:val="00D859BE"/>
    <w:rsid w:val="00D85F2A"/>
    <w:rsid w:val="00D86067"/>
    <w:rsid w:val="00D86828"/>
    <w:rsid w:val="00D87A61"/>
    <w:rsid w:val="00D87D93"/>
    <w:rsid w:val="00D9000E"/>
    <w:rsid w:val="00D90262"/>
    <w:rsid w:val="00D905B0"/>
    <w:rsid w:val="00D9095C"/>
    <w:rsid w:val="00D90B29"/>
    <w:rsid w:val="00D90D4D"/>
    <w:rsid w:val="00D90D4F"/>
    <w:rsid w:val="00D911C5"/>
    <w:rsid w:val="00D9162D"/>
    <w:rsid w:val="00D91875"/>
    <w:rsid w:val="00D91EBE"/>
    <w:rsid w:val="00D920AA"/>
    <w:rsid w:val="00D922C6"/>
    <w:rsid w:val="00D92759"/>
    <w:rsid w:val="00D92E44"/>
    <w:rsid w:val="00D93318"/>
    <w:rsid w:val="00D93603"/>
    <w:rsid w:val="00D9396E"/>
    <w:rsid w:val="00D939D4"/>
    <w:rsid w:val="00D94991"/>
    <w:rsid w:val="00D9505D"/>
    <w:rsid w:val="00D95305"/>
    <w:rsid w:val="00D9592D"/>
    <w:rsid w:val="00D96016"/>
    <w:rsid w:val="00D96350"/>
    <w:rsid w:val="00D9701C"/>
    <w:rsid w:val="00D97033"/>
    <w:rsid w:val="00D974D2"/>
    <w:rsid w:val="00D975B6"/>
    <w:rsid w:val="00D97784"/>
    <w:rsid w:val="00D97845"/>
    <w:rsid w:val="00D97C48"/>
    <w:rsid w:val="00DA0BB2"/>
    <w:rsid w:val="00DA0C47"/>
    <w:rsid w:val="00DA0C4F"/>
    <w:rsid w:val="00DA1039"/>
    <w:rsid w:val="00DA141D"/>
    <w:rsid w:val="00DA1448"/>
    <w:rsid w:val="00DA156C"/>
    <w:rsid w:val="00DA1A73"/>
    <w:rsid w:val="00DA1D32"/>
    <w:rsid w:val="00DA214D"/>
    <w:rsid w:val="00DA2425"/>
    <w:rsid w:val="00DA281C"/>
    <w:rsid w:val="00DA2A8A"/>
    <w:rsid w:val="00DA2E79"/>
    <w:rsid w:val="00DA2F73"/>
    <w:rsid w:val="00DA2F7F"/>
    <w:rsid w:val="00DA37E4"/>
    <w:rsid w:val="00DA3951"/>
    <w:rsid w:val="00DA3C59"/>
    <w:rsid w:val="00DA41A5"/>
    <w:rsid w:val="00DA4270"/>
    <w:rsid w:val="00DA5343"/>
    <w:rsid w:val="00DA53F6"/>
    <w:rsid w:val="00DA5590"/>
    <w:rsid w:val="00DA5A73"/>
    <w:rsid w:val="00DA5B31"/>
    <w:rsid w:val="00DA5D51"/>
    <w:rsid w:val="00DA5D69"/>
    <w:rsid w:val="00DA5E7C"/>
    <w:rsid w:val="00DA65FA"/>
    <w:rsid w:val="00DA6684"/>
    <w:rsid w:val="00DA688B"/>
    <w:rsid w:val="00DA6A4F"/>
    <w:rsid w:val="00DA6FE7"/>
    <w:rsid w:val="00DA70C3"/>
    <w:rsid w:val="00DA7197"/>
    <w:rsid w:val="00DA7794"/>
    <w:rsid w:val="00DA7A55"/>
    <w:rsid w:val="00DA7A96"/>
    <w:rsid w:val="00DA7CD4"/>
    <w:rsid w:val="00DA7D87"/>
    <w:rsid w:val="00DB012E"/>
    <w:rsid w:val="00DB02D9"/>
    <w:rsid w:val="00DB0646"/>
    <w:rsid w:val="00DB0C68"/>
    <w:rsid w:val="00DB0DD1"/>
    <w:rsid w:val="00DB0E81"/>
    <w:rsid w:val="00DB1074"/>
    <w:rsid w:val="00DB1C3A"/>
    <w:rsid w:val="00DB1ECA"/>
    <w:rsid w:val="00DB2933"/>
    <w:rsid w:val="00DB2A4F"/>
    <w:rsid w:val="00DB31E6"/>
    <w:rsid w:val="00DB3582"/>
    <w:rsid w:val="00DB38F7"/>
    <w:rsid w:val="00DB4703"/>
    <w:rsid w:val="00DB4870"/>
    <w:rsid w:val="00DB490E"/>
    <w:rsid w:val="00DB4C04"/>
    <w:rsid w:val="00DB4E01"/>
    <w:rsid w:val="00DB505E"/>
    <w:rsid w:val="00DB5306"/>
    <w:rsid w:val="00DB54DB"/>
    <w:rsid w:val="00DB572A"/>
    <w:rsid w:val="00DB621A"/>
    <w:rsid w:val="00DB62A0"/>
    <w:rsid w:val="00DB65E9"/>
    <w:rsid w:val="00DB7335"/>
    <w:rsid w:val="00DB7530"/>
    <w:rsid w:val="00DB7A6D"/>
    <w:rsid w:val="00DC0543"/>
    <w:rsid w:val="00DC0A47"/>
    <w:rsid w:val="00DC0A74"/>
    <w:rsid w:val="00DC152B"/>
    <w:rsid w:val="00DC1A25"/>
    <w:rsid w:val="00DC1DC5"/>
    <w:rsid w:val="00DC25C4"/>
    <w:rsid w:val="00DC2631"/>
    <w:rsid w:val="00DC2667"/>
    <w:rsid w:val="00DC294A"/>
    <w:rsid w:val="00DC307B"/>
    <w:rsid w:val="00DC343B"/>
    <w:rsid w:val="00DC3580"/>
    <w:rsid w:val="00DC3600"/>
    <w:rsid w:val="00DC39CE"/>
    <w:rsid w:val="00DC3D18"/>
    <w:rsid w:val="00DC4053"/>
    <w:rsid w:val="00DC462F"/>
    <w:rsid w:val="00DC465D"/>
    <w:rsid w:val="00DC4830"/>
    <w:rsid w:val="00DC499A"/>
    <w:rsid w:val="00DC4CD7"/>
    <w:rsid w:val="00DC540A"/>
    <w:rsid w:val="00DC5598"/>
    <w:rsid w:val="00DC559A"/>
    <w:rsid w:val="00DC5F72"/>
    <w:rsid w:val="00DC624D"/>
    <w:rsid w:val="00DC65C9"/>
    <w:rsid w:val="00DC66C0"/>
    <w:rsid w:val="00DC695F"/>
    <w:rsid w:val="00DC7160"/>
    <w:rsid w:val="00DC71FB"/>
    <w:rsid w:val="00DC723E"/>
    <w:rsid w:val="00DC7259"/>
    <w:rsid w:val="00DC7D5C"/>
    <w:rsid w:val="00DD00A5"/>
    <w:rsid w:val="00DD0D1A"/>
    <w:rsid w:val="00DD0DC8"/>
    <w:rsid w:val="00DD0FFB"/>
    <w:rsid w:val="00DD123A"/>
    <w:rsid w:val="00DD138A"/>
    <w:rsid w:val="00DD162E"/>
    <w:rsid w:val="00DD16A9"/>
    <w:rsid w:val="00DD1A07"/>
    <w:rsid w:val="00DD1B63"/>
    <w:rsid w:val="00DD1BF8"/>
    <w:rsid w:val="00DD2008"/>
    <w:rsid w:val="00DD2057"/>
    <w:rsid w:val="00DD21EC"/>
    <w:rsid w:val="00DD2724"/>
    <w:rsid w:val="00DD2871"/>
    <w:rsid w:val="00DD2F16"/>
    <w:rsid w:val="00DD320F"/>
    <w:rsid w:val="00DD3323"/>
    <w:rsid w:val="00DD3398"/>
    <w:rsid w:val="00DD3A98"/>
    <w:rsid w:val="00DD3B38"/>
    <w:rsid w:val="00DD3B8B"/>
    <w:rsid w:val="00DD3FA5"/>
    <w:rsid w:val="00DD4904"/>
    <w:rsid w:val="00DD4ADC"/>
    <w:rsid w:val="00DD4DD1"/>
    <w:rsid w:val="00DD5092"/>
    <w:rsid w:val="00DD51A6"/>
    <w:rsid w:val="00DD5587"/>
    <w:rsid w:val="00DD5AED"/>
    <w:rsid w:val="00DD5C24"/>
    <w:rsid w:val="00DD5F8C"/>
    <w:rsid w:val="00DD683B"/>
    <w:rsid w:val="00DD6879"/>
    <w:rsid w:val="00DD6A21"/>
    <w:rsid w:val="00DD6DA2"/>
    <w:rsid w:val="00DD7540"/>
    <w:rsid w:val="00DD79E5"/>
    <w:rsid w:val="00DD7C6A"/>
    <w:rsid w:val="00DD7E16"/>
    <w:rsid w:val="00DD7F3A"/>
    <w:rsid w:val="00DE00C8"/>
    <w:rsid w:val="00DE02F1"/>
    <w:rsid w:val="00DE0920"/>
    <w:rsid w:val="00DE098D"/>
    <w:rsid w:val="00DE0B86"/>
    <w:rsid w:val="00DE0BEB"/>
    <w:rsid w:val="00DE0CB2"/>
    <w:rsid w:val="00DE1410"/>
    <w:rsid w:val="00DE146D"/>
    <w:rsid w:val="00DE169A"/>
    <w:rsid w:val="00DE18A7"/>
    <w:rsid w:val="00DE1F49"/>
    <w:rsid w:val="00DE233A"/>
    <w:rsid w:val="00DE238D"/>
    <w:rsid w:val="00DE2517"/>
    <w:rsid w:val="00DE2BE4"/>
    <w:rsid w:val="00DE2EFB"/>
    <w:rsid w:val="00DE322D"/>
    <w:rsid w:val="00DE34DC"/>
    <w:rsid w:val="00DE37B6"/>
    <w:rsid w:val="00DE44BA"/>
    <w:rsid w:val="00DE4E2C"/>
    <w:rsid w:val="00DE51D4"/>
    <w:rsid w:val="00DE559E"/>
    <w:rsid w:val="00DE5F9B"/>
    <w:rsid w:val="00DE60CA"/>
    <w:rsid w:val="00DE60FF"/>
    <w:rsid w:val="00DE61DE"/>
    <w:rsid w:val="00DE62D4"/>
    <w:rsid w:val="00DE6E30"/>
    <w:rsid w:val="00DE7030"/>
    <w:rsid w:val="00DE7AFD"/>
    <w:rsid w:val="00DE7B36"/>
    <w:rsid w:val="00DF065F"/>
    <w:rsid w:val="00DF0A07"/>
    <w:rsid w:val="00DF0BC6"/>
    <w:rsid w:val="00DF11FD"/>
    <w:rsid w:val="00DF15E7"/>
    <w:rsid w:val="00DF1694"/>
    <w:rsid w:val="00DF16C1"/>
    <w:rsid w:val="00DF1832"/>
    <w:rsid w:val="00DF1913"/>
    <w:rsid w:val="00DF23B9"/>
    <w:rsid w:val="00DF24F1"/>
    <w:rsid w:val="00DF28D3"/>
    <w:rsid w:val="00DF4601"/>
    <w:rsid w:val="00DF4604"/>
    <w:rsid w:val="00DF46CE"/>
    <w:rsid w:val="00DF51F5"/>
    <w:rsid w:val="00DF5A2A"/>
    <w:rsid w:val="00DF5B1B"/>
    <w:rsid w:val="00DF5BA4"/>
    <w:rsid w:val="00DF5F51"/>
    <w:rsid w:val="00DF63D9"/>
    <w:rsid w:val="00DF6512"/>
    <w:rsid w:val="00DF6928"/>
    <w:rsid w:val="00DF7083"/>
    <w:rsid w:val="00DF7544"/>
    <w:rsid w:val="00DF7871"/>
    <w:rsid w:val="00DF7E3F"/>
    <w:rsid w:val="00E00182"/>
    <w:rsid w:val="00E00950"/>
    <w:rsid w:val="00E00B46"/>
    <w:rsid w:val="00E020B8"/>
    <w:rsid w:val="00E02195"/>
    <w:rsid w:val="00E02504"/>
    <w:rsid w:val="00E02517"/>
    <w:rsid w:val="00E02D1D"/>
    <w:rsid w:val="00E0300A"/>
    <w:rsid w:val="00E04E9D"/>
    <w:rsid w:val="00E05576"/>
    <w:rsid w:val="00E05F6D"/>
    <w:rsid w:val="00E06D3D"/>
    <w:rsid w:val="00E07273"/>
    <w:rsid w:val="00E07C97"/>
    <w:rsid w:val="00E07D76"/>
    <w:rsid w:val="00E07DD7"/>
    <w:rsid w:val="00E07F0D"/>
    <w:rsid w:val="00E1095A"/>
    <w:rsid w:val="00E10A3E"/>
    <w:rsid w:val="00E10B81"/>
    <w:rsid w:val="00E116AA"/>
    <w:rsid w:val="00E11922"/>
    <w:rsid w:val="00E11B87"/>
    <w:rsid w:val="00E11C6D"/>
    <w:rsid w:val="00E12C18"/>
    <w:rsid w:val="00E137F7"/>
    <w:rsid w:val="00E13913"/>
    <w:rsid w:val="00E13CE5"/>
    <w:rsid w:val="00E13F69"/>
    <w:rsid w:val="00E1409D"/>
    <w:rsid w:val="00E140CC"/>
    <w:rsid w:val="00E1451B"/>
    <w:rsid w:val="00E14600"/>
    <w:rsid w:val="00E14833"/>
    <w:rsid w:val="00E155A6"/>
    <w:rsid w:val="00E1599C"/>
    <w:rsid w:val="00E15D4D"/>
    <w:rsid w:val="00E16094"/>
    <w:rsid w:val="00E1620F"/>
    <w:rsid w:val="00E1675F"/>
    <w:rsid w:val="00E168F1"/>
    <w:rsid w:val="00E16B60"/>
    <w:rsid w:val="00E16C04"/>
    <w:rsid w:val="00E16F9D"/>
    <w:rsid w:val="00E17031"/>
    <w:rsid w:val="00E17C8C"/>
    <w:rsid w:val="00E200CF"/>
    <w:rsid w:val="00E2016B"/>
    <w:rsid w:val="00E20492"/>
    <w:rsid w:val="00E2075F"/>
    <w:rsid w:val="00E20A29"/>
    <w:rsid w:val="00E21131"/>
    <w:rsid w:val="00E2164E"/>
    <w:rsid w:val="00E21855"/>
    <w:rsid w:val="00E21E6E"/>
    <w:rsid w:val="00E22006"/>
    <w:rsid w:val="00E22495"/>
    <w:rsid w:val="00E227D0"/>
    <w:rsid w:val="00E22BEA"/>
    <w:rsid w:val="00E2358D"/>
    <w:rsid w:val="00E235FF"/>
    <w:rsid w:val="00E236CD"/>
    <w:rsid w:val="00E23CA3"/>
    <w:rsid w:val="00E23DFB"/>
    <w:rsid w:val="00E23FE2"/>
    <w:rsid w:val="00E243C2"/>
    <w:rsid w:val="00E244E9"/>
    <w:rsid w:val="00E247EC"/>
    <w:rsid w:val="00E24B28"/>
    <w:rsid w:val="00E24B4E"/>
    <w:rsid w:val="00E24FA3"/>
    <w:rsid w:val="00E25523"/>
    <w:rsid w:val="00E25C63"/>
    <w:rsid w:val="00E25DCF"/>
    <w:rsid w:val="00E25F08"/>
    <w:rsid w:val="00E25F87"/>
    <w:rsid w:val="00E2606E"/>
    <w:rsid w:val="00E260EE"/>
    <w:rsid w:val="00E2629A"/>
    <w:rsid w:val="00E26711"/>
    <w:rsid w:val="00E26B11"/>
    <w:rsid w:val="00E26B28"/>
    <w:rsid w:val="00E26E49"/>
    <w:rsid w:val="00E27028"/>
    <w:rsid w:val="00E27874"/>
    <w:rsid w:val="00E27990"/>
    <w:rsid w:val="00E27B54"/>
    <w:rsid w:val="00E27C66"/>
    <w:rsid w:val="00E27F14"/>
    <w:rsid w:val="00E27FA3"/>
    <w:rsid w:val="00E27FCB"/>
    <w:rsid w:val="00E30489"/>
    <w:rsid w:val="00E31114"/>
    <w:rsid w:val="00E31268"/>
    <w:rsid w:val="00E31465"/>
    <w:rsid w:val="00E3166D"/>
    <w:rsid w:val="00E31770"/>
    <w:rsid w:val="00E318C1"/>
    <w:rsid w:val="00E31C27"/>
    <w:rsid w:val="00E31DCC"/>
    <w:rsid w:val="00E3218C"/>
    <w:rsid w:val="00E32207"/>
    <w:rsid w:val="00E32494"/>
    <w:rsid w:val="00E32629"/>
    <w:rsid w:val="00E328CD"/>
    <w:rsid w:val="00E32E36"/>
    <w:rsid w:val="00E332E4"/>
    <w:rsid w:val="00E33562"/>
    <w:rsid w:val="00E33604"/>
    <w:rsid w:val="00E33B54"/>
    <w:rsid w:val="00E33DBB"/>
    <w:rsid w:val="00E34239"/>
    <w:rsid w:val="00E345D2"/>
    <w:rsid w:val="00E3489E"/>
    <w:rsid w:val="00E34B4D"/>
    <w:rsid w:val="00E34E0F"/>
    <w:rsid w:val="00E3500B"/>
    <w:rsid w:val="00E350C7"/>
    <w:rsid w:val="00E356B2"/>
    <w:rsid w:val="00E3578A"/>
    <w:rsid w:val="00E35BC3"/>
    <w:rsid w:val="00E35C39"/>
    <w:rsid w:val="00E36069"/>
    <w:rsid w:val="00E362F0"/>
    <w:rsid w:val="00E36311"/>
    <w:rsid w:val="00E36B95"/>
    <w:rsid w:val="00E36F94"/>
    <w:rsid w:val="00E373EC"/>
    <w:rsid w:val="00E379AD"/>
    <w:rsid w:val="00E37AC4"/>
    <w:rsid w:val="00E37BB8"/>
    <w:rsid w:val="00E4003F"/>
    <w:rsid w:val="00E403F5"/>
    <w:rsid w:val="00E407B7"/>
    <w:rsid w:val="00E4107F"/>
    <w:rsid w:val="00E41AE9"/>
    <w:rsid w:val="00E41D1F"/>
    <w:rsid w:val="00E41F05"/>
    <w:rsid w:val="00E41FCC"/>
    <w:rsid w:val="00E42252"/>
    <w:rsid w:val="00E428C8"/>
    <w:rsid w:val="00E430B1"/>
    <w:rsid w:val="00E43442"/>
    <w:rsid w:val="00E4344F"/>
    <w:rsid w:val="00E444E1"/>
    <w:rsid w:val="00E445EC"/>
    <w:rsid w:val="00E44757"/>
    <w:rsid w:val="00E44893"/>
    <w:rsid w:val="00E44D59"/>
    <w:rsid w:val="00E4514A"/>
    <w:rsid w:val="00E451AF"/>
    <w:rsid w:val="00E4528F"/>
    <w:rsid w:val="00E457FB"/>
    <w:rsid w:val="00E4587D"/>
    <w:rsid w:val="00E458F6"/>
    <w:rsid w:val="00E45954"/>
    <w:rsid w:val="00E45D17"/>
    <w:rsid w:val="00E46102"/>
    <w:rsid w:val="00E462F8"/>
    <w:rsid w:val="00E46441"/>
    <w:rsid w:val="00E46704"/>
    <w:rsid w:val="00E46CE7"/>
    <w:rsid w:val="00E4755D"/>
    <w:rsid w:val="00E4781A"/>
    <w:rsid w:val="00E50106"/>
    <w:rsid w:val="00E50341"/>
    <w:rsid w:val="00E503D5"/>
    <w:rsid w:val="00E503E8"/>
    <w:rsid w:val="00E5046E"/>
    <w:rsid w:val="00E50883"/>
    <w:rsid w:val="00E50E10"/>
    <w:rsid w:val="00E51059"/>
    <w:rsid w:val="00E51488"/>
    <w:rsid w:val="00E515EF"/>
    <w:rsid w:val="00E51633"/>
    <w:rsid w:val="00E51BAB"/>
    <w:rsid w:val="00E51D52"/>
    <w:rsid w:val="00E51DC9"/>
    <w:rsid w:val="00E51DF2"/>
    <w:rsid w:val="00E52110"/>
    <w:rsid w:val="00E5219A"/>
    <w:rsid w:val="00E52286"/>
    <w:rsid w:val="00E523D1"/>
    <w:rsid w:val="00E52439"/>
    <w:rsid w:val="00E52FB3"/>
    <w:rsid w:val="00E531DB"/>
    <w:rsid w:val="00E5336F"/>
    <w:rsid w:val="00E5346C"/>
    <w:rsid w:val="00E53546"/>
    <w:rsid w:val="00E53FAE"/>
    <w:rsid w:val="00E543C9"/>
    <w:rsid w:val="00E54893"/>
    <w:rsid w:val="00E54A0C"/>
    <w:rsid w:val="00E54A53"/>
    <w:rsid w:val="00E54E5E"/>
    <w:rsid w:val="00E551FA"/>
    <w:rsid w:val="00E552FD"/>
    <w:rsid w:val="00E5543E"/>
    <w:rsid w:val="00E559A0"/>
    <w:rsid w:val="00E55B86"/>
    <w:rsid w:val="00E55F24"/>
    <w:rsid w:val="00E56C1F"/>
    <w:rsid w:val="00E57642"/>
    <w:rsid w:val="00E57B32"/>
    <w:rsid w:val="00E57D11"/>
    <w:rsid w:val="00E601C2"/>
    <w:rsid w:val="00E60617"/>
    <w:rsid w:val="00E607D5"/>
    <w:rsid w:val="00E609B4"/>
    <w:rsid w:val="00E6105E"/>
    <w:rsid w:val="00E61060"/>
    <w:rsid w:val="00E6138D"/>
    <w:rsid w:val="00E6142A"/>
    <w:rsid w:val="00E6148E"/>
    <w:rsid w:val="00E61700"/>
    <w:rsid w:val="00E62189"/>
    <w:rsid w:val="00E6242C"/>
    <w:rsid w:val="00E62ACE"/>
    <w:rsid w:val="00E62AE6"/>
    <w:rsid w:val="00E62D21"/>
    <w:rsid w:val="00E62E2E"/>
    <w:rsid w:val="00E63161"/>
    <w:rsid w:val="00E63281"/>
    <w:rsid w:val="00E632A1"/>
    <w:rsid w:val="00E632E5"/>
    <w:rsid w:val="00E63607"/>
    <w:rsid w:val="00E63787"/>
    <w:rsid w:val="00E63F48"/>
    <w:rsid w:val="00E64073"/>
    <w:rsid w:val="00E642BA"/>
    <w:rsid w:val="00E64B0E"/>
    <w:rsid w:val="00E6508B"/>
    <w:rsid w:val="00E6530D"/>
    <w:rsid w:val="00E6536E"/>
    <w:rsid w:val="00E65866"/>
    <w:rsid w:val="00E65986"/>
    <w:rsid w:val="00E65C17"/>
    <w:rsid w:val="00E66371"/>
    <w:rsid w:val="00E667DD"/>
    <w:rsid w:val="00E66B6B"/>
    <w:rsid w:val="00E66CC7"/>
    <w:rsid w:val="00E66EBE"/>
    <w:rsid w:val="00E66EF8"/>
    <w:rsid w:val="00E672BB"/>
    <w:rsid w:val="00E673DB"/>
    <w:rsid w:val="00E67860"/>
    <w:rsid w:val="00E67991"/>
    <w:rsid w:val="00E702C6"/>
    <w:rsid w:val="00E70ABE"/>
    <w:rsid w:val="00E711E3"/>
    <w:rsid w:val="00E71276"/>
    <w:rsid w:val="00E71F9E"/>
    <w:rsid w:val="00E72108"/>
    <w:rsid w:val="00E72197"/>
    <w:rsid w:val="00E72352"/>
    <w:rsid w:val="00E7236E"/>
    <w:rsid w:val="00E72438"/>
    <w:rsid w:val="00E72805"/>
    <w:rsid w:val="00E7376C"/>
    <w:rsid w:val="00E737AC"/>
    <w:rsid w:val="00E73954"/>
    <w:rsid w:val="00E73F59"/>
    <w:rsid w:val="00E7448A"/>
    <w:rsid w:val="00E744D1"/>
    <w:rsid w:val="00E748DE"/>
    <w:rsid w:val="00E749C5"/>
    <w:rsid w:val="00E74A1E"/>
    <w:rsid w:val="00E74CA8"/>
    <w:rsid w:val="00E74E5E"/>
    <w:rsid w:val="00E75009"/>
    <w:rsid w:val="00E7523A"/>
    <w:rsid w:val="00E75A1C"/>
    <w:rsid w:val="00E75A45"/>
    <w:rsid w:val="00E7602F"/>
    <w:rsid w:val="00E7610B"/>
    <w:rsid w:val="00E76474"/>
    <w:rsid w:val="00E7658C"/>
    <w:rsid w:val="00E76711"/>
    <w:rsid w:val="00E768BC"/>
    <w:rsid w:val="00E76967"/>
    <w:rsid w:val="00E76A93"/>
    <w:rsid w:val="00E76ABE"/>
    <w:rsid w:val="00E76B3B"/>
    <w:rsid w:val="00E76BFE"/>
    <w:rsid w:val="00E76E6D"/>
    <w:rsid w:val="00E76E73"/>
    <w:rsid w:val="00E76FEA"/>
    <w:rsid w:val="00E77696"/>
    <w:rsid w:val="00E778A2"/>
    <w:rsid w:val="00E77B6D"/>
    <w:rsid w:val="00E8050B"/>
    <w:rsid w:val="00E80D5E"/>
    <w:rsid w:val="00E80F92"/>
    <w:rsid w:val="00E81185"/>
    <w:rsid w:val="00E81387"/>
    <w:rsid w:val="00E81B54"/>
    <w:rsid w:val="00E81E7C"/>
    <w:rsid w:val="00E821E9"/>
    <w:rsid w:val="00E828D2"/>
    <w:rsid w:val="00E82A84"/>
    <w:rsid w:val="00E82EC0"/>
    <w:rsid w:val="00E8345C"/>
    <w:rsid w:val="00E83E63"/>
    <w:rsid w:val="00E83FDE"/>
    <w:rsid w:val="00E842BA"/>
    <w:rsid w:val="00E84459"/>
    <w:rsid w:val="00E84523"/>
    <w:rsid w:val="00E850CC"/>
    <w:rsid w:val="00E8562D"/>
    <w:rsid w:val="00E857B4"/>
    <w:rsid w:val="00E85EC5"/>
    <w:rsid w:val="00E86037"/>
    <w:rsid w:val="00E8668F"/>
    <w:rsid w:val="00E867EE"/>
    <w:rsid w:val="00E86C55"/>
    <w:rsid w:val="00E86D8A"/>
    <w:rsid w:val="00E87500"/>
    <w:rsid w:val="00E8774A"/>
    <w:rsid w:val="00E877F5"/>
    <w:rsid w:val="00E87982"/>
    <w:rsid w:val="00E87DE4"/>
    <w:rsid w:val="00E90078"/>
    <w:rsid w:val="00E904D1"/>
    <w:rsid w:val="00E9099E"/>
    <w:rsid w:val="00E90A4A"/>
    <w:rsid w:val="00E90C9B"/>
    <w:rsid w:val="00E918DD"/>
    <w:rsid w:val="00E91A40"/>
    <w:rsid w:val="00E91B40"/>
    <w:rsid w:val="00E91E2C"/>
    <w:rsid w:val="00E92042"/>
    <w:rsid w:val="00E9207E"/>
    <w:rsid w:val="00E92149"/>
    <w:rsid w:val="00E92642"/>
    <w:rsid w:val="00E92D2F"/>
    <w:rsid w:val="00E93051"/>
    <w:rsid w:val="00E9307E"/>
    <w:rsid w:val="00E932F4"/>
    <w:rsid w:val="00E93812"/>
    <w:rsid w:val="00E93970"/>
    <w:rsid w:val="00E93AE8"/>
    <w:rsid w:val="00E93B6C"/>
    <w:rsid w:val="00E93D8A"/>
    <w:rsid w:val="00E943D4"/>
    <w:rsid w:val="00E94A78"/>
    <w:rsid w:val="00E94EBE"/>
    <w:rsid w:val="00E95832"/>
    <w:rsid w:val="00E95EFE"/>
    <w:rsid w:val="00E9646B"/>
    <w:rsid w:val="00E964B5"/>
    <w:rsid w:val="00E964DC"/>
    <w:rsid w:val="00E964F1"/>
    <w:rsid w:val="00E96C15"/>
    <w:rsid w:val="00E96C67"/>
    <w:rsid w:val="00E96E1B"/>
    <w:rsid w:val="00E9738F"/>
    <w:rsid w:val="00E97582"/>
    <w:rsid w:val="00E97B08"/>
    <w:rsid w:val="00E97C07"/>
    <w:rsid w:val="00E97D36"/>
    <w:rsid w:val="00E97F56"/>
    <w:rsid w:val="00EA0773"/>
    <w:rsid w:val="00EA0B7B"/>
    <w:rsid w:val="00EA0C01"/>
    <w:rsid w:val="00EA11E2"/>
    <w:rsid w:val="00EA12A3"/>
    <w:rsid w:val="00EA1533"/>
    <w:rsid w:val="00EA1BEB"/>
    <w:rsid w:val="00EA222C"/>
    <w:rsid w:val="00EA2A3B"/>
    <w:rsid w:val="00EA2E23"/>
    <w:rsid w:val="00EA3411"/>
    <w:rsid w:val="00EA377A"/>
    <w:rsid w:val="00EA3D11"/>
    <w:rsid w:val="00EA44D9"/>
    <w:rsid w:val="00EA4B10"/>
    <w:rsid w:val="00EA4C18"/>
    <w:rsid w:val="00EA4C1B"/>
    <w:rsid w:val="00EA4E75"/>
    <w:rsid w:val="00EA51C6"/>
    <w:rsid w:val="00EA5221"/>
    <w:rsid w:val="00EA5286"/>
    <w:rsid w:val="00EA5530"/>
    <w:rsid w:val="00EA5587"/>
    <w:rsid w:val="00EA58FC"/>
    <w:rsid w:val="00EA5A55"/>
    <w:rsid w:val="00EA5DE0"/>
    <w:rsid w:val="00EA5F65"/>
    <w:rsid w:val="00EA66F4"/>
    <w:rsid w:val="00EA684A"/>
    <w:rsid w:val="00EA6B47"/>
    <w:rsid w:val="00EA6CA0"/>
    <w:rsid w:val="00EA6CEC"/>
    <w:rsid w:val="00EA6DC7"/>
    <w:rsid w:val="00EA78C4"/>
    <w:rsid w:val="00EA7984"/>
    <w:rsid w:val="00EA7D39"/>
    <w:rsid w:val="00EA7F53"/>
    <w:rsid w:val="00EB129F"/>
    <w:rsid w:val="00EB1B0F"/>
    <w:rsid w:val="00EB1C9D"/>
    <w:rsid w:val="00EB1E8D"/>
    <w:rsid w:val="00EB1F53"/>
    <w:rsid w:val="00EB234D"/>
    <w:rsid w:val="00EB27E4"/>
    <w:rsid w:val="00EB2A04"/>
    <w:rsid w:val="00EB2EDB"/>
    <w:rsid w:val="00EB30E2"/>
    <w:rsid w:val="00EB33F8"/>
    <w:rsid w:val="00EB3752"/>
    <w:rsid w:val="00EB3844"/>
    <w:rsid w:val="00EB39DD"/>
    <w:rsid w:val="00EB3D25"/>
    <w:rsid w:val="00EB3E7E"/>
    <w:rsid w:val="00EB3FA2"/>
    <w:rsid w:val="00EB40CB"/>
    <w:rsid w:val="00EB44E7"/>
    <w:rsid w:val="00EB4CF9"/>
    <w:rsid w:val="00EB4DA7"/>
    <w:rsid w:val="00EB551A"/>
    <w:rsid w:val="00EB552F"/>
    <w:rsid w:val="00EB5836"/>
    <w:rsid w:val="00EB5E35"/>
    <w:rsid w:val="00EB5F3A"/>
    <w:rsid w:val="00EB5F74"/>
    <w:rsid w:val="00EB6029"/>
    <w:rsid w:val="00EB6A76"/>
    <w:rsid w:val="00EB6A95"/>
    <w:rsid w:val="00EB71A7"/>
    <w:rsid w:val="00EB7335"/>
    <w:rsid w:val="00EB7AAF"/>
    <w:rsid w:val="00EB7B58"/>
    <w:rsid w:val="00EB7C89"/>
    <w:rsid w:val="00EC029D"/>
    <w:rsid w:val="00EC0744"/>
    <w:rsid w:val="00EC0884"/>
    <w:rsid w:val="00EC0D61"/>
    <w:rsid w:val="00EC10DD"/>
    <w:rsid w:val="00EC18FD"/>
    <w:rsid w:val="00EC1D0B"/>
    <w:rsid w:val="00EC1D89"/>
    <w:rsid w:val="00EC23B9"/>
    <w:rsid w:val="00EC24D6"/>
    <w:rsid w:val="00EC2A0E"/>
    <w:rsid w:val="00EC2F54"/>
    <w:rsid w:val="00EC2FA9"/>
    <w:rsid w:val="00EC316C"/>
    <w:rsid w:val="00EC31A7"/>
    <w:rsid w:val="00EC3884"/>
    <w:rsid w:val="00EC395C"/>
    <w:rsid w:val="00EC3AAD"/>
    <w:rsid w:val="00EC3E68"/>
    <w:rsid w:val="00EC42FB"/>
    <w:rsid w:val="00EC4EA0"/>
    <w:rsid w:val="00EC52B9"/>
    <w:rsid w:val="00EC57EE"/>
    <w:rsid w:val="00EC59F3"/>
    <w:rsid w:val="00EC5F34"/>
    <w:rsid w:val="00EC6B29"/>
    <w:rsid w:val="00EC6CA9"/>
    <w:rsid w:val="00EC7018"/>
    <w:rsid w:val="00EC72DA"/>
    <w:rsid w:val="00ED001A"/>
    <w:rsid w:val="00ED02E6"/>
    <w:rsid w:val="00ED06CE"/>
    <w:rsid w:val="00ED092B"/>
    <w:rsid w:val="00ED0B38"/>
    <w:rsid w:val="00ED13A1"/>
    <w:rsid w:val="00ED161A"/>
    <w:rsid w:val="00ED1905"/>
    <w:rsid w:val="00ED2287"/>
    <w:rsid w:val="00ED2570"/>
    <w:rsid w:val="00ED2611"/>
    <w:rsid w:val="00ED2A21"/>
    <w:rsid w:val="00ED2A44"/>
    <w:rsid w:val="00ED2A70"/>
    <w:rsid w:val="00ED2FD0"/>
    <w:rsid w:val="00ED30DA"/>
    <w:rsid w:val="00ED3889"/>
    <w:rsid w:val="00ED389F"/>
    <w:rsid w:val="00ED3BB3"/>
    <w:rsid w:val="00ED3CA5"/>
    <w:rsid w:val="00ED4291"/>
    <w:rsid w:val="00ED4737"/>
    <w:rsid w:val="00ED4B66"/>
    <w:rsid w:val="00ED4DBF"/>
    <w:rsid w:val="00ED52D7"/>
    <w:rsid w:val="00ED57B3"/>
    <w:rsid w:val="00ED59AC"/>
    <w:rsid w:val="00ED63B1"/>
    <w:rsid w:val="00ED65F3"/>
    <w:rsid w:val="00ED6F2F"/>
    <w:rsid w:val="00ED71DB"/>
    <w:rsid w:val="00ED72DB"/>
    <w:rsid w:val="00ED7493"/>
    <w:rsid w:val="00ED7880"/>
    <w:rsid w:val="00EE027B"/>
    <w:rsid w:val="00EE0812"/>
    <w:rsid w:val="00EE0E80"/>
    <w:rsid w:val="00EE0E89"/>
    <w:rsid w:val="00EE0F02"/>
    <w:rsid w:val="00EE1608"/>
    <w:rsid w:val="00EE169D"/>
    <w:rsid w:val="00EE174B"/>
    <w:rsid w:val="00EE1928"/>
    <w:rsid w:val="00EE1F4F"/>
    <w:rsid w:val="00EE2A01"/>
    <w:rsid w:val="00EE2AFD"/>
    <w:rsid w:val="00EE2C6F"/>
    <w:rsid w:val="00EE33E5"/>
    <w:rsid w:val="00EE3461"/>
    <w:rsid w:val="00EE355B"/>
    <w:rsid w:val="00EE38C4"/>
    <w:rsid w:val="00EE39DA"/>
    <w:rsid w:val="00EE3E7A"/>
    <w:rsid w:val="00EE3EEB"/>
    <w:rsid w:val="00EE414F"/>
    <w:rsid w:val="00EE4297"/>
    <w:rsid w:val="00EE4B4C"/>
    <w:rsid w:val="00EE5283"/>
    <w:rsid w:val="00EE57F9"/>
    <w:rsid w:val="00EE5869"/>
    <w:rsid w:val="00EE5B15"/>
    <w:rsid w:val="00EE5B1B"/>
    <w:rsid w:val="00EE5FE3"/>
    <w:rsid w:val="00EE6088"/>
    <w:rsid w:val="00EE6340"/>
    <w:rsid w:val="00EE6885"/>
    <w:rsid w:val="00EE6980"/>
    <w:rsid w:val="00EE6B4C"/>
    <w:rsid w:val="00EE6BDD"/>
    <w:rsid w:val="00EE6F30"/>
    <w:rsid w:val="00EE6FAE"/>
    <w:rsid w:val="00EE777E"/>
    <w:rsid w:val="00EE79AB"/>
    <w:rsid w:val="00EE7B24"/>
    <w:rsid w:val="00EF0022"/>
    <w:rsid w:val="00EF01F5"/>
    <w:rsid w:val="00EF051B"/>
    <w:rsid w:val="00EF092F"/>
    <w:rsid w:val="00EF09CC"/>
    <w:rsid w:val="00EF0AF0"/>
    <w:rsid w:val="00EF0D9A"/>
    <w:rsid w:val="00EF0F8D"/>
    <w:rsid w:val="00EF16B4"/>
    <w:rsid w:val="00EF1794"/>
    <w:rsid w:val="00EF1C05"/>
    <w:rsid w:val="00EF2CDF"/>
    <w:rsid w:val="00EF2FDB"/>
    <w:rsid w:val="00EF3C76"/>
    <w:rsid w:val="00EF46F7"/>
    <w:rsid w:val="00EF4983"/>
    <w:rsid w:val="00EF50CB"/>
    <w:rsid w:val="00EF51A4"/>
    <w:rsid w:val="00EF5363"/>
    <w:rsid w:val="00EF5615"/>
    <w:rsid w:val="00EF5B82"/>
    <w:rsid w:val="00EF5DDF"/>
    <w:rsid w:val="00EF5F8C"/>
    <w:rsid w:val="00EF62D2"/>
    <w:rsid w:val="00EF64F7"/>
    <w:rsid w:val="00EF652F"/>
    <w:rsid w:val="00EF697D"/>
    <w:rsid w:val="00EF6E21"/>
    <w:rsid w:val="00EF6ED5"/>
    <w:rsid w:val="00EF7566"/>
    <w:rsid w:val="00EF75BE"/>
    <w:rsid w:val="00EF7637"/>
    <w:rsid w:val="00EF7B94"/>
    <w:rsid w:val="00EF7F59"/>
    <w:rsid w:val="00F00AA2"/>
    <w:rsid w:val="00F01A64"/>
    <w:rsid w:val="00F01B04"/>
    <w:rsid w:val="00F01B6B"/>
    <w:rsid w:val="00F01E16"/>
    <w:rsid w:val="00F01E6A"/>
    <w:rsid w:val="00F01E71"/>
    <w:rsid w:val="00F02420"/>
    <w:rsid w:val="00F025DC"/>
    <w:rsid w:val="00F02784"/>
    <w:rsid w:val="00F02B98"/>
    <w:rsid w:val="00F02D60"/>
    <w:rsid w:val="00F02E7C"/>
    <w:rsid w:val="00F0303A"/>
    <w:rsid w:val="00F03121"/>
    <w:rsid w:val="00F03124"/>
    <w:rsid w:val="00F03213"/>
    <w:rsid w:val="00F038D9"/>
    <w:rsid w:val="00F03E77"/>
    <w:rsid w:val="00F041AD"/>
    <w:rsid w:val="00F049E9"/>
    <w:rsid w:val="00F04BD5"/>
    <w:rsid w:val="00F05503"/>
    <w:rsid w:val="00F0577B"/>
    <w:rsid w:val="00F05CBA"/>
    <w:rsid w:val="00F05E81"/>
    <w:rsid w:val="00F05FD8"/>
    <w:rsid w:val="00F0611C"/>
    <w:rsid w:val="00F06329"/>
    <w:rsid w:val="00F06459"/>
    <w:rsid w:val="00F065D4"/>
    <w:rsid w:val="00F07016"/>
    <w:rsid w:val="00F07444"/>
    <w:rsid w:val="00F075CD"/>
    <w:rsid w:val="00F078BC"/>
    <w:rsid w:val="00F0799D"/>
    <w:rsid w:val="00F103F2"/>
    <w:rsid w:val="00F10628"/>
    <w:rsid w:val="00F106B1"/>
    <w:rsid w:val="00F107A0"/>
    <w:rsid w:val="00F10BFC"/>
    <w:rsid w:val="00F110C5"/>
    <w:rsid w:val="00F11268"/>
    <w:rsid w:val="00F1147F"/>
    <w:rsid w:val="00F11965"/>
    <w:rsid w:val="00F1197A"/>
    <w:rsid w:val="00F11A4F"/>
    <w:rsid w:val="00F11BC1"/>
    <w:rsid w:val="00F11C2B"/>
    <w:rsid w:val="00F12187"/>
    <w:rsid w:val="00F1221F"/>
    <w:rsid w:val="00F127A8"/>
    <w:rsid w:val="00F12D56"/>
    <w:rsid w:val="00F12D70"/>
    <w:rsid w:val="00F131A7"/>
    <w:rsid w:val="00F142A2"/>
    <w:rsid w:val="00F142DC"/>
    <w:rsid w:val="00F14336"/>
    <w:rsid w:val="00F1443D"/>
    <w:rsid w:val="00F14697"/>
    <w:rsid w:val="00F14C6D"/>
    <w:rsid w:val="00F156A6"/>
    <w:rsid w:val="00F15866"/>
    <w:rsid w:val="00F159DA"/>
    <w:rsid w:val="00F15A3A"/>
    <w:rsid w:val="00F15A58"/>
    <w:rsid w:val="00F15A74"/>
    <w:rsid w:val="00F15A88"/>
    <w:rsid w:val="00F15C2D"/>
    <w:rsid w:val="00F15FCA"/>
    <w:rsid w:val="00F1621D"/>
    <w:rsid w:val="00F164D9"/>
    <w:rsid w:val="00F165DE"/>
    <w:rsid w:val="00F16905"/>
    <w:rsid w:val="00F16B0F"/>
    <w:rsid w:val="00F17241"/>
    <w:rsid w:val="00F175CF"/>
    <w:rsid w:val="00F17951"/>
    <w:rsid w:val="00F17A9F"/>
    <w:rsid w:val="00F17B07"/>
    <w:rsid w:val="00F20368"/>
    <w:rsid w:val="00F203DC"/>
    <w:rsid w:val="00F205AF"/>
    <w:rsid w:val="00F209DB"/>
    <w:rsid w:val="00F20AB1"/>
    <w:rsid w:val="00F20D69"/>
    <w:rsid w:val="00F2145E"/>
    <w:rsid w:val="00F2167A"/>
    <w:rsid w:val="00F219C2"/>
    <w:rsid w:val="00F21D96"/>
    <w:rsid w:val="00F21E08"/>
    <w:rsid w:val="00F21E5B"/>
    <w:rsid w:val="00F220A5"/>
    <w:rsid w:val="00F2284C"/>
    <w:rsid w:val="00F22F99"/>
    <w:rsid w:val="00F234B0"/>
    <w:rsid w:val="00F2382C"/>
    <w:rsid w:val="00F2397F"/>
    <w:rsid w:val="00F23A49"/>
    <w:rsid w:val="00F23ACC"/>
    <w:rsid w:val="00F24318"/>
    <w:rsid w:val="00F248DB"/>
    <w:rsid w:val="00F249FC"/>
    <w:rsid w:val="00F24CB7"/>
    <w:rsid w:val="00F254AA"/>
    <w:rsid w:val="00F258FB"/>
    <w:rsid w:val="00F25A5C"/>
    <w:rsid w:val="00F25E30"/>
    <w:rsid w:val="00F261FC"/>
    <w:rsid w:val="00F264D3"/>
    <w:rsid w:val="00F26577"/>
    <w:rsid w:val="00F26A39"/>
    <w:rsid w:val="00F26C07"/>
    <w:rsid w:val="00F26F0C"/>
    <w:rsid w:val="00F271C2"/>
    <w:rsid w:val="00F27515"/>
    <w:rsid w:val="00F27DAA"/>
    <w:rsid w:val="00F27F41"/>
    <w:rsid w:val="00F27F8C"/>
    <w:rsid w:val="00F301E4"/>
    <w:rsid w:val="00F301FC"/>
    <w:rsid w:val="00F3070F"/>
    <w:rsid w:val="00F30A3B"/>
    <w:rsid w:val="00F30B7B"/>
    <w:rsid w:val="00F30B82"/>
    <w:rsid w:val="00F31393"/>
    <w:rsid w:val="00F316D8"/>
    <w:rsid w:val="00F3227E"/>
    <w:rsid w:val="00F32389"/>
    <w:rsid w:val="00F32B76"/>
    <w:rsid w:val="00F32D02"/>
    <w:rsid w:val="00F32F7D"/>
    <w:rsid w:val="00F3343F"/>
    <w:rsid w:val="00F33CE3"/>
    <w:rsid w:val="00F34362"/>
    <w:rsid w:val="00F345D2"/>
    <w:rsid w:val="00F34BC9"/>
    <w:rsid w:val="00F34E99"/>
    <w:rsid w:val="00F3505B"/>
    <w:rsid w:val="00F3528B"/>
    <w:rsid w:val="00F352EC"/>
    <w:rsid w:val="00F356DC"/>
    <w:rsid w:val="00F359D5"/>
    <w:rsid w:val="00F359F9"/>
    <w:rsid w:val="00F35FDF"/>
    <w:rsid w:val="00F3622D"/>
    <w:rsid w:val="00F364D9"/>
    <w:rsid w:val="00F366B4"/>
    <w:rsid w:val="00F36A23"/>
    <w:rsid w:val="00F36AE1"/>
    <w:rsid w:val="00F36C77"/>
    <w:rsid w:val="00F36D99"/>
    <w:rsid w:val="00F371BD"/>
    <w:rsid w:val="00F371FA"/>
    <w:rsid w:val="00F37704"/>
    <w:rsid w:val="00F40AD2"/>
    <w:rsid w:val="00F40D50"/>
    <w:rsid w:val="00F40E2C"/>
    <w:rsid w:val="00F40FE9"/>
    <w:rsid w:val="00F41068"/>
    <w:rsid w:val="00F41311"/>
    <w:rsid w:val="00F413F7"/>
    <w:rsid w:val="00F41415"/>
    <w:rsid w:val="00F41AA4"/>
    <w:rsid w:val="00F41D36"/>
    <w:rsid w:val="00F429CD"/>
    <w:rsid w:val="00F42E9E"/>
    <w:rsid w:val="00F43126"/>
    <w:rsid w:val="00F43224"/>
    <w:rsid w:val="00F433EF"/>
    <w:rsid w:val="00F4386F"/>
    <w:rsid w:val="00F43C52"/>
    <w:rsid w:val="00F43FBA"/>
    <w:rsid w:val="00F440DB"/>
    <w:rsid w:val="00F444C6"/>
    <w:rsid w:val="00F444EA"/>
    <w:rsid w:val="00F44701"/>
    <w:rsid w:val="00F4482E"/>
    <w:rsid w:val="00F448F0"/>
    <w:rsid w:val="00F449CB"/>
    <w:rsid w:val="00F45C48"/>
    <w:rsid w:val="00F45E08"/>
    <w:rsid w:val="00F45EC3"/>
    <w:rsid w:val="00F45EE1"/>
    <w:rsid w:val="00F461FE"/>
    <w:rsid w:val="00F46B41"/>
    <w:rsid w:val="00F46E0F"/>
    <w:rsid w:val="00F46F20"/>
    <w:rsid w:val="00F4792B"/>
    <w:rsid w:val="00F47D06"/>
    <w:rsid w:val="00F47E23"/>
    <w:rsid w:val="00F5089C"/>
    <w:rsid w:val="00F50B89"/>
    <w:rsid w:val="00F510DA"/>
    <w:rsid w:val="00F51214"/>
    <w:rsid w:val="00F513AE"/>
    <w:rsid w:val="00F5182A"/>
    <w:rsid w:val="00F5190F"/>
    <w:rsid w:val="00F51CF2"/>
    <w:rsid w:val="00F52142"/>
    <w:rsid w:val="00F521CD"/>
    <w:rsid w:val="00F5256D"/>
    <w:rsid w:val="00F525CF"/>
    <w:rsid w:val="00F52827"/>
    <w:rsid w:val="00F529AC"/>
    <w:rsid w:val="00F52D6C"/>
    <w:rsid w:val="00F531A9"/>
    <w:rsid w:val="00F53428"/>
    <w:rsid w:val="00F53641"/>
    <w:rsid w:val="00F544D2"/>
    <w:rsid w:val="00F54FEE"/>
    <w:rsid w:val="00F55339"/>
    <w:rsid w:val="00F55428"/>
    <w:rsid w:val="00F554BB"/>
    <w:rsid w:val="00F555B0"/>
    <w:rsid w:val="00F55B45"/>
    <w:rsid w:val="00F560C7"/>
    <w:rsid w:val="00F561E9"/>
    <w:rsid w:val="00F56434"/>
    <w:rsid w:val="00F56603"/>
    <w:rsid w:val="00F56845"/>
    <w:rsid w:val="00F56BEE"/>
    <w:rsid w:val="00F56F31"/>
    <w:rsid w:val="00F573EA"/>
    <w:rsid w:val="00F574BA"/>
    <w:rsid w:val="00F57797"/>
    <w:rsid w:val="00F5788D"/>
    <w:rsid w:val="00F607F1"/>
    <w:rsid w:val="00F608B3"/>
    <w:rsid w:val="00F608BD"/>
    <w:rsid w:val="00F609A6"/>
    <w:rsid w:val="00F60A42"/>
    <w:rsid w:val="00F60A4C"/>
    <w:rsid w:val="00F610F1"/>
    <w:rsid w:val="00F61126"/>
    <w:rsid w:val="00F614C8"/>
    <w:rsid w:val="00F61521"/>
    <w:rsid w:val="00F619C1"/>
    <w:rsid w:val="00F61A69"/>
    <w:rsid w:val="00F625ED"/>
    <w:rsid w:val="00F628D4"/>
    <w:rsid w:val="00F62ABD"/>
    <w:rsid w:val="00F630A6"/>
    <w:rsid w:val="00F6331B"/>
    <w:rsid w:val="00F63824"/>
    <w:rsid w:val="00F63ABD"/>
    <w:rsid w:val="00F64080"/>
    <w:rsid w:val="00F644DE"/>
    <w:rsid w:val="00F645AE"/>
    <w:rsid w:val="00F64CF1"/>
    <w:rsid w:val="00F64E54"/>
    <w:rsid w:val="00F658FE"/>
    <w:rsid w:val="00F65DF3"/>
    <w:rsid w:val="00F65E38"/>
    <w:rsid w:val="00F65F96"/>
    <w:rsid w:val="00F66856"/>
    <w:rsid w:val="00F66E21"/>
    <w:rsid w:val="00F6731D"/>
    <w:rsid w:val="00F673C7"/>
    <w:rsid w:val="00F6770B"/>
    <w:rsid w:val="00F701FA"/>
    <w:rsid w:val="00F703ED"/>
    <w:rsid w:val="00F70404"/>
    <w:rsid w:val="00F707E6"/>
    <w:rsid w:val="00F708ED"/>
    <w:rsid w:val="00F70A5C"/>
    <w:rsid w:val="00F70E80"/>
    <w:rsid w:val="00F7146E"/>
    <w:rsid w:val="00F71760"/>
    <w:rsid w:val="00F71BF5"/>
    <w:rsid w:val="00F71FE0"/>
    <w:rsid w:val="00F72025"/>
    <w:rsid w:val="00F7202A"/>
    <w:rsid w:val="00F721FE"/>
    <w:rsid w:val="00F725AB"/>
    <w:rsid w:val="00F728C7"/>
    <w:rsid w:val="00F72A0A"/>
    <w:rsid w:val="00F72B83"/>
    <w:rsid w:val="00F72E97"/>
    <w:rsid w:val="00F73A39"/>
    <w:rsid w:val="00F73A9B"/>
    <w:rsid w:val="00F73D2E"/>
    <w:rsid w:val="00F74590"/>
    <w:rsid w:val="00F746F6"/>
    <w:rsid w:val="00F74902"/>
    <w:rsid w:val="00F74F8F"/>
    <w:rsid w:val="00F754E4"/>
    <w:rsid w:val="00F7631A"/>
    <w:rsid w:val="00F768E1"/>
    <w:rsid w:val="00F76A97"/>
    <w:rsid w:val="00F76B1A"/>
    <w:rsid w:val="00F76BE0"/>
    <w:rsid w:val="00F7701F"/>
    <w:rsid w:val="00F77170"/>
    <w:rsid w:val="00F776A6"/>
    <w:rsid w:val="00F7770C"/>
    <w:rsid w:val="00F779DE"/>
    <w:rsid w:val="00F77B41"/>
    <w:rsid w:val="00F77E22"/>
    <w:rsid w:val="00F800A5"/>
    <w:rsid w:val="00F803A3"/>
    <w:rsid w:val="00F803C8"/>
    <w:rsid w:val="00F80481"/>
    <w:rsid w:val="00F80517"/>
    <w:rsid w:val="00F80B2D"/>
    <w:rsid w:val="00F814FB"/>
    <w:rsid w:val="00F81A71"/>
    <w:rsid w:val="00F81EF7"/>
    <w:rsid w:val="00F82079"/>
    <w:rsid w:val="00F82638"/>
    <w:rsid w:val="00F82BA0"/>
    <w:rsid w:val="00F82DC9"/>
    <w:rsid w:val="00F8302E"/>
    <w:rsid w:val="00F8315F"/>
    <w:rsid w:val="00F833F5"/>
    <w:rsid w:val="00F83D57"/>
    <w:rsid w:val="00F8463D"/>
    <w:rsid w:val="00F846FD"/>
    <w:rsid w:val="00F847DE"/>
    <w:rsid w:val="00F84A43"/>
    <w:rsid w:val="00F84B8D"/>
    <w:rsid w:val="00F85292"/>
    <w:rsid w:val="00F853C4"/>
    <w:rsid w:val="00F855FA"/>
    <w:rsid w:val="00F859A2"/>
    <w:rsid w:val="00F860FB"/>
    <w:rsid w:val="00F8625A"/>
    <w:rsid w:val="00F86B1F"/>
    <w:rsid w:val="00F86CD9"/>
    <w:rsid w:val="00F86D1A"/>
    <w:rsid w:val="00F86DAB"/>
    <w:rsid w:val="00F876CE"/>
    <w:rsid w:val="00F87AD5"/>
    <w:rsid w:val="00F87F12"/>
    <w:rsid w:val="00F90181"/>
    <w:rsid w:val="00F9041D"/>
    <w:rsid w:val="00F9092E"/>
    <w:rsid w:val="00F90972"/>
    <w:rsid w:val="00F90DD2"/>
    <w:rsid w:val="00F9133D"/>
    <w:rsid w:val="00F91D8A"/>
    <w:rsid w:val="00F924B7"/>
    <w:rsid w:val="00F9275C"/>
    <w:rsid w:val="00F92B01"/>
    <w:rsid w:val="00F92ECD"/>
    <w:rsid w:val="00F93061"/>
    <w:rsid w:val="00F93246"/>
    <w:rsid w:val="00F934B0"/>
    <w:rsid w:val="00F9363C"/>
    <w:rsid w:val="00F9399D"/>
    <w:rsid w:val="00F942F1"/>
    <w:rsid w:val="00F94521"/>
    <w:rsid w:val="00F94526"/>
    <w:rsid w:val="00F9483B"/>
    <w:rsid w:val="00F94C59"/>
    <w:rsid w:val="00F9519C"/>
    <w:rsid w:val="00F951C5"/>
    <w:rsid w:val="00F95BFE"/>
    <w:rsid w:val="00F96060"/>
    <w:rsid w:val="00F96282"/>
    <w:rsid w:val="00F963AE"/>
    <w:rsid w:val="00F965B7"/>
    <w:rsid w:val="00F965F0"/>
    <w:rsid w:val="00F96C55"/>
    <w:rsid w:val="00F96D11"/>
    <w:rsid w:val="00F9724A"/>
    <w:rsid w:val="00F97CA8"/>
    <w:rsid w:val="00F97E92"/>
    <w:rsid w:val="00F97EF1"/>
    <w:rsid w:val="00F97FDE"/>
    <w:rsid w:val="00FA01A7"/>
    <w:rsid w:val="00FA05D9"/>
    <w:rsid w:val="00FA0794"/>
    <w:rsid w:val="00FA1240"/>
    <w:rsid w:val="00FA1275"/>
    <w:rsid w:val="00FA131B"/>
    <w:rsid w:val="00FA1783"/>
    <w:rsid w:val="00FA18A2"/>
    <w:rsid w:val="00FA1A0D"/>
    <w:rsid w:val="00FA1F2E"/>
    <w:rsid w:val="00FA2345"/>
    <w:rsid w:val="00FA2DEC"/>
    <w:rsid w:val="00FA2E14"/>
    <w:rsid w:val="00FA2FB5"/>
    <w:rsid w:val="00FA3412"/>
    <w:rsid w:val="00FA3B15"/>
    <w:rsid w:val="00FA3D95"/>
    <w:rsid w:val="00FA405C"/>
    <w:rsid w:val="00FA470A"/>
    <w:rsid w:val="00FA4802"/>
    <w:rsid w:val="00FA4823"/>
    <w:rsid w:val="00FA4916"/>
    <w:rsid w:val="00FA4D2A"/>
    <w:rsid w:val="00FA52F5"/>
    <w:rsid w:val="00FA58A1"/>
    <w:rsid w:val="00FA5DCC"/>
    <w:rsid w:val="00FA6109"/>
    <w:rsid w:val="00FA634E"/>
    <w:rsid w:val="00FA6352"/>
    <w:rsid w:val="00FA6680"/>
    <w:rsid w:val="00FA6873"/>
    <w:rsid w:val="00FA68C6"/>
    <w:rsid w:val="00FA6D09"/>
    <w:rsid w:val="00FA7B58"/>
    <w:rsid w:val="00FA7C15"/>
    <w:rsid w:val="00FA7E5C"/>
    <w:rsid w:val="00FA7F44"/>
    <w:rsid w:val="00FB03FA"/>
    <w:rsid w:val="00FB084D"/>
    <w:rsid w:val="00FB0926"/>
    <w:rsid w:val="00FB1205"/>
    <w:rsid w:val="00FB16A1"/>
    <w:rsid w:val="00FB193D"/>
    <w:rsid w:val="00FB1CAE"/>
    <w:rsid w:val="00FB1E62"/>
    <w:rsid w:val="00FB1EC8"/>
    <w:rsid w:val="00FB229C"/>
    <w:rsid w:val="00FB26F2"/>
    <w:rsid w:val="00FB2D99"/>
    <w:rsid w:val="00FB31C9"/>
    <w:rsid w:val="00FB3207"/>
    <w:rsid w:val="00FB3422"/>
    <w:rsid w:val="00FB34A2"/>
    <w:rsid w:val="00FB3CCB"/>
    <w:rsid w:val="00FB3F1F"/>
    <w:rsid w:val="00FB506A"/>
    <w:rsid w:val="00FB5514"/>
    <w:rsid w:val="00FB55F5"/>
    <w:rsid w:val="00FB578E"/>
    <w:rsid w:val="00FB6373"/>
    <w:rsid w:val="00FB65B4"/>
    <w:rsid w:val="00FB6A5F"/>
    <w:rsid w:val="00FB6DE6"/>
    <w:rsid w:val="00FB706C"/>
    <w:rsid w:val="00FB72EF"/>
    <w:rsid w:val="00FB7B10"/>
    <w:rsid w:val="00FB7D47"/>
    <w:rsid w:val="00FB7E45"/>
    <w:rsid w:val="00FC0731"/>
    <w:rsid w:val="00FC0838"/>
    <w:rsid w:val="00FC08FD"/>
    <w:rsid w:val="00FC0AAB"/>
    <w:rsid w:val="00FC0AD6"/>
    <w:rsid w:val="00FC0DD4"/>
    <w:rsid w:val="00FC1D2F"/>
    <w:rsid w:val="00FC2461"/>
    <w:rsid w:val="00FC283C"/>
    <w:rsid w:val="00FC2A63"/>
    <w:rsid w:val="00FC2C9A"/>
    <w:rsid w:val="00FC2F98"/>
    <w:rsid w:val="00FC3000"/>
    <w:rsid w:val="00FC35E8"/>
    <w:rsid w:val="00FC3E3C"/>
    <w:rsid w:val="00FC3FDF"/>
    <w:rsid w:val="00FC40DA"/>
    <w:rsid w:val="00FC4296"/>
    <w:rsid w:val="00FC4831"/>
    <w:rsid w:val="00FC4AB5"/>
    <w:rsid w:val="00FC53E1"/>
    <w:rsid w:val="00FC5461"/>
    <w:rsid w:val="00FC61B1"/>
    <w:rsid w:val="00FC6479"/>
    <w:rsid w:val="00FC6A26"/>
    <w:rsid w:val="00FC6E49"/>
    <w:rsid w:val="00FC6E80"/>
    <w:rsid w:val="00FC74E1"/>
    <w:rsid w:val="00FC766B"/>
    <w:rsid w:val="00FC781C"/>
    <w:rsid w:val="00FC7916"/>
    <w:rsid w:val="00FD01B5"/>
    <w:rsid w:val="00FD047B"/>
    <w:rsid w:val="00FD0BC0"/>
    <w:rsid w:val="00FD0FC6"/>
    <w:rsid w:val="00FD120D"/>
    <w:rsid w:val="00FD16E9"/>
    <w:rsid w:val="00FD190E"/>
    <w:rsid w:val="00FD19A8"/>
    <w:rsid w:val="00FD1C06"/>
    <w:rsid w:val="00FD20AA"/>
    <w:rsid w:val="00FD297D"/>
    <w:rsid w:val="00FD29B8"/>
    <w:rsid w:val="00FD2D96"/>
    <w:rsid w:val="00FD2EC2"/>
    <w:rsid w:val="00FD32D4"/>
    <w:rsid w:val="00FD34E5"/>
    <w:rsid w:val="00FD361E"/>
    <w:rsid w:val="00FD36C3"/>
    <w:rsid w:val="00FD3818"/>
    <w:rsid w:val="00FD39D0"/>
    <w:rsid w:val="00FD3C8B"/>
    <w:rsid w:val="00FD4087"/>
    <w:rsid w:val="00FD4382"/>
    <w:rsid w:val="00FD4C05"/>
    <w:rsid w:val="00FD598E"/>
    <w:rsid w:val="00FD5A7D"/>
    <w:rsid w:val="00FD5BF0"/>
    <w:rsid w:val="00FD5FD7"/>
    <w:rsid w:val="00FD6B61"/>
    <w:rsid w:val="00FD6EB5"/>
    <w:rsid w:val="00FD72C1"/>
    <w:rsid w:val="00FD73C5"/>
    <w:rsid w:val="00FD73FE"/>
    <w:rsid w:val="00FD779C"/>
    <w:rsid w:val="00FD77E3"/>
    <w:rsid w:val="00FD7C17"/>
    <w:rsid w:val="00FD7FA8"/>
    <w:rsid w:val="00FE0127"/>
    <w:rsid w:val="00FE013C"/>
    <w:rsid w:val="00FE0616"/>
    <w:rsid w:val="00FE0FC6"/>
    <w:rsid w:val="00FE11FB"/>
    <w:rsid w:val="00FE1261"/>
    <w:rsid w:val="00FE16FF"/>
    <w:rsid w:val="00FE185F"/>
    <w:rsid w:val="00FE187A"/>
    <w:rsid w:val="00FE1DE4"/>
    <w:rsid w:val="00FE1DFC"/>
    <w:rsid w:val="00FE1E97"/>
    <w:rsid w:val="00FE202D"/>
    <w:rsid w:val="00FE2461"/>
    <w:rsid w:val="00FE325D"/>
    <w:rsid w:val="00FE34A7"/>
    <w:rsid w:val="00FE362E"/>
    <w:rsid w:val="00FE3756"/>
    <w:rsid w:val="00FE37FA"/>
    <w:rsid w:val="00FE39C0"/>
    <w:rsid w:val="00FE3CDD"/>
    <w:rsid w:val="00FE4432"/>
    <w:rsid w:val="00FE4557"/>
    <w:rsid w:val="00FE46BB"/>
    <w:rsid w:val="00FE47A1"/>
    <w:rsid w:val="00FE4A4A"/>
    <w:rsid w:val="00FE5138"/>
    <w:rsid w:val="00FE5139"/>
    <w:rsid w:val="00FE65CF"/>
    <w:rsid w:val="00FE6754"/>
    <w:rsid w:val="00FE686B"/>
    <w:rsid w:val="00FE6D28"/>
    <w:rsid w:val="00FE6E29"/>
    <w:rsid w:val="00FE6FAC"/>
    <w:rsid w:val="00FE7213"/>
    <w:rsid w:val="00FE75A5"/>
    <w:rsid w:val="00FE7DB5"/>
    <w:rsid w:val="00FF0112"/>
    <w:rsid w:val="00FF01C8"/>
    <w:rsid w:val="00FF023F"/>
    <w:rsid w:val="00FF074E"/>
    <w:rsid w:val="00FF08A8"/>
    <w:rsid w:val="00FF0B09"/>
    <w:rsid w:val="00FF0BCB"/>
    <w:rsid w:val="00FF0C2F"/>
    <w:rsid w:val="00FF160A"/>
    <w:rsid w:val="00FF1E33"/>
    <w:rsid w:val="00FF2470"/>
    <w:rsid w:val="00FF27CD"/>
    <w:rsid w:val="00FF2E11"/>
    <w:rsid w:val="00FF2E1E"/>
    <w:rsid w:val="00FF3410"/>
    <w:rsid w:val="00FF390F"/>
    <w:rsid w:val="00FF3F42"/>
    <w:rsid w:val="00FF404D"/>
    <w:rsid w:val="00FF4208"/>
    <w:rsid w:val="00FF44B3"/>
    <w:rsid w:val="00FF4E41"/>
    <w:rsid w:val="00FF5141"/>
    <w:rsid w:val="00FF5440"/>
    <w:rsid w:val="00FF556B"/>
    <w:rsid w:val="00FF56C9"/>
    <w:rsid w:val="00FF5754"/>
    <w:rsid w:val="00FF57FC"/>
    <w:rsid w:val="00FF5A4F"/>
    <w:rsid w:val="00FF6125"/>
    <w:rsid w:val="00FF67EF"/>
    <w:rsid w:val="00FF6B38"/>
    <w:rsid w:val="00FF6C7C"/>
    <w:rsid w:val="00FF6DD0"/>
    <w:rsid w:val="00FF70EF"/>
    <w:rsid w:val="00FF7524"/>
    <w:rsid w:val="00FF7846"/>
    <w:rsid w:val="00FF7912"/>
    <w:rsid w:val="00FF7E6E"/>
    <w:rsid w:val="065AA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6DFEBF8"/>
  <w15:chartTrackingRefBased/>
  <w15:docId w15:val="{9F7E2193-8A33-4A21-AC0B-0881B0F1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AU" w:eastAsia="en-AU" w:bidi="ar-SA"/>
      </w:rPr>
    </w:rPrDefault>
    <w:pPrDefault/>
  </w:docDefaults>
  <w:latentStyles w:defLockedState="1" w:defUIPriority="0" w:defSemiHidden="0" w:defUnhideWhenUsed="0" w:defQFormat="0" w:count="377">
    <w:lsdException w:name="Normal" w:locked="0" w:qFormat="1"/>
    <w:lsdException w:name="heading 1" w:locked="0" w:uiPriority="9"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uiPriority="99" w:qFormat="1"/>
    <w:lsdException w:name="endnote text" w:locked="0" w:uiPriority="99" w:qFormat="1"/>
    <w:lsdException w:name="List Bullet" w:qFormat="1"/>
    <w:lsdException w:name="List Number" w:qFormat="1"/>
    <w:lsdException w:name="Default Paragraph Font" w:locked="0" w:uiPriority="1"/>
    <w:lsdException w:name="List Continue 4" w:locked="0"/>
    <w:lsdException w:name="Hyperlink" w:locked="0" w:uiPriority="99"/>
    <w:lsdException w:name="Strong" w:locked="0"/>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uiPriority="99"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uiPriority="37" w:semiHidden="1" w:unhideWhenUsed="1"/>
    <w:lsdException w:name="TOC Heading" w:locked="0" w:uiPriority="39" w:semiHidden="1"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sdException w:name="Smart Link Error" w:locked="0" w:uiPriority="99" w:semiHidden="1" w:unhideWhenUsed="1"/>
  </w:latentStyles>
  <w:style w:type="paragraph" w:styleId="Normal" w:default="1">
    <w:name w:val="Normal"/>
    <w:qFormat/>
    <w:rsid w:val="00E53546"/>
    <w:pPr>
      <w:spacing w:before="240" w:after="240"/>
    </w:pPr>
    <w:rPr>
      <w:rFonts w:ascii="Open Sans" w:hAnsi="Open Sans" w:eastAsia="MS Mincho"/>
      <w:sz w:val="24"/>
      <w:szCs w:val="24"/>
      <w:lang w:val="en-GB"/>
    </w:rPr>
  </w:style>
  <w:style w:type="paragraph" w:styleId="Heading1">
    <w:name w:val="heading 1"/>
    <w:basedOn w:val="Normal"/>
    <w:next w:val="Normal"/>
    <w:link w:val="Heading1Char"/>
    <w:uiPriority w:val="9"/>
    <w:qFormat/>
    <w:rsid w:val="00F258FB"/>
    <w:pPr>
      <w:keepNext/>
      <w:keepLines/>
      <w:numPr>
        <w:numId w:val="1"/>
      </w:numPr>
      <w:spacing w:before="360"/>
      <w:outlineLvl w:val="0"/>
    </w:pPr>
    <w:rPr>
      <w:b/>
      <w:bCs/>
      <w:sz w:val="32"/>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TOCHeading"/>
    <w:next w:val="Normal"/>
    <w:link w:val="Heading3Char"/>
    <w:qFormat/>
    <w:rsid w:val="005E0B5E"/>
    <w:pPr>
      <w:outlineLvl w:val="2"/>
    </w:pPr>
  </w:style>
  <w:style w:type="paragraph" w:styleId="Heading4">
    <w:name w:val="heading 4"/>
    <w:basedOn w:val="Heading3"/>
    <w:next w:val="Normal"/>
    <w:link w:val="Heading4Char"/>
    <w:locked/>
    <w:rsid w:val="008007A8"/>
    <w:pPr>
      <w:numPr>
        <w:ilvl w:val="3"/>
      </w:numPr>
      <w:outlineLvl w:val="3"/>
    </w:pPr>
    <w:rPr>
      <w:bCs/>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F258FB"/>
    <w:rPr>
      <w:rFonts w:ascii="Open Sans" w:hAnsi="Open Sans" w:eastAsia="MS Mincho"/>
      <w:b/>
      <w:bCs/>
      <w:sz w:val="32"/>
      <w:szCs w:val="28"/>
    </w:rPr>
  </w:style>
  <w:style w:type="character" w:styleId="Heading2Char" w:customStyle="1">
    <w:name w:val="Heading 2 Char"/>
    <w:link w:val="Heading2"/>
    <w:rsid w:val="005C2ECF"/>
    <w:rPr>
      <w:rFonts w:ascii="Open Sans" w:hAnsi="Open Sans" w:eastAsia="MS Mincho"/>
      <w:b/>
      <w:sz w:val="28"/>
      <w:szCs w:val="26"/>
    </w:rPr>
  </w:style>
  <w:style w:type="character" w:styleId="Heading3Char" w:customStyle="1">
    <w:name w:val="Heading 3 Char"/>
    <w:link w:val="Heading3"/>
    <w:rsid w:val="005E0B5E"/>
    <w:rPr>
      <w:rFonts w:ascii="Open Sans" w:hAnsi="Open Sans" w:eastAsia="MS Mincho"/>
      <w:b/>
      <w:sz w:val="24"/>
      <w:szCs w:val="24"/>
      <w:lang w:val="en-US" w:eastAsia="en-US"/>
    </w:rPr>
  </w:style>
  <w:style w:type="character" w:styleId="Heading4Char" w:customStyle="1">
    <w:name w:val="Heading 4 Char"/>
    <w:link w:val="Heading4"/>
    <w:rsid w:val="008007A8"/>
    <w:rPr>
      <w:rFonts w:ascii="Open Sans" w:hAnsi="Open Sans" w:eastAsia="MS Mincho"/>
      <w:i/>
      <w:iCs/>
      <w:sz w:val="24"/>
      <w:szCs w:val="26"/>
    </w:rPr>
  </w:style>
  <w:style w:type="character" w:styleId="Strong">
    <w:name w:val="Strong"/>
    <w:locked/>
    <w:rsid w:val="00471BB7"/>
    <w:rPr>
      <w:rFonts w:ascii="Open Sans" w:hAnsi="Open Sans"/>
      <w:b/>
      <w:bCs/>
    </w:rPr>
  </w:style>
  <w:style w:type="character" w:styleId="Heading5Char" w:customStyle="1">
    <w:name w:val="Heading 5 Char"/>
    <w:link w:val="Heading5"/>
    <w:rsid w:val="005C2ECF"/>
    <w:rPr>
      <w:rFonts w:ascii="Open Sans" w:hAnsi="Open Sans" w:eastAsia="MS Mincho"/>
      <w:sz w:val="24"/>
      <w:szCs w:val="24"/>
    </w:rPr>
  </w:style>
  <w:style w:type="character" w:styleId="Heading6Char" w:customStyle="1">
    <w:name w:val="Heading 6 Char"/>
    <w:link w:val="Heading6"/>
    <w:rsid w:val="005C2ECF"/>
    <w:rPr>
      <w:rFonts w:ascii="Open Sans" w:hAnsi="Open Sans" w:eastAsia="MS Mincho"/>
      <w:i/>
      <w:iCs/>
      <w:sz w:val="24"/>
      <w:szCs w:val="24"/>
    </w:rPr>
  </w:style>
  <w:style w:type="character" w:styleId="Heading7Char" w:customStyle="1">
    <w:name w:val="Heading 7 Char"/>
    <w:link w:val="Heading7"/>
    <w:rsid w:val="005C2ECF"/>
    <w:rPr>
      <w:rFonts w:ascii="Open Sans" w:hAnsi="Open Sans" w:eastAsia="MS Mincho"/>
      <w:i/>
      <w:iCs/>
      <w:sz w:val="24"/>
      <w:szCs w:val="24"/>
    </w:rPr>
  </w:style>
  <w:style w:type="character" w:styleId="Heading8Char" w:customStyle="1">
    <w:name w:val="Heading 8 Char"/>
    <w:link w:val="Heading8"/>
    <w:rsid w:val="005C2ECF"/>
    <w:rPr>
      <w:rFonts w:ascii="Open Sans" w:hAnsi="Open Sans" w:eastAsia="MS Mincho"/>
    </w:rPr>
  </w:style>
  <w:style w:type="character" w:styleId="Heading9Char" w:customStyle="1">
    <w:name w:val="Heading 9 Char"/>
    <w:link w:val="Heading9"/>
    <w:rsid w:val="005C2ECF"/>
    <w:rPr>
      <w:rFonts w:ascii="Open Sans" w:hAnsi="Open Sans" w:eastAsia="MS Mincho"/>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styleId="HeaderChar" w:customStyle="1">
    <w:name w:val="Header Char"/>
    <w:link w:val="Header"/>
    <w:rsid w:val="0016266F"/>
    <w:rPr>
      <w:rFonts w:ascii="Open Sans" w:hAnsi="Open Sans" w:eastAsia="MS Mincho"/>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styleId="FooterChar" w:customStyle="1">
    <w:name w:val="Footer Char"/>
    <w:link w:val="Footer"/>
    <w:uiPriority w:val="99"/>
    <w:rsid w:val="0063009F"/>
    <w:rPr>
      <w:rFonts w:ascii="Open Sans" w:hAnsi="Open Sans" w:eastAsia="MS Mincho"/>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rsid w:val="002655F8"/>
    <w:pPr>
      <w:tabs>
        <w:tab w:val="right" w:leader="dot" w:pos="9060"/>
      </w:tabs>
      <w:spacing w:after="0"/>
      <w:ind w:left="720" w:hanging="720"/>
    </w:pPr>
    <w:rPr>
      <w:b/>
      <w:noProof/>
    </w:rPr>
  </w:style>
  <w:style w:type="paragraph" w:styleId="TOC2">
    <w:name w:val="toc 2"/>
    <w:basedOn w:val="Normal"/>
    <w:next w:val="Normal"/>
    <w:autoRedefine/>
    <w:uiPriority w:val="39"/>
    <w:locked/>
    <w:rsid w:val="002655F8"/>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styleId="EndnoteTextChar1" w:customStyle="1">
    <w:name w:val="Endnote Text Char1"/>
    <w:link w:val="EndnoteText"/>
    <w:rsid w:val="00E55F24"/>
    <w:rPr>
      <w:rFonts w:ascii="Open Sans" w:hAnsi="Open Sans" w:eastAsia="MS Mincho"/>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Space="180" w:wrap="auto" w:hAnchor="page" w:xAlign="center" w:yAlign="bottom" w:hRule="exact"/>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D5779A"/>
    <w:pPr>
      <w:numPr>
        <w:numId w:val="42"/>
      </w:numPr>
      <w:tabs>
        <w:tab w:val="left" w:pos="1134"/>
      </w:tabs>
      <w:spacing w:line="276" w:lineRule="auto"/>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locked/>
    <w:rsid w:val="00E45954"/>
    <w:pPr>
      <w:spacing w:after="24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locked/>
    <w:rsid w:val="00E45954"/>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locked/>
    <w:rsid w:val="00E45954"/>
    <w:pPr>
      <w:spacing w:after="24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locked/>
    <w:rsid w:val="00E45954"/>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locked/>
    <w:rsid w:val="00E45954"/>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locked/>
    <w:rsid w:val="00E45954"/>
    <w:pPr>
      <w:spacing w:after="24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locked/>
    <w:rsid w:val="00E45954"/>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locked/>
    <w:rsid w:val="00E45954"/>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locked/>
    <w:rsid w:val="00E45954"/>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locked/>
    <w:rsid w:val="00E45954"/>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locked/>
    <w:rsid w:val="00E45954"/>
    <w:pPr>
      <w:spacing w:after="24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locked/>
    <w:rsid w:val="00E45954"/>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locked/>
    <w:rsid w:val="00E45954"/>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locked/>
    <w:rsid w:val="00E45954"/>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locked/>
    <w:rsid w:val="00E45954"/>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locked/>
    <w:rsid w:val="00E45954"/>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locked/>
    <w:rsid w:val="00E45954"/>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locked/>
    <w:rsid w:val="00E45954"/>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locked/>
    <w:rsid w:val="00E45954"/>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locked/>
    <w:rsid w:val="00E45954"/>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styleId="MainTitle" w:customStyle="1">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styleId="HeaderFooter" w:customStyle="1">
    <w:name w:val="Header &amp; Footer"/>
    <w:basedOn w:val="Normal"/>
    <w:semiHidden/>
    <w:locked/>
    <w:rsid w:val="005C2ECF"/>
    <w:pPr>
      <w:spacing w:line="200" w:lineRule="exact"/>
      <w:jc w:val="both"/>
    </w:pPr>
    <w:rPr>
      <w:rFonts w:eastAsia="Times New Roman" w:cs="ArialMT"/>
      <w:sz w:val="16"/>
      <w:lang w:eastAsia="en-US"/>
    </w:rPr>
  </w:style>
  <w:style w:type="paragraph" w:styleId="LogoType" w:customStyle="1">
    <w:name w:val="Logo Type"/>
    <w:basedOn w:val="Header"/>
    <w:semiHidden/>
    <w:locked/>
    <w:rsid w:val="005C2ECF"/>
    <w:pPr>
      <w:pBdr>
        <w:bottom w:val="single" w:color="auto" w:sz="4" w:space="4"/>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styleId="BalloonTextChar" w:customStyle="1">
    <w:name w:val="Balloon Text Char"/>
    <w:link w:val="BalloonText"/>
    <w:semiHidden/>
    <w:rsid w:val="00045C4B"/>
    <w:rPr>
      <w:rFonts w:ascii="Open Sans" w:hAnsi="Open Sans" w:eastAsia="MS Mincho" w:cs="Tahoma"/>
      <w:sz w:val="16"/>
      <w:szCs w:val="16"/>
    </w:rPr>
  </w:style>
  <w:style w:type="character" w:styleId="CharChar" w:customStyle="1">
    <w:name w:val="Char Char"/>
    <w:semiHidden/>
    <w:locked/>
    <w:rsid w:val="00045C4B"/>
    <w:rPr>
      <w:rFonts w:ascii="Open Sans" w:hAnsi="Open Sans" w:cs="Arial"/>
      <w:lang w:val="en-AU" w:eastAsia="en-AU" w:bidi="ar-SA"/>
    </w:rPr>
  </w:style>
  <w:style w:type="character" w:styleId="EndnoteTextChar" w:customStyle="1">
    <w:name w:val="Endnote Text Char"/>
    <w:uiPriority w:val="99"/>
    <w:locked/>
    <w:rsid w:val="00045C4B"/>
    <w:rPr>
      <w:rFonts w:ascii="Open Sans" w:hAnsi="Open Sans"/>
      <w:sz w:val="20"/>
      <w:lang w:bidi="ar-SA"/>
    </w:rPr>
  </w:style>
  <w:style w:type="character" w:styleId="SubtitleChar" w:customStyle="1">
    <w:name w:val="Subtitle Char"/>
    <w:link w:val="Subtitle"/>
    <w:rsid w:val="000E4837"/>
    <w:rPr>
      <w:rFonts w:ascii="Open Sans" w:hAnsi="Open Sans" w:eastAsia="MS Mincho" w:cs="Arial"/>
      <w:color w:val="237BBC"/>
      <w:sz w:val="28"/>
      <w:szCs w:val="24"/>
    </w:rPr>
  </w:style>
  <w:style w:type="paragraph" w:styleId="SubmissionNormal" w:customStyle="1">
    <w:name w:val="Submission Normal"/>
    <w:aliases w:val="No Spacing1,No Spacing11,No Spacing111"/>
    <w:basedOn w:val="Normal"/>
    <w:link w:val="SubmissionNormalChar"/>
    <w:qFormat/>
    <w:locked/>
    <w:rsid w:val="00B34946"/>
    <w:pPr>
      <w:numPr>
        <w:numId w:val="14"/>
      </w:numPr>
      <w:tabs>
        <w:tab w:val="clear" w:pos="720"/>
      </w:tabs>
      <w:ind w:hanging="720"/>
    </w:pPr>
    <w:rPr>
      <w:rFonts w:eastAsia="Times New Roman"/>
    </w:rPr>
  </w:style>
  <w:style w:type="character" w:styleId="SubmissionNormalChar" w:customStyle="1">
    <w:name w:val="Submission Normal Char"/>
    <w:aliases w:val="No Spacing Char,No Spacing1 Char,No Spacing11 Char"/>
    <w:link w:val="SubmissionNormal"/>
    <w:rsid w:val="00B34946"/>
    <w:rPr>
      <w:rFonts w:ascii="Open Sans" w:hAnsi="Open Sans"/>
      <w:sz w:val="24"/>
      <w:szCs w:val="24"/>
    </w:rPr>
  </w:style>
  <w:style w:type="paragraph" w:styleId="coveraddresses" w:customStyle="1">
    <w:name w:val="cover addresses"/>
    <w:basedOn w:val="Footer"/>
    <w:locked/>
    <w:rsid w:val="005C2ECF"/>
    <w:pPr>
      <w:spacing w:after="40"/>
    </w:pPr>
    <w:rPr>
      <w:szCs w:val="16"/>
    </w:rPr>
  </w:style>
  <w:style w:type="paragraph" w:styleId="coveraddress" w:customStyle="1">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styleId="CommentTextChar" w:customStyle="1">
    <w:name w:val="Comment Text Char"/>
    <w:link w:val="CommentText"/>
    <w:rsid w:val="00045C4B"/>
    <w:rPr>
      <w:rFonts w:ascii="Open Sans" w:hAnsi="Open Sans" w:eastAsia="MS Mincho"/>
    </w:rPr>
  </w:style>
  <w:style w:type="paragraph" w:styleId="CommentSubject">
    <w:name w:val="annotation subject"/>
    <w:basedOn w:val="CommentText"/>
    <w:next w:val="CommentText"/>
    <w:link w:val="CommentSubjectChar"/>
    <w:rsid w:val="00045C4B"/>
    <w:rPr>
      <w:b/>
      <w:bCs/>
    </w:rPr>
  </w:style>
  <w:style w:type="character" w:styleId="CommentSubjectChar" w:customStyle="1">
    <w:name w:val="Comment Subject Char"/>
    <w:link w:val="CommentSubject"/>
    <w:rsid w:val="00045C4B"/>
    <w:rPr>
      <w:rFonts w:ascii="Open Sans" w:hAnsi="Open Sans" w:eastAsia="MS Mincho"/>
      <w:b/>
      <w:bCs/>
    </w:rPr>
  </w:style>
  <w:style w:type="paragraph" w:styleId="DocumentMap">
    <w:name w:val="Document Map"/>
    <w:basedOn w:val="Normal"/>
    <w:link w:val="DocumentMapChar"/>
    <w:rsid w:val="00045C4B"/>
    <w:rPr>
      <w:rFonts w:cs="Segoe UI"/>
      <w:sz w:val="16"/>
      <w:szCs w:val="16"/>
    </w:rPr>
  </w:style>
  <w:style w:type="character" w:styleId="DocumentMapChar" w:customStyle="1">
    <w:name w:val="Document Map Char"/>
    <w:link w:val="DocumentMap"/>
    <w:rsid w:val="00045C4B"/>
    <w:rPr>
      <w:rFonts w:ascii="Open Sans" w:hAnsi="Open Sans" w:eastAsia="MS Mincho"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eastAsia="MS Mincho" w:cs="Courier New"/>
    </w:rPr>
  </w:style>
  <w:style w:type="character" w:styleId="MacroTextChar" w:customStyle="1">
    <w:name w:val="Macro Text Char"/>
    <w:link w:val="MacroText"/>
    <w:rsid w:val="005C2ECF"/>
    <w:rPr>
      <w:rFonts w:ascii="Open Sans" w:hAnsi="Open Sans" w:eastAsia="MS Mincho"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hAnsi="Open Sans" w:eastAsia="MS Mincho"/>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styleId="QuoteChar" w:customStyle="1">
    <w:name w:val="Quote Char"/>
    <w:link w:val="Quote"/>
    <w:uiPriority w:val="29"/>
    <w:rsid w:val="000C5DA6"/>
    <w:rPr>
      <w:rFonts w:ascii="Open Sans" w:hAnsi="Open Sans" w:eastAsia="MS Mincho"/>
      <w:iCs/>
      <w:sz w:val="22"/>
      <w:szCs w:val="24"/>
    </w:rPr>
  </w:style>
  <w:style w:type="paragraph" w:styleId="IntenseQuote">
    <w:name w:val="Intense Quote"/>
    <w:basedOn w:val="Normal"/>
    <w:next w:val="Normal"/>
    <w:link w:val="IntenseQuoteChar"/>
    <w:uiPriority w:val="30"/>
    <w:locked/>
    <w:rsid w:val="00471BB7"/>
    <w:pPr>
      <w:pBdr>
        <w:top w:val="single" w:color="4472C4" w:sz="4" w:space="10"/>
        <w:bottom w:val="single" w:color="4472C4" w:sz="4" w:space="10"/>
      </w:pBdr>
      <w:spacing w:before="360" w:after="360"/>
      <w:ind w:left="864" w:right="864"/>
      <w:jc w:val="center"/>
    </w:pPr>
    <w:rPr>
      <w:iCs/>
    </w:rPr>
  </w:style>
  <w:style w:type="character" w:styleId="IntenseQuoteChar" w:customStyle="1">
    <w:name w:val="Intense Quote Char"/>
    <w:link w:val="IntenseQuote"/>
    <w:uiPriority w:val="30"/>
    <w:rsid w:val="00471BB7"/>
    <w:rPr>
      <w:rFonts w:ascii="Open Sans" w:hAnsi="Open Sans" w:eastAsia="MS Mincho"/>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styleId="Hashtag1" w:customStyle="1">
    <w:name w:val="Hashtag1"/>
    <w:uiPriority w:val="99"/>
    <w:semiHidden/>
    <w:unhideWhenUsed/>
    <w:locked/>
    <w:rsid w:val="00471BB7"/>
    <w:rPr>
      <w:rFonts w:ascii="Open Sans" w:hAnsi="Open Sans"/>
      <w:color w:val="2B579A"/>
      <w:shd w:val="clear" w:color="auto" w:fill="E6E6E6"/>
    </w:rPr>
  </w:style>
  <w:style w:type="character" w:styleId="Mention1" w:customStyle="1">
    <w:name w:val="Mention1"/>
    <w:uiPriority w:val="99"/>
    <w:unhideWhenUsed/>
    <w:locked/>
    <w:rsid w:val="00471BB7"/>
    <w:rPr>
      <w:rFonts w:ascii="Open Sans" w:hAnsi="Open Sans"/>
      <w:color w:val="auto"/>
      <w:shd w:val="clear" w:color="auto" w:fill="E6E6E6"/>
    </w:rPr>
  </w:style>
  <w:style w:type="character" w:styleId="SmartHyperlink1" w:customStyle="1">
    <w:name w:val="Smart Hyperlink1"/>
    <w:uiPriority w:val="99"/>
    <w:semiHidden/>
    <w:unhideWhenUsed/>
    <w:locked/>
    <w:rsid w:val="00471BB7"/>
    <w:rPr>
      <w:rFonts w:ascii="Open Sans" w:hAnsi="Open Sans"/>
      <w:u w:val="dotted"/>
    </w:rPr>
  </w:style>
  <w:style w:type="character" w:styleId="UnresolvedMention1" w:customStyle="1">
    <w:name w:val="Unresolved Mention1"/>
    <w:uiPriority w:val="99"/>
    <w:semiHidden/>
    <w:unhideWhenUsed/>
    <w:locked/>
    <w:rsid w:val="00471BB7"/>
    <w:rPr>
      <w:rFonts w:ascii="Open Sans" w:hAnsi="Open Sans"/>
      <w:color w:val="auto"/>
      <w:shd w:val="clear" w:color="auto" w:fill="E6E6E6"/>
    </w:rPr>
  </w:style>
  <w:style w:type="character" w:styleId="HeaderDocumentTitle" w:customStyle="1">
    <w:name w:val="Header Document Title"/>
    <w:uiPriority w:val="1"/>
    <w:qFormat/>
    <w:rsid w:val="001F62CC"/>
    <w:rPr>
      <w:rFonts w:ascii="Open Sans" w:hAnsi="Open Sans"/>
      <w:b/>
      <w:noProof/>
      <w:sz w:val="18"/>
    </w:rPr>
  </w:style>
  <w:style w:type="paragraph" w:styleId="HeaderDocumentDate" w:customStyle="1">
    <w:name w:val="Header Document Date"/>
    <w:basedOn w:val="Footer"/>
    <w:qFormat/>
    <w:rsid w:val="002850B0"/>
    <w:pPr>
      <w:jc w:val="right"/>
    </w:pPr>
  </w:style>
  <w:style w:type="paragraph" w:styleId="FooterEvenPageNumber" w:customStyle="1">
    <w:name w:val="Footer Even Page Number"/>
    <w:basedOn w:val="Footer"/>
    <w:rsid w:val="00E53546"/>
  </w:style>
  <w:style w:type="paragraph" w:styleId="FooterOddPageNumber" w:customStyle="1">
    <w:name w:val="Footer Odd Page Number"/>
    <w:basedOn w:val="Footer"/>
    <w:rsid w:val="00E53546"/>
    <w:pPr>
      <w:jc w:val="right"/>
    </w:pPr>
  </w:style>
  <w:style w:type="paragraph" w:styleId="Body" w:customStyle="1">
    <w:name w:val="Body"/>
    <w:rsid w:val="004855B7"/>
    <w:pPr>
      <w:pBdr>
        <w:top w:val="nil"/>
        <w:left w:val="nil"/>
        <w:bottom w:val="nil"/>
        <w:right w:val="nil"/>
        <w:between w:val="nil"/>
        <w:bar w:val="nil"/>
      </w:pBdr>
      <w:spacing w:after="160" w:line="259" w:lineRule="auto"/>
    </w:pPr>
    <w:rPr>
      <w:rFonts w:ascii="Calibri" w:hAnsi="Calibri" w:eastAsia="Calibri" w:cs="Calibri"/>
      <w:color w:val="000000"/>
      <w:sz w:val="22"/>
      <w:szCs w:val="22"/>
      <w:u w:color="000000"/>
      <w:bdr w:val="nil"/>
      <w14:textOutline w14:w="0" w14:cap="flat" w14:cmpd="sng" w14:algn="ctr">
        <w14:noFill/>
        <w14:prstDash w14:val="solid"/>
        <w14:bevel/>
      </w14:textOutline>
    </w:rPr>
  </w:style>
  <w:style w:type="numbering" w:styleId="ImportedStyle6" w:customStyle="1">
    <w:name w:val="Imported Style 6"/>
    <w:rsid w:val="004855B7"/>
    <w:pPr>
      <w:numPr>
        <w:numId w:val="15"/>
      </w:numPr>
    </w:pPr>
  </w:style>
  <w:style w:type="character" w:styleId="Hyperlink0" w:customStyle="1">
    <w:name w:val="Hyperlink.0"/>
    <w:basedOn w:val="Hyperlink"/>
    <w:rsid w:val="004855B7"/>
    <w:rPr>
      <w:rFonts w:ascii="Open Sans" w:hAnsi="Open Sans" w:eastAsia="Open Sans" w:cs="Open Sans"/>
      <w:b w:val="0"/>
      <w:bCs w:val="0"/>
      <w:i w:val="0"/>
      <w:iCs w:val="0"/>
      <w:outline w:val="0"/>
      <w:color w:val="0000FF"/>
      <w:u w:val="single" w:color="0000FF"/>
    </w:rPr>
  </w:style>
  <w:style w:type="numbering" w:styleId="ImportedStyle10" w:customStyle="1">
    <w:name w:val="Imported Style 10"/>
    <w:rsid w:val="004855B7"/>
    <w:pPr>
      <w:numPr>
        <w:numId w:val="16"/>
      </w:numPr>
    </w:pPr>
  </w:style>
  <w:style w:type="numbering" w:styleId="ImportedStyle11" w:customStyle="1">
    <w:name w:val="Imported Style 11"/>
    <w:rsid w:val="004855B7"/>
    <w:pPr>
      <w:numPr>
        <w:numId w:val="17"/>
      </w:numPr>
    </w:pPr>
  </w:style>
  <w:style w:type="numbering" w:styleId="ImportedStyle12" w:customStyle="1">
    <w:name w:val="Imported Style 12"/>
    <w:rsid w:val="004855B7"/>
    <w:pPr>
      <w:numPr>
        <w:numId w:val="19"/>
      </w:numPr>
    </w:pPr>
  </w:style>
  <w:style w:type="numbering" w:styleId="ImportedStyle13" w:customStyle="1">
    <w:name w:val="Imported Style 13"/>
    <w:rsid w:val="004855B7"/>
    <w:pPr>
      <w:numPr>
        <w:numId w:val="20"/>
      </w:numPr>
    </w:pPr>
  </w:style>
  <w:style w:type="numbering" w:styleId="ImportedStyle14" w:customStyle="1">
    <w:name w:val="Imported Style 14"/>
    <w:rsid w:val="003C3540"/>
    <w:pPr>
      <w:numPr>
        <w:numId w:val="21"/>
      </w:numPr>
    </w:pPr>
  </w:style>
  <w:style w:type="numbering" w:styleId="ImportedStyle15" w:customStyle="1">
    <w:name w:val="Imported Style 15"/>
    <w:rsid w:val="003C3540"/>
    <w:pPr>
      <w:numPr>
        <w:numId w:val="22"/>
      </w:numPr>
    </w:pPr>
  </w:style>
  <w:style w:type="numbering" w:styleId="ImportedStyle16" w:customStyle="1">
    <w:name w:val="Imported Style 16"/>
    <w:rsid w:val="003C3540"/>
    <w:pPr>
      <w:numPr>
        <w:numId w:val="23"/>
      </w:numPr>
    </w:pPr>
  </w:style>
  <w:style w:type="paragraph" w:styleId="Default" w:customStyle="1">
    <w:name w:val="Default"/>
    <w:rsid w:val="00E63281"/>
    <w:pPr>
      <w:pBdr>
        <w:top w:val="nil"/>
        <w:left w:val="nil"/>
        <w:bottom w:val="nil"/>
        <w:right w:val="nil"/>
        <w:between w:val="nil"/>
        <w:bar w:val="nil"/>
      </w:pBdr>
    </w:pPr>
    <w:rPr>
      <w:rFonts w:ascii="Helvetica Neue" w:hAnsi="Helvetica Neue" w:eastAsia="Arial Unicode MS" w:cs="Arial Unicode MS"/>
      <w:color w:val="000000"/>
      <w:sz w:val="22"/>
      <w:szCs w:val="22"/>
      <w:bdr w:val="nil"/>
      <w14:textOutline w14:w="0" w14:cap="flat" w14:cmpd="sng" w14:algn="ctr">
        <w14:noFill/>
        <w14:prstDash w14:val="solid"/>
        <w14:bevel/>
      </w14:textOutline>
    </w:rPr>
  </w:style>
  <w:style w:type="numbering" w:styleId="ImportedStyle17" w:customStyle="1">
    <w:name w:val="Imported Style 17"/>
    <w:rsid w:val="00E63281"/>
    <w:pPr>
      <w:numPr>
        <w:numId w:val="24"/>
      </w:numPr>
    </w:pPr>
  </w:style>
  <w:style w:type="numbering" w:styleId="ImportedStyle18" w:customStyle="1">
    <w:name w:val="Imported Style 18"/>
    <w:rsid w:val="00E63281"/>
    <w:pPr>
      <w:numPr>
        <w:numId w:val="25"/>
      </w:numPr>
    </w:pPr>
  </w:style>
  <w:style w:type="character" w:styleId="Hyperlink1" w:customStyle="1">
    <w:name w:val="Hyperlink.1"/>
    <w:basedOn w:val="Hyperlink0"/>
    <w:rsid w:val="00E63281"/>
    <w:rPr>
      <w:rFonts w:ascii="Calibri" w:hAnsi="Calibri" w:eastAsia="Calibri" w:cs="Calibri"/>
      <w:b w:val="0"/>
      <w:bCs w:val="0"/>
      <w:i w:val="0"/>
      <w:iCs w:val="0"/>
      <w:outline w:val="0"/>
      <w:color w:val="0000FF"/>
      <w:u w:val="single" w:color="0000FF"/>
    </w:rPr>
  </w:style>
  <w:style w:type="numbering" w:styleId="ImportedStyle19" w:customStyle="1">
    <w:name w:val="Imported Style 19"/>
    <w:rsid w:val="00E63281"/>
    <w:pPr>
      <w:numPr>
        <w:numId w:val="26"/>
      </w:numPr>
    </w:pPr>
  </w:style>
  <w:style w:type="character" w:styleId="UnresolvedMention2" w:customStyle="1">
    <w:name w:val="Unresolved Mention2"/>
    <w:basedOn w:val="DefaultParagraphFont"/>
    <w:uiPriority w:val="99"/>
    <w:semiHidden/>
    <w:unhideWhenUsed/>
    <w:rsid w:val="00AC4BEB"/>
    <w:rPr>
      <w:color w:val="605E5C"/>
      <w:shd w:val="clear" w:color="auto" w:fill="E1DFDD"/>
    </w:rPr>
  </w:style>
  <w:style w:type="paragraph" w:styleId="Revision">
    <w:name w:val="Revision"/>
    <w:hidden/>
    <w:uiPriority w:val="99"/>
    <w:semiHidden/>
    <w:rsid w:val="005F20BD"/>
    <w:rPr>
      <w:rFonts w:ascii="Open Sans" w:hAnsi="Open Sans" w:eastAsia="MS Mincho"/>
      <w:sz w:val="24"/>
      <w:szCs w:val="24"/>
    </w:rPr>
  </w:style>
  <w:style w:type="paragraph" w:styleId="FootnoteText">
    <w:name w:val="footnote text"/>
    <w:basedOn w:val="Normal"/>
    <w:link w:val="FootnoteTextChar"/>
    <w:locked/>
    <w:rsid w:val="000E5AEA"/>
    <w:pPr>
      <w:spacing w:before="0" w:after="0"/>
    </w:pPr>
    <w:rPr>
      <w:sz w:val="20"/>
      <w:szCs w:val="20"/>
    </w:rPr>
  </w:style>
  <w:style w:type="character" w:styleId="FootnoteTextChar" w:customStyle="1">
    <w:name w:val="Footnote Text Char"/>
    <w:basedOn w:val="DefaultParagraphFont"/>
    <w:link w:val="FootnoteText"/>
    <w:rsid w:val="000E5AEA"/>
    <w:rPr>
      <w:rFonts w:ascii="Open Sans" w:hAnsi="Open Sans" w:eastAsia="MS Mincho"/>
    </w:rPr>
  </w:style>
  <w:style w:type="character" w:styleId="FootnoteReference">
    <w:name w:val="footnote reference"/>
    <w:basedOn w:val="DefaultParagraphFont"/>
    <w:locked/>
    <w:rsid w:val="000E5AEA"/>
    <w:rPr>
      <w:vertAlign w:val="superscript"/>
    </w:rPr>
  </w:style>
  <w:style w:type="character" w:styleId="UnresolvedMention">
    <w:name w:val="Unresolved Mention"/>
    <w:basedOn w:val="DefaultParagraphFont"/>
    <w:uiPriority w:val="99"/>
    <w:semiHidden/>
    <w:unhideWhenUsed/>
    <w:rsid w:val="0011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4836">
      <w:bodyDiv w:val="1"/>
      <w:marLeft w:val="0"/>
      <w:marRight w:val="0"/>
      <w:marTop w:val="0"/>
      <w:marBottom w:val="0"/>
      <w:divBdr>
        <w:top w:val="none" w:sz="0" w:space="0" w:color="auto"/>
        <w:left w:val="none" w:sz="0" w:space="0" w:color="auto"/>
        <w:bottom w:val="none" w:sz="0" w:space="0" w:color="auto"/>
        <w:right w:val="none" w:sz="0" w:space="0" w:color="auto"/>
      </w:divBdr>
    </w:div>
    <w:div w:id="479273381">
      <w:bodyDiv w:val="1"/>
      <w:marLeft w:val="0"/>
      <w:marRight w:val="0"/>
      <w:marTop w:val="0"/>
      <w:marBottom w:val="0"/>
      <w:divBdr>
        <w:top w:val="none" w:sz="0" w:space="0" w:color="auto"/>
        <w:left w:val="none" w:sz="0" w:space="0" w:color="auto"/>
        <w:bottom w:val="none" w:sz="0" w:space="0" w:color="auto"/>
        <w:right w:val="none" w:sz="0" w:space="0" w:color="auto"/>
      </w:divBdr>
    </w:div>
    <w:div w:id="554121617">
      <w:bodyDiv w:val="1"/>
      <w:marLeft w:val="0"/>
      <w:marRight w:val="0"/>
      <w:marTop w:val="0"/>
      <w:marBottom w:val="0"/>
      <w:divBdr>
        <w:top w:val="none" w:sz="0" w:space="0" w:color="auto"/>
        <w:left w:val="none" w:sz="0" w:space="0" w:color="auto"/>
        <w:bottom w:val="none" w:sz="0" w:space="0" w:color="auto"/>
        <w:right w:val="none" w:sz="0" w:space="0" w:color="auto"/>
      </w:divBdr>
      <w:divsChild>
        <w:div w:id="2090807977">
          <w:marLeft w:val="0"/>
          <w:marRight w:val="0"/>
          <w:marTop w:val="0"/>
          <w:marBottom w:val="0"/>
          <w:divBdr>
            <w:top w:val="none" w:sz="0" w:space="0" w:color="auto"/>
            <w:left w:val="none" w:sz="0" w:space="0" w:color="auto"/>
            <w:bottom w:val="none" w:sz="0" w:space="0" w:color="auto"/>
            <w:right w:val="none" w:sz="0" w:space="0" w:color="auto"/>
          </w:divBdr>
          <w:divsChild>
            <w:div w:id="1779979964">
              <w:marLeft w:val="0"/>
              <w:marRight w:val="0"/>
              <w:marTop w:val="0"/>
              <w:marBottom w:val="0"/>
              <w:divBdr>
                <w:top w:val="none" w:sz="0" w:space="0" w:color="auto"/>
                <w:left w:val="none" w:sz="0" w:space="0" w:color="auto"/>
                <w:bottom w:val="none" w:sz="0" w:space="0" w:color="auto"/>
                <w:right w:val="none" w:sz="0" w:space="0" w:color="auto"/>
              </w:divBdr>
              <w:divsChild>
                <w:div w:id="18057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75771533">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34326127">
      <w:bodyDiv w:val="1"/>
      <w:marLeft w:val="0"/>
      <w:marRight w:val="0"/>
      <w:marTop w:val="0"/>
      <w:marBottom w:val="0"/>
      <w:divBdr>
        <w:top w:val="none" w:sz="0" w:space="0" w:color="auto"/>
        <w:left w:val="none" w:sz="0" w:space="0" w:color="auto"/>
        <w:bottom w:val="none" w:sz="0" w:space="0" w:color="auto"/>
        <w:right w:val="none" w:sz="0" w:space="0" w:color="auto"/>
      </w:divBdr>
    </w:div>
    <w:div w:id="1196893945">
      <w:bodyDiv w:val="1"/>
      <w:marLeft w:val="0"/>
      <w:marRight w:val="0"/>
      <w:marTop w:val="0"/>
      <w:marBottom w:val="0"/>
      <w:divBdr>
        <w:top w:val="none" w:sz="0" w:space="0" w:color="auto"/>
        <w:left w:val="none" w:sz="0" w:space="0" w:color="auto"/>
        <w:bottom w:val="none" w:sz="0" w:space="0" w:color="auto"/>
        <w:right w:val="none" w:sz="0" w:space="0" w:color="auto"/>
      </w:divBdr>
    </w:div>
    <w:div w:id="1538079772">
      <w:bodyDiv w:val="1"/>
      <w:marLeft w:val="0"/>
      <w:marRight w:val="0"/>
      <w:marTop w:val="0"/>
      <w:marBottom w:val="0"/>
      <w:divBdr>
        <w:top w:val="none" w:sz="0" w:space="0" w:color="auto"/>
        <w:left w:val="none" w:sz="0" w:space="0" w:color="auto"/>
        <w:bottom w:val="none" w:sz="0" w:space="0" w:color="auto"/>
        <w:right w:val="none" w:sz="0" w:space="0" w:color="auto"/>
      </w:divBdr>
      <w:divsChild>
        <w:div w:id="3867587">
          <w:marLeft w:val="0"/>
          <w:marRight w:val="0"/>
          <w:marTop w:val="0"/>
          <w:marBottom w:val="0"/>
          <w:divBdr>
            <w:top w:val="none" w:sz="0" w:space="0" w:color="auto"/>
            <w:left w:val="none" w:sz="0" w:space="0" w:color="auto"/>
            <w:bottom w:val="none" w:sz="0" w:space="0" w:color="auto"/>
            <w:right w:val="none" w:sz="0" w:space="0" w:color="auto"/>
          </w:divBdr>
          <w:divsChild>
            <w:div w:id="940145392">
              <w:marLeft w:val="0"/>
              <w:marRight w:val="0"/>
              <w:marTop w:val="0"/>
              <w:marBottom w:val="0"/>
              <w:divBdr>
                <w:top w:val="none" w:sz="0" w:space="0" w:color="auto"/>
                <w:left w:val="none" w:sz="0" w:space="0" w:color="auto"/>
                <w:bottom w:val="none" w:sz="0" w:space="0" w:color="auto"/>
                <w:right w:val="none" w:sz="0" w:space="0" w:color="auto"/>
              </w:divBdr>
              <w:divsChild>
                <w:div w:id="1826166754">
                  <w:marLeft w:val="0"/>
                  <w:marRight w:val="0"/>
                  <w:marTop w:val="0"/>
                  <w:marBottom w:val="0"/>
                  <w:divBdr>
                    <w:top w:val="none" w:sz="0" w:space="0" w:color="auto"/>
                    <w:left w:val="none" w:sz="0" w:space="0" w:color="auto"/>
                    <w:bottom w:val="none" w:sz="0" w:space="0" w:color="auto"/>
                    <w:right w:val="none" w:sz="0" w:space="0" w:color="auto"/>
                  </w:divBdr>
                  <w:divsChild>
                    <w:div w:id="20453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4.xml" Id="rId23" /><Relationship Type="http://schemas.openxmlformats.org/officeDocument/2006/relationships/settings" Target="setting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eader" Target="header6.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18DDF96A4034E89BD1C6F739BFE8E" ma:contentTypeVersion="1504" ma:contentTypeDescription="Create a new document." ma:contentTypeScope="" ma:versionID="01d37892980a6c254b187e57db081849">
  <xsd:schema xmlns:xsd="http://www.w3.org/2001/XMLSchema" xmlns:xs="http://www.w3.org/2001/XMLSchema" xmlns:p="http://schemas.microsoft.com/office/2006/metadata/properties" xmlns:ns2="f38bc97f-71db-45c8-93e4-332747d752e1" xmlns:ns3="6500fe01-343b-4fb9-a1b0-68ac19d62e01" xmlns:ns4="2137e917-941a-45e8-b06b-533c7e656b5c" targetNamespace="http://schemas.microsoft.com/office/2006/metadata/properties" ma:root="true" ma:fieldsID="e7a5a8b213886b884725e517c6b52c07" ns2:_="" ns3:_="" ns4:_="">
    <xsd:import namespace="f38bc97f-71db-45c8-93e4-332747d752e1"/>
    <xsd:import namespace="6500fe01-343b-4fb9-a1b0-68ac19d62e01"/>
    <xsd:import namespace="2137e917-941a-45e8-b06b-533c7e656b5c"/>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default="-" ma:format="Dropdown" ma:indexed="true" ma:internalName="Subdivider">
      <xsd:simpleType>
        <xsd:union memberTypes="dms:Text">
          <xsd:simpleType>
            <xsd:restriction base="dms:Choice">
              <xsd:enumeration value="-"/>
            </xsd:restriction>
          </xsd:simpleType>
        </xsd:un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37e917-941a-45e8-b06b-533c7e656b5c"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fbe8333e833142b1aa4e528d7d71931d xmlns="f38bc97f-71db-45c8-93e4-332747d752e1">
      <Terms xmlns="http://schemas.microsoft.com/office/infopath/2007/PartnerControls"/>
    </fbe8333e833142b1aa4e528d7d71931d>
    <To xmlns="f38bc97f-71db-45c8-93e4-332747d752e1" xsi:nil="true"/>
    <Has_x0020_Attachments xmlns="f38bc97f-71db-45c8-93e4-332747d752e1" xsi:nil="true"/>
    <Subdivider xmlns="f38bc97f-71db-45c8-93e4-332747d752e1">-</Subdivider>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RUUPY3S2X5Q7-472796133-3029</_dlc_DocId>
    <_dlc_DocIdUrl xmlns="6500fe01-343b-4fb9-a1b0-68ac19d62e01">
      <Url>https://australianhrc.sharepoint.com/sites/PolicyExternalProjects/_layouts/15/DocIdRedir.aspx?ID=RUUPY3S2X5Q7-472796133-3029</Url>
      <Description>RUUPY3S2X5Q7-472796133-3029</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975c5ac6-a0cc-43ed-b850-4a2ae59237b6"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5598-B289-4224-A10E-D322D9B3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2137e917-941a-45e8-b06b-533c7e656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7E9DC-D2CA-497B-B614-E63CCF6A1906}">
  <ds:schemaRefs>
    <ds:schemaRef ds:uri="http://schemas.microsoft.com/sharepoint/events"/>
  </ds:schemaRefs>
</ds:datastoreItem>
</file>

<file path=customXml/itemProps3.xml><?xml version="1.0" encoding="utf-8"?>
<ds:datastoreItem xmlns:ds="http://schemas.openxmlformats.org/officeDocument/2006/customXml" ds:itemID="{D41D2C01-8A4B-4550-A30A-AE9EFCE258D3}">
  <ds:schemaRefs>
    <ds:schemaRef ds:uri="http://schemas.microsoft.com/sharepoint/v3/contenttype/forms"/>
  </ds:schemaRefs>
</ds:datastoreItem>
</file>

<file path=customXml/itemProps4.xml><?xml version="1.0" encoding="utf-8"?>
<ds:datastoreItem xmlns:ds="http://schemas.openxmlformats.org/officeDocument/2006/customXml" ds:itemID="{890FC13B-0852-430C-83B3-91849CE6C84F}">
  <ds:schemaRefs>
    <ds:schemaRef ds:uri="http://schemas.microsoft.com/office/2006/metadata/properties"/>
    <ds:schemaRef ds:uri="http://schemas.microsoft.com/office/infopath/2007/PartnerControls"/>
    <ds:schemaRef ds:uri="6500fe01-343b-4fb9-a1b0-68ac19d62e01"/>
    <ds:schemaRef ds:uri="f38bc97f-71db-45c8-93e4-332747d752e1"/>
  </ds:schemaRefs>
</ds:datastoreItem>
</file>

<file path=customXml/itemProps5.xml><?xml version="1.0" encoding="utf-8"?>
<ds:datastoreItem xmlns:ds="http://schemas.openxmlformats.org/officeDocument/2006/customXml" ds:itemID="{220D9BE7-789F-434E-AE40-710580C1871B}">
  <ds:schemaRefs>
    <ds:schemaRef ds:uri="http://schemas.microsoft.com/office/2006/metadata/customXsn"/>
  </ds:schemaRefs>
</ds:datastoreItem>
</file>

<file path=customXml/itemProps6.xml><?xml version="1.0" encoding="utf-8"?>
<ds:datastoreItem xmlns:ds="http://schemas.openxmlformats.org/officeDocument/2006/customXml" ds:itemID="{02FFA892-B942-4313-9195-E63C9B5B8C90}">
  <ds:schemaRefs>
    <ds:schemaRef ds:uri="Microsoft.SharePoint.Taxonomy.ContentTypeSync"/>
  </ds:schemaRefs>
</ds:datastoreItem>
</file>

<file path=customXml/itemProps7.xml><?xml version="1.0" encoding="utf-8"?>
<ds:datastoreItem xmlns:ds="http://schemas.openxmlformats.org/officeDocument/2006/customXml" ds:itemID="{67D15524-B8E0-4536-B4DE-9285BB3092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Submission_New</ap:Template>
  <ap:Application>Microsoft Office Word</ap:Application>
  <ap:DocSecurity>0</ap:DocSecurity>
  <ap:ScaleCrop>false</ap:ScaleCrop>
  <ap:Company>Human Rights and Equal Opportunity Commission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Bellemore</dc:creator>
  <keywords/>
  <dc:description/>
  <lastModifiedBy>Greg Halford</lastModifiedBy>
  <revision>8</revision>
  <lastPrinted>2020-03-12T23:50:00.0000000Z</lastPrinted>
  <dcterms:created xsi:type="dcterms:W3CDTF">2020-03-19T07:34:00.0000000Z</dcterms:created>
  <dcterms:modified xsi:type="dcterms:W3CDTF">2020-03-19T09:08:31.4024670Z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0x010100A2118DDF96A4034E89BD1C6F739BFE8E</vt:lpwstr>
  </property>
  <property fmtid="{D5CDD505-2E9C-101B-9397-08002B2CF9AE}" pid="3" name="TaxKeyword">
    <vt:lpwstr/>
  </property>
  <property fmtid="{D5CDD505-2E9C-101B-9397-08002B2CF9AE}" pid="4" name="_dlc_DocIdItemGuid">
    <vt:lpwstr>73a41c84-96b6-4f19-b301-9d46c36cce93</vt:lpwstr>
  </property>
  <property fmtid="{D5CDD505-2E9C-101B-9397-08002B2CF9AE}" pid="5" name="Document Type">
    <vt:lpwstr/>
  </property>
</Properties>
</file>